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C96" w:rsidRDefault="00495C96" w:rsidP="00495C96">
      <w:pPr>
        <w:spacing w:line="60" w:lineRule="exact"/>
        <w:rPr>
          <w:sz w:val="6"/>
        </w:rPr>
        <w:sectPr w:rsidR="00495C96" w:rsidSect="00495C9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495C96" w:rsidRDefault="00495C96" w:rsidP="00495C96">
      <w:pPr>
        <w:spacing w:line="60" w:lineRule="exact"/>
        <w:rPr>
          <w:sz w:val="6"/>
        </w:rPr>
      </w:pPr>
    </w:p>
    <w:p w:rsidR="00432B4D" w:rsidRDefault="00432B4D" w:rsidP="00432B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432B4D" w:rsidRPr="00432B4D" w:rsidRDefault="00432B4D" w:rsidP="00432B4D">
      <w:pPr>
        <w:pStyle w:val="SingleTxt"/>
        <w:spacing w:after="60"/>
        <w:ind w:left="0"/>
        <w:rPr>
          <w:rFonts w:ascii="SimHei" w:eastAsia="SimHei" w:hint="eastAsia"/>
          <w:color w:val="FF0000"/>
        </w:rPr>
      </w:pPr>
      <w:r w:rsidRPr="00432B4D">
        <w:rPr>
          <w:rFonts w:ascii="SimHei" w:eastAsia="SimHei" w:hint="eastAsia"/>
          <w:color w:val="FF0000"/>
        </w:rPr>
        <w:t>会前工作组</w:t>
      </w:r>
    </w:p>
    <w:p w:rsidR="00432B4D" w:rsidRPr="00432B4D" w:rsidRDefault="00432B4D" w:rsidP="00432B4D">
      <w:pPr>
        <w:pStyle w:val="SingleTxt"/>
        <w:spacing w:after="60"/>
        <w:ind w:left="0"/>
        <w:rPr>
          <w:rFonts w:ascii="SimHei" w:eastAsia="SimHei" w:hint="eastAsia"/>
          <w:color w:val="FF0000"/>
        </w:rPr>
      </w:pPr>
      <w:r w:rsidRPr="00432B4D">
        <w:rPr>
          <w:rFonts w:ascii="SimHei" w:eastAsia="SimHei" w:hint="eastAsia"/>
          <w:color w:val="FF0000"/>
        </w:rPr>
        <w:t>第四十三届会议</w:t>
      </w:r>
    </w:p>
    <w:p w:rsidR="00432B4D" w:rsidRDefault="00432B4D" w:rsidP="00432B4D">
      <w:pPr>
        <w:pStyle w:val="SingleTxt"/>
        <w:ind w:left="0"/>
        <w:rPr>
          <w:rFonts w:hint="eastAsia"/>
        </w:rPr>
      </w:pPr>
      <w:r>
        <w:rPr>
          <w:rFonts w:hint="eastAsia"/>
        </w:rPr>
        <w:t>2009年1月19日至2月6日</w:t>
      </w:r>
    </w:p>
    <w:p w:rsidR="00432B4D" w:rsidRPr="00432B4D" w:rsidRDefault="00432B4D" w:rsidP="00432B4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32B4D" w:rsidRPr="00432B4D" w:rsidRDefault="00432B4D" w:rsidP="00432B4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32B4D" w:rsidRPr="00432B4D" w:rsidRDefault="00432B4D" w:rsidP="00432B4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32B4D" w:rsidRDefault="00432B4D" w:rsidP="00432B4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与审议定期报告有关的议题和问题清单</w:t>
      </w:r>
    </w:p>
    <w:p w:rsidR="00432B4D" w:rsidRPr="00432B4D" w:rsidRDefault="00432B4D" w:rsidP="00432B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32B4D" w:rsidRPr="00432B4D" w:rsidRDefault="00432B4D" w:rsidP="00432B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32B4D" w:rsidRDefault="00432B4D" w:rsidP="00432B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危地马拉</w:t>
      </w:r>
    </w:p>
    <w:p w:rsidR="00432B4D" w:rsidRPr="00432B4D" w:rsidRDefault="00432B4D" w:rsidP="00432B4D">
      <w:pPr>
        <w:pStyle w:val="SingleTxt"/>
        <w:spacing w:after="0" w:line="120" w:lineRule="exact"/>
        <w:rPr>
          <w:rFonts w:hint="eastAsia"/>
          <w:sz w:val="10"/>
        </w:rPr>
      </w:pPr>
    </w:p>
    <w:p w:rsidR="00432B4D" w:rsidRPr="00432B4D" w:rsidRDefault="00432B4D" w:rsidP="00432B4D">
      <w:pPr>
        <w:pStyle w:val="SingleTxt"/>
        <w:spacing w:after="0" w:line="120" w:lineRule="exact"/>
        <w:rPr>
          <w:rFonts w:hint="eastAsia"/>
          <w:sz w:val="10"/>
        </w:rPr>
      </w:pPr>
    </w:p>
    <w:p w:rsidR="00432B4D" w:rsidRDefault="00432B4D" w:rsidP="00432B4D">
      <w:pPr>
        <w:pStyle w:val="SingleTxt"/>
      </w:pPr>
      <w:r>
        <w:tab/>
      </w:r>
      <w:r>
        <w:rPr>
          <w:rFonts w:hint="eastAsia"/>
        </w:rPr>
        <w:t>会前工作组审查了危地马拉的第七次定期报告</w:t>
      </w:r>
      <w:r w:rsidR="00A279DB">
        <w:rPr>
          <w:rFonts w:hint="eastAsia"/>
        </w:rPr>
        <w:t>(</w:t>
      </w:r>
      <w:r>
        <w:rPr>
          <w:rFonts w:hint="eastAsia"/>
        </w:rPr>
        <w:t>CEDAW/C/GUA/7</w:t>
      </w:r>
      <w:r w:rsidR="00A279DB">
        <w:rPr>
          <w:rFonts w:hint="eastAsia"/>
        </w:rPr>
        <w:t>)</w:t>
      </w:r>
      <w:r>
        <w:rPr>
          <w:rFonts w:hint="eastAsia"/>
        </w:rPr>
        <w:t>。</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立法、提高妇女地位机制和国家计划</w:t>
      </w:r>
    </w:p>
    <w:p w:rsidR="00432B4D" w:rsidRDefault="00432B4D" w:rsidP="00432B4D">
      <w:pPr>
        <w:pStyle w:val="SingleTxt"/>
        <w:rPr>
          <w:rFonts w:hint="eastAsia"/>
        </w:rPr>
      </w:pPr>
      <w:r>
        <w:rPr>
          <w:rFonts w:hint="eastAsia"/>
        </w:rPr>
        <w:t>1</w:t>
      </w:r>
      <w:r>
        <w:t>.</w:t>
      </w:r>
      <w:r>
        <w:rPr>
          <w:rFonts w:hint="eastAsia"/>
        </w:rPr>
        <w:tab/>
        <w:t>委员会在第六次定期报告的结论意见中，鼓励缔约国按《公约》第一条的规定，修正关于歧视的定义。根据缔约国报告第84段，这一点并未做到。请说明为修改现有立法而作出的努力和遇到的困难。</w:t>
      </w:r>
    </w:p>
    <w:p w:rsidR="00432B4D" w:rsidRDefault="00432B4D" w:rsidP="00432B4D">
      <w:pPr>
        <w:pStyle w:val="SingleTxt"/>
        <w:rPr>
          <w:rFonts w:hint="eastAsia"/>
        </w:rPr>
      </w:pPr>
      <w:r>
        <w:rPr>
          <w:rFonts w:hint="eastAsia"/>
        </w:rPr>
        <w:t>2</w:t>
      </w:r>
      <w:r>
        <w:t>.</w:t>
      </w:r>
      <w:r>
        <w:rPr>
          <w:rFonts w:hint="eastAsia"/>
        </w:rPr>
        <w:tab/>
        <w:t>委员会在上一次结论意见中，鼓励缔约国对民事、刑事和劳动法当中的歧视性规定进行修改，以便使这些法规符合《公约》第二条。根据缔约国报告第84段，在这方面没有取得进展。请说明未及时修改这些法律的原因。</w:t>
      </w:r>
    </w:p>
    <w:p w:rsidR="00432B4D" w:rsidRDefault="00432B4D" w:rsidP="00432B4D">
      <w:pPr>
        <w:pStyle w:val="SingleTxt"/>
        <w:rPr>
          <w:rFonts w:hint="eastAsia"/>
        </w:rPr>
      </w:pPr>
      <w:r>
        <w:rPr>
          <w:rFonts w:hint="eastAsia"/>
        </w:rPr>
        <w:t>3</w:t>
      </w:r>
      <w:r>
        <w:t>.</w:t>
      </w:r>
      <w:r>
        <w:rPr>
          <w:rFonts w:hint="eastAsia"/>
        </w:rPr>
        <w:tab/>
        <w:t>报告第84段提到，没有保障尊重和执行法律法令的具体措施。请提供资料，说明缔约国为改变这种情况而在考虑采取的措施。</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暴力侵害妇女</w:t>
      </w:r>
    </w:p>
    <w:p w:rsidR="00432B4D" w:rsidRDefault="00432B4D" w:rsidP="00432B4D">
      <w:pPr>
        <w:pStyle w:val="SingleTxt"/>
        <w:rPr>
          <w:rFonts w:hint="eastAsia"/>
        </w:rPr>
      </w:pPr>
      <w:r>
        <w:rPr>
          <w:rFonts w:hint="eastAsia"/>
        </w:rPr>
        <w:t>4</w:t>
      </w:r>
      <w:r>
        <w:t>.</w:t>
      </w:r>
      <w:r>
        <w:rPr>
          <w:rFonts w:hint="eastAsia"/>
        </w:rPr>
        <w:tab/>
      </w:r>
      <w:r w:rsidRPr="00A279DB">
        <w:rPr>
          <w:rFonts w:hint="eastAsia"/>
          <w:spacing w:val="4"/>
        </w:rPr>
        <w:t>根据法外处决、即决处决或任意处决问题特别报告员的统计，从2001年到2006年，女性被害率增加了117</w:t>
      </w:r>
      <w:r w:rsidR="00DA45CA">
        <w:rPr>
          <w:spacing w:val="4"/>
        </w:rPr>
        <w:t>%</w:t>
      </w:r>
      <w:r w:rsidRPr="00A279DB">
        <w:rPr>
          <w:rFonts w:hint="eastAsia"/>
          <w:spacing w:val="4"/>
        </w:rPr>
        <w:t>。请解释出现这一趋势的原因，并说明第168至178段所述为改变这一趋势而采取的措施和战略是否显示出任何积极的效果。还请提供资料，说明对其中多少谋害做了调查，有多少犯罪人受到惩处。</w:t>
      </w:r>
    </w:p>
    <w:p w:rsidR="00432B4D" w:rsidRDefault="00432B4D" w:rsidP="00432B4D">
      <w:pPr>
        <w:pStyle w:val="SingleTxt"/>
        <w:rPr>
          <w:rFonts w:hint="eastAsia"/>
        </w:rPr>
      </w:pPr>
      <w:r>
        <w:rPr>
          <w:rFonts w:hint="eastAsia"/>
        </w:rPr>
        <w:t>5</w:t>
      </w:r>
      <w:r>
        <w:t>.</w:t>
      </w:r>
      <w:r>
        <w:rPr>
          <w:rFonts w:hint="eastAsia"/>
        </w:rPr>
        <w:tab/>
        <w:t>请提供最新资料，说明报告第74段提到的《禁止暴力侵害妇女行为框架法》及其内容。还请提供详细资料，说明报告第73段提到的《禁止侵害妇女生命安全法》的内容。据第75段表示，该法在提交报告时正等待完成三读程序。请提供资料，说明法律生效以来是如何监测其遵守情况的。</w:t>
      </w:r>
    </w:p>
    <w:p w:rsidR="00432B4D" w:rsidRDefault="00432B4D" w:rsidP="00432B4D">
      <w:pPr>
        <w:pStyle w:val="SingleTxt"/>
        <w:rPr>
          <w:rFonts w:hint="eastAsia"/>
        </w:rPr>
      </w:pPr>
      <w:r>
        <w:rPr>
          <w:rFonts w:hint="eastAsia"/>
        </w:rPr>
        <w:t>6</w:t>
      </w:r>
      <w:r>
        <w:t>.</w:t>
      </w:r>
      <w:r>
        <w:rPr>
          <w:rFonts w:hint="eastAsia"/>
        </w:rPr>
        <w:tab/>
        <w:t>请说明报告第175至177段所叙的防止暴力侵害妇女和谋害妇女措施的效果，并说明执行委员会结论意见第24段的情况。</w:t>
      </w:r>
    </w:p>
    <w:p w:rsidR="00432B4D" w:rsidRDefault="00432B4D" w:rsidP="00432B4D">
      <w:pPr>
        <w:pStyle w:val="SingleTxt"/>
        <w:rPr>
          <w:rFonts w:hint="eastAsia"/>
        </w:rPr>
      </w:pPr>
      <w:r>
        <w:rPr>
          <w:rFonts w:hint="eastAsia"/>
        </w:rPr>
        <w:t>7</w:t>
      </w:r>
      <w:r>
        <w:t>.</w:t>
      </w:r>
      <w:r>
        <w:rPr>
          <w:rFonts w:hint="eastAsia"/>
        </w:rPr>
        <w:tab/>
        <w:t>请说明第178段所说的组成一个机构间委员会，由国家三个权力机关的成员组成，负责监测委员会设计的战略的实施情况这一进程。</w:t>
      </w:r>
    </w:p>
    <w:p w:rsidR="00432B4D" w:rsidRDefault="00432B4D" w:rsidP="00432B4D">
      <w:pPr>
        <w:pStyle w:val="SingleTxt"/>
        <w:rPr>
          <w:rFonts w:hint="eastAsia"/>
        </w:rPr>
      </w:pPr>
      <w:r>
        <w:rPr>
          <w:rFonts w:hint="eastAsia"/>
        </w:rPr>
        <w:t>8</w:t>
      </w:r>
      <w:r>
        <w:t>.</w:t>
      </w:r>
      <w:r>
        <w:rPr>
          <w:rFonts w:hint="eastAsia"/>
        </w:rPr>
        <w:tab/>
        <w:t>请提供资料，说明缔约国在暴力侵害妇女</w:t>
      </w:r>
      <w:r w:rsidR="00A279DB">
        <w:rPr>
          <w:rFonts w:hint="eastAsia"/>
        </w:rPr>
        <w:t>(</w:t>
      </w:r>
      <w:r>
        <w:rPr>
          <w:rFonts w:hint="eastAsia"/>
        </w:rPr>
        <w:t>尤其是残疾妇女和被拘留妇女</w:t>
      </w:r>
      <w:r w:rsidR="00A279DB">
        <w:rPr>
          <w:rFonts w:hint="eastAsia"/>
        </w:rPr>
        <w:t>)</w:t>
      </w:r>
      <w:r>
        <w:rPr>
          <w:rFonts w:hint="eastAsia"/>
        </w:rPr>
        <w:t>方面所进行的任何有关研究的数据和结论。</w:t>
      </w:r>
    </w:p>
    <w:p w:rsidR="00432B4D" w:rsidRDefault="00432B4D" w:rsidP="00432B4D">
      <w:pPr>
        <w:pStyle w:val="SingleTxt"/>
        <w:rPr>
          <w:rFonts w:hint="eastAsia"/>
        </w:rPr>
      </w:pPr>
      <w:r>
        <w:rPr>
          <w:rFonts w:hint="eastAsia"/>
        </w:rPr>
        <w:t>9</w:t>
      </w:r>
      <w:r>
        <w:t>.</w:t>
      </w:r>
      <w:r>
        <w:rPr>
          <w:rFonts w:hint="eastAsia"/>
        </w:rPr>
        <w:tab/>
        <w:t>请提供详细资料，说明国家报告第85段和第227段提到将进行的法律改革，以对强奸作出更广泛的新定义。</w:t>
      </w:r>
    </w:p>
    <w:p w:rsidR="00432B4D" w:rsidRDefault="00432B4D" w:rsidP="00432B4D">
      <w:pPr>
        <w:pStyle w:val="SingleTxt"/>
        <w:rPr>
          <w:rFonts w:hint="eastAsia"/>
        </w:rPr>
      </w:pPr>
      <w:r>
        <w:rPr>
          <w:rFonts w:hint="eastAsia"/>
        </w:rPr>
        <w:t>10</w:t>
      </w:r>
      <w:r>
        <w:t>.</w:t>
      </w:r>
      <w:r>
        <w:rPr>
          <w:rFonts w:hint="eastAsia"/>
        </w:rPr>
        <w:tab/>
        <w:t>委员会在第六次报告的结论意见中，敦促缔约国将家庭暴力确定为犯罪。根据缔约国报告第85段和第227段，将家庭暴力界定为刑事犯罪行为还悬而未决。请说明为将家庭暴力界定为刑事犯罪行为采取了哪些措施。</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贩运和利用卖淫营利</w:t>
      </w:r>
    </w:p>
    <w:p w:rsidR="00432B4D" w:rsidRDefault="00432B4D" w:rsidP="00432B4D">
      <w:pPr>
        <w:pStyle w:val="SingleTxt"/>
        <w:rPr>
          <w:rFonts w:hint="eastAsia"/>
        </w:rPr>
      </w:pPr>
      <w:r>
        <w:rPr>
          <w:rFonts w:hint="eastAsia"/>
        </w:rPr>
        <w:t>11</w:t>
      </w:r>
      <w:r>
        <w:t>.</w:t>
      </w:r>
      <w:r>
        <w:rPr>
          <w:rFonts w:hint="eastAsia"/>
        </w:rPr>
        <w:tab/>
        <w:t>请提供详细资料，说明立法改革的结果以及为打击和防止贩卖行为</w:t>
      </w:r>
      <w:r w:rsidR="00A279DB">
        <w:rPr>
          <w:rFonts w:hint="eastAsia"/>
        </w:rPr>
        <w:t>(</w:t>
      </w:r>
      <w:r>
        <w:rPr>
          <w:rFonts w:hint="eastAsia"/>
        </w:rPr>
        <w:t>特别是贩卖妇女和女孩</w:t>
      </w:r>
      <w:r w:rsidR="00A279DB">
        <w:rPr>
          <w:rFonts w:hint="eastAsia"/>
        </w:rPr>
        <w:t>)</w:t>
      </w:r>
      <w:r>
        <w:rPr>
          <w:rFonts w:hint="eastAsia"/>
        </w:rPr>
        <w:t>而采取的措施。</w:t>
      </w:r>
    </w:p>
    <w:p w:rsidR="00432B4D" w:rsidRDefault="00432B4D" w:rsidP="00432B4D">
      <w:pPr>
        <w:pStyle w:val="SingleTxt"/>
        <w:rPr>
          <w:rFonts w:hint="eastAsia"/>
        </w:rPr>
      </w:pPr>
      <w:r>
        <w:rPr>
          <w:rFonts w:hint="eastAsia"/>
        </w:rPr>
        <w:t>12</w:t>
      </w:r>
      <w:r>
        <w:t>.</w:t>
      </w:r>
      <w:r>
        <w:rPr>
          <w:rFonts w:hint="eastAsia"/>
        </w:rPr>
        <w:tab/>
        <w:t>缔约国报告第281段提到机构间委员会正在进行有关《贩卖人口受害者全面保护法》草案的工作。请提供资料，说明其内容以及预期通过这项法案的时限。</w:t>
      </w:r>
    </w:p>
    <w:p w:rsidR="00432B4D" w:rsidRDefault="00432B4D" w:rsidP="00432B4D">
      <w:pPr>
        <w:pStyle w:val="SingleTxt"/>
        <w:rPr>
          <w:rFonts w:hint="eastAsia"/>
        </w:rPr>
      </w:pPr>
      <w:r>
        <w:rPr>
          <w:rFonts w:hint="eastAsia"/>
        </w:rPr>
        <w:t>13</w:t>
      </w:r>
      <w:r>
        <w:t>.</w:t>
      </w:r>
      <w:r>
        <w:rPr>
          <w:rFonts w:hint="eastAsia"/>
        </w:rPr>
        <w:tab/>
        <w:t>请提供资料，说明已经采取或设想采取的行动，以消除报告第84段提到的关于卖淫、特别是关于儿童卖淫的法律含混不清之处。</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陈规定型观念和教育</w:t>
      </w:r>
    </w:p>
    <w:p w:rsidR="00432B4D" w:rsidRDefault="00432B4D" w:rsidP="00432B4D">
      <w:pPr>
        <w:pStyle w:val="SingleTxt"/>
        <w:rPr>
          <w:rFonts w:hint="eastAsia"/>
        </w:rPr>
      </w:pPr>
      <w:r>
        <w:rPr>
          <w:rFonts w:hint="eastAsia"/>
        </w:rPr>
        <w:t>14</w:t>
      </w:r>
      <w:r>
        <w:t>.</w:t>
      </w:r>
      <w:r>
        <w:rPr>
          <w:rFonts w:hint="eastAsia"/>
        </w:rPr>
        <w:tab/>
        <w:t>缔约国报告第266和267段提到，媒体观察项目产生了关于对妇女的暴力行为、家庭暴力、性权利、产妇死亡、堕胎、艾滋病毒和歧视问题的研究报告。请说明因媒体观察项目而采取的任何后续行动。</w:t>
      </w:r>
    </w:p>
    <w:p w:rsidR="00432B4D" w:rsidRDefault="00432B4D" w:rsidP="00432B4D">
      <w:pPr>
        <w:pStyle w:val="SingleTxt"/>
        <w:rPr>
          <w:rFonts w:hint="eastAsia"/>
        </w:rPr>
      </w:pPr>
      <w:r>
        <w:rPr>
          <w:rFonts w:hint="eastAsia"/>
        </w:rPr>
        <w:t>15</w:t>
      </w:r>
      <w:r>
        <w:t>.</w:t>
      </w:r>
      <w:r>
        <w:rPr>
          <w:rFonts w:hint="eastAsia"/>
        </w:rPr>
        <w:tab/>
        <w:t>请提供统计资料，说明完成中等教育和高等教育的女孩比例，包括农村女孩和土著女孩的资料。</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政治生活和公共生活</w:t>
      </w:r>
    </w:p>
    <w:p w:rsidR="00432B4D" w:rsidRDefault="00432B4D" w:rsidP="00432B4D">
      <w:pPr>
        <w:pStyle w:val="SingleTxt"/>
        <w:rPr>
          <w:rFonts w:hint="eastAsia"/>
        </w:rPr>
      </w:pPr>
      <w:r>
        <w:rPr>
          <w:rFonts w:hint="eastAsia"/>
        </w:rPr>
        <w:t>16</w:t>
      </w:r>
      <w:r>
        <w:t>.</w:t>
      </w:r>
      <w:r>
        <w:rPr>
          <w:rFonts w:hint="eastAsia"/>
        </w:rPr>
        <w:tab/>
        <w:t>请提供资料，说明缔约国报告第252段提到的修订《选举和政党法》以设立配额制度的第2027号立法动议的现状。</w:t>
      </w:r>
    </w:p>
    <w:p w:rsidR="00432B4D" w:rsidRDefault="00432B4D" w:rsidP="00A279DB">
      <w:pPr>
        <w:pStyle w:val="SingleTxt"/>
        <w:spacing w:line="326" w:lineRule="exact"/>
        <w:rPr>
          <w:rFonts w:hint="eastAsia"/>
        </w:rPr>
      </w:pPr>
      <w:r>
        <w:rPr>
          <w:rFonts w:hint="eastAsia"/>
        </w:rPr>
        <w:t>17</w:t>
      </w:r>
      <w:r>
        <w:t>.</w:t>
      </w:r>
      <w:r>
        <w:rPr>
          <w:rFonts w:hint="eastAsia"/>
        </w:rPr>
        <w:tab/>
        <w:t>请说明是否已经采取或设想采取报告第335段提到的国会妇女委员会建议的任何行动，诸如使妇女进一步参与政治生活和公共生活，改革各种歧视妇女的法律，批准与性别事务有关的公约，开展宣传活动。</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就业</w:t>
      </w:r>
    </w:p>
    <w:p w:rsidR="00432B4D" w:rsidRDefault="00432B4D" w:rsidP="00A279DB">
      <w:pPr>
        <w:pStyle w:val="SingleTxt"/>
        <w:spacing w:line="326" w:lineRule="exact"/>
        <w:rPr>
          <w:rFonts w:hint="eastAsia"/>
        </w:rPr>
      </w:pPr>
      <w:r>
        <w:rPr>
          <w:rFonts w:hint="eastAsia"/>
        </w:rPr>
        <w:t>18</w:t>
      </w:r>
      <w:r>
        <w:t>.</w:t>
      </w:r>
      <w:r>
        <w:rPr>
          <w:rFonts w:hint="eastAsia"/>
        </w:rPr>
        <w:tab/>
        <w:t>请提供资料，说明《惩罚性侵犯和性骚扰法》和《家庭佣工劳动规范法》的现状。根据缔约国报告第409段，这两项法律正等待国会通过。</w:t>
      </w:r>
    </w:p>
    <w:p w:rsidR="00432B4D" w:rsidRDefault="00432B4D" w:rsidP="00A279DB">
      <w:pPr>
        <w:pStyle w:val="SingleTxt"/>
        <w:spacing w:line="326" w:lineRule="exact"/>
        <w:rPr>
          <w:rFonts w:hint="eastAsia"/>
        </w:rPr>
      </w:pPr>
      <w:r>
        <w:rPr>
          <w:rFonts w:hint="eastAsia"/>
        </w:rPr>
        <w:t>19</w:t>
      </w:r>
      <w:r>
        <w:t>.</w:t>
      </w:r>
      <w:r>
        <w:rPr>
          <w:rFonts w:hint="eastAsia"/>
        </w:rPr>
        <w:tab/>
        <w:t>请提供关于家务劳动的研究的结论。根据缔约国报告第108段，这项研究应该已于2008年4月完成。</w:t>
      </w:r>
    </w:p>
    <w:p w:rsidR="00432B4D" w:rsidRDefault="00432B4D" w:rsidP="00A279DB">
      <w:pPr>
        <w:pStyle w:val="SingleTxt"/>
        <w:spacing w:line="326" w:lineRule="exact"/>
        <w:rPr>
          <w:rFonts w:hint="eastAsia"/>
        </w:rPr>
      </w:pPr>
      <w:r>
        <w:rPr>
          <w:rFonts w:hint="eastAsia"/>
        </w:rPr>
        <w:t>20</w:t>
      </w:r>
      <w:r>
        <w:t>.</w:t>
      </w:r>
      <w:r>
        <w:rPr>
          <w:rFonts w:hint="eastAsia"/>
        </w:rPr>
        <w:tab/>
        <w:t>请提供资料，说明为改善边境加工行业中妇女的工作条件而采取的努力结果。在那里，妇女的人权经常受到侵犯，特别是安全和健康权利，包括缺乏适当的卫生设施。</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健康</w:t>
      </w:r>
    </w:p>
    <w:p w:rsidR="00432B4D" w:rsidRDefault="00432B4D" w:rsidP="00A279DB">
      <w:pPr>
        <w:pStyle w:val="SingleTxt"/>
        <w:spacing w:line="326" w:lineRule="exact"/>
        <w:rPr>
          <w:rFonts w:hint="eastAsia"/>
        </w:rPr>
      </w:pPr>
      <w:r>
        <w:rPr>
          <w:rFonts w:hint="eastAsia"/>
        </w:rPr>
        <w:t>21</w:t>
      </w:r>
      <w:r>
        <w:t>.</w:t>
      </w:r>
      <w:r>
        <w:rPr>
          <w:rFonts w:hint="eastAsia"/>
        </w:rPr>
        <w:tab/>
        <w:t>请说明缔约国报告第452段中提到的2007年12月结束的育龄妇女死亡率研究的结果和后续行动，特别是与土著妇女和农村妇女有关的情况。</w:t>
      </w:r>
    </w:p>
    <w:p w:rsidR="00432B4D" w:rsidRDefault="00432B4D" w:rsidP="00A279DB">
      <w:pPr>
        <w:pStyle w:val="SingleTxt"/>
        <w:spacing w:line="326" w:lineRule="exact"/>
        <w:rPr>
          <w:rFonts w:hint="eastAsia"/>
        </w:rPr>
      </w:pPr>
      <w:r>
        <w:rPr>
          <w:rFonts w:hint="eastAsia"/>
        </w:rPr>
        <w:t>22</w:t>
      </w:r>
      <w:r>
        <w:t>.</w:t>
      </w:r>
      <w:r>
        <w:rPr>
          <w:rFonts w:hint="eastAsia"/>
        </w:rPr>
        <w:tab/>
        <w:t>请提供资料，说明向妇女和女孩提供生殖健康和性健康方案、计划生育服务以及负担得起的避孕药具的情况。还请解释为特别满足农村妇女和土著妇女的需要，建立了什么外联方案。</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婚姻和家庭</w:t>
      </w:r>
    </w:p>
    <w:p w:rsidR="00432B4D" w:rsidRDefault="00432B4D" w:rsidP="00A279DB">
      <w:pPr>
        <w:pStyle w:val="SingleTxt"/>
        <w:spacing w:line="326" w:lineRule="exact"/>
        <w:rPr>
          <w:rFonts w:hint="eastAsia"/>
        </w:rPr>
      </w:pPr>
      <w:r>
        <w:rPr>
          <w:rFonts w:hint="eastAsia"/>
        </w:rPr>
        <w:t>23</w:t>
      </w:r>
      <w:r>
        <w:t>.</w:t>
      </w:r>
      <w:r>
        <w:rPr>
          <w:rFonts w:hint="eastAsia"/>
        </w:rPr>
        <w:tab/>
        <w:t>缔约国报告第617段表示，危地马拉在民事和法律行为能力方面的法律按《宪法》第4条的规定，赋予妇女和男子法律上的平等。第621段提到，缔约国拥有积极支持与保障婚姻和家庭关系平等的国内法。鉴于这些原则，请解释户主概念，并说明这一概念与上文提到的法律以及《公约》第二条有何关系。</w:t>
      </w:r>
    </w:p>
    <w:p w:rsidR="00432B4D" w:rsidRDefault="00432B4D" w:rsidP="00A279DB">
      <w:pPr>
        <w:pStyle w:val="SingleTxt"/>
        <w:spacing w:line="326" w:lineRule="exact"/>
        <w:rPr>
          <w:rFonts w:hint="eastAsia"/>
        </w:rPr>
      </w:pPr>
      <w:r>
        <w:rPr>
          <w:rFonts w:hint="eastAsia"/>
        </w:rPr>
        <w:t>24</w:t>
      </w:r>
      <w:r>
        <w:t>.</w:t>
      </w:r>
      <w:r>
        <w:rPr>
          <w:rFonts w:hint="eastAsia"/>
        </w:rPr>
        <w:tab/>
        <w:t>缔约国报告第624段提到，女孩的法定最低结婚年龄是14岁，男孩16岁。请说明有否采取任何措施，按照《儿童权利公约》，提高女孩结婚的最低年龄。请提供资料，说明阻止和杜绝早婚习俗的措施。</w:t>
      </w:r>
    </w:p>
    <w:p w:rsidR="00432B4D" w:rsidRDefault="00432B4D" w:rsidP="00A279DB">
      <w:pPr>
        <w:pStyle w:val="SingleTxt"/>
        <w:spacing w:line="326" w:lineRule="exact"/>
        <w:rPr>
          <w:rFonts w:hint="eastAsia"/>
        </w:rPr>
      </w:pPr>
      <w:r>
        <w:rPr>
          <w:rFonts w:hint="eastAsia"/>
        </w:rPr>
        <w:t>25</w:t>
      </w:r>
      <w:r>
        <w:t>.</w:t>
      </w:r>
      <w:r>
        <w:rPr>
          <w:rFonts w:hint="eastAsia"/>
        </w:rPr>
        <w:tab/>
        <w:t>据第625段所述，总统妇女事务秘书处分析了涉及家庭和婚姻事务的民事法律，并提出了修订《民法》和《法院法》的建议。请提供资料，说明总统妇女事务秘书处为振兴这一修订工作而采取的步骤。</w:t>
      </w:r>
    </w:p>
    <w:p w:rsidR="00432B4D" w:rsidRPr="00432B4D" w:rsidRDefault="00432B4D" w:rsidP="00432B4D">
      <w:pPr>
        <w:pStyle w:val="SingleTxt"/>
        <w:rPr>
          <w:rFonts w:ascii="SimHei" w:eastAsia="SimHei" w:hint="eastAsia"/>
          <w:color w:val="FF0000"/>
        </w:rPr>
      </w:pPr>
      <w:r w:rsidRPr="00432B4D">
        <w:rPr>
          <w:rFonts w:ascii="SimHei" w:eastAsia="SimHei" w:hint="eastAsia"/>
          <w:color w:val="FF0000"/>
        </w:rPr>
        <w:t>土著妇女和农村妇女</w:t>
      </w:r>
    </w:p>
    <w:p w:rsidR="00432B4D" w:rsidRDefault="00432B4D" w:rsidP="00A279DB">
      <w:pPr>
        <w:pStyle w:val="SingleTxt"/>
        <w:spacing w:line="326" w:lineRule="exact"/>
        <w:rPr>
          <w:rFonts w:hint="eastAsia"/>
        </w:rPr>
      </w:pPr>
      <w:r>
        <w:rPr>
          <w:rFonts w:hint="eastAsia"/>
        </w:rPr>
        <w:t>26</w:t>
      </w:r>
      <w:r>
        <w:t>.</w:t>
      </w:r>
      <w:r>
        <w:rPr>
          <w:rFonts w:hint="eastAsia"/>
        </w:rPr>
        <w:tab/>
        <w:t>请提供详细资料，包括统计数据，说明为改善缔约国报告文本框3中所述的土著妇女的条件而采取的行动的结果。</w:t>
      </w:r>
    </w:p>
    <w:p w:rsidR="00432B4D" w:rsidRDefault="00432B4D" w:rsidP="00432B4D">
      <w:pPr>
        <w:pStyle w:val="SingleTxt"/>
        <w:rPr>
          <w:rFonts w:hint="eastAsia"/>
        </w:rPr>
      </w:pPr>
      <w:r>
        <w:rPr>
          <w:rFonts w:hint="eastAsia"/>
        </w:rPr>
        <w:t>27</w:t>
      </w:r>
      <w:r>
        <w:t>.</w:t>
      </w:r>
      <w:r>
        <w:rPr>
          <w:rFonts w:hint="eastAsia"/>
        </w:rPr>
        <w:tab/>
        <w:t>谨提及缔约国报告第182段。请提供统计数据，说明土著妇女可以使用自己的语言或她们听得懂的语言诉诸司法的比例。</w:t>
      </w:r>
    </w:p>
    <w:p w:rsidR="00EA31C3" w:rsidRDefault="00432B4D" w:rsidP="00432B4D">
      <w:pPr>
        <w:pStyle w:val="SingleTxt"/>
        <w:rPr>
          <w:rFonts w:hint="eastAsia"/>
        </w:rPr>
      </w:pPr>
      <w:r>
        <w:rPr>
          <w:rFonts w:hint="eastAsia"/>
        </w:rPr>
        <w:t>28</w:t>
      </w:r>
      <w:r>
        <w:t>.</w:t>
      </w:r>
      <w:r>
        <w:rPr>
          <w:rFonts w:hint="eastAsia"/>
        </w:rPr>
        <w:tab/>
        <w:t>谨提及缔约国报告第618段。请说明是否已采取任何具体行动，以确保所有农村妇女都已向当局登记，得到身份证，以能接受教育、就业或享受保健服务等。</w:t>
      </w:r>
    </w:p>
    <w:p w:rsidR="00432B4D" w:rsidRPr="00432B4D" w:rsidRDefault="00432B4D" w:rsidP="00432B4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432B4D" w:rsidRPr="00432B4D" w:rsidSect="00495C9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16:58:00Z" w:initials="Start">
    <w:p w:rsidR="009F587F" w:rsidRDefault="009F587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NO&gt;&gt;N0849660C&lt;&lt;ODS JOB NO&gt;&gt;</w:t>
      </w:r>
    </w:p>
    <w:p w:rsidR="009F587F" w:rsidRDefault="009F587F">
      <w:pPr>
        <w:pStyle w:val="CommentText"/>
      </w:pPr>
      <w:r>
        <w:t>&lt;&lt;ODS DOC SYMBOL1&gt;&gt;CEDAW/C/GUA/Q/7&lt;&lt;ODS DOC SYMBOL1&gt;&gt;</w:t>
      </w:r>
    </w:p>
    <w:p w:rsidR="009F587F" w:rsidRDefault="009F58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A76" w:rsidRDefault="00C82A76">
      <w:r>
        <w:separator/>
      </w:r>
    </w:p>
  </w:endnote>
  <w:endnote w:type="continuationSeparator" w:id="0">
    <w:p w:rsidR="00C82A76" w:rsidRDefault="00C82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587F" w:rsidTr="00495C96">
      <w:tblPrEx>
        <w:tblCellMar>
          <w:top w:w="0" w:type="dxa"/>
          <w:bottom w:w="0" w:type="dxa"/>
        </w:tblCellMar>
      </w:tblPrEx>
      <w:tc>
        <w:tcPr>
          <w:tcW w:w="5033" w:type="dxa"/>
          <w:shd w:val="clear" w:color="auto" w:fill="auto"/>
        </w:tcPr>
        <w:p w:rsidR="009F587F" w:rsidRPr="00495C96" w:rsidRDefault="009F587F" w:rsidP="00495C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08-49660 (C)</w:t>
          </w:r>
          <w:r>
            <w:rPr>
              <w:b w:val="0"/>
              <w:w w:val="103"/>
              <w:sz w:val="14"/>
            </w:rPr>
            <w:fldChar w:fldCharType="end"/>
          </w:r>
        </w:p>
      </w:tc>
      <w:tc>
        <w:tcPr>
          <w:tcW w:w="5033" w:type="dxa"/>
          <w:shd w:val="clear" w:color="auto" w:fill="auto"/>
        </w:tcPr>
        <w:p w:rsidR="009F587F" w:rsidRPr="00495C96" w:rsidRDefault="009F587F" w:rsidP="00495C9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A0213">
            <w:rPr>
              <w:w w:val="103"/>
              <w:sz w:val="17"/>
            </w:rPr>
            <w:t>4</w:t>
          </w:r>
          <w:r>
            <w:rPr>
              <w:w w:val="103"/>
              <w:sz w:val="17"/>
            </w:rPr>
            <w:fldChar w:fldCharType="end"/>
          </w:r>
        </w:p>
      </w:tc>
    </w:tr>
  </w:tbl>
  <w:p w:rsidR="009F587F" w:rsidRPr="00495C96" w:rsidRDefault="009F587F" w:rsidP="00495C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587F" w:rsidTr="00495C96">
      <w:tblPrEx>
        <w:tblCellMar>
          <w:top w:w="0" w:type="dxa"/>
          <w:bottom w:w="0" w:type="dxa"/>
        </w:tblCellMar>
      </w:tblPrEx>
      <w:tc>
        <w:tcPr>
          <w:tcW w:w="5033" w:type="dxa"/>
          <w:shd w:val="clear" w:color="auto" w:fill="auto"/>
        </w:tcPr>
        <w:p w:rsidR="009F587F" w:rsidRPr="00495C96" w:rsidRDefault="009F587F" w:rsidP="00495C96">
          <w:pPr>
            <w:pStyle w:val="Footer"/>
            <w:jc w:val="right"/>
          </w:pPr>
          <w:r>
            <w:fldChar w:fldCharType="begin"/>
          </w:r>
          <w:r>
            <w:instrText xml:space="preserve"> PAGE  \* MERGEFORMAT </w:instrText>
          </w:r>
          <w:r>
            <w:fldChar w:fldCharType="separate"/>
          </w:r>
          <w:r w:rsidR="005A0213">
            <w:t>3</w:t>
          </w:r>
          <w:r>
            <w:fldChar w:fldCharType="end"/>
          </w:r>
        </w:p>
      </w:tc>
      <w:tc>
        <w:tcPr>
          <w:tcW w:w="5033" w:type="dxa"/>
          <w:shd w:val="clear" w:color="auto" w:fill="auto"/>
        </w:tcPr>
        <w:p w:rsidR="009F587F" w:rsidRPr="00495C96" w:rsidRDefault="009F587F" w:rsidP="00495C9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08-49660 (C)</w:t>
          </w:r>
          <w:r>
            <w:rPr>
              <w:b w:val="0"/>
              <w:w w:val="103"/>
              <w:sz w:val="14"/>
            </w:rPr>
            <w:fldChar w:fldCharType="end"/>
          </w:r>
        </w:p>
      </w:tc>
    </w:tr>
  </w:tbl>
  <w:p w:rsidR="009F587F" w:rsidRPr="00495C96" w:rsidRDefault="009F587F" w:rsidP="00495C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7F" w:rsidRDefault="009F587F" w:rsidP="00495C9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08-49660 (C)</w:t>
    </w:r>
    <w:r>
      <w:rPr>
        <w:b w:val="0"/>
        <w:sz w:val="21"/>
      </w:rPr>
      <w:fldChar w:fldCharType="end"/>
    </w:r>
    <w:r>
      <w:rPr>
        <w:b w:val="0"/>
        <w:sz w:val="21"/>
      </w:rPr>
      <w:t xml:space="preserve">    021008    0</w:t>
    </w:r>
    <w:r>
      <w:rPr>
        <w:rFonts w:hint="eastAsia"/>
        <w:b w:val="0"/>
        <w:sz w:val="21"/>
      </w:rPr>
      <w:t>3</w:t>
    </w:r>
    <w:r>
      <w:rPr>
        <w:b w:val="0"/>
        <w:sz w:val="21"/>
      </w:rPr>
      <w:t>1008</w:t>
    </w:r>
  </w:p>
  <w:p w:rsidR="009F587F" w:rsidRPr="00495C96" w:rsidRDefault="009F587F" w:rsidP="00495C96">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*0849660*</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A76" w:rsidRDefault="00C82A76">
      <w:r>
        <w:separator/>
      </w:r>
    </w:p>
  </w:footnote>
  <w:footnote w:type="continuationSeparator" w:id="0">
    <w:p w:rsidR="00C82A76" w:rsidRDefault="00C82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587F" w:rsidTr="00495C96">
      <w:tblPrEx>
        <w:tblCellMar>
          <w:top w:w="0" w:type="dxa"/>
          <w:bottom w:w="0" w:type="dxa"/>
        </w:tblCellMar>
      </w:tblPrEx>
      <w:trPr>
        <w:trHeight w:hRule="exact" w:val="864"/>
      </w:trPr>
      <w:tc>
        <w:tcPr>
          <w:tcW w:w="4838" w:type="dxa"/>
          <w:shd w:val="clear" w:color="auto" w:fill="auto"/>
          <w:vAlign w:val="bottom"/>
        </w:tcPr>
        <w:p w:rsidR="009F587F" w:rsidRPr="00495C96" w:rsidRDefault="009F587F" w:rsidP="00495C9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CEDAW/C/GUA/Q/7</w:t>
          </w:r>
          <w:r>
            <w:rPr>
              <w:b/>
              <w:sz w:val="17"/>
            </w:rPr>
            <w:fldChar w:fldCharType="end"/>
          </w:r>
        </w:p>
      </w:tc>
      <w:tc>
        <w:tcPr>
          <w:tcW w:w="5033" w:type="dxa"/>
          <w:shd w:val="clear" w:color="auto" w:fill="auto"/>
          <w:vAlign w:val="bottom"/>
        </w:tcPr>
        <w:p w:rsidR="009F587F" w:rsidRDefault="009F587F" w:rsidP="00495C96">
          <w:pPr>
            <w:pStyle w:val="Header"/>
          </w:pPr>
        </w:p>
      </w:tc>
    </w:tr>
  </w:tbl>
  <w:p w:rsidR="009F587F" w:rsidRPr="00495C96" w:rsidRDefault="009F587F" w:rsidP="00495C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F587F" w:rsidTr="00495C96">
      <w:tblPrEx>
        <w:tblCellMar>
          <w:top w:w="0" w:type="dxa"/>
          <w:bottom w:w="0" w:type="dxa"/>
        </w:tblCellMar>
      </w:tblPrEx>
      <w:trPr>
        <w:trHeight w:hRule="exact" w:val="864"/>
      </w:trPr>
      <w:tc>
        <w:tcPr>
          <w:tcW w:w="4838" w:type="dxa"/>
          <w:shd w:val="clear" w:color="auto" w:fill="auto"/>
          <w:vAlign w:val="bottom"/>
        </w:tcPr>
        <w:p w:rsidR="009F587F" w:rsidRDefault="009F587F" w:rsidP="00495C96">
          <w:pPr>
            <w:pStyle w:val="Header"/>
          </w:pPr>
        </w:p>
      </w:tc>
      <w:tc>
        <w:tcPr>
          <w:tcW w:w="5033" w:type="dxa"/>
          <w:shd w:val="clear" w:color="auto" w:fill="auto"/>
          <w:vAlign w:val="bottom"/>
        </w:tcPr>
        <w:p w:rsidR="009F587F" w:rsidRPr="00495C96" w:rsidRDefault="009F587F" w:rsidP="00495C9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CEDAW/C/GUA/Q/7</w:t>
          </w:r>
          <w:r>
            <w:rPr>
              <w:b/>
              <w:sz w:val="17"/>
            </w:rPr>
            <w:fldChar w:fldCharType="end"/>
          </w:r>
        </w:p>
      </w:tc>
    </w:tr>
  </w:tbl>
  <w:p w:rsidR="009F587F" w:rsidRPr="00495C96" w:rsidRDefault="009F587F" w:rsidP="00495C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F587F" w:rsidTr="00495C9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F587F" w:rsidRDefault="009F587F" w:rsidP="00495C96">
          <w:pPr>
            <w:pStyle w:val="Header"/>
            <w:spacing w:after="120"/>
          </w:pPr>
        </w:p>
      </w:tc>
      <w:tc>
        <w:tcPr>
          <w:tcW w:w="1872" w:type="dxa"/>
          <w:tcBorders>
            <w:bottom w:val="single" w:sz="4" w:space="0" w:color="auto"/>
          </w:tcBorders>
          <w:shd w:val="clear" w:color="auto" w:fill="auto"/>
          <w:vAlign w:val="bottom"/>
        </w:tcPr>
        <w:p w:rsidR="009F587F" w:rsidRPr="00495C96" w:rsidRDefault="009F587F" w:rsidP="00495C9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F587F" w:rsidRDefault="009F587F" w:rsidP="00495C96">
          <w:pPr>
            <w:pStyle w:val="Header"/>
            <w:spacing w:after="120"/>
          </w:pPr>
        </w:p>
      </w:tc>
      <w:tc>
        <w:tcPr>
          <w:tcW w:w="6523" w:type="dxa"/>
          <w:gridSpan w:val="3"/>
          <w:tcBorders>
            <w:bottom w:val="single" w:sz="4" w:space="0" w:color="auto"/>
          </w:tcBorders>
          <w:shd w:val="clear" w:color="auto" w:fill="auto"/>
          <w:vAlign w:val="bottom"/>
        </w:tcPr>
        <w:p w:rsidR="009F587F" w:rsidRPr="00495C96" w:rsidRDefault="009F587F" w:rsidP="00495C96">
          <w:pPr>
            <w:spacing w:after="80" w:line="240" w:lineRule="auto"/>
            <w:jc w:val="right"/>
            <w:rPr>
              <w:rFonts w:ascii="Times New Roman"/>
              <w:position w:val="-4"/>
            </w:rPr>
          </w:pPr>
          <w:r>
            <w:rPr>
              <w:rFonts w:ascii="Times New Roman"/>
              <w:position w:val="-4"/>
              <w:sz w:val="40"/>
            </w:rPr>
            <w:t>CEDAW</w:t>
          </w:r>
          <w:r>
            <w:rPr>
              <w:rFonts w:ascii="Times New Roman"/>
              <w:position w:val="-4"/>
            </w:rPr>
            <w:t>/C/GUA/Q/7</w:t>
          </w:r>
        </w:p>
      </w:tc>
    </w:tr>
    <w:tr w:rsidR="009F587F" w:rsidRPr="00495C96" w:rsidTr="00495C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F587F" w:rsidRDefault="009F587F" w:rsidP="00495C9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F587F" w:rsidRPr="00495C96" w:rsidRDefault="009F587F" w:rsidP="00495C96">
          <w:pPr>
            <w:pStyle w:val="Header"/>
            <w:spacing w:before="109"/>
            <w:ind w:left="-72"/>
          </w:pPr>
        </w:p>
      </w:tc>
      <w:tc>
        <w:tcPr>
          <w:tcW w:w="5227" w:type="dxa"/>
          <w:gridSpan w:val="3"/>
          <w:tcBorders>
            <w:top w:val="single" w:sz="4" w:space="0" w:color="auto"/>
            <w:bottom w:val="single" w:sz="12" w:space="0" w:color="auto"/>
          </w:tcBorders>
          <w:shd w:val="clear" w:color="auto" w:fill="auto"/>
        </w:tcPr>
        <w:p w:rsidR="009F587F" w:rsidRPr="00495C96" w:rsidRDefault="009F587F" w:rsidP="00495C9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F587F" w:rsidRPr="00495C96" w:rsidRDefault="009F587F" w:rsidP="00495C96">
          <w:pPr>
            <w:pStyle w:val="Header"/>
            <w:spacing w:before="109"/>
          </w:pPr>
        </w:p>
      </w:tc>
      <w:tc>
        <w:tcPr>
          <w:tcW w:w="3180" w:type="dxa"/>
          <w:gridSpan w:val="2"/>
          <w:tcBorders>
            <w:top w:val="single" w:sz="4" w:space="0" w:color="auto"/>
            <w:bottom w:val="single" w:sz="12" w:space="0" w:color="auto"/>
          </w:tcBorders>
          <w:shd w:val="clear" w:color="auto" w:fill="auto"/>
        </w:tcPr>
        <w:p w:rsidR="009F587F" w:rsidRDefault="009F587F" w:rsidP="00495C96">
          <w:pPr>
            <w:spacing w:before="240" w:line="240" w:lineRule="exact"/>
            <w:rPr>
              <w:rFonts w:ascii="Times New Roman"/>
            </w:rPr>
          </w:pPr>
          <w:r>
            <w:rPr>
              <w:rFonts w:ascii="Times New Roman"/>
            </w:rPr>
            <w:t>Distr.: General</w:t>
          </w:r>
        </w:p>
        <w:p w:rsidR="009F587F" w:rsidRDefault="009F587F" w:rsidP="00495C96">
          <w:pPr>
            <w:spacing w:line="240" w:lineRule="exact"/>
            <w:rPr>
              <w:rFonts w:ascii="Times New Roman"/>
            </w:rPr>
          </w:pPr>
          <w:r>
            <w:rPr>
              <w:rFonts w:ascii="Times New Roman"/>
            </w:rPr>
            <w:t>12 August 2008</w:t>
          </w:r>
        </w:p>
        <w:p w:rsidR="009F587F" w:rsidRDefault="009F587F" w:rsidP="00495C96">
          <w:pPr>
            <w:spacing w:line="240" w:lineRule="exact"/>
            <w:rPr>
              <w:rFonts w:ascii="Times New Roman"/>
            </w:rPr>
          </w:pPr>
          <w:r>
            <w:rPr>
              <w:rFonts w:ascii="Times New Roman"/>
            </w:rPr>
            <w:t>Chinese</w:t>
          </w:r>
        </w:p>
        <w:p w:rsidR="009F587F" w:rsidRPr="00495C96" w:rsidRDefault="009F587F" w:rsidP="00495C96">
          <w:pPr>
            <w:spacing w:line="240" w:lineRule="exact"/>
            <w:rPr>
              <w:rFonts w:ascii="Times New Roman"/>
            </w:rPr>
          </w:pPr>
          <w:r>
            <w:rPr>
              <w:rFonts w:ascii="Times New Roman"/>
            </w:rPr>
            <w:t>Original: English</w:t>
          </w:r>
        </w:p>
      </w:tc>
    </w:tr>
  </w:tbl>
  <w:p w:rsidR="009F587F" w:rsidRPr="00495C96" w:rsidRDefault="009F587F" w:rsidP="00495C9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60*"/>
    <w:docVar w:name="CreationDt" w:val="02/10/2008 16:43:59"/>
    <w:docVar w:name="DocCategory" w:val="Doc"/>
    <w:docVar w:name="DocType" w:val="Final"/>
    <w:docVar w:name="FooterJN" w:val="08-49660 (C)"/>
    <w:docVar w:name="jobn" w:val="08-49660 (C)"/>
    <w:docVar w:name="jobnDT" w:val="08-49660 (C)   021008"/>
    <w:docVar w:name="jobnDTDT" w:val="08-49660 (C)   021008   021008"/>
    <w:docVar w:name="JobNo" w:val="0849660C"/>
    <w:docVar w:name="OandT" w:val="duan"/>
    <w:docVar w:name="sss1" w:val="CEDAW/C/GUA/Q/7"/>
    <w:docVar w:name="sss2" w:val="-"/>
    <w:docVar w:name="Symbol1" w:val="CEDAW/C/GUA/Q/7"/>
    <w:docVar w:name="Symbol2" w:val="-"/>
  </w:docVars>
  <w:rsids>
    <w:rsidRoot w:val="00935824"/>
    <w:rsid w:val="0000347C"/>
    <w:rsid w:val="000125BC"/>
    <w:rsid w:val="00021A2B"/>
    <w:rsid w:val="00037B39"/>
    <w:rsid w:val="00044CA4"/>
    <w:rsid w:val="00045EFE"/>
    <w:rsid w:val="0007337D"/>
    <w:rsid w:val="000758DF"/>
    <w:rsid w:val="00076EB8"/>
    <w:rsid w:val="00095C67"/>
    <w:rsid w:val="000A31F9"/>
    <w:rsid w:val="000C1786"/>
    <w:rsid w:val="000C7CE7"/>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D2CCA"/>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2B4D"/>
    <w:rsid w:val="004411AD"/>
    <w:rsid w:val="004424EF"/>
    <w:rsid w:val="00453BB0"/>
    <w:rsid w:val="00460162"/>
    <w:rsid w:val="004620A8"/>
    <w:rsid w:val="00466BB5"/>
    <w:rsid w:val="004700CF"/>
    <w:rsid w:val="00487444"/>
    <w:rsid w:val="00495C96"/>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A0213"/>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35824"/>
    <w:rsid w:val="0096193C"/>
    <w:rsid w:val="009769E1"/>
    <w:rsid w:val="00977E0D"/>
    <w:rsid w:val="00986C04"/>
    <w:rsid w:val="009A2F76"/>
    <w:rsid w:val="009A48CA"/>
    <w:rsid w:val="009D2AC2"/>
    <w:rsid w:val="009E1774"/>
    <w:rsid w:val="009E2668"/>
    <w:rsid w:val="009E32AF"/>
    <w:rsid w:val="009E40A3"/>
    <w:rsid w:val="009E5C8C"/>
    <w:rsid w:val="009F10B1"/>
    <w:rsid w:val="009F47E3"/>
    <w:rsid w:val="009F587F"/>
    <w:rsid w:val="009F6938"/>
    <w:rsid w:val="00A0537D"/>
    <w:rsid w:val="00A069AD"/>
    <w:rsid w:val="00A17A85"/>
    <w:rsid w:val="00A20856"/>
    <w:rsid w:val="00A24399"/>
    <w:rsid w:val="00A24CA5"/>
    <w:rsid w:val="00A279DB"/>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82A76"/>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45CA"/>
    <w:rsid w:val="00DB0932"/>
    <w:rsid w:val="00DC2506"/>
    <w:rsid w:val="00DC49FA"/>
    <w:rsid w:val="00DD3D6B"/>
    <w:rsid w:val="00DD4467"/>
    <w:rsid w:val="00DD5D9F"/>
    <w:rsid w:val="00DD61C8"/>
    <w:rsid w:val="00DD772B"/>
    <w:rsid w:val="00E050BA"/>
    <w:rsid w:val="00E25442"/>
    <w:rsid w:val="00E25A1F"/>
    <w:rsid w:val="00E37EEB"/>
    <w:rsid w:val="00E47BEA"/>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360</Words>
  <Characters>2054</Characters>
  <Application>Microsoft Office Word</Application>
  <DocSecurity>4</DocSecurity>
  <Lines>17</Lines>
  <Paragraphs>4</Paragraphs>
  <ScaleCrop>false</ScaleCrop>
  <Company>United Nations</Company>
  <LinksUpToDate>false</LinksUpToDate>
  <CharactersWithSpaces>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Shurui.Duan</dc:creator>
  <cp:keywords/>
  <dc:description/>
  <cp:lastModifiedBy>CTPU User</cp:lastModifiedBy>
  <cp:revision>2</cp:revision>
  <cp:lastPrinted>2008-10-03T12:49:00Z</cp:lastPrinted>
  <dcterms:created xsi:type="dcterms:W3CDTF">2008-12-18T11:48:00Z</dcterms:created>
  <dcterms:modified xsi:type="dcterms:W3CDTF">2008-12-18T11:48:00Z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0849660</vt:lpwstr>
  </property>
  <property fmtid="{D5CDD505-2E9C-101B-9397-08002B2CF9AE}" pid="3" name="Symbol1">
    <vt:lpwstr>CEDAW/C/GUA/Q/7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duan</vt:lpwstr>
  </property>
</Properties>
</file>