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F5F5A">
        <w:trPr>
          <w:trHeight w:val="851"/>
        </w:trPr>
        <w:tc>
          <w:tcPr>
            <w:tcW w:w="1259" w:type="dxa"/>
            <w:tcBorders>
              <w:top w:val="nil"/>
              <w:left w:val="nil"/>
              <w:bottom w:val="single" w:sz="4" w:space="0" w:color="auto"/>
              <w:right w:val="nil"/>
            </w:tcBorders>
          </w:tcPr>
          <w:p w:rsidR="007F5F5A" w:rsidRPr="00E806EE" w:rsidRDefault="007F5F5A" w:rsidP="007F5F5A">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7F5F5A" w:rsidRPr="00963CBA" w:rsidRDefault="007F5F5A" w:rsidP="007F5F5A">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F5F5A" w:rsidRPr="00DE3EC0" w:rsidRDefault="007F5F5A" w:rsidP="00D25331">
            <w:pPr>
              <w:jc w:val="right"/>
            </w:pPr>
            <w:r w:rsidRPr="00EE2A77">
              <w:rPr>
                <w:sz w:val="40"/>
              </w:rPr>
              <w:t>A</w:t>
            </w:r>
            <w:r>
              <w:t>/HRC/</w:t>
            </w:r>
            <w:r w:rsidR="00D25331">
              <w:t>RES</w:t>
            </w:r>
            <w:r w:rsidR="007E67C1">
              <w:t>/</w:t>
            </w:r>
            <w:r>
              <w:t>25/</w:t>
            </w:r>
            <w:r w:rsidR="00D25331">
              <w:t>2</w:t>
            </w:r>
          </w:p>
        </w:tc>
      </w:tr>
      <w:tr w:rsidR="007F5F5A">
        <w:trPr>
          <w:trHeight w:val="2835"/>
        </w:trPr>
        <w:tc>
          <w:tcPr>
            <w:tcW w:w="1259" w:type="dxa"/>
            <w:tcBorders>
              <w:top w:val="single" w:sz="4" w:space="0" w:color="auto"/>
              <w:left w:val="nil"/>
              <w:bottom w:val="single" w:sz="12" w:space="0" w:color="auto"/>
              <w:right w:val="nil"/>
            </w:tcBorders>
          </w:tcPr>
          <w:p w:rsidR="007F5F5A" w:rsidRDefault="007F5F5A" w:rsidP="007F5F5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10760E" w:rsidRPr="00B3317B" w:rsidRDefault="007F5F5A" w:rsidP="007F5F5A">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7F5F5A" w:rsidRDefault="007F5F5A" w:rsidP="007F5F5A">
            <w:pPr>
              <w:spacing w:before="240" w:line="240" w:lineRule="exact"/>
            </w:pPr>
            <w:r>
              <w:t xml:space="preserve">Distr.: </w:t>
            </w:r>
            <w:r w:rsidR="00D25331">
              <w:t>General</w:t>
            </w:r>
          </w:p>
          <w:p w:rsidR="007F5F5A" w:rsidRDefault="001B06BA" w:rsidP="007F5F5A">
            <w:pPr>
              <w:spacing w:line="240" w:lineRule="exact"/>
            </w:pPr>
            <w:r>
              <w:t>9</w:t>
            </w:r>
            <w:r w:rsidR="00D25331">
              <w:t xml:space="preserve"> April</w:t>
            </w:r>
            <w:r w:rsidR="007F5F5A">
              <w:t xml:space="preserve"> 2014</w:t>
            </w:r>
          </w:p>
          <w:p w:rsidR="007F5F5A" w:rsidRDefault="007F5F5A" w:rsidP="007F5F5A">
            <w:pPr>
              <w:spacing w:line="240" w:lineRule="exact"/>
            </w:pPr>
          </w:p>
          <w:p w:rsidR="007F5F5A" w:rsidRDefault="007F5F5A" w:rsidP="007F5F5A">
            <w:pPr>
              <w:spacing w:line="240" w:lineRule="exact"/>
            </w:pPr>
            <w:r>
              <w:t>Original: English</w:t>
            </w:r>
          </w:p>
        </w:tc>
      </w:tr>
    </w:tbl>
    <w:p w:rsidR="007F5F5A" w:rsidRDefault="007F5F5A" w:rsidP="007F5F5A">
      <w:pPr>
        <w:spacing w:before="120"/>
        <w:rPr>
          <w:b/>
          <w:sz w:val="24"/>
          <w:szCs w:val="24"/>
        </w:rPr>
      </w:pPr>
      <w:r>
        <w:rPr>
          <w:b/>
          <w:sz w:val="24"/>
          <w:szCs w:val="24"/>
        </w:rPr>
        <w:t>Human Rights Council</w:t>
      </w:r>
      <w:r w:rsidR="008F6F4D">
        <w:rPr>
          <w:b/>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7F5F5A" w:rsidRDefault="007F5F5A" w:rsidP="007F5F5A">
      <w:pPr>
        <w:rPr>
          <w:b/>
        </w:rPr>
      </w:pPr>
      <w:r>
        <w:rPr>
          <w:b/>
        </w:rPr>
        <w:t>Twenty-fifth session</w:t>
      </w:r>
    </w:p>
    <w:p w:rsidR="007F5F5A" w:rsidRDefault="007F5F5A" w:rsidP="007F5F5A">
      <w:r>
        <w:t>Agenda item 3</w:t>
      </w:r>
    </w:p>
    <w:p w:rsidR="007F5F5A" w:rsidRPr="00533C25" w:rsidRDefault="007F5F5A" w:rsidP="007F5F5A">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7F5F5A" w:rsidRDefault="007F5F5A" w:rsidP="007F5F5A">
      <w:pPr>
        <w:pStyle w:val="H23G"/>
      </w:pPr>
      <w:r>
        <w:tab/>
      </w:r>
      <w:r>
        <w:tab/>
      </w:r>
      <w:r w:rsidR="00D25331">
        <w:t>Resolution adopted by the Human Rights Council</w:t>
      </w:r>
    </w:p>
    <w:p w:rsidR="007F5F5A" w:rsidRPr="007A45D3" w:rsidRDefault="007F5F5A" w:rsidP="007F5F5A">
      <w:pPr>
        <w:pStyle w:val="H1G"/>
      </w:pPr>
      <w:r>
        <w:tab/>
      </w:r>
      <w:r>
        <w:tab/>
        <w:t>25</w:t>
      </w:r>
      <w:r w:rsidRPr="007A45D3">
        <w:t>/</w:t>
      </w:r>
      <w:r w:rsidR="00D25331">
        <w:t>2.</w:t>
      </w:r>
      <w:r w:rsidRPr="007A45D3">
        <w:t xml:space="preserve">  </w:t>
      </w:r>
      <w:r w:rsidR="00D25331">
        <w:br/>
      </w:r>
      <w:r w:rsidRPr="00C22EDA">
        <w:t>Freedom of opinion and expression: mandate of the Special Rapporteur on the promotion and protection of the right to freedom of opinion and expre</w:t>
      </w:r>
      <w:r>
        <w:t>ssion</w:t>
      </w:r>
    </w:p>
    <w:p w:rsidR="007F5F5A" w:rsidRPr="00852165" w:rsidRDefault="007F5F5A" w:rsidP="00BE4A57">
      <w:pPr>
        <w:pStyle w:val="SingleTxtG"/>
      </w:pPr>
      <w:r>
        <w:rPr>
          <w:i/>
          <w:iCs/>
        </w:rPr>
        <w:tab/>
      </w:r>
      <w:r w:rsidRPr="00852165">
        <w:rPr>
          <w:i/>
          <w:iCs/>
        </w:rPr>
        <w:t>The Human Rights Council</w:t>
      </w:r>
      <w:r w:rsidRPr="00852165">
        <w:t>,</w:t>
      </w:r>
    </w:p>
    <w:p w:rsidR="007F5F5A" w:rsidRPr="00421163" w:rsidRDefault="007F5F5A" w:rsidP="006D5CB0">
      <w:pPr>
        <w:pStyle w:val="SingleTxtG"/>
        <w:ind w:firstLine="567"/>
      </w:pPr>
      <w:r w:rsidRPr="00421163">
        <w:rPr>
          <w:i/>
        </w:rPr>
        <w:t>Recalling</w:t>
      </w:r>
      <w:r w:rsidRPr="00421163">
        <w:t xml:space="preserve"> Human Rights Council resolutions </w:t>
      </w:r>
      <w:r>
        <w:t>7/36 of 28 March 2008, 12/16 of 2 October 2009, 16/4</w:t>
      </w:r>
      <w:r w:rsidRPr="00421163">
        <w:t xml:space="preserve"> of 2</w:t>
      </w:r>
      <w:r>
        <w:t>4</w:t>
      </w:r>
      <w:r w:rsidRPr="00421163">
        <w:t xml:space="preserve"> March 20</w:t>
      </w:r>
      <w:r>
        <w:t>11</w:t>
      </w:r>
      <w:r w:rsidRPr="00421163">
        <w:t xml:space="preserve"> and </w:t>
      </w:r>
      <w:r>
        <w:t>23/2</w:t>
      </w:r>
      <w:r w:rsidRPr="00421163">
        <w:t xml:space="preserve"> of </w:t>
      </w:r>
      <w:r>
        <w:t>13</w:t>
      </w:r>
      <w:r w:rsidRPr="00421163">
        <w:t xml:space="preserve"> </w:t>
      </w:r>
      <w:r>
        <w:t>June</w:t>
      </w:r>
      <w:r w:rsidRPr="00421163">
        <w:t xml:space="preserve"> 20</w:t>
      </w:r>
      <w:r>
        <w:t>13</w:t>
      </w:r>
      <w:r w:rsidRPr="00421163">
        <w:t>, and all previous resolutions of the Commission on Human Rights and the Council on the right to freedom of opinion and expression,</w:t>
      </w:r>
    </w:p>
    <w:p w:rsidR="007F5F5A" w:rsidRPr="00421163" w:rsidRDefault="007F5F5A" w:rsidP="006D5CB0">
      <w:pPr>
        <w:pStyle w:val="SingleTxtG"/>
        <w:ind w:firstLine="567"/>
      </w:pPr>
      <w:r w:rsidRPr="00421163">
        <w:rPr>
          <w:i/>
        </w:rPr>
        <w:t>Recognizing</w:t>
      </w:r>
      <w:r w:rsidRPr="00421163">
        <w:t xml:space="preserve"> that the effective exercise of the right to freedom of opinion and expression, as enshrined in the International Covenant on Civil and Political Rights and the Universal Declaration of Human Rights, is essential for the enjoyment of other human rights and freedoms and constitutes a fundamental pillar for building a democratic society and strengthening democracy, bearing in mind that all human rights are universal, indivisible, i</w:t>
      </w:r>
      <w:r>
        <w:t>nterdependent and interrelated,</w:t>
      </w:r>
    </w:p>
    <w:p w:rsidR="007F5F5A" w:rsidRPr="00421163" w:rsidRDefault="007F5F5A" w:rsidP="006D5CB0">
      <w:pPr>
        <w:pStyle w:val="SingleTxtG"/>
        <w:ind w:firstLine="567"/>
      </w:pPr>
      <w:r w:rsidRPr="00421163">
        <w:rPr>
          <w:i/>
        </w:rPr>
        <w:t>Recalling</w:t>
      </w:r>
      <w:r w:rsidRPr="00421163">
        <w:t xml:space="preserve"> Human Rights Council resolutions 5/1</w:t>
      </w:r>
      <w:r w:rsidR="0010760E">
        <w:t xml:space="preserve">, </w:t>
      </w:r>
      <w:r w:rsidR="0010760E" w:rsidRPr="00421163">
        <w:t>on the institution-building of the Council</w:t>
      </w:r>
      <w:r w:rsidR="0010760E">
        <w:t>,</w:t>
      </w:r>
      <w:r w:rsidRPr="00421163">
        <w:t xml:space="preserve"> and 5/2</w:t>
      </w:r>
      <w:r w:rsidR="0010760E" w:rsidRPr="00421163">
        <w:t xml:space="preserve">, on the </w:t>
      </w:r>
      <w:r w:rsidR="0010760E">
        <w:t>C</w:t>
      </w:r>
      <w:r w:rsidR="0010760E" w:rsidRPr="00421163">
        <w:t xml:space="preserve">ode of </w:t>
      </w:r>
      <w:r w:rsidR="0010760E">
        <w:t>C</w:t>
      </w:r>
      <w:r w:rsidR="0010760E" w:rsidRPr="00421163">
        <w:t xml:space="preserve">onduct for </w:t>
      </w:r>
      <w:r w:rsidR="0010760E">
        <w:t>S</w:t>
      </w:r>
      <w:r w:rsidR="0010760E" w:rsidRPr="00421163">
        <w:t xml:space="preserve">pecial </w:t>
      </w:r>
      <w:r w:rsidR="0010760E">
        <w:t>P</w:t>
      </w:r>
      <w:r w:rsidR="0010760E" w:rsidRPr="00421163">
        <w:t xml:space="preserve">rocedures </w:t>
      </w:r>
      <w:r w:rsidR="0010760E">
        <w:t>M</w:t>
      </w:r>
      <w:r w:rsidR="0010760E" w:rsidRPr="00421163">
        <w:t xml:space="preserve">andate </w:t>
      </w:r>
      <w:r w:rsidR="0010760E">
        <w:t>H</w:t>
      </w:r>
      <w:r w:rsidR="0010760E" w:rsidRPr="00421163">
        <w:t>olders of the Council</w:t>
      </w:r>
      <w:r w:rsidR="0010760E">
        <w:t>,</w:t>
      </w:r>
      <w:r>
        <w:t xml:space="preserve"> of 18 June 2007,</w:t>
      </w:r>
      <w:r w:rsidR="0010760E">
        <w:t xml:space="preserve"> </w:t>
      </w:r>
      <w:r w:rsidR="0010760E" w:rsidRPr="00421163">
        <w:t>and stressing that the mandate holder shall discharge his/her duties in accordance with those resol</w:t>
      </w:r>
      <w:r w:rsidR="0010760E">
        <w:t>utions and the annexes thereto,</w:t>
      </w:r>
    </w:p>
    <w:p w:rsidR="007F5F5A" w:rsidRPr="00421163" w:rsidRDefault="007F5F5A" w:rsidP="007F5F5A">
      <w:pPr>
        <w:pStyle w:val="SingleTxtG"/>
        <w:ind w:firstLine="567"/>
      </w:pPr>
      <w:r>
        <w:t>1.</w:t>
      </w:r>
      <w:r>
        <w:tab/>
      </w:r>
      <w:r w:rsidRPr="00421163">
        <w:rPr>
          <w:i/>
        </w:rPr>
        <w:t xml:space="preserve">Welcomes </w:t>
      </w:r>
      <w:r w:rsidRPr="00421163">
        <w:t>the work of the Special Rapporteur on</w:t>
      </w:r>
      <w:r>
        <w:t xml:space="preserve"> the promotion and </w:t>
      </w:r>
      <w:r w:rsidRPr="00421163">
        <w:t>protection of the right to fre</w:t>
      </w:r>
      <w:r>
        <w:t>edom of opinion and expression;</w:t>
      </w:r>
    </w:p>
    <w:p w:rsidR="007F5F5A" w:rsidRPr="00421163" w:rsidRDefault="007F5F5A" w:rsidP="007F5F5A">
      <w:pPr>
        <w:pStyle w:val="SingleTxtG"/>
        <w:ind w:firstLine="567"/>
      </w:pPr>
      <w:r>
        <w:t>2.</w:t>
      </w:r>
      <w:r>
        <w:tab/>
      </w:r>
      <w:r w:rsidRPr="00421163">
        <w:rPr>
          <w:i/>
        </w:rPr>
        <w:t>Decides</w:t>
      </w:r>
      <w:r w:rsidRPr="00421163">
        <w:t xml:space="preserve"> to extend the mandate of the Special Rapporteur for a</w:t>
      </w:r>
      <w:r>
        <w:t xml:space="preserve"> further period of three years;</w:t>
      </w:r>
    </w:p>
    <w:p w:rsidR="007F5F5A" w:rsidRPr="00421163" w:rsidRDefault="007F5F5A" w:rsidP="007F5F5A">
      <w:pPr>
        <w:pStyle w:val="SingleTxtG"/>
        <w:ind w:firstLine="567"/>
      </w:pPr>
      <w:r>
        <w:t>3.</w:t>
      </w:r>
      <w:r>
        <w:tab/>
      </w:r>
      <w:r w:rsidRPr="00421163">
        <w:rPr>
          <w:i/>
        </w:rPr>
        <w:t>Urges</w:t>
      </w:r>
      <w:r w:rsidRPr="00421163">
        <w:t xml:space="preserve"> all States to cooperate fully with and assist the Special Rapporteur in the performance of his/her tasks, to provide all necessary information requested by him/her and to consider favourably his/her requests for visits and for implem</w:t>
      </w:r>
      <w:r>
        <w:t>enting his/her recommendations;</w:t>
      </w:r>
    </w:p>
    <w:p w:rsidR="007F5F5A" w:rsidRPr="00421163" w:rsidRDefault="007F5F5A" w:rsidP="007F5F5A">
      <w:pPr>
        <w:pStyle w:val="SingleTxtG"/>
        <w:ind w:firstLine="567"/>
      </w:pPr>
      <w:r>
        <w:t>4.</w:t>
      </w:r>
      <w:r>
        <w:tab/>
      </w:r>
      <w:r w:rsidRPr="00421163">
        <w:rPr>
          <w:i/>
        </w:rPr>
        <w:t>Requests</w:t>
      </w:r>
      <w:r w:rsidRPr="00421163">
        <w:t xml:space="preserve"> the Secretary-General to provide the assistance necessary to the Special Rapporteur to fulfil his/her mandate, in particular by placing adequate human and material</w:t>
      </w:r>
      <w:r>
        <w:t xml:space="preserve"> resources at his/her disposal;</w:t>
      </w:r>
    </w:p>
    <w:p w:rsidR="007F5F5A" w:rsidRPr="00421163" w:rsidRDefault="007F5F5A" w:rsidP="007F5F5A">
      <w:pPr>
        <w:pStyle w:val="SingleTxtG"/>
        <w:ind w:firstLine="567"/>
      </w:pPr>
      <w:r>
        <w:t>5.</w:t>
      </w:r>
      <w:r>
        <w:tab/>
      </w:r>
      <w:r w:rsidRPr="00421163">
        <w:rPr>
          <w:i/>
        </w:rPr>
        <w:t>Requests</w:t>
      </w:r>
      <w:r w:rsidRPr="00421163">
        <w:t xml:space="preserve"> the Special Rapporteur to submit an annual report to the Human Rights Council and to the General Assembly covering all activities relating to his/her mandate, with a view to maximizing the ben</w:t>
      </w:r>
      <w:r>
        <w:t>efits of the reporting process;</w:t>
      </w:r>
    </w:p>
    <w:p w:rsidR="007F5F5A" w:rsidRDefault="007F5F5A" w:rsidP="007F5F5A">
      <w:pPr>
        <w:pStyle w:val="SingleTxtG"/>
        <w:ind w:firstLine="567"/>
      </w:pPr>
      <w:r>
        <w:t>6.</w:t>
      </w:r>
      <w:r>
        <w:tab/>
      </w:r>
      <w:r w:rsidRPr="00421163">
        <w:rPr>
          <w:i/>
        </w:rPr>
        <w:t xml:space="preserve">Decides </w:t>
      </w:r>
      <w:r w:rsidRPr="00421163">
        <w:t>to continue its consideration of the issue of the right to freedom of opinion and expression in accorda</w:t>
      </w:r>
      <w:r>
        <w:t>nce with its programme of work.</w:t>
      </w:r>
    </w:p>
    <w:p w:rsidR="007E67C1" w:rsidRPr="00BB4348" w:rsidRDefault="007E67C1" w:rsidP="007E67C1">
      <w:pPr>
        <w:pStyle w:val="SingleTxtG"/>
        <w:spacing w:after="0"/>
        <w:jc w:val="right"/>
        <w:rPr>
          <w:rFonts w:eastAsia="SimSun"/>
          <w:i/>
          <w:lang w:eastAsia="ar-SA"/>
        </w:rPr>
      </w:pPr>
      <w:r>
        <w:rPr>
          <w:rFonts w:eastAsia="SimSun"/>
          <w:i/>
          <w:lang w:eastAsia="ar-SA"/>
        </w:rPr>
        <w:t>54</w:t>
      </w:r>
      <w:r w:rsidRPr="00BB4348">
        <w:rPr>
          <w:rFonts w:eastAsia="SimSun"/>
          <w:i/>
          <w:lang w:eastAsia="ar-SA"/>
        </w:rPr>
        <w:t>th meeting</w:t>
      </w:r>
    </w:p>
    <w:p w:rsidR="007E67C1" w:rsidRPr="00BB4348" w:rsidRDefault="007E67C1" w:rsidP="007E67C1">
      <w:pPr>
        <w:pStyle w:val="SingleTxtG"/>
        <w:jc w:val="right"/>
        <w:rPr>
          <w:rFonts w:eastAsia="SimSun"/>
          <w:i/>
          <w:lang w:eastAsia="ar-SA"/>
        </w:rPr>
      </w:pPr>
      <w:r>
        <w:rPr>
          <w:rFonts w:eastAsia="SimSun"/>
          <w:i/>
          <w:lang w:eastAsia="ar-SA"/>
        </w:rPr>
        <w:t>27 March 2014</w:t>
      </w:r>
    </w:p>
    <w:p w:rsidR="007E67C1" w:rsidRDefault="007E67C1" w:rsidP="00BE4A57">
      <w:pPr>
        <w:pStyle w:val="SingleTxtG"/>
      </w:pPr>
      <w:r w:rsidRPr="00BB4348">
        <w:rPr>
          <w:rFonts w:eastAsia="SimSun"/>
          <w:lang w:eastAsia="ar-SA"/>
        </w:rPr>
        <w:t>[Adopted without a vote.]</w:t>
      </w:r>
    </w:p>
    <w:p w:rsidR="007F5F5A" w:rsidRPr="00C22EDA" w:rsidRDefault="007F5F5A" w:rsidP="007F5F5A">
      <w:pPr>
        <w:spacing w:before="240"/>
        <w:ind w:left="1134" w:right="1134"/>
        <w:jc w:val="center"/>
        <w:rPr>
          <w:u w:val="single"/>
        </w:rPr>
      </w:pPr>
      <w:r>
        <w:rPr>
          <w:u w:val="single"/>
        </w:rPr>
        <w:tab/>
      </w:r>
      <w:r>
        <w:rPr>
          <w:u w:val="single"/>
        </w:rPr>
        <w:tab/>
      </w:r>
      <w:r>
        <w:rPr>
          <w:u w:val="single"/>
        </w:rPr>
        <w:tab/>
      </w:r>
    </w:p>
    <w:sectPr w:rsidR="007F5F5A" w:rsidRPr="00C22EDA" w:rsidSect="007F5F5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617" w:rsidRDefault="00484617"/>
  </w:endnote>
  <w:endnote w:type="continuationSeparator" w:id="0">
    <w:p w:rsidR="00484617" w:rsidRDefault="00484617"/>
  </w:endnote>
  <w:endnote w:type="continuationNotice" w:id="1">
    <w:p w:rsidR="00484617" w:rsidRDefault="0048461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17" w:rsidRPr="00EE2A77" w:rsidRDefault="00484617" w:rsidP="007F5F5A">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17" w:rsidRPr="00EE2A77" w:rsidRDefault="00484617" w:rsidP="007F5F5A">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17" w:rsidRPr="00EE2A77" w:rsidRDefault="00484617" w:rsidP="001B06BA">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t>GE.14-13293</w:t>
    </w:r>
    <w:r>
      <w:br/>
    </w:r>
    <w:r w:rsidRPr="007B1F11">
      <w:rPr>
        <w:rFonts w:ascii="C39T30Lfz" w:hAnsi="C39T30Lfz"/>
        <w:sz w:val="56"/>
      </w:rPr>
      <w:t></w:t>
    </w:r>
    <w:r w:rsidRPr="007B1F11">
      <w:rPr>
        <w:rFonts w:ascii="C39T30Lfz" w:hAnsi="C39T30Lfz"/>
        <w:sz w:val="56"/>
      </w:rPr>
      <w:t></w:t>
    </w:r>
    <w:r w:rsidRPr="007B1F11">
      <w:rPr>
        <w:rFonts w:ascii="C39T30Lfz" w:hAnsi="C39T30Lfz"/>
        <w:sz w:val="56"/>
      </w:rPr>
      <w:t></w:t>
    </w:r>
    <w:r w:rsidRPr="007B1F11">
      <w:rPr>
        <w:rFonts w:ascii="C39T30Lfz" w:hAnsi="C39T30Lfz"/>
        <w:sz w:val="56"/>
      </w:rPr>
      <w:t></w:t>
    </w:r>
    <w:r w:rsidRPr="007B1F11">
      <w:rPr>
        <w:rFonts w:ascii="C39T30Lfz" w:hAnsi="C39T30Lfz"/>
        <w:sz w:val="56"/>
      </w:rPr>
      <w:t></w:t>
    </w:r>
    <w:r w:rsidRPr="007B1F11">
      <w:rPr>
        <w:rFonts w:ascii="C39T30Lfz" w:hAnsi="C39T30Lfz"/>
        <w:sz w:val="56"/>
      </w:rPr>
      <w:t></w:t>
    </w:r>
    <w:r w:rsidRPr="007B1F11">
      <w:rPr>
        <w:rFonts w:ascii="C39T30Lfz" w:hAnsi="C39T30Lfz"/>
        <w:sz w:val="56"/>
      </w:rPr>
      <w:t></w:t>
    </w:r>
    <w:r w:rsidRPr="007B1F11">
      <w:rPr>
        <w:rFonts w:ascii="C39T30Lfz" w:hAnsi="C39T30Lfz"/>
        <w:sz w:val="56"/>
      </w:rPr>
      <w:t></w:t>
    </w:r>
    <w:r w:rsidRPr="007B1F1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617" w:rsidRPr="000B175B" w:rsidRDefault="00484617" w:rsidP="007F5F5A">
      <w:pPr>
        <w:tabs>
          <w:tab w:val="right" w:pos="2155"/>
        </w:tabs>
        <w:spacing w:after="80"/>
        <w:ind w:left="680"/>
        <w:rPr>
          <w:u w:val="single"/>
        </w:rPr>
      </w:pPr>
      <w:r>
        <w:rPr>
          <w:u w:val="single"/>
        </w:rPr>
        <w:tab/>
      </w:r>
    </w:p>
  </w:footnote>
  <w:footnote w:type="continuationSeparator" w:id="0">
    <w:p w:rsidR="00484617" w:rsidRPr="00FC68B7" w:rsidRDefault="00484617" w:rsidP="007F5F5A">
      <w:pPr>
        <w:tabs>
          <w:tab w:val="left" w:pos="2155"/>
        </w:tabs>
        <w:spacing w:after="80"/>
        <w:ind w:left="680"/>
        <w:rPr>
          <w:u w:val="single"/>
        </w:rPr>
      </w:pPr>
      <w:r>
        <w:rPr>
          <w:u w:val="single"/>
        </w:rPr>
        <w:tab/>
      </w:r>
    </w:p>
  </w:footnote>
  <w:footnote w:type="continuationNotice" w:id="1">
    <w:p w:rsidR="00484617" w:rsidRDefault="0048461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17" w:rsidRPr="00EE2A77" w:rsidRDefault="00484617">
    <w:pPr>
      <w:pStyle w:val="Header"/>
    </w:pPr>
    <w:r>
      <w:t>A/HRC/RES/25/2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17" w:rsidRPr="00EE2A77" w:rsidRDefault="00484617" w:rsidP="007F5F5A">
    <w:pPr>
      <w:pStyle w:val="Header"/>
      <w:jc w:val="right"/>
    </w:pPr>
    <w:r>
      <w:t>A/HRC/24/L.X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A6BE6"/>
    <w:rsid w:val="000F105C"/>
    <w:rsid w:val="0010760E"/>
    <w:rsid w:val="001A6814"/>
    <w:rsid w:val="001B06BA"/>
    <w:rsid w:val="00241467"/>
    <w:rsid w:val="00275516"/>
    <w:rsid w:val="00286107"/>
    <w:rsid w:val="002E5780"/>
    <w:rsid w:val="003310BB"/>
    <w:rsid w:val="00345438"/>
    <w:rsid w:val="003B1B08"/>
    <w:rsid w:val="00484617"/>
    <w:rsid w:val="0048689D"/>
    <w:rsid w:val="004905D1"/>
    <w:rsid w:val="00530585"/>
    <w:rsid w:val="005532E1"/>
    <w:rsid w:val="00596935"/>
    <w:rsid w:val="006D5CB0"/>
    <w:rsid w:val="00754855"/>
    <w:rsid w:val="00777E69"/>
    <w:rsid w:val="00786C5C"/>
    <w:rsid w:val="007B1F11"/>
    <w:rsid w:val="007E67C1"/>
    <w:rsid w:val="007F5F5A"/>
    <w:rsid w:val="008F6F4D"/>
    <w:rsid w:val="00922386"/>
    <w:rsid w:val="00966257"/>
    <w:rsid w:val="00980ECF"/>
    <w:rsid w:val="00A07FB1"/>
    <w:rsid w:val="00A621D5"/>
    <w:rsid w:val="00B52BF0"/>
    <w:rsid w:val="00BE4A57"/>
    <w:rsid w:val="00C9035C"/>
    <w:rsid w:val="00CD6524"/>
    <w:rsid w:val="00D25331"/>
    <w:rsid w:val="00D557E6"/>
    <w:rsid w:val="00D7655E"/>
    <w:rsid w:val="00DF4834"/>
    <w:rsid w:val="00E11CE8"/>
    <w:rsid w:val="00E22BBF"/>
    <w:rsid w:val="00ED1855"/>
    <w:rsid w:val="00F12335"/>
    <w:rsid w:val="00FA4B8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D7BB2"/>
    <w:pPr>
      <w:spacing w:line="240" w:lineRule="auto"/>
    </w:pPr>
    <w:rPr>
      <w:rFonts w:ascii="Tahoma" w:hAnsi="Tahoma"/>
      <w:sz w:val="16"/>
      <w:szCs w:val="16"/>
      <w:lang/>
    </w:rPr>
  </w:style>
  <w:style w:type="character" w:customStyle="1" w:styleId="BalloonTextChar">
    <w:name w:val="Balloon Text Char"/>
    <w:link w:val="BalloonText"/>
    <w:rsid w:val="002D7BB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2</Pages>
  <Words>422</Words>
  <Characters>2309</Characters>
  <Application>Microsoft Office Outlook</Application>
  <DocSecurity>4</DocSecurity>
  <Lines>55</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Brigoli</cp:lastModifiedBy>
  <cp:revision>2</cp:revision>
  <cp:lastPrinted>2014-04-10T14:54:00Z</cp:lastPrinted>
  <dcterms:created xsi:type="dcterms:W3CDTF">2014-04-10T15:06:00Z</dcterms:created>
  <dcterms:modified xsi:type="dcterms:W3CDTF">2014-04-10T15:06:00Z</dcterms:modified>
</cp:coreProperties>
</file>