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</w:pPr>
      <w:r>
        <w:t>Тридцатая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641-м заседании,</w:t>
      </w:r>
    </w:p>
    <w:p w:rsidR="00000000" w:rsidRDefault="00000000">
      <w:r>
        <w:t>состоявшемся в Центральных учреждениях, Нью-Йорк, в четверг, 22 января 2004 года, в 10 ч. 00 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г-жа Ачар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Заявление г</w:t>
      </w:r>
      <w:r>
        <w:noBreakHyphen/>
        <w:t>жи Марии Франсиски Исе Чаррин, начальника Сектора договоров и по делам Комиссии Управления Верховного комиссара по правам человека</w:t>
      </w: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представляемых государствами-участниками в соответствии со статьей 18 Конвенции</w:t>
      </w:r>
    </w:p>
    <w:p w:rsidR="00000000" w:rsidRDefault="00000000">
      <w:pPr>
        <w:pStyle w:val="SingleTxt"/>
        <w:suppressAutoHyphens/>
        <w:ind w:left="1742" w:hanging="475"/>
        <w:jc w:val="left"/>
        <w:rPr>
          <w:i/>
        </w:rPr>
      </w:pPr>
      <w:r>
        <w:tab/>
      </w:r>
      <w:r>
        <w:rPr>
          <w:i/>
        </w:rPr>
        <w:t>Сводный первоначальный, второй, третий, четвертый, пятый и шестой периодический доклад Бутана</w:t>
      </w:r>
    </w:p>
    <w:p w:rsidR="00000000" w:rsidRDefault="00000000">
      <w:pPr>
        <w:pStyle w:val="SingleTxt"/>
        <w:suppressAutoHyphens/>
        <w:jc w:val="left"/>
        <w:rPr>
          <w:i/>
        </w:rPr>
      </w:pPr>
      <w:r>
        <w:tab/>
      </w:r>
      <w:r>
        <w:rPr>
          <w:i/>
        </w:rPr>
        <w:t>Ответы Бутана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  <w:r>
        <w:tab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10 ч. 05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Заявление г</w:t>
      </w:r>
      <w:r>
        <w:noBreakHyphen/>
        <w:t>жи Марии Франсиски Исе Чаррин, начальника Сектора договоров и по делам Комиссии Управления Верховного комиссара по правам человека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b/>
        </w:rPr>
        <w:t>Председатель</w:t>
      </w:r>
      <w:r>
        <w:t xml:space="preserve"> приглашает г</w:t>
      </w:r>
      <w:r>
        <w:noBreakHyphen/>
        <w:t>жу Марию Фра</w:t>
      </w:r>
      <w:r>
        <w:t>н</w:t>
      </w:r>
      <w:r>
        <w:t>сиску Исе Чаррин, начальника Сектора договоров и по делам Комиссии Управления Верховного коми</w:t>
      </w:r>
      <w:r>
        <w:t>с</w:t>
      </w:r>
      <w:r>
        <w:t>сара по правам человека, сделать заявление, к</w:t>
      </w:r>
      <w:r>
        <w:t>а</w:t>
      </w:r>
      <w:r>
        <w:t>сающееся последних мероприятий Управления применительно к деятельности договорных органов по правам человека.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 Исе Чаррин</w:t>
      </w:r>
      <w:r>
        <w:t xml:space="preserve"> (начальник Сектора догов</w:t>
      </w:r>
      <w:r>
        <w:t>о</w:t>
      </w:r>
      <w:r>
        <w:t>ров и по делам Комиссии Управления Верховного комиссара по правам человека) отмечает, что вторая половина 2003 года была весьма трудной для Управления, которое понесло большую утрату в р</w:t>
      </w:r>
      <w:r>
        <w:t>е</w:t>
      </w:r>
      <w:r>
        <w:t>зультате смерти Верховного комиссара г</w:t>
      </w:r>
      <w:r>
        <w:noBreakHyphen/>
        <w:t>на Сержиу Виейра ди Меллу. Однако сотрудники преисполн</w:t>
      </w:r>
      <w:r>
        <w:t>е</w:t>
      </w:r>
      <w:r>
        <w:t>ны решимости продолжить его работу и под рук</w:t>
      </w:r>
      <w:r>
        <w:t>о</w:t>
      </w:r>
      <w:r>
        <w:t>водством исполняющего обязанности г</w:t>
      </w:r>
      <w:r>
        <w:noBreakHyphen/>
        <w:t>на Берти Рамчарана удалось добиться больших успехов. Управление обеспечило ряд структурных измен</w:t>
      </w:r>
      <w:r>
        <w:t>е</w:t>
      </w:r>
      <w:r>
        <w:t>ний. В Секторе договоров и по делам Комиссии м</w:t>
      </w:r>
      <w:r>
        <w:t>е</w:t>
      </w:r>
      <w:r>
        <w:t>роприятия по структурной перестройке были н</w:t>
      </w:r>
      <w:r>
        <w:t>а</w:t>
      </w:r>
      <w:r>
        <w:t>правлены на укрепление его потенциала по по</w:t>
      </w:r>
      <w:r>
        <w:t>д</w:t>
      </w:r>
      <w:r>
        <w:t>держке работы семи договорных органов, в частн</w:t>
      </w:r>
      <w:r>
        <w:t>о</w:t>
      </w:r>
      <w:r>
        <w:t>сти посредством создания системы объединения р</w:t>
      </w:r>
      <w:r>
        <w:t>е</w:t>
      </w:r>
      <w:r>
        <w:t>сурсов, предназначающейся для обеспечения гибк</w:t>
      </w:r>
      <w:r>
        <w:t>о</w:t>
      </w:r>
      <w:r>
        <w:t>го укомплектования кадрами. Структурная пер</w:t>
      </w:r>
      <w:r>
        <w:t>е</w:t>
      </w:r>
      <w:r>
        <w:t>стройка была также призвана подготовить Сектор к предполагаемому введению расширенного основн</w:t>
      </w:r>
      <w:r>
        <w:t>о</w:t>
      </w:r>
      <w:r>
        <w:t>го документа (РОД) и целевого представления до</w:t>
      </w:r>
      <w:r>
        <w:t>к</w:t>
      </w:r>
      <w:r>
        <w:t>ладов. Сектор разрабатывает проект руководящих принципов по РОД и согласованные принципы представления докладов всем семи договорным о</w:t>
      </w:r>
      <w:r>
        <w:t>р</w:t>
      </w:r>
      <w:r>
        <w:t>ганам и представит свои предложения на Межком</w:t>
      </w:r>
      <w:r>
        <w:t>и</w:t>
      </w:r>
      <w:r>
        <w:t>тетском совещании/Совещании председателей в июне. Сектор стремится обеспечить, чтобы недавно созданный Комитет по правам всех трудящихся-мигрантов и членов их семей, который впервые с</w:t>
      </w:r>
      <w:r>
        <w:t>о</w:t>
      </w:r>
      <w:r>
        <w:t>берется на свою сессию в марте, принял методы представления докладов, отражающие предложения о реформах. В настоящее время несколько догово</w:t>
      </w:r>
      <w:r>
        <w:t>р</w:t>
      </w:r>
      <w:r>
        <w:t>ных органов занимаются последующей деятельн</w:t>
      </w:r>
      <w:r>
        <w:t>о</w:t>
      </w:r>
      <w:r>
        <w:t>стью по реализации заключительных замечаний.</w:t>
      </w:r>
      <w:r>
        <w:br/>
      </w:r>
      <w:r>
        <w:br/>
      </w:r>
      <w:r>
        <w:br/>
        <w:t>С учетом акцента комитетов на последующую де</w:t>
      </w:r>
      <w:r>
        <w:t>я</w:t>
      </w:r>
      <w:r>
        <w:t>тельность Сектор продолжал участвовать в мер</w:t>
      </w:r>
      <w:r>
        <w:t>о</w:t>
      </w:r>
      <w:r>
        <w:t>приятиях, направленных на обеспечение выполн</w:t>
      </w:r>
      <w:r>
        <w:t>е</w:t>
      </w:r>
      <w:r>
        <w:t>ния рекомендаций договорных органов на наци</w:t>
      </w:r>
      <w:r>
        <w:t>о</w:t>
      </w:r>
      <w:r>
        <w:t>нальном уровне. Сектор надеется продолжать в т</w:t>
      </w:r>
      <w:r>
        <w:t>е</w:t>
      </w:r>
      <w:r>
        <w:t>чение 2004 года работу с Отделом по улучшению положения женщин, касающуюся заключительных замечаний Комитета по ликвидации расовой ди</w:t>
      </w:r>
      <w:r>
        <w:t>с</w:t>
      </w:r>
      <w:r>
        <w:t>криминации, Комитета по ликвидации дискримин</w:t>
      </w:r>
      <w:r>
        <w:t>а</w:t>
      </w:r>
      <w:r>
        <w:t>ции в отношении женщин и Комитета по правам ребенка.</w:t>
      </w:r>
    </w:p>
    <w:p w:rsidR="00000000" w:rsidRDefault="00000000">
      <w:pPr>
        <w:pStyle w:val="DualTxt"/>
      </w:pPr>
      <w:r>
        <w:t>3.</w:t>
      </w:r>
      <w:r>
        <w:tab/>
        <w:t>В предложении о мере 2, содержащемся во втором докладе Генерального секретаря об укре</w:t>
      </w:r>
      <w:r>
        <w:t>п</w:t>
      </w:r>
      <w:r>
        <w:t>лении Организации Объединенных Наций (A/57/387), Управлению Верховного комиссара предлагается разработать и реализовать в сотрудн</w:t>
      </w:r>
      <w:r>
        <w:t>и</w:t>
      </w:r>
      <w:r>
        <w:t>честве с Группой Организации Объединенных Н</w:t>
      </w:r>
      <w:r>
        <w:t>а</w:t>
      </w:r>
      <w:r>
        <w:t>ций по вопросам развития и Исполнительным к</w:t>
      </w:r>
      <w:r>
        <w:t>о</w:t>
      </w:r>
      <w:r>
        <w:t>митетом Организации Объединенных Наций по г</w:t>
      </w:r>
      <w:r>
        <w:t>у</w:t>
      </w:r>
      <w:r>
        <w:t>манитарным вопросам план укрепления касающи</w:t>
      </w:r>
      <w:r>
        <w:t>х</w:t>
      </w:r>
      <w:r>
        <w:t>ся прав человека мероприятий на страновом уровне. В этом контексте Генеральному секретарю был представлен план действий. Его цель заключается в укреплении потенциала страновых групп Организ</w:t>
      </w:r>
      <w:r>
        <w:t>а</w:t>
      </w:r>
      <w:r>
        <w:t>ции Объединенных Наций, с тем чтобы они могли поддерживать усилия государств-членов по созд</w:t>
      </w:r>
      <w:r>
        <w:t>а</w:t>
      </w:r>
      <w:r>
        <w:t>нию и укреплению национальных систем защиты и поощрения прав человека. Одна из целей плана действий заключается в более тесной интеграции работы договорных органов с деятельностью Орг</w:t>
      </w:r>
      <w:r>
        <w:t>а</w:t>
      </w:r>
      <w:r>
        <w:t>низации Объединенных Наций на страновом уро</w:t>
      </w:r>
      <w:r>
        <w:t>в</w:t>
      </w:r>
      <w:r>
        <w:t>не. Осуществление меры 2 будет включать учебные компоненты для страновых групп Организации Объединенных Наций, в том числе подготовку страновой записки, содержащей резюме конкре</w:t>
      </w:r>
      <w:r>
        <w:t>т</w:t>
      </w:r>
      <w:r>
        <w:t>ных вопросов по странам, которые были выявлены договорными органами. Сектор активно участвовал в поддержке работы Паулу Сержиу Пиньейру, нез</w:t>
      </w:r>
      <w:r>
        <w:t>а</w:t>
      </w:r>
      <w:r>
        <w:t>висимого эксперта, назначенного Генеральным се</w:t>
      </w:r>
      <w:r>
        <w:t>к</w:t>
      </w:r>
      <w:r>
        <w:t>ретарем для руководства углубленным междун</w:t>
      </w:r>
      <w:r>
        <w:t>а</w:t>
      </w:r>
      <w:r>
        <w:t>родным исследованием по вопросам насилия в о</w:t>
      </w:r>
      <w:r>
        <w:t>т</w:t>
      </w:r>
      <w:r>
        <w:t>ношении детей, который с удовольствием привлек</w:t>
      </w:r>
      <w:r>
        <w:t>а</w:t>
      </w:r>
      <w:r>
        <w:t>ет договорные органы к проведению этого исслед</w:t>
      </w:r>
      <w:r>
        <w:t>о</w:t>
      </w:r>
      <w:r>
        <w:t>в</w:t>
      </w:r>
      <w:r>
        <w:t>а</w:t>
      </w:r>
      <w:r>
        <w:t>ния.</w:t>
      </w:r>
    </w:p>
    <w:p w:rsidR="00000000" w:rsidRDefault="00000000">
      <w:pPr>
        <w:pStyle w:val="DualTxt"/>
      </w:pPr>
      <w:r>
        <w:t>4.</w:t>
      </w:r>
      <w:r>
        <w:tab/>
        <w:t>В ознаменование десятой годовщины с моме</w:t>
      </w:r>
      <w:r>
        <w:t>н</w:t>
      </w:r>
      <w:r>
        <w:t>та принятия мандата Специального докладчика К</w:t>
      </w:r>
      <w:r>
        <w:t>о</w:t>
      </w:r>
      <w:r>
        <w:t>миссии по правам человека по вопросу о насилии в</w:t>
      </w:r>
      <w:r>
        <w:br/>
      </w:r>
      <w:r>
        <w:br/>
      </w:r>
      <w:r>
        <w:br/>
        <w:t>отношении женщин, включая его причины и п</w:t>
      </w:r>
      <w:r>
        <w:t>о</w:t>
      </w:r>
      <w:r>
        <w:t>следствия, правительство Швейцарии пригласило 22 женщины-министра иностранных дел принять участие в работе этапа высокого уровня шестидес</w:t>
      </w:r>
      <w:r>
        <w:t>я</w:t>
      </w:r>
      <w:r>
        <w:t>той сессии Комиссии по правам человека в марте; такое приглашение также было направлено Предс</w:t>
      </w:r>
      <w:r>
        <w:t>е</w:t>
      </w:r>
      <w:r>
        <w:t>дателю Комитета. И наконец, Управление Верхо</w:t>
      </w:r>
      <w:r>
        <w:t>в</w:t>
      </w:r>
      <w:r>
        <w:t>ного комиссара рассматривает пути участия в раб</w:t>
      </w:r>
      <w:r>
        <w:t>о</w:t>
      </w:r>
      <w:r>
        <w:t>те Всемирного форума по культурам в Барселоне, который будет включать Всемирный форум женщин в июле и Всемирный фестиваль молодежи в авг</w:t>
      </w:r>
      <w:r>
        <w:t>у</w:t>
      </w:r>
      <w:r>
        <w:t>сте, при этом оба мероприятия естественным обр</w:t>
      </w:r>
      <w:r>
        <w:t>а</w:t>
      </w:r>
      <w:r>
        <w:t>зом соответствуют целям Комитета.</w:t>
      </w: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Председатель</w:t>
      </w:r>
      <w:r>
        <w:t xml:space="preserve"> говорит, что Комитет признат</w:t>
      </w:r>
      <w:r>
        <w:t>е</w:t>
      </w:r>
      <w:r>
        <w:t>лен за привлечение к усилиям по осуществлению процесса реформы, о котором сообщила г</w:t>
      </w:r>
      <w:r>
        <w:noBreakHyphen/>
        <w:t>жа Исе Чаррин. Комитет предпринимал активные усилия по улучшению своих методов работы и соверше</w:t>
      </w:r>
      <w:r>
        <w:t>н</w:t>
      </w:r>
      <w:r>
        <w:t>ствованию своей деятельности. В этой связи он проведет весной информационное совещание и с</w:t>
      </w:r>
      <w:r>
        <w:t>о</w:t>
      </w:r>
      <w:r>
        <w:t>общит о результатах Межкомитетскому совещанию/ Совещанию председат</w:t>
      </w:r>
      <w:r>
        <w:t>е</w:t>
      </w:r>
      <w:r>
        <w:t>лей.</w:t>
      </w:r>
    </w:p>
    <w:p w:rsidR="00000000" w:rsidRDefault="00000000">
      <w:pPr>
        <w:pStyle w:val="DualTxt"/>
      </w:pPr>
      <w:r>
        <w:t>6.</w:t>
      </w:r>
      <w:r>
        <w:tab/>
      </w:r>
      <w:r>
        <w:rPr>
          <w:b/>
        </w:rPr>
        <w:t>Г</w:t>
      </w:r>
      <w:r>
        <w:rPr>
          <w:b/>
        </w:rPr>
        <w:noBreakHyphen/>
        <w:t>жа Гонсалес Мартинес</w:t>
      </w:r>
      <w:r>
        <w:t xml:space="preserve"> говорит, что с</w:t>
      </w:r>
      <w:r>
        <w:t>о</w:t>
      </w:r>
      <w:r>
        <w:t>трудничество между Комитетом и Сектором дог</w:t>
      </w:r>
      <w:r>
        <w:t>о</w:t>
      </w:r>
      <w:r>
        <w:t>воров и по делам Комиссии будет содействовать улучшению процесса реформы, хотя она сама не с</w:t>
      </w:r>
      <w:r>
        <w:t>о</w:t>
      </w:r>
      <w:r>
        <w:t>гласна со всеми запланированными р</w:t>
      </w:r>
      <w:r>
        <w:t>е</w:t>
      </w:r>
      <w:r>
        <w:t>формами.</w:t>
      </w: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Морваи </w:t>
      </w:r>
      <w:r>
        <w:t>предлагает, чтобы оба органа рассмотрели в рамках их мероприятий в области сотрудничества вопрос о том, являются ли догов</w:t>
      </w:r>
      <w:r>
        <w:t>о</w:t>
      </w:r>
      <w:r>
        <w:t>ры Организации Объединенных Наций о правах ч</w:t>
      </w:r>
      <w:r>
        <w:t>е</w:t>
      </w:r>
      <w:r>
        <w:t>ловека фактически совокупностью норм права. Е</w:t>
      </w:r>
      <w:r>
        <w:t>с</w:t>
      </w:r>
      <w:r>
        <w:t>ли это так, то она интересуется, соблюдаются ли в них основные принципы правопорядка, которые включают предсказуемость. Заключительные зам</w:t>
      </w:r>
      <w:r>
        <w:t>е</w:t>
      </w:r>
      <w:r>
        <w:t>чания часто являются столь непоследовательными, что никакой юрист или правительство не могут ра</w:t>
      </w:r>
      <w:r>
        <w:t>с</w:t>
      </w:r>
      <w:r>
        <w:t>сматривать их в качестве совокупности норм права. Если бы они на самом деле являлись совокупн</w:t>
      </w:r>
      <w:r>
        <w:t>о</w:t>
      </w:r>
      <w:r>
        <w:t>стью норм, то следовало бы знакомить с их соде</w:t>
      </w:r>
      <w:r>
        <w:t>р</w:t>
      </w:r>
      <w:r>
        <w:t>жанием тех лиц, которые обеспечивают их выпо</w:t>
      </w:r>
      <w:r>
        <w:t>л</w:t>
      </w:r>
      <w:r>
        <w:t>нение.</w:t>
      </w:r>
    </w:p>
    <w:p w:rsidR="00000000" w:rsidRDefault="00000000">
      <w:pPr>
        <w:pStyle w:val="H23"/>
      </w:pPr>
      <w:r>
        <w:t>Рассмотрение докладов, представляемых государствами-участниками в соответствии со статьей 18 Конвенции</w:t>
      </w:r>
    </w:p>
    <w:p w:rsidR="00000000" w:rsidRDefault="00000000">
      <w:pPr>
        <w:pStyle w:val="DualTxt"/>
        <w:keepNext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 xml:space="preserve">Сводный первоначальный, второй, третий, четвертый, пятый и шестой периодический доклад Бутана </w:t>
      </w:r>
      <w:r>
        <w:rPr>
          <w:i w:val="0"/>
        </w:rPr>
        <w:t>(CEDAW/C/BTN/1–3 и CEDAW/C/BTN/1–6/Corr.1)</w:t>
      </w:r>
    </w:p>
    <w:p w:rsidR="00000000" w:rsidRDefault="00000000">
      <w:pPr>
        <w:pStyle w:val="DualTxt"/>
        <w:keepNext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Ответы Бутана</w:t>
      </w:r>
    </w:p>
    <w:p w:rsidR="00000000" w:rsidRDefault="00000000">
      <w:pPr>
        <w:pStyle w:val="DualTxt"/>
        <w:keepNext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8.</w:t>
      </w:r>
      <w:r>
        <w:tab/>
        <w:t>По приглашению Председателя члены делег</w:t>
      </w:r>
      <w:r>
        <w:t>а</w:t>
      </w:r>
      <w:r>
        <w:t>ции Бутана занимают места за столом Комит</w:t>
      </w:r>
      <w:r>
        <w:t>е</w:t>
      </w:r>
      <w:r>
        <w:t>та.</w:t>
      </w:r>
    </w:p>
    <w:p w:rsidR="00000000" w:rsidRDefault="00000000">
      <w:pPr>
        <w:pStyle w:val="DualTxt"/>
      </w:pPr>
      <w:r>
        <w:t>9.</w:t>
      </w:r>
      <w:r>
        <w:tab/>
      </w:r>
      <w:r>
        <w:rPr>
          <w:b/>
        </w:rPr>
        <w:t>Г</w:t>
      </w:r>
      <w:r>
        <w:rPr>
          <w:b/>
        </w:rPr>
        <w:noBreakHyphen/>
        <w:t>н Тшеринг</w:t>
      </w:r>
      <w:r>
        <w:t xml:space="preserve"> (Бутан), отвечая на перечень в</w:t>
      </w:r>
      <w:r>
        <w:t>о</w:t>
      </w:r>
      <w:r>
        <w:t>просов, представленных Комитетом, говорит, что Бутан рассмотрит вопрос о ратификации Факульт</w:t>
      </w:r>
      <w:r>
        <w:t>а</w:t>
      </w:r>
      <w:r>
        <w:t>тивного протокола к Конвенции и поправки к ст</w:t>
      </w:r>
      <w:r>
        <w:t>а</w:t>
      </w:r>
      <w:r>
        <w:t>тье 20.1 и представит ответ в надлежащее время. Что касается планов его страны по ратификации других международных договоров о правах челов</w:t>
      </w:r>
      <w:r>
        <w:t>е</w:t>
      </w:r>
      <w:r>
        <w:t>ка, то он говорит, что Бутан уже является участн</w:t>
      </w:r>
      <w:r>
        <w:t>и</w:t>
      </w:r>
      <w:r>
        <w:t>ком ряда таких документов и хотел бы ратифицир</w:t>
      </w:r>
      <w:r>
        <w:t>о</w:t>
      </w:r>
      <w:r>
        <w:t>вать как можно большее их число, однако его ус</w:t>
      </w:r>
      <w:r>
        <w:t>и</w:t>
      </w:r>
      <w:r>
        <w:t>лия сдерживаются отсутствием институциональн</w:t>
      </w:r>
      <w:r>
        <w:t>о</w:t>
      </w:r>
      <w:r>
        <w:t>го поте</w:t>
      </w:r>
      <w:r>
        <w:t>н</w:t>
      </w:r>
      <w:r>
        <w:t>циала.</w:t>
      </w: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Пем </w:t>
      </w:r>
      <w:r>
        <w:t>(Бутан) отмечает, что задержка с представлением доклада была обусловлена отсутс</w:t>
      </w:r>
      <w:r>
        <w:t>т</w:t>
      </w:r>
      <w:r>
        <w:t>вием потенциала и ресурсов. В то же время был принят ряд мер, особенно в начале 90</w:t>
      </w:r>
      <w:r>
        <w:noBreakHyphen/>
        <w:t>х годов, в ц</w:t>
      </w:r>
      <w:r>
        <w:t>е</w:t>
      </w:r>
      <w:r>
        <w:t>лях создания потенциала и учреждений, необход</w:t>
      </w:r>
      <w:r>
        <w:t>и</w:t>
      </w:r>
      <w:r>
        <w:t>мых для выполнения обязательств Бутана по Ко</w:t>
      </w:r>
      <w:r>
        <w:t>н</w:t>
      </w:r>
      <w:r>
        <w:t>венции. Эти меры включают проведение исследов</w:t>
      </w:r>
      <w:r>
        <w:t>а</w:t>
      </w:r>
      <w:r>
        <w:t>ний в конкретных секторах по вопросу о положении девочек, укрепление потенциала для подготовки докладов о правах человека, создание должностей координаторов по гендерной проблематике и учр</w:t>
      </w:r>
      <w:r>
        <w:t>е</w:t>
      </w:r>
      <w:r>
        <w:t>ждение бюро по вопросам информации, образов</w:t>
      </w:r>
      <w:r>
        <w:t>а</w:t>
      </w:r>
      <w:r>
        <w:t>ния и коммуникации в области здравоохранения. Кроме того, секретариат Комиссии по планиров</w:t>
      </w:r>
      <w:r>
        <w:t>а</w:t>
      </w:r>
      <w:r>
        <w:t>нию стал национальным органом по координации гендерных вопросов; серьезные меры были также приняты в целях укрепления правовых, законод</w:t>
      </w:r>
      <w:r>
        <w:t>а</w:t>
      </w:r>
      <w:r>
        <w:t>тельных и правозащитных институтов страны.</w:t>
      </w:r>
    </w:p>
    <w:p w:rsidR="00000000" w:rsidRDefault="00000000">
      <w:pPr>
        <w:pStyle w:val="DualTxt"/>
      </w:pPr>
      <w:r>
        <w:t>11.</w:t>
      </w:r>
      <w:r>
        <w:tab/>
        <w:t>Что касается подготовки периодического до</w:t>
      </w:r>
      <w:r>
        <w:t>к</w:t>
      </w:r>
      <w:r>
        <w:t>лада, то она говорит, что первый шаг был связан с проведением базового исследования по гендерной проблематике, которое носит характер совместного</w:t>
      </w:r>
      <w:r>
        <w:br/>
      </w:r>
      <w:r>
        <w:br/>
      </w:r>
      <w:r>
        <w:br/>
      </w:r>
      <w:r>
        <w:br/>
        <w:t>проекта правительства и учреждений Организации Объединенных Наций. Цель исследования заключ</w:t>
      </w:r>
      <w:r>
        <w:t>а</w:t>
      </w:r>
      <w:r>
        <w:t>ется в сборе и анализе данных с разбивкой по пр</w:t>
      </w:r>
      <w:r>
        <w:t>и</w:t>
      </w:r>
      <w:r>
        <w:t>знаку пола по ключевым секторам. Его выводы яв</w:t>
      </w:r>
      <w:r>
        <w:t>и</w:t>
      </w:r>
      <w:r>
        <w:t>лись предметом обсуждения, и работа над ними б</w:t>
      </w:r>
      <w:r>
        <w:t>ы</w:t>
      </w:r>
      <w:r>
        <w:t>ла завершена на практикуме заинтересованных ст</w:t>
      </w:r>
      <w:r>
        <w:t>о</w:t>
      </w:r>
      <w:r>
        <w:t>рон, в котором участвовали представители разли</w:t>
      </w:r>
      <w:r>
        <w:t>ч</w:t>
      </w:r>
      <w:r>
        <w:t>ных учреждений правительства, судебной системы, Национальной ассамблеи, неправительственных о</w:t>
      </w:r>
      <w:r>
        <w:t>р</w:t>
      </w:r>
      <w:r>
        <w:t>ганизаций, средств массовой информации, частного сектора и партнеров по вопросам развития. Эти в</w:t>
      </w:r>
      <w:r>
        <w:t>ы</w:t>
      </w:r>
      <w:r>
        <w:t>воды использовались в качестве основы для докл</w:t>
      </w:r>
      <w:r>
        <w:t>а</w:t>
      </w:r>
      <w:r>
        <w:t>да секретариата Комиссии по планированию, и окончательный проект был передан правительству, которое приняло его без измен</w:t>
      </w:r>
      <w:r>
        <w:t>е</w:t>
      </w:r>
      <w:r>
        <w:t>ний.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 5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Тшеринг </w:t>
      </w:r>
      <w:r>
        <w:t>(Бутан) говорит, что текст Ко</w:t>
      </w:r>
      <w:r>
        <w:t>н</w:t>
      </w:r>
      <w:r>
        <w:t>венции на английском языке сначала был распр</w:t>
      </w:r>
      <w:r>
        <w:t>о</w:t>
      </w:r>
      <w:r>
        <w:t>странен среди учреждений правительства, а ее р</w:t>
      </w:r>
      <w:r>
        <w:t>е</w:t>
      </w:r>
      <w:r>
        <w:t>зюме на местном языке дзонгкха был направлен всем членам Национальной ассамблеи после рат</w:t>
      </w:r>
      <w:r>
        <w:t>и</w:t>
      </w:r>
      <w:r>
        <w:t>фикации в 1981 году. В 2003 году при поддержке Программы развития Организации Объединенных Наций был обеспечен письменный перевод на ра</w:t>
      </w:r>
      <w:r>
        <w:t>з</w:t>
      </w:r>
      <w:r>
        <w:t>личные местные языки всего текста Конвенции и резюме периодического доклада, которые были распространены среди всех подразделений наци</w:t>
      </w:r>
      <w:r>
        <w:t>о</w:t>
      </w:r>
      <w:r>
        <w:t>нальных и местных органов управления, гражда</w:t>
      </w:r>
      <w:r>
        <w:t>н</w:t>
      </w:r>
      <w:r>
        <w:t>ского общества и неправительственных организ</w:t>
      </w:r>
      <w:r>
        <w:t>а</w:t>
      </w:r>
      <w:r>
        <w:t>ций.</w:t>
      </w:r>
    </w:p>
    <w:p w:rsidR="00000000" w:rsidRDefault="00000000">
      <w:pPr>
        <w:pStyle w:val="DualTxt"/>
      </w:pPr>
      <w:r>
        <w:t>13.</w:t>
      </w:r>
      <w:r>
        <w:tab/>
        <w:t>Касаясь той степени, в которой внутреннее з</w:t>
      </w:r>
      <w:r>
        <w:t>а</w:t>
      </w:r>
      <w:r>
        <w:t>конодательство Бутана включает положения Ко</w:t>
      </w:r>
      <w:r>
        <w:t>н</w:t>
      </w:r>
      <w:r>
        <w:t>венции, он отмечает, что на протяжении предыд</w:t>
      </w:r>
      <w:r>
        <w:t>у</w:t>
      </w:r>
      <w:r>
        <w:t>щих двух десятилетий Национальная ассамблея разработала и приняла много новых законов. Только на ее самой последней сессии были рассмотрены 12 законов. Все учреждения правительства смогли получить тексты законопроектов до их представл</w:t>
      </w:r>
      <w:r>
        <w:t>е</w:t>
      </w:r>
      <w:r>
        <w:t>ния Национальной ассамблее, и предпринимались усилия по учету Конвенции при рассмотрении с</w:t>
      </w:r>
      <w:r>
        <w:t>о</w:t>
      </w:r>
      <w:r>
        <w:t>ответствующего законодательства. Сам процесс подготовки доклада для Комитета позволяет улу</w:t>
      </w:r>
      <w:r>
        <w:t>ч</w:t>
      </w:r>
      <w:r>
        <w:t>шать информированность. После ратификации Ко</w:t>
      </w:r>
      <w:r>
        <w:t>н</w:t>
      </w:r>
      <w:r>
        <w:t>венции правительство страны предпринимало все усилия для обеспечения того, чтобы новое закон</w:t>
      </w:r>
      <w:r>
        <w:t>о</w:t>
      </w:r>
      <w:r>
        <w:t>дательство, включая Закон о гражданстве 1985 года, Закон о браке 1996 года, Закон об изнасиловании 1996 года и гражданско-уголовно-процессуальные кодексы 2001 года, соответствовали положениям Конвенции.</w:t>
      </w:r>
    </w:p>
    <w:p w:rsidR="00000000" w:rsidRDefault="00000000">
      <w:pPr>
        <w:pStyle w:val="DualTxt"/>
      </w:pPr>
      <w:r>
        <w:t>14.</w:t>
      </w:r>
      <w:r>
        <w:tab/>
        <w:t>Статутные положения о преимущественной силе в случае коллизии внутреннего законодател</w:t>
      </w:r>
      <w:r>
        <w:t>ь</w:t>
      </w:r>
      <w:r>
        <w:t>ства и Конвенции отсутствуют. В случае возникн</w:t>
      </w:r>
      <w:r>
        <w:t>о</w:t>
      </w:r>
      <w:r>
        <w:t>вения коллизии, как правило, считается, что вну</w:t>
      </w:r>
      <w:r>
        <w:t>т</w:t>
      </w:r>
      <w:r>
        <w:t>реннее законодательство имеет преимущественную силу. Он признает, что могут потребоваться допо</w:t>
      </w:r>
      <w:r>
        <w:t>л</w:t>
      </w:r>
      <w:r>
        <w:t>нительные разъясн</w:t>
      </w:r>
      <w:r>
        <w:t>е</w:t>
      </w:r>
      <w:r>
        <w:t>ния.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Пем </w:t>
      </w:r>
      <w:r>
        <w:t>(Бутан), касаясь вопроса о соглас</w:t>
      </w:r>
      <w:r>
        <w:t>о</w:t>
      </w:r>
      <w:r>
        <w:t>вании традиционного понимания прав женщин и положений Конвенции, говорит, что, как правило, бутанские традиции отдают предпочтение женщ</w:t>
      </w:r>
      <w:r>
        <w:t>и</w:t>
      </w:r>
      <w:r>
        <w:t>нам. В целом родители не демонстрируют предпо</w:t>
      </w:r>
      <w:r>
        <w:t>ч</w:t>
      </w:r>
      <w:r>
        <w:t>тительного отношения к сыновьям и ухаживают за девочками так же, как и за мальчиками. Во многих частях страны в рамках практики по вопросам н</w:t>
      </w:r>
      <w:r>
        <w:t>а</w:t>
      </w:r>
      <w:r>
        <w:t>следования предпочтение отдается женщинам. В Бутане нет случаев убийства девочек, смерти в св</w:t>
      </w:r>
      <w:r>
        <w:t>я</w:t>
      </w:r>
      <w:r>
        <w:t>зи с приданым, сожжения невест и организованной торговли женщинами и детьми.</w:t>
      </w:r>
    </w:p>
    <w:p w:rsidR="00000000" w:rsidRDefault="00000000">
      <w:pPr>
        <w:pStyle w:val="DualTxt"/>
      </w:pPr>
      <w:r>
        <w:t>16.</w:t>
      </w:r>
      <w:r>
        <w:tab/>
        <w:t>Однако правительство ее страны признает возможную необходимость рассмотрения некот</w:t>
      </w:r>
      <w:r>
        <w:t>о</w:t>
      </w:r>
      <w:r>
        <w:t>рых представлений, которые могут препятствовать развитию в интересах женщин. Укрепление поте</w:t>
      </w:r>
      <w:r>
        <w:t>н</w:t>
      </w:r>
      <w:r>
        <w:t>циала и накопление соответствующего опыта в Б</w:t>
      </w:r>
      <w:r>
        <w:t>у</w:t>
      </w:r>
      <w:r>
        <w:t>тане позволят активизировать инфо</w:t>
      </w:r>
      <w:r>
        <w:t>р</w:t>
      </w:r>
      <w:r>
        <w:t>мационно-пропагандистские программы в этой св</w:t>
      </w:r>
      <w:r>
        <w:t>я</w:t>
      </w:r>
      <w:r>
        <w:t>зи.</w:t>
      </w:r>
    </w:p>
    <w:p w:rsidR="00000000" w:rsidRDefault="00000000">
      <w:pPr>
        <w:pStyle w:val="DualTxt"/>
      </w:pPr>
      <w:r>
        <w:t>17.</w:t>
      </w:r>
      <w:r>
        <w:tab/>
        <w:t>Касаясь временных специальных мер, она г</w:t>
      </w:r>
      <w:r>
        <w:t>о</w:t>
      </w:r>
      <w:r>
        <w:t>ворит, что вопросы женщин и детей занимают пр</w:t>
      </w:r>
      <w:r>
        <w:t>и</w:t>
      </w:r>
      <w:r>
        <w:t>оритетное место в планах правительства в области социально-экономического развития на протяжении последних 40 лет. С 1992 года все пятилетние пл</w:t>
      </w:r>
      <w:r>
        <w:t>а</w:t>
      </w:r>
      <w:r>
        <w:t>ны развития включали отдельные главы, в которых подчеркивались особые потребности женщин и д</w:t>
      </w:r>
      <w:r>
        <w:t>е</w:t>
      </w:r>
      <w:r>
        <w:t>тей, и новое законодательство также адекватно о</w:t>
      </w:r>
      <w:r>
        <w:t>х</w:t>
      </w:r>
      <w:r>
        <w:t>ватывало интересы женщин. Соответствующие у</w:t>
      </w:r>
      <w:r>
        <w:t>ч</w:t>
      </w:r>
      <w:r>
        <w:t>реждения ее правительства также поощряют же</w:t>
      </w:r>
      <w:r>
        <w:t>н</w:t>
      </w:r>
      <w:r>
        <w:t>щин и девочек к участию в деятельности в тех о</w:t>
      </w:r>
      <w:r>
        <w:t>б</w:t>
      </w:r>
      <w:r>
        <w:t>ластях, где они недопредставлены. Тем не менее, правительство желает рассмотреть вопрос о прин</w:t>
      </w:r>
      <w:r>
        <w:t>я</w:t>
      </w:r>
      <w:r>
        <w:t>тии временных специальных мер, где они необх</w:t>
      </w:r>
      <w:r>
        <w:t>о</w:t>
      </w:r>
      <w:r>
        <w:t>димы.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Тшеринг </w:t>
      </w:r>
      <w:r>
        <w:t>(Бутан) говорит, что, хотя в пр</w:t>
      </w:r>
      <w:r>
        <w:t>о</w:t>
      </w:r>
      <w:r>
        <w:t>екте конституции отсутствует конкретное опред</w:t>
      </w:r>
      <w:r>
        <w:t>е</w:t>
      </w:r>
      <w:r>
        <w:t>ление дискриминации, имеются положения, кот</w:t>
      </w:r>
      <w:r>
        <w:t>о</w:t>
      </w:r>
      <w:r>
        <w:t>рые конкретно регулируют права, прежде всего право женщин на равенство перед законом, что также охватывает понятие дискриминации. Касаясь включения билля о правах в проект конституции, он говорит, что, хотя нет раздела под названием «Билль о правах» в проекте конституции, им охв</w:t>
      </w:r>
      <w:r>
        <w:t>а</w:t>
      </w:r>
      <w:r>
        <w:t>чено более 50 различных прав, включая право на свободу совести; свободу выражения своего мн</w:t>
      </w:r>
      <w:r>
        <w:t>е</w:t>
      </w:r>
      <w:r>
        <w:t>ния; право на удовлетворение основных потребн</w:t>
      </w:r>
      <w:r>
        <w:t>о</w:t>
      </w:r>
      <w:r>
        <w:t>стей; обеспечение средств к существованию; право голоса; право на равную оплату за равноценный труд; и многие другие права, одно из которых пр</w:t>
      </w:r>
      <w:r>
        <w:t>и</w:t>
      </w:r>
      <w:r>
        <w:t>влекло особое внимание одного из членов Комит</w:t>
      </w:r>
      <w:r>
        <w:t>е</w:t>
      </w:r>
      <w:r>
        <w:t>та, а именно право не быть жертвой торговли людьми.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Пем </w:t>
      </w:r>
      <w:r>
        <w:t>(Бутан) говорит, что Комиссия по планированию, отвечающая за учет положений Конвенции в секторальных планах и стратегиях, я</w:t>
      </w:r>
      <w:r>
        <w:t>в</w:t>
      </w:r>
      <w:r>
        <w:t>ляется национальным координационным органом в отношении работы по гендерной проблематике, в то время как Национальная ассоциация женщин пре</w:t>
      </w:r>
      <w:r>
        <w:t>д</w:t>
      </w:r>
      <w:r>
        <w:t>ставляет гражданское общество. Комиссия по пл</w:t>
      </w:r>
      <w:r>
        <w:t>а</w:t>
      </w:r>
      <w:r>
        <w:t>нированию подготовила периодический доклад за счет средств Королевского правительства. Наци</w:t>
      </w:r>
      <w:r>
        <w:t>о</w:t>
      </w:r>
      <w:r>
        <w:t>нальная комиссия по делам женщин и детей отвеч</w:t>
      </w:r>
      <w:r>
        <w:t>а</w:t>
      </w:r>
      <w:r>
        <w:t>ет за контроль над осущест</w:t>
      </w:r>
      <w:r>
        <w:t>в</w:t>
      </w:r>
      <w:r>
        <w:t>лением Конвенции.</w:t>
      </w:r>
    </w:p>
    <w:p w:rsidR="00000000" w:rsidRDefault="00000000">
      <w:pPr>
        <w:pStyle w:val="DualTxt"/>
      </w:pPr>
      <w:r>
        <w:t>20.</w:t>
      </w:r>
      <w:r>
        <w:tab/>
        <w:t>Касаясь улучшения сбора данных, она говорит, что Центральная статистическая организация, кот</w:t>
      </w:r>
      <w:r>
        <w:t>о</w:t>
      </w:r>
      <w:r>
        <w:t>рая была недавно преобразована в независимый о</w:t>
      </w:r>
      <w:r>
        <w:t>р</w:t>
      </w:r>
      <w:r>
        <w:t>ган, Национальное статистическое бюро, почти в два раза увеличила число своих квалифицирова</w:t>
      </w:r>
      <w:r>
        <w:t>н</w:t>
      </w:r>
      <w:r>
        <w:t>ных сотрудников, с тем чтобы улучшить работу во всех 20 районах Бутана. Одна из основных обяза</w:t>
      </w:r>
      <w:r>
        <w:t>н</w:t>
      </w:r>
      <w:r>
        <w:t>ностей Бюро заключается в координации и станда</w:t>
      </w:r>
      <w:r>
        <w:t>р</w:t>
      </w:r>
      <w:r>
        <w:t>тизации сбора данных, при этом в скором времени будет введена обязательная разбивка по признаку пола.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 2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>н Тшеринг</w:t>
      </w:r>
      <w:r>
        <w:t xml:space="preserve"> (Бутан) желает добавить, что, являясь недавно назначенным председателем Бюро, он знает о необходимости представления данных с разбивкой по признаку пола, которые Бюро будет стремиться собирать в ходе любого соответству</w:t>
      </w:r>
      <w:r>
        <w:t>ю</w:t>
      </w:r>
      <w:r>
        <w:t>щего статистическ</w:t>
      </w:r>
      <w:r>
        <w:t>о</w:t>
      </w:r>
      <w:r>
        <w:t>го анализа.</w:t>
      </w:r>
    </w:p>
    <w:p w:rsidR="00000000" w:rsidRDefault="00000000">
      <w:pPr>
        <w:pStyle w:val="DualTxt"/>
      </w:pPr>
      <w:r>
        <w:t>22.</w:t>
      </w:r>
      <w:r>
        <w:tab/>
        <w:t>Касаясь положения женщин и детей в лагерях беженцев, он говорит, что экономическая иммигр</w:t>
      </w:r>
      <w:r>
        <w:t>а</w:t>
      </w:r>
      <w:r>
        <w:t>ция является коренной причиной этой проблемы. Непальские иммигранты, которые стали прибывать в южную часть Бутана в первой половине XX века, получили бутанское гражданство в 1958 году. После того как правительство страны приступило к реал</w:t>
      </w:r>
      <w:r>
        <w:t>и</w:t>
      </w:r>
      <w:r>
        <w:t>зации своего первого пятилетнего плана в 1961 году, значительно расширилась незаконная иммиграция. К концу 80</w:t>
      </w:r>
      <w:r>
        <w:noBreakHyphen/>
        <w:t>х годов Бутан, маленькая страна с населением порядка 600 000 человек, к</w:t>
      </w:r>
      <w:r>
        <w:t>о</w:t>
      </w:r>
      <w:r>
        <w:t>торая уже приняла иммигрантов, составлявших приблизительно 23 процента от численности его собственного населения, и предоставила им гра</w:t>
      </w:r>
      <w:r>
        <w:t>ж</w:t>
      </w:r>
      <w:r>
        <w:t>данство, был вынужден с учетом необходимости обеспечения своего дальнейшего существования положить конец непрекращающемуся притоку эк</w:t>
      </w:r>
      <w:r>
        <w:t>о</w:t>
      </w:r>
      <w:r>
        <w:t>номических мигра</w:t>
      </w:r>
      <w:r>
        <w:t>н</w:t>
      </w:r>
      <w:r>
        <w:t>тов.</w:t>
      </w:r>
    </w:p>
    <w:p w:rsidR="00000000" w:rsidRDefault="00000000">
      <w:pPr>
        <w:pStyle w:val="DualTxt"/>
      </w:pPr>
      <w:r>
        <w:t>23.</w:t>
      </w:r>
      <w:r>
        <w:tab/>
        <w:t>В ходе национальной переписи населения 1988 года было выявлено большое число незако</w:t>
      </w:r>
      <w:r>
        <w:t>н</w:t>
      </w:r>
      <w:r>
        <w:t>ных поселенцев. Мотивируемые политическими с</w:t>
      </w:r>
      <w:r>
        <w:t>о</w:t>
      </w:r>
      <w:r>
        <w:t>ображениями лица, многие из которых незаконно поселились в Бутане, участвовали в террористич</w:t>
      </w:r>
      <w:r>
        <w:t>е</w:t>
      </w:r>
      <w:r>
        <w:t>ской деятельности и противодействовали переписи и любым стратегиям, предназначавшимся для с</w:t>
      </w:r>
      <w:r>
        <w:t>о</w:t>
      </w:r>
      <w:r>
        <w:t>кращения масштабов незаконной иммиграции. Не заручившись массовой поддержкой, они собрали большое число людей в лагерях беженцев в восто</w:t>
      </w:r>
      <w:r>
        <w:t>ч</w:t>
      </w:r>
      <w:r>
        <w:t>ной части Непала, с тем чтобы начать политич</w:t>
      </w:r>
      <w:r>
        <w:t>е</w:t>
      </w:r>
      <w:r>
        <w:t>скую кампанию, основывающуюся на признаке э</w:t>
      </w:r>
      <w:r>
        <w:t>т</w:t>
      </w:r>
      <w:r>
        <w:t>нической принадлежности, необоснованных утве</w:t>
      </w:r>
      <w:r>
        <w:t>р</w:t>
      </w:r>
      <w:r>
        <w:t>ждениях в нарушениях прав человека со стороны правительства его страны и призывах к обеспеч</w:t>
      </w:r>
      <w:r>
        <w:t>е</w:t>
      </w:r>
      <w:r>
        <w:t>нию демократии для достижения их узких полит</w:t>
      </w:r>
      <w:r>
        <w:t>и</w:t>
      </w:r>
      <w:r>
        <w:t>ческих целей.</w:t>
      </w:r>
    </w:p>
    <w:p w:rsidR="00000000" w:rsidRDefault="00000000">
      <w:pPr>
        <w:pStyle w:val="DualTxt"/>
      </w:pPr>
      <w:r>
        <w:t>24.</w:t>
      </w:r>
      <w:r>
        <w:tab/>
        <w:t>Правительство его страны и правительство Непала проводили с 1993 года двухсторонние пер</w:t>
      </w:r>
      <w:r>
        <w:t>е</w:t>
      </w:r>
      <w:r>
        <w:t>говоры и учредили совместный комитет министров для поиска долгосрочного решения проблемы лиц, проживающих в лагерях, и иммиграции в целом. Несмотря на первоначальный медленный прогресс, правительства обеих стран добились заметных у</w:t>
      </w:r>
      <w:r>
        <w:t>с</w:t>
      </w:r>
      <w:r>
        <w:t>пехов, включая создание совместной группы по проверке происхождения лиц, проживающих в л</w:t>
      </w:r>
      <w:r>
        <w:t>а</w:t>
      </w:r>
      <w:r>
        <w:t>герях. Правительство его страны согласилось пр</w:t>
      </w:r>
      <w:r>
        <w:t>и</w:t>
      </w:r>
      <w:r>
        <w:t>нять на себя всю ответственность за любого гра</w:t>
      </w:r>
      <w:r>
        <w:t>ж</w:t>
      </w:r>
      <w:r>
        <w:t>данина Бутана, который, если это будет обнаруж</w:t>
      </w:r>
      <w:r>
        <w:t>е</w:t>
      </w:r>
      <w:r>
        <w:t>но, был насильственно выселен из Бутана. Прав</w:t>
      </w:r>
      <w:r>
        <w:t>и</w:t>
      </w:r>
      <w:r>
        <w:t>тельства обеих стран согласились, что с эмигрант</w:t>
      </w:r>
      <w:r>
        <w:t>а</w:t>
      </w:r>
      <w:r>
        <w:t>ми будут обращаться в соответствии с законами обеих стран о гражданстве и иммиграции. Те эми</w:t>
      </w:r>
      <w:r>
        <w:t>г</w:t>
      </w:r>
      <w:r>
        <w:t>ранты, которые пожелали вернуться в Бутан, пол</w:t>
      </w:r>
      <w:r>
        <w:t>у</w:t>
      </w:r>
      <w:r>
        <w:t>чат возможность вновь подать заявление на получ</w:t>
      </w:r>
      <w:r>
        <w:t>е</w:t>
      </w:r>
      <w:r>
        <w:t>ние бутанского гражданства, которое в настоящее время предоставляется после двухлетнего, а не 15-летнего испытательного срока. Те лица, заявления которых на предоставление гражданства находятся на рассмотрении, получат право на работу, беспла</w:t>
      </w:r>
      <w:r>
        <w:t>т</w:t>
      </w:r>
      <w:r>
        <w:t>ную медицинскую помощь и образование в Бутане и возможность подать заявление о предоставлении непальского гражданства в соответствии с законами Непала.</w:t>
      </w:r>
    </w:p>
    <w:p w:rsidR="00000000" w:rsidRDefault="00000000">
      <w:pPr>
        <w:pStyle w:val="DualTxt"/>
      </w:pPr>
      <w:r>
        <w:t>25.</w:t>
      </w:r>
      <w:r>
        <w:tab/>
        <w:t>Совместная группа по проверке завершила свою инспекцию одного из семи лагерей, и прав</w:t>
      </w:r>
      <w:r>
        <w:t>и</w:t>
      </w:r>
      <w:r>
        <w:t>тельства обеих стран согласились принять решение по ее выводам в середине февраля 2004 года. В д</w:t>
      </w:r>
      <w:r>
        <w:t>е</w:t>
      </w:r>
      <w:r>
        <w:t>кабре 2003 года эта группа столкнулась с трудн</w:t>
      </w:r>
      <w:r>
        <w:t>о</w:t>
      </w:r>
      <w:r>
        <w:t>стями, когда жители совершили на нее сопрово</w:t>
      </w:r>
      <w:r>
        <w:t>ж</w:t>
      </w:r>
      <w:r>
        <w:t>давшееся насилием нападение в ходе одного из брифингов. Правительства обеих стран проводят тщательное расследование этого инцидента, с тем чтобы такие группы могли возо</w:t>
      </w:r>
      <w:r>
        <w:t>б</w:t>
      </w:r>
      <w:r>
        <w:t>новить работу.</w:t>
      </w:r>
    </w:p>
    <w:p w:rsidR="00000000" w:rsidRDefault="00000000">
      <w:pPr>
        <w:pStyle w:val="DualTxt"/>
      </w:pPr>
      <w:r>
        <w:t>26.</w:t>
      </w:r>
      <w:r>
        <w:tab/>
        <w:t>Что касается гражданства, то дети бутанских граждан, состоящих в браке с иностранным гра</w:t>
      </w:r>
      <w:r>
        <w:t>ж</w:t>
      </w:r>
      <w:r>
        <w:t>данином, будь то мужчиной или женщиной, имеют право на натурализацию. Правительство его страны полностью осознает гуманитарные аспекты этой сложной проблемы и делает вместе с правительс</w:t>
      </w:r>
      <w:r>
        <w:t>т</w:t>
      </w:r>
      <w:r>
        <w:t>вом Непала все возможное для достижения спр</w:t>
      </w:r>
      <w:r>
        <w:t>а</w:t>
      </w:r>
      <w:r>
        <w:t>ведливого и долгосро</w:t>
      </w:r>
      <w:r>
        <w:t>ч</w:t>
      </w:r>
      <w:r>
        <w:t>ного решения.</w:t>
      </w:r>
    </w:p>
    <w:p w:rsidR="00000000" w:rsidRDefault="00000000">
      <w:pPr>
        <w:pStyle w:val="DualTxt"/>
      </w:pPr>
      <w:r>
        <w:t>27.</w:t>
      </w:r>
      <w:r>
        <w:tab/>
        <w:t>Насилие в отношении женщин рассматривае</w:t>
      </w:r>
      <w:r>
        <w:t>т</w:t>
      </w:r>
      <w:r>
        <w:t>ся в качестве уголовно наказуемого правонаруш</w:t>
      </w:r>
      <w:r>
        <w:t>е</w:t>
      </w:r>
      <w:r>
        <w:t>ния. Хотя в законодательстве Бутана отсутствует определение бытового насилия, оно охватывается положениями проекта уголовного кодекса, в кот</w:t>
      </w:r>
      <w:r>
        <w:t>о</w:t>
      </w:r>
      <w:r>
        <w:t>ром рассматриваются различные формы насилия. При помощи Красного Креста, Управления Верхо</w:t>
      </w:r>
      <w:r>
        <w:t>в</w:t>
      </w:r>
      <w:r>
        <w:t>ного комиссара по правам человека и проекта Д</w:t>
      </w:r>
      <w:r>
        <w:t>а</w:t>
      </w:r>
      <w:r>
        <w:t>нии по вопросам надлежащего управления с уч</w:t>
      </w:r>
      <w:r>
        <w:t>а</w:t>
      </w:r>
      <w:r>
        <w:t>стием судей, полицейских, врачей, преподавателей, журналистов и политиков проводится большое чи</w:t>
      </w:r>
      <w:r>
        <w:t>с</w:t>
      </w:r>
      <w:r>
        <w:t>ло практикумов по вопросам прав человека, пре</w:t>
      </w:r>
      <w:r>
        <w:t>д</w:t>
      </w:r>
      <w:r>
        <w:t>назначающихся для улучшения информирования о проблеме насилия в отношении женщин и секс</w:t>
      </w:r>
      <w:r>
        <w:t>у</w:t>
      </w:r>
      <w:r>
        <w:t>альных домогательств. Хотя женщины не сталк</w:t>
      </w:r>
      <w:r>
        <w:t>и</w:t>
      </w:r>
      <w:r>
        <w:t>ваются с юридическими препятствиями при н</w:t>
      </w:r>
      <w:r>
        <w:t>а</w:t>
      </w:r>
      <w:r>
        <w:t>правлении сообщений о случаях насилия в отнош</w:t>
      </w:r>
      <w:r>
        <w:t>е</w:t>
      </w:r>
      <w:r>
        <w:t>нии них, давление в рамках семьи, оказываемое в целях урегулирования разногласий, удерживает их от этого.</w:t>
      </w:r>
    </w:p>
    <w:p w:rsidR="00000000" w:rsidRDefault="00000000">
      <w:pPr>
        <w:pStyle w:val="DualTxt"/>
      </w:pPr>
      <w:r>
        <w:t>28.</w:t>
      </w:r>
      <w:r>
        <w:tab/>
        <w:t>В законе 1996 года об изнасиловании изнас</w:t>
      </w:r>
      <w:r>
        <w:t>и</w:t>
      </w:r>
      <w:r>
        <w:t>лование определяется в качестве акта полового сношения без согласия, с любым использованием силы или угрозы причинения физического вреда или смерти. Кроме того, одно из положений проекта уголовного кодекса конкретно определяет изнас</w:t>
      </w:r>
      <w:r>
        <w:t>и</w:t>
      </w:r>
      <w:r>
        <w:t>лование в рамках брака в качестве полового снош</w:t>
      </w:r>
      <w:r>
        <w:t>е</w:t>
      </w:r>
      <w:r>
        <w:t>ния без согласия или вопреки воле супруги или супруга.</w:t>
      </w:r>
    </w:p>
    <w:p w:rsidR="00000000" w:rsidRDefault="00000000">
      <w:pPr>
        <w:pStyle w:val="DualTxt"/>
      </w:pPr>
      <w:r>
        <w:t>29.</w:t>
      </w:r>
      <w:r>
        <w:tab/>
        <w:t>Касаясь принятия проекта конституции, он г</w:t>
      </w:r>
      <w:r>
        <w:t>о</w:t>
      </w:r>
      <w:r>
        <w:t>ворит, что в августе 2003 года завершилась работа над вторым проектом, в который, по всей видим</w:t>
      </w:r>
      <w:r>
        <w:t>о</w:t>
      </w:r>
      <w:r>
        <w:t>сти, будут внесены дополнительные поправки до представления Королю и правительству. Он будет окончательно подготовлен и принят парламентом после представления текста и направления его во все районы для дальнейшего рассмотрения. Хотя первый проект был подготовлен на основе внутре</w:t>
      </w:r>
      <w:r>
        <w:t>н</w:t>
      </w:r>
      <w:r>
        <w:t>него опыта и знаний в целях обеспечения наци</w:t>
      </w:r>
      <w:r>
        <w:t>о</w:t>
      </w:r>
      <w:r>
        <w:t>нального характера этого документа, в связи с ра</w:t>
      </w:r>
      <w:r>
        <w:t>з</w:t>
      </w:r>
      <w:r>
        <w:t>работкой второго проекта правительство обращ</w:t>
      </w:r>
      <w:r>
        <w:t>а</w:t>
      </w:r>
      <w:r>
        <w:t>лось с просьбой о предоставлении внешней пом</w:t>
      </w:r>
      <w:r>
        <w:t>о</w:t>
      </w:r>
      <w:r>
        <w:t>щи, прежде всего к своим партн</w:t>
      </w:r>
      <w:r>
        <w:t>е</w:t>
      </w:r>
      <w:r>
        <w:t>рам.</w:t>
      </w:r>
    </w:p>
    <w:p w:rsidR="00000000" w:rsidRDefault="00000000">
      <w:pPr>
        <w:pStyle w:val="DualTxt"/>
      </w:pPr>
      <w:r>
        <w:t>30.</w:t>
      </w:r>
      <w:r>
        <w:tab/>
        <w:t>Он говорит, что нет различия между</w:t>
      </w:r>
      <w:r>
        <w:br/>
        <w:t>общим законодательством и высшим законодател</w:t>
      </w:r>
      <w:r>
        <w:t>ь</w:t>
      </w:r>
      <w:r>
        <w:t>ством 1957 года. «Высшее законодательство» явл</w:t>
      </w:r>
      <w:r>
        <w:t>я</w:t>
      </w:r>
      <w:r>
        <w:t>ется дословным переводом выражения “Thrimzhung Chhenepo”, первый комплекс современных законов, принятых Национальной ассамблеей, в то время как «общее законодательство» используется с учетом широкого круга ра</w:t>
      </w:r>
      <w:r>
        <w:t>с</w:t>
      </w:r>
      <w:r>
        <w:t>сматриваемых вопросов.</w:t>
      </w:r>
    </w:p>
    <w:p w:rsidR="00000000" w:rsidRDefault="00000000">
      <w:pPr>
        <w:pStyle w:val="DualTxt"/>
      </w:pPr>
      <w:r>
        <w:t>31.</w:t>
      </w:r>
      <w:r>
        <w:tab/>
        <w:t>Касаясь процедуры внесения поправок в зак</w:t>
      </w:r>
      <w:r>
        <w:t>о</w:t>
      </w:r>
      <w:r>
        <w:t>ны, он говорит, что члены парламента и правител</w:t>
      </w:r>
      <w:r>
        <w:t>ь</w:t>
      </w:r>
      <w:r>
        <w:t>ственные учреждения активно выдвигали предл</w:t>
      </w:r>
      <w:r>
        <w:t>о</w:t>
      </w:r>
      <w:r>
        <w:t>жения о поправках для учета изменяющихся экон</w:t>
      </w:r>
      <w:r>
        <w:t>о</w:t>
      </w:r>
      <w:r>
        <w:t>мических и социальных потребностей Бутана. Чл</w:t>
      </w:r>
      <w:r>
        <w:t>е</w:t>
      </w:r>
      <w:r>
        <w:t>ны Национальной ассамблеи должны посещать д</w:t>
      </w:r>
      <w:r>
        <w:t>е</w:t>
      </w:r>
      <w:r>
        <w:t>ревни и разъяснять новое законодательство своим избирателям. С учетом своего собственного опыта он говорит, что такие поездки часто затягиваются до поздней ночи. К счастью, Бутан является дост</w:t>
      </w:r>
      <w:r>
        <w:t>а</w:t>
      </w:r>
      <w:r>
        <w:t>точно небольшой страной и может позволить себе проводить т</w:t>
      </w:r>
      <w:r>
        <w:t>а</w:t>
      </w:r>
      <w:r>
        <w:t>кие собрания.</w:t>
      </w:r>
    </w:p>
    <w:p w:rsidR="00000000" w:rsidRDefault="00000000">
      <w:pPr>
        <w:pStyle w:val="DualTxt"/>
      </w:pPr>
      <w:r>
        <w:t>32.</w:t>
      </w:r>
      <w:r>
        <w:tab/>
        <w:t>В заключение он признает наличие большого числа пробелов в докладе и говорит, что его делег</w:t>
      </w:r>
      <w:r>
        <w:t>а</w:t>
      </w:r>
      <w:r>
        <w:t>ция обратится к соответствующим учреждениям с просьбой предоставить требуемые данные в буд</w:t>
      </w:r>
      <w:r>
        <w:t>у</w:t>
      </w:r>
      <w:r>
        <w:t>щем.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 3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>жа Пенджор</w:t>
      </w:r>
      <w:r>
        <w:t xml:space="preserve"> (Бутан) говорит, что Наци</w:t>
      </w:r>
      <w:r>
        <w:t>о</w:t>
      </w:r>
      <w:r>
        <w:t>нальная ассоциация женщин является независимой неправительственной организацией, возглавляемой одним из членов королевской семьи и призванной повышать качество жизни женщин, прежде всего сельских женщин, улучшать информированность по вопросам ухода за матерями и детьми, питания, чистой питьевой воды и гигиены и поощрять же</w:t>
      </w:r>
      <w:r>
        <w:t>н</w:t>
      </w:r>
      <w:r>
        <w:t>щин к активному участию в социально-экономическом развитии при помощи професси</w:t>
      </w:r>
      <w:r>
        <w:t>о</w:t>
      </w:r>
      <w:r>
        <w:t>нальной подготовки, осуществления безопасных с экологической точки зрения проектов в целях обе</w:t>
      </w:r>
      <w:r>
        <w:t>с</w:t>
      </w:r>
      <w:r>
        <w:t>печения доходов и планов кредитования в сельских районах. Представляя гражданское общество, А</w:t>
      </w:r>
      <w:r>
        <w:t>с</w:t>
      </w:r>
      <w:r>
        <w:t>социация участвует во многих форумах по пробл</w:t>
      </w:r>
      <w:r>
        <w:t>е</w:t>
      </w:r>
      <w:r>
        <w:t>мам женщин, включая заседания Комитета, и играет определенную роль в мониторинге осуществления Конвенции.</w:t>
      </w:r>
    </w:p>
    <w:p w:rsidR="00000000" w:rsidRDefault="00000000">
      <w:pPr>
        <w:pStyle w:val="DualTxt"/>
      </w:pPr>
      <w:r>
        <w:t>34.</w:t>
      </w:r>
      <w:r>
        <w:tab/>
        <w:t>Касаясь отношений с неправительственными организациями, она говорит, что правительство ее страны осознает полезную роль, которую они могут играть в содействии национальному развитию, и признает их самостоятельность.</w:t>
      </w:r>
    </w:p>
    <w:p w:rsidR="00000000" w:rsidRDefault="00000000">
      <w:pPr>
        <w:pStyle w:val="DualTxt"/>
      </w:pPr>
      <w:r>
        <w:t>35.</w:t>
      </w:r>
      <w:r>
        <w:tab/>
        <w:t>Национальная комиссия по делам женщин, я</w:t>
      </w:r>
      <w:r>
        <w:t>в</w:t>
      </w:r>
      <w:r>
        <w:t>ляющаяся независимым органом, отвечает за мон</w:t>
      </w:r>
      <w:r>
        <w:t>и</w:t>
      </w:r>
      <w:r>
        <w:t>торинг осуществления международных и реги</w:t>
      </w:r>
      <w:r>
        <w:t>о</w:t>
      </w:r>
      <w:r>
        <w:t>нальных конвенций, касающихся женщин и детей, участником которых является Бутан, представляет правительству рекомендации по вопросам женщин и детей, подготавливает периодические доклады Бутана и информирует о таких соглашениях, к</w:t>
      </w:r>
      <w:r>
        <w:t>а</w:t>
      </w:r>
      <w:r>
        <w:t>сающихся прав женщин, как Конвенция.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>жа Пем</w:t>
      </w:r>
      <w:r>
        <w:t xml:space="preserve"> (Бутан) говорит, что меры по улу</w:t>
      </w:r>
      <w:r>
        <w:t>ч</w:t>
      </w:r>
      <w:r>
        <w:t>шению положения женщин включаются во все п</w:t>
      </w:r>
      <w:r>
        <w:t>я</w:t>
      </w:r>
      <w:r>
        <w:t>тилетние планы, секторальные проекты и програ</w:t>
      </w:r>
      <w:r>
        <w:t>м</w:t>
      </w:r>
      <w:r>
        <w:t>мы с 1992 года. Учреждение Национальной коми</w:t>
      </w:r>
      <w:r>
        <w:t>с</w:t>
      </w:r>
      <w:r>
        <w:t>сии по делам женщин и детей, акцент на сбор да</w:t>
      </w:r>
      <w:r>
        <w:t>н</w:t>
      </w:r>
      <w:r>
        <w:t>ных с разбивкой по признаку пола и укрепление п</w:t>
      </w:r>
      <w:r>
        <w:t>о</w:t>
      </w:r>
      <w:r>
        <w:t>тенциала координаторов по женской проблематике во всех соответствующих учреждениях обеспечат учет гендерных проблем при разработке политики. Текущий план включает программы улучшения здоровья, образования и возможностей женщин в области трудоустройства и их представительства в общественной жизни. Кроме того, предпринимаю</w:t>
      </w:r>
      <w:r>
        <w:t>т</w:t>
      </w:r>
      <w:r>
        <w:t>ся усилия по достижению целей в области развития, сформулированных в Декларации тысячелетия, к</w:t>
      </w:r>
      <w:r>
        <w:t>о</w:t>
      </w:r>
      <w:r>
        <w:t>торая была подписана правительством ее страны, т.е. целей, касающихся равенства полов и улучш</w:t>
      </w:r>
      <w:r>
        <w:t>е</w:t>
      </w:r>
      <w:r>
        <w:t>ния положения же</w:t>
      </w:r>
      <w:r>
        <w:t>н</w:t>
      </w:r>
      <w:r>
        <w:t>щин.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Статьи 5–7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Пенджор </w:t>
      </w:r>
      <w:r>
        <w:t>(Бутан), отвечая на вопросы об усилиях правительства ее страны по изменению б</w:t>
      </w:r>
      <w:r>
        <w:t>о</w:t>
      </w:r>
      <w:r>
        <w:t>лее скрытых форм дискриминации и стереотипных представлений, говорит, что образование рассма</w:t>
      </w:r>
      <w:r>
        <w:t>т</w:t>
      </w:r>
      <w:r>
        <w:t>ривается в качестве как одного из прав, так и одн</w:t>
      </w:r>
      <w:r>
        <w:t>о</w:t>
      </w:r>
      <w:r>
        <w:t>го из необходимых условий достижения общих с</w:t>
      </w:r>
      <w:r>
        <w:t>о</w:t>
      </w:r>
      <w:r>
        <w:t>циальных, культурных и экономических целей, о</w:t>
      </w:r>
      <w:r>
        <w:t>п</w:t>
      </w:r>
      <w:r>
        <w:t>ределенных для страны. Одна из основных страт</w:t>
      </w:r>
      <w:r>
        <w:t>е</w:t>
      </w:r>
      <w:r>
        <w:t>гий, принятых для этого сектора, предусматривает непрерывное повышение качества и значения обр</w:t>
      </w:r>
      <w:r>
        <w:t>а</w:t>
      </w:r>
      <w:r>
        <w:t>зования для обеспечения целостного развития р</w:t>
      </w:r>
      <w:r>
        <w:t>е</w:t>
      </w:r>
      <w:r>
        <w:t>бенка независимо от пола. Говоря более конкретно, при помощи образования, прежде всего при пом</w:t>
      </w:r>
      <w:r>
        <w:t>о</w:t>
      </w:r>
      <w:r>
        <w:t>щи специальных программ, таких, как выявление кандидатов и консультирование по вопросам труд</w:t>
      </w:r>
      <w:r>
        <w:t>о</w:t>
      </w:r>
      <w:r>
        <w:t>устройства, правительство поощряет девочек к уч</w:t>
      </w:r>
      <w:r>
        <w:t>а</w:t>
      </w:r>
      <w:r>
        <w:t>стию на равной основе во всех сферах деятельн</w:t>
      </w:r>
      <w:r>
        <w:t>о</w:t>
      </w:r>
      <w:r>
        <w:t>сти. Департамент по учебной программе Министе</w:t>
      </w:r>
      <w:r>
        <w:t>р</w:t>
      </w:r>
      <w:r>
        <w:t>ства образования предпринимает планомерные ус</w:t>
      </w:r>
      <w:r>
        <w:t>и</w:t>
      </w:r>
      <w:r>
        <w:t>лия по недопущению стереотипных гендерных формулировок и изображений в школьных учебн</w:t>
      </w:r>
      <w:r>
        <w:t>и</w:t>
      </w:r>
      <w:r>
        <w:t xml:space="preserve">ках. 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Г-н Чопель</w:t>
      </w:r>
      <w:r>
        <w:t xml:space="preserve"> (Бутан) говорит, что ссылка в докладе на «аморальную торговлю» не является о</w:t>
      </w:r>
      <w:r>
        <w:t>п</w:t>
      </w:r>
      <w:r>
        <w:t>ределением торговли. Это лишь элемент языкового стиля; положения законопроекта об аморальной торговле включены в настоящее время в проект уголовного кодекса Бутана. Бутан ратифицировал в 2003 году Конвенцию о предупреждении и пресеч</w:t>
      </w:r>
      <w:r>
        <w:t>е</w:t>
      </w:r>
      <w:r>
        <w:t>нии торговли женщинами и детьми для целей пр</w:t>
      </w:r>
      <w:r>
        <w:t>о</w:t>
      </w:r>
      <w:r>
        <w:t>ституции, разработанную Ассоциацией регионал</w:t>
      </w:r>
      <w:r>
        <w:t>ь</w:t>
      </w:r>
      <w:r>
        <w:t>ного сотрудничества стран Южной Азии (СААРК). Предполагалось, что Конвенция 1949 года о борьбе с торговлей людьми и с эксплуатацией проституции третьими лицами является аналогичной по своей сути. Однако с учетом рекомендаций Комитета пр</w:t>
      </w:r>
      <w:r>
        <w:t>а</w:t>
      </w:r>
      <w:r>
        <w:t>вительство изучит последнюю конвенцию на пре</w:t>
      </w:r>
      <w:r>
        <w:t>д</w:t>
      </w:r>
      <w:r>
        <w:t>мет выявления любых схожих положений или ра</w:t>
      </w:r>
      <w:r>
        <w:t>з</w:t>
      </w:r>
      <w:r>
        <w:t>личий.</w:t>
      </w:r>
    </w:p>
    <w:p w:rsidR="00000000" w:rsidRDefault="00000000">
      <w:pPr>
        <w:pStyle w:val="DualTxt"/>
      </w:pPr>
      <w:r>
        <w:t>39.</w:t>
      </w:r>
      <w:r>
        <w:tab/>
        <w:t>Касаясь вопроса об участии в политической жизни, он отмечает, что в последние годы увелич</w:t>
      </w:r>
      <w:r>
        <w:t>и</w:t>
      </w:r>
      <w:r>
        <w:t>лось число женщин в Национальной ассамблее. В настоящее время на долю женщин приходится 13 из 100 избранных представителей, включая одного с</w:t>
      </w:r>
      <w:r>
        <w:t>о</w:t>
      </w:r>
      <w:r>
        <w:t>ветника-консультанта Короля. Женщины также уч</w:t>
      </w:r>
      <w:r>
        <w:t>а</w:t>
      </w:r>
      <w:r>
        <w:t>ствуют в деятельности комитетов по вопросам ра</w:t>
      </w:r>
      <w:r>
        <w:t>з</w:t>
      </w:r>
      <w:r>
        <w:t>вития районов и кварталов, данные о чем будут представлены в следующем периодическом докл</w:t>
      </w:r>
      <w:r>
        <w:t>а</w:t>
      </w:r>
      <w:r>
        <w:t>де. Хотя женщины работают в судебной системе Бутана, еще предстоит обеспечить определенную степень равенства. Точные данные в этой связи б</w:t>
      </w:r>
      <w:r>
        <w:t>у</w:t>
      </w:r>
      <w:r>
        <w:t>дут представлены в следующем докладе. Кроме т</w:t>
      </w:r>
      <w:r>
        <w:t>о</w:t>
      </w:r>
      <w:r>
        <w:t>го, увеличивается число женщин, изучающих юр</w:t>
      </w:r>
      <w:r>
        <w:t>и</w:t>
      </w:r>
      <w:r>
        <w:t>дические дисциплины за пределами страны, и да</w:t>
      </w:r>
      <w:r>
        <w:t>н</w:t>
      </w:r>
      <w:r>
        <w:t>ные о них будут представлены в последующих до</w:t>
      </w:r>
      <w:r>
        <w:t>к</w:t>
      </w:r>
      <w:r>
        <w:t>ладах. Ссылка на гражданские беспорядки в докл</w:t>
      </w:r>
      <w:r>
        <w:t>а</w:t>
      </w:r>
      <w:r>
        <w:t>де конкретно касалась непродолжительного периода в начале 90</w:t>
      </w:r>
      <w:r>
        <w:noBreakHyphen/>
        <w:t>х годов, когда антинациональные эл</w:t>
      </w:r>
      <w:r>
        <w:t>е</w:t>
      </w:r>
      <w:r>
        <w:t>менты совершили акты насилия в отношении гра</w:t>
      </w:r>
      <w:r>
        <w:t>ж</w:t>
      </w:r>
      <w:r>
        <w:t>данских лиц в приграничных общинах. Эта пробл</w:t>
      </w:r>
      <w:r>
        <w:t>е</w:t>
      </w:r>
      <w:r>
        <w:t>ма была урегулирована путем укрепления прису</w:t>
      </w:r>
      <w:r>
        <w:t>т</w:t>
      </w:r>
      <w:r>
        <w:t>ствия сотрудников правоохранительных органов вдоль границы и активизации патрулирования с участием полиции и повышения уровня бдительн</w:t>
      </w:r>
      <w:r>
        <w:t>о</w:t>
      </w:r>
      <w:r>
        <w:t>сти.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ind w:left="475" w:hanging="475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 8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>н Чопель</w:t>
      </w:r>
      <w:r>
        <w:t xml:space="preserve"> (Бутан) отмечает, что, хотя в Б</w:t>
      </w:r>
      <w:r>
        <w:t>у</w:t>
      </w:r>
      <w:r>
        <w:t>тане нет женщин на должности посла, в нем отм</w:t>
      </w:r>
      <w:r>
        <w:t>е</w:t>
      </w:r>
      <w:r>
        <w:t>чается относительно хорошее представительство женщин в дипломатической службе. Женщина з</w:t>
      </w:r>
      <w:r>
        <w:t>а</w:t>
      </w:r>
      <w:r>
        <w:t>нимает должность секретаря Бутана по иностра</w:t>
      </w:r>
      <w:r>
        <w:t>н</w:t>
      </w:r>
      <w:r>
        <w:t>ным делам, т.е. вторую по значению должность в дипломатической службе. Женщины занимают должности заместителей глав двух из шести пре</w:t>
      </w:r>
      <w:r>
        <w:t>д</w:t>
      </w:r>
      <w:r>
        <w:t>ставительств страны. Женщины-дипломаты учас</w:t>
      </w:r>
      <w:r>
        <w:t>т</w:t>
      </w:r>
      <w:r>
        <w:t>вуют в 44 процентах всех учебных и предусматр</w:t>
      </w:r>
      <w:r>
        <w:t>и</w:t>
      </w:r>
      <w:r>
        <w:t>вающих предоставление стипендий программ, ос</w:t>
      </w:r>
      <w:r>
        <w:t>у</w:t>
      </w:r>
      <w:r>
        <w:t>ществляемых Министерством. В настоящее время на долю женщин приходятся два из трех диплом</w:t>
      </w:r>
      <w:r>
        <w:t>а</w:t>
      </w:r>
      <w:r>
        <w:t>тов, обучающихся в аспирантуре. В последнее дес</w:t>
      </w:r>
      <w:r>
        <w:t>я</w:t>
      </w:r>
      <w:r>
        <w:t>тилетие каждый второй дипломат, направленный из столицы на Генеральную Ассамблею Организации Объединенных Наций, был женщиной-дипломатом. Предпринимаются попытки по обеспечению того, чтобы в каждом представительстве Бутана за руб</w:t>
      </w:r>
      <w:r>
        <w:t>е</w:t>
      </w:r>
      <w:r>
        <w:t>жом работала по крайней мере одна женщ</w:t>
      </w:r>
      <w:r>
        <w:t>и</w:t>
      </w:r>
      <w:r>
        <w:t>на-дипломат.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 9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>н Тшеринг</w:t>
      </w:r>
      <w:r>
        <w:t xml:space="preserve"> (Бутан), отвечая на вопросы о гражданстве, говорит, что в соответствии с закон</w:t>
      </w:r>
      <w:r>
        <w:t>а</w:t>
      </w:r>
      <w:r>
        <w:t>ми о гражданстве 1958 и 1977 годов гражданство предоставляется детям, отец которых является гр</w:t>
      </w:r>
      <w:r>
        <w:t>а</w:t>
      </w:r>
      <w:r>
        <w:t>жданином Бутана. Не являющиеся гражданами Б</w:t>
      </w:r>
      <w:r>
        <w:t>у</w:t>
      </w:r>
      <w:r>
        <w:t>тана супруги и дети отцов, не являющихся гражд</w:t>
      </w:r>
      <w:r>
        <w:t>а</w:t>
      </w:r>
      <w:r>
        <w:t>нами Бутана, получают статус резидента, пред</w:t>
      </w:r>
      <w:r>
        <w:t>у</w:t>
      </w:r>
      <w:r>
        <w:t>сматривающий возможность натурализации. Закон о гражданстве 1985 года носит нейтральный с ге</w:t>
      </w:r>
      <w:r>
        <w:t>н</w:t>
      </w:r>
      <w:r>
        <w:t>дерной точки зрения характер, и гражданство м</w:t>
      </w:r>
      <w:r>
        <w:t>о</w:t>
      </w:r>
      <w:r>
        <w:t>жет быть получено при рождении в том случае, е</w:t>
      </w:r>
      <w:r>
        <w:t>с</w:t>
      </w:r>
      <w:r>
        <w:t>ли оба родителя являются гражданами; в результате регистрации, если лицо постоянно проживало в Б</w:t>
      </w:r>
      <w:r>
        <w:t>у</w:t>
      </w:r>
      <w:r>
        <w:t>тане по состоянию на 31 декабря 1958 года или до этого; и путем натурализации в результате выпо</w:t>
      </w:r>
      <w:r>
        <w:t>л</w:t>
      </w:r>
      <w:r>
        <w:t>нения ряда требований. Брак с лицом, не явля</w:t>
      </w:r>
      <w:r>
        <w:t>ю</w:t>
      </w:r>
      <w:r>
        <w:t>щимся гражданином Бутана, не меняет гражданства женщины. Женщины сохраняют гражданство, и их не заставляют получать гражданство их супругов. Что касается супругов и детей, не являющихся гр</w:t>
      </w:r>
      <w:r>
        <w:t>а</w:t>
      </w:r>
      <w:r>
        <w:t>жданами Бутана, то без какого-либо ограничения им предоставляются возможность проживания, а также доступ к здравоохранению, начальному обр</w:t>
      </w:r>
      <w:r>
        <w:t>а</w:t>
      </w:r>
      <w:r>
        <w:t>зованию и другим усл</w:t>
      </w:r>
      <w:r>
        <w:t>у</w:t>
      </w:r>
      <w:r>
        <w:t>гам.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 10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>жа Пенджор</w:t>
      </w:r>
      <w:r>
        <w:t xml:space="preserve"> (Бутан) говорит, что с увел</w:t>
      </w:r>
      <w:r>
        <w:t>и</w:t>
      </w:r>
      <w:r>
        <w:t>чением приема учеников в начальную школу и улучшением коэффициентов стабилизации числа учеников на всех уровнях системы общего образ</w:t>
      </w:r>
      <w:r>
        <w:t>о</w:t>
      </w:r>
      <w:r>
        <w:t>вания ожидается соответствующее увеличение приема женщин в учебные заведения третичного уровня. Разрыв в приеме между мальчиками и д</w:t>
      </w:r>
      <w:r>
        <w:t>е</w:t>
      </w:r>
      <w:r>
        <w:t>вочками на уровне начальной школы сократился с 24 процентов в 1990 году до 4 процентов в 2003 году. Даже в таком случае согласно девятому плану Министерство образования приняло следу</w:t>
      </w:r>
      <w:r>
        <w:t>ю</w:t>
      </w:r>
      <w:r>
        <w:t>щие стратегии для увеличения приема девочек в школы на всех уровнях: создание общинных школ; улучшение санитарных объектов, например, созд</w:t>
      </w:r>
      <w:r>
        <w:t>а</w:t>
      </w:r>
      <w:r>
        <w:t>ние отдельных туалетов в целях обеспечения без</w:t>
      </w:r>
      <w:r>
        <w:t>о</w:t>
      </w:r>
      <w:r>
        <w:t>пасных и благоприятных условий для девочек; и проведение исследования по вопросу о доступе д</w:t>
      </w:r>
      <w:r>
        <w:t>е</w:t>
      </w:r>
      <w:r>
        <w:t>вочек к начальным школам. Бутан привержен делу ликвидации к 2005 году гендерных различий в си</w:t>
      </w:r>
      <w:r>
        <w:t>с</w:t>
      </w:r>
      <w:r>
        <w:t>теме начального образования. Мальчики и девочки имеют равный доступ к системе образования, в том числе к техническому обучению. Бутан осущест</w:t>
      </w:r>
      <w:r>
        <w:t>в</w:t>
      </w:r>
      <w:r>
        <w:t>ляет учитывающую достижения и личные качества ребенка политику в рамках всех процессов отбора, независимо от класса или пола. Поскольку Бутан является небольшой страной, такой подход спосо</w:t>
      </w:r>
      <w:r>
        <w:t>б</w:t>
      </w:r>
      <w:r>
        <w:t>ствовал развитию гармоничных отношений и вза</w:t>
      </w:r>
      <w:r>
        <w:t>и</w:t>
      </w:r>
      <w:r>
        <w:t>моуважению между мальчиками и девочками. Хотя образование является бесплатным с начального до высшего уровня, включая техническое и профе</w:t>
      </w:r>
      <w:r>
        <w:t>с</w:t>
      </w:r>
      <w:r>
        <w:t>сиональное обучение, правительство испытывает огромное финансовое бремя. Соответственно, стр</w:t>
      </w:r>
      <w:r>
        <w:t>а</w:t>
      </w:r>
      <w:r>
        <w:t>на нуждается в международной помощи в целях развития образования, поэтому примерно 40 процентов бюджета на образование финансир</w:t>
      </w:r>
      <w:r>
        <w:t>у</w:t>
      </w:r>
      <w:r>
        <w:t>ется за счет м</w:t>
      </w:r>
      <w:r>
        <w:t>е</w:t>
      </w:r>
      <w:r>
        <w:t>ждународной помощи.</w:t>
      </w:r>
    </w:p>
    <w:p w:rsidR="00000000" w:rsidRDefault="00000000">
      <w:pPr>
        <w:pStyle w:val="DualTxt"/>
      </w:pPr>
      <w:r>
        <w:t>43.</w:t>
      </w:r>
      <w:r>
        <w:tab/>
        <w:t>Темпы развития и урбанизации ослабляют традиционные семейные связи и системы поддер</w:t>
      </w:r>
      <w:r>
        <w:t>ж</w:t>
      </w:r>
      <w:r>
        <w:t>ки в рамках общин, при этом наиболее уязвимыми слоями населения являются дети и молодежь. В этой связи задача заключается в обеспечении соо</w:t>
      </w:r>
      <w:r>
        <w:t>т</w:t>
      </w:r>
      <w:r>
        <w:t>ношения между развитием и сохранением опроб</w:t>
      </w:r>
      <w:r>
        <w:t>о</w:t>
      </w:r>
      <w:r>
        <w:t>ванных систем ценностей традиционного общества. Правительство принимало меры по достижению т</w:t>
      </w:r>
      <w:r>
        <w:t>а</w:t>
      </w:r>
      <w:r>
        <w:t>кого соотношения, а бутанские преподаватели о</w:t>
      </w:r>
      <w:r>
        <w:t>т</w:t>
      </w:r>
      <w:r>
        <w:t>кликнулись на это, укрепляя в школах систему пр</w:t>
      </w:r>
      <w:r>
        <w:t>и</w:t>
      </w:r>
      <w:r>
        <w:t>вития ценностей. Кроме того, в настоящее время важной частью учебных планов школ является пр</w:t>
      </w:r>
      <w:r>
        <w:t>о</w:t>
      </w:r>
      <w:r>
        <w:t>свещение по вопросам репродуктивного здоровья, которое отвечает, в частности, потребностям дев</w:t>
      </w:r>
      <w:r>
        <w:t>о</w:t>
      </w:r>
      <w:r>
        <w:t>чек. В Бутане нет закона об образовании, однако он проводит национальную политику в области пр</w:t>
      </w:r>
      <w:r>
        <w:t>о</w:t>
      </w:r>
      <w:r>
        <w:t>свещения при наличии кодекса поведения препод</w:t>
      </w:r>
      <w:r>
        <w:t>а</w:t>
      </w:r>
      <w:r>
        <w:t>вателей и учащихся. Женщины-преподаватели ведут обучение на всех уровнях. В 2003 году доля же</w:t>
      </w:r>
      <w:r>
        <w:t>н</w:t>
      </w:r>
      <w:r>
        <w:t>щин-преподавателей составляла 36 процентов. Пр</w:t>
      </w:r>
      <w:r>
        <w:t>а</w:t>
      </w:r>
      <w:r>
        <w:t>вительство предпринимает сознательные усилия с целью повышения уровня грамотности населения и достижения к 2012 году своей цели обеспечения полной грамотности во всей стране. Для этого ре</w:t>
      </w:r>
      <w:r>
        <w:t>а</w:t>
      </w:r>
      <w:r>
        <w:t>лизуется ряд стратегий, в том числе текущие меры по использованию имеющихся помещений в н</w:t>
      </w:r>
      <w:r>
        <w:t>а</w:t>
      </w:r>
      <w:r>
        <w:t>чальных школах, внедрению неформального обр</w:t>
      </w:r>
      <w:r>
        <w:t>а</w:t>
      </w:r>
      <w:r>
        <w:t>зования в рамках программы подготовки препод</w:t>
      </w:r>
      <w:r>
        <w:t>а</w:t>
      </w:r>
      <w:r>
        <w:t>вателей до поступления на работу и обеспечению поддержки после получения грамотности в рамках центров общинных ресурсов. Хотя и имеются да</w:t>
      </w:r>
      <w:r>
        <w:t>н</w:t>
      </w:r>
      <w:r>
        <w:t>ные о количестве предлагаемых учебных программ, их еще предстоит представить в разбивке по пр</w:t>
      </w:r>
      <w:r>
        <w:t>и</w:t>
      </w:r>
      <w:r>
        <w:t>знаку пола.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 11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Тшеринг </w:t>
      </w:r>
      <w:r>
        <w:t>(Бутан) говорит, что Министе</w:t>
      </w:r>
      <w:r>
        <w:t>р</w:t>
      </w:r>
      <w:r>
        <w:t>ство труда и людских ресурсов, созданное 20 июня 2003 года, является новейшим министерством в правительстве и в качестве такового сталкивается с трудностями в своей организации и пользуется во</w:t>
      </w:r>
      <w:r>
        <w:t>з</w:t>
      </w:r>
      <w:r>
        <w:t>можностью новаторски подходить к решению в</w:t>
      </w:r>
      <w:r>
        <w:t>о</w:t>
      </w:r>
      <w:r>
        <w:t>просов. Оно приняло решение о политике приема на работу персонала на основе 50</w:t>
      </w:r>
      <w:r>
        <w:noBreakHyphen/>
        <w:t>процентного представительства; в настоящее время 49 процентов его сотрудников составляют женщины. Бутанские женщины не испытывают никакой дискриминации в плане равных возможностей в сфере занятости. Р</w:t>
      </w:r>
      <w:r>
        <w:t>е</w:t>
      </w:r>
      <w:r>
        <w:t>гулирование этих вопросов Королевской комиссией по гражданской службе служит в качестве станда</w:t>
      </w:r>
      <w:r>
        <w:t>р</w:t>
      </w:r>
      <w:r>
        <w:t>та для многих частных предприятий, в том числе в отношении равной оплаты труда и возможностей. Разрабатываемая национальная политика и закон</w:t>
      </w:r>
      <w:r>
        <w:t>о</w:t>
      </w:r>
      <w:r>
        <w:t>дательство в области занятости обеспечит равную оплату за равный труд и равные возможности для всех бутанцев в сфере занятости. В настоящее вр</w:t>
      </w:r>
      <w:r>
        <w:t>е</w:t>
      </w:r>
      <w:r>
        <w:t>мя отсутствует разбивка по признаку пола данных о 50 000 лиц, которые в будущем будут искать работу. Как и в других сферах, Министерство труда и лю</w:t>
      </w:r>
      <w:r>
        <w:t>д</w:t>
      </w:r>
      <w:r>
        <w:t>ских ресурсов, которое пытается придать целен</w:t>
      </w:r>
      <w:r>
        <w:t>а</w:t>
      </w:r>
      <w:r>
        <w:t>правленный характер своим планам и политике и предусмотреть проведение мероприятий, рассч</w:t>
      </w:r>
      <w:r>
        <w:t>и</w:t>
      </w:r>
      <w:r>
        <w:t>танных на принятие как мер по обеспечению ге</w:t>
      </w:r>
      <w:r>
        <w:t>н</w:t>
      </w:r>
      <w:r>
        <w:t>дерного равенства, так и временных специальных мер, уделяет первостепенное внимание сбору и и</w:t>
      </w:r>
      <w:r>
        <w:t>с</w:t>
      </w:r>
      <w:r>
        <w:t>пользованию данных о занятости в разбивке по признаку пола.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 12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>н Чопель</w:t>
      </w:r>
      <w:r>
        <w:t xml:space="preserve"> (Бутан), касаясь службы телем</w:t>
      </w:r>
      <w:r>
        <w:t>е</w:t>
      </w:r>
      <w:r>
        <w:t>дицины, говорит, что она начала свою работу с</w:t>
      </w:r>
      <w:r>
        <w:t>о</w:t>
      </w:r>
      <w:r>
        <w:t>гласно седьмому плану в надежде на то, что она значительно облегчит создание потенциала и оказ</w:t>
      </w:r>
      <w:r>
        <w:t>а</w:t>
      </w:r>
      <w:r>
        <w:t>ние услуг и поможет преодолеть проблемы, связа</w:t>
      </w:r>
      <w:r>
        <w:t>н</w:t>
      </w:r>
      <w:r>
        <w:t>ные с удаленностью различных медико-санитарных пунктов. Она, несомненно, улучшила медицинское обслуживание в экстренных сложных случаях б</w:t>
      </w:r>
      <w:r>
        <w:t>е</w:t>
      </w:r>
      <w:r>
        <w:t>ременности на основе консультаций с помощью т</w:t>
      </w:r>
      <w:r>
        <w:t>е</w:t>
      </w:r>
      <w:r>
        <w:t>левизионных средств и своевременного направл</w:t>
      </w:r>
      <w:r>
        <w:t>е</w:t>
      </w:r>
      <w:r>
        <w:t>ния к врачам. В настоящее время правительство изучает способы расширения масштабов деятел</w:t>
      </w:r>
      <w:r>
        <w:t>ь</w:t>
      </w:r>
      <w:r>
        <w:t>ности этой службы в пределах страны, а также в</w:t>
      </w:r>
      <w:r>
        <w:t>о</w:t>
      </w:r>
      <w:r>
        <w:t>прос о том, каким образом ее деятельность может быть связана с деятельностью некоторых других центров за пределами страны. В отношении нел</w:t>
      </w:r>
      <w:r>
        <w:t>е</w:t>
      </w:r>
      <w:r>
        <w:t>гальных абортов он отмечает, что, хотя конкретные данные о количестве абортов, сделанных за пред</w:t>
      </w:r>
      <w:r>
        <w:t>е</w:t>
      </w:r>
      <w:r>
        <w:t>лами страны, отсутствуют, больницы сообщили о случаях приема молодых девушек и женщин с о</w:t>
      </w:r>
      <w:r>
        <w:t>с</w:t>
      </w:r>
      <w:r>
        <w:t>ложнениями в результате абортов, сделанных за р</w:t>
      </w:r>
      <w:r>
        <w:t>у</w:t>
      </w:r>
      <w:r>
        <w:t>бежом. Это является причиной большой обеспок</w:t>
      </w:r>
      <w:r>
        <w:t>о</w:t>
      </w:r>
      <w:r>
        <w:t>енности правительства. Сейчас в стране реализуе</w:t>
      </w:r>
      <w:r>
        <w:t>т</w:t>
      </w:r>
      <w:r>
        <w:t>ся ряд инициатив с целью пресечения такой де</w:t>
      </w:r>
      <w:r>
        <w:t>я</w:t>
      </w:r>
      <w:r>
        <w:t>тельности. Они включают комплексную программу санитарного просвещения в школах, которая пре</w:t>
      </w:r>
      <w:r>
        <w:t>д</w:t>
      </w:r>
      <w:r>
        <w:t>ставляет собой совместный проект секторов здр</w:t>
      </w:r>
      <w:r>
        <w:t>а</w:t>
      </w:r>
      <w:r>
        <w:t>воохранения и образования; в ее рамках предпр</w:t>
      </w:r>
      <w:r>
        <w:t>и</w:t>
      </w:r>
      <w:r>
        <w:t>нимаются согласованные усилия по ознакомлению молодых девушек с вопросами, касающимися р</w:t>
      </w:r>
      <w:r>
        <w:t>е</w:t>
      </w:r>
      <w:r>
        <w:t>продуктивного здоровья и семейной жизни, с уд</w:t>
      </w:r>
      <w:r>
        <w:t>е</w:t>
      </w:r>
      <w:r>
        <w:t>лением особого внимания методам планирования семьи, осложнениям, связанным с беременностью девочек, и ответственному поведению. Аналоги</w:t>
      </w:r>
      <w:r>
        <w:t>ч</w:t>
      </w:r>
      <w:r>
        <w:t>ные программы осуществляются также для преп</w:t>
      </w:r>
      <w:r>
        <w:t>о</w:t>
      </w:r>
      <w:r>
        <w:t>давателей, причем в их рамках основное внимание уделяется охране здоровья подростков и развитию навыков консультирования. Королева Бутана, я</w:t>
      </w:r>
      <w:r>
        <w:t>в</w:t>
      </w:r>
      <w:r>
        <w:t>ляющаяся послом доброй воли ЮНФПА, также продолжает решать ключевые вопросы охраны зд</w:t>
      </w:r>
      <w:r>
        <w:t>о</w:t>
      </w:r>
      <w:r>
        <w:t>ровья подростков во время посещения ею школ в разли</w:t>
      </w:r>
      <w:r>
        <w:t>ч</w:t>
      </w:r>
      <w:r>
        <w:t>ных частях страны.</w:t>
      </w:r>
    </w:p>
    <w:p w:rsidR="00000000" w:rsidRDefault="00000000">
      <w:pPr>
        <w:pStyle w:val="DualTxt"/>
      </w:pPr>
      <w:r>
        <w:t>46.</w:t>
      </w:r>
      <w:r>
        <w:tab/>
        <w:t>Что касается высоких темпов прироста нас</w:t>
      </w:r>
      <w:r>
        <w:t>е</w:t>
      </w:r>
      <w:r>
        <w:t>ления, то он отмечает, что Бутан находится на этапе завершения разработки своей демографической п</w:t>
      </w:r>
      <w:r>
        <w:t>о</w:t>
      </w:r>
      <w:r>
        <w:t>литики. Нынешний девятый пятилетний план пр</w:t>
      </w:r>
      <w:r>
        <w:t>е</w:t>
      </w:r>
      <w:r>
        <w:t>дусматривает активизацию деятельности служб о</w:t>
      </w:r>
      <w:r>
        <w:t>х</w:t>
      </w:r>
      <w:r>
        <w:t>раны репродуктивного здоровья и постоянное пр</w:t>
      </w:r>
      <w:r>
        <w:t>о</w:t>
      </w:r>
      <w:r>
        <w:t>ведение мероприятий в области планирования чи</w:t>
      </w:r>
      <w:r>
        <w:t>с</w:t>
      </w:r>
      <w:r>
        <w:t>ленности населения в качестве одной из десяти ключевых целей. С учетом высокого показателя р</w:t>
      </w:r>
      <w:r>
        <w:t>о</w:t>
      </w:r>
      <w:r>
        <w:t>ждаемости правительство расширяет использование контрацептивных средств, особенно таких методов, как применение внутриматочных противозачато</w:t>
      </w:r>
      <w:r>
        <w:t>ч</w:t>
      </w:r>
      <w:r>
        <w:t>ных средств, на основе программ пропаганды и п</w:t>
      </w:r>
      <w:r>
        <w:t>о</w:t>
      </w:r>
      <w:r>
        <w:t>вышения уровня осведомленности даже в самых удаленных клиниках. Хотя сведения о распростр</w:t>
      </w:r>
      <w:r>
        <w:t>а</w:t>
      </w:r>
      <w:r>
        <w:t>нении случ</w:t>
      </w:r>
      <w:r>
        <w:t>а</w:t>
      </w:r>
      <w:r>
        <w:t>ев заболевания ВИЧ среди женщин-беженцев отсутствуют, они пользуются хорошим медицинским обслуживанием в лагерях беженцев. Сектор здравоохранения является одним из ключ</w:t>
      </w:r>
      <w:r>
        <w:t>е</w:t>
      </w:r>
      <w:r>
        <w:t>вых секторов, децентрализированных с самого н</w:t>
      </w:r>
      <w:r>
        <w:t>а</w:t>
      </w:r>
      <w:r>
        <w:t>чала, когда правительство приступило к провед</w:t>
      </w:r>
      <w:r>
        <w:t>е</w:t>
      </w:r>
      <w:r>
        <w:t>нию своей политики децентрализации. Общины с</w:t>
      </w:r>
      <w:r>
        <w:t>а</w:t>
      </w:r>
      <w:r>
        <w:t>ми управляют клиниками, при этом были подгото</w:t>
      </w:r>
      <w:r>
        <w:t>в</w:t>
      </w:r>
      <w:r>
        <w:t>лены свыше 1327 сельских работников здравоохр</w:t>
      </w:r>
      <w:r>
        <w:t>а</w:t>
      </w:r>
      <w:r>
        <w:t>нения, которые оказывают медицинские услуги в рамках общинных м</w:t>
      </w:r>
      <w:r>
        <w:t>е</w:t>
      </w:r>
      <w:r>
        <w:t>роприятий. Медико-санитарные пункты и все больницы на 20 коек та</w:t>
      </w:r>
      <w:r>
        <w:t>к</w:t>
      </w:r>
      <w:r>
        <w:t>же были децентрализованы на уровень районного управл</w:t>
      </w:r>
      <w:r>
        <w:t>е</w:t>
      </w:r>
      <w:r>
        <w:t>ния.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 14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>н Чопель</w:t>
      </w:r>
      <w:r>
        <w:t xml:space="preserve"> (Бутан), отвечая на вопрос о раб</w:t>
      </w:r>
      <w:r>
        <w:t>о</w:t>
      </w:r>
      <w:r>
        <w:t>те, выполняемой сельскими женщинами, говорит, что в ходе базового гендерного экспериментального обследования было установлено, что сельские женщины участвуют в производительном труде, а также выполняют домашние обязанности и, след</w:t>
      </w:r>
      <w:r>
        <w:t>о</w:t>
      </w:r>
      <w:r>
        <w:t>вательно, несут многократную ответственность. В большинстве сельских районов нет четкого разд</w:t>
      </w:r>
      <w:r>
        <w:t>е</w:t>
      </w:r>
      <w:r>
        <w:t>ления ролей между женщинами и мужчинами. О</w:t>
      </w:r>
      <w:r>
        <w:t>д</w:t>
      </w:r>
      <w:r>
        <w:t>нако необходимо будет провести более конкретные исследования с целью четкого определения таких ролей и обязанностей, особенно с точки зрения их влияния на перспективы улучшения положения женщин. Он подчеркивает, что Бутан вынужден учитывать существующие традиции, согласно кот</w:t>
      </w:r>
      <w:r>
        <w:t>о</w:t>
      </w:r>
      <w:r>
        <w:t>рым женщины играют важную роль в домашнем х</w:t>
      </w:r>
      <w:r>
        <w:t>о</w:t>
      </w:r>
      <w:r>
        <w:t>зяйстве и процессе принятия решений.</w:t>
      </w:r>
    </w:p>
    <w:p w:rsidR="00000000" w:rsidRDefault="00000000">
      <w:pPr>
        <w:pStyle w:val="DualTxt"/>
      </w:pPr>
      <w:r>
        <w:t>48.</w:t>
      </w:r>
      <w:r>
        <w:tab/>
        <w:t>Инвалидность во всех ее формах не являлась причиной маргинализации внутри традиционного общества Бутана. Однако в ходе модернизации пр</w:t>
      </w:r>
      <w:r>
        <w:t>а</w:t>
      </w:r>
      <w:r>
        <w:t>вительство все более обеспокоено качеством жизни инвалидов. С целью решения этой проблемы в с</w:t>
      </w:r>
      <w:r>
        <w:t>е</w:t>
      </w:r>
      <w:r>
        <w:t>редине 70</w:t>
      </w:r>
      <w:r>
        <w:noBreakHyphen/>
        <w:t>х годов была создана школа для слепых, а в 1976 году была начата национальная программа борьбы с проказой. Согласно восьмому пятилетн</w:t>
      </w:r>
      <w:r>
        <w:t>е</w:t>
      </w:r>
      <w:r>
        <w:t>му плану в результате согласованных действий пр</w:t>
      </w:r>
      <w:r>
        <w:t>а</w:t>
      </w:r>
      <w:r>
        <w:t>вительства и сотрудничающих с ним партнеров, а также под патронажем королевской семьи был до</w:t>
      </w:r>
      <w:r>
        <w:t>с</w:t>
      </w:r>
      <w:r>
        <w:t>тигнут целевой показатель ликвидации проказы. Вопрос инвалидности остро встал тогда, когда в 1993 году Бутан подписал соглашение о Комиссии по инвалидности Экономической и социальной к</w:t>
      </w:r>
      <w:r>
        <w:t>о</w:t>
      </w:r>
      <w:r>
        <w:t>миссии для Азии и Тихого океана. В настоящее время правительство проводит крупномасштабное обследование в целях выяснения масштабов инв</w:t>
      </w:r>
      <w:r>
        <w:t>а</w:t>
      </w:r>
      <w:r>
        <w:t>лидности в стране и определения того, сохранился ли 3,5</w:t>
      </w:r>
      <w:r>
        <w:noBreakHyphen/>
        <w:t>процентный уровень распространения инв</w:t>
      </w:r>
      <w:r>
        <w:t>а</w:t>
      </w:r>
      <w:r>
        <w:t>лидности, выявленный в ходе выполнения восьмого пятилетнего плана. Выводы обследования будут включены в последующие доклады. Юридические права детей-инвалидов защищены по Общему зак</w:t>
      </w:r>
      <w:r>
        <w:t>о</w:t>
      </w:r>
      <w:r>
        <w:t>ну 1957 года, Закону о тюрьмах 1980 года и Гра</w:t>
      </w:r>
      <w:r>
        <w:t>ж</w:t>
      </w:r>
      <w:r>
        <w:t>данско- и уголовно-процессуальному кодексу Бут</w:t>
      </w:r>
      <w:r>
        <w:t>а</w:t>
      </w:r>
      <w:r>
        <w:t>на. Сегодня в число 35 детей, принятых в Наци</w:t>
      </w:r>
      <w:r>
        <w:t>о</w:t>
      </w:r>
      <w:r>
        <w:t>нальный институт инвалидов, входят девять дев</w:t>
      </w:r>
      <w:r>
        <w:t>о</w:t>
      </w:r>
      <w:r>
        <w:t>чек.</w:t>
      </w:r>
    </w:p>
    <w:p w:rsidR="00000000" w:rsidRDefault="00000000">
      <w:pPr>
        <w:pStyle w:val="DualTxt"/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 16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Г</w:t>
      </w:r>
      <w:r>
        <w:rPr>
          <w:b/>
        </w:rPr>
        <w:noBreakHyphen/>
        <w:t>н Вагди</w:t>
      </w:r>
      <w:r>
        <w:t xml:space="preserve"> (Бутан), отвечая на различные в</w:t>
      </w:r>
      <w:r>
        <w:t>о</w:t>
      </w:r>
      <w:r>
        <w:t>просы, поставленные в отношении системы закл</w:t>
      </w:r>
      <w:r>
        <w:t>ю</w:t>
      </w:r>
      <w:r>
        <w:t>чения браков и смежных вопросов, говорит, что любое лицо, достигшее 18</w:t>
      </w:r>
      <w:r>
        <w:noBreakHyphen/>
        <w:t>летнего возраста, может вступить в брак и получить свидетельство о браке на основании регистрации в суде. Без такого свид</w:t>
      </w:r>
      <w:r>
        <w:t>е</w:t>
      </w:r>
      <w:r>
        <w:t>тельства брак считается юридически недейств</w:t>
      </w:r>
      <w:r>
        <w:t>и</w:t>
      </w:r>
      <w:r>
        <w:t>тельным. В сельских районах заключаются браки с несовершеннолетними лицами, которые не регис</w:t>
      </w:r>
      <w:r>
        <w:t>т</w:t>
      </w:r>
      <w:r>
        <w:t>рируются. В таких случаях суд не выдаст свид</w:t>
      </w:r>
      <w:r>
        <w:t>е</w:t>
      </w:r>
      <w:r>
        <w:t>тельства о браке, и любое лицо, вступившее в такой брак, наказывается штрафом. Количество браков с несовершеннолетними лицами может быть сокр</w:t>
      </w:r>
      <w:r>
        <w:t>а</w:t>
      </w:r>
      <w:r>
        <w:t>щено на основе повышения осведомленности о том, что они не могут быть юридически оформлены и наказываются штрафом. Говоря о женщинах и гр</w:t>
      </w:r>
      <w:r>
        <w:t>а</w:t>
      </w:r>
      <w:r>
        <w:t>жданстве, он отмечает, что если женщины решают выйти замуж за неграждан Бутана, то их мужья п</w:t>
      </w:r>
      <w:r>
        <w:t>о</w:t>
      </w:r>
      <w:r>
        <w:t>лучат вид на жительство с возможностью натурал</w:t>
      </w:r>
      <w:r>
        <w:t>и</w:t>
      </w:r>
      <w:r>
        <w:t>зации. Многоженство и многомужество не являются широко распространенными. В действительности многомужество и многоженство могут практик</w:t>
      </w:r>
      <w:r>
        <w:t>о</w:t>
      </w:r>
      <w:r>
        <w:t>ваться только с согласия супруга или супруги. В р</w:t>
      </w:r>
      <w:r>
        <w:t>е</w:t>
      </w:r>
      <w:r>
        <w:t>зультате социально-экономических изменений и п</w:t>
      </w:r>
      <w:r>
        <w:t>о</w:t>
      </w:r>
      <w:r>
        <w:t>вышения уровня образования масштабы такой практики быстро сокращаются. В случае развода мать получает опекунство над ребенком до дост</w:t>
      </w:r>
      <w:r>
        <w:t>и</w:t>
      </w:r>
      <w:r>
        <w:t>жения им девятилетнего возраста. После этого р</w:t>
      </w:r>
      <w:r>
        <w:t>е</w:t>
      </w:r>
      <w:r>
        <w:t>бенок может по своему выбору жить с любым из род</w:t>
      </w:r>
      <w:r>
        <w:t>и</w:t>
      </w:r>
      <w:r>
        <w:t>телей.</w:t>
      </w:r>
    </w:p>
    <w:p w:rsidR="00000000" w:rsidRDefault="00000000">
      <w:pPr>
        <w:pStyle w:val="DualTxt"/>
      </w:pPr>
      <w:r>
        <w:t>50.</w:t>
      </w:r>
      <w:r>
        <w:tab/>
        <w:t>С юридической точки зрения брак, заключа</w:t>
      </w:r>
      <w:r>
        <w:t>е</w:t>
      </w:r>
      <w:r>
        <w:t>мый между лицами, которые состоят в кровном родстве и родственных отношениях, допускаемый местными обычаями, признается законом. На пра</w:t>
      </w:r>
      <w:r>
        <w:t>к</w:t>
      </w:r>
      <w:r>
        <w:t>тике не поощряется заключение брачного союза между двоюродными братьями или сестрами. С</w:t>
      </w:r>
      <w:r>
        <w:t>о</w:t>
      </w:r>
      <w:r>
        <w:t>гласно Закону о браке муж или жена могут подавать в суд заявление о разводе по различным причинам, включая прелюбодеяние, оставление супруга, бе</w:t>
      </w:r>
      <w:r>
        <w:t>с</w:t>
      </w:r>
      <w:r>
        <w:t>плодие и импотенция и преднамеренное невним</w:t>
      </w:r>
      <w:r>
        <w:t>а</w:t>
      </w:r>
      <w:r>
        <w:t>ние одного супруга к другому. В отношении пр</w:t>
      </w:r>
      <w:r>
        <w:t>о</w:t>
      </w:r>
      <w:r>
        <w:t>верки минимального возраста вступления в брак при отсутствии свидетельства о рождении он отм</w:t>
      </w:r>
      <w:r>
        <w:t>е</w:t>
      </w:r>
      <w:r>
        <w:t>чает, что суд, как правило, добросовестно выдает свидетельство о браке супружеской паре. Более т</w:t>
      </w:r>
      <w:r>
        <w:t>о</w:t>
      </w:r>
      <w:r>
        <w:t>го, одно лицо, действуя в качестве юридического представителя от каждой стороны, должно дать п</w:t>
      </w:r>
      <w:r>
        <w:t>о</w:t>
      </w:r>
      <w:r>
        <w:t>казания в суде о том, что они достигли совершенн</w:t>
      </w:r>
      <w:r>
        <w:t>о</w:t>
      </w:r>
      <w:r>
        <w:t>летия, и будет нести ответственность за соответс</w:t>
      </w:r>
      <w:r>
        <w:t>т</w:t>
      </w:r>
      <w:r>
        <w:t>вующие последствия. Согласно Закону об изнас</w:t>
      </w:r>
      <w:r>
        <w:t>и</w:t>
      </w:r>
      <w:r>
        <w:t>ловании половая связь без согласия является дост</w:t>
      </w:r>
      <w:r>
        <w:t>а</w:t>
      </w:r>
      <w:r>
        <w:t>точным условием для установления факта изнас</w:t>
      </w:r>
      <w:r>
        <w:t>и</w:t>
      </w:r>
      <w:r>
        <w:t>лования. Хотя Закон о браке не содержит конкре</w:t>
      </w:r>
      <w:r>
        <w:t>т</w:t>
      </w:r>
      <w:r>
        <w:t>ного определения брака, различные аспекты брака охватываются разными положениями Закона. Что касается действий правительства по предупрежд</w:t>
      </w:r>
      <w:r>
        <w:t>е</w:t>
      </w:r>
      <w:r>
        <w:t>нию браков с малолетними лицами и браков по ра</w:t>
      </w:r>
      <w:r>
        <w:t>с</w:t>
      </w:r>
      <w:r>
        <w:t>чету, то он отмечает, что в первом Законе о браке 1980 года возраст вступления в брак для девочек был установлен на уровне 16 лет. Однако после т</w:t>
      </w:r>
      <w:r>
        <w:t>о</w:t>
      </w:r>
      <w:r>
        <w:t>го, как страна стала участником Конвенции о пр</w:t>
      </w:r>
      <w:r>
        <w:t>а</w:t>
      </w:r>
      <w:r>
        <w:t>вах ребенка и Конвенции о ликвидации всех форм дискриминации в отношении женщин, минимал</w:t>
      </w:r>
      <w:r>
        <w:t>ь</w:t>
      </w:r>
      <w:r>
        <w:t>ный возраст для девочек, как и для мальчиков был увеличен до 18 лет. Закон о браке запрещает браки с несовершеннолетними лицами, и любое лицо, вст</w:t>
      </w:r>
      <w:r>
        <w:t>у</w:t>
      </w:r>
      <w:r>
        <w:t>пающее в такой брак, согласно Закону наказывается штрафом.</w:t>
      </w:r>
    </w:p>
    <w:p w:rsidR="00000000" w:rsidRDefault="00000000">
      <w:pPr>
        <w:pStyle w:val="DualTxt"/>
      </w:pPr>
      <w:r>
        <w:t>51.</w:t>
      </w:r>
      <w:r>
        <w:tab/>
      </w:r>
      <w:r>
        <w:rPr>
          <w:b/>
        </w:rPr>
        <w:t>Г</w:t>
      </w:r>
      <w:r>
        <w:rPr>
          <w:b/>
        </w:rPr>
        <w:noBreakHyphen/>
        <w:t>жа Пем</w:t>
      </w:r>
      <w:r>
        <w:t xml:space="preserve"> (Бутан), отвечая на вопрос о суб</w:t>
      </w:r>
      <w:r>
        <w:t>ъ</w:t>
      </w:r>
      <w:r>
        <w:t>ектах права собственности на землю в городских районах, говорит, что в рамках базового гендерного экспериментального обследования было установл</w:t>
      </w:r>
      <w:r>
        <w:t>е</w:t>
      </w:r>
      <w:r>
        <w:t>но, что в сельских районах 60 процентов женщин владеют собственностью по сравнению с 40 процентами мужчин. Однако в городских ра</w:t>
      </w:r>
      <w:r>
        <w:t>й</w:t>
      </w:r>
      <w:r>
        <w:t>онах больше мужчин (55 процентов) по сравнению с женщинами (36 процентов) имеют имущество в собственности. По вопросу о том, препятствовало ли или ограничивало ли доступ девочек к обучению в учебных заведениях право собственности на зе</w:t>
      </w:r>
      <w:r>
        <w:t>м</w:t>
      </w:r>
      <w:r>
        <w:t>лю, она отмечает, что некоторые участники пров</w:t>
      </w:r>
      <w:r>
        <w:t>е</w:t>
      </w:r>
      <w:r>
        <w:t>денного в 1993 году практикума по вопросам ге</w:t>
      </w:r>
      <w:r>
        <w:t>н</w:t>
      </w:r>
      <w:r>
        <w:t>дерного планирования установили, что «традиц</w:t>
      </w:r>
      <w:r>
        <w:t>и</w:t>
      </w:r>
      <w:r>
        <w:t>онная система наследования по линии дочерей» я</w:t>
      </w:r>
      <w:r>
        <w:t>в</w:t>
      </w:r>
      <w:r>
        <w:t>ляется одним из факторов, который мешает деву</w:t>
      </w:r>
      <w:r>
        <w:t>ш</w:t>
      </w:r>
      <w:r>
        <w:t>кам получить высшее образование. Этот вывод о</w:t>
      </w:r>
      <w:r>
        <w:t>с</w:t>
      </w:r>
      <w:r>
        <w:t>новывался прежде всего на мнении о том, что же</w:t>
      </w:r>
      <w:r>
        <w:t>н</w:t>
      </w:r>
      <w:r>
        <w:t>щины Бутана считают целесообразным, чтобы их дочери продолжали наследовать и оберегать им</w:t>
      </w:r>
      <w:r>
        <w:t>у</w:t>
      </w:r>
      <w:r>
        <w:t>щество, что побуждало их отрицательно относиться к поступлению их дочерей в учебные заведения. Однако потребуется провести глубокие исследов</w:t>
      </w:r>
      <w:r>
        <w:t>а</w:t>
      </w:r>
      <w:r>
        <w:t>ния с целью выявления фактического воздействия такого мнения, особенно в свете экономической безопасности, которая обеспечивается нынешней традиционной системой наследов</w:t>
      </w:r>
      <w:r>
        <w:t>а</w:t>
      </w:r>
      <w:r>
        <w:t>ния.</w:t>
      </w:r>
    </w:p>
    <w:p w:rsidR="00000000" w:rsidRDefault="00000000">
      <w:pPr>
        <w:pStyle w:val="DualTxt"/>
      </w:pPr>
      <w:r>
        <w:t>52.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рекомендует, чтобы Конституция содержала аналогичное определение дискриминации, которое включено в Конвенцию, а именно определение прямой и косвенной дискр</w:t>
      </w:r>
      <w:r>
        <w:t>и</w:t>
      </w:r>
      <w:r>
        <w:t>минации и понятие равенства по существу и фо</w:t>
      </w:r>
      <w:r>
        <w:t>р</w:t>
      </w:r>
      <w:r>
        <w:t>мального равенства. Она указывает, что в конце н</w:t>
      </w:r>
      <w:r>
        <w:t>ы</w:t>
      </w:r>
      <w:r>
        <w:t>нешней сессии Комитет примет общую рекоменд</w:t>
      </w:r>
      <w:r>
        <w:t>а</w:t>
      </w:r>
      <w:r>
        <w:t>цию о временных специальных мерах, и говорит, что многие государства-участники включили в свои конституции положение о том, что временные меры не противоречат понятию недискриминации. Что касается дискриминации на рабочем месте, то бр</w:t>
      </w:r>
      <w:r>
        <w:t>е</w:t>
      </w:r>
      <w:r>
        <w:t>мя доказывания должно быть перенесено со сл</w:t>
      </w:r>
      <w:r>
        <w:t>у</w:t>
      </w:r>
      <w:r>
        <w:t>жащего на работодателя с учетом трудностей, кот</w:t>
      </w:r>
      <w:r>
        <w:t>о</w:t>
      </w:r>
      <w:r>
        <w:t>рые испытывают женщины при доказывании факта такой дискриминации. Кроме того, в интересах обеспечения равенства по существу и осуществл</w:t>
      </w:r>
      <w:r>
        <w:t>е</w:t>
      </w:r>
      <w:r>
        <w:t>ния положений Конвенции понятие равной оплаты за равноценный труд следует добавить к понятию ра</w:t>
      </w:r>
      <w:r>
        <w:t>в</w:t>
      </w:r>
      <w:r>
        <w:t>ной оплаты за равный труд.</w:t>
      </w:r>
    </w:p>
    <w:p w:rsidR="00000000" w:rsidRDefault="00000000">
      <w:pPr>
        <w:pStyle w:val="DualTxt"/>
      </w:pPr>
      <w:r>
        <w:t>53.</w:t>
      </w:r>
      <w:r>
        <w:tab/>
      </w:r>
      <w:r>
        <w:rPr>
          <w:b/>
        </w:rPr>
        <w:t>Г</w:t>
      </w:r>
      <w:r>
        <w:rPr>
          <w:b/>
        </w:rPr>
        <w:noBreakHyphen/>
        <w:t>жа Шин</w:t>
      </w:r>
      <w:r>
        <w:t xml:space="preserve"> высказывает предположение о том, что различия в количестве мужчин и женщин, пр</w:t>
      </w:r>
      <w:r>
        <w:t>и</w:t>
      </w:r>
      <w:r>
        <w:t>нимаемых в технические институты — в зависим</w:t>
      </w:r>
      <w:r>
        <w:t>о</w:t>
      </w:r>
      <w:r>
        <w:t>сти исключительно от достоинств абитуриента, — могут быть сокращены без отказа от действующих крит</w:t>
      </w:r>
      <w:r>
        <w:t>е</w:t>
      </w:r>
      <w:r>
        <w:t>риев.</w:t>
      </w:r>
    </w:p>
    <w:p w:rsidR="00000000" w:rsidRDefault="00000000">
      <w:pPr>
        <w:pStyle w:val="DualTxt"/>
      </w:pPr>
      <w:r>
        <w:t>54.</w:t>
      </w:r>
      <w:r>
        <w:tab/>
      </w:r>
      <w:r>
        <w:rPr>
          <w:b/>
        </w:rPr>
        <w:t>Г</w:t>
      </w:r>
      <w:r>
        <w:rPr>
          <w:b/>
        </w:rPr>
        <w:noBreakHyphen/>
        <w:t>жа Сайга</w:t>
      </w:r>
      <w:r>
        <w:t xml:space="preserve"> спрашивает, существует ли общее понимание того, что международное право будет превалировать над внутренним правом в новой Конституции. Она интересуется, полностью ли о</w:t>
      </w:r>
      <w:r>
        <w:t>т</w:t>
      </w:r>
      <w:r>
        <w:t>менены законы о гражданстве 1958 и 1977 годов в результате принятия Закона 1985 года и остается ли ребенок, один из родителей которого является гр</w:t>
      </w:r>
      <w:r>
        <w:t>а</w:t>
      </w:r>
      <w:r>
        <w:t>жданином Бутана, лицом без гражданства до до</w:t>
      </w:r>
      <w:r>
        <w:t>с</w:t>
      </w:r>
      <w:r>
        <w:t>тижения 15</w:t>
      </w:r>
      <w:r>
        <w:noBreakHyphen/>
        <w:t>летнего возраста.</w:t>
      </w:r>
    </w:p>
    <w:p w:rsidR="00000000" w:rsidRDefault="00000000">
      <w:pPr>
        <w:pStyle w:val="DualTxt"/>
      </w:pPr>
      <w:r>
        <w:t>55.</w:t>
      </w:r>
      <w:r>
        <w:tab/>
      </w:r>
      <w:r>
        <w:rPr>
          <w:b/>
        </w:rPr>
        <w:t>Г</w:t>
      </w:r>
      <w:r>
        <w:rPr>
          <w:b/>
        </w:rPr>
        <w:noBreakHyphen/>
        <w:t>жа Капалата</w:t>
      </w:r>
      <w:r>
        <w:t xml:space="preserve"> предлагает властям тщательно изучить статьи 7 и 8 Конвенции с целью определ</w:t>
      </w:r>
      <w:r>
        <w:t>е</w:t>
      </w:r>
      <w:r>
        <w:t>ния возможности применения крайне необходимых специальных мер. В отношении статьи 8 она просит дать ответ на вопрос, касающийся обеспечения професси</w:t>
      </w:r>
      <w:r>
        <w:t>о</w:t>
      </w:r>
      <w:r>
        <w:t>нальной подготовки для женщин.</w:t>
      </w:r>
    </w:p>
    <w:p w:rsidR="00000000" w:rsidRDefault="00000000">
      <w:pPr>
        <w:pStyle w:val="DualTxt"/>
      </w:pPr>
      <w:r>
        <w:t>56.</w:t>
      </w:r>
      <w:r>
        <w:tab/>
      </w:r>
      <w:r>
        <w:rPr>
          <w:b/>
        </w:rPr>
        <w:t>Г</w:t>
      </w:r>
      <w:r>
        <w:rPr>
          <w:b/>
        </w:rPr>
        <w:noBreakHyphen/>
        <w:t>жа Ахмад</w:t>
      </w:r>
      <w:r>
        <w:t xml:space="preserve"> предполагает, что приоритет, придаваемый социально-экономическому развитию женщин и детей в социальных секторах, должен быть распространен на все сектора, охватываемые Конвенцией. Она спрашивает, будет ли общий пр</w:t>
      </w:r>
      <w:r>
        <w:t>о</w:t>
      </w:r>
      <w:r>
        <w:t>цесс подготовки конституции носить внутренний характер, как подразумевается в письменном ответе на вопрос 24, или же будут проводиться консульт</w:t>
      </w:r>
      <w:r>
        <w:t>а</w:t>
      </w:r>
      <w:r>
        <w:t>ции с экспертами по международным договорам. Касаясь письменного ответа на вопрос 33, она г</w:t>
      </w:r>
      <w:r>
        <w:t>о</w:t>
      </w:r>
      <w:r>
        <w:t>ворит, что Конвенция о ликвидации всех форм ди</w:t>
      </w:r>
      <w:r>
        <w:t>с</w:t>
      </w:r>
      <w:r>
        <w:t>криминации в отношении женщин и Конвенция о правах ребенка должны также лежать в основе пр</w:t>
      </w:r>
      <w:r>
        <w:t>и</w:t>
      </w:r>
      <w:r>
        <w:t>нимаемых страной мер по искоренению стереот</w:t>
      </w:r>
      <w:r>
        <w:t>и</w:t>
      </w:r>
      <w:r>
        <w:t>пов, касающихся женщин и д</w:t>
      </w:r>
      <w:r>
        <w:t>е</w:t>
      </w:r>
      <w:r>
        <w:t>вочек.</w:t>
      </w:r>
    </w:p>
    <w:p w:rsidR="00000000" w:rsidRDefault="00000000">
      <w:pPr>
        <w:pStyle w:val="DualTxt"/>
      </w:pPr>
      <w:r>
        <w:t>57.</w:t>
      </w:r>
      <w:r>
        <w:tab/>
      </w:r>
      <w:r>
        <w:rPr>
          <w:b/>
        </w:rPr>
        <w:t>Г</w:t>
      </w:r>
      <w:r>
        <w:rPr>
          <w:b/>
        </w:rPr>
        <w:noBreakHyphen/>
        <w:t>жа Паттен</w:t>
      </w:r>
      <w:r>
        <w:t>, высоко оценивает факт разр</w:t>
      </w:r>
      <w:r>
        <w:t>а</w:t>
      </w:r>
      <w:r>
        <w:t>ботки закона о труде, предлагает предусмотреть в нем специальные антидискриминационные меры, которые не предусматриваются другими законами, особенно для того, чтобы искоренить дискримин</w:t>
      </w:r>
      <w:r>
        <w:t>а</w:t>
      </w:r>
      <w:r>
        <w:t>цию и сексуальные домогательства на рабочем ме</w:t>
      </w:r>
      <w:r>
        <w:t>с</w:t>
      </w:r>
      <w:r>
        <w:t>те. Власти могут обратиться в этой связи к Межд</w:t>
      </w:r>
      <w:r>
        <w:t>у</w:t>
      </w:r>
      <w:r>
        <w:t>народной организации труда с просьбой об оказ</w:t>
      </w:r>
      <w:r>
        <w:t>а</w:t>
      </w:r>
      <w:r>
        <w:t>нии им технич</w:t>
      </w:r>
      <w:r>
        <w:t>е</w:t>
      </w:r>
      <w:r>
        <w:t>ской помощи.</w:t>
      </w:r>
    </w:p>
    <w:p w:rsidR="00000000" w:rsidRDefault="00000000">
      <w:pPr>
        <w:pStyle w:val="DualTxt"/>
      </w:pPr>
      <w:r>
        <w:t>58.</w:t>
      </w:r>
      <w:r>
        <w:tab/>
      </w:r>
      <w:r>
        <w:rPr>
          <w:b/>
        </w:rPr>
        <w:t>Г</w:t>
      </w:r>
      <w:r>
        <w:rPr>
          <w:b/>
        </w:rPr>
        <w:noBreakHyphen/>
        <w:t>жа Симонович</w:t>
      </w:r>
      <w:r>
        <w:t>, касаясь статьи 2, говорит, что вопрос об отсутствии институционального п</w:t>
      </w:r>
      <w:r>
        <w:t>о</w:t>
      </w:r>
      <w:r>
        <w:t>тенциала, которое помешало Бутану ратифицир</w:t>
      </w:r>
      <w:r>
        <w:t>о</w:t>
      </w:r>
      <w:r>
        <w:t>вать вопреки его желанию большинство междун</w:t>
      </w:r>
      <w:r>
        <w:t>а</w:t>
      </w:r>
      <w:r>
        <w:t>родно-правовых документов, может быть решен на основе рекомендаций и помощи со стороны Упра</w:t>
      </w:r>
      <w:r>
        <w:t>в</w:t>
      </w:r>
      <w:r>
        <w:t>ления Верховного комиссара Организации Объед</w:t>
      </w:r>
      <w:r>
        <w:t>и</w:t>
      </w:r>
      <w:r>
        <w:t>ненных Наций по правам человека, которая уже б</w:t>
      </w:r>
      <w:r>
        <w:t>ы</w:t>
      </w:r>
      <w:r>
        <w:t>ла предложена в контексте Международного пакта о гражданских и политических правах и Междун</w:t>
      </w:r>
      <w:r>
        <w:t>а</w:t>
      </w:r>
      <w:r>
        <w:t>родного пакта об экономических, социальных и культурных правах.</w:t>
      </w:r>
    </w:p>
    <w:p w:rsidR="00000000" w:rsidRDefault="00000000">
      <w:pPr>
        <w:pStyle w:val="DualTxt"/>
      </w:pPr>
      <w:r>
        <w:t>59.</w:t>
      </w:r>
      <w:r>
        <w:tab/>
      </w:r>
      <w:r>
        <w:rPr>
          <w:b/>
        </w:rPr>
        <w:t>Г</w:t>
      </w:r>
      <w:r>
        <w:rPr>
          <w:b/>
        </w:rPr>
        <w:noBreakHyphen/>
        <w:t>н Тшеринг</w:t>
      </w:r>
      <w:r>
        <w:t xml:space="preserve"> (Бутан) говорит, что заявления и вопросы членов Комитета были высказаны в духе практических советов, а не критики, и позитивно нацелены на важный этап законодательных и юр</w:t>
      </w:r>
      <w:r>
        <w:t>и</w:t>
      </w:r>
      <w:r>
        <w:t>дических изменений, что создает идеальную во</w:t>
      </w:r>
      <w:r>
        <w:t>з</w:t>
      </w:r>
      <w:r>
        <w:t>можность для осуществления мер по исправлению пол</w:t>
      </w:r>
      <w:r>
        <w:t>о</w:t>
      </w:r>
      <w:r>
        <w:t>жения.</w:t>
      </w:r>
    </w:p>
    <w:p w:rsidR="00000000" w:rsidRDefault="00000000">
      <w:pPr>
        <w:pStyle w:val="DualTxt"/>
      </w:pPr>
      <w:r>
        <w:t>60.</w:t>
      </w:r>
      <w:r>
        <w:tab/>
        <w:t>Сложный вопрос о дискриминации требует своего рассмотрения различными путями: один из них сводится к включению более формального о</w:t>
      </w:r>
      <w:r>
        <w:t>п</w:t>
      </w:r>
      <w:r>
        <w:t>ределения в Конституцию, а другой — к принятию институциональных, а не специальных временных мер. Его делегация ожидает предстоящего принятия Комитетом общей рекомендации по этому вопросу.</w:t>
      </w:r>
    </w:p>
    <w:p w:rsidR="00000000" w:rsidRDefault="00000000">
      <w:pPr>
        <w:pStyle w:val="DualTxt"/>
      </w:pPr>
      <w:r>
        <w:t>61.</w:t>
      </w:r>
      <w:r>
        <w:tab/>
        <w:t>Необходимость включения более ясного опр</w:t>
      </w:r>
      <w:r>
        <w:t>е</w:t>
      </w:r>
      <w:r>
        <w:t>деления дискриминации на рабочем месте в Закон о труде и вопрос о бремени доказывания будут изуч</w:t>
      </w:r>
      <w:r>
        <w:t>е</w:t>
      </w:r>
      <w:r>
        <w:t>ны более детально. При определении и обновлении этого понятия и расширении в Конституции пон</w:t>
      </w:r>
      <w:r>
        <w:t>я</w:t>
      </w:r>
      <w:r>
        <w:t>тия равной оплаты за равный труд с целью включ</w:t>
      </w:r>
      <w:r>
        <w:t>е</w:t>
      </w:r>
      <w:r>
        <w:t>ния в него понятия равной оплаты за равноценный труд будут запрашиваться рекомендации лиц, обл</w:t>
      </w:r>
      <w:r>
        <w:t>а</w:t>
      </w:r>
      <w:r>
        <w:t>дающих опытом в этих областях. Необходимо будет тщательно изучить вопрос об обеспечении того, чтобы международные договоры превалировали над внутренним правом, с тем чтобы Бутан не лишился своего с трудом завоеванного с</w:t>
      </w:r>
      <w:r>
        <w:t>у</w:t>
      </w:r>
      <w:r>
        <w:t>веренитета.</w:t>
      </w:r>
    </w:p>
    <w:p w:rsidR="00000000" w:rsidRDefault="00000000">
      <w:pPr>
        <w:pStyle w:val="DualTxt"/>
      </w:pPr>
      <w:r>
        <w:t>62.</w:t>
      </w:r>
      <w:r>
        <w:tab/>
        <w:t>Твердая приверженность Бутана делу пов</w:t>
      </w:r>
      <w:r>
        <w:t>ы</w:t>
      </w:r>
      <w:r>
        <w:t>шения уровня образования и более широкого мед</w:t>
      </w:r>
      <w:r>
        <w:t>и</w:t>
      </w:r>
      <w:r>
        <w:t>цинского обслуживания подтверждается тем фа</w:t>
      </w:r>
      <w:r>
        <w:t>к</w:t>
      </w:r>
      <w:r>
        <w:t>том, что свыше 35 процентов средств бюджета а</w:t>
      </w:r>
      <w:r>
        <w:t>с</w:t>
      </w:r>
      <w:r>
        <w:t>сигнуются на эти два сектора; вместе с тем делег</w:t>
      </w:r>
      <w:r>
        <w:t>а</w:t>
      </w:r>
      <w:r>
        <w:t>ция понимает, что основное внимание следует уд</w:t>
      </w:r>
      <w:r>
        <w:t>е</w:t>
      </w:r>
      <w:r>
        <w:t>лять не только социальным секторам, но и эконом</w:t>
      </w:r>
      <w:r>
        <w:t>и</w:t>
      </w:r>
      <w:r>
        <w:t>ческой и политической деятельности. Делегация также отметила предположение о том, что Конве</w:t>
      </w:r>
      <w:r>
        <w:t>н</w:t>
      </w:r>
      <w:r>
        <w:t>ция о ликвидации всех форм дискриминации в о</w:t>
      </w:r>
      <w:r>
        <w:t>т</w:t>
      </w:r>
      <w:r>
        <w:t>ношении женщин и Конвенция о правах ребенка могут использоваться в качестве основы для таких действий.</w:t>
      </w:r>
    </w:p>
    <w:p w:rsidR="00000000" w:rsidRDefault="00000000">
      <w:pPr>
        <w:pStyle w:val="DualTxt"/>
      </w:pPr>
      <w:r>
        <w:t>63.</w:t>
      </w:r>
      <w:r>
        <w:tab/>
        <w:t>Наибольших успехов Бутана добился в осущ</w:t>
      </w:r>
      <w:r>
        <w:t>е</w:t>
      </w:r>
      <w:r>
        <w:t>ствлении политики в области занятости. Хотя на местном уровне реально начато большинство пр</w:t>
      </w:r>
      <w:r>
        <w:t>о</w:t>
      </w:r>
      <w:r>
        <w:t>цессов, он согласен с тем, что эти действия должны в конечном счете охватить намного более широкую сферу. В этой связи власти поддерживают контакты в некоторых областях с другими небольшими стр</w:t>
      </w:r>
      <w:r>
        <w:t>а</w:t>
      </w:r>
      <w:r>
        <w:t>нами, которым Бутан близок, в том числе со стр</w:t>
      </w:r>
      <w:r>
        <w:t>а</w:t>
      </w:r>
      <w:r>
        <w:t>нами Северной Европы; в качестве примеров можно привести Закон о труде и Конституцию. Что касае</w:t>
      </w:r>
      <w:r>
        <w:t>т</w:t>
      </w:r>
      <w:r>
        <w:t>ся подготовки дипломатов, то доля же</w:t>
      </w:r>
      <w:r>
        <w:t>н</w:t>
      </w:r>
      <w:r>
        <w:t>щин-дипломатов, получающих соответствующую пр</w:t>
      </w:r>
      <w:r>
        <w:t>о</w:t>
      </w:r>
      <w:r>
        <w:t>фессиональную подготовку, выше по сравнению с женским населением. Равенство имеет важное зн</w:t>
      </w:r>
      <w:r>
        <w:t>а</w:t>
      </w:r>
      <w:r>
        <w:t>чение для репутации Бутана за рубежом, и две из трех учебных вакансий за рубежом после окончания высшего учебного заведения заполнены женщин</w:t>
      </w:r>
      <w:r>
        <w:t>а</w:t>
      </w:r>
      <w:r>
        <w:t>ми: одна в Японии, а другая в П</w:t>
      </w:r>
      <w:r>
        <w:t>а</w:t>
      </w:r>
      <w:r>
        <w:t>риже.</w:t>
      </w:r>
    </w:p>
    <w:p w:rsidR="00000000" w:rsidRDefault="00000000">
      <w:pPr>
        <w:pStyle w:val="DualTxt"/>
      </w:pPr>
      <w:r>
        <w:t>64.</w:t>
      </w:r>
      <w:r>
        <w:tab/>
        <w:t>Хотя согласно Закону о гражданстве 1958 года большая группа людей с совершенно непонятным статусом получила гражданство, законы 1977 и 1985 годов ввели прогрессивные изменения, одно из которых заключалось в том, что Закон стал не</w:t>
      </w:r>
      <w:r>
        <w:t>й</w:t>
      </w:r>
      <w:r>
        <w:t>тральным с гендерной точки зрения. Закон 1985 года предоставил детям, один из родителей к</w:t>
      </w:r>
      <w:r>
        <w:t>о</w:t>
      </w:r>
      <w:r>
        <w:t>торых является гражданином Бутана, выбор в сл</w:t>
      </w:r>
      <w:r>
        <w:t>у</w:t>
      </w:r>
      <w:r>
        <w:t>чае достижения 15</w:t>
      </w:r>
      <w:r>
        <w:noBreakHyphen/>
        <w:t>летнего возраста: принять либо гражданство Бутана, либо гражданство другого р</w:t>
      </w:r>
      <w:r>
        <w:t>о</w:t>
      </w:r>
      <w:r>
        <w:t>дителя, однако в стране не признано двойное гра</w:t>
      </w:r>
      <w:r>
        <w:t>ж</w:t>
      </w:r>
      <w:r>
        <w:t>данство. До их выбора гражданства такие дети сч</w:t>
      </w:r>
      <w:r>
        <w:t>и</w:t>
      </w:r>
      <w:r>
        <w:t>таются гражданами в целях пое</w:t>
      </w:r>
      <w:r>
        <w:t>з</w:t>
      </w:r>
      <w:r>
        <w:t>док.</w:t>
      </w:r>
    </w:p>
    <w:p w:rsidR="00000000" w:rsidRDefault="00000000">
      <w:pPr>
        <w:pStyle w:val="DualTxt"/>
      </w:pPr>
      <w:r>
        <w:t>65.</w:t>
      </w:r>
      <w:r>
        <w:tab/>
        <w:t>Он забыл упомянуть о том, что шесть человек, в том числе два члена делегаций, прошли в период с 1991 года подготовку с помощью Управления Верховного комиссара Организации Объединенных Наций по правам человека и что Бутан действ</w:t>
      </w:r>
      <w:r>
        <w:t>и</w:t>
      </w:r>
      <w:r>
        <w:t>тельно получает техническую помощь от Управл</w:t>
      </w:r>
      <w:r>
        <w:t>е</w:t>
      </w:r>
      <w:r>
        <w:t>ния, с которым он поддерживает постоянный ди</w:t>
      </w:r>
      <w:r>
        <w:t>а</w:t>
      </w:r>
      <w:r>
        <w:t>лог.</w:t>
      </w:r>
    </w:p>
    <w:p w:rsidR="00000000" w:rsidRDefault="00000000">
      <w:pPr>
        <w:pStyle w:val="DualTxt"/>
      </w:pPr>
      <w:r>
        <w:t>66.</w:t>
      </w:r>
      <w:r>
        <w:tab/>
      </w:r>
      <w:r>
        <w:rPr>
          <w:b/>
        </w:rPr>
        <w:t xml:space="preserve">Председатель </w:t>
      </w:r>
      <w:r>
        <w:t>благодарит делегацию за подг</w:t>
      </w:r>
      <w:r>
        <w:t>о</w:t>
      </w:r>
      <w:r>
        <w:t>товку ее письменных ответов в столь короткий срок и дальнейшие уточнения, данные в ходе устных о</w:t>
      </w:r>
      <w:r>
        <w:t>т</w:t>
      </w:r>
      <w:r>
        <w:t>ветов на вопросы Комитета. Комитет принимает к сведению информацию о мерах, принимаемых страной в целях осуществления Конвенции. Она надеется, что Бутан ратифицирует остальные док</w:t>
      </w:r>
      <w:r>
        <w:t>у</w:t>
      </w:r>
      <w:r>
        <w:t>менты по правам человека, с тем чтобы проложить путь к созданию благоприятных условий для ос</w:t>
      </w:r>
      <w:r>
        <w:t>у</w:t>
      </w:r>
      <w:r>
        <w:t>ществления Конвенции и соблюдения прав человека в целом. Конституционная реформа предлагает ре</w:t>
      </w:r>
      <w:r>
        <w:t>д</w:t>
      </w:r>
      <w:r>
        <w:t>кую возможность обеспечить основы для защиты прав человека. Она призывает власти создать с</w:t>
      </w:r>
      <w:r>
        <w:t>о</w:t>
      </w:r>
      <w:r>
        <w:t>временную систему и заложить юридические осн</w:t>
      </w:r>
      <w:r>
        <w:t>о</w:t>
      </w:r>
      <w:r>
        <w:t>вы, что обеспечит сохранение и использование тр</w:t>
      </w:r>
      <w:r>
        <w:t>а</w:t>
      </w:r>
      <w:r>
        <w:t>диций в поддержку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67.</w:t>
      </w:r>
      <w:r>
        <w:tab/>
        <w:t>Тот факт, что в некоторых частях страны же</w:t>
      </w:r>
      <w:r>
        <w:t>н</w:t>
      </w:r>
      <w:r>
        <w:t>щины пользуются более благоприятными услови</w:t>
      </w:r>
      <w:r>
        <w:t>я</w:t>
      </w:r>
      <w:r>
        <w:t>ми с точки зрения наследования, можно высоко оценить, однако следует проявлять осторожность в отношении чрезмерных стереотипов. Дискримин</w:t>
      </w:r>
      <w:r>
        <w:t>а</w:t>
      </w:r>
      <w:r>
        <w:t>ция в отношении женщин проявляется во всем мире во многих формах, а не только в форме патриа</w:t>
      </w:r>
      <w:r>
        <w:t>р</w:t>
      </w:r>
      <w:r>
        <w:t>хальных подходов. Конвенция должна служить ув</w:t>
      </w:r>
      <w:r>
        <w:t>е</w:t>
      </w:r>
      <w:r>
        <w:t>личительным стеклом, через которое необходимо тщательно изучать традиции, практику и законы в целях обеспечения того, чтобы они не носили ди</w:t>
      </w:r>
      <w:r>
        <w:t>с</w:t>
      </w:r>
      <w:r>
        <w:t>криминационного характера. Многочисленные о</w:t>
      </w:r>
      <w:r>
        <w:t>б</w:t>
      </w:r>
      <w:r>
        <w:t>щие рекомендации Комитета по конкретным стат</w:t>
      </w:r>
      <w:r>
        <w:t>ь</w:t>
      </w:r>
      <w:r>
        <w:t>ям Конвенции будут весьма полезными при осущ</w:t>
      </w:r>
      <w:r>
        <w:t>е</w:t>
      </w:r>
      <w:r>
        <w:t>ствлении Конвенции.</w:t>
      </w:r>
    </w:p>
    <w:p w:rsidR="00000000" w:rsidRDefault="00000000">
      <w:pPr>
        <w:pStyle w:val="DualTxt"/>
      </w:pPr>
      <w:r>
        <w:t>68.</w:t>
      </w:r>
      <w:r>
        <w:tab/>
        <w:t>Она подчеркивает необходимость принятия конкретного законодательства о насилии в отнош</w:t>
      </w:r>
      <w:r>
        <w:t>е</w:t>
      </w:r>
      <w:r>
        <w:t>нии женщин, без которого многие формы такого н</w:t>
      </w:r>
      <w:r>
        <w:t>а</w:t>
      </w:r>
      <w:r>
        <w:t>силия будут оставаться безнаказанными. Следует серьезно осуществлять меры по подготовке сотру</w:t>
      </w:r>
      <w:r>
        <w:t>д</w:t>
      </w:r>
      <w:r>
        <w:t>ников правоохранительных органов и сил безопа</w:t>
      </w:r>
      <w:r>
        <w:t>с</w:t>
      </w:r>
      <w:r>
        <w:t>ности. Она высоко оценивает намерение предст</w:t>
      </w:r>
      <w:r>
        <w:t>а</w:t>
      </w:r>
      <w:r>
        <w:t>вить статистические данные в разбивке по генде</w:t>
      </w:r>
      <w:r>
        <w:t>р</w:t>
      </w:r>
      <w:r>
        <w:t>ному признаку по всем обсуждаемым вопросам, п</w:t>
      </w:r>
      <w:r>
        <w:t>о</w:t>
      </w:r>
      <w:r>
        <w:t>скольку без них нельзя надлежащим образом в</w:t>
      </w:r>
      <w:r>
        <w:t>ы</w:t>
      </w:r>
      <w:r>
        <w:t>явить существующие проблемы. Она просит власти включить такие данные в свой следующий доклад, который должен быть представлен в 2006 году.</w:t>
      </w:r>
    </w:p>
    <w:p w:rsidR="00000000" w:rsidRDefault="00000000">
      <w:pPr>
        <w:pStyle w:val="DualTxt"/>
      </w:pPr>
      <w:r>
        <w:t>69.</w:t>
      </w:r>
      <w:r>
        <w:tab/>
        <w:t>Бутану необходимо активизировать свои д</w:t>
      </w:r>
      <w:r>
        <w:t>и</w:t>
      </w:r>
      <w:r>
        <w:t>пломатические и судебные усилия в интересах на</w:t>
      </w:r>
      <w:r>
        <w:t>д</w:t>
      </w:r>
      <w:r>
        <w:t>лежащего управления и создания современной п</w:t>
      </w:r>
      <w:r>
        <w:t>о</w:t>
      </w:r>
      <w:r>
        <w:t>литической и правовой систем. Она высоко оцен</w:t>
      </w:r>
      <w:r>
        <w:t>и</w:t>
      </w:r>
      <w:r>
        <w:t>вает достижения страны в улучшении положения мальчиков и девочек, хотя явно существует необх</w:t>
      </w:r>
      <w:r>
        <w:t>о</w:t>
      </w:r>
      <w:r>
        <w:t>димость увеличения приема девочек в учебные з</w:t>
      </w:r>
      <w:r>
        <w:t>а</w:t>
      </w:r>
      <w:r>
        <w:t>ведения на всех уровнях образования, при этом обучение грамотности взрослых женщин является одним из важнейших вопросов. Делегация признала целесообразность учета опыта других стран в ра</w:t>
      </w:r>
      <w:r>
        <w:t>з</w:t>
      </w:r>
      <w:r>
        <w:t>работке политики в области занятости. Наличие данных в разбивке по признаку пола является о</w:t>
      </w:r>
      <w:r>
        <w:t>с</w:t>
      </w:r>
      <w:r>
        <w:t>новной необходимостью, равно как и исследования гендерных последствий развития рынка труда и а</w:t>
      </w:r>
      <w:r>
        <w:t>к</w:t>
      </w:r>
      <w:r>
        <w:t>тивных мер по борьбе с неравенством. Она насто</w:t>
      </w:r>
      <w:r>
        <w:t>я</w:t>
      </w:r>
      <w:r>
        <w:t>тельно призывает власти страны предпринять шаги по искоренению полигамии, а также предотвращ</w:t>
      </w:r>
      <w:r>
        <w:t>е</w:t>
      </w:r>
      <w:r>
        <w:t>нию ранних браков в некоторых частях страны. В заключение она благодарит делегацию за открове</w:t>
      </w:r>
      <w:r>
        <w:t>н</w:t>
      </w:r>
      <w:r>
        <w:t>ный и насыщенный обмен мнениями с Ком</w:t>
      </w:r>
      <w:r>
        <w:t>и</w:t>
      </w:r>
      <w:r>
        <w:t>тетом.</w:t>
      </w:r>
    </w:p>
    <w:p w:rsidR="00000000" w:rsidRDefault="00000000">
      <w:pPr>
        <w:pStyle w:val="DualTxt"/>
      </w:pPr>
      <w:r>
        <w:t>70.</w:t>
      </w:r>
      <w:r>
        <w:tab/>
      </w:r>
      <w:r>
        <w:rPr>
          <w:b/>
        </w:rPr>
        <w:t>Г</w:t>
      </w:r>
      <w:r>
        <w:rPr>
          <w:b/>
        </w:rPr>
        <w:noBreakHyphen/>
        <w:t>н Тшеринг</w:t>
      </w:r>
      <w:r>
        <w:t xml:space="preserve"> (Бутан) благодарит членов К</w:t>
      </w:r>
      <w:r>
        <w:t>о</w:t>
      </w:r>
      <w:r>
        <w:t>митета за их заинтересованное участие в обсужд</w:t>
      </w:r>
      <w:r>
        <w:t>е</w:t>
      </w:r>
      <w:r>
        <w:t>нии доклада его страны и понимание ими причин его позднего представления. Текущая реформа и</w:t>
      </w:r>
      <w:r>
        <w:t>н</w:t>
      </w:r>
      <w:r>
        <w:t>ституционального потенциала Бутана обеспечит более эффективное осуществление Конвенции и более своевременное представление докладов об этом. Он заверяет Комитет в том, что власти страны пр</w:t>
      </w:r>
      <w:r>
        <w:t>и</w:t>
      </w:r>
      <w:r>
        <w:t>мут к сведению все его замечания.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rPr>
          <w:i/>
        </w:rPr>
        <w:t>Заседание закрывается в 13 ч. 10 м</w:t>
      </w:r>
      <w:r>
        <w:t>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NO&gt;&gt;N0421630R&lt;&lt;ODS JOB NO&gt;&gt;</w:t>
      </w:r>
    </w:p>
    <w:p w:rsidR="00000000" w:rsidRDefault="00000000">
      <w:pPr>
        <w:pStyle w:val="CommentText"/>
      </w:pPr>
      <w:r>
        <w:t>&lt;&lt;ODS DOC SYMBOL1&gt;&gt;CEDAW/C/SR.641&lt;&lt;ODS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04-21630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*0421630*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CEDAW/C/SR.641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CEDAW/C/SR.641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/C/SR.641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9</w:t>
          </w:r>
          <w:r>
            <w:t xml:space="preserve"> August 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hideGrammaticalErrors/>
  <w:activeWritingStyle w:appName="MSWord" w:lang="ru-RU" w:vendorID="1" w:dllVersion="512" w:checkStyle="1"/>
  <w:doNotTrackMoves/>
  <w:defaultTabStop w:val="720"/>
  <w:autoHyphenation/>
  <w:hyphenationZone w:val="21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6/08/2005 11:34:49"/>
    <w:docVar w:name="DocCategory" w:val="SROthers"/>
    <w:docVar w:name="DocType" w:val="Final"/>
    <w:docVar w:name="JobNo" w:val="0421630R"/>
    <w:docVar w:name="OandT" w:val=" "/>
    <w:docVar w:name="Symbol1" w:val="CEDAW/C/SR.641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3</Pages>
  <Words>7667</Words>
  <Characters>43703</Characters>
  <Application>Microsoft Office Word</Application>
  <DocSecurity>4</DocSecurity>
  <Lines>364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53670</CharactersWithSpaces>
  <SharedDoc>false</SharedDoc>
  <HLinks>
    <vt:vector size="6" baseType="variant">
      <vt:variant>
        <vt:i4>4522087</vt:i4>
      </vt:variant>
      <vt:variant>
        <vt:i4>107264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Tatyana Nikitina</dc:creator>
  <cp:keywords/>
  <dc:description/>
  <cp:lastModifiedBy>DGAACS User</cp:lastModifiedBy>
  <cp:revision>4</cp:revision>
  <cp:lastPrinted>2005-08-08T15:45:00Z</cp:lastPrinted>
  <dcterms:created xsi:type="dcterms:W3CDTF">2005-08-08T15:42:00Z</dcterms:created>
  <dcterms:modified xsi:type="dcterms:W3CDTF">2005-08-08T15:54:00Z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0421630</vt:lpwstr>
  </property>
  <property fmtid="{D5CDD505-2E9C-101B-9397-08002B2CF9AE}" pid="3" name="Symbol1">
    <vt:lpwstr>CEDAW/C/SR.641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14</vt:lpwstr>
  </property>
  <property fmtid="{D5CDD505-2E9C-101B-9397-08002B2CF9AE}" pid="8" name="Operator">
    <vt:lpwstr>S.N.</vt:lpwstr>
  </property>
</Properties>
</file>