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30C" w:rsidRPr="00F90A6D" w:rsidRDefault="0064130C" w:rsidP="0064130C">
      <w:pPr>
        <w:spacing w:line="240" w:lineRule="auto"/>
        <w:rPr>
          <w:sz w:val="2"/>
        </w:rPr>
        <w:sectPr w:rsidR="0064130C" w:rsidRPr="00F90A6D" w:rsidSect="00855E0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r w:rsidRPr="00F90A6D">
        <w:rPr>
          <w:rStyle w:val="CommentReference"/>
          <w:sz w:val="2"/>
        </w:rPr>
        <w:commentReference w:id="0"/>
      </w:r>
    </w:p>
    <w:p w:rsidR="00F90A6D" w:rsidRDefault="00F90A6D" w:rsidP="00F90A6D">
      <w:pPr>
        <w:pStyle w:val="H1"/>
        <w:spacing w:after="0"/>
        <w:ind w:right="1260"/>
      </w:pPr>
      <w:r>
        <w:t xml:space="preserve">Committee on the Elimination of Discrimination </w:t>
      </w:r>
    </w:p>
    <w:p w:rsidR="00F90A6D" w:rsidRDefault="00F90A6D" w:rsidP="00F90A6D">
      <w:pPr>
        <w:pStyle w:val="H1"/>
        <w:spacing w:after="0"/>
        <w:ind w:right="1260"/>
      </w:pPr>
      <w:r>
        <w:t xml:space="preserve">against Women </w:t>
      </w:r>
    </w:p>
    <w:p w:rsidR="00F90A6D" w:rsidRDefault="00F90A6D" w:rsidP="00F90A6D">
      <w:pPr>
        <w:pStyle w:val="H23"/>
        <w:spacing w:after="0"/>
        <w:ind w:right="1260"/>
      </w:pPr>
      <w:r>
        <w:tab/>
        <w:t>Pre-sessional working group</w:t>
      </w:r>
    </w:p>
    <w:p w:rsidR="00F90A6D" w:rsidRDefault="00F90A6D" w:rsidP="00F90A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t>Sixty-first session</w:t>
      </w:r>
    </w:p>
    <w:p w:rsidR="00F90A6D" w:rsidRDefault="00F90A6D" w:rsidP="00F90A6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10-14 November 2014</w:t>
      </w:r>
    </w:p>
    <w:p w:rsidR="00F90A6D" w:rsidRPr="00F90A6D" w:rsidRDefault="00F90A6D" w:rsidP="00F90A6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F90A6D" w:rsidRPr="00F90A6D" w:rsidRDefault="00F90A6D" w:rsidP="00F90A6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F90A6D" w:rsidRPr="00F90A6D" w:rsidRDefault="00F90A6D" w:rsidP="00F90A6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F90A6D" w:rsidRDefault="00F90A6D" w:rsidP="00F90A6D">
      <w:pPr>
        <w:pStyle w:val="HCh"/>
        <w:spacing w:after="0"/>
        <w:ind w:left="1267" w:right="1260" w:hanging="1267"/>
      </w:pPr>
      <w:r>
        <w:tab/>
      </w:r>
      <w:r>
        <w:tab/>
        <w:t>Consideration of reports submitted by States parties under article 18 of the Convention on the Elimination of All Forms of Discrimination against Women</w:t>
      </w:r>
    </w:p>
    <w:p w:rsidR="00F90A6D" w:rsidRPr="00F90A6D" w:rsidRDefault="00F90A6D" w:rsidP="00F90A6D">
      <w:pPr>
        <w:pStyle w:val="SingleTxt"/>
        <w:spacing w:after="0" w:line="120" w:lineRule="exact"/>
        <w:rPr>
          <w:sz w:val="10"/>
        </w:rPr>
      </w:pPr>
    </w:p>
    <w:p w:rsidR="00F90A6D" w:rsidRPr="00F90A6D" w:rsidRDefault="00F90A6D" w:rsidP="00F90A6D">
      <w:pPr>
        <w:pStyle w:val="SingleTxt"/>
        <w:spacing w:after="0" w:line="120" w:lineRule="exact"/>
        <w:rPr>
          <w:sz w:val="10"/>
        </w:rPr>
      </w:pPr>
    </w:p>
    <w:p w:rsidR="00F90A6D" w:rsidRDefault="00F90A6D" w:rsidP="00F90A6D">
      <w:pPr>
        <w:pStyle w:val="H1"/>
        <w:spacing w:after="0"/>
        <w:ind w:right="1260"/>
      </w:pPr>
      <w:r>
        <w:tab/>
      </w:r>
      <w:r>
        <w:tab/>
        <w:t>Report of the pre-sessional working group</w:t>
      </w:r>
    </w:p>
    <w:p w:rsidR="00F90A6D" w:rsidRPr="00F90A6D" w:rsidRDefault="00F90A6D" w:rsidP="00F90A6D">
      <w:pPr>
        <w:pStyle w:val="SingleTxt"/>
        <w:spacing w:after="0" w:line="120" w:lineRule="exact"/>
        <w:rPr>
          <w:sz w:val="10"/>
        </w:rPr>
      </w:pPr>
    </w:p>
    <w:p w:rsidR="00F90A6D" w:rsidRPr="00F90A6D" w:rsidRDefault="00F90A6D" w:rsidP="00F90A6D">
      <w:pPr>
        <w:pStyle w:val="SingleTxt"/>
        <w:spacing w:after="0" w:line="120" w:lineRule="exact"/>
        <w:rPr>
          <w:sz w:val="10"/>
        </w:rPr>
      </w:pPr>
    </w:p>
    <w:p w:rsidR="00F90A6D" w:rsidRDefault="00F90A6D" w:rsidP="00F90A6D">
      <w:pPr>
        <w:pStyle w:val="SingleTxt"/>
      </w:pPr>
      <w:r>
        <w:t>1.</w:t>
      </w:r>
      <w:r>
        <w:tab/>
        <w:t>It is the practice of the Committee on the Elimination of Discrimination against Women to convene a pre-sessional working group for five days to prepare lists of issues and questions relating to the initial and periodic reports that will be considered by the Committee at one of its future sessions.</w:t>
      </w:r>
    </w:p>
    <w:p w:rsidR="00F90A6D" w:rsidRDefault="00F90A6D" w:rsidP="00F90A6D">
      <w:pPr>
        <w:pStyle w:val="SingleTxt"/>
      </w:pPr>
      <w:r>
        <w:t>2.</w:t>
      </w:r>
      <w:r>
        <w:tab/>
        <w:t xml:space="preserve">The Committee decided that the pre-sessional working group for the sixty-first session of the Committee would meet from 10 to 14 November 2014, immediately after the fifty-ninth session, in order to ensure that sufficient time would be available to States parties to submit their written replies to the lists of issues and questions, as well as to ensure their timely translation. </w:t>
      </w:r>
    </w:p>
    <w:p w:rsidR="00F90A6D" w:rsidRDefault="00F90A6D" w:rsidP="00F90A6D">
      <w:pPr>
        <w:pStyle w:val="SingleTxt"/>
      </w:pPr>
      <w:r>
        <w:t>3.</w:t>
      </w:r>
      <w:r>
        <w:tab/>
        <w:t>The following experts were designated as members of the pre-sessional working group and attended the session:</w:t>
      </w:r>
      <w:r>
        <w:rPr>
          <w:rStyle w:val="FootnoteReference"/>
        </w:rPr>
        <w:footnoteReference w:id="1"/>
      </w:r>
    </w:p>
    <w:p w:rsidR="00F90A6D" w:rsidRDefault="00F90A6D" w:rsidP="00F90A6D">
      <w:pPr>
        <w:pStyle w:val="SingleTxt"/>
        <w:jc w:val="left"/>
      </w:pPr>
      <w:r>
        <w:tab/>
        <w:t>Violeta Neubauer</w:t>
      </w:r>
      <w:r>
        <w:br/>
      </w:r>
      <w:r>
        <w:tab/>
        <w:t>Theodora Nwankwo</w:t>
      </w:r>
      <w:r>
        <w:br/>
      </w:r>
      <w:r>
        <w:tab/>
        <w:t>Maria Helena Pires</w:t>
      </w:r>
      <w:r>
        <w:br/>
      </w:r>
      <w:r>
        <w:tab/>
        <w:t>Patricia Schulz</w:t>
      </w:r>
    </w:p>
    <w:p w:rsidR="00F90A6D" w:rsidRDefault="00F90A6D" w:rsidP="00F90A6D">
      <w:pPr>
        <w:pStyle w:val="SingleTxt"/>
      </w:pPr>
      <w:r>
        <w:t>4.</w:t>
      </w:r>
      <w:r>
        <w:tab/>
        <w:t>The pre-sessional working group elected Ms. Pires as its Chair.</w:t>
      </w:r>
    </w:p>
    <w:p w:rsidR="00F90A6D" w:rsidRDefault="008C43B3" w:rsidP="00F90A6D">
      <w:pPr>
        <w:pStyle w:val="SingleTxt"/>
      </w:pPr>
      <w:commentRangeStart w:id="0"/>
      <w:r w:rsidRPr="00F90A6D">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36.1pt;margin-top:92.65pt;width:57.4pt;height:57.4pt;z-index:1" o:preferrelative="f">
            <v:imagedata r:id="rId13" o:title="1&amp;Size =1&amp;Lang = E"/>
          </v:shape>
        </w:pict>
      </w:r>
      <w:commentRangeEnd w:id="0"/>
      <w:r w:rsidR="00F90A6D">
        <w:t>5.</w:t>
      </w:r>
      <w:r w:rsidR="00F90A6D">
        <w:tab/>
        <w:t>The pre-sessional working group prepared lists of issues and questions with regard to the reports of Bolivia (Plurinational State of), Croatia, the Gambia, Namibia, Saint Vincent and the Grenadines, Senegal, Spain and Viet Nam. In that regard, it was guided by Committee decision 49/IX, according to which the Committee decided to limit such lists to 20 questions. In practice and exceptionally, some lists contain a maximum of 22 questions.</w:t>
      </w:r>
    </w:p>
    <w:p w:rsidR="00F90A6D" w:rsidRDefault="00F90A6D" w:rsidP="00F90A6D">
      <w:pPr>
        <w:pStyle w:val="SingleTxt"/>
      </w:pPr>
      <w:r>
        <w:t>6.</w:t>
      </w:r>
      <w:r>
        <w:tab/>
        <w:t>To assist in the preparation of the lists of issues and quest</w:t>
      </w:r>
      <w:r w:rsidR="00515591">
        <w:t>ions, the pre</w:t>
      </w:r>
      <w:r w:rsidR="00515591">
        <w:noBreakHyphen/>
      </w:r>
      <w:r>
        <w:t xml:space="preserve">sessional working group had before it the reports of the States parties listed above, in addition to the core documents of most of those States parties; the general recommendations adopted by the Committee; background information and draft lists of issues and questions prepared by the secretariat; and other pertinent information, including concluding observations of the Committee and other treaty bodies, if relevant. In preparing the lists, the pre-sessional working group paid particular attention to the States parties’ follow-up to the concluding observations of the Committee on their previous reports. </w:t>
      </w:r>
    </w:p>
    <w:p w:rsidR="00F90A6D" w:rsidRDefault="00F90A6D" w:rsidP="00F90A6D">
      <w:pPr>
        <w:pStyle w:val="SingleTxt"/>
      </w:pPr>
      <w:r>
        <w:t>7.</w:t>
      </w:r>
      <w:r>
        <w:tab/>
        <w:t>The pre-sessional working group benefited from written and oral information submitted by entities and specialized agencies of the United Nations system and non-governmental organizations.</w:t>
      </w:r>
    </w:p>
    <w:p w:rsidR="00F90A6D" w:rsidRDefault="00F90A6D" w:rsidP="00F90A6D">
      <w:pPr>
        <w:pStyle w:val="SingleTxt"/>
      </w:pPr>
      <w:r>
        <w:t>8.</w:t>
      </w:r>
      <w:r>
        <w:tab/>
        <w:t>The lists of issues and questions adopted by the pre-sessional working group were transmitted to the States parties concerned and are contained in the following documents:</w:t>
      </w:r>
    </w:p>
    <w:p w:rsidR="00F90A6D" w:rsidRDefault="00F90A6D" w:rsidP="00F90A6D">
      <w:pPr>
        <w:pStyle w:val="SingleTxt"/>
      </w:pPr>
      <w:r>
        <w:tab/>
        <w:t>(a)</w:t>
      </w:r>
      <w:r>
        <w:tab/>
        <w:t>List of issues and questions in relation to the combined fifth and sixth periodic reports of the Plurinational State of Bolivia (</w:t>
      </w:r>
      <w:hyperlink r:id="rId14" w:history="1">
        <w:r w:rsidRPr="00F90A6D">
          <w:rPr>
            <w:rStyle w:val="Hyperlink"/>
          </w:rPr>
          <w:t>CEDAW/C/BOL/Q/5-6</w:t>
        </w:r>
      </w:hyperlink>
      <w:r>
        <w:t>);</w:t>
      </w:r>
    </w:p>
    <w:p w:rsidR="00F90A6D" w:rsidRDefault="00F90A6D" w:rsidP="00F90A6D">
      <w:pPr>
        <w:pStyle w:val="SingleTxt"/>
      </w:pPr>
      <w:r>
        <w:tab/>
        <w:t>(b)</w:t>
      </w:r>
      <w:r>
        <w:tab/>
        <w:t>List of issues and questions in relation to the combined fourth and fifth periodic reports of Croatia (</w:t>
      </w:r>
      <w:hyperlink r:id="rId15" w:history="1">
        <w:r w:rsidRPr="00F90A6D">
          <w:rPr>
            <w:rStyle w:val="Hyperlink"/>
          </w:rPr>
          <w:t>CEDAW/C/HRV/Q/4-5</w:t>
        </w:r>
      </w:hyperlink>
      <w:r>
        <w:t>);</w:t>
      </w:r>
    </w:p>
    <w:p w:rsidR="00F90A6D" w:rsidRDefault="00F90A6D" w:rsidP="00F90A6D">
      <w:pPr>
        <w:pStyle w:val="SingleTxt"/>
      </w:pPr>
      <w:r>
        <w:tab/>
        <w:t>(c)</w:t>
      </w:r>
      <w:r>
        <w:tab/>
        <w:t>List of issues and questions in relation to the combined fourth and fifth periodic reports of the Gambia (</w:t>
      </w:r>
      <w:hyperlink r:id="rId16" w:history="1">
        <w:r w:rsidRPr="00F90A6D">
          <w:rPr>
            <w:rStyle w:val="Hyperlink"/>
          </w:rPr>
          <w:t>CEDAW/C/GMB/Q/4-5</w:t>
        </w:r>
      </w:hyperlink>
      <w:r>
        <w:t>);</w:t>
      </w:r>
    </w:p>
    <w:p w:rsidR="00F90A6D" w:rsidRDefault="00F90A6D" w:rsidP="00F90A6D">
      <w:pPr>
        <w:pStyle w:val="SingleTxt"/>
      </w:pPr>
      <w:r>
        <w:tab/>
        <w:t>(d)</w:t>
      </w:r>
      <w:r>
        <w:tab/>
        <w:t>List of issues and questions in relation to the combined fourth and fifth periodic reports of Namibia (</w:t>
      </w:r>
      <w:hyperlink r:id="rId17" w:history="1">
        <w:r w:rsidRPr="00F90A6D">
          <w:rPr>
            <w:rStyle w:val="Hyperlink"/>
          </w:rPr>
          <w:t>CEDAW/C/NAM/Q/4-5</w:t>
        </w:r>
      </w:hyperlink>
      <w:r>
        <w:t xml:space="preserve">); </w:t>
      </w:r>
    </w:p>
    <w:p w:rsidR="00F90A6D" w:rsidRDefault="00F90A6D" w:rsidP="00F90A6D">
      <w:pPr>
        <w:pStyle w:val="SingleTxt"/>
      </w:pPr>
      <w:r>
        <w:tab/>
        <w:t>(e)</w:t>
      </w:r>
      <w:r>
        <w:tab/>
        <w:t>List of issues and questions in relation to the combined fourth to eighth periodic reports of Saint Vincent and the Grenadines (</w:t>
      </w:r>
      <w:hyperlink r:id="rId18" w:history="1">
        <w:r w:rsidRPr="00F90A6D">
          <w:rPr>
            <w:rStyle w:val="Hyperlink"/>
          </w:rPr>
          <w:t>CEDAW/C/VCT/Q/4-8/Add.1</w:t>
        </w:r>
      </w:hyperlink>
      <w:r>
        <w:t>);</w:t>
      </w:r>
    </w:p>
    <w:p w:rsidR="00F90A6D" w:rsidRDefault="00F90A6D" w:rsidP="00F90A6D">
      <w:pPr>
        <w:pStyle w:val="SingleTxt"/>
      </w:pPr>
      <w:r>
        <w:tab/>
        <w:t>(f)</w:t>
      </w:r>
      <w:r>
        <w:tab/>
        <w:t>List of issues and questions in relation to the combined third to seventh periodic reports of Senegal (</w:t>
      </w:r>
      <w:hyperlink r:id="rId19" w:history="1">
        <w:r w:rsidRPr="00F90A6D">
          <w:rPr>
            <w:rStyle w:val="Hyperlink"/>
          </w:rPr>
          <w:t>CEDAW/C/SEN/Q/3-7</w:t>
        </w:r>
      </w:hyperlink>
      <w:r>
        <w:t>);</w:t>
      </w:r>
    </w:p>
    <w:p w:rsidR="00F90A6D" w:rsidRDefault="00F90A6D" w:rsidP="00F90A6D">
      <w:pPr>
        <w:pStyle w:val="SingleTxt"/>
      </w:pPr>
      <w:r>
        <w:tab/>
        <w:t>(g)</w:t>
      </w:r>
      <w:r>
        <w:tab/>
        <w:t>List of issues and questions in relation to the combined seventh and eighth periodic reports of Spain (</w:t>
      </w:r>
      <w:hyperlink r:id="rId20" w:history="1">
        <w:r w:rsidRPr="00F90A6D">
          <w:rPr>
            <w:rStyle w:val="Hyperlink"/>
          </w:rPr>
          <w:t>CEDAW/C/ESP/Q/7-8</w:t>
        </w:r>
      </w:hyperlink>
      <w:r>
        <w:t>);</w:t>
      </w:r>
    </w:p>
    <w:p w:rsidR="00F90A6D" w:rsidRDefault="00F90A6D" w:rsidP="00F90A6D">
      <w:pPr>
        <w:pStyle w:val="SingleTxt"/>
      </w:pPr>
      <w:r>
        <w:tab/>
        <w:t>(h)</w:t>
      </w:r>
      <w:r>
        <w:tab/>
        <w:t>List of issues and questions in relation to the combined seventh and eighth periodic reports of Viet Nam (</w:t>
      </w:r>
      <w:hyperlink r:id="rId21" w:history="1">
        <w:r w:rsidRPr="00F90A6D">
          <w:rPr>
            <w:rStyle w:val="Hyperlink"/>
          </w:rPr>
          <w:t>CEDAW/C/VNM/Q/7-8</w:t>
        </w:r>
      </w:hyperlink>
      <w:r>
        <w:t xml:space="preserve">). </w:t>
      </w:r>
    </w:p>
    <w:p w:rsidR="00F90A6D" w:rsidRDefault="00F90A6D" w:rsidP="00F90A6D">
      <w:pPr>
        <w:pStyle w:val="SingleTxt"/>
      </w:pPr>
      <w:r>
        <w:t>9.</w:t>
      </w:r>
      <w:r>
        <w:tab/>
        <w:t>In accordance with Committee decisions 22/IV, 25/II and 31/III, the lists of issues and questions focused on themes addressed by the Convention. Those themes include the constitutional and legislative framework; national machinery for the advancement of women; stereotypes and harmful practices; violence against women, including domestic violence; trafficking in women and exploitation of prostitution; participation of women in decision-making; nationality; education and training; employment; health; social and economic benefits; rural women; the situation of disadvantaged groups of women, such as older women, women with disabilities, women belonging to ethnic minorities and refugee and migrant women; equality before the law; and marriage and family relations.</w:t>
      </w:r>
    </w:p>
    <w:p w:rsidR="00F90A6D" w:rsidRPr="00F90A6D" w:rsidRDefault="00F90A6D" w:rsidP="00F90A6D">
      <w:pPr>
        <w:pStyle w:val="SingleTxt"/>
      </w:pPr>
      <w:r>
        <w:rPr>
          <w:noProof/>
          <w:w w:val="100"/>
          <w:lang w:val="en-US"/>
        </w:rPr>
        <w:pict>
          <v:line id="_x0000_s1028" style="position:absolute;left:0;text-align:left;z-index:2" from="210.2pt,24pt" to="282.2pt,24pt" strokeweight=".25pt"/>
        </w:pict>
      </w:r>
    </w:p>
    <w:sectPr w:rsidR="00F90A6D" w:rsidRPr="00F90A6D" w:rsidSect="00855E08">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09T10:25:00Z" w:initials="Start">
    <w:p w:rsidR="0064130C" w:rsidRDefault="0064130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NO&gt;&gt;N1463285E&lt;&lt;ODS JOB NO&gt;&gt;</w:t>
      </w:r>
    </w:p>
    <w:p w:rsidR="0064130C" w:rsidRDefault="0064130C">
      <w:pPr>
        <w:pStyle w:val="CommentText"/>
      </w:pPr>
      <w:r>
        <w:t>&lt;&lt;ODS DOC SYMBOL1&gt;&gt;CEDAW/C/PSWG/61/1&lt;&lt;ODS DOC SYMBOL1&gt;&gt;</w:t>
      </w:r>
    </w:p>
    <w:p w:rsidR="0064130C" w:rsidRDefault="0064130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4682" w:rsidRDefault="00A84682">
      <w:r>
        <w:separator/>
      </w:r>
    </w:p>
  </w:endnote>
  <w:endnote w:type="continuationSeparator" w:id="0">
    <w:p w:rsidR="00A84682" w:rsidRDefault="00A846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4130C" w:rsidTr="0064130C">
      <w:tblPrEx>
        <w:tblCellMar>
          <w:top w:w="0" w:type="dxa"/>
          <w:bottom w:w="0" w:type="dxa"/>
        </w:tblCellMar>
      </w:tblPrEx>
      <w:tc>
        <w:tcPr>
          <w:tcW w:w="5033" w:type="dxa"/>
          <w:shd w:val="clear" w:color="auto" w:fill="auto"/>
        </w:tcPr>
        <w:p w:rsidR="0064130C" w:rsidRPr="0064130C" w:rsidRDefault="0064130C" w:rsidP="0064130C">
          <w:pPr>
            <w:pStyle w:val="Footer"/>
            <w:jc w:val="right"/>
            <w:rPr>
              <w:b w:val="0"/>
              <w:w w:val="103"/>
              <w:sz w:val="14"/>
            </w:rPr>
          </w:pPr>
          <w:fldSimple w:instr=" DOCVARIABLE &quot;FooterJN&quot; \* MERGEFORMAT ">
            <w:r w:rsidR="00FD4463">
              <w:rPr>
                <w:b w:val="0"/>
                <w:w w:val="103"/>
                <w:sz w:val="14"/>
              </w:rPr>
              <w:t>14-64769</w:t>
            </w:r>
          </w:fldSimple>
        </w:p>
      </w:tc>
      <w:tc>
        <w:tcPr>
          <w:tcW w:w="5033" w:type="dxa"/>
          <w:shd w:val="clear" w:color="auto" w:fill="auto"/>
        </w:tcPr>
        <w:p w:rsidR="0064130C" w:rsidRPr="0064130C" w:rsidRDefault="0064130C" w:rsidP="0064130C">
          <w:pPr>
            <w:pStyle w:val="Footer"/>
            <w:rPr>
              <w:w w:val="103"/>
            </w:rPr>
          </w:pPr>
          <w:r>
            <w:rPr>
              <w:w w:val="103"/>
            </w:rPr>
            <w:fldChar w:fldCharType="begin"/>
          </w:r>
          <w:r>
            <w:rPr>
              <w:w w:val="103"/>
            </w:rPr>
            <w:instrText xml:space="preserve"> PAGE  \* Arabic  \* MERGEFORMAT </w:instrText>
          </w:r>
          <w:r>
            <w:rPr>
              <w:w w:val="103"/>
            </w:rPr>
            <w:fldChar w:fldCharType="separate"/>
          </w:r>
          <w:r w:rsidR="00043AC1">
            <w:rPr>
              <w:w w:val="103"/>
            </w:rPr>
            <w:t>2</w:t>
          </w:r>
          <w:r>
            <w:rPr>
              <w:w w:val="103"/>
            </w:rPr>
            <w:fldChar w:fldCharType="end"/>
          </w:r>
          <w:r>
            <w:rPr>
              <w:w w:val="103"/>
            </w:rPr>
            <w:t>/</w:t>
          </w:r>
          <w:fldSimple w:instr=" NUMPAGES  \* Arabic  \* MERGEFORMAT ">
            <w:r w:rsidR="00043AC1">
              <w:rPr>
                <w:w w:val="103"/>
              </w:rPr>
              <w:t>2</w:t>
            </w:r>
          </w:fldSimple>
        </w:p>
      </w:tc>
    </w:tr>
  </w:tbl>
  <w:p w:rsidR="0064130C" w:rsidRPr="0064130C" w:rsidRDefault="0064130C" w:rsidP="0064130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4130C" w:rsidTr="0064130C">
      <w:tblPrEx>
        <w:tblCellMar>
          <w:top w:w="0" w:type="dxa"/>
          <w:bottom w:w="0" w:type="dxa"/>
        </w:tblCellMar>
      </w:tblPrEx>
      <w:tc>
        <w:tcPr>
          <w:tcW w:w="5033" w:type="dxa"/>
          <w:shd w:val="clear" w:color="auto" w:fill="auto"/>
        </w:tcPr>
        <w:p w:rsidR="0064130C" w:rsidRPr="0064130C" w:rsidRDefault="0064130C" w:rsidP="0064130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D4463">
            <w:rPr>
              <w:w w:val="103"/>
            </w:rPr>
            <w:t>2</w:t>
          </w:r>
          <w:r>
            <w:rPr>
              <w:w w:val="103"/>
            </w:rPr>
            <w:fldChar w:fldCharType="end"/>
          </w:r>
          <w:r>
            <w:rPr>
              <w:w w:val="103"/>
            </w:rPr>
            <w:t>/</w:t>
          </w:r>
          <w:fldSimple w:instr=" NUMPAGES  \* Arabic  \* MERGEFORMAT ">
            <w:r w:rsidR="00FD4463">
              <w:rPr>
                <w:w w:val="103"/>
              </w:rPr>
              <w:t>2</w:t>
            </w:r>
          </w:fldSimple>
        </w:p>
      </w:tc>
      <w:tc>
        <w:tcPr>
          <w:tcW w:w="5033" w:type="dxa"/>
          <w:shd w:val="clear" w:color="auto" w:fill="auto"/>
        </w:tcPr>
        <w:p w:rsidR="0064130C" w:rsidRPr="0064130C" w:rsidRDefault="0064130C" w:rsidP="0064130C">
          <w:pPr>
            <w:pStyle w:val="Footer"/>
            <w:rPr>
              <w:b w:val="0"/>
              <w:w w:val="103"/>
              <w:sz w:val="14"/>
            </w:rPr>
          </w:pPr>
          <w:fldSimple w:instr=" DOCVARIABLE &quot;FooterJN&quot; \* MERGEFORMAT ">
            <w:r w:rsidR="00FD4463">
              <w:rPr>
                <w:b w:val="0"/>
                <w:w w:val="103"/>
                <w:sz w:val="14"/>
              </w:rPr>
              <w:t>14-64769</w:t>
            </w:r>
          </w:fldSimple>
        </w:p>
      </w:tc>
    </w:tr>
  </w:tbl>
  <w:p w:rsidR="0064130C" w:rsidRPr="0064130C" w:rsidRDefault="0064130C" w:rsidP="0064130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64130C" w:rsidTr="0064130C">
      <w:tblPrEx>
        <w:tblCellMar>
          <w:top w:w="0" w:type="dxa"/>
          <w:bottom w:w="0" w:type="dxa"/>
        </w:tblCellMar>
      </w:tblPrEx>
      <w:tc>
        <w:tcPr>
          <w:tcW w:w="5033" w:type="dxa"/>
        </w:tcPr>
        <w:p w:rsidR="0064130C" w:rsidRDefault="0064130C" w:rsidP="0064130C">
          <w:pPr>
            <w:pStyle w:val="ReleaseDate"/>
          </w:pPr>
          <w:r>
            <w:t>14-64769 (E)</w:t>
          </w:r>
          <w:r w:rsidR="00F90A6D">
            <w:t xml:space="preserve">    091214</w:t>
          </w:r>
        </w:p>
        <w:p w:rsidR="0064130C" w:rsidRPr="0064130C" w:rsidRDefault="0064130C" w:rsidP="0064130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*1464769*</w:t>
          </w:r>
        </w:p>
      </w:tc>
      <w:tc>
        <w:tcPr>
          <w:tcW w:w="3686" w:type="dxa"/>
        </w:tcPr>
        <w:p w:rsidR="0064130C" w:rsidRDefault="0064130C" w:rsidP="0064130C">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64130C" w:rsidRPr="0064130C" w:rsidRDefault="0064130C" w:rsidP="0064130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4682" w:rsidRPr="00F90A6D" w:rsidRDefault="00A84682" w:rsidP="00F90A6D">
      <w:pPr>
        <w:pStyle w:val="Footer"/>
        <w:spacing w:after="80"/>
        <w:ind w:left="792"/>
        <w:rPr>
          <w:sz w:val="16"/>
        </w:rPr>
      </w:pPr>
      <w:r w:rsidRPr="00F90A6D">
        <w:rPr>
          <w:sz w:val="16"/>
        </w:rPr>
        <w:t>__________________</w:t>
      </w:r>
    </w:p>
  </w:footnote>
  <w:footnote w:type="continuationSeparator" w:id="0">
    <w:p w:rsidR="00A84682" w:rsidRPr="00F90A6D" w:rsidRDefault="00A84682" w:rsidP="00F90A6D">
      <w:pPr>
        <w:pStyle w:val="Footer"/>
        <w:spacing w:after="80"/>
        <w:ind w:left="792"/>
        <w:rPr>
          <w:sz w:val="16"/>
        </w:rPr>
      </w:pPr>
      <w:r w:rsidRPr="00F90A6D">
        <w:rPr>
          <w:sz w:val="16"/>
        </w:rPr>
        <w:t>__________________</w:t>
      </w:r>
    </w:p>
  </w:footnote>
  <w:footnote w:id="1">
    <w:p w:rsidR="00F90A6D" w:rsidRPr="00F90A6D" w:rsidRDefault="00F90A6D" w:rsidP="00F90A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90A6D">
        <w:t>Barbara Bailey had been designated as a member of the pre-sessional working group for the sixty-first session, but was unable to attend. She nevertheless contributed in absentia to its work.</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4130C" w:rsidTr="0064130C">
      <w:tblPrEx>
        <w:tblCellMar>
          <w:top w:w="0" w:type="dxa"/>
          <w:bottom w:w="0" w:type="dxa"/>
        </w:tblCellMar>
      </w:tblPrEx>
      <w:trPr>
        <w:trHeight w:hRule="exact" w:val="864"/>
      </w:trPr>
      <w:tc>
        <w:tcPr>
          <w:tcW w:w="4838" w:type="dxa"/>
          <w:shd w:val="clear" w:color="auto" w:fill="auto"/>
          <w:vAlign w:val="bottom"/>
        </w:tcPr>
        <w:p w:rsidR="0064130C" w:rsidRPr="0064130C" w:rsidRDefault="0064130C" w:rsidP="0064130C">
          <w:pPr>
            <w:pStyle w:val="Header"/>
            <w:spacing w:after="80"/>
            <w:rPr>
              <w:b/>
            </w:rPr>
          </w:pPr>
          <w:fldSimple w:instr=" DOCVARIABLE &quot;sss1&quot; \* MERGEFORMAT ">
            <w:r w:rsidR="00FD4463">
              <w:rPr>
                <w:b/>
              </w:rPr>
              <w:t>CEDAW/C/PSWG/61/1</w:t>
            </w:r>
          </w:fldSimple>
        </w:p>
      </w:tc>
      <w:tc>
        <w:tcPr>
          <w:tcW w:w="5033" w:type="dxa"/>
          <w:shd w:val="clear" w:color="auto" w:fill="auto"/>
          <w:vAlign w:val="bottom"/>
        </w:tcPr>
        <w:p w:rsidR="0064130C" w:rsidRDefault="0064130C" w:rsidP="0064130C">
          <w:pPr>
            <w:pStyle w:val="Header"/>
          </w:pPr>
        </w:p>
      </w:tc>
    </w:tr>
  </w:tbl>
  <w:p w:rsidR="0064130C" w:rsidRPr="0064130C" w:rsidRDefault="0064130C" w:rsidP="0064130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4130C" w:rsidTr="0064130C">
      <w:tblPrEx>
        <w:tblCellMar>
          <w:top w:w="0" w:type="dxa"/>
          <w:bottom w:w="0" w:type="dxa"/>
        </w:tblCellMar>
      </w:tblPrEx>
      <w:trPr>
        <w:trHeight w:hRule="exact" w:val="864"/>
      </w:trPr>
      <w:tc>
        <w:tcPr>
          <w:tcW w:w="4838" w:type="dxa"/>
          <w:shd w:val="clear" w:color="auto" w:fill="auto"/>
          <w:vAlign w:val="bottom"/>
        </w:tcPr>
        <w:p w:rsidR="0064130C" w:rsidRDefault="0064130C" w:rsidP="0064130C">
          <w:pPr>
            <w:pStyle w:val="Header"/>
          </w:pPr>
        </w:p>
      </w:tc>
      <w:tc>
        <w:tcPr>
          <w:tcW w:w="5033" w:type="dxa"/>
          <w:shd w:val="clear" w:color="auto" w:fill="auto"/>
          <w:vAlign w:val="bottom"/>
        </w:tcPr>
        <w:p w:rsidR="0064130C" w:rsidRPr="0064130C" w:rsidRDefault="0064130C" w:rsidP="0064130C">
          <w:pPr>
            <w:pStyle w:val="Header"/>
            <w:spacing w:after="80"/>
            <w:jc w:val="right"/>
            <w:rPr>
              <w:b/>
            </w:rPr>
          </w:pPr>
          <w:fldSimple w:instr=" DOCVARIABLE &quot;sss1&quot; \* MERGEFORMAT ">
            <w:r w:rsidR="00FD4463">
              <w:rPr>
                <w:b/>
              </w:rPr>
              <w:t>CEDAW/C/PSWG/61/1</w:t>
            </w:r>
          </w:fldSimple>
        </w:p>
      </w:tc>
    </w:tr>
  </w:tbl>
  <w:p w:rsidR="0064130C" w:rsidRPr="0064130C" w:rsidRDefault="0064130C" w:rsidP="0064130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64130C" w:rsidTr="0064130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4130C" w:rsidRDefault="0064130C" w:rsidP="0064130C">
          <w:pPr>
            <w:pStyle w:val="Header"/>
            <w:spacing w:after="120"/>
          </w:pPr>
        </w:p>
      </w:tc>
      <w:tc>
        <w:tcPr>
          <w:tcW w:w="1872" w:type="dxa"/>
          <w:tcBorders>
            <w:bottom w:val="single" w:sz="4" w:space="0" w:color="auto"/>
          </w:tcBorders>
          <w:shd w:val="clear" w:color="auto" w:fill="auto"/>
          <w:vAlign w:val="bottom"/>
        </w:tcPr>
        <w:p w:rsidR="0064130C" w:rsidRPr="0064130C" w:rsidRDefault="0064130C" w:rsidP="0064130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4130C" w:rsidRDefault="0064130C" w:rsidP="0064130C">
          <w:pPr>
            <w:pStyle w:val="Header"/>
            <w:spacing w:after="120"/>
          </w:pPr>
        </w:p>
      </w:tc>
      <w:tc>
        <w:tcPr>
          <w:tcW w:w="6523" w:type="dxa"/>
          <w:gridSpan w:val="4"/>
          <w:tcBorders>
            <w:bottom w:val="single" w:sz="4" w:space="0" w:color="auto"/>
          </w:tcBorders>
          <w:shd w:val="clear" w:color="auto" w:fill="auto"/>
          <w:vAlign w:val="bottom"/>
        </w:tcPr>
        <w:p w:rsidR="0064130C" w:rsidRPr="0064130C" w:rsidRDefault="0064130C" w:rsidP="0064130C">
          <w:pPr>
            <w:spacing w:after="80" w:line="240" w:lineRule="auto"/>
            <w:jc w:val="right"/>
            <w:rPr>
              <w:position w:val="-4"/>
            </w:rPr>
          </w:pPr>
          <w:r>
            <w:rPr>
              <w:position w:val="-4"/>
              <w:sz w:val="40"/>
            </w:rPr>
            <w:t>CEDAW</w:t>
          </w:r>
          <w:r>
            <w:rPr>
              <w:position w:val="-4"/>
            </w:rPr>
            <w:t>/C/PSWG/61/1</w:t>
          </w:r>
        </w:p>
      </w:tc>
    </w:tr>
    <w:tr w:rsidR="0064130C" w:rsidRPr="0064130C" w:rsidTr="00F90A6D">
      <w:tblPrEx>
        <w:tblCellMar>
          <w:top w:w="0" w:type="dxa"/>
          <w:bottom w:w="0" w:type="dxa"/>
        </w:tblCellMar>
      </w:tblPrEx>
      <w:trPr>
        <w:gridAfter w:val="1"/>
        <w:wAfter w:w="28" w:type="dxa"/>
        <w:trHeight w:val="2515"/>
      </w:trPr>
      <w:tc>
        <w:tcPr>
          <w:tcW w:w="1267" w:type="dxa"/>
          <w:tcBorders>
            <w:top w:val="single" w:sz="4" w:space="0" w:color="auto"/>
            <w:bottom w:val="single" w:sz="12" w:space="0" w:color="auto"/>
          </w:tcBorders>
          <w:shd w:val="clear" w:color="auto" w:fill="auto"/>
        </w:tcPr>
        <w:p w:rsidR="0064130C" w:rsidRDefault="0064130C" w:rsidP="0064130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4130C" w:rsidRPr="0064130C" w:rsidRDefault="0064130C" w:rsidP="0064130C">
          <w:pPr>
            <w:pStyle w:val="Header"/>
            <w:spacing w:before="109"/>
          </w:pPr>
        </w:p>
      </w:tc>
      <w:tc>
        <w:tcPr>
          <w:tcW w:w="5227" w:type="dxa"/>
          <w:gridSpan w:val="3"/>
          <w:tcBorders>
            <w:top w:val="single" w:sz="4" w:space="0" w:color="auto"/>
            <w:bottom w:val="single" w:sz="12" w:space="0" w:color="auto"/>
          </w:tcBorders>
          <w:shd w:val="clear" w:color="auto" w:fill="auto"/>
        </w:tcPr>
        <w:p w:rsidR="0064130C" w:rsidRPr="0064130C" w:rsidRDefault="0064130C" w:rsidP="0064130C">
          <w:pPr>
            <w:pStyle w:val="XLarge"/>
            <w:spacing w:before="109" w:after="0"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4130C" w:rsidRPr="0064130C" w:rsidRDefault="0064130C" w:rsidP="0064130C">
          <w:pPr>
            <w:pStyle w:val="Header"/>
            <w:spacing w:before="109"/>
          </w:pPr>
        </w:p>
      </w:tc>
      <w:tc>
        <w:tcPr>
          <w:tcW w:w="3140" w:type="dxa"/>
          <w:tcBorders>
            <w:top w:val="single" w:sz="4" w:space="0" w:color="auto"/>
            <w:bottom w:val="single" w:sz="12" w:space="0" w:color="auto"/>
          </w:tcBorders>
          <w:shd w:val="clear" w:color="auto" w:fill="auto"/>
        </w:tcPr>
        <w:p w:rsidR="0064130C" w:rsidRDefault="0064130C" w:rsidP="0064130C">
          <w:pPr>
            <w:pStyle w:val="Distribution"/>
            <w:rPr>
              <w:color w:val="010000"/>
            </w:rPr>
          </w:pPr>
          <w:r>
            <w:rPr>
              <w:color w:val="010000"/>
            </w:rPr>
            <w:t>Distr.: General</w:t>
          </w:r>
        </w:p>
        <w:p w:rsidR="0064130C" w:rsidRDefault="0064130C" w:rsidP="0064130C">
          <w:pPr>
            <w:pStyle w:val="Publication"/>
            <w:rPr>
              <w:color w:val="010000"/>
            </w:rPr>
          </w:pPr>
          <w:r>
            <w:rPr>
              <w:color w:val="010000"/>
            </w:rPr>
            <w:t>17 November 2014</w:t>
          </w:r>
        </w:p>
        <w:p w:rsidR="0064130C" w:rsidRDefault="0064130C" w:rsidP="0064130C"/>
        <w:p w:rsidR="0064130C" w:rsidRDefault="0064130C" w:rsidP="0064130C">
          <w:pPr>
            <w:pStyle w:val="Original"/>
            <w:rPr>
              <w:color w:val="010000"/>
            </w:rPr>
          </w:pPr>
          <w:r>
            <w:rPr>
              <w:color w:val="010000"/>
            </w:rPr>
            <w:t>Original: English</w:t>
          </w:r>
        </w:p>
        <w:p w:rsidR="0064130C" w:rsidRPr="0064130C" w:rsidRDefault="0064130C" w:rsidP="0064130C"/>
      </w:tc>
    </w:tr>
  </w:tbl>
  <w:p w:rsidR="0064130C" w:rsidRPr="0064130C" w:rsidRDefault="0064130C" w:rsidP="0064130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769*"/>
    <w:docVar w:name="CreationDt" w:val="09/12/2014 10:25 AM"/>
    <w:docVar w:name="DocCategory" w:val="Doc"/>
    <w:docVar w:name="DocType" w:val="Final"/>
    <w:docVar w:name="FooterJN" w:val="14-64769"/>
    <w:docVar w:name="jobn" w:val="14-64769 (E)"/>
    <w:docVar w:name="jobnDT" w:val="14-64769 (E)   091214"/>
    <w:docVar w:name="jobnDTDT" w:val="14-64769 (E)   091214   091214"/>
    <w:docVar w:name="JobNo" w:val="1464769E"/>
    <w:docVar w:name="JobNo2" w:val="1463285E"/>
    <w:docVar w:name="OandT" w:val="DTH"/>
    <w:docVar w:name="sss1" w:val="CEDAW/C/PSWG/61/1"/>
    <w:docVar w:name="sss2" w:val="-"/>
    <w:docVar w:name="Symbol1" w:val="CEDAW/C/PSWG/61/1"/>
    <w:docVar w:name="Symbol2" w:val="-"/>
  </w:docVars>
  <w:rsids>
    <w:rsidRoot w:val="0069374E"/>
    <w:rsid w:val="00013C9F"/>
    <w:rsid w:val="000243C1"/>
    <w:rsid w:val="0003242E"/>
    <w:rsid w:val="00043AC1"/>
    <w:rsid w:val="00054828"/>
    <w:rsid w:val="00060FB4"/>
    <w:rsid w:val="00062E0F"/>
    <w:rsid w:val="00073B00"/>
    <w:rsid w:val="000930EA"/>
    <w:rsid w:val="000C30BC"/>
    <w:rsid w:val="000E7174"/>
    <w:rsid w:val="00107D5F"/>
    <w:rsid w:val="00113764"/>
    <w:rsid w:val="0011565A"/>
    <w:rsid w:val="001208CF"/>
    <w:rsid w:val="00146E4B"/>
    <w:rsid w:val="001505B6"/>
    <w:rsid w:val="001636A2"/>
    <w:rsid w:val="00164BCE"/>
    <w:rsid w:val="001653FB"/>
    <w:rsid w:val="001745C0"/>
    <w:rsid w:val="00182B15"/>
    <w:rsid w:val="00184193"/>
    <w:rsid w:val="001917A6"/>
    <w:rsid w:val="0019245C"/>
    <w:rsid w:val="00192845"/>
    <w:rsid w:val="001936F0"/>
    <w:rsid w:val="00196A9E"/>
    <w:rsid w:val="001A077F"/>
    <w:rsid w:val="001B0B41"/>
    <w:rsid w:val="001C266D"/>
    <w:rsid w:val="001D4790"/>
    <w:rsid w:val="001D6745"/>
    <w:rsid w:val="001D7216"/>
    <w:rsid w:val="001E077C"/>
    <w:rsid w:val="001E0B55"/>
    <w:rsid w:val="001E4D56"/>
    <w:rsid w:val="001E5AE9"/>
    <w:rsid w:val="001F2BDA"/>
    <w:rsid w:val="001F5FE7"/>
    <w:rsid w:val="001F7C50"/>
    <w:rsid w:val="00213104"/>
    <w:rsid w:val="002141E3"/>
    <w:rsid w:val="00225B63"/>
    <w:rsid w:val="00226EB8"/>
    <w:rsid w:val="00232F19"/>
    <w:rsid w:val="00236DA6"/>
    <w:rsid w:val="002453F5"/>
    <w:rsid w:val="002508E9"/>
    <w:rsid w:val="0025759D"/>
    <w:rsid w:val="002713B7"/>
    <w:rsid w:val="0027290F"/>
    <w:rsid w:val="00274B66"/>
    <w:rsid w:val="00275106"/>
    <w:rsid w:val="00275598"/>
    <w:rsid w:val="00276B79"/>
    <w:rsid w:val="00296E6C"/>
    <w:rsid w:val="002A5739"/>
    <w:rsid w:val="002B4B8E"/>
    <w:rsid w:val="002D4228"/>
    <w:rsid w:val="002D4776"/>
    <w:rsid w:val="002F0531"/>
    <w:rsid w:val="002F5827"/>
    <w:rsid w:val="00303242"/>
    <w:rsid w:val="00314F83"/>
    <w:rsid w:val="00326A29"/>
    <w:rsid w:val="0032749A"/>
    <w:rsid w:val="00332088"/>
    <w:rsid w:val="00341AF8"/>
    <w:rsid w:val="003466DC"/>
    <w:rsid w:val="00347DD3"/>
    <w:rsid w:val="003769DF"/>
    <w:rsid w:val="003928D1"/>
    <w:rsid w:val="003B0491"/>
    <w:rsid w:val="003B0DE7"/>
    <w:rsid w:val="003C3A7D"/>
    <w:rsid w:val="003C43F7"/>
    <w:rsid w:val="003E0D98"/>
    <w:rsid w:val="00401E19"/>
    <w:rsid w:val="00414F44"/>
    <w:rsid w:val="0041500E"/>
    <w:rsid w:val="004166D8"/>
    <w:rsid w:val="00441580"/>
    <w:rsid w:val="00441EF4"/>
    <w:rsid w:val="004423AB"/>
    <w:rsid w:val="00443A4A"/>
    <w:rsid w:val="00444725"/>
    <w:rsid w:val="004472AD"/>
    <w:rsid w:val="0045397A"/>
    <w:rsid w:val="00470EE0"/>
    <w:rsid w:val="0047572C"/>
    <w:rsid w:val="004774B3"/>
    <w:rsid w:val="00477F9F"/>
    <w:rsid w:val="004831A5"/>
    <w:rsid w:val="00487D0A"/>
    <w:rsid w:val="00494C70"/>
    <w:rsid w:val="00497BF5"/>
    <w:rsid w:val="004A06AE"/>
    <w:rsid w:val="004A313F"/>
    <w:rsid w:val="004A5068"/>
    <w:rsid w:val="004A6F00"/>
    <w:rsid w:val="004C0A4B"/>
    <w:rsid w:val="004C0FD5"/>
    <w:rsid w:val="004C50BD"/>
    <w:rsid w:val="004C599F"/>
    <w:rsid w:val="004C7A38"/>
    <w:rsid w:val="004C7E05"/>
    <w:rsid w:val="004D0839"/>
    <w:rsid w:val="004D2970"/>
    <w:rsid w:val="004D7A08"/>
    <w:rsid w:val="004E6971"/>
    <w:rsid w:val="004F269C"/>
    <w:rsid w:val="004F4AA8"/>
    <w:rsid w:val="004F71A8"/>
    <w:rsid w:val="00502499"/>
    <w:rsid w:val="00514854"/>
    <w:rsid w:val="00515591"/>
    <w:rsid w:val="00534D74"/>
    <w:rsid w:val="00542A9C"/>
    <w:rsid w:val="00546F5D"/>
    <w:rsid w:val="0055474C"/>
    <w:rsid w:val="0055753C"/>
    <w:rsid w:val="00566B69"/>
    <w:rsid w:val="005729BA"/>
    <w:rsid w:val="00583963"/>
    <w:rsid w:val="00586902"/>
    <w:rsid w:val="00594A53"/>
    <w:rsid w:val="005A3D90"/>
    <w:rsid w:val="005A7261"/>
    <w:rsid w:val="005B426E"/>
    <w:rsid w:val="005B500B"/>
    <w:rsid w:val="005C2441"/>
    <w:rsid w:val="005C394D"/>
    <w:rsid w:val="005D3D41"/>
    <w:rsid w:val="005E0744"/>
    <w:rsid w:val="005F6860"/>
    <w:rsid w:val="00600132"/>
    <w:rsid w:val="00601E37"/>
    <w:rsid w:val="0060256A"/>
    <w:rsid w:val="006035F9"/>
    <w:rsid w:val="0060441D"/>
    <w:rsid w:val="00610819"/>
    <w:rsid w:val="0061160A"/>
    <w:rsid w:val="006242A5"/>
    <w:rsid w:val="0062527E"/>
    <w:rsid w:val="00634FA8"/>
    <w:rsid w:val="0064130C"/>
    <w:rsid w:val="00653B25"/>
    <w:rsid w:val="00656459"/>
    <w:rsid w:val="0066134F"/>
    <w:rsid w:val="0066368E"/>
    <w:rsid w:val="0067014A"/>
    <w:rsid w:val="00673A86"/>
    <w:rsid w:val="00673D70"/>
    <w:rsid w:val="0069374E"/>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204E6"/>
    <w:rsid w:val="00724074"/>
    <w:rsid w:val="00730B23"/>
    <w:rsid w:val="007417DD"/>
    <w:rsid w:val="007608D8"/>
    <w:rsid w:val="007669B0"/>
    <w:rsid w:val="007937FF"/>
    <w:rsid w:val="0079386A"/>
    <w:rsid w:val="00795305"/>
    <w:rsid w:val="00796A8E"/>
    <w:rsid w:val="007A4F17"/>
    <w:rsid w:val="007A5254"/>
    <w:rsid w:val="007B3AC6"/>
    <w:rsid w:val="007B6885"/>
    <w:rsid w:val="007C34B2"/>
    <w:rsid w:val="007C78B7"/>
    <w:rsid w:val="007D586B"/>
    <w:rsid w:val="007D5E0A"/>
    <w:rsid w:val="007E3D89"/>
    <w:rsid w:val="007E5210"/>
    <w:rsid w:val="007F23CE"/>
    <w:rsid w:val="007F3C8D"/>
    <w:rsid w:val="00837F18"/>
    <w:rsid w:val="0084786F"/>
    <w:rsid w:val="00852178"/>
    <w:rsid w:val="0085451D"/>
    <w:rsid w:val="00854EC8"/>
    <w:rsid w:val="00855E08"/>
    <w:rsid w:val="008640BE"/>
    <w:rsid w:val="008642D7"/>
    <w:rsid w:val="0086531E"/>
    <w:rsid w:val="00865C17"/>
    <w:rsid w:val="00875D2D"/>
    <w:rsid w:val="00885F41"/>
    <w:rsid w:val="008A7B66"/>
    <w:rsid w:val="008B026E"/>
    <w:rsid w:val="008C04D4"/>
    <w:rsid w:val="008C3E90"/>
    <w:rsid w:val="008C43B3"/>
    <w:rsid w:val="008C4CE3"/>
    <w:rsid w:val="008D006F"/>
    <w:rsid w:val="008D2798"/>
    <w:rsid w:val="008E2435"/>
    <w:rsid w:val="008E4C20"/>
    <w:rsid w:val="00902F4F"/>
    <w:rsid w:val="00920276"/>
    <w:rsid w:val="0092264E"/>
    <w:rsid w:val="00935F51"/>
    <w:rsid w:val="00936E96"/>
    <w:rsid w:val="00941EDA"/>
    <w:rsid w:val="009567F0"/>
    <w:rsid w:val="00956D53"/>
    <w:rsid w:val="00961D71"/>
    <w:rsid w:val="00961E03"/>
    <w:rsid w:val="00987852"/>
    <w:rsid w:val="00993D85"/>
    <w:rsid w:val="009946BE"/>
    <w:rsid w:val="009A08DF"/>
    <w:rsid w:val="009C219D"/>
    <w:rsid w:val="009C4614"/>
    <w:rsid w:val="009D7F7A"/>
    <w:rsid w:val="009E1D8F"/>
    <w:rsid w:val="009E6C4F"/>
    <w:rsid w:val="009F0EFA"/>
    <w:rsid w:val="009F1279"/>
    <w:rsid w:val="009F68B5"/>
    <w:rsid w:val="00A0449E"/>
    <w:rsid w:val="00A05B1C"/>
    <w:rsid w:val="00A07847"/>
    <w:rsid w:val="00A120D4"/>
    <w:rsid w:val="00A12857"/>
    <w:rsid w:val="00A251C7"/>
    <w:rsid w:val="00A26996"/>
    <w:rsid w:val="00A33C7F"/>
    <w:rsid w:val="00A42868"/>
    <w:rsid w:val="00A44A1E"/>
    <w:rsid w:val="00A50ED5"/>
    <w:rsid w:val="00A52CCD"/>
    <w:rsid w:val="00A56356"/>
    <w:rsid w:val="00A675FD"/>
    <w:rsid w:val="00A7696A"/>
    <w:rsid w:val="00A769C4"/>
    <w:rsid w:val="00A83C88"/>
    <w:rsid w:val="00A84682"/>
    <w:rsid w:val="00A90C30"/>
    <w:rsid w:val="00AA107E"/>
    <w:rsid w:val="00AA4BEA"/>
    <w:rsid w:val="00AA5215"/>
    <w:rsid w:val="00AB2280"/>
    <w:rsid w:val="00AD4861"/>
    <w:rsid w:val="00AD4C00"/>
    <w:rsid w:val="00AE1D5D"/>
    <w:rsid w:val="00AE6470"/>
    <w:rsid w:val="00AE6AFF"/>
    <w:rsid w:val="00AF6AC0"/>
    <w:rsid w:val="00AF6C82"/>
    <w:rsid w:val="00AF7784"/>
    <w:rsid w:val="00B10B5D"/>
    <w:rsid w:val="00B13D70"/>
    <w:rsid w:val="00B150ED"/>
    <w:rsid w:val="00B16B46"/>
    <w:rsid w:val="00B27C06"/>
    <w:rsid w:val="00B53945"/>
    <w:rsid w:val="00B67B92"/>
    <w:rsid w:val="00B72250"/>
    <w:rsid w:val="00B81452"/>
    <w:rsid w:val="00BA0F90"/>
    <w:rsid w:val="00BB1AD4"/>
    <w:rsid w:val="00BD0908"/>
    <w:rsid w:val="00BD0DCE"/>
    <w:rsid w:val="00BD2782"/>
    <w:rsid w:val="00BF472E"/>
    <w:rsid w:val="00BF7DFA"/>
    <w:rsid w:val="00C03CD1"/>
    <w:rsid w:val="00C1784A"/>
    <w:rsid w:val="00C20B4C"/>
    <w:rsid w:val="00C2494E"/>
    <w:rsid w:val="00C24D28"/>
    <w:rsid w:val="00C307BD"/>
    <w:rsid w:val="00C31501"/>
    <w:rsid w:val="00C35789"/>
    <w:rsid w:val="00C4446E"/>
    <w:rsid w:val="00C51E36"/>
    <w:rsid w:val="00C819A4"/>
    <w:rsid w:val="00C903D3"/>
    <w:rsid w:val="00C926AF"/>
    <w:rsid w:val="00CA605D"/>
    <w:rsid w:val="00CC1C6D"/>
    <w:rsid w:val="00CC5B87"/>
    <w:rsid w:val="00CD362B"/>
    <w:rsid w:val="00CD5D29"/>
    <w:rsid w:val="00CD7F8F"/>
    <w:rsid w:val="00CE1B29"/>
    <w:rsid w:val="00CF2576"/>
    <w:rsid w:val="00CF66B6"/>
    <w:rsid w:val="00CF734C"/>
    <w:rsid w:val="00D05C08"/>
    <w:rsid w:val="00D151CD"/>
    <w:rsid w:val="00D244DC"/>
    <w:rsid w:val="00D269E0"/>
    <w:rsid w:val="00D379B4"/>
    <w:rsid w:val="00D40316"/>
    <w:rsid w:val="00D43BD4"/>
    <w:rsid w:val="00D513B3"/>
    <w:rsid w:val="00D54B65"/>
    <w:rsid w:val="00D703FE"/>
    <w:rsid w:val="00D750EB"/>
    <w:rsid w:val="00D94AF5"/>
    <w:rsid w:val="00DA2FC4"/>
    <w:rsid w:val="00DA58BE"/>
    <w:rsid w:val="00DA7E22"/>
    <w:rsid w:val="00DB32C6"/>
    <w:rsid w:val="00DF50DA"/>
    <w:rsid w:val="00DF57D2"/>
    <w:rsid w:val="00E02BE4"/>
    <w:rsid w:val="00E05A3F"/>
    <w:rsid w:val="00E05FB1"/>
    <w:rsid w:val="00E2569F"/>
    <w:rsid w:val="00E261AF"/>
    <w:rsid w:val="00E3478E"/>
    <w:rsid w:val="00E34A2A"/>
    <w:rsid w:val="00E35AF0"/>
    <w:rsid w:val="00E456C6"/>
    <w:rsid w:val="00E5289B"/>
    <w:rsid w:val="00E64F8A"/>
    <w:rsid w:val="00E67750"/>
    <w:rsid w:val="00E677E7"/>
    <w:rsid w:val="00E763F4"/>
    <w:rsid w:val="00E76523"/>
    <w:rsid w:val="00E76B5C"/>
    <w:rsid w:val="00E836AF"/>
    <w:rsid w:val="00E85601"/>
    <w:rsid w:val="00E85EF4"/>
    <w:rsid w:val="00E94147"/>
    <w:rsid w:val="00E94566"/>
    <w:rsid w:val="00E94860"/>
    <w:rsid w:val="00EA63A7"/>
    <w:rsid w:val="00EB1E10"/>
    <w:rsid w:val="00EB7547"/>
    <w:rsid w:val="00EB7684"/>
    <w:rsid w:val="00EC008D"/>
    <w:rsid w:val="00ED1D3A"/>
    <w:rsid w:val="00EF31CF"/>
    <w:rsid w:val="00EF478C"/>
    <w:rsid w:val="00EF63BE"/>
    <w:rsid w:val="00F7009B"/>
    <w:rsid w:val="00F70C0E"/>
    <w:rsid w:val="00F7348A"/>
    <w:rsid w:val="00F82744"/>
    <w:rsid w:val="00F8507F"/>
    <w:rsid w:val="00F90544"/>
    <w:rsid w:val="00F90A6D"/>
    <w:rsid w:val="00F9421B"/>
    <w:rsid w:val="00FA02D8"/>
    <w:rsid w:val="00FC3370"/>
    <w:rsid w:val="00FC3C0B"/>
    <w:rsid w:val="00FC43F4"/>
    <w:rsid w:val="00FC527B"/>
    <w:rsid w:val="00FD4463"/>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64130C"/>
    <w:rPr>
      <w:lang/>
    </w:rPr>
  </w:style>
  <w:style w:type="character" w:customStyle="1" w:styleId="CommentTextChar">
    <w:name w:val="Comment Text Char"/>
    <w:link w:val="CommentText"/>
    <w:rsid w:val="0064130C"/>
    <w:rPr>
      <w:spacing w:val="4"/>
      <w:w w:val="103"/>
      <w:kern w:val="14"/>
      <w:lang w:val="en-GB"/>
    </w:rPr>
  </w:style>
  <w:style w:type="paragraph" w:styleId="CommentSubject">
    <w:name w:val="annotation subject"/>
    <w:basedOn w:val="CommentText"/>
    <w:next w:val="CommentText"/>
    <w:link w:val="CommentSubjectChar"/>
    <w:rsid w:val="0064130C"/>
    <w:rPr>
      <w:b/>
      <w:bCs/>
    </w:rPr>
  </w:style>
  <w:style w:type="character" w:customStyle="1" w:styleId="CommentSubjectChar">
    <w:name w:val="Comment Subject Char"/>
    <w:link w:val="CommentSubject"/>
    <w:rsid w:val="0064130C"/>
    <w:rPr>
      <w:b/>
      <w:bCs/>
      <w:spacing w:val="4"/>
      <w:w w:val="103"/>
      <w:kern w:val="14"/>
      <w:lang w:val="en-GB"/>
    </w:rPr>
  </w:style>
  <w:style w:type="character" w:styleId="Hyperlink">
    <w:name w:val="Hyperlink"/>
    <w:rsid w:val="00F90A6D"/>
    <w:rPr>
      <w:color w:val="0000FF"/>
      <w:u w:val="none"/>
    </w:rPr>
  </w:style>
  <w:style w:type="character" w:styleId="FollowedHyperlink">
    <w:name w:val="FollowedHyperlink"/>
    <w:rsid w:val="00F90A6D"/>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CEDAW/C/VCT/Q/4" TargetMode="External"/><Relationship Id="rId3" Type="http://schemas.openxmlformats.org/officeDocument/2006/relationships/webSettings" Target="webSettings.xml"/><Relationship Id="rId21" Type="http://schemas.openxmlformats.org/officeDocument/2006/relationships/hyperlink" Target="http://undocs.org/CEDAW/C/VNM/Q/7"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CEDAW/C/NAM/Q/4" TargetMode="External"/><Relationship Id="rId2" Type="http://schemas.openxmlformats.org/officeDocument/2006/relationships/settings" Target="settings.xml"/><Relationship Id="rId16" Type="http://schemas.openxmlformats.org/officeDocument/2006/relationships/hyperlink" Target="http://undocs.org/CEDAW/C/GMB/Q/4" TargetMode="External"/><Relationship Id="rId20" Type="http://schemas.openxmlformats.org/officeDocument/2006/relationships/hyperlink" Target="http://undocs.org/CEDAW/C/ESP/Q/7"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HRV/Q/4"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CEDAW/C/SEN/Q/3"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BOL/Q/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2</Pages>
  <Words>754</Words>
  <Characters>4301</Characters>
  <Application>Microsoft Office Outlook</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5045</CharactersWithSpaces>
  <SharedDoc>false</SharedDoc>
  <HLinks>
    <vt:vector size="48" baseType="variant">
      <vt:variant>
        <vt:i4>4194314</vt:i4>
      </vt:variant>
      <vt:variant>
        <vt:i4>21</vt:i4>
      </vt:variant>
      <vt:variant>
        <vt:i4>0</vt:i4>
      </vt:variant>
      <vt:variant>
        <vt:i4>5</vt:i4>
      </vt:variant>
      <vt:variant>
        <vt:lpwstr>http://undocs.org/CEDAW/C/VNM/Q/7</vt:lpwstr>
      </vt:variant>
      <vt:variant>
        <vt:lpwstr/>
      </vt:variant>
      <vt:variant>
        <vt:i4>6094852</vt:i4>
      </vt:variant>
      <vt:variant>
        <vt:i4>18</vt:i4>
      </vt:variant>
      <vt:variant>
        <vt:i4>0</vt:i4>
      </vt:variant>
      <vt:variant>
        <vt:i4>5</vt:i4>
      </vt:variant>
      <vt:variant>
        <vt:lpwstr>http://undocs.org/CEDAW/C/ESP/Q/7</vt:lpwstr>
      </vt:variant>
      <vt:variant>
        <vt:lpwstr/>
      </vt:variant>
      <vt:variant>
        <vt:i4>4915212</vt:i4>
      </vt:variant>
      <vt:variant>
        <vt:i4>15</vt:i4>
      </vt:variant>
      <vt:variant>
        <vt:i4>0</vt:i4>
      </vt:variant>
      <vt:variant>
        <vt:i4>5</vt:i4>
      </vt:variant>
      <vt:variant>
        <vt:lpwstr>http://undocs.org/CEDAW/C/SEN/Q/3</vt:lpwstr>
      </vt:variant>
      <vt:variant>
        <vt:lpwstr/>
      </vt:variant>
      <vt:variant>
        <vt:i4>5046291</vt:i4>
      </vt:variant>
      <vt:variant>
        <vt:i4>12</vt:i4>
      </vt:variant>
      <vt:variant>
        <vt:i4>0</vt:i4>
      </vt:variant>
      <vt:variant>
        <vt:i4>5</vt:i4>
      </vt:variant>
      <vt:variant>
        <vt:lpwstr>http://undocs.org/CEDAW/C/VCT/Q/4</vt:lpwstr>
      </vt:variant>
      <vt:variant>
        <vt:lpwstr/>
      </vt:variant>
      <vt:variant>
        <vt:i4>5177362</vt:i4>
      </vt:variant>
      <vt:variant>
        <vt:i4>9</vt:i4>
      </vt:variant>
      <vt:variant>
        <vt:i4>0</vt:i4>
      </vt:variant>
      <vt:variant>
        <vt:i4>5</vt:i4>
      </vt:variant>
      <vt:variant>
        <vt:lpwstr>http://undocs.org/CEDAW/C/NAM/Q/4</vt:lpwstr>
      </vt:variant>
      <vt:variant>
        <vt:lpwstr/>
      </vt:variant>
      <vt:variant>
        <vt:i4>4390932</vt:i4>
      </vt:variant>
      <vt:variant>
        <vt:i4>6</vt:i4>
      </vt:variant>
      <vt:variant>
        <vt:i4>0</vt:i4>
      </vt:variant>
      <vt:variant>
        <vt:i4>5</vt:i4>
      </vt:variant>
      <vt:variant>
        <vt:lpwstr>http://undocs.org/CEDAW/C/GMB/Q/4</vt:lpwstr>
      </vt:variant>
      <vt:variant>
        <vt:lpwstr/>
      </vt:variant>
      <vt:variant>
        <vt:i4>6029327</vt:i4>
      </vt:variant>
      <vt:variant>
        <vt:i4>3</vt:i4>
      </vt:variant>
      <vt:variant>
        <vt:i4>0</vt:i4>
      </vt:variant>
      <vt:variant>
        <vt:i4>5</vt:i4>
      </vt:variant>
      <vt:variant>
        <vt:lpwstr>http://undocs.org/CEDAW/C/HRV/Q/4</vt:lpwstr>
      </vt:variant>
      <vt:variant>
        <vt:lpwstr/>
      </vt:variant>
      <vt:variant>
        <vt:i4>4259871</vt:i4>
      </vt:variant>
      <vt:variant>
        <vt:i4>0</vt:i4>
      </vt:variant>
      <vt:variant>
        <vt:i4>0</vt:i4>
      </vt:variant>
      <vt:variant>
        <vt:i4>5</vt:i4>
      </vt:variant>
      <vt:variant>
        <vt:lpwstr>http://undocs.org/CEDAW/C/BOL/Q/5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11</cp:revision>
  <cp:lastPrinted>2014-12-09T11:24:00Z</cp:lastPrinted>
  <dcterms:created xsi:type="dcterms:W3CDTF">2014-12-09T11:19:00Z</dcterms:created>
  <dcterms:modified xsi:type="dcterms:W3CDTF">2014-12-09T11:38:00Z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1464769</vt:lpwstr>
  </property>
  <property fmtid="{D5CDD505-2E9C-101B-9397-08002B2CF9AE}" pid="3" name="ODSRefJobNo">
    <vt:lpwstr>1463285E</vt:lpwstr>
  </property>
  <property fmtid="{D5CDD505-2E9C-101B-9397-08002B2CF9AE}" pid="4" name="Symbol1">
    <vt:lpwstr>CEDAW/C/PSWG/61/1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091214</vt:lpwstr>
  </property>
  <property fmtid="{D5CDD505-2E9C-101B-9397-08002B2CF9AE}" pid="11" name="Comment">
    <vt:lpwstr/>
  </property>
  <property fmtid="{D5CDD505-2E9C-101B-9397-08002B2CF9AE}" pid="12" name="DraftPages">
    <vt:lpwstr>2</vt:lpwstr>
  </property>
  <property fmtid="{D5CDD505-2E9C-101B-9397-08002B2CF9AE}" pid="13" name="Operator">
    <vt:lpwstr>dth (f)</vt:lpwstr>
  </property>
</Properties>
</file>