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72079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widowControl w:val="0"/>
        <w:ind w:left="6960"/>
        <w:rPr>
          <w:bCs/>
          <w:lang w:val="es-ES_tradnl"/>
        </w:rPr>
      </w:pPr>
      <w:r>
        <w:rPr>
          <w:bCs/>
          <w:lang w:val="es-ES_tradnl"/>
        </w:rPr>
        <w:t>Distr.</w:t>
      </w:r>
    </w:p>
    <w:p w:rsidR="00000000" w:rsidRDefault="00000000">
      <w:pPr>
        <w:widowControl w:val="0"/>
        <w:spacing w:after="240"/>
        <w:ind w:left="6960"/>
        <w:rPr>
          <w:bCs/>
          <w:lang w:val="es-ES_tradnl"/>
        </w:rPr>
      </w:pPr>
      <w:r>
        <w:rPr>
          <w:bCs/>
          <w:lang w:val="es-ES_tradnl"/>
        </w:rPr>
        <w:t>GENERAL</w:t>
      </w:r>
    </w:p>
    <w:p w:rsidR="00000000" w:rsidRDefault="00000000">
      <w:pPr>
        <w:widowControl w:val="0"/>
        <w:ind w:left="6960"/>
        <w:rPr>
          <w:bCs/>
          <w:lang w:val="es-ES_tradnl"/>
        </w:rPr>
      </w:pPr>
      <w:r>
        <w:rPr>
          <w:bCs/>
          <w:lang w:val="es-ES_tradnl"/>
        </w:rPr>
        <w:t>CRC/C/CHL/3</w:t>
      </w:r>
    </w:p>
    <w:p w:rsidR="00000000" w:rsidRDefault="00000000">
      <w:pPr>
        <w:widowControl w:val="0"/>
        <w:spacing w:after="240"/>
        <w:ind w:left="6960"/>
        <w:rPr>
          <w:bCs/>
          <w:lang w:val="es-ES_tradnl"/>
        </w:rPr>
      </w:pPr>
      <w:r>
        <w:rPr>
          <w:bCs/>
          <w:lang w:val="es-ES_tradnl"/>
        </w:rPr>
        <w:t>20 de diciembre de 2005</w:t>
      </w:r>
    </w:p>
    <w:p w:rsidR="00000000" w:rsidRDefault="00000000">
      <w:pPr>
        <w:widowControl w:val="0"/>
        <w:spacing w:after="960"/>
        <w:ind w:left="6960"/>
        <w:rPr>
          <w:bCs/>
          <w:lang w:val="es-ES_tradnl"/>
        </w:rPr>
      </w:pPr>
      <w:r>
        <w:rPr>
          <w:bCs/>
          <w:lang w:val="es-ES_tradnl"/>
        </w:rPr>
        <w:t>Original:  ESPAÑOL</w:t>
      </w:r>
    </w:p>
    <w:p w:rsidR="00000000" w:rsidRDefault="00000000">
      <w:pPr>
        <w:pStyle w:val="Heading2"/>
        <w:keepNext w:val="0"/>
        <w:widowControl w:val="0"/>
        <w:spacing w:after="1320"/>
        <w:jc w:val="left"/>
        <w:rPr>
          <w:b w:val="0"/>
          <w:bCs/>
          <w:lang w:val="es-ES_tradnl"/>
        </w:rPr>
      </w:pPr>
      <w:r>
        <w:rPr>
          <w:b w:val="0"/>
          <w:bCs/>
          <w:lang w:val="es-ES_tradnl"/>
        </w:rPr>
        <w:t>COMITÉ DE LOS DERECHOS DEL NIÑO</w:t>
      </w:r>
    </w:p>
    <w:p w:rsidR="00000000" w:rsidRDefault="00000000">
      <w:pPr>
        <w:pStyle w:val="Heading2"/>
        <w:keepNext w:val="0"/>
        <w:widowControl w:val="0"/>
        <w:spacing w:after="360"/>
        <w:rPr>
          <w:lang w:val="es-ES_tradnl"/>
        </w:rPr>
      </w:pPr>
      <w:r>
        <w:rPr>
          <w:spacing w:val="-4"/>
          <w:lang w:val="es-ES_tradnl"/>
        </w:rPr>
        <w:t>EXAMEN DE LOS INFORMES PRESENTADOS POR LOS ESTADOS PARTES</w:t>
      </w:r>
      <w:r>
        <w:rPr>
          <w:lang w:val="es-ES_tradnl"/>
        </w:rPr>
        <w:br/>
        <w:t>CON ARREGLO AL ARTÍCULO 44 DE LA CONVENCIÓN</w:t>
      </w:r>
    </w:p>
    <w:p w:rsidR="00000000" w:rsidRDefault="00000000">
      <w:pPr>
        <w:pStyle w:val="Heading1"/>
        <w:keepNext w:val="0"/>
        <w:suppressAutoHyphens w:val="0"/>
        <w:spacing w:after="480" w:line="240" w:lineRule="auto"/>
        <w:rPr>
          <w:b/>
          <w:u w:val="none"/>
          <w:lang w:val="es-ES_tradnl"/>
        </w:rPr>
      </w:pPr>
      <w:r>
        <w:rPr>
          <w:b/>
          <w:u w:val="none"/>
          <w:lang w:val="es-ES_tradnl"/>
        </w:rPr>
        <w:t>Terceros informes periódicos que los Estados Partes</w:t>
      </w:r>
      <w:r>
        <w:rPr>
          <w:b/>
          <w:u w:val="none"/>
          <w:lang w:val="es-ES_tradnl"/>
        </w:rPr>
        <w:br/>
        <w:t>debían presentar en 1997</w:t>
      </w:r>
    </w:p>
    <w:p w:rsidR="00000000" w:rsidRDefault="00000000">
      <w:pPr>
        <w:widowControl w:val="0"/>
        <w:spacing w:after="240"/>
        <w:jc w:val="center"/>
        <w:rPr>
          <w:b/>
          <w:lang w:val="es-ES_tradnl"/>
        </w:rPr>
      </w:pPr>
      <w:r>
        <w:rPr>
          <w:b/>
          <w:lang w:val="es-ES_tradnl"/>
        </w:rPr>
        <w:t>CHILE</w:t>
      </w:r>
      <w:r>
        <w:rPr>
          <w:rStyle w:val="FootnoteReference"/>
          <w:b w:val="0"/>
          <w:lang w:val="es-ES_tradnl"/>
        </w:rPr>
        <w:footnoteReference w:customMarkFollows="1" w:id="1"/>
        <w:t>*</w:t>
      </w:r>
      <w:r>
        <w:rPr>
          <w:b/>
          <w:lang w:val="es-ES_tradnl"/>
        </w:rPr>
        <w:t xml:space="preserve"> </w:t>
      </w:r>
      <w:r>
        <w:rPr>
          <w:rStyle w:val="FootnoteReference"/>
          <w:b w:val="0"/>
          <w:lang w:val="es-ES_tradnl"/>
        </w:rPr>
        <w:footnoteReference w:customMarkFollows="1" w:id="2"/>
        <w:t>**</w:t>
      </w:r>
    </w:p>
    <w:p w:rsidR="00000000" w:rsidRDefault="00000000">
      <w:pPr>
        <w:widowControl w:val="0"/>
        <w:jc w:val="right"/>
        <w:rPr>
          <w:bCs/>
        </w:rPr>
      </w:pPr>
      <w:r>
        <w:rPr>
          <w:bCs/>
        </w:rPr>
        <w:t>[11 de octubre de 2005]</w:t>
      </w:r>
    </w:p>
    <w:p w:rsidR="00000000" w:rsidRDefault="00000000">
      <w:pPr>
        <w:widowControl w:val="0"/>
        <w:jc w:val="center"/>
        <w:rPr>
          <w:bCs/>
        </w:rPr>
      </w:pPr>
    </w:p>
    <w:p w:rsidR="00000000" w:rsidRDefault="00000000">
      <w:pPr>
        <w:spacing w:after="240"/>
        <w:jc w:val="center"/>
        <w:outlineLvl w:val="0"/>
        <w:rPr>
          <w:b/>
          <w:noProof/>
          <w:szCs w:val="22"/>
        </w:rPr>
      </w:pPr>
      <w:r>
        <w:rPr>
          <w:b/>
          <w:bCs/>
          <w:szCs w:val="22"/>
        </w:rPr>
        <w:br w:type="page"/>
      </w:r>
      <w:r>
        <w:rPr>
          <w:b/>
          <w:noProof/>
          <w:szCs w:val="22"/>
        </w:rPr>
        <w:t>ÍNDICE</w:t>
      </w:r>
    </w:p>
    <w:p w:rsidR="00000000" w:rsidRDefault="00000000">
      <w:pPr>
        <w:spacing w:after="240"/>
        <w:jc w:val="right"/>
        <w:outlineLvl w:val="0"/>
        <w:rPr>
          <w:bCs/>
          <w:i/>
          <w:noProof/>
          <w:szCs w:val="22"/>
        </w:rPr>
      </w:pPr>
      <w:r>
        <w:rPr>
          <w:bCs/>
          <w:i/>
          <w:noProof/>
          <w:szCs w:val="22"/>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INTRODUCCIÓN</w:t>
      </w:r>
      <w:r>
        <w:rPr>
          <w:bCs/>
          <w:noProof/>
          <w:szCs w:val="22"/>
        </w:rPr>
        <w:tab/>
      </w:r>
      <w:r>
        <w:rPr>
          <w:bCs/>
          <w:noProof/>
          <w:szCs w:val="22"/>
        </w:rPr>
        <w:tab/>
        <w:t>1</w:t>
      </w:r>
      <w:r>
        <w:rPr>
          <w:bCs/>
          <w:noProof/>
          <w:szCs w:val="22"/>
        </w:rPr>
        <w:tab/>
        <w:t>-</w:t>
      </w:r>
      <w:r>
        <w:rPr>
          <w:bCs/>
          <w:noProof/>
          <w:szCs w:val="22"/>
        </w:rPr>
        <w:tab/>
        <w:t>14</w:t>
      </w:r>
      <w:r>
        <w:rPr>
          <w:bCs/>
          <w:noProof/>
          <w:szCs w:val="22"/>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t>I.</w:t>
      </w:r>
      <w:r>
        <w:rPr>
          <w:bCs/>
          <w:noProof/>
          <w:szCs w:val="22"/>
        </w:rPr>
        <w:tab/>
        <w:t>MEDIDAS GENERALES DE APLICACIÓN</w:t>
      </w:r>
      <w:r>
        <w:rPr>
          <w:bCs/>
          <w:noProof/>
          <w:szCs w:val="22"/>
        </w:rPr>
        <w:tab/>
      </w:r>
      <w:r>
        <w:rPr>
          <w:bCs/>
          <w:noProof/>
          <w:szCs w:val="22"/>
        </w:rPr>
        <w:tab/>
        <w:t>15</w:t>
      </w:r>
      <w:r>
        <w:rPr>
          <w:bCs/>
          <w:noProof/>
          <w:szCs w:val="22"/>
        </w:rPr>
        <w:tab/>
        <w:t>-</w:t>
      </w:r>
      <w:r>
        <w:rPr>
          <w:bCs/>
          <w:noProof/>
          <w:szCs w:val="22"/>
        </w:rPr>
        <w:tab/>
        <w:t>34</w:t>
      </w:r>
      <w:r>
        <w:rPr>
          <w:bCs/>
          <w:noProof/>
          <w:szCs w:val="22"/>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t>II.</w:t>
      </w:r>
      <w:r>
        <w:rPr>
          <w:bCs/>
          <w:noProof/>
          <w:szCs w:val="22"/>
        </w:rPr>
        <w:tab/>
        <w:t>DEFINICIÓN DEL NIÑO</w:t>
      </w:r>
      <w:r>
        <w:rPr>
          <w:bCs/>
          <w:noProof/>
          <w:szCs w:val="22"/>
        </w:rPr>
        <w:tab/>
      </w:r>
      <w:r>
        <w:rPr>
          <w:bCs/>
          <w:noProof/>
          <w:szCs w:val="22"/>
        </w:rPr>
        <w:tab/>
      </w:r>
      <w:r>
        <w:rPr>
          <w:bCs/>
          <w:noProof/>
          <w:szCs w:val="22"/>
        </w:rPr>
        <w:tab/>
        <w:t>35</w:t>
      </w:r>
      <w:r>
        <w:rPr>
          <w:bCs/>
          <w:noProof/>
          <w:szCs w:val="22"/>
        </w:rPr>
        <w:tab/>
      </w:r>
      <w:r>
        <w:rPr>
          <w:bCs/>
          <w:noProof/>
          <w:szCs w:val="22"/>
        </w:rP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t>III.</w:t>
      </w:r>
      <w:r>
        <w:rPr>
          <w:bCs/>
          <w:noProof/>
          <w:szCs w:val="22"/>
        </w:rPr>
        <w:tab/>
        <w:t>PRINCIPIOS GENERALES</w:t>
      </w:r>
      <w:r>
        <w:rPr>
          <w:bCs/>
          <w:noProof/>
          <w:szCs w:val="22"/>
        </w:rPr>
        <w:tab/>
      </w:r>
      <w:r>
        <w:rPr>
          <w:bCs/>
          <w:noProof/>
          <w:szCs w:val="22"/>
        </w:rPr>
        <w:tab/>
        <w:t>36</w:t>
      </w:r>
      <w:r>
        <w:rPr>
          <w:bCs/>
          <w:noProof/>
          <w:szCs w:val="22"/>
        </w:rPr>
        <w:tab/>
        <w:t>-</w:t>
      </w:r>
      <w:r>
        <w:rPr>
          <w:bCs/>
          <w:noProof/>
          <w:szCs w:val="22"/>
        </w:rPr>
        <w:tab/>
        <w:t>61</w:t>
      </w:r>
      <w:r>
        <w:rPr>
          <w:bCs/>
          <w:noProof/>
          <w:szCs w:val="22"/>
        </w:rP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r>
      <w:r>
        <w:rPr>
          <w:bCs/>
          <w:noProof/>
          <w:szCs w:val="22"/>
        </w:rPr>
        <w:tab/>
        <w:t>A.</w:t>
      </w:r>
      <w:r>
        <w:rPr>
          <w:bCs/>
          <w:noProof/>
          <w:szCs w:val="22"/>
        </w:rPr>
        <w:tab/>
        <w:t>No discriminación</w:t>
      </w:r>
      <w:r>
        <w:rPr>
          <w:bCs/>
          <w:noProof/>
          <w:szCs w:val="22"/>
        </w:rPr>
        <w:tab/>
      </w:r>
      <w:r>
        <w:rPr>
          <w:bCs/>
          <w:noProof/>
          <w:szCs w:val="22"/>
        </w:rPr>
        <w:tab/>
        <w:t>36</w:t>
      </w:r>
      <w:r>
        <w:rPr>
          <w:bCs/>
          <w:noProof/>
          <w:szCs w:val="22"/>
        </w:rPr>
        <w:tab/>
        <w:t>-</w:t>
      </w:r>
      <w:r>
        <w:rPr>
          <w:bCs/>
          <w:noProof/>
          <w:szCs w:val="22"/>
        </w:rPr>
        <w:tab/>
        <w:t>44</w:t>
      </w:r>
      <w:r>
        <w:rPr>
          <w:bCs/>
          <w:noProof/>
          <w:szCs w:val="22"/>
        </w:rP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r>
      <w:r>
        <w:rPr>
          <w:bCs/>
          <w:noProof/>
          <w:szCs w:val="22"/>
        </w:rPr>
        <w:tab/>
        <w:t>B.</w:t>
      </w:r>
      <w:r>
        <w:rPr>
          <w:bCs/>
          <w:noProof/>
          <w:szCs w:val="22"/>
        </w:rPr>
        <w:tab/>
        <w:t>Interés superior del niño</w:t>
      </w:r>
      <w:r>
        <w:rPr>
          <w:bCs/>
          <w:noProof/>
          <w:szCs w:val="22"/>
        </w:rPr>
        <w:tab/>
      </w:r>
      <w:r>
        <w:rPr>
          <w:bCs/>
          <w:noProof/>
          <w:szCs w:val="22"/>
        </w:rPr>
        <w:tab/>
        <w:t>45</w:t>
      </w:r>
      <w:r>
        <w:rPr>
          <w:bCs/>
          <w:noProof/>
          <w:szCs w:val="22"/>
        </w:rPr>
        <w:tab/>
        <w:t>-</w:t>
      </w:r>
      <w:r>
        <w:rPr>
          <w:bCs/>
          <w:noProof/>
          <w:szCs w:val="22"/>
        </w:rPr>
        <w:tab/>
        <w:t>51</w:t>
      </w:r>
      <w:r>
        <w:rPr>
          <w:bCs/>
          <w:noProof/>
          <w:szCs w:val="22"/>
        </w:rP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r>
      <w:r>
        <w:rPr>
          <w:bCs/>
          <w:noProof/>
          <w:szCs w:val="22"/>
        </w:rPr>
        <w:tab/>
        <w:t>C.</w:t>
      </w:r>
      <w:r>
        <w:rPr>
          <w:bCs/>
          <w:noProof/>
          <w:szCs w:val="22"/>
        </w:rPr>
        <w:tab/>
        <w:t>Derecho a la vida, la supervivencia y el desarrollo</w:t>
      </w:r>
      <w:r>
        <w:rPr>
          <w:bCs/>
          <w:noProof/>
          <w:szCs w:val="22"/>
        </w:rPr>
        <w:tab/>
      </w:r>
      <w:r>
        <w:rPr>
          <w:bCs/>
          <w:noProof/>
          <w:szCs w:val="22"/>
        </w:rPr>
        <w:tab/>
        <w:t>52</w:t>
      </w:r>
      <w:r>
        <w:rPr>
          <w:bCs/>
          <w:noProof/>
          <w:szCs w:val="22"/>
        </w:rPr>
        <w:tab/>
        <w:t>-</w:t>
      </w:r>
      <w:r>
        <w:rPr>
          <w:bCs/>
          <w:noProof/>
          <w:szCs w:val="22"/>
        </w:rPr>
        <w:tab/>
        <w:t>53</w:t>
      </w:r>
      <w:r>
        <w:rPr>
          <w:bCs/>
          <w:noProof/>
          <w:szCs w:val="22"/>
        </w:rP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r>
      <w:r>
        <w:rPr>
          <w:bCs/>
          <w:noProof/>
          <w:szCs w:val="22"/>
        </w:rPr>
        <w:tab/>
        <w:t>D.</w:t>
      </w:r>
      <w:r>
        <w:rPr>
          <w:bCs/>
          <w:noProof/>
          <w:szCs w:val="22"/>
        </w:rPr>
        <w:tab/>
        <w:t>Respeto a la opinión del niño</w:t>
      </w:r>
      <w:r>
        <w:rPr>
          <w:bCs/>
          <w:noProof/>
          <w:szCs w:val="22"/>
        </w:rPr>
        <w:tab/>
      </w:r>
      <w:r>
        <w:rPr>
          <w:bCs/>
          <w:noProof/>
          <w:szCs w:val="22"/>
        </w:rPr>
        <w:tab/>
        <w:t>54</w:t>
      </w:r>
      <w:r>
        <w:rPr>
          <w:bCs/>
          <w:noProof/>
          <w:szCs w:val="22"/>
        </w:rPr>
        <w:tab/>
        <w:t>-</w:t>
      </w:r>
      <w:r>
        <w:rPr>
          <w:bCs/>
          <w:noProof/>
          <w:szCs w:val="22"/>
        </w:rPr>
        <w:tab/>
        <w:t>61</w:t>
      </w:r>
      <w:r>
        <w:rPr>
          <w:bCs/>
          <w:noProof/>
          <w:szCs w:val="22"/>
        </w:rP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t>IV.</w:t>
      </w:r>
      <w:r>
        <w:rPr>
          <w:bCs/>
          <w:noProof/>
          <w:szCs w:val="22"/>
        </w:rPr>
        <w:tab/>
        <w:t>DERECHOS Y LIBERTADES CIVILES</w:t>
      </w:r>
      <w:r>
        <w:rPr>
          <w:bCs/>
          <w:noProof/>
          <w:szCs w:val="22"/>
        </w:rPr>
        <w:tab/>
      </w:r>
      <w:r>
        <w:rPr>
          <w:bCs/>
          <w:noProof/>
          <w:szCs w:val="22"/>
        </w:rPr>
        <w:tab/>
        <w:t>62</w:t>
      </w:r>
      <w:r>
        <w:rPr>
          <w:bCs/>
          <w:noProof/>
          <w:szCs w:val="22"/>
        </w:rPr>
        <w:tab/>
        <w:t>-</w:t>
      </w:r>
      <w:r>
        <w:rPr>
          <w:bCs/>
          <w:noProof/>
          <w:szCs w:val="22"/>
        </w:rPr>
        <w:tab/>
        <w:t>68</w:t>
      </w:r>
      <w:r>
        <w:rPr>
          <w:bCs/>
          <w:noProof/>
          <w:szCs w:val="22"/>
        </w:rP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r>
      <w:r>
        <w:rPr>
          <w:bCs/>
          <w:noProof/>
          <w:szCs w:val="22"/>
        </w:rPr>
        <w:tab/>
        <w:t>A.</w:t>
      </w:r>
      <w:r>
        <w:rPr>
          <w:bCs/>
          <w:noProof/>
          <w:szCs w:val="22"/>
        </w:rPr>
        <w:tab/>
        <w:t>Nombre y nacionalidad</w:t>
      </w:r>
      <w:r>
        <w:rPr>
          <w:bCs/>
          <w:noProof/>
          <w:szCs w:val="22"/>
        </w:rPr>
        <w:tab/>
      </w:r>
      <w:r>
        <w:rPr>
          <w:bCs/>
          <w:noProof/>
          <w:szCs w:val="22"/>
        </w:rPr>
        <w:tab/>
        <w:t>64</w:t>
      </w:r>
      <w:r>
        <w:rPr>
          <w:bCs/>
          <w:noProof/>
          <w:szCs w:val="22"/>
        </w:rPr>
        <w:tab/>
        <w:t>-</w:t>
      </w:r>
      <w:r>
        <w:rPr>
          <w:bCs/>
          <w:noProof/>
          <w:szCs w:val="22"/>
        </w:rPr>
        <w:tab/>
        <w:t>65</w:t>
      </w:r>
      <w:r>
        <w:rPr>
          <w:bCs/>
          <w:noProof/>
          <w:szCs w:val="22"/>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r>
      <w:r>
        <w:rPr>
          <w:bCs/>
          <w:noProof/>
          <w:szCs w:val="22"/>
        </w:rPr>
        <w:tab/>
        <w:t>H.</w:t>
      </w:r>
      <w:r>
        <w:rPr>
          <w:bCs/>
          <w:noProof/>
          <w:szCs w:val="22"/>
        </w:rPr>
        <w:tab/>
        <w:t>El derecho a no ser sometido a torturas ni a otros tratos</w:t>
      </w:r>
      <w:r>
        <w:rPr>
          <w:bCs/>
          <w:noProof/>
          <w:szCs w:val="22"/>
        </w:rPr>
        <w:br/>
      </w:r>
      <w:r>
        <w:rPr>
          <w:bCs/>
          <w:noProof/>
          <w:szCs w:val="22"/>
        </w:rPr>
        <w:tab/>
      </w:r>
      <w:r>
        <w:rPr>
          <w:bCs/>
          <w:noProof/>
          <w:szCs w:val="22"/>
        </w:rPr>
        <w:tab/>
      </w:r>
      <w:r>
        <w:rPr>
          <w:bCs/>
          <w:noProof/>
          <w:szCs w:val="22"/>
        </w:rPr>
        <w:tab/>
        <w:t>o penas crueles, inhumanos o degradantes</w:t>
      </w:r>
      <w:r>
        <w:rPr>
          <w:bCs/>
          <w:noProof/>
          <w:szCs w:val="22"/>
        </w:rPr>
        <w:tab/>
      </w:r>
      <w:r>
        <w:rPr>
          <w:bCs/>
          <w:noProof/>
          <w:szCs w:val="22"/>
        </w:rPr>
        <w:tab/>
        <w:t>66</w:t>
      </w:r>
      <w:r>
        <w:rPr>
          <w:bCs/>
          <w:noProof/>
          <w:szCs w:val="22"/>
        </w:rPr>
        <w:tab/>
        <w:t>-</w:t>
      </w:r>
      <w:r>
        <w:rPr>
          <w:bCs/>
          <w:noProof/>
          <w:szCs w:val="22"/>
        </w:rPr>
        <w:tab/>
        <w:t>68</w:t>
      </w:r>
      <w:r>
        <w:rPr>
          <w:bCs/>
          <w:noProof/>
          <w:szCs w:val="22"/>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t>V.</w:t>
      </w:r>
      <w:r>
        <w:rPr>
          <w:bCs/>
          <w:noProof/>
          <w:szCs w:val="22"/>
        </w:rPr>
        <w:tab/>
        <w:t>ENTORNO  FAMILIAR Y OTRO TIPO  DE TUTELA</w:t>
      </w:r>
      <w:r>
        <w:rPr>
          <w:bCs/>
          <w:noProof/>
          <w:szCs w:val="22"/>
        </w:rPr>
        <w:tab/>
      </w:r>
      <w:r>
        <w:rPr>
          <w:bCs/>
          <w:noProof/>
          <w:szCs w:val="22"/>
        </w:rPr>
        <w:tab/>
        <w:t>69</w:t>
      </w:r>
      <w:r>
        <w:rPr>
          <w:bCs/>
          <w:noProof/>
          <w:szCs w:val="22"/>
        </w:rPr>
        <w:tab/>
        <w:t>-</w:t>
      </w:r>
      <w:r>
        <w:rPr>
          <w:bCs/>
          <w:noProof/>
          <w:szCs w:val="22"/>
        </w:rPr>
        <w:tab/>
        <w:t>141</w:t>
      </w:r>
      <w:r>
        <w:rPr>
          <w:bCs/>
          <w:noProof/>
          <w:szCs w:val="22"/>
        </w:rP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r>
      <w:r>
        <w:rPr>
          <w:bCs/>
          <w:noProof/>
          <w:szCs w:val="22"/>
        </w:rPr>
        <w:tab/>
        <w:t>A.</w:t>
      </w:r>
      <w:r>
        <w:rPr>
          <w:bCs/>
          <w:noProof/>
          <w:szCs w:val="22"/>
        </w:rPr>
        <w:tab/>
        <w:t>La dirección y orientación parentales</w:t>
      </w:r>
      <w:r>
        <w:rPr>
          <w:bCs/>
          <w:noProof/>
          <w:szCs w:val="22"/>
        </w:rPr>
        <w:tab/>
      </w:r>
      <w:r>
        <w:rPr>
          <w:bCs/>
          <w:noProof/>
          <w:szCs w:val="22"/>
        </w:rPr>
        <w:tab/>
        <w:t>69</w:t>
      </w:r>
      <w:r>
        <w:rPr>
          <w:bCs/>
          <w:noProof/>
          <w:szCs w:val="22"/>
        </w:rPr>
        <w:tab/>
        <w:t>-</w:t>
      </w:r>
      <w:r>
        <w:rPr>
          <w:bCs/>
          <w:noProof/>
          <w:szCs w:val="22"/>
        </w:rPr>
        <w:tab/>
        <w:t>75</w:t>
      </w:r>
      <w:r>
        <w:rPr>
          <w:bCs/>
          <w:noProof/>
          <w:szCs w:val="22"/>
        </w:rP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r>
      <w:r>
        <w:rPr>
          <w:bCs/>
          <w:noProof/>
          <w:szCs w:val="22"/>
        </w:rPr>
        <w:tab/>
        <w:t>B.</w:t>
      </w:r>
      <w:r>
        <w:rPr>
          <w:bCs/>
          <w:noProof/>
          <w:szCs w:val="22"/>
        </w:rPr>
        <w:tab/>
        <w:t>Las responsabilidades de los padres</w:t>
      </w:r>
      <w:r>
        <w:rPr>
          <w:bCs/>
          <w:noProof/>
          <w:szCs w:val="22"/>
        </w:rPr>
        <w:tab/>
      </w:r>
      <w:r>
        <w:rPr>
          <w:bCs/>
          <w:noProof/>
          <w:szCs w:val="22"/>
        </w:rPr>
        <w:tab/>
        <w:t>76</w:t>
      </w:r>
      <w:r>
        <w:rPr>
          <w:bCs/>
          <w:noProof/>
          <w:szCs w:val="22"/>
        </w:rPr>
        <w:tab/>
        <w:t>-</w:t>
      </w:r>
      <w:r>
        <w:rPr>
          <w:bCs/>
          <w:noProof/>
          <w:szCs w:val="22"/>
        </w:rPr>
        <w:tab/>
        <w:t>78</w:t>
      </w:r>
      <w:r>
        <w:rPr>
          <w:bCs/>
          <w:noProof/>
          <w:szCs w:val="22"/>
        </w:rP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r>
      <w:r>
        <w:rPr>
          <w:bCs/>
          <w:noProof/>
          <w:szCs w:val="22"/>
        </w:rPr>
        <w:tab/>
        <w:t>C.</w:t>
      </w:r>
      <w:r>
        <w:rPr>
          <w:bCs/>
          <w:noProof/>
          <w:szCs w:val="22"/>
        </w:rPr>
        <w:tab/>
        <w:t>La separación de los padres</w:t>
      </w:r>
      <w:r>
        <w:rPr>
          <w:bCs/>
          <w:noProof/>
          <w:szCs w:val="22"/>
        </w:rPr>
        <w:tab/>
      </w:r>
      <w:r>
        <w:rPr>
          <w:bCs/>
          <w:noProof/>
          <w:szCs w:val="22"/>
        </w:rPr>
        <w:tab/>
        <w:t>79</w:t>
      </w:r>
      <w:r>
        <w:rPr>
          <w:bCs/>
          <w:noProof/>
          <w:szCs w:val="22"/>
        </w:rPr>
        <w:tab/>
        <w:t>-</w:t>
      </w:r>
      <w:r>
        <w:rPr>
          <w:bCs/>
          <w:noProof/>
          <w:szCs w:val="22"/>
        </w:rPr>
        <w:tab/>
        <w:t>85</w:t>
      </w:r>
      <w:r>
        <w:rPr>
          <w:bCs/>
          <w:noProof/>
          <w:szCs w:val="22"/>
        </w:rP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r>
      <w:r>
        <w:rPr>
          <w:bCs/>
          <w:noProof/>
          <w:szCs w:val="22"/>
        </w:rPr>
        <w:tab/>
        <w:t>E.</w:t>
      </w:r>
      <w:r>
        <w:rPr>
          <w:bCs/>
          <w:noProof/>
          <w:szCs w:val="22"/>
        </w:rPr>
        <w:tab/>
        <w:t>Los traslados ilícitos y la retención ilícita</w:t>
      </w:r>
      <w:r>
        <w:rPr>
          <w:bCs/>
          <w:noProof/>
          <w:szCs w:val="22"/>
        </w:rPr>
        <w:tab/>
      </w:r>
      <w:r>
        <w:rPr>
          <w:bCs/>
          <w:noProof/>
          <w:szCs w:val="22"/>
        </w:rPr>
        <w:tab/>
      </w:r>
      <w:r>
        <w:rPr>
          <w:bCs/>
          <w:noProof/>
          <w:szCs w:val="22"/>
        </w:rPr>
        <w:tab/>
        <w:t>86</w:t>
      </w:r>
      <w:r>
        <w:rPr>
          <w:bCs/>
          <w:noProof/>
          <w:szCs w:val="22"/>
        </w:rPr>
        <w:tab/>
      </w:r>
      <w:r>
        <w:rPr>
          <w:bCs/>
          <w:noProof/>
          <w:szCs w:val="22"/>
        </w:rP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r>
      <w:r>
        <w:rPr>
          <w:bCs/>
          <w:noProof/>
          <w:szCs w:val="22"/>
        </w:rPr>
        <w:tab/>
        <w:t>F.</w:t>
      </w:r>
      <w:r>
        <w:rPr>
          <w:bCs/>
          <w:noProof/>
          <w:szCs w:val="22"/>
        </w:rPr>
        <w:tab/>
        <w:t>El pago de la pensión alimenticia del niño</w:t>
      </w:r>
      <w:r>
        <w:rPr>
          <w:bCs/>
          <w:noProof/>
          <w:szCs w:val="22"/>
        </w:rPr>
        <w:tab/>
      </w:r>
      <w:r>
        <w:rPr>
          <w:bCs/>
          <w:noProof/>
          <w:szCs w:val="22"/>
        </w:rPr>
        <w:tab/>
      </w:r>
      <w:r>
        <w:rPr>
          <w:bCs/>
          <w:noProof/>
          <w:szCs w:val="22"/>
        </w:rPr>
        <w:tab/>
        <w:t>87</w:t>
      </w:r>
      <w:r>
        <w:rPr>
          <w:bCs/>
          <w:noProof/>
          <w:szCs w:val="22"/>
        </w:rPr>
        <w:tab/>
      </w:r>
      <w:r>
        <w:rPr>
          <w:bCs/>
          <w:noProof/>
          <w:szCs w:val="22"/>
        </w:rP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r>
      <w:r>
        <w:rPr>
          <w:bCs/>
          <w:noProof/>
          <w:szCs w:val="22"/>
        </w:rPr>
        <w:tab/>
        <w:t>G.</w:t>
      </w:r>
      <w:r>
        <w:rPr>
          <w:bCs/>
          <w:noProof/>
          <w:szCs w:val="22"/>
        </w:rPr>
        <w:tab/>
        <w:t>Los niños privados de su medio familiar</w:t>
      </w:r>
      <w:r>
        <w:rPr>
          <w:bCs/>
          <w:noProof/>
          <w:szCs w:val="22"/>
        </w:rPr>
        <w:tab/>
      </w:r>
      <w:r>
        <w:rPr>
          <w:bCs/>
          <w:noProof/>
          <w:szCs w:val="22"/>
        </w:rPr>
        <w:tab/>
        <w:t>88</w:t>
      </w:r>
      <w:r>
        <w:rPr>
          <w:bCs/>
          <w:noProof/>
          <w:szCs w:val="22"/>
        </w:rPr>
        <w:tab/>
        <w:t>-</w:t>
      </w:r>
      <w:r>
        <w:rPr>
          <w:bCs/>
          <w:noProof/>
          <w:szCs w:val="22"/>
        </w:rPr>
        <w:tab/>
        <w:t>95</w:t>
      </w:r>
      <w:r>
        <w:rPr>
          <w:bCs/>
          <w:noProof/>
          <w:szCs w:val="22"/>
        </w:rP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r>
      <w:r>
        <w:rPr>
          <w:bCs/>
          <w:noProof/>
          <w:szCs w:val="22"/>
        </w:rPr>
        <w:tab/>
        <w:t>H.</w:t>
      </w:r>
      <w:r>
        <w:rPr>
          <w:bCs/>
          <w:noProof/>
          <w:szCs w:val="22"/>
        </w:rPr>
        <w:tab/>
        <w:t>La adopción</w:t>
      </w:r>
      <w:r>
        <w:rPr>
          <w:bCs/>
          <w:noProof/>
          <w:szCs w:val="22"/>
        </w:rPr>
        <w:tab/>
      </w:r>
      <w:r>
        <w:rPr>
          <w:bCs/>
          <w:noProof/>
          <w:szCs w:val="22"/>
        </w:rPr>
        <w:tab/>
        <w:t>96</w:t>
      </w:r>
      <w:r>
        <w:rPr>
          <w:bCs/>
          <w:noProof/>
          <w:szCs w:val="22"/>
        </w:rPr>
        <w:tab/>
        <w:t>-</w:t>
      </w:r>
      <w:r>
        <w:rPr>
          <w:bCs/>
          <w:noProof/>
          <w:szCs w:val="22"/>
        </w:rPr>
        <w:tab/>
        <w:t>101</w:t>
      </w:r>
      <w:r>
        <w:rPr>
          <w:bCs/>
          <w:noProof/>
          <w:szCs w:val="22"/>
        </w:rP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r>
      <w:r>
        <w:rPr>
          <w:bCs/>
          <w:noProof/>
          <w:szCs w:val="22"/>
        </w:rPr>
        <w:tab/>
        <w:t>I.</w:t>
      </w:r>
      <w:r>
        <w:rPr>
          <w:bCs/>
          <w:noProof/>
          <w:szCs w:val="22"/>
        </w:rPr>
        <w:tab/>
        <w:t>Examen periódico de las condiciones de internación</w:t>
      </w:r>
      <w:r>
        <w:rPr>
          <w:bCs/>
          <w:noProof/>
          <w:szCs w:val="22"/>
        </w:rPr>
        <w:tab/>
      </w:r>
      <w:r>
        <w:rPr>
          <w:bCs/>
          <w:noProof/>
          <w:szCs w:val="22"/>
        </w:rPr>
        <w:tab/>
        <w:t>102</w:t>
      </w:r>
      <w:r>
        <w:rPr>
          <w:bCs/>
          <w:noProof/>
          <w:szCs w:val="22"/>
        </w:rPr>
        <w:tab/>
        <w:t>-</w:t>
      </w:r>
      <w:r>
        <w:rPr>
          <w:bCs/>
          <w:noProof/>
          <w:szCs w:val="22"/>
        </w:rPr>
        <w:tab/>
        <w:t>108</w:t>
      </w:r>
      <w:r>
        <w:rPr>
          <w:bCs/>
          <w:noProof/>
          <w:szCs w:val="22"/>
        </w:rP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r>
      <w:r>
        <w:rPr>
          <w:bCs/>
          <w:noProof/>
          <w:szCs w:val="22"/>
        </w:rPr>
        <w:tab/>
        <w:t>J.</w:t>
      </w:r>
      <w:r>
        <w:rPr>
          <w:bCs/>
          <w:noProof/>
          <w:szCs w:val="22"/>
        </w:rPr>
        <w:tab/>
        <w:t>Los abusos y el descuido, incluidas la recuperación física</w:t>
      </w:r>
      <w:r>
        <w:rPr>
          <w:bCs/>
          <w:noProof/>
          <w:szCs w:val="22"/>
        </w:rPr>
        <w:br/>
      </w:r>
      <w:r>
        <w:rPr>
          <w:bCs/>
          <w:noProof/>
          <w:szCs w:val="22"/>
        </w:rPr>
        <w:tab/>
      </w:r>
      <w:r>
        <w:rPr>
          <w:bCs/>
          <w:noProof/>
          <w:szCs w:val="22"/>
        </w:rPr>
        <w:tab/>
      </w:r>
      <w:r>
        <w:rPr>
          <w:bCs/>
          <w:noProof/>
          <w:szCs w:val="22"/>
        </w:rPr>
        <w:tab/>
        <w:t>y psicológica y la reintegración social</w:t>
      </w:r>
      <w:r>
        <w:rPr>
          <w:bCs/>
          <w:noProof/>
          <w:szCs w:val="22"/>
        </w:rPr>
        <w:tab/>
      </w:r>
      <w:r>
        <w:rPr>
          <w:bCs/>
          <w:noProof/>
          <w:szCs w:val="22"/>
        </w:rPr>
        <w:tab/>
        <w:t>109</w:t>
      </w:r>
      <w:r>
        <w:rPr>
          <w:bCs/>
          <w:noProof/>
          <w:szCs w:val="22"/>
        </w:rPr>
        <w:tab/>
        <w:t>-</w:t>
      </w:r>
      <w:r>
        <w:rPr>
          <w:bCs/>
          <w:noProof/>
          <w:szCs w:val="22"/>
        </w:rPr>
        <w:tab/>
        <w:t>141</w:t>
      </w:r>
      <w:r>
        <w:rPr>
          <w:bCs/>
          <w:noProof/>
          <w:szCs w:val="22"/>
        </w:rPr>
        <w:tab/>
        <w:t>39</w:t>
      </w:r>
    </w:p>
    <w:p w:rsidR="00000000" w:rsidRDefault="00000000">
      <w:pPr>
        <w:keepNext/>
        <w:keepLines/>
        <w:spacing w:after="240"/>
        <w:jc w:val="center"/>
        <w:outlineLvl w:val="0"/>
        <w:rPr>
          <w:bCs/>
          <w:noProof/>
          <w:szCs w:val="22"/>
        </w:rPr>
      </w:pPr>
      <w:r>
        <w:rPr>
          <w:b/>
          <w:noProof/>
          <w:szCs w:val="22"/>
        </w:rPr>
        <w:t>ÍNDICE</w:t>
      </w:r>
      <w:r>
        <w:rPr>
          <w:bCs/>
          <w:noProof/>
          <w:szCs w:val="22"/>
        </w:rPr>
        <w:t xml:space="preserve"> (</w:t>
      </w:r>
      <w:r>
        <w:rPr>
          <w:bCs/>
          <w:i/>
          <w:iCs/>
          <w:noProof/>
          <w:szCs w:val="22"/>
        </w:rPr>
        <w:t>continuación</w:t>
      </w:r>
      <w:r>
        <w:rPr>
          <w:bCs/>
          <w:noProof/>
          <w:szCs w:val="22"/>
        </w:rPr>
        <w:t>)</w:t>
      </w:r>
    </w:p>
    <w:p w:rsidR="00000000" w:rsidRDefault="00000000">
      <w:pPr>
        <w:keepNext/>
        <w:keepLines/>
        <w:spacing w:after="240"/>
        <w:jc w:val="right"/>
        <w:outlineLvl w:val="0"/>
        <w:rPr>
          <w:bCs/>
          <w:i/>
          <w:noProof/>
          <w:szCs w:val="22"/>
        </w:rPr>
      </w:pPr>
      <w:r>
        <w:rPr>
          <w:bCs/>
          <w:i/>
          <w:noProof/>
          <w:szCs w:val="22"/>
        </w:rPr>
        <w:t>Párrafos     Página</w:t>
      </w:r>
    </w:p>
    <w:p w:rsidR="00000000" w:rsidRDefault="00000000">
      <w:pPr>
        <w:keepNext/>
        <w:keepLines/>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t>VI.</w:t>
      </w:r>
      <w:r>
        <w:rPr>
          <w:bCs/>
          <w:noProof/>
          <w:szCs w:val="22"/>
        </w:rPr>
        <w:tab/>
        <w:t>SALUD BÁSICA Y BIENESTAR</w:t>
      </w:r>
      <w:r>
        <w:rPr>
          <w:bCs/>
          <w:noProof/>
          <w:szCs w:val="22"/>
        </w:rPr>
        <w:tab/>
      </w:r>
      <w:r>
        <w:rPr>
          <w:bCs/>
          <w:noProof/>
          <w:szCs w:val="22"/>
        </w:rPr>
        <w:tab/>
        <w:t>142</w:t>
      </w:r>
      <w:r>
        <w:rPr>
          <w:bCs/>
          <w:noProof/>
          <w:szCs w:val="22"/>
        </w:rPr>
        <w:tab/>
        <w:t>-</w:t>
      </w:r>
      <w:r>
        <w:rPr>
          <w:bCs/>
          <w:noProof/>
          <w:szCs w:val="22"/>
        </w:rPr>
        <w:tab/>
        <w:t>167</w:t>
      </w:r>
      <w:r>
        <w:rPr>
          <w:bCs/>
          <w:noProof/>
          <w:szCs w:val="22"/>
        </w:rPr>
        <w:tab/>
        <w:t>48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r>
      <w:r>
        <w:rPr>
          <w:bCs/>
          <w:noProof/>
          <w:szCs w:val="22"/>
        </w:rPr>
        <w:tab/>
        <w:t>A.</w:t>
      </w:r>
      <w:r>
        <w:rPr>
          <w:bCs/>
          <w:noProof/>
          <w:szCs w:val="22"/>
        </w:rPr>
        <w:tab/>
        <w:t>Los niños impedidos</w:t>
      </w:r>
      <w:r>
        <w:rPr>
          <w:bCs/>
          <w:noProof/>
          <w:szCs w:val="22"/>
        </w:rPr>
        <w:tab/>
      </w:r>
      <w:r>
        <w:rPr>
          <w:bCs/>
          <w:noProof/>
          <w:szCs w:val="22"/>
        </w:rPr>
        <w:tab/>
        <w:t>142</w:t>
      </w:r>
      <w:r>
        <w:rPr>
          <w:bCs/>
          <w:noProof/>
          <w:szCs w:val="22"/>
        </w:rPr>
        <w:tab/>
        <w:t>-</w:t>
      </w:r>
      <w:r>
        <w:rPr>
          <w:bCs/>
          <w:noProof/>
          <w:szCs w:val="22"/>
        </w:rPr>
        <w:tab/>
        <w:t>146</w:t>
      </w:r>
      <w:r>
        <w:rPr>
          <w:bCs/>
          <w:noProof/>
          <w:szCs w:val="22"/>
        </w:rPr>
        <w:tab/>
        <w:t>48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r>
      <w:r>
        <w:rPr>
          <w:bCs/>
          <w:noProof/>
          <w:szCs w:val="22"/>
        </w:rPr>
        <w:tab/>
        <w:t>B.</w:t>
      </w:r>
      <w:r>
        <w:rPr>
          <w:bCs/>
          <w:noProof/>
          <w:szCs w:val="22"/>
        </w:rPr>
        <w:tab/>
        <w:t>La salud y los servicios sanitarios</w:t>
      </w:r>
      <w:r>
        <w:rPr>
          <w:bCs/>
          <w:noProof/>
          <w:szCs w:val="22"/>
        </w:rPr>
        <w:tab/>
      </w:r>
      <w:r>
        <w:rPr>
          <w:bCs/>
          <w:noProof/>
          <w:szCs w:val="22"/>
        </w:rPr>
        <w:tab/>
        <w:t>147</w:t>
      </w:r>
      <w:r>
        <w:rPr>
          <w:bCs/>
          <w:noProof/>
          <w:szCs w:val="22"/>
        </w:rPr>
        <w:tab/>
        <w:t>-</w:t>
      </w:r>
      <w:r>
        <w:rPr>
          <w:bCs/>
          <w:noProof/>
          <w:szCs w:val="22"/>
        </w:rPr>
        <w:tab/>
        <w:t>164</w:t>
      </w:r>
      <w:r>
        <w:rPr>
          <w:bCs/>
          <w:noProof/>
          <w:szCs w:val="22"/>
        </w:rPr>
        <w:tab/>
        <w:t>50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r>
      <w:r>
        <w:rPr>
          <w:bCs/>
          <w:noProof/>
          <w:szCs w:val="22"/>
        </w:rPr>
        <w:tab/>
        <w:t>D.</w:t>
      </w:r>
      <w:r>
        <w:rPr>
          <w:bCs/>
          <w:noProof/>
          <w:szCs w:val="22"/>
        </w:rPr>
        <w:tab/>
        <w:t>El nivel de vida</w:t>
      </w:r>
      <w:r>
        <w:rPr>
          <w:bCs/>
          <w:noProof/>
          <w:szCs w:val="22"/>
        </w:rPr>
        <w:tab/>
      </w:r>
      <w:r>
        <w:rPr>
          <w:bCs/>
          <w:noProof/>
          <w:szCs w:val="22"/>
        </w:rPr>
        <w:tab/>
        <w:t>165</w:t>
      </w:r>
      <w:r>
        <w:rPr>
          <w:bCs/>
          <w:noProof/>
          <w:szCs w:val="22"/>
        </w:rPr>
        <w:tab/>
        <w:t>-</w:t>
      </w:r>
      <w:r>
        <w:rPr>
          <w:bCs/>
          <w:noProof/>
          <w:szCs w:val="22"/>
        </w:rPr>
        <w:tab/>
        <w:t>167</w:t>
      </w:r>
      <w:r>
        <w:rPr>
          <w:bCs/>
          <w:noProof/>
          <w:szCs w:val="22"/>
        </w:rPr>
        <w:tab/>
        <w:t>57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t>VII.</w:t>
      </w:r>
      <w:r>
        <w:rPr>
          <w:bCs/>
          <w:noProof/>
          <w:szCs w:val="22"/>
        </w:rPr>
        <w:tab/>
        <w:t>EDUCACIÓN, ESPARCIMIENTO Y ACTIVIDADES</w:t>
      </w:r>
      <w:r>
        <w:rPr>
          <w:bCs/>
          <w:noProof/>
          <w:szCs w:val="22"/>
        </w:rPr>
        <w:br/>
      </w:r>
      <w:r>
        <w:rPr>
          <w:bCs/>
          <w:noProof/>
          <w:szCs w:val="22"/>
        </w:rPr>
        <w:tab/>
      </w:r>
      <w:r>
        <w:rPr>
          <w:bCs/>
          <w:noProof/>
          <w:szCs w:val="22"/>
        </w:rPr>
        <w:tab/>
        <w:t>CULTURALES</w:t>
      </w:r>
      <w:r>
        <w:rPr>
          <w:bCs/>
          <w:noProof/>
          <w:szCs w:val="22"/>
        </w:rPr>
        <w:tab/>
      </w:r>
      <w:r>
        <w:rPr>
          <w:bCs/>
          <w:noProof/>
          <w:szCs w:val="22"/>
        </w:rPr>
        <w:tab/>
        <w:t>168</w:t>
      </w:r>
      <w:r>
        <w:rPr>
          <w:bCs/>
          <w:noProof/>
          <w:szCs w:val="22"/>
        </w:rPr>
        <w:tab/>
        <w:t>-</w:t>
      </w:r>
      <w:r>
        <w:rPr>
          <w:bCs/>
          <w:noProof/>
          <w:szCs w:val="22"/>
        </w:rPr>
        <w:tab/>
        <w:t>235</w:t>
      </w:r>
      <w:r>
        <w:rPr>
          <w:bCs/>
          <w:noProof/>
          <w:szCs w:val="22"/>
        </w:rPr>
        <w:tab/>
        <w:t>58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r>
      <w:r>
        <w:rPr>
          <w:bCs/>
          <w:noProof/>
          <w:szCs w:val="22"/>
        </w:rPr>
        <w:tab/>
        <w:t>A.</w:t>
      </w:r>
      <w:r>
        <w:rPr>
          <w:bCs/>
          <w:noProof/>
          <w:szCs w:val="22"/>
        </w:rPr>
        <w:tab/>
        <w:t>La educación, incluidas la formación y orientación</w:t>
      </w:r>
      <w:r>
        <w:rPr>
          <w:bCs/>
          <w:noProof/>
          <w:szCs w:val="22"/>
        </w:rPr>
        <w:br/>
      </w:r>
      <w:r>
        <w:rPr>
          <w:bCs/>
          <w:noProof/>
          <w:szCs w:val="22"/>
        </w:rPr>
        <w:tab/>
      </w:r>
      <w:r>
        <w:rPr>
          <w:bCs/>
          <w:noProof/>
          <w:szCs w:val="22"/>
        </w:rPr>
        <w:tab/>
      </w:r>
      <w:r>
        <w:rPr>
          <w:bCs/>
          <w:noProof/>
          <w:szCs w:val="22"/>
        </w:rPr>
        <w:tab/>
        <w:t>profesionales</w:t>
      </w:r>
      <w:r>
        <w:rPr>
          <w:bCs/>
          <w:noProof/>
          <w:szCs w:val="22"/>
        </w:rPr>
        <w:tab/>
      </w:r>
      <w:r>
        <w:rPr>
          <w:bCs/>
          <w:noProof/>
          <w:szCs w:val="22"/>
        </w:rPr>
        <w:tab/>
        <w:t>168</w:t>
      </w:r>
      <w:r>
        <w:rPr>
          <w:bCs/>
          <w:noProof/>
          <w:szCs w:val="22"/>
        </w:rPr>
        <w:tab/>
        <w:t>-</w:t>
      </w:r>
      <w:r>
        <w:rPr>
          <w:bCs/>
          <w:noProof/>
          <w:szCs w:val="22"/>
        </w:rPr>
        <w:tab/>
        <w:t>222</w:t>
      </w:r>
      <w:r>
        <w:rPr>
          <w:bCs/>
          <w:noProof/>
          <w:szCs w:val="22"/>
        </w:rPr>
        <w:tab/>
        <w:t>58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r>
      <w:r>
        <w:rPr>
          <w:bCs/>
          <w:noProof/>
          <w:szCs w:val="22"/>
        </w:rPr>
        <w:tab/>
        <w:t>B.</w:t>
      </w:r>
      <w:r>
        <w:rPr>
          <w:bCs/>
          <w:noProof/>
          <w:szCs w:val="22"/>
        </w:rPr>
        <w:tab/>
        <w:t>Los objetivos de la educación</w:t>
      </w:r>
      <w:r>
        <w:rPr>
          <w:bCs/>
          <w:noProof/>
          <w:szCs w:val="22"/>
        </w:rPr>
        <w:tab/>
      </w:r>
      <w:r>
        <w:rPr>
          <w:bCs/>
          <w:noProof/>
          <w:szCs w:val="22"/>
        </w:rPr>
        <w:tab/>
        <w:t>223</w:t>
      </w:r>
      <w:r>
        <w:rPr>
          <w:bCs/>
          <w:noProof/>
          <w:szCs w:val="22"/>
        </w:rPr>
        <w:tab/>
        <w:t>-</w:t>
      </w:r>
      <w:r>
        <w:rPr>
          <w:bCs/>
          <w:noProof/>
          <w:szCs w:val="22"/>
        </w:rPr>
        <w:tab/>
        <w:t>229</w:t>
      </w:r>
      <w:r>
        <w:rPr>
          <w:bCs/>
          <w:noProof/>
          <w:szCs w:val="22"/>
        </w:rPr>
        <w:tab/>
        <w:t>77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r>
      <w:r>
        <w:rPr>
          <w:bCs/>
          <w:noProof/>
          <w:szCs w:val="22"/>
        </w:rPr>
        <w:tab/>
        <w:t>C.</w:t>
      </w:r>
      <w:r>
        <w:rPr>
          <w:bCs/>
          <w:noProof/>
          <w:szCs w:val="22"/>
        </w:rPr>
        <w:tab/>
        <w:t>El descanso, el esparcimiento y las actividades culturales</w:t>
      </w:r>
      <w:r>
        <w:rPr>
          <w:bCs/>
          <w:noProof/>
          <w:szCs w:val="22"/>
        </w:rPr>
        <w:tab/>
      </w:r>
      <w:r>
        <w:rPr>
          <w:bCs/>
          <w:noProof/>
          <w:szCs w:val="22"/>
        </w:rPr>
        <w:tab/>
        <w:t>230</w:t>
      </w:r>
      <w:r>
        <w:rPr>
          <w:bCs/>
          <w:noProof/>
          <w:szCs w:val="22"/>
        </w:rPr>
        <w:tab/>
        <w:t>-</w:t>
      </w:r>
      <w:r>
        <w:rPr>
          <w:bCs/>
          <w:noProof/>
          <w:szCs w:val="22"/>
        </w:rPr>
        <w:tab/>
        <w:t>235</w:t>
      </w:r>
      <w:r>
        <w:rPr>
          <w:bCs/>
          <w:noProof/>
          <w:szCs w:val="22"/>
        </w:rPr>
        <w:tab/>
        <w:t>79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t>VIII.</w:t>
      </w:r>
      <w:r>
        <w:rPr>
          <w:bCs/>
          <w:noProof/>
          <w:szCs w:val="22"/>
        </w:rPr>
        <w:tab/>
        <w:t>MEDIDAS ESPECIALES DE PROTECCIÓN</w:t>
      </w:r>
      <w:r>
        <w:rPr>
          <w:bCs/>
          <w:noProof/>
          <w:szCs w:val="22"/>
        </w:rPr>
        <w:tab/>
      </w:r>
      <w:r>
        <w:rPr>
          <w:bCs/>
          <w:noProof/>
          <w:szCs w:val="22"/>
        </w:rPr>
        <w:tab/>
        <w:t>236</w:t>
      </w:r>
      <w:r>
        <w:rPr>
          <w:bCs/>
          <w:noProof/>
          <w:szCs w:val="22"/>
        </w:rPr>
        <w:tab/>
        <w:t>-</w:t>
      </w:r>
      <w:r>
        <w:rPr>
          <w:bCs/>
          <w:noProof/>
          <w:szCs w:val="22"/>
        </w:rPr>
        <w:tab/>
        <w:t>282</w:t>
      </w:r>
      <w:r>
        <w:rPr>
          <w:bCs/>
          <w:noProof/>
          <w:szCs w:val="22"/>
        </w:rPr>
        <w:tab/>
        <w:t>81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r>
      <w:r>
        <w:rPr>
          <w:bCs/>
          <w:noProof/>
          <w:szCs w:val="22"/>
        </w:rPr>
        <w:tab/>
        <w:t>B.</w:t>
      </w:r>
      <w:r>
        <w:rPr>
          <w:bCs/>
          <w:noProof/>
          <w:szCs w:val="22"/>
        </w:rPr>
        <w:tab/>
        <w:t>Los niños que tienen conflictos con la justicia</w:t>
      </w:r>
      <w:r>
        <w:rPr>
          <w:bCs/>
          <w:noProof/>
          <w:szCs w:val="22"/>
        </w:rPr>
        <w:tab/>
      </w:r>
      <w:r>
        <w:rPr>
          <w:bCs/>
          <w:noProof/>
          <w:szCs w:val="22"/>
        </w:rPr>
        <w:tab/>
        <w:t>236</w:t>
      </w:r>
      <w:r>
        <w:rPr>
          <w:bCs/>
          <w:noProof/>
          <w:szCs w:val="22"/>
        </w:rPr>
        <w:tab/>
        <w:t>-</w:t>
      </w:r>
      <w:r>
        <w:rPr>
          <w:bCs/>
          <w:noProof/>
          <w:szCs w:val="22"/>
        </w:rPr>
        <w:tab/>
        <w:t>256</w:t>
      </w:r>
      <w:r>
        <w:rPr>
          <w:bCs/>
          <w:noProof/>
          <w:szCs w:val="22"/>
        </w:rPr>
        <w:tab/>
        <w:t>81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r>
      <w:r>
        <w:rPr>
          <w:bCs/>
          <w:noProof/>
          <w:szCs w:val="22"/>
        </w:rPr>
        <w:tab/>
      </w:r>
      <w:r>
        <w:rPr>
          <w:bCs/>
          <w:noProof/>
          <w:szCs w:val="22"/>
        </w:rPr>
        <w:tab/>
        <w:t>1.</w:t>
      </w:r>
      <w:r>
        <w:rPr>
          <w:bCs/>
          <w:noProof/>
          <w:szCs w:val="22"/>
        </w:rPr>
        <w:tab/>
        <w:t>La administración de justicia de menores</w:t>
      </w:r>
      <w:r>
        <w:rPr>
          <w:bCs/>
          <w:noProof/>
          <w:szCs w:val="22"/>
        </w:rPr>
        <w:tab/>
      </w:r>
      <w:r>
        <w:rPr>
          <w:bCs/>
          <w:noProof/>
          <w:szCs w:val="22"/>
        </w:rPr>
        <w:tab/>
        <w:t>236</w:t>
      </w:r>
      <w:r>
        <w:rPr>
          <w:bCs/>
          <w:noProof/>
          <w:szCs w:val="22"/>
        </w:rPr>
        <w:tab/>
        <w:t>-</w:t>
      </w:r>
      <w:r>
        <w:rPr>
          <w:bCs/>
          <w:noProof/>
          <w:szCs w:val="22"/>
        </w:rPr>
        <w:tab/>
        <w:t>246</w:t>
      </w:r>
      <w:r>
        <w:rPr>
          <w:bCs/>
          <w:noProof/>
          <w:szCs w:val="22"/>
        </w:rPr>
        <w:tab/>
        <w:t>81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r>
      <w:r>
        <w:rPr>
          <w:bCs/>
          <w:noProof/>
          <w:szCs w:val="22"/>
        </w:rPr>
        <w:tab/>
      </w:r>
      <w:r>
        <w:rPr>
          <w:bCs/>
          <w:noProof/>
          <w:szCs w:val="22"/>
        </w:rPr>
        <w:tab/>
        <w:t>2.</w:t>
      </w:r>
      <w:r>
        <w:rPr>
          <w:bCs/>
          <w:noProof/>
          <w:szCs w:val="22"/>
        </w:rPr>
        <w:tab/>
        <w:t>Los niños privados de libertad, incluida toda forma</w:t>
      </w:r>
      <w:r>
        <w:rPr>
          <w:bCs/>
          <w:noProof/>
          <w:szCs w:val="22"/>
        </w:rPr>
        <w:br/>
      </w:r>
      <w:r>
        <w:rPr>
          <w:bCs/>
          <w:noProof/>
          <w:szCs w:val="22"/>
        </w:rPr>
        <w:tab/>
      </w:r>
      <w:r>
        <w:rPr>
          <w:bCs/>
          <w:noProof/>
          <w:szCs w:val="22"/>
        </w:rPr>
        <w:tab/>
      </w:r>
      <w:r>
        <w:rPr>
          <w:bCs/>
          <w:noProof/>
          <w:szCs w:val="22"/>
        </w:rPr>
        <w:tab/>
      </w:r>
      <w:r>
        <w:rPr>
          <w:bCs/>
          <w:noProof/>
          <w:szCs w:val="22"/>
        </w:rPr>
        <w:tab/>
        <w:t>de detención, encarcelamiento o internamiento en</w:t>
      </w:r>
      <w:r>
        <w:rPr>
          <w:bCs/>
          <w:noProof/>
          <w:szCs w:val="22"/>
        </w:rPr>
        <w:br/>
      </w:r>
      <w:r>
        <w:rPr>
          <w:bCs/>
          <w:noProof/>
          <w:szCs w:val="22"/>
        </w:rPr>
        <w:tab/>
      </w:r>
      <w:r>
        <w:rPr>
          <w:bCs/>
          <w:noProof/>
          <w:szCs w:val="22"/>
        </w:rPr>
        <w:tab/>
      </w:r>
      <w:r>
        <w:rPr>
          <w:bCs/>
          <w:noProof/>
          <w:szCs w:val="22"/>
        </w:rPr>
        <w:tab/>
      </w:r>
      <w:r>
        <w:rPr>
          <w:bCs/>
          <w:noProof/>
          <w:szCs w:val="22"/>
        </w:rPr>
        <w:tab/>
        <w:t>un establecimiento bajo custodia</w:t>
      </w:r>
      <w:r>
        <w:rPr>
          <w:bCs/>
          <w:noProof/>
          <w:szCs w:val="22"/>
        </w:rPr>
        <w:tab/>
      </w:r>
      <w:r>
        <w:rPr>
          <w:bCs/>
          <w:noProof/>
          <w:szCs w:val="22"/>
        </w:rPr>
        <w:tab/>
        <w:t>247</w:t>
      </w:r>
      <w:r>
        <w:rPr>
          <w:bCs/>
          <w:noProof/>
          <w:szCs w:val="22"/>
        </w:rPr>
        <w:tab/>
        <w:t>-</w:t>
      </w:r>
      <w:r>
        <w:rPr>
          <w:bCs/>
          <w:noProof/>
          <w:szCs w:val="22"/>
        </w:rPr>
        <w:tab/>
        <w:t>254</w:t>
      </w:r>
      <w:r>
        <w:rPr>
          <w:bCs/>
          <w:noProof/>
          <w:szCs w:val="22"/>
        </w:rPr>
        <w:tab/>
        <w:t>83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r>
      <w:r>
        <w:rPr>
          <w:bCs/>
          <w:noProof/>
          <w:szCs w:val="22"/>
        </w:rPr>
        <w:tab/>
      </w:r>
      <w:r>
        <w:rPr>
          <w:bCs/>
          <w:noProof/>
          <w:szCs w:val="22"/>
        </w:rPr>
        <w:tab/>
        <w:t>3.</w:t>
      </w:r>
      <w:r>
        <w:rPr>
          <w:bCs/>
          <w:noProof/>
          <w:szCs w:val="22"/>
        </w:rPr>
        <w:tab/>
        <w:t>La imposición de penas a los niños, en particular la</w:t>
      </w:r>
      <w:r>
        <w:rPr>
          <w:bCs/>
          <w:noProof/>
          <w:szCs w:val="22"/>
        </w:rPr>
        <w:br/>
      </w:r>
      <w:r>
        <w:rPr>
          <w:bCs/>
          <w:noProof/>
          <w:szCs w:val="22"/>
        </w:rPr>
        <w:tab/>
      </w:r>
      <w:r>
        <w:rPr>
          <w:bCs/>
          <w:noProof/>
          <w:szCs w:val="22"/>
        </w:rPr>
        <w:tab/>
      </w:r>
      <w:r>
        <w:rPr>
          <w:bCs/>
          <w:noProof/>
          <w:szCs w:val="22"/>
        </w:rPr>
        <w:tab/>
      </w:r>
      <w:r>
        <w:rPr>
          <w:bCs/>
          <w:noProof/>
          <w:szCs w:val="22"/>
        </w:rPr>
        <w:tab/>
        <w:t>prohibición la pena capital y la de prisión perpetua</w:t>
      </w:r>
      <w:r>
        <w:rPr>
          <w:bCs/>
          <w:noProof/>
          <w:szCs w:val="22"/>
        </w:rPr>
        <w:tab/>
      </w:r>
      <w:r>
        <w:rPr>
          <w:bCs/>
          <w:noProof/>
          <w:szCs w:val="22"/>
        </w:rPr>
        <w:tab/>
      </w:r>
      <w:r>
        <w:rPr>
          <w:bCs/>
          <w:noProof/>
          <w:szCs w:val="22"/>
        </w:rPr>
        <w:tab/>
        <w:t>255</w:t>
      </w:r>
      <w:r>
        <w:rPr>
          <w:bCs/>
          <w:noProof/>
          <w:szCs w:val="22"/>
        </w:rPr>
        <w:tab/>
      </w:r>
      <w:r>
        <w:rPr>
          <w:bCs/>
          <w:noProof/>
          <w:szCs w:val="22"/>
        </w:rPr>
        <w:tab/>
        <w:t>85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r>
      <w:r>
        <w:rPr>
          <w:bCs/>
          <w:noProof/>
          <w:szCs w:val="22"/>
        </w:rPr>
        <w:tab/>
      </w:r>
      <w:r>
        <w:rPr>
          <w:bCs/>
          <w:noProof/>
          <w:szCs w:val="22"/>
        </w:rPr>
        <w:tab/>
        <w:t>4.</w:t>
      </w:r>
      <w:r>
        <w:rPr>
          <w:bCs/>
          <w:noProof/>
          <w:szCs w:val="22"/>
        </w:rPr>
        <w:tab/>
        <w:t>La recuperación física y psicológica y la reintegración</w:t>
      </w:r>
      <w:r>
        <w:rPr>
          <w:bCs/>
          <w:noProof/>
          <w:szCs w:val="22"/>
        </w:rPr>
        <w:br/>
      </w:r>
      <w:r>
        <w:rPr>
          <w:bCs/>
          <w:noProof/>
          <w:szCs w:val="22"/>
        </w:rPr>
        <w:tab/>
      </w:r>
      <w:r>
        <w:rPr>
          <w:bCs/>
          <w:noProof/>
          <w:szCs w:val="22"/>
        </w:rPr>
        <w:tab/>
      </w:r>
      <w:r>
        <w:rPr>
          <w:bCs/>
          <w:noProof/>
          <w:szCs w:val="22"/>
        </w:rPr>
        <w:tab/>
      </w:r>
      <w:r>
        <w:rPr>
          <w:bCs/>
          <w:noProof/>
          <w:szCs w:val="22"/>
        </w:rPr>
        <w:tab/>
        <w:t>social del niño</w:t>
      </w:r>
      <w:r>
        <w:rPr>
          <w:bCs/>
          <w:noProof/>
          <w:szCs w:val="22"/>
        </w:rPr>
        <w:tab/>
      </w:r>
      <w:r>
        <w:rPr>
          <w:bCs/>
          <w:noProof/>
          <w:szCs w:val="22"/>
        </w:rPr>
        <w:tab/>
      </w:r>
      <w:r>
        <w:rPr>
          <w:bCs/>
          <w:noProof/>
          <w:szCs w:val="22"/>
        </w:rPr>
        <w:tab/>
        <w:t>256</w:t>
      </w:r>
      <w:r>
        <w:rPr>
          <w:bCs/>
          <w:noProof/>
          <w:szCs w:val="22"/>
        </w:rPr>
        <w:tab/>
      </w:r>
      <w:r>
        <w:rPr>
          <w:bCs/>
          <w:noProof/>
          <w:szCs w:val="22"/>
        </w:rPr>
        <w:tab/>
        <w:t>85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r>
      <w:r>
        <w:rPr>
          <w:bCs/>
          <w:noProof/>
          <w:szCs w:val="22"/>
        </w:rPr>
        <w:tab/>
        <w:t>C.</w:t>
      </w:r>
      <w:r>
        <w:rPr>
          <w:bCs/>
          <w:noProof/>
          <w:szCs w:val="22"/>
        </w:rPr>
        <w:tab/>
        <w:t>Los niños sometidos a explotación incluida su recuperación</w:t>
      </w:r>
      <w:r>
        <w:rPr>
          <w:bCs/>
          <w:noProof/>
          <w:szCs w:val="22"/>
        </w:rPr>
        <w:br/>
      </w:r>
      <w:r>
        <w:rPr>
          <w:bCs/>
          <w:noProof/>
          <w:szCs w:val="22"/>
        </w:rPr>
        <w:tab/>
      </w:r>
      <w:r>
        <w:rPr>
          <w:bCs/>
          <w:noProof/>
          <w:szCs w:val="22"/>
        </w:rPr>
        <w:tab/>
      </w:r>
      <w:r>
        <w:rPr>
          <w:bCs/>
          <w:noProof/>
          <w:szCs w:val="22"/>
        </w:rPr>
        <w:tab/>
        <w:t>física psicológica y su reintegración social</w:t>
      </w:r>
      <w:r>
        <w:rPr>
          <w:bCs/>
          <w:noProof/>
          <w:szCs w:val="22"/>
        </w:rPr>
        <w:tab/>
      </w:r>
      <w:r>
        <w:rPr>
          <w:bCs/>
          <w:noProof/>
          <w:szCs w:val="22"/>
        </w:rPr>
        <w:tab/>
        <w:t>257</w:t>
      </w:r>
      <w:r>
        <w:rPr>
          <w:bCs/>
          <w:noProof/>
          <w:szCs w:val="22"/>
        </w:rPr>
        <w:tab/>
        <w:t>-</w:t>
      </w:r>
      <w:r>
        <w:rPr>
          <w:bCs/>
          <w:noProof/>
          <w:szCs w:val="22"/>
        </w:rPr>
        <w:tab/>
        <w:t>281</w:t>
      </w:r>
      <w:r>
        <w:rPr>
          <w:bCs/>
          <w:noProof/>
          <w:szCs w:val="22"/>
        </w:rPr>
        <w:tab/>
        <w:t>86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r>
      <w:r>
        <w:rPr>
          <w:bCs/>
          <w:noProof/>
          <w:szCs w:val="22"/>
        </w:rPr>
        <w:tab/>
      </w:r>
      <w:r>
        <w:rPr>
          <w:bCs/>
          <w:noProof/>
          <w:szCs w:val="22"/>
        </w:rPr>
        <w:tab/>
        <w:t>1.</w:t>
      </w:r>
      <w:r>
        <w:rPr>
          <w:bCs/>
          <w:noProof/>
          <w:szCs w:val="22"/>
        </w:rPr>
        <w:tab/>
        <w:t>La explotación económica de los niños, incluido el</w:t>
      </w:r>
      <w:r>
        <w:rPr>
          <w:bCs/>
          <w:noProof/>
          <w:szCs w:val="22"/>
        </w:rPr>
        <w:br/>
      </w:r>
      <w:r>
        <w:rPr>
          <w:bCs/>
          <w:noProof/>
          <w:szCs w:val="22"/>
        </w:rPr>
        <w:tab/>
      </w:r>
      <w:r>
        <w:rPr>
          <w:bCs/>
          <w:noProof/>
          <w:szCs w:val="22"/>
        </w:rPr>
        <w:tab/>
      </w:r>
      <w:r>
        <w:rPr>
          <w:bCs/>
          <w:noProof/>
          <w:szCs w:val="22"/>
        </w:rPr>
        <w:tab/>
      </w:r>
      <w:r>
        <w:rPr>
          <w:bCs/>
          <w:noProof/>
          <w:szCs w:val="22"/>
        </w:rPr>
        <w:tab/>
        <w:t>trabajo infantil</w:t>
      </w:r>
      <w:r>
        <w:rPr>
          <w:bCs/>
          <w:noProof/>
          <w:szCs w:val="22"/>
        </w:rPr>
        <w:tab/>
      </w:r>
      <w:r>
        <w:rPr>
          <w:bCs/>
          <w:noProof/>
          <w:szCs w:val="22"/>
        </w:rPr>
        <w:tab/>
        <w:t>257</w:t>
      </w:r>
      <w:r>
        <w:rPr>
          <w:bCs/>
          <w:noProof/>
          <w:szCs w:val="22"/>
        </w:rPr>
        <w:tab/>
        <w:t>-</w:t>
      </w:r>
      <w:r>
        <w:rPr>
          <w:bCs/>
          <w:noProof/>
          <w:szCs w:val="22"/>
        </w:rPr>
        <w:tab/>
        <w:t>265</w:t>
      </w:r>
      <w:r>
        <w:rPr>
          <w:bCs/>
          <w:noProof/>
          <w:szCs w:val="22"/>
        </w:rPr>
        <w:tab/>
        <w:t>86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r>
      <w:r>
        <w:rPr>
          <w:bCs/>
          <w:noProof/>
          <w:szCs w:val="22"/>
        </w:rPr>
        <w:tab/>
      </w:r>
      <w:r>
        <w:rPr>
          <w:bCs/>
          <w:noProof/>
          <w:szCs w:val="22"/>
        </w:rPr>
        <w:tab/>
        <w:t>2.</w:t>
      </w:r>
      <w:r>
        <w:rPr>
          <w:bCs/>
          <w:noProof/>
          <w:szCs w:val="22"/>
        </w:rPr>
        <w:tab/>
        <w:t>El uso indebido de estupefacientes</w:t>
      </w:r>
      <w:r>
        <w:rPr>
          <w:bCs/>
          <w:noProof/>
          <w:szCs w:val="22"/>
        </w:rPr>
        <w:tab/>
      </w:r>
      <w:r>
        <w:rPr>
          <w:bCs/>
          <w:noProof/>
          <w:szCs w:val="22"/>
        </w:rPr>
        <w:tab/>
        <w:t>266</w:t>
      </w:r>
      <w:r>
        <w:rPr>
          <w:bCs/>
          <w:noProof/>
          <w:szCs w:val="22"/>
        </w:rPr>
        <w:tab/>
        <w:t>-</w:t>
      </w:r>
      <w:r>
        <w:rPr>
          <w:bCs/>
          <w:noProof/>
          <w:szCs w:val="22"/>
        </w:rPr>
        <w:tab/>
        <w:t>270</w:t>
      </w:r>
      <w:r>
        <w:rPr>
          <w:bCs/>
          <w:noProof/>
          <w:szCs w:val="22"/>
        </w:rPr>
        <w:tab/>
        <w:t>88</w:t>
      </w:r>
    </w:p>
    <w:p w:rsidR="00000000" w:rsidRDefault="00000000">
      <w:pPr>
        <w:keepNext/>
        <w:keepLines/>
        <w:spacing w:after="240"/>
        <w:jc w:val="center"/>
        <w:outlineLvl w:val="0"/>
        <w:rPr>
          <w:bCs/>
          <w:noProof/>
          <w:szCs w:val="22"/>
        </w:rPr>
      </w:pPr>
      <w:r>
        <w:rPr>
          <w:b/>
          <w:noProof/>
          <w:szCs w:val="22"/>
        </w:rPr>
        <w:t>ÍNDICE</w:t>
      </w:r>
      <w:r>
        <w:rPr>
          <w:bCs/>
          <w:noProof/>
          <w:szCs w:val="22"/>
        </w:rPr>
        <w:t xml:space="preserve"> (</w:t>
      </w:r>
      <w:r>
        <w:rPr>
          <w:bCs/>
          <w:i/>
          <w:iCs/>
          <w:noProof/>
          <w:szCs w:val="22"/>
        </w:rPr>
        <w:t>continuación</w:t>
      </w:r>
      <w:r>
        <w:rPr>
          <w:bCs/>
          <w:noProof/>
          <w:szCs w:val="22"/>
        </w:rPr>
        <w:t>)</w:t>
      </w:r>
    </w:p>
    <w:p w:rsidR="00000000" w:rsidRDefault="00000000">
      <w:pPr>
        <w:keepNext/>
        <w:keepLines/>
        <w:spacing w:after="240"/>
        <w:jc w:val="right"/>
        <w:outlineLvl w:val="0"/>
        <w:rPr>
          <w:bCs/>
          <w:i/>
          <w:noProof/>
          <w:szCs w:val="22"/>
        </w:rPr>
      </w:pPr>
      <w:r>
        <w:rPr>
          <w:bCs/>
          <w:i/>
          <w:noProof/>
          <w:szCs w:val="22"/>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lang w:val="en-GB"/>
        </w:rPr>
      </w:pPr>
      <w:r>
        <w:rPr>
          <w:bCs/>
          <w:noProof/>
          <w:szCs w:val="22"/>
        </w:rPr>
        <w:tab/>
      </w:r>
      <w:r>
        <w:rPr>
          <w:bCs/>
          <w:noProof/>
          <w:szCs w:val="22"/>
          <w:lang w:val="en-GB"/>
        </w:rPr>
        <w:t>VIII.</w:t>
      </w:r>
      <w:r>
        <w:rPr>
          <w:bCs/>
          <w:noProof/>
          <w:szCs w:val="22"/>
          <w:lang w:val="en-GB"/>
        </w:rPr>
        <w:tab/>
        <w:t>C.</w:t>
      </w:r>
      <w:r>
        <w:rPr>
          <w:bCs/>
          <w:noProof/>
          <w:szCs w:val="22"/>
          <w:lang w:val="en-GB"/>
        </w:rPr>
        <w:tab/>
        <w:t>(</w:t>
      </w:r>
      <w:r>
        <w:rPr>
          <w:bCs/>
          <w:i/>
          <w:iCs/>
          <w:noProof/>
          <w:szCs w:val="22"/>
          <w:lang w:val="en-GB"/>
        </w:rPr>
        <w:t>cont.</w:t>
      </w:r>
      <w:r>
        <w:rPr>
          <w:bCs/>
          <w:noProof/>
          <w:szCs w:val="22"/>
          <w:lang w:val="en-GB"/>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lang w:val="en-GB"/>
        </w:rPr>
        <w:tab/>
      </w:r>
      <w:r>
        <w:rPr>
          <w:bCs/>
          <w:noProof/>
          <w:szCs w:val="22"/>
          <w:lang w:val="en-GB"/>
        </w:rPr>
        <w:tab/>
      </w:r>
      <w:r>
        <w:rPr>
          <w:bCs/>
          <w:noProof/>
          <w:szCs w:val="22"/>
          <w:lang w:val="en-GB"/>
        </w:rPr>
        <w:tab/>
      </w:r>
      <w:r>
        <w:rPr>
          <w:bCs/>
          <w:noProof/>
          <w:szCs w:val="22"/>
        </w:rPr>
        <w:t>3.</w:t>
      </w:r>
      <w:r>
        <w:rPr>
          <w:bCs/>
          <w:noProof/>
          <w:szCs w:val="22"/>
        </w:rPr>
        <w:tab/>
        <w:t>La explotación y el abuso sexual</w:t>
      </w:r>
      <w:r>
        <w:rPr>
          <w:bCs/>
          <w:noProof/>
          <w:szCs w:val="22"/>
        </w:rPr>
        <w:tab/>
      </w:r>
      <w:r>
        <w:rPr>
          <w:bCs/>
          <w:noProof/>
          <w:szCs w:val="22"/>
        </w:rPr>
        <w:tab/>
        <w:t>271</w:t>
      </w:r>
      <w:r>
        <w:rPr>
          <w:bCs/>
          <w:noProof/>
          <w:szCs w:val="22"/>
        </w:rPr>
        <w:tab/>
        <w:t>-</w:t>
      </w:r>
      <w:r>
        <w:rPr>
          <w:bCs/>
          <w:noProof/>
          <w:szCs w:val="22"/>
        </w:rPr>
        <w:tab/>
        <w:t>280</w:t>
      </w:r>
      <w:r>
        <w:rPr>
          <w:bCs/>
          <w:noProof/>
          <w:szCs w:val="22"/>
        </w:rPr>
        <w:tab/>
        <w:t>88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outlineLvl w:val="0"/>
        <w:rPr>
          <w:bCs/>
          <w:noProof/>
          <w:szCs w:val="22"/>
        </w:rPr>
      </w:pPr>
      <w:r>
        <w:rPr>
          <w:bCs/>
          <w:noProof/>
          <w:szCs w:val="22"/>
        </w:rPr>
        <w:tab/>
      </w:r>
      <w:r>
        <w:rPr>
          <w:bCs/>
          <w:noProof/>
          <w:szCs w:val="22"/>
        </w:rPr>
        <w:tab/>
      </w:r>
      <w:r>
        <w:rPr>
          <w:bCs/>
          <w:noProof/>
          <w:szCs w:val="22"/>
        </w:rPr>
        <w:tab/>
        <w:t>5.</w:t>
      </w:r>
      <w:r>
        <w:rPr>
          <w:bCs/>
          <w:noProof/>
          <w:szCs w:val="22"/>
        </w:rPr>
        <w:tab/>
        <w:t>Otras formas de explotación</w:t>
      </w:r>
      <w:r>
        <w:rPr>
          <w:bCs/>
          <w:noProof/>
          <w:szCs w:val="22"/>
        </w:rPr>
        <w:tab/>
      </w:r>
      <w:r>
        <w:rPr>
          <w:bCs/>
          <w:noProof/>
          <w:szCs w:val="22"/>
        </w:rPr>
        <w:tab/>
      </w:r>
      <w:r>
        <w:rPr>
          <w:bCs/>
          <w:noProof/>
          <w:szCs w:val="22"/>
        </w:rPr>
        <w:tab/>
        <w:t>281</w:t>
      </w:r>
      <w:r>
        <w:rPr>
          <w:bCs/>
          <w:noProof/>
          <w:szCs w:val="22"/>
        </w:rPr>
        <w:tab/>
      </w:r>
      <w:r>
        <w:rPr>
          <w:bCs/>
          <w:noProof/>
          <w:szCs w:val="22"/>
        </w:rPr>
        <w:tab/>
        <w:t>90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360"/>
        <w:outlineLvl w:val="0"/>
        <w:rPr>
          <w:bCs/>
          <w:noProof/>
          <w:szCs w:val="22"/>
        </w:rPr>
      </w:pPr>
      <w:r>
        <w:rPr>
          <w:bCs/>
          <w:noProof/>
          <w:szCs w:val="22"/>
        </w:rPr>
        <w:tab/>
      </w:r>
      <w:r>
        <w:rPr>
          <w:bCs/>
          <w:noProof/>
          <w:szCs w:val="22"/>
        </w:rPr>
        <w:tab/>
        <w:t>D.</w:t>
      </w:r>
      <w:r>
        <w:rPr>
          <w:bCs/>
          <w:noProof/>
          <w:szCs w:val="22"/>
        </w:rPr>
        <w:tab/>
        <w:t>Los niños pertenecientes a minorías o a grupos indígenas</w:t>
      </w:r>
      <w:r>
        <w:rPr>
          <w:bCs/>
          <w:noProof/>
          <w:szCs w:val="22"/>
        </w:rPr>
        <w:tab/>
      </w:r>
      <w:r>
        <w:rPr>
          <w:bCs/>
          <w:noProof/>
          <w:szCs w:val="22"/>
        </w:rPr>
        <w:tab/>
      </w:r>
      <w:r>
        <w:rPr>
          <w:bCs/>
          <w:noProof/>
          <w:szCs w:val="22"/>
        </w:rPr>
        <w:tab/>
        <w:t>282</w:t>
      </w:r>
      <w:r>
        <w:rPr>
          <w:bCs/>
          <w:noProof/>
          <w:szCs w:val="22"/>
        </w:rPr>
        <w:tab/>
      </w:r>
      <w:r>
        <w:rPr>
          <w:bCs/>
          <w:noProof/>
          <w:szCs w:val="22"/>
        </w:rPr>
        <w:tab/>
        <w:t>91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outlineLvl w:val="0"/>
        <w:rPr>
          <w:bCs/>
          <w:i/>
          <w:iCs/>
          <w:noProof/>
          <w:szCs w:val="22"/>
        </w:rPr>
      </w:pPr>
      <w:r>
        <w:rPr>
          <w:bCs/>
          <w:i/>
          <w:iCs/>
          <w:noProof/>
          <w:szCs w:val="22"/>
        </w:rPr>
        <w:t>Anexo</w:t>
      </w:r>
    </w:p>
    <w:p w:rsidR="00000000" w:rsidRDefault="00000000">
      <w:pPr>
        <w:tabs>
          <w:tab w:val="right" w:pos="567"/>
          <w:tab w:val="left" w:pos="850"/>
          <w:tab w:val="left" w:pos="1304"/>
          <w:tab w:val="left" w:pos="1701"/>
          <w:tab w:val="right" w:leader="dot" w:pos="8520"/>
          <w:tab w:val="right" w:pos="9099"/>
        </w:tabs>
        <w:spacing w:after="240"/>
        <w:outlineLvl w:val="0"/>
        <w:rPr>
          <w:bCs/>
          <w:noProof/>
          <w:szCs w:val="22"/>
        </w:rPr>
      </w:pPr>
      <w:r>
        <w:rPr>
          <w:bCs/>
          <w:noProof/>
          <w:szCs w:val="22"/>
        </w:rPr>
        <w:t>Abreviaturas y siglas</w:t>
      </w:r>
      <w:r>
        <w:rPr>
          <w:bCs/>
          <w:noProof/>
          <w:szCs w:val="22"/>
        </w:rPr>
        <w:tab/>
      </w:r>
      <w:r>
        <w:rPr>
          <w:bCs/>
          <w:noProof/>
          <w:szCs w:val="22"/>
        </w:rPr>
        <w:tab/>
        <w:t>92</w:t>
      </w:r>
    </w:p>
    <w:p w:rsidR="00000000" w:rsidRDefault="00000000">
      <w:pPr>
        <w:tabs>
          <w:tab w:val="right" w:pos="567"/>
          <w:tab w:val="left" w:pos="850"/>
          <w:tab w:val="left" w:pos="1304"/>
          <w:tab w:val="left" w:pos="1701"/>
          <w:tab w:val="right" w:leader="dot" w:pos="8520"/>
          <w:tab w:val="right" w:pos="9099"/>
        </w:tabs>
        <w:spacing w:after="240"/>
        <w:outlineLvl w:val="0"/>
        <w:rPr>
          <w:bCs/>
          <w:noProof/>
          <w:szCs w:val="22"/>
        </w:rPr>
      </w:pPr>
      <w:r>
        <w:rPr>
          <w:bCs/>
          <w:noProof/>
          <w:szCs w:val="22"/>
        </w:rPr>
        <w:t>Cuadros estadísticos</w:t>
      </w:r>
      <w:r>
        <w:rPr>
          <w:bCs/>
          <w:noProof/>
          <w:szCs w:val="22"/>
        </w:rPr>
        <w:tab/>
      </w:r>
      <w:r>
        <w:rPr>
          <w:bCs/>
          <w:noProof/>
          <w:szCs w:val="22"/>
        </w:rPr>
        <w:tab/>
        <w:t>95</w:t>
      </w:r>
    </w:p>
    <w:p w:rsidR="00000000" w:rsidRDefault="00000000">
      <w:pPr>
        <w:spacing w:after="240"/>
        <w:jc w:val="center"/>
        <w:outlineLvl w:val="0"/>
        <w:rPr>
          <w:b/>
          <w:noProof/>
          <w:szCs w:val="22"/>
        </w:rPr>
      </w:pPr>
      <w:r>
        <w:rPr>
          <w:bCs/>
          <w:noProof/>
          <w:szCs w:val="22"/>
        </w:rPr>
        <w:br w:type="page"/>
      </w:r>
      <w:r>
        <w:rPr>
          <w:b/>
          <w:noProof/>
          <w:szCs w:val="22"/>
        </w:rPr>
        <w:t>INTRODUCCIÓN</w:t>
      </w:r>
    </w:p>
    <w:p w:rsidR="00000000" w:rsidRDefault="00000000">
      <w:pPr>
        <w:spacing w:after="240"/>
        <w:rPr>
          <w:bCs/>
          <w:noProof/>
          <w:szCs w:val="22"/>
        </w:rPr>
      </w:pPr>
      <w:r>
        <w:rPr>
          <w:bCs/>
          <w:noProof/>
          <w:szCs w:val="22"/>
        </w:rPr>
        <w:t>1.</w:t>
      </w:r>
      <w:r>
        <w:rPr>
          <w:bCs/>
          <w:noProof/>
          <w:szCs w:val="22"/>
        </w:rPr>
        <w:tab/>
        <w:t xml:space="preserve">El presente documento tiene como objetivo dar cumplimiento al compromiso del Estado de Chile de presentar ante el Comité de los Derechos del Niño de Naciones Unidas un informe periódico del cumplimiento de los derechos del niño en el país tal como lo establece la Convención sobre los Derechos del Niño.  En esta oportunidad presentamos el </w:t>
      </w:r>
      <w:r>
        <w:rPr>
          <w:bCs/>
          <w:iCs/>
          <w:noProof/>
          <w:szCs w:val="22"/>
        </w:rPr>
        <w:t>tercer Informe del Estado de Chile sobre el grado de avance y cumplimiento a nivel nacional de los derechos establecidos en la Convención sobre los Derechos del Niño</w:t>
      </w:r>
      <w:r>
        <w:rPr>
          <w:bCs/>
          <w:noProof/>
          <w:szCs w:val="22"/>
        </w:rPr>
        <w:t>, correspondiente al período 1998</w:t>
      </w:r>
      <w:r>
        <w:rPr>
          <w:bCs/>
          <w:noProof/>
          <w:szCs w:val="22"/>
        </w:rPr>
        <w:noBreakHyphen/>
        <w:t>2004.</w:t>
      </w:r>
    </w:p>
    <w:p w:rsidR="00000000" w:rsidRDefault="00000000">
      <w:pPr>
        <w:spacing w:after="240"/>
        <w:rPr>
          <w:bCs/>
          <w:noProof/>
          <w:szCs w:val="22"/>
        </w:rPr>
      </w:pPr>
      <w:r>
        <w:rPr>
          <w:bCs/>
          <w:noProof/>
          <w:szCs w:val="22"/>
        </w:rPr>
        <w:t>2.</w:t>
      </w:r>
      <w:r>
        <w:rPr>
          <w:bCs/>
          <w:noProof/>
          <w:szCs w:val="22"/>
        </w:rPr>
        <w:tab/>
        <w:t>La realización del presente informe estuvo a cargo de la Secretaría Ejecutiva del Consejo de Ministros para la Infancia y la Adolescencia radicada en el Ministerio de Planificación y Cooperación, para cuyo objetivo contó con la colaboración de una red de apoyo conformada por 18 instituciones entre ministerios y servicios públicos cuya labor beneficia a niños, niñas y adolescentes.</w:t>
      </w:r>
    </w:p>
    <w:p w:rsidR="00000000" w:rsidRDefault="00000000">
      <w:pPr>
        <w:spacing w:after="240"/>
        <w:rPr>
          <w:bCs/>
          <w:noProof/>
          <w:szCs w:val="22"/>
        </w:rPr>
      </w:pPr>
      <w:r>
        <w:rPr>
          <w:bCs/>
          <w:noProof/>
          <w:szCs w:val="22"/>
        </w:rPr>
        <w:t>3.</w:t>
      </w:r>
      <w:r>
        <w:rPr>
          <w:bCs/>
          <w:noProof/>
          <w:szCs w:val="22"/>
        </w:rPr>
        <w:tab/>
        <w:t xml:space="preserve">Durante el período comprendido en el informe, el Estado de Chile ha logrado importantes avances en el cumplimiento de los compromisos que emanan de la Convención sobre los Derechos del Niño.  Hito en el proceso de construcción de una sociedad defensora de los derechos de los niños, niñas y adolescentes fue la elaboración de la </w:t>
      </w:r>
      <w:r>
        <w:rPr>
          <w:bCs/>
          <w:i/>
          <w:iCs/>
          <w:noProof/>
          <w:szCs w:val="22"/>
        </w:rPr>
        <w:t>Política Nacional y Plan de Acción Integrado a favor de la Infancia y la Adolescencia, 2001-2010</w:t>
      </w:r>
      <w:r>
        <w:rPr>
          <w:bCs/>
          <w:noProof/>
          <w:szCs w:val="22"/>
        </w:rPr>
        <w:t>, cuyo propósito es la aplicación de la Convención a través del compromiso del Gobierno y de los diversos sectores del Estado.  Asimismo, la instauración de un sistema de gestión para la Política Nacional y el Plan de Acción, a través de la constitución del Consejo de Ministros para la Infancia y la Adolescencia, y de las instancias asesoras:  Secretaría Ejecutiva, Comité Técnico Intersectorial y Consejo Consultivo de la Sociedad Civil, coordinados por el Ministerio de Planificación y Cooperación, son una señal clara de la importancia de los derechos del niño en la agenda pública del Gobierno.</w:t>
      </w:r>
    </w:p>
    <w:p w:rsidR="00000000" w:rsidRDefault="00000000">
      <w:pPr>
        <w:spacing w:after="240"/>
        <w:rPr>
          <w:bCs/>
          <w:noProof/>
          <w:color w:val="000000"/>
          <w:szCs w:val="22"/>
        </w:rPr>
      </w:pPr>
      <w:r>
        <w:rPr>
          <w:bCs/>
          <w:noProof/>
          <w:szCs w:val="22"/>
        </w:rPr>
        <w:t>4.</w:t>
      </w:r>
      <w:r>
        <w:rPr>
          <w:bCs/>
          <w:noProof/>
          <w:szCs w:val="22"/>
        </w:rPr>
        <w:tab/>
        <w:t xml:space="preserve">Se han registrado importantes esfuerzos en materia legislativa, que nos permiten contar en la actualidad con herramientas apropiadas para garantizar diversos derechos a los niños, niñas y adolescentes.  Se destacan en este ámbito, la Ley de filiación de 1998 que significó un gran avance en materia de no discriminación; la Ley de adopción que favorece los derechos de los niños y niñas por sobre los intereses de los adultos; la Ley de matrimonio civil que aumenta e iguala entre niños y niñas la edad del consentimiento matrimonial a los 16 años; y la Ley sobre delitos de explotación sexual comercial aprobada en enero de 2004, </w:t>
      </w:r>
      <w:r>
        <w:rPr>
          <w:bCs/>
          <w:noProof/>
          <w:color w:val="000000"/>
          <w:szCs w:val="22"/>
        </w:rPr>
        <w:t>entre otras.</w:t>
      </w:r>
    </w:p>
    <w:p w:rsidR="00000000" w:rsidRDefault="00000000">
      <w:pPr>
        <w:pStyle w:val="BodyText"/>
        <w:spacing w:after="240"/>
        <w:jc w:val="left"/>
        <w:rPr>
          <w:rFonts w:ascii="Times New Roman" w:hAnsi="Times New Roman"/>
          <w:bCs/>
          <w:szCs w:val="22"/>
          <w:lang w:val="es-ES"/>
        </w:rPr>
      </w:pPr>
      <w:r>
        <w:rPr>
          <w:rFonts w:ascii="Times New Roman" w:hAnsi="Times New Roman"/>
          <w:bCs/>
          <w:szCs w:val="22"/>
          <w:lang w:val="es-ES"/>
        </w:rPr>
        <w:t>5.</w:t>
      </w:r>
      <w:r>
        <w:rPr>
          <w:rFonts w:ascii="Times New Roman" w:hAnsi="Times New Roman"/>
          <w:bCs/>
          <w:szCs w:val="22"/>
          <w:lang w:val="es-ES"/>
        </w:rPr>
        <w:tab/>
        <w:t>No obstante, cabe mencionar que en este mismo ámbito legislativo mantenemos un retraso significativo en la aprobación de un conjunto de proyectos, que impide profundizar los cambios necesarios para asegurar los derechos de niños, niñas y adolescentes en el ámbito de protección y justicia.  Esto afecta especialmente el cumplimiento del artículo 40 de la Convención debido a la falta de garantías que presenta el actual sistema tutelar para los niños, niñas y adolescentes que han infringido la Ley penal que presenta el actual sistema tutelar.  En este sentido la Ley de responsabilidad penal juvenil, actualmente en la etapa final de su tramitación parlamentaria, implicará un cambio significativo a esta situación.  Por otra parte, proyectos ligados al funcionamiento de la institucionalidad en materia de administración de justicia y de protección de niños, niñas y adolescentes vulnerados en sus derechos, permitirán validar y ampliar la</w:t>
      </w:r>
    </w:p>
    <w:p w:rsidR="00000000" w:rsidRDefault="00000000">
      <w:pPr>
        <w:pStyle w:val="BodyText"/>
        <w:spacing w:after="240"/>
        <w:jc w:val="left"/>
        <w:rPr>
          <w:rFonts w:ascii="Times New Roman" w:hAnsi="Times New Roman"/>
          <w:bCs/>
          <w:szCs w:val="22"/>
          <w:lang w:val="es-ES"/>
        </w:rPr>
      </w:pPr>
      <w:r>
        <w:rPr>
          <w:rFonts w:ascii="Times New Roman" w:hAnsi="Times New Roman"/>
          <w:bCs/>
          <w:szCs w:val="22"/>
          <w:lang w:val="es-ES"/>
        </w:rPr>
        <w:t>reforma que desde el administrativo se ha logrado instalar desde el Ministerio de Justicia y el Servicio Nacional de Menores (SENAME).</w:t>
      </w:r>
    </w:p>
    <w:p w:rsidR="00000000" w:rsidRDefault="00000000">
      <w:pPr>
        <w:spacing w:after="240" w:line="235" w:lineRule="auto"/>
        <w:rPr>
          <w:bCs/>
          <w:noProof/>
          <w:color w:val="000000"/>
          <w:szCs w:val="22"/>
        </w:rPr>
      </w:pPr>
      <w:r>
        <w:rPr>
          <w:bCs/>
          <w:noProof/>
          <w:color w:val="000000"/>
          <w:szCs w:val="22"/>
        </w:rPr>
        <w:t>6.</w:t>
      </w:r>
      <w:r>
        <w:rPr>
          <w:bCs/>
          <w:noProof/>
          <w:color w:val="000000"/>
          <w:szCs w:val="22"/>
        </w:rPr>
        <w:tab/>
        <w:t>Efectivamente en los sistemas de atención adscritos al SENAME, desde el nivel administrativo, se han implementado importantes reformas, entre las cuales destacan:  el aumento de cobertura de las medidas alternativas a la privación de libertad; la fijación de edades mínimas para los sujetos de atención en los programas de administración de justicia; el esfuerzo sistemático por la desinternación de aquellos niños, niñas y adolescentes frente a los cuales no se justifican estas medidas; y la instalación de las Oficinas de Protección de Derechos (OPD) en el ámbito local, permitiendo una mayor descentralización e intersectorialidad en las acciones de prevención y protección de derechos.</w:t>
      </w:r>
    </w:p>
    <w:p w:rsidR="00000000" w:rsidRDefault="00000000">
      <w:pPr>
        <w:pStyle w:val="BodyText"/>
        <w:spacing w:after="240" w:line="235" w:lineRule="auto"/>
        <w:jc w:val="left"/>
        <w:rPr>
          <w:rFonts w:ascii="Times New Roman" w:hAnsi="Times New Roman"/>
          <w:bCs/>
          <w:szCs w:val="22"/>
          <w:lang w:val="es-ES"/>
        </w:rPr>
      </w:pPr>
      <w:r>
        <w:rPr>
          <w:rFonts w:ascii="Times New Roman" w:hAnsi="Times New Roman"/>
          <w:bCs/>
          <w:szCs w:val="22"/>
          <w:lang w:val="es-ES"/>
        </w:rPr>
        <w:t>7.</w:t>
      </w:r>
      <w:r>
        <w:rPr>
          <w:rFonts w:ascii="Times New Roman" w:hAnsi="Times New Roman"/>
          <w:bCs/>
          <w:szCs w:val="22"/>
          <w:lang w:val="es-ES"/>
        </w:rPr>
        <w:tab/>
        <w:t>Otro ámbito de acción estatal que ha comprometido importantes esfuerzos de la administración pública, es el relativo a asegurar el derecho del niño y niña a la educación con calidad, permitiendo que pueda ejercer ese derecho progresivamente y en condición de igualdad de oportunidades.  Desde que se inició la reforma educacional, a comienzos de los años noventa, se han realizado esfuerzos notables dirigidos a asegurar la calidad de la educación y el derecho de todos los niños y niñas a tener una educación de calidad, independientemente de su condición socioeconómica.  Hito relevante en este ámbito es la ley que consagra los 12 años de escolaridad obligatoria, hasta los 21 años de edad.</w:t>
      </w:r>
    </w:p>
    <w:p w:rsidR="00000000" w:rsidRDefault="00000000">
      <w:pPr>
        <w:spacing w:after="240" w:line="235" w:lineRule="auto"/>
        <w:rPr>
          <w:bCs/>
          <w:noProof/>
          <w:color w:val="000000"/>
          <w:szCs w:val="22"/>
        </w:rPr>
      </w:pPr>
      <w:r>
        <w:rPr>
          <w:bCs/>
          <w:noProof/>
          <w:color w:val="000000"/>
          <w:szCs w:val="22"/>
        </w:rPr>
        <w:t>8.</w:t>
      </w:r>
      <w:r>
        <w:rPr>
          <w:bCs/>
          <w:noProof/>
          <w:color w:val="000000"/>
          <w:szCs w:val="22"/>
        </w:rPr>
        <w:tab/>
        <w:t>La política educacional mantiene como principales ejes de acción, el disminuir las altas tasas de deserción escolar y repetición de cursos que afectan en particular a los niños y niñas indígenas, a los pobres y a los que viven en zonas rurales; mejorar el trato que reciben los niños y niñas con problemas de comportamiento; disminuir el alto número de adolescentes embarazadas que quedan excluidas del sistema escolar; aumentar la baja tasa de cobertura en la enseñanza preescolar así como en la enseñanza secundaria, entre otras.  Para el cumplimiento de estos objetivos, el Gobierno cuenta con una amplia gama de oferta programática e importantes recursos comprometidos.</w:t>
      </w:r>
    </w:p>
    <w:p w:rsidR="00000000" w:rsidRDefault="00000000">
      <w:pPr>
        <w:spacing w:after="240" w:line="235" w:lineRule="auto"/>
        <w:rPr>
          <w:bCs/>
          <w:noProof/>
          <w:color w:val="000000"/>
          <w:szCs w:val="22"/>
        </w:rPr>
      </w:pPr>
      <w:r>
        <w:rPr>
          <w:bCs/>
          <w:noProof/>
          <w:color w:val="000000"/>
          <w:szCs w:val="22"/>
        </w:rPr>
        <w:t>9.</w:t>
      </w:r>
      <w:r>
        <w:rPr>
          <w:bCs/>
          <w:noProof/>
          <w:color w:val="000000"/>
          <w:szCs w:val="22"/>
        </w:rPr>
        <w:tab/>
        <w:t>Adicionalmente se ha trabajado sistemáticamente en el mejoramiento del rendimiento de las escuelas; la distribución de materiales pedagógicos de alta calidad a todas las escuelas; la reforma el currículo de la educación preescolar, básica y media; el aumento sustancial de las remuneraciones de los profesores; y el establecimiento de la jornada escolar completa para todos los niños y niñas de Chile.</w:t>
      </w:r>
    </w:p>
    <w:p w:rsidR="00000000" w:rsidRDefault="00000000">
      <w:pPr>
        <w:spacing w:after="240" w:line="235" w:lineRule="auto"/>
        <w:rPr>
          <w:bCs/>
          <w:noProof/>
          <w:color w:val="000000"/>
          <w:szCs w:val="22"/>
        </w:rPr>
      </w:pPr>
      <w:r>
        <w:rPr>
          <w:bCs/>
          <w:noProof/>
          <w:color w:val="000000"/>
          <w:szCs w:val="22"/>
        </w:rPr>
        <w:t>10.</w:t>
      </w:r>
      <w:r>
        <w:rPr>
          <w:bCs/>
          <w:noProof/>
          <w:color w:val="000000"/>
          <w:szCs w:val="22"/>
        </w:rPr>
        <w:tab/>
        <w:t>El desafío futuro en el ámbito educacional es disminuir las brechas sociales que aún se mantienen en nuestro país, lo cual se ha constituido en una preocupación del Estado que se relaciona directamente con el objetivo de lograr una mayor inclusión social de los niños y niñas.  Siguiendo esta lógica, la implementación de los programas de educación intercultural bilingüe, han permitido un avance en el reconocimiento de la identidad y cultura de los pueblos indígenas presentes en nuestro país.</w:t>
      </w:r>
    </w:p>
    <w:p w:rsidR="00000000" w:rsidRDefault="00000000">
      <w:pPr>
        <w:spacing w:after="120" w:line="235" w:lineRule="auto"/>
        <w:rPr>
          <w:bCs/>
          <w:noProof/>
          <w:color w:val="000000"/>
          <w:szCs w:val="22"/>
        </w:rPr>
      </w:pPr>
      <w:r>
        <w:rPr>
          <w:bCs/>
          <w:noProof/>
          <w:color w:val="000000"/>
          <w:szCs w:val="22"/>
        </w:rPr>
        <w:t>11.</w:t>
      </w:r>
      <w:r>
        <w:rPr>
          <w:bCs/>
          <w:noProof/>
          <w:color w:val="000000"/>
          <w:szCs w:val="22"/>
        </w:rPr>
        <w:tab/>
        <w:t>Por su parte, la reforma del sistema de salud pública en el país, ha implicado un significativo paso en el camino de elaborar políticas con perspectiva de derecho, asegurando a toda la población la atención frente a determinadas enfermedades.  Junto a ello los exitosos indicadores en materia de mortalidad infantil, neonatal y materna configuran un diagnóstico proclive al cumplimiento de los derechos de salud básica y bienestar establecidos en la Convención.</w:t>
      </w:r>
    </w:p>
    <w:p w:rsidR="00000000" w:rsidRDefault="00000000">
      <w:pPr>
        <w:spacing w:after="240"/>
        <w:rPr>
          <w:bCs/>
          <w:noProof/>
          <w:color w:val="000000"/>
          <w:szCs w:val="22"/>
        </w:rPr>
      </w:pPr>
      <w:r>
        <w:rPr>
          <w:bCs/>
          <w:noProof/>
          <w:color w:val="000000"/>
          <w:szCs w:val="22"/>
        </w:rPr>
        <w:t>12.</w:t>
      </w:r>
      <w:r>
        <w:rPr>
          <w:bCs/>
          <w:noProof/>
          <w:color w:val="000000"/>
          <w:szCs w:val="22"/>
        </w:rPr>
        <w:tab/>
        <w:t>No obstante al igual que en el ámbito educacional, el diagnóstico del área demuestra fuertes disparidades en los niveles de salud en el país, los cuales obedecen principalmente a determinantes psicosociales y étnicas.  En este contexto cobra especial relevancia la implementación de programas intersectoriales coordinados, cuyo mejor ejemplo es el sistema de protección social Chile Solidario.  Éste asegura a la población de mayor vulnerabilidad social el acceso a una red de prestaciones sociales del Estado y el apoyo profesional directo a las familias para el cumplimiento de mínimos que les aseguran una mejor calidad de vida.</w:t>
      </w:r>
    </w:p>
    <w:p w:rsidR="00000000" w:rsidRDefault="00000000">
      <w:pPr>
        <w:spacing w:after="240"/>
        <w:rPr>
          <w:bCs/>
          <w:noProof/>
          <w:color w:val="000000"/>
          <w:szCs w:val="22"/>
        </w:rPr>
      </w:pPr>
      <w:r>
        <w:rPr>
          <w:bCs/>
          <w:noProof/>
          <w:color w:val="000000"/>
          <w:szCs w:val="22"/>
        </w:rPr>
        <w:t>13.</w:t>
      </w:r>
      <w:r>
        <w:rPr>
          <w:bCs/>
          <w:noProof/>
          <w:color w:val="000000"/>
          <w:szCs w:val="22"/>
        </w:rPr>
        <w:tab/>
        <w:t>Sin duda, como se verá en el documento, el Gobierno ha realizado un esfuerzo en materia de cumplimiento de los derechos de los niños y niñas, pero también reconoce que aún queda por generar en la sociedad un cambio cultural que permita que cada niño o niña sea considerado sujeto pleno de derechos.  Ese es nuestro desafío.</w:t>
      </w:r>
    </w:p>
    <w:p w:rsidR="00000000" w:rsidRDefault="00000000">
      <w:pPr>
        <w:spacing w:after="240"/>
        <w:rPr>
          <w:bCs/>
          <w:noProof/>
          <w:color w:val="000000"/>
          <w:szCs w:val="22"/>
        </w:rPr>
      </w:pPr>
      <w:r>
        <w:rPr>
          <w:bCs/>
          <w:noProof/>
          <w:color w:val="000000"/>
          <w:szCs w:val="22"/>
        </w:rPr>
        <w:t>14.</w:t>
      </w:r>
      <w:r>
        <w:rPr>
          <w:bCs/>
          <w:noProof/>
          <w:color w:val="000000"/>
          <w:szCs w:val="22"/>
        </w:rPr>
        <w:tab/>
        <w:t>El presente informe está organizado de acuerdo al documento del Comité de los Derechos del Niño, CRC/C/58, titulado "Orientaciones generales respecto de la forma y el contenido de los informes que han de presentar los Estados Partes con arreglo al apartado b) del párrafo 1 del artículo 44 de la Convención" (Informes periódicos).  Orientaciones que fueron aprobadas por el Comité de los Derechos del Niño en su 343ª sesión (13º período de sesiones), celebrada el 11 de octubre de 1996.  De acuerdo a lo anterior se hará referencia sólo a aquellos aspectos que hubiesen variado respecto del segundo informe.  Además, la información que tenga relación con diferentes secciones del informe sólo será mencionada una vez.</w:t>
      </w:r>
    </w:p>
    <w:p w:rsidR="00000000" w:rsidRDefault="00000000">
      <w:pPr>
        <w:spacing w:after="480"/>
        <w:rPr>
          <w:bCs/>
          <w:noProof/>
          <w:color w:val="000000"/>
          <w:szCs w:val="22"/>
        </w:rPr>
      </w:pPr>
      <w:r>
        <w:rPr>
          <w:bCs/>
          <w:noProof/>
          <w:color w:val="000000"/>
          <w:szCs w:val="22"/>
        </w:rPr>
        <w:tab/>
        <w:t>[Para facilitar la comprensión de los datos referidos a sumas de dinero, se ha hecho la conversión al tipo de cambio pesos -la moneda nacional- por dólar americano observado, publicado por el Banco Central de Chile (</w:t>
      </w:r>
      <w:hyperlink r:id="rId9" w:history="1">
        <w:r>
          <w:rPr>
            <w:rStyle w:val="Hyperlink"/>
            <w:bCs/>
            <w:szCs w:val="22"/>
          </w:rPr>
          <w:t>http://www.bcentral.cl)</w:t>
        </w:r>
      </w:hyperlink>
      <w:r>
        <w:rPr>
          <w:bCs/>
          <w:noProof/>
          <w:color w:val="000000"/>
          <w:szCs w:val="22"/>
        </w:rPr>
        <w:t>, correspondiente al promedio del mes de enero de 2004.]</w:t>
      </w:r>
    </w:p>
    <w:p w:rsidR="00000000" w:rsidRDefault="00000000">
      <w:pPr>
        <w:tabs>
          <w:tab w:val="left" w:pos="-1440"/>
        </w:tabs>
        <w:spacing w:after="240"/>
        <w:ind w:left="720" w:hanging="720"/>
        <w:jc w:val="center"/>
        <w:rPr>
          <w:b/>
          <w:noProof/>
          <w:color w:val="000000"/>
          <w:szCs w:val="22"/>
        </w:rPr>
      </w:pPr>
      <w:r>
        <w:rPr>
          <w:b/>
          <w:noProof/>
          <w:color w:val="000000"/>
          <w:szCs w:val="22"/>
        </w:rPr>
        <w:t>I.  MEDIDAS GENERALES DE APLICACIÓN</w:t>
      </w:r>
    </w:p>
    <w:p w:rsidR="00000000" w:rsidRDefault="00000000">
      <w:pPr>
        <w:spacing w:after="240"/>
        <w:rPr>
          <w:b/>
          <w:iCs/>
          <w:noProof/>
          <w:color w:val="000000"/>
          <w:szCs w:val="22"/>
        </w:rPr>
      </w:pPr>
      <w:r>
        <w:rPr>
          <w:b/>
          <w:iCs/>
          <w:noProof/>
          <w:color w:val="000000"/>
          <w:szCs w:val="22"/>
        </w:rPr>
        <w:t>Párrafo 12.  Informes periódicos - CRC/C/58</w:t>
      </w:r>
    </w:p>
    <w:p w:rsidR="00000000" w:rsidRDefault="00000000">
      <w:pPr>
        <w:spacing w:after="240"/>
        <w:rPr>
          <w:bCs/>
          <w:noProof/>
          <w:color w:val="000000"/>
          <w:szCs w:val="22"/>
        </w:rPr>
      </w:pPr>
      <w:r>
        <w:rPr>
          <w:bCs/>
          <w:noProof/>
          <w:color w:val="000000"/>
          <w:szCs w:val="22"/>
        </w:rPr>
        <w:t>15.</w:t>
      </w:r>
      <w:r>
        <w:rPr>
          <w:bCs/>
          <w:noProof/>
          <w:color w:val="000000"/>
          <w:szCs w:val="22"/>
        </w:rPr>
        <w:tab/>
        <w:t>Respecto de las medidas generales de aplicación, y tomando en cuenta las observaciones finales del Comité de los Derechos del Niño, al segundo informe</w:t>
      </w:r>
      <w:r>
        <w:rPr>
          <w:rStyle w:val="FootnoteReference"/>
          <w:bCs/>
          <w:noProof/>
          <w:color w:val="000000"/>
          <w:szCs w:val="22"/>
        </w:rPr>
        <w:footnoteReference w:id="3"/>
      </w:r>
      <w:r>
        <w:rPr>
          <w:bCs/>
          <w:noProof/>
          <w:color w:val="000000"/>
          <w:szCs w:val="22"/>
        </w:rPr>
        <w:t xml:space="preserve"> de Chile, en las que se señala como motivo de preocupación la vigencia de la Ley de menores Nº 16.618 y que no se hubieran presentado al Congreso los proyectos de "Protección de derechos de los niños y niñas" y de "Responsabilidad penal juvenil", se debe señalar que desde el año 2000, el Gobierno de Chile impulsa, a través del Ministerio de Justicia y el Servicio Nacional de Menores (SENAME) una reforma al sistema de justicia y protección de los derechos de los niños y niñas en Chile, la que contempla un conjunto de iniciativas legislativas, administrativas e institucionales a fin de adecuar el actual sistema de protección a la Convención sobre los Derechos del Niño.  Los avances legislativos en este ámbito entre los años 1998 y 2003 son los siguientes:</w:t>
      </w:r>
    </w:p>
    <w:p w:rsidR="00000000" w:rsidRDefault="00000000">
      <w:pPr>
        <w:spacing w:after="240"/>
        <w:ind w:left="1134" w:hanging="567"/>
        <w:rPr>
          <w:bCs/>
          <w:noProof/>
          <w:color w:val="000000"/>
          <w:szCs w:val="22"/>
        </w:rPr>
      </w:pPr>
      <w:r>
        <w:rPr>
          <w:bCs/>
          <w:noProof/>
          <w:color w:val="000000"/>
          <w:szCs w:val="22"/>
        </w:rPr>
        <w:t>a)</w:t>
      </w:r>
      <w:r>
        <w:rPr>
          <w:bCs/>
          <w:noProof/>
          <w:color w:val="000000"/>
          <w:szCs w:val="22"/>
        </w:rPr>
        <w:tab/>
        <w:t>El 2 de agosto de 2002, el Poder Ejecutivo presentó al Congreso Nacional el "Proyecto de ley que establece un sistema de responsabilidad de los adolescentes por infracciones a la Ley penal".  El proyecto fue aprobado por la Cámara de Diputados y comprende un procedimiento especializado para la investigación y establecimiento de la responsabilidad de los adolescentes entre 14 y los 18 años de edad que cometen delitos, la delimitación de las infracciones a la Ley penal, los derechos y garantías de los adolescentes que han infringido la Ley penal, y sanciones privativas y no privativas de libertad.  Tiene como objetivos, entre otros, suprimir el sistema de declaración de discernimiento, introducir todas las garantías penales y procesales establecidas para los adultos en el nuevo sistema procesal penal; aplicar para la franja de la criminalidad menos grave -que en el caso de las infracciones juveniles a la Ley penal constituye la mayoría de las causas- medidas socioeducativas alternativas a la privación de libertad y reservar la privación de libertad sólo para los casos extremos en que se incurra en delitos tipificados como graves; y controlar la ejecución de las medidas impuestas.</w:t>
      </w:r>
    </w:p>
    <w:p w:rsidR="00000000" w:rsidRDefault="00000000">
      <w:pPr>
        <w:spacing w:after="240"/>
        <w:ind w:left="1134" w:hanging="567"/>
        <w:rPr>
          <w:bCs/>
          <w:noProof/>
          <w:color w:val="000000"/>
          <w:szCs w:val="22"/>
        </w:rPr>
      </w:pPr>
      <w:r>
        <w:rPr>
          <w:bCs/>
          <w:noProof/>
          <w:color w:val="000000"/>
          <w:szCs w:val="22"/>
        </w:rPr>
        <w:t>b)</w:t>
      </w:r>
      <w:r>
        <w:rPr>
          <w:bCs/>
          <w:noProof/>
          <w:color w:val="000000"/>
          <w:szCs w:val="22"/>
        </w:rPr>
        <w:tab/>
        <w:t>En el año 2000, entró en vigencia un nuevo Código Procesal Penal, que sustituye al actual sistema procesal penal en todo el país.  En lo que dice en relación a los adolescentes inculpados de infringir la Ley penal, la reforma procesal penal ha significado el reconocimiento de las garantías constitucionales y legales tradicionalmente vedados a ellos y, en especial, aquéllas reconocidas en el artículo 40 de la Convención sobre los Derechos del Niño.</w:t>
      </w:r>
    </w:p>
    <w:p w:rsidR="00000000" w:rsidRDefault="00000000">
      <w:pPr>
        <w:spacing w:after="240"/>
        <w:ind w:left="1134" w:hanging="567"/>
        <w:rPr>
          <w:bCs/>
          <w:noProof/>
          <w:color w:val="000000"/>
          <w:szCs w:val="22"/>
        </w:rPr>
      </w:pPr>
      <w:r>
        <w:rPr>
          <w:bCs/>
          <w:noProof/>
          <w:color w:val="000000"/>
          <w:szCs w:val="22"/>
        </w:rPr>
        <w:t>c)</w:t>
      </w:r>
      <w:r>
        <w:rPr>
          <w:bCs/>
          <w:noProof/>
          <w:color w:val="000000"/>
          <w:szCs w:val="22"/>
        </w:rPr>
        <w:tab/>
        <w:t>Con fecha 31 de mayo de 2002, se aprobó la Ley Nº 19.806, que introduce normas adecuatorias a la reforma procesal penal y modifica, entre otros cuerpos legales, la Ley de menores Nº 16.618.  Dichas modificaciones han consagrado una incipiente separación de vías entre los procedimientos y respuestas aplicables a los niños y niñas a quienes se imputa haber cometido un delito, de aquéllas aplicables a los niños y niñas amenazados o vulnerados en sus derechos.  Antes de la modificación legal, se especificaba un catálogo único de medidas de protección, aplicables en principio indistintamente a los niños y niñas inimputables y a aquéllos con necesidad de asistencia y protección.  Entre otros aspectos, la Ley Nº 19.806 distingue claramente los procedimientos policiales que pueden adoptarse entre adolescentes que han infringido la Ley penal, y la intervención en caso de niños y niñas vulnerados en sus derechos.</w:t>
      </w:r>
    </w:p>
    <w:p w:rsidR="00000000" w:rsidRDefault="00000000">
      <w:pPr>
        <w:tabs>
          <w:tab w:val="left" w:pos="-1440"/>
        </w:tabs>
        <w:spacing w:after="240"/>
        <w:ind w:left="1491" w:hanging="357"/>
        <w:rPr>
          <w:bCs/>
          <w:noProof/>
          <w:color w:val="000000"/>
          <w:szCs w:val="22"/>
        </w:rPr>
      </w:pPr>
      <w:r>
        <w:rPr>
          <w:bCs/>
          <w:noProof/>
          <w:color w:val="000000"/>
          <w:szCs w:val="22"/>
        </w:rPr>
        <w:t>-</w:t>
      </w:r>
      <w:r>
        <w:rPr>
          <w:bCs/>
          <w:noProof/>
          <w:color w:val="000000"/>
          <w:szCs w:val="22"/>
        </w:rPr>
        <w:tab/>
        <w:t>Se reemplaza la hipótesis de intervención de la judicatura de menores, consistente en el "peligro material o moral" y en su lugar se dispone que le corresponderá a los jueces de menores "conocer de todos los asuntos en que aparezcan menores de edad gravemente vulnerados o amenazados en sus derechos".</w:t>
      </w:r>
    </w:p>
    <w:p w:rsidR="00000000" w:rsidRDefault="00000000">
      <w:pPr>
        <w:tabs>
          <w:tab w:val="left" w:pos="-1440"/>
        </w:tabs>
        <w:spacing w:after="240"/>
        <w:ind w:left="1491" w:hanging="357"/>
        <w:rPr>
          <w:bCs/>
          <w:noProof/>
          <w:color w:val="000000"/>
          <w:szCs w:val="22"/>
        </w:rPr>
      </w:pPr>
      <w:r>
        <w:rPr>
          <w:bCs/>
          <w:noProof/>
          <w:color w:val="000000"/>
          <w:szCs w:val="22"/>
        </w:rPr>
        <w:t>-</w:t>
      </w:r>
      <w:r>
        <w:rPr>
          <w:bCs/>
          <w:noProof/>
          <w:color w:val="000000"/>
          <w:szCs w:val="22"/>
        </w:rPr>
        <w:tab/>
        <w:t>Con relación a las medidas que pueden aplicarse se establecen medidas diferenciadas a infractores de la ley y a los niños y niñas gravemente vulnerados en sus derechos.</w:t>
      </w:r>
    </w:p>
    <w:p w:rsidR="00000000" w:rsidRDefault="00000000">
      <w:pPr>
        <w:keepLines/>
        <w:tabs>
          <w:tab w:val="left" w:pos="-1440"/>
        </w:tabs>
        <w:spacing w:after="240"/>
        <w:ind w:left="1491" w:hanging="357"/>
        <w:rPr>
          <w:bCs/>
          <w:noProof/>
          <w:color w:val="000000"/>
          <w:szCs w:val="22"/>
        </w:rPr>
      </w:pPr>
      <w:r>
        <w:rPr>
          <w:bCs/>
          <w:noProof/>
          <w:color w:val="000000"/>
          <w:szCs w:val="22"/>
        </w:rPr>
        <w:t>-</w:t>
      </w:r>
      <w:r>
        <w:rPr>
          <w:bCs/>
          <w:noProof/>
          <w:color w:val="000000"/>
          <w:szCs w:val="22"/>
        </w:rPr>
        <w:tab/>
        <w:t xml:space="preserve">Se modificó la definición de las Casas de Menores, distinguiendo </w:t>
      </w:r>
      <w:r>
        <w:rPr>
          <w:bCs/>
          <w:noProof/>
          <w:szCs w:val="22"/>
        </w:rPr>
        <w:t>entre aquéllas a las que asisten</w:t>
      </w:r>
      <w:r>
        <w:rPr>
          <w:bCs/>
          <w:noProof/>
          <w:color w:val="000000"/>
          <w:szCs w:val="22"/>
        </w:rPr>
        <w:t xml:space="preserve"> adolescentes imputados de la comisión de hechos punibles (que ingresarán a instituciones llamadas Centros de Observación y Diagnóstico, COD o Centros de Rehabilitación Conductual, CERECO), y aquéllos gravemente amenazados o vulnerados en sus derechos (que ingresarán a instituciones llamadas Centros de Tránsito y Distribución, CTD).</w:t>
      </w:r>
    </w:p>
    <w:p w:rsidR="00000000" w:rsidRDefault="00000000">
      <w:pPr>
        <w:tabs>
          <w:tab w:val="left" w:pos="-1440"/>
        </w:tabs>
        <w:spacing w:after="240"/>
        <w:ind w:left="1491" w:hanging="357"/>
        <w:rPr>
          <w:bCs/>
          <w:noProof/>
          <w:color w:val="000000"/>
          <w:szCs w:val="22"/>
        </w:rPr>
      </w:pPr>
      <w:r>
        <w:rPr>
          <w:bCs/>
          <w:noProof/>
          <w:color w:val="000000"/>
          <w:szCs w:val="22"/>
        </w:rPr>
        <w:t>-</w:t>
      </w:r>
      <w:r>
        <w:rPr>
          <w:bCs/>
          <w:noProof/>
          <w:color w:val="000000"/>
          <w:szCs w:val="22"/>
        </w:rPr>
        <w:tab/>
        <w:t>Modifica la Ley Nº 19.324, sobre maltrato de menores en el ámbito extrafamiliar, estableciendo su radicación en los tribunales con competencia criminal, debido al término de la competencia penal de los Tribunales de Menores.</w:t>
      </w:r>
    </w:p>
    <w:p w:rsidR="00000000" w:rsidRDefault="00000000">
      <w:pPr>
        <w:spacing w:after="240"/>
        <w:ind w:left="1134" w:hanging="567"/>
        <w:rPr>
          <w:bCs/>
          <w:noProof/>
          <w:color w:val="000000"/>
          <w:szCs w:val="22"/>
        </w:rPr>
      </w:pPr>
      <w:r>
        <w:rPr>
          <w:bCs/>
          <w:noProof/>
          <w:color w:val="000000"/>
          <w:szCs w:val="22"/>
        </w:rPr>
        <w:t>d)</w:t>
      </w:r>
      <w:r>
        <w:rPr>
          <w:bCs/>
          <w:noProof/>
          <w:color w:val="000000"/>
          <w:szCs w:val="22"/>
        </w:rPr>
        <w:tab/>
        <w:t xml:space="preserve">En cuanto a la protección de los derechos de los niños y niñas, se encuentra en el Parlamento un </w:t>
      </w:r>
      <w:r>
        <w:rPr>
          <w:bCs/>
          <w:noProof/>
          <w:szCs w:val="22"/>
        </w:rPr>
        <w:t>proyecto de ley sobre protección de los</w:t>
      </w:r>
      <w:r>
        <w:rPr>
          <w:bCs/>
          <w:noProof/>
          <w:color w:val="000000"/>
          <w:szCs w:val="22"/>
        </w:rPr>
        <w:t xml:space="preserve"> derechos de los niños y niñas, que adecuará la legislación vigente al marco de la Convención sobre los Derechos del Niño, la Constitución Política de la República, y los tratados internacionales ratificados por Chile y que reemplazará a la actual Ley de menores Nº 16.618.  El objetivo del proyecto es reconocer derechos a la infancia que deben ser protegidos, y los niveles de responsabilidad del Estado, la familia y la comunidad al respecto.  También se establecen mecanismos de carácter administrativo y judicial de protección que permiten ejercer efectivamente los derechos de los niños y niñas o restituirlos cuando ellos han sido vulnerados.</w:t>
      </w:r>
    </w:p>
    <w:p w:rsidR="00000000" w:rsidRDefault="00000000">
      <w:pPr>
        <w:spacing w:after="240"/>
        <w:ind w:left="1134" w:hanging="567"/>
        <w:rPr>
          <w:bCs/>
          <w:noProof/>
          <w:szCs w:val="22"/>
        </w:rPr>
      </w:pPr>
      <w:r>
        <w:rPr>
          <w:bCs/>
          <w:noProof/>
          <w:color w:val="000000"/>
          <w:szCs w:val="22"/>
        </w:rPr>
        <w:t>e)</w:t>
      </w:r>
      <w:r>
        <w:rPr>
          <w:bCs/>
          <w:noProof/>
          <w:color w:val="000000"/>
          <w:szCs w:val="22"/>
        </w:rPr>
        <w:tab/>
        <w:t xml:space="preserve">En el año 2004 </w:t>
      </w:r>
      <w:r>
        <w:rPr>
          <w:bCs/>
          <w:noProof/>
          <w:szCs w:val="22"/>
        </w:rPr>
        <w:t>se dictó la Ley Nº 19.968 que crea los tribunales de familia.  Estos concentran todos los problemas de familia y su resolución en una instancia jurisdiccional especializada</w:t>
      </w:r>
      <w:r>
        <w:rPr>
          <w:bCs/>
          <w:noProof/>
          <w:color w:val="000000"/>
          <w:szCs w:val="22"/>
        </w:rPr>
        <w:t>, lo que se complementa con la creación de un sistema alternativo de resolución de los conflictos (mediación), que se lleva a cabo en una instancia externa al tribunal y al poder judicial.  Además, la ley establece procedimientos jurisdiccionales en la protección de los derechos de los niños y niñas.</w:t>
      </w:r>
    </w:p>
    <w:p w:rsidR="00000000" w:rsidRDefault="00000000">
      <w:pPr>
        <w:spacing w:after="240"/>
        <w:ind w:left="1134" w:hanging="567"/>
        <w:rPr>
          <w:bCs/>
          <w:noProof/>
          <w:color w:val="000000"/>
          <w:szCs w:val="22"/>
        </w:rPr>
      </w:pPr>
      <w:r>
        <w:rPr>
          <w:bCs/>
          <w:noProof/>
          <w:szCs w:val="22"/>
        </w:rPr>
        <w:t>f)</w:t>
      </w:r>
      <w:r>
        <w:rPr>
          <w:bCs/>
          <w:noProof/>
          <w:szCs w:val="22"/>
        </w:rPr>
        <w:tab/>
        <w:t xml:space="preserve">Se aprobó en el 2005 la Ley que establece un nuevo sistema de atención a la niñez y adolescencia de la red SENAME y su régimen de </w:t>
      </w:r>
      <w:r>
        <w:rPr>
          <w:bCs/>
          <w:noProof/>
          <w:color w:val="000000"/>
          <w:szCs w:val="22"/>
        </w:rPr>
        <w:t>subvenciones</w:t>
      </w:r>
      <w:r>
        <w:rPr>
          <w:bCs/>
          <w:noProof/>
          <w:szCs w:val="22"/>
        </w:rPr>
        <w:t>, el cual favorece la desinstitucionalización y la atención de los niños y niñas en ambiente familiar.  La Ley de subvenciones crea algunos programas nuevos en la línea de protección de der</w:t>
      </w:r>
      <w:r>
        <w:rPr>
          <w:bCs/>
          <w:noProof/>
          <w:color w:val="000000"/>
          <w:szCs w:val="22"/>
        </w:rPr>
        <w:t>echos e incentiva la creación de sistemas diagnósticos ambulatorios.  Todas estas nuevas iniciativas han comenzado a implementarse antes de la aprobación del proyecto, en lo que se ha denominado transición del SENAME, cuya fecha de inicio es el año 2000, prolongándose hasta el año 2003, inclusive.</w:t>
      </w:r>
    </w:p>
    <w:p w:rsidR="00000000" w:rsidRDefault="00000000">
      <w:pPr>
        <w:spacing w:after="240"/>
        <w:rPr>
          <w:bCs/>
          <w:noProof/>
          <w:color w:val="000000"/>
          <w:szCs w:val="22"/>
        </w:rPr>
      </w:pPr>
      <w:r>
        <w:rPr>
          <w:bCs/>
          <w:noProof/>
          <w:color w:val="000000"/>
          <w:szCs w:val="22"/>
        </w:rPr>
        <w:t>16.</w:t>
      </w:r>
      <w:r>
        <w:rPr>
          <w:bCs/>
          <w:noProof/>
          <w:color w:val="000000"/>
          <w:szCs w:val="22"/>
        </w:rPr>
        <w:tab/>
        <w:t>Otras leyes de importancia publicadas a partir del año 1998 en el ámbito de la protección de los derechos de los niños y niñas y de la legislación de familia, han sido:</w:t>
      </w:r>
    </w:p>
    <w:p w:rsidR="00000000" w:rsidRDefault="00000000">
      <w:pPr>
        <w:spacing w:after="240"/>
        <w:ind w:left="1134" w:hanging="567"/>
        <w:rPr>
          <w:bCs/>
          <w:noProof/>
          <w:color w:val="000000"/>
          <w:szCs w:val="22"/>
        </w:rPr>
      </w:pPr>
      <w:r>
        <w:rPr>
          <w:bCs/>
          <w:noProof/>
          <w:color w:val="000000"/>
          <w:szCs w:val="22"/>
        </w:rPr>
        <w:t>a)</w:t>
      </w:r>
      <w:r>
        <w:rPr>
          <w:bCs/>
          <w:noProof/>
          <w:color w:val="000000"/>
          <w:szCs w:val="22"/>
        </w:rPr>
        <w:tab/>
        <w:t>Ley N°19.585 sobre filiación, publicada en octubre del año 1998, que eliminó las tres categorías de hijos vigentes en la legislación civil (legítimo, natural e ilegítimo) y la discriminación de tratamiento que consagraba entre ellos.  Esta ley se comentó en el segundo informe.</w:t>
      </w:r>
    </w:p>
    <w:p w:rsidR="00000000" w:rsidRDefault="00000000">
      <w:pPr>
        <w:keepLines/>
        <w:spacing w:after="240"/>
        <w:ind w:left="1134" w:hanging="567"/>
        <w:rPr>
          <w:bCs/>
          <w:noProof/>
          <w:color w:val="000000"/>
          <w:szCs w:val="22"/>
        </w:rPr>
      </w:pPr>
      <w:r>
        <w:rPr>
          <w:bCs/>
          <w:noProof/>
          <w:color w:val="000000"/>
          <w:szCs w:val="22"/>
        </w:rPr>
        <w:t>b)</w:t>
      </w:r>
      <w:r>
        <w:rPr>
          <w:bCs/>
          <w:noProof/>
          <w:color w:val="000000"/>
          <w:szCs w:val="22"/>
        </w:rPr>
        <w:tab/>
        <w:t>Ley N°19.591, que modifica normas del Código de Trabajo en materia de protección a la maternidad (publicada en 1998).  Esta ley prohíbe a los empleadores condicionar la incorporación, permanencia o promoción en el empleo, a la ausencia o existencia de cualquier tipo de examen o certificado destinado a comprobar la inexistencia de embarazo; hace extensivo el fuero de maternidad a las trabajadoras de casas particulares; y amplía el beneficio de salas cunas a las trabajadoras de cadenas de empresas.</w:t>
      </w:r>
    </w:p>
    <w:p w:rsidR="00000000" w:rsidRDefault="00000000">
      <w:pPr>
        <w:spacing w:after="240"/>
        <w:ind w:left="1134" w:hanging="567"/>
        <w:rPr>
          <w:bCs/>
          <w:noProof/>
          <w:color w:val="000000"/>
          <w:szCs w:val="22"/>
        </w:rPr>
      </w:pPr>
      <w:r>
        <w:rPr>
          <w:bCs/>
          <w:noProof/>
          <w:color w:val="000000"/>
          <w:szCs w:val="22"/>
        </w:rPr>
        <w:t>c)</w:t>
      </w:r>
      <w:r>
        <w:rPr>
          <w:bCs/>
          <w:noProof/>
          <w:color w:val="000000"/>
          <w:szCs w:val="22"/>
        </w:rPr>
        <w:tab/>
        <w:t>Ley N°19.620 que dicta normas sobre la adopción de menores (año 1999).  Esta ley establece la igualdad de derechos de los hijos adoptivos; elimina las diferencias existentes entre la adopción plena y la simple; establece una preferencia para los matrimonios chilenos con voluntad y aptitud para adoptar por sobre los extranjeros; contempla un procedimiento previo y separado para la declaración de abandono y uno posterior para la constitución de la adopción, en el que no cabe la oposición de terceros; establece causales para solicitar la declaración de que un niño o niña es susceptible de ser adoptado; tipifica como delito el cobro indebido para la entrega de un menor para ser adoptado.</w:t>
      </w:r>
    </w:p>
    <w:p w:rsidR="00000000" w:rsidRDefault="00000000">
      <w:pPr>
        <w:spacing w:after="240"/>
        <w:ind w:left="1134" w:hanging="567"/>
        <w:rPr>
          <w:bCs/>
          <w:noProof/>
          <w:color w:val="000000"/>
          <w:szCs w:val="22"/>
        </w:rPr>
      </w:pPr>
      <w:r>
        <w:rPr>
          <w:bCs/>
          <w:noProof/>
          <w:color w:val="000000"/>
          <w:szCs w:val="22"/>
        </w:rPr>
        <w:t>d)</w:t>
      </w:r>
      <w:r>
        <w:rPr>
          <w:bCs/>
          <w:noProof/>
          <w:color w:val="000000"/>
          <w:szCs w:val="22"/>
        </w:rPr>
        <w:tab/>
        <w:t>En agosto de 1999, el Gobierno suscribió la Convención sobre Protección del Niño y Cooperación en Materia de Adopción Internacional, de La Haya, que significa contar con una completa regulación en materia de las adopciones internacionales.  Tanto esta Convención como la nueva Ley de adopción, otorgan al SENAME las funciones de órgano regulador en la materia a nivel nacional.</w:t>
      </w:r>
    </w:p>
    <w:p w:rsidR="00000000" w:rsidRDefault="00000000">
      <w:pPr>
        <w:spacing w:after="240"/>
        <w:ind w:left="1134" w:hanging="567"/>
        <w:rPr>
          <w:bCs/>
          <w:noProof/>
          <w:color w:val="000000"/>
          <w:szCs w:val="22"/>
        </w:rPr>
      </w:pPr>
      <w:r>
        <w:rPr>
          <w:bCs/>
          <w:noProof/>
          <w:color w:val="000000"/>
          <w:szCs w:val="22"/>
        </w:rPr>
        <w:t>e)</w:t>
      </w:r>
      <w:r>
        <w:rPr>
          <w:bCs/>
          <w:noProof/>
          <w:color w:val="000000"/>
          <w:szCs w:val="22"/>
        </w:rPr>
        <w:tab/>
        <w:t>Ley de delitos sexuales, Nº 19.617, del año 1999, que amplía la tipificación de delitos sexuales; facilita su acreditación; agiliza la atención médica; protege de mejor manera a las víctimas; y elimina los careos con los agresores.  Teniendo en cuenta que la mayoría de los abusos sexuales son cometidos contra niños y niñas de 12 años, la ley ha concentrado la mayor gravedad de las sanciones en caso de víctimas menores de edad y ha agravado la sanción si se comete por personas vinculadas a éstas.</w:t>
      </w:r>
    </w:p>
    <w:p w:rsidR="00000000" w:rsidRDefault="00000000">
      <w:pPr>
        <w:spacing w:after="240"/>
        <w:ind w:left="1134" w:hanging="567"/>
        <w:rPr>
          <w:bCs/>
          <w:noProof/>
          <w:color w:val="000000"/>
          <w:szCs w:val="22"/>
        </w:rPr>
      </w:pPr>
      <w:r>
        <w:rPr>
          <w:bCs/>
          <w:noProof/>
          <w:color w:val="000000"/>
          <w:szCs w:val="22"/>
        </w:rPr>
        <w:t>f)</w:t>
      </w:r>
      <w:r>
        <w:rPr>
          <w:bCs/>
          <w:noProof/>
          <w:color w:val="000000"/>
          <w:szCs w:val="22"/>
        </w:rPr>
        <w:tab/>
        <w:t>En enero del año 2004 la Ley N°19.927 modificó el Código Penal, el Código de Procedimiento Penal y el Código Procesal Penal en materia de delitos de pornografía infantil.  Un avance en esta materia se había introducido anteriormente a través de la Ley N° 19.846 sobre calificación de la producción cinematográfica, sancionando la conducta de participación en la producción de material pornográfico en que hayan sido utilizados menores de 18 años, así como la exhibición, importación, distribución o comercialización de dicho material.</w:t>
      </w:r>
    </w:p>
    <w:p w:rsidR="00000000" w:rsidRDefault="00000000">
      <w:pPr>
        <w:spacing w:after="240"/>
        <w:ind w:left="1134" w:hanging="567"/>
        <w:rPr>
          <w:bCs/>
          <w:noProof/>
          <w:color w:val="000000"/>
          <w:szCs w:val="22"/>
        </w:rPr>
      </w:pPr>
      <w:r>
        <w:rPr>
          <w:bCs/>
          <w:noProof/>
          <w:color w:val="000000"/>
          <w:szCs w:val="22"/>
        </w:rPr>
        <w:t>g)</w:t>
      </w:r>
      <w:r>
        <w:rPr>
          <w:bCs/>
          <w:noProof/>
          <w:color w:val="000000"/>
          <w:szCs w:val="22"/>
        </w:rPr>
        <w:tab/>
        <w:t>Ley Nº 19.688 de 2000, que modifica la Ley Orgánica Constitucional de Enseñanza prohibiendo que el embarazo o la maternidad constituyan un impedimento para ingresar o permanecer en establecimientos educacionales de cualquier nivel e impone a éstos la obligación de otorgar todas las facilidades académicas a embarazadas o que sean madres de lactantes.</w:t>
      </w:r>
    </w:p>
    <w:p w:rsidR="00000000" w:rsidRDefault="00000000">
      <w:pPr>
        <w:keepLines/>
        <w:spacing w:after="240"/>
        <w:ind w:left="1134" w:hanging="567"/>
        <w:rPr>
          <w:bCs/>
          <w:noProof/>
          <w:color w:val="000000"/>
          <w:szCs w:val="22"/>
        </w:rPr>
      </w:pPr>
      <w:r>
        <w:rPr>
          <w:bCs/>
          <w:noProof/>
          <w:color w:val="000000"/>
          <w:szCs w:val="22"/>
        </w:rPr>
        <w:t>h)</w:t>
      </w:r>
      <w:r>
        <w:rPr>
          <w:bCs/>
          <w:noProof/>
          <w:color w:val="000000"/>
          <w:szCs w:val="22"/>
        </w:rPr>
        <w:tab/>
        <w:t>Ley Nº 19.712 publicada el año 2001, denominada Ley del deporte.  Esta ley reconoce como sujeto de derecho prioritario a los niños y niñas para acceder a todas las actividades físicas y deportivas que el Estado se obliga a desarrollar mediante una política nacional del deporte.  Ello con el fin de facilitar el acceso de la población, especialmente niños y niñas, discapacitados en edad escolar, a un mejor desarrollo físico y espiritual.</w:t>
      </w:r>
    </w:p>
    <w:p w:rsidR="00000000" w:rsidRDefault="00000000">
      <w:pPr>
        <w:spacing w:after="240"/>
        <w:ind w:left="1134" w:hanging="567"/>
        <w:rPr>
          <w:bCs/>
          <w:noProof/>
          <w:color w:val="000000"/>
          <w:szCs w:val="22"/>
        </w:rPr>
      </w:pPr>
      <w:r>
        <w:rPr>
          <w:bCs/>
          <w:noProof/>
          <w:color w:val="000000"/>
          <w:szCs w:val="22"/>
        </w:rPr>
        <w:t>i)</w:t>
      </w:r>
      <w:r>
        <w:rPr>
          <w:bCs/>
          <w:noProof/>
          <w:color w:val="000000"/>
          <w:szCs w:val="22"/>
        </w:rPr>
        <w:tab/>
        <w:t>La Ley Nº 19.814 de 15 de julio de 2002, que modificó la Ley sobre alcoholes, bebidas alcohólicas y vinagres, en lo relativo al consumo de alcohol en la vía pública.  Se agregó el artículo 116, norma que obliga a la policía a conducir al niño o niña involucrado en esta situación, al cuartel policial o a su domicilio, con la finalidad de devolverlo a sus padres o a la persona encargada de su cuidado, siempre que ésta fuere mayor de edad.</w:t>
      </w:r>
    </w:p>
    <w:p w:rsidR="00000000" w:rsidRDefault="00000000">
      <w:pPr>
        <w:spacing w:after="240"/>
        <w:ind w:left="1134" w:hanging="567"/>
        <w:rPr>
          <w:bCs/>
          <w:noProof/>
          <w:color w:val="000000"/>
          <w:szCs w:val="22"/>
        </w:rPr>
      </w:pPr>
      <w:r>
        <w:rPr>
          <w:bCs/>
          <w:noProof/>
          <w:color w:val="000000"/>
          <w:szCs w:val="22"/>
        </w:rPr>
        <w:t>j)</w:t>
      </w:r>
      <w:r>
        <w:rPr>
          <w:bCs/>
          <w:noProof/>
          <w:color w:val="000000"/>
          <w:szCs w:val="22"/>
        </w:rPr>
        <w:tab/>
        <w:t>La Ley Nº 19.876, de 7 de mayo de 2003, el Presidente de la República, promulgó la reforma constitucional que establece la enseñanza media obligatoria y gratuita, entregando al Estado la responsabilidad de garantizar el acceso a este nivel educacional para todos los chilenos hasta los 21 años de edad.  De este modo, el Gobierno busca lograr que los niños y niñas tengan un mínimo de 12 años de escolaridad.</w:t>
      </w:r>
    </w:p>
    <w:p w:rsidR="00000000" w:rsidRDefault="00000000">
      <w:pPr>
        <w:spacing w:after="240"/>
        <w:ind w:left="1134" w:hanging="567"/>
        <w:rPr>
          <w:bCs/>
          <w:noProof/>
          <w:color w:val="000000"/>
          <w:szCs w:val="22"/>
        </w:rPr>
      </w:pPr>
      <w:r>
        <w:rPr>
          <w:bCs/>
          <w:noProof/>
          <w:color w:val="000000"/>
          <w:szCs w:val="22"/>
        </w:rPr>
        <w:t>k)</w:t>
      </w:r>
      <w:r>
        <w:rPr>
          <w:bCs/>
          <w:noProof/>
          <w:color w:val="000000"/>
          <w:szCs w:val="22"/>
        </w:rPr>
        <w:tab/>
        <w:t>La Ley Nº 19.874 de 13 de mayo de 2003, facilita la denuncia en caso de atentados sexuales y permite una mejor investigación de estos delitos.</w:t>
      </w:r>
    </w:p>
    <w:p w:rsidR="00000000" w:rsidRDefault="00000000">
      <w:pPr>
        <w:spacing w:after="240"/>
        <w:ind w:left="1134" w:hanging="567"/>
        <w:rPr>
          <w:bCs/>
          <w:noProof/>
          <w:color w:val="000000"/>
          <w:szCs w:val="22"/>
        </w:rPr>
      </w:pPr>
      <w:r>
        <w:rPr>
          <w:bCs/>
          <w:noProof/>
          <w:color w:val="000000"/>
          <w:szCs w:val="22"/>
        </w:rPr>
        <w:t>l)</w:t>
      </w:r>
      <w:r>
        <w:rPr>
          <w:bCs/>
          <w:noProof/>
          <w:color w:val="000000"/>
          <w:szCs w:val="22"/>
        </w:rPr>
        <w:tab/>
        <w:t>La Ley Nº 19.947 de matrimonio civil, aprobada el 11 de marzo del 2004, elevó la edad mínima para contraer matrimonio de los 12 años para las mujeres y 14 para los hombres, a los 16 años, sin distinción entre hombres y mujeres.</w:t>
      </w:r>
    </w:p>
    <w:p w:rsidR="00000000" w:rsidRDefault="00000000">
      <w:pPr>
        <w:spacing w:after="240"/>
        <w:rPr>
          <w:bCs/>
          <w:noProof/>
          <w:color w:val="000000"/>
          <w:szCs w:val="22"/>
        </w:rPr>
      </w:pPr>
      <w:r>
        <w:rPr>
          <w:bCs/>
          <w:noProof/>
          <w:color w:val="000000"/>
          <w:szCs w:val="22"/>
        </w:rPr>
        <w:t>17.</w:t>
      </w:r>
      <w:r>
        <w:rPr>
          <w:bCs/>
          <w:noProof/>
          <w:color w:val="000000"/>
          <w:szCs w:val="22"/>
        </w:rPr>
        <w:tab/>
        <w:t>Aún se encuentran pendientes importantes reformas legislativas que constituyen, actualmente, un obstáculo al cumplimiento de los derechos de los niños y niñas en Chile en especial la tramitación del proyecto de ley que establece un sistema de protección de derechos para los niños y niñas de nuestro país, con lo cual finalizará la vigencia de la actual Ley de menores.</w:t>
      </w:r>
    </w:p>
    <w:p w:rsidR="00000000" w:rsidRDefault="00000000">
      <w:pPr>
        <w:spacing w:after="240"/>
        <w:rPr>
          <w:b/>
          <w:iCs/>
          <w:noProof/>
          <w:color w:val="000000"/>
          <w:szCs w:val="22"/>
        </w:rPr>
      </w:pPr>
      <w:r>
        <w:rPr>
          <w:b/>
          <w:iCs/>
          <w:noProof/>
          <w:color w:val="000000"/>
          <w:szCs w:val="22"/>
        </w:rPr>
        <w:t>Párrafo 17.  Informes periódicos - CRC/C/58</w:t>
      </w:r>
    </w:p>
    <w:p w:rsidR="00000000" w:rsidRDefault="00000000">
      <w:pPr>
        <w:spacing w:after="240"/>
        <w:rPr>
          <w:bCs/>
          <w:noProof/>
          <w:color w:val="000000"/>
          <w:szCs w:val="22"/>
        </w:rPr>
      </w:pPr>
      <w:r>
        <w:rPr>
          <w:bCs/>
          <w:noProof/>
          <w:color w:val="000000"/>
          <w:szCs w:val="22"/>
        </w:rPr>
        <w:t>18.</w:t>
      </w:r>
      <w:r>
        <w:rPr>
          <w:bCs/>
          <w:noProof/>
          <w:color w:val="000000"/>
          <w:szCs w:val="22"/>
        </w:rPr>
        <w:tab/>
        <w:t>En el año 2001, el Presidente de la República promulgó la "Política Nacional y el Plan de Acción Integrado a favor de la Infancia y la Adolescencia 2001</w:t>
      </w:r>
      <w:r>
        <w:rPr>
          <w:bCs/>
          <w:noProof/>
          <w:color w:val="000000"/>
          <w:szCs w:val="22"/>
        </w:rPr>
        <w:noBreakHyphen/>
        <w:t>2010", con ello el Gobierno asumió un compromiso con el desarrollo de una política garantista, que apuesta al reconocimiento y respeto de los derechos de niños y niñas.  Los ejes estratégicos de la Política son:</w:t>
      </w:r>
    </w:p>
    <w:p w:rsidR="00000000" w:rsidRDefault="00000000">
      <w:pPr>
        <w:tabs>
          <w:tab w:val="left" w:pos="-1440"/>
          <w:tab w:val="left" w:pos="142"/>
        </w:tabs>
        <w:spacing w:after="240"/>
        <w:ind w:left="924" w:hanging="357"/>
        <w:rPr>
          <w:bCs/>
          <w:noProof/>
          <w:color w:val="000000"/>
          <w:szCs w:val="22"/>
        </w:rPr>
      </w:pPr>
      <w:r>
        <w:rPr>
          <w:bCs/>
          <w:noProof/>
          <w:color w:val="000000"/>
          <w:szCs w:val="22"/>
        </w:rPr>
        <w:t>-</w:t>
      </w:r>
      <w:r>
        <w:rPr>
          <w:bCs/>
          <w:noProof/>
          <w:color w:val="000000"/>
          <w:szCs w:val="22"/>
        </w:rPr>
        <w:tab/>
        <w:t>Sensibilización, promoción y difusión de los derechos de la infancia y la adolescencia.</w:t>
      </w:r>
    </w:p>
    <w:p w:rsidR="00000000" w:rsidRDefault="00000000">
      <w:pPr>
        <w:tabs>
          <w:tab w:val="left" w:pos="-1440"/>
          <w:tab w:val="left" w:pos="142"/>
        </w:tabs>
        <w:spacing w:after="240"/>
        <w:ind w:left="924" w:hanging="357"/>
        <w:rPr>
          <w:bCs/>
          <w:noProof/>
          <w:color w:val="000000"/>
          <w:szCs w:val="22"/>
        </w:rPr>
      </w:pPr>
      <w:r>
        <w:rPr>
          <w:bCs/>
          <w:noProof/>
          <w:color w:val="000000"/>
          <w:szCs w:val="22"/>
        </w:rPr>
        <w:t>-</w:t>
      </w:r>
      <w:r>
        <w:rPr>
          <w:bCs/>
          <w:noProof/>
          <w:color w:val="000000"/>
          <w:szCs w:val="22"/>
        </w:rPr>
        <w:tab/>
        <w:t>Apoyo al fortalecimiento de las familias como principales responsables del desarrollo integral de sus hijos e hijas.</w:t>
      </w:r>
    </w:p>
    <w:p w:rsidR="00000000" w:rsidRDefault="00000000">
      <w:pPr>
        <w:tabs>
          <w:tab w:val="left" w:pos="-1440"/>
          <w:tab w:val="left" w:pos="142"/>
        </w:tabs>
        <w:spacing w:after="240"/>
        <w:ind w:left="924" w:hanging="357"/>
        <w:rPr>
          <w:bCs/>
          <w:noProof/>
          <w:color w:val="000000"/>
          <w:szCs w:val="22"/>
        </w:rPr>
      </w:pPr>
      <w:r>
        <w:rPr>
          <w:bCs/>
          <w:noProof/>
          <w:color w:val="000000"/>
          <w:szCs w:val="22"/>
        </w:rPr>
        <w:t>-</w:t>
      </w:r>
      <w:r>
        <w:rPr>
          <w:bCs/>
          <w:noProof/>
          <w:color w:val="000000"/>
          <w:szCs w:val="22"/>
        </w:rPr>
        <w:tab/>
        <w:t>Coordinación y desarrollo de las políticas públicas con perspectiva de derechos.</w:t>
      </w:r>
    </w:p>
    <w:p w:rsidR="00000000" w:rsidRDefault="00000000">
      <w:pPr>
        <w:tabs>
          <w:tab w:val="left" w:pos="-1440"/>
          <w:tab w:val="left" w:pos="142"/>
        </w:tabs>
        <w:spacing w:after="240"/>
        <w:ind w:left="924" w:hanging="357"/>
        <w:rPr>
          <w:bCs/>
          <w:noProof/>
          <w:color w:val="000000"/>
          <w:szCs w:val="22"/>
        </w:rPr>
      </w:pPr>
      <w:r>
        <w:rPr>
          <w:bCs/>
          <w:noProof/>
          <w:color w:val="000000"/>
          <w:szCs w:val="22"/>
        </w:rPr>
        <w:t>-</w:t>
      </w:r>
      <w:r>
        <w:rPr>
          <w:bCs/>
          <w:noProof/>
          <w:color w:val="000000"/>
          <w:szCs w:val="22"/>
        </w:rPr>
        <w:tab/>
        <w:t>Provisión de servicios especiales para la protección integral de los derechos de la infancia y la adolescencia, en los casos de amenaza o vulneración de ellos.</w:t>
      </w:r>
    </w:p>
    <w:p w:rsidR="00000000" w:rsidRDefault="00000000">
      <w:pPr>
        <w:tabs>
          <w:tab w:val="left" w:pos="-1440"/>
          <w:tab w:val="left" w:pos="142"/>
        </w:tabs>
        <w:spacing w:after="240"/>
        <w:ind w:left="924" w:hanging="357"/>
        <w:rPr>
          <w:bCs/>
          <w:noProof/>
          <w:color w:val="000000"/>
          <w:szCs w:val="22"/>
        </w:rPr>
      </w:pPr>
      <w:r>
        <w:rPr>
          <w:bCs/>
          <w:noProof/>
          <w:color w:val="000000"/>
          <w:szCs w:val="22"/>
        </w:rPr>
        <w:t>-</w:t>
      </w:r>
      <w:r>
        <w:rPr>
          <w:bCs/>
          <w:noProof/>
          <w:color w:val="000000"/>
          <w:szCs w:val="22"/>
        </w:rPr>
        <w:tab/>
        <w:t>Promoción y fomento de la participación infantil.</w:t>
      </w:r>
    </w:p>
    <w:p w:rsidR="00000000" w:rsidRDefault="00000000">
      <w:pPr>
        <w:spacing w:after="240"/>
        <w:rPr>
          <w:bCs/>
          <w:noProof/>
          <w:color w:val="000000"/>
          <w:szCs w:val="22"/>
        </w:rPr>
      </w:pPr>
      <w:r>
        <w:rPr>
          <w:bCs/>
          <w:noProof/>
          <w:color w:val="000000"/>
          <w:szCs w:val="22"/>
        </w:rPr>
        <w:t>19.</w:t>
      </w:r>
      <w:r>
        <w:rPr>
          <w:bCs/>
          <w:noProof/>
          <w:color w:val="000000"/>
          <w:szCs w:val="22"/>
        </w:rPr>
        <w:tab/>
        <w:t>Además el texto estableció un modelo de gestión, es decir, un sistema institucional en el cual se definen las atribuciones, responsabilidades y competencias de los agentes públicos que participan en ella, como así también los mecanismos a través de los cuales deben operar.  Lo central de este modelo es que debe garantizar el trabajo conjunto y la coordinación intersectorial e interinstitucional de todas las instancias gubernamentales involucradas en la ejecución de políticas de promoción de los derechos y bienestar de la niñez y la adolescencia.</w:t>
      </w:r>
    </w:p>
    <w:p w:rsidR="00000000" w:rsidRDefault="00000000">
      <w:pPr>
        <w:spacing w:after="240"/>
        <w:rPr>
          <w:b/>
          <w:iCs/>
          <w:noProof/>
          <w:color w:val="000000"/>
          <w:szCs w:val="22"/>
        </w:rPr>
      </w:pPr>
      <w:r>
        <w:rPr>
          <w:b/>
          <w:iCs/>
          <w:noProof/>
          <w:color w:val="000000"/>
          <w:szCs w:val="22"/>
        </w:rPr>
        <w:t>Párrafo 18.  Informes periódicos - CRC/C/58</w:t>
      </w:r>
    </w:p>
    <w:p w:rsidR="00000000" w:rsidRDefault="00000000">
      <w:pPr>
        <w:spacing w:after="240"/>
        <w:rPr>
          <w:bCs/>
          <w:noProof/>
          <w:color w:val="000000"/>
          <w:szCs w:val="22"/>
        </w:rPr>
      </w:pPr>
      <w:r>
        <w:rPr>
          <w:bCs/>
          <w:noProof/>
          <w:color w:val="000000"/>
          <w:szCs w:val="22"/>
        </w:rPr>
        <w:t>20.</w:t>
      </w:r>
      <w:r>
        <w:rPr>
          <w:bCs/>
          <w:noProof/>
          <w:color w:val="000000"/>
          <w:szCs w:val="22"/>
        </w:rPr>
        <w:tab/>
        <w:t>Respecto al documento de las observaciones finales del Comité de los Derechos del Niño al segundo informe del Estado de Chile, en el cual se manifiesta preocupación por la coordinación insuficiente que existe entre los organismos gubernamentales, tanto a nivel local, y con la sociedad civil, cabe señalar que la Política Nacional y el Plan de Acción Integrado a favor de la Infancia y la Adolescencia 2001-2010 y el Consejo de Ministros para la Infancia y Adolescencia son instrumentos que fomentan la integralidad e intersectorialidad de la acción pública.</w:t>
      </w:r>
    </w:p>
    <w:p w:rsidR="00000000" w:rsidRDefault="00000000">
      <w:pPr>
        <w:spacing w:after="240"/>
        <w:rPr>
          <w:bCs/>
          <w:noProof/>
          <w:color w:val="000000"/>
          <w:szCs w:val="22"/>
        </w:rPr>
      </w:pPr>
      <w:r>
        <w:rPr>
          <w:bCs/>
          <w:noProof/>
          <w:color w:val="000000"/>
          <w:szCs w:val="22"/>
        </w:rPr>
        <w:t>21.</w:t>
      </w:r>
      <w:r>
        <w:rPr>
          <w:bCs/>
          <w:noProof/>
          <w:color w:val="000000"/>
          <w:szCs w:val="22"/>
        </w:rPr>
        <w:tab/>
        <w:t xml:space="preserve">El 20 de mayo de 2003 se constituyó el Consejo de Ministros para la Infancia y la Adolescencia bajo la dirección del Ministro de Planificación y Cooperación, respondiendo a lo dispuesto en el Decreto Supremo </w:t>
      </w:r>
      <w:r>
        <w:rPr>
          <w:bCs/>
          <w:noProof/>
          <w:szCs w:val="22"/>
        </w:rPr>
        <w:t xml:space="preserve">Nº 114 de 17 de julio de 2002.  Este Consejo tiene como </w:t>
      </w:r>
      <w:r>
        <w:rPr>
          <w:bCs/>
          <w:noProof/>
          <w:color w:val="000000"/>
          <w:szCs w:val="22"/>
        </w:rPr>
        <w:t>función asesorar al Presidente de la República en el diseño, definición, coordinación y coherencia de las políticas hacia la infancia y la adolescencia e informar el 14 de agosto de cada año, sobre los avances en el ámbito de la protección y cumplimiento de los derechos de la infancia y de la adolescencia, además está a cargo de la c</w:t>
      </w:r>
      <w:r>
        <w:rPr>
          <w:bCs/>
          <w:noProof/>
          <w:szCs w:val="22"/>
        </w:rPr>
        <w:t>oordinación, implementación, monitoreo y evaluación de la Política Nacional y del Plan de Acción Integrado 2001-2010</w:t>
      </w:r>
      <w:r>
        <w:rPr>
          <w:bCs/>
          <w:noProof/>
          <w:color w:val="000000"/>
          <w:szCs w:val="22"/>
        </w:rPr>
        <w:t>.</w:t>
      </w:r>
    </w:p>
    <w:p w:rsidR="00000000" w:rsidRDefault="00000000">
      <w:pPr>
        <w:spacing w:after="240"/>
        <w:rPr>
          <w:bCs/>
          <w:noProof/>
          <w:color w:val="000000"/>
          <w:szCs w:val="22"/>
        </w:rPr>
      </w:pPr>
      <w:r>
        <w:rPr>
          <w:bCs/>
          <w:noProof/>
          <w:color w:val="000000"/>
          <w:szCs w:val="22"/>
        </w:rPr>
        <w:t>22.</w:t>
      </w:r>
      <w:r>
        <w:rPr>
          <w:bCs/>
          <w:noProof/>
          <w:color w:val="000000"/>
          <w:szCs w:val="22"/>
        </w:rPr>
        <w:tab/>
        <w:t>El sistema de gestión formulado para la ejecución y aplicación de la Política Nacional y Plan de Acción Integrado a favor de la Infancia y la Adolescencia, conlleva el funcionamiento permanente de un Comité Técnico Intersectorial para la Infancia y la Adolescencia a nivel central.  Dicho Comité funciona regularmente bajo la coordinación de la Secretaría Ejecutiva del Consejo de Ministros para la Infancia y la Adolescencia dependiente del Ministerio de Planificación y Coordinación.  Conforman esta instancia 22 instituciones públicas entre ministerios y servicios cuyo accionar afecta directa o indirectamente a los niños y niñas.  El Comité realiza tareas de apoyo técnico a los representantes al Consejo de Ministros.  También tiene la responsabilidad del seguimiento y monitoreo de la política y la realización de cuentas públicas, entre otras funciones de coordinación intersectorial.</w:t>
      </w:r>
    </w:p>
    <w:p w:rsidR="00000000" w:rsidRDefault="00000000">
      <w:pPr>
        <w:spacing w:after="240"/>
        <w:rPr>
          <w:bCs/>
          <w:noProof/>
          <w:szCs w:val="22"/>
        </w:rPr>
      </w:pPr>
      <w:r>
        <w:rPr>
          <w:bCs/>
          <w:noProof/>
          <w:color w:val="000000"/>
          <w:szCs w:val="22"/>
        </w:rPr>
        <w:t>23.</w:t>
      </w:r>
      <w:r>
        <w:rPr>
          <w:bCs/>
          <w:noProof/>
          <w:color w:val="000000"/>
          <w:szCs w:val="22"/>
        </w:rPr>
        <w:tab/>
        <w:t xml:space="preserve">Por otra parte, un gran aporte a la coordinación de las políticas y acciones destinadas a la infancia a nivel local ha sido la creación de las Oficinas de Protección de Derechos de la Infancia (OPD) a cargo del Servicio Nacional de Menores.  Estas son instancias administrativas de carácter ambulatorio, instaladas a nivel local, cuyo objetivo principal es la protección integral de los derechos de niños y niñas que se encuentren en situaciones de vulneración de derechos o de exclusión social.  Las OPD cuentan con equipos profesionales de distintas disciplinas que otorgan atención personalizada social, psicológica y jurídica a los niños y niñas y a sus familias.  Además realizan acciones a nivel comunitario encaminadas a generar una cultura de respeto hacia los derechos de la infancia, y a generar en el ámbito comunal un sistema administrativo integral para la protección de derechos.  El énfasis en el trabajo de las OPD está puesto en constituirse en un recurso de fácil acceso y oportuno en la detección e interrupción de vulneraciones, evitando la innecesaria judicialización e institucionalización de los problemas de la infancia.  Las OPD se encuentran en funcionamiento desde agosto de 2001.  Existen </w:t>
      </w:r>
      <w:r>
        <w:rPr>
          <w:bCs/>
          <w:noProof/>
          <w:szCs w:val="22"/>
        </w:rPr>
        <w:t>44 OPD que prestan servicio a 71 comunas, repartidas en todas las regiones del país.</w:t>
      </w:r>
    </w:p>
    <w:p w:rsidR="00000000" w:rsidRDefault="00000000">
      <w:pPr>
        <w:spacing w:after="240"/>
        <w:rPr>
          <w:bCs/>
          <w:noProof/>
          <w:color w:val="000000"/>
          <w:szCs w:val="22"/>
        </w:rPr>
      </w:pPr>
      <w:r>
        <w:rPr>
          <w:bCs/>
          <w:noProof/>
          <w:color w:val="000000"/>
          <w:szCs w:val="22"/>
        </w:rPr>
        <w:t>24.</w:t>
      </w:r>
      <w:r>
        <w:rPr>
          <w:bCs/>
          <w:noProof/>
          <w:color w:val="000000"/>
          <w:szCs w:val="22"/>
        </w:rPr>
        <w:tab/>
        <w:t>Con relación a la recomendación señalada en las observaciones finales al segundo informe del Estado de Chile, relativa a una cooperación más estrecha y un dialogo activo en todos los asuntos relativos a los niños y niñas, con las organizaciones no gubernamentales (ONG), cabe destacar la instauración del Comité Consultivo de la Sociedad Civil para la Infancia y la Adolescencia.  El 1º de agosto de 2003 se constituyó dicho Comité, teniendo como marco lo establecido en la Política Nacional a favor de la Infancia y la Adolescencia y en el instructivo presidencial sobre la Participación Ciudadana, el cual se relaciona con el Consejo de Ministros para la Infancia y la Adolescencia, a través y la Secretaría Ejecutiva de dicho Consejo.  Participan en este Consejo federaciones de colegios profesionales; redes de ONG en materia de infancia; e instituciones empresariales y gremiales, quienes eligen un representante del Comité que tiene participación permanente en el Consejo de Ministros.</w:t>
      </w:r>
    </w:p>
    <w:p w:rsidR="00000000" w:rsidRDefault="00000000">
      <w:pPr>
        <w:spacing w:after="240"/>
        <w:rPr>
          <w:bCs/>
          <w:noProof/>
          <w:color w:val="000000"/>
          <w:szCs w:val="22"/>
        </w:rPr>
      </w:pPr>
      <w:r>
        <w:rPr>
          <w:bCs/>
          <w:noProof/>
          <w:color w:val="000000"/>
          <w:szCs w:val="22"/>
        </w:rPr>
        <w:t>25.</w:t>
      </w:r>
      <w:r>
        <w:rPr>
          <w:bCs/>
          <w:noProof/>
          <w:color w:val="000000"/>
          <w:szCs w:val="22"/>
        </w:rPr>
        <w:tab/>
        <w:t xml:space="preserve">Tomando en cuenta la recomendación planteada en el documento de observaciones finales al segundo informe del Estado de Chile relativa a mejorar el sistema de reunión de datos a fin de que incluya todas las esferas abarcadas por la Convención, cabe señalar que complementariamente a los sistemas de información permanente con los que cuenta el país que fueron descritos en el Segundo informe, el año 2003 en una acción conjunta entre el Ministerio de Planificación y Cooperación y UNICEF se publicó el </w:t>
      </w:r>
      <w:r>
        <w:rPr>
          <w:bCs/>
          <w:i/>
          <w:noProof/>
          <w:color w:val="000000"/>
          <w:szCs w:val="22"/>
        </w:rPr>
        <w:t>Índice de infancia, una mirada comunal y regional</w:t>
      </w:r>
      <w:r>
        <w:rPr>
          <w:bCs/>
          <w:noProof/>
          <w:color w:val="000000"/>
          <w:szCs w:val="22"/>
        </w:rPr>
        <w:t xml:space="preserve">.  El objetivo del índice es dar cuenta de las condiciones de vida y de desarrollo de los niños y niñas de Chile ocupando variables que permiten una representatividad a nivel regional y comunal.  Las dimensiones que fueron registradas son salud, educación, habitabilidad e ingresos.  Este es un instrumento de gran valor para identificar áreas comunales y regionales donde existen déficit; diseñar programas coherentes y pertinentes; asignar recursos eficientemente; y facilitar las tareas de monitoreo y evaluación de acciones.  </w:t>
      </w:r>
    </w:p>
    <w:p w:rsidR="00000000" w:rsidRDefault="00000000">
      <w:pPr>
        <w:spacing w:after="240"/>
        <w:rPr>
          <w:bCs/>
          <w:noProof/>
          <w:color w:val="000000"/>
          <w:szCs w:val="22"/>
        </w:rPr>
      </w:pPr>
      <w:r>
        <w:rPr>
          <w:bCs/>
          <w:noProof/>
          <w:color w:val="000000"/>
          <w:szCs w:val="22"/>
        </w:rPr>
        <w:t>26.</w:t>
      </w:r>
      <w:r>
        <w:rPr>
          <w:bCs/>
          <w:noProof/>
          <w:color w:val="000000"/>
          <w:szCs w:val="22"/>
        </w:rPr>
        <w:tab/>
        <w:t>Por otra parte, producto del trabajo coordinado que realizan desde el año 2002 el Ministerio del Trabajo y Previsión Social y la Organización Internacional del Trabajo (OIT) con el objetivo de develar la realidad del trabajo infantil y adolescente en Chile, se realizó la Primera Encuesta Nacional de Actividades de Niños y Adolescentes en el año 2003 y el Registro de las Peores Formas de Trabajo Infantil, implementado a partir de junio del año 2003.</w:t>
      </w:r>
    </w:p>
    <w:p w:rsidR="00000000" w:rsidRDefault="00000000">
      <w:pPr>
        <w:spacing w:after="240"/>
        <w:rPr>
          <w:bCs/>
          <w:noProof/>
          <w:color w:val="000000"/>
          <w:szCs w:val="22"/>
        </w:rPr>
      </w:pPr>
      <w:r>
        <w:rPr>
          <w:bCs/>
          <w:noProof/>
          <w:color w:val="000000"/>
          <w:szCs w:val="22"/>
        </w:rPr>
        <w:t>27.</w:t>
      </w:r>
      <w:r>
        <w:rPr>
          <w:bCs/>
          <w:noProof/>
          <w:color w:val="000000"/>
          <w:szCs w:val="22"/>
        </w:rPr>
        <w:tab/>
        <w:t>Respecto a la preocupación planteada en el documento de las observaciones finales al segundo informe del Estado de Chile relativa a que no se ha establecido un mecanismo nacional general con el mandato de llevar a cabo una supervisión y una evaluación constantes en todo el país de la aplicación de la Convención, el Estado a través del Consejo de Ministros para la Infancia y la Adolescencia tiene el deber de realizar una cuenta pública anual sobre los avances en el ámbito de la protección y cumplimiento de los derechos de la infancia y de la adolescencia, así como un seguimiento al Plan de Acción Integral para la Infancia y la Adolescencia.  Se han realizado los informes correspondientes a los años 2003 y 2004.</w:t>
      </w:r>
    </w:p>
    <w:p w:rsidR="00000000" w:rsidRDefault="00000000">
      <w:pPr>
        <w:spacing w:after="240"/>
        <w:outlineLvl w:val="0"/>
        <w:rPr>
          <w:b/>
          <w:iCs/>
          <w:noProof/>
          <w:color w:val="000000"/>
          <w:szCs w:val="22"/>
        </w:rPr>
      </w:pPr>
      <w:r>
        <w:rPr>
          <w:b/>
          <w:iCs/>
          <w:noProof/>
          <w:color w:val="000000"/>
          <w:szCs w:val="22"/>
        </w:rPr>
        <w:t>Párrafo 19.  Informes periódicos - CRC/C/58</w:t>
      </w:r>
    </w:p>
    <w:p w:rsidR="00000000" w:rsidRDefault="00000000">
      <w:pPr>
        <w:spacing w:after="240"/>
        <w:rPr>
          <w:bCs/>
          <w:i/>
          <w:noProof/>
          <w:color w:val="000000"/>
          <w:szCs w:val="22"/>
        </w:rPr>
      </w:pPr>
      <w:r>
        <w:rPr>
          <w:bCs/>
          <w:noProof/>
          <w:color w:val="000000"/>
          <w:szCs w:val="22"/>
        </w:rPr>
        <w:t>28.</w:t>
      </w:r>
      <w:r>
        <w:rPr>
          <w:bCs/>
          <w:noProof/>
          <w:color w:val="000000"/>
          <w:szCs w:val="22"/>
        </w:rPr>
        <w:tab/>
        <w:t>Por su parte, en el ámbito de la protección, el Servicio Nacional de Menores convocó, el año 2000, a un Comité Consultivo formado por cinco instituciones reconocidas como colaboradoras, presidido por la Directora Nacional del SENAME.  Tiene por objetivo servir como instancia de participación y diálogo entre el Servicio y los organismos colaboradores de la sociedad civil, para enfrentar los desafíos de la reforma al sistema de atención a la infancia.  Siguiendo estas orientaciones la línea de Protección de Derechos del SENAME, constituyó en el año 2001 la Mesa Técnica Nacional, instancia que cuenta con la participación de todas las Instituciones Colaboradoras que administran proyectos en distintas regiones del país, además se cuenta con las Mesas Técnicas Regionales (13) que están constituidas por las instituciones colaboradoras que ejecutan proyectos dentro de la región.</w:t>
      </w:r>
    </w:p>
    <w:p w:rsidR="00000000" w:rsidRDefault="00000000">
      <w:pPr>
        <w:spacing w:after="240"/>
        <w:outlineLvl w:val="0"/>
        <w:rPr>
          <w:b/>
          <w:iCs/>
          <w:noProof/>
          <w:color w:val="000000"/>
          <w:szCs w:val="22"/>
        </w:rPr>
      </w:pPr>
      <w:r>
        <w:rPr>
          <w:b/>
          <w:iCs/>
          <w:noProof/>
          <w:color w:val="000000"/>
          <w:szCs w:val="22"/>
        </w:rPr>
        <w:t>Párrafo 21.  Informes periódicos - CRC/C/58</w:t>
      </w:r>
    </w:p>
    <w:p w:rsidR="00000000" w:rsidRDefault="00000000">
      <w:pPr>
        <w:spacing w:after="240"/>
        <w:rPr>
          <w:bCs/>
          <w:noProof/>
          <w:color w:val="000000"/>
          <w:szCs w:val="22"/>
        </w:rPr>
      </w:pPr>
      <w:r>
        <w:rPr>
          <w:bCs/>
          <w:noProof/>
          <w:color w:val="000000"/>
          <w:szCs w:val="22"/>
        </w:rPr>
        <w:t>29.</w:t>
      </w:r>
      <w:r>
        <w:rPr>
          <w:bCs/>
          <w:noProof/>
          <w:color w:val="000000"/>
          <w:szCs w:val="22"/>
        </w:rPr>
        <w:tab/>
        <w:t>UNICEF durante el período de cooperación con Chile 1998</w:t>
      </w:r>
      <w:r>
        <w:rPr>
          <w:bCs/>
          <w:noProof/>
          <w:color w:val="000000"/>
          <w:szCs w:val="22"/>
        </w:rPr>
        <w:noBreakHyphen/>
        <w:t xml:space="preserve">2002, colaboró entre otras cosas a la elaboración de la Política Nacional de Infancia y Adolescencia 2001-2010.  Asimismo apoyó el trabajo en temáticas específicas:  en maltrato infantil, UNICEF realizó el segundo estudio nacional sobre el maltrato infantil al interior de las familias en el año 2000.  </w:t>
      </w:r>
    </w:p>
    <w:p w:rsidR="00000000" w:rsidRDefault="00000000">
      <w:pPr>
        <w:spacing w:after="240"/>
        <w:rPr>
          <w:bCs/>
          <w:noProof/>
          <w:color w:val="000000"/>
          <w:szCs w:val="22"/>
        </w:rPr>
      </w:pPr>
      <w:r>
        <w:rPr>
          <w:bCs/>
          <w:noProof/>
          <w:color w:val="000000"/>
          <w:szCs w:val="22"/>
        </w:rPr>
        <w:t>30.</w:t>
      </w:r>
      <w:r>
        <w:rPr>
          <w:bCs/>
          <w:noProof/>
          <w:color w:val="000000"/>
          <w:szCs w:val="22"/>
        </w:rPr>
        <w:tab/>
        <w:t>En el año 2002 se firmó nuevamente un acuerdo de cooperación técnica entre UNICEF y el Gobierno de Chile para el período 2002-2004, cuyo objetivo es estimular y perfeccionar las acciones de ejecución de la Política Nacional y Plan de Acción Integrado a favor de la Infancia y la Adolescencia 2001-2010, progresar en el perfeccionamiento de los mecanismos sociales a favor de la niñez en materias de justicia, educación, trabajo, familia y participación, así como de fortalecer la masa crítica de la ciudadanía y las instituciones promotoras de los derechos de los niños y niñas.</w:t>
      </w:r>
    </w:p>
    <w:p w:rsidR="00000000" w:rsidRDefault="00000000">
      <w:pPr>
        <w:spacing w:after="240"/>
        <w:rPr>
          <w:b/>
          <w:iCs/>
          <w:noProof/>
          <w:color w:val="000000"/>
          <w:szCs w:val="22"/>
        </w:rPr>
      </w:pPr>
      <w:r>
        <w:rPr>
          <w:b/>
          <w:iCs/>
          <w:noProof/>
          <w:color w:val="000000"/>
          <w:szCs w:val="22"/>
        </w:rPr>
        <w:t>Párrafo 22.  Informes periódicos - CRC/C/58</w:t>
      </w:r>
    </w:p>
    <w:p w:rsidR="00000000" w:rsidRDefault="00000000">
      <w:pPr>
        <w:spacing w:after="240"/>
        <w:rPr>
          <w:bCs/>
          <w:noProof/>
          <w:color w:val="000000"/>
          <w:szCs w:val="22"/>
        </w:rPr>
      </w:pPr>
      <w:r>
        <w:rPr>
          <w:bCs/>
          <w:noProof/>
          <w:color w:val="000000"/>
          <w:szCs w:val="22"/>
        </w:rPr>
        <w:t>31.</w:t>
      </w:r>
      <w:r>
        <w:rPr>
          <w:bCs/>
          <w:noProof/>
          <w:color w:val="000000"/>
          <w:szCs w:val="22"/>
        </w:rPr>
        <w:tab/>
        <w:t>El Gobierno a través de la Corporación de Desarrollo Indígena, CONADI, publicó un afiche en idioma mapuche, aymara y rapanui, con alusión específica a los derechos del niño, en 8.000 ejemplares que fueron distribuidos entre el año 1996 y el año 2000 en las escuelas de las regiones con mayor presencia indígena:  I, II, RM (Región Metropolitana), VIII, IX y X regiones.  Al respecto ver en este informe, la respuesta al párrafo 27 del documento CRC/C/58, sobre acciones contra la discriminación de los pueblos indígenas.</w:t>
      </w:r>
    </w:p>
    <w:p w:rsidR="00000000" w:rsidRDefault="00000000">
      <w:pPr>
        <w:spacing w:after="240"/>
        <w:rPr>
          <w:bCs/>
          <w:noProof/>
          <w:color w:val="000000"/>
          <w:szCs w:val="22"/>
        </w:rPr>
      </w:pPr>
      <w:r>
        <w:rPr>
          <w:bCs/>
          <w:noProof/>
          <w:color w:val="000000"/>
          <w:szCs w:val="22"/>
        </w:rPr>
        <w:t>32.</w:t>
      </w:r>
      <w:r>
        <w:rPr>
          <w:bCs/>
          <w:noProof/>
          <w:color w:val="000000"/>
          <w:szCs w:val="22"/>
        </w:rPr>
        <w:tab/>
        <w:t>Respondiendo a la recomendación planteada en el documento de las observaciones finales al segundo informe del Estado de Chile, en cuanto a reforzar las medidas para difundir la Convención especialmente en las zonas rurales y entre los niños y niñas indígenas, diversas instituciones públicas y privadas han desarrollado estrategias de difusión de los derechos de los niños y niñas, destinadas tanto a sectores específicos como al público en general.  Un ejemplo de estas acciones es la coordinación entre el Ministerio de Educación, la Corporación Nacional de Control de Estupefacientes (CONACE), el Ministerio de Justicia, UNICEF y municipalidades que han distribuido calendarios con los derechos de los niños y niñas en todas las regiones del país, desde el año 2000 a la fecha.</w:t>
      </w:r>
    </w:p>
    <w:p w:rsidR="00000000" w:rsidRDefault="00000000">
      <w:pPr>
        <w:spacing w:after="240"/>
        <w:rPr>
          <w:bCs/>
          <w:noProof/>
          <w:color w:val="000000"/>
          <w:szCs w:val="22"/>
        </w:rPr>
      </w:pPr>
      <w:r>
        <w:rPr>
          <w:bCs/>
          <w:noProof/>
          <w:color w:val="000000"/>
          <w:szCs w:val="22"/>
        </w:rPr>
        <w:t>33.</w:t>
      </w:r>
      <w:r>
        <w:rPr>
          <w:bCs/>
          <w:noProof/>
          <w:color w:val="000000"/>
          <w:szCs w:val="22"/>
        </w:rPr>
        <w:tab/>
        <w:t>La difusión de los derechos de los niños y las niñas al interior del área educacional se promueve especialmente desde el nuevo referente curricular, mediante el perfeccionamiento docente y la incorporación de la familia, tanto en las escuelas como en los programas no formales de educación.</w:t>
      </w:r>
    </w:p>
    <w:p w:rsidR="00000000" w:rsidRDefault="00000000">
      <w:pPr>
        <w:keepNext/>
        <w:keepLines/>
        <w:spacing w:after="240"/>
        <w:outlineLvl w:val="0"/>
        <w:rPr>
          <w:b/>
          <w:iCs/>
          <w:noProof/>
          <w:color w:val="000000"/>
          <w:szCs w:val="22"/>
        </w:rPr>
      </w:pPr>
      <w:r>
        <w:rPr>
          <w:b/>
          <w:iCs/>
          <w:noProof/>
          <w:color w:val="000000"/>
          <w:szCs w:val="22"/>
        </w:rPr>
        <w:t xml:space="preserve">Párrafo 23.  Informes periódicos </w:t>
      </w:r>
      <w:r>
        <w:rPr>
          <w:b/>
          <w:iCs/>
          <w:noProof/>
          <w:color w:val="000000"/>
          <w:szCs w:val="22"/>
        </w:rPr>
        <w:noBreakHyphen/>
        <w:t xml:space="preserve"> CRC/C/58</w:t>
      </w:r>
    </w:p>
    <w:p w:rsidR="00000000" w:rsidRDefault="00000000">
      <w:pPr>
        <w:keepNext/>
        <w:keepLines/>
        <w:spacing w:after="480"/>
        <w:rPr>
          <w:bCs/>
          <w:noProof/>
          <w:color w:val="000000"/>
          <w:szCs w:val="22"/>
        </w:rPr>
      </w:pPr>
      <w:r>
        <w:rPr>
          <w:bCs/>
          <w:noProof/>
          <w:color w:val="000000"/>
          <w:szCs w:val="22"/>
        </w:rPr>
        <w:t>34.</w:t>
      </w:r>
      <w:r>
        <w:rPr>
          <w:bCs/>
          <w:noProof/>
          <w:color w:val="000000"/>
          <w:szCs w:val="22"/>
        </w:rPr>
        <w:tab/>
        <w:t>En la elaboración del presente informe participaron activamente representantes de los diversos sectores del Estado que ejecutan políticas o acciones dirigidas hacia los niños y niñas, concertados por el Ministerio de Planificación, quien tiene la responsabilidad de coordinar y elaborar el informe.  Con el objetivo de recabar la información concerniente al período informado se configuró una red de apoyo en la cual participaron 18 instituciones públicas entre ministerio y otros servicios.  Asimismo se trabajó conjuntamente con el Ministerio de Relaciones Exteriores y el Fondo de Naciones Unidas para la Infancia, UNICEF, en la realización de talleres de motivación y capacitación al inicio de la elaboración del informe y de reflexión en la etapa final.  Cabe destacar que en el taller de reflexión final participaron activamente en la discusión organismos no gubernamentales así como universidades junto a los representantes del mundo público.</w:t>
      </w:r>
    </w:p>
    <w:p w:rsidR="00000000" w:rsidRDefault="00000000">
      <w:pPr>
        <w:spacing w:after="240"/>
        <w:jc w:val="center"/>
        <w:rPr>
          <w:b/>
          <w:noProof/>
          <w:color w:val="000000"/>
          <w:szCs w:val="22"/>
        </w:rPr>
      </w:pPr>
      <w:r>
        <w:rPr>
          <w:b/>
          <w:noProof/>
          <w:color w:val="000000"/>
          <w:szCs w:val="22"/>
        </w:rPr>
        <w:t>II.  DEFINICIÓN DEL NIÑO</w:t>
      </w:r>
    </w:p>
    <w:p w:rsidR="00000000" w:rsidRDefault="00000000">
      <w:pPr>
        <w:spacing w:after="240"/>
        <w:outlineLvl w:val="0"/>
        <w:rPr>
          <w:b/>
          <w:iCs/>
          <w:noProof/>
          <w:color w:val="000000"/>
          <w:szCs w:val="22"/>
        </w:rPr>
      </w:pPr>
      <w:r>
        <w:rPr>
          <w:b/>
          <w:iCs/>
          <w:noProof/>
          <w:color w:val="000000"/>
          <w:szCs w:val="22"/>
        </w:rPr>
        <w:t>Párrafo 24.  Informes periódicos - CRC/C/58</w:t>
      </w:r>
    </w:p>
    <w:p w:rsidR="00000000" w:rsidRDefault="00000000">
      <w:pPr>
        <w:spacing w:after="240"/>
        <w:rPr>
          <w:bCs/>
          <w:noProof/>
          <w:color w:val="000000"/>
          <w:szCs w:val="22"/>
        </w:rPr>
      </w:pPr>
      <w:r>
        <w:rPr>
          <w:bCs/>
          <w:noProof/>
          <w:color w:val="000000"/>
          <w:szCs w:val="22"/>
        </w:rPr>
        <w:t>35.</w:t>
      </w:r>
      <w:r>
        <w:rPr>
          <w:bCs/>
          <w:noProof/>
          <w:color w:val="000000"/>
          <w:szCs w:val="22"/>
        </w:rPr>
        <w:tab/>
        <w:t>A continuación informaremos sólo de aquellos aspectos que han sufrido modificaciones en el período declarado:</w:t>
      </w:r>
    </w:p>
    <w:p w:rsidR="00000000" w:rsidRDefault="00000000">
      <w:pPr>
        <w:tabs>
          <w:tab w:val="left" w:pos="-1440"/>
        </w:tabs>
        <w:spacing w:after="240"/>
        <w:ind w:left="924" w:hanging="357"/>
        <w:rPr>
          <w:bCs/>
          <w:noProof/>
          <w:color w:val="000000"/>
          <w:szCs w:val="22"/>
        </w:rPr>
      </w:pPr>
      <w:r>
        <w:rPr>
          <w:bCs/>
          <w:noProof/>
          <w:color w:val="000000"/>
          <w:szCs w:val="22"/>
        </w:rPr>
        <w:sym w:font="Symbol" w:char="F0B7"/>
      </w:r>
      <w:r>
        <w:rPr>
          <w:bCs/>
          <w:noProof/>
          <w:color w:val="000000"/>
          <w:szCs w:val="22"/>
        </w:rPr>
        <w:tab/>
      </w:r>
      <w:r>
        <w:rPr>
          <w:b/>
          <w:noProof/>
          <w:color w:val="000000"/>
          <w:szCs w:val="22"/>
        </w:rPr>
        <w:t>El matrimonio</w:t>
      </w:r>
      <w:r>
        <w:rPr>
          <w:bCs/>
          <w:noProof/>
          <w:color w:val="000000"/>
          <w:szCs w:val="22"/>
        </w:rPr>
        <w:t>.  La edad mínima para contraer matrimonio es a los 16 años sin distinción entre niños y niñas, de acuerdo a la nueva Ley de matrimonio civil del año 2004.</w:t>
      </w:r>
    </w:p>
    <w:p w:rsidR="00000000" w:rsidRDefault="00000000">
      <w:pPr>
        <w:tabs>
          <w:tab w:val="left" w:pos="-1440"/>
        </w:tabs>
        <w:spacing w:after="240"/>
        <w:ind w:left="924" w:hanging="357"/>
        <w:rPr>
          <w:bCs/>
          <w:noProof/>
          <w:color w:val="000000"/>
          <w:szCs w:val="22"/>
        </w:rPr>
      </w:pPr>
      <w:r>
        <w:rPr>
          <w:bCs/>
          <w:noProof/>
          <w:color w:val="000000"/>
          <w:szCs w:val="22"/>
        </w:rPr>
        <w:sym w:font="Symbol" w:char="F0B7"/>
      </w:r>
      <w:r>
        <w:rPr>
          <w:bCs/>
          <w:noProof/>
          <w:color w:val="000000"/>
          <w:szCs w:val="22"/>
        </w:rPr>
        <w:tab/>
      </w:r>
      <w:r>
        <w:rPr>
          <w:b/>
          <w:noProof/>
          <w:color w:val="000000"/>
          <w:szCs w:val="22"/>
        </w:rPr>
        <w:t>La terminación de la escolaridad obligatoria</w:t>
      </w:r>
      <w:r>
        <w:rPr>
          <w:bCs/>
          <w:noProof/>
          <w:color w:val="000000"/>
          <w:szCs w:val="22"/>
        </w:rPr>
        <w:t>.  Con la aprobación de la obligatoriedad de los 12 años de escolaridad, la edad de finalización de la enseñanza se amplió a los 21 años.</w:t>
      </w:r>
    </w:p>
    <w:p w:rsidR="00000000" w:rsidRDefault="00000000">
      <w:pPr>
        <w:tabs>
          <w:tab w:val="left" w:pos="-1440"/>
        </w:tabs>
        <w:spacing w:after="240"/>
        <w:ind w:left="924" w:hanging="357"/>
        <w:rPr>
          <w:bCs/>
          <w:noProof/>
          <w:color w:val="000000"/>
          <w:szCs w:val="22"/>
        </w:rPr>
      </w:pPr>
      <w:r>
        <w:rPr>
          <w:bCs/>
          <w:noProof/>
          <w:color w:val="000000"/>
          <w:szCs w:val="22"/>
        </w:rPr>
        <w:sym w:font="Symbol" w:char="F0B7"/>
      </w:r>
      <w:r>
        <w:rPr>
          <w:bCs/>
          <w:noProof/>
          <w:color w:val="000000"/>
          <w:szCs w:val="22"/>
        </w:rPr>
        <w:tab/>
      </w:r>
      <w:r>
        <w:rPr>
          <w:b/>
          <w:noProof/>
          <w:color w:val="000000"/>
          <w:szCs w:val="22"/>
        </w:rPr>
        <w:t>El consentimiento sexual</w:t>
      </w:r>
      <w:r>
        <w:rPr>
          <w:bCs/>
          <w:noProof/>
          <w:color w:val="000000"/>
          <w:szCs w:val="22"/>
        </w:rPr>
        <w:t>.  En enero de 2004 se promulgó la Ley N° 19.927 que eleva la edad hasta la cual se presume de derecho la incapacidad para consentir sexualmente, desde los 12 a los 14 años, protegiéndose de esta manera, la indemnidad, desarrollo e integridad sexual de los menores de 14 años.</w:t>
      </w:r>
    </w:p>
    <w:p w:rsidR="00000000" w:rsidRDefault="00000000">
      <w:pPr>
        <w:tabs>
          <w:tab w:val="left" w:pos="-1440"/>
        </w:tabs>
        <w:spacing w:after="240"/>
        <w:ind w:left="924" w:hanging="357"/>
        <w:rPr>
          <w:bCs/>
          <w:noProof/>
          <w:color w:val="000000"/>
          <w:szCs w:val="22"/>
        </w:rPr>
      </w:pPr>
      <w:r>
        <w:rPr>
          <w:bCs/>
          <w:noProof/>
          <w:color w:val="000000"/>
          <w:szCs w:val="22"/>
        </w:rPr>
        <w:sym w:font="Symbol" w:char="F0B7"/>
      </w:r>
      <w:r>
        <w:rPr>
          <w:bCs/>
          <w:noProof/>
          <w:color w:val="000000"/>
          <w:szCs w:val="22"/>
        </w:rPr>
        <w:tab/>
      </w:r>
      <w:r>
        <w:rPr>
          <w:b/>
          <w:noProof/>
          <w:color w:val="000000"/>
          <w:szCs w:val="22"/>
        </w:rPr>
        <w:t>La responsabilidad penal</w:t>
      </w:r>
      <w:r>
        <w:rPr>
          <w:bCs/>
          <w:noProof/>
          <w:color w:val="000000"/>
          <w:szCs w:val="22"/>
        </w:rPr>
        <w:t>.  Respecto a la recomendación expresada en las observaciones finales al segundo informe del Estado de Chile, de establecer una edad mínima a efectos de responsabilidad penal, cabe señalar que la Ley referida a responsabilidad penal de los adolescentes que han infringido la Ley penal, establece un sistema especializado de justicia para los jóvenes de entre 14 y 18 años de edad.</w:t>
      </w:r>
    </w:p>
    <w:p w:rsidR="00000000" w:rsidRDefault="00000000">
      <w:pPr>
        <w:keepLines/>
        <w:tabs>
          <w:tab w:val="left" w:pos="-1440"/>
        </w:tabs>
        <w:spacing w:after="240"/>
        <w:ind w:left="924" w:hanging="357"/>
        <w:rPr>
          <w:bCs/>
          <w:noProof/>
          <w:color w:val="000000"/>
          <w:szCs w:val="22"/>
        </w:rPr>
      </w:pPr>
      <w:r>
        <w:rPr>
          <w:bCs/>
          <w:noProof/>
          <w:color w:val="000000"/>
          <w:szCs w:val="22"/>
        </w:rPr>
        <w:sym w:font="Symbol" w:char="F0B7"/>
      </w:r>
      <w:r>
        <w:rPr>
          <w:bCs/>
          <w:noProof/>
          <w:color w:val="000000"/>
          <w:szCs w:val="22"/>
        </w:rPr>
        <w:tab/>
      </w:r>
      <w:r>
        <w:rPr>
          <w:b/>
          <w:noProof/>
          <w:color w:val="000000"/>
          <w:szCs w:val="22"/>
        </w:rPr>
        <w:t>La pena capital y la reclusión a perpetuidad</w:t>
      </w:r>
      <w:r>
        <w:rPr>
          <w:bCs/>
          <w:noProof/>
          <w:color w:val="000000"/>
          <w:szCs w:val="22"/>
        </w:rPr>
        <w:t>.  La pena de muerte (o pena capital) fue derogada de la legislación chilena en mayo del 2001, estableciéndose en su reemplazo el presidio perpetuo calificado, de 40 años de cárcel como mínimo.  La reclusión a perpetuidad se aplica a partir de los 18 años de edad.</w:t>
      </w:r>
    </w:p>
    <w:p w:rsidR="00000000" w:rsidRDefault="00000000">
      <w:pPr>
        <w:tabs>
          <w:tab w:val="left" w:pos="-1440"/>
        </w:tabs>
        <w:spacing w:after="480"/>
        <w:ind w:left="924" w:hanging="357"/>
        <w:rPr>
          <w:bCs/>
          <w:noProof/>
          <w:color w:val="000000"/>
          <w:szCs w:val="22"/>
        </w:rPr>
      </w:pPr>
      <w:r>
        <w:rPr>
          <w:bCs/>
          <w:noProof/>
          <w:color w:val="000000"/>
          <w:szCs w:val="22"/>
        </w:rPr>
        <w:sym w:font="Symbol" w:char="F0B7"/>
      </w:r>
      <w:r>
        <w:rPr>
          <w:bCs/>
          <w:noProof/>
          <w:color w:val="000000"/>
          <w:szCs w:val="22"/>
        </w:rPr>
        <w:tab/>
      </w:r>
      <w:r>
        <w:rPr>
          <w:b/>
          <w:noProof/>
          <w:color w:val="000000"/>
          <w:szCs w:val="22"/>
        </w:rPr>
        <w:t>La declaración ante los tribunales, en causas civiles y penales</w:t>
      </w:r>
      <w:r>
        <w:rPr>
          <w:bCs/>
          <w:noProof/>
          <w:color w:val="000000"/>
          <w:szCs w:val="22"/>
        </w:rPr>
        <w:t>.  De acuerdo al nuevo Código Procesal Penal (CPP), el niño o niña víctima de un delito tiene la calidad de sujeto procesal y se le debe asegurar el ejercicio de todos los derechos que el CPP otorga a la víctima.  Por su parte el ministerio público debe otorgar una protección especial a sus derechos y el tribunal debe garantizar especialmente la vigencia de estos derechos en el proceso penal.  En cuanto a la participación de ellos como testigos, en el nuevo proceso penal no existen testigos inhábiles, de modo que todo menor de edad puede comparecer y declarar ante el Fiscal o el Tribunal.</w:t>
      </w:r>
    </w:p>
    <w:p w:rsidR="00000000" w:rsidRDefault="00000000">
      <w:pPr>
        <w:spacing w:after="240"/>
        <w:jc w:val="center"/>
        <w:rPr>
          <w:b/>
          <w:noProof/>
          <w:color w:val="000000"/>
          <w:szCs w:val="22"/>
        </w:rPr>
      </w:pPr>
      <w:r>
        <w:rPr>
          <w:b/>
          <w:noProof/>
          <w:color w:val="000000"/>
          <w:szCs w:val="22"/>
        </w:rPr>
        <w:t>III.  PRINCIPIOS GENERALES - B.  INFORMES PERIÓDICOS - CRC/C/58</w:t>
      </w:r>
    </w:p>
    <w:p w:rsidR="00000000" w:rsidRDefault="00000000">
      <w:pPr>
        <w:tabs>
          <w:tab w:val="left" w:pos="-1440"/>
        </w:tabs>
        <w:spacing w:after="240"/>
        <w:jc w:val="center"/>
        <w:rPr>
          <w:b/>
          <w:noProof/>
          <w:color w:val="000000"/>
          <w:szCs w:val="22"/>
        </w:rPr>
      </w:pPr>
      <w:r>
        <w:rPr>
          <w:b/>
          <w:noProof/>
          <w:color w:val="000000"/>
          <w:szCs w:val="22"/>
        </w:rPr>
        <w:t>A.  No discriminación (artículo 2)</w:t>
      </w:r>
    </w:p>
    <w:p w:rsidR="00000000" w:rsidRDefault="00000000">
      <w:pPr>
        <w:spacing w:after="240"/>
        <w:outlineLvl w:val="0"/>
        <w:rPr>
          <w:b/>
          <w:iCs/>
          <w:noProof/>
          <w:color w:val="000000"/>
          <w:szCs w:val="22"/>
        </w:rPr>
      </w:pPr>
      <w:r>
        <w:rPr>
          <w:b/>
          <w:iCs/>
          <w:noProof/>
          <w:color w:val="000000"/>
          <w:szCs w:val="22"/>
        </w:rPr>
        <w:t>Párrafo 25.  Informes periódicos - CRC/C/58</w:t>
      </w:r>
    </w:p>
    <w:p w:rsidR="00000000" w:rsidRDefault="00000000">
      <w:pPr>
        <w:spacing w:after="240"/>
        <w:rPr>
          <w:bCs/>
          <w:noProof/>
          <w:color w:val="000000"/>
          <w:szCs w:val="22"/>
        </w:rPr>
      </w:pPr>
      <w:r>
        <w:rPr>
          <w:bCs/>
          <w:noProof/>
          <w:color w:val="000000"/>
          <w:szCs w:val="22"/>
        </w:rPr>
        <w:t>36.</w:t>
      </w:r>
      <w:r>
        <w:rPr>
          <w:bCs/>
          <w:noProof/>
          <w:color w:val="000000"/>
          <w:szCs w:val="22"/>
        </w:rPr>
        <w:tab/>
        <w:t>Tal como ha sido informado en los informes anteriores, el principio de no discriminación está consagrado en la Constitución.  No obstante y respondiendo a la preocupación del Comité de los Derechos del Niño expresada en el documento de las observaciones al Segundo informe, en cuanto a que los principios de la no discriminación, el interés superior del niño, el derecho a la vida, la supervivencia y el desarrollo del niño o niña, y el respeto de las opiniones del niño o niña no se tengan plenamente en cuenta en la legislación y en las decisiones administrativas y judiciales, ni en las políticas y los programas nacionales y locales para la infancia, cabe informar que estos principios se encuentran consagrados en la Política Nacional y Plan Integrado a Favor de la Infancia y la Adolescencia, 2001-2010.  Sin embargo, el proceso de insertar estos principios en la sociedad en general y en los distintos niveles del aparato estatal es extremadamente complejo, y si bien existen avances al respecto se requiere de cambios culturales a nivel nacional.  Las áreas que muestran un escaso desarrollo son las de participación y expresión de los niños y niñas.</w:t>
      </w:r>
    </w:p>
    <w:p w:rsidR="00000000" w:rsidRDefault="00000000">
      <w:pPr>
        <w:spacing w:after="240"/>
        <w:outlineLvl w:val="0"/>
        <w:rPr>
          <w:b/>
          <w:iCs/>
          <w:noProof/>
          <w:color w:val="000000"/>
          <w:szCs w:val="22"/>
        </w:rPr>
      </w:pPr>
      <w:r>
        <w:rPr>
          <w:b/>
          <w:iCs/>
          <w:noProof/>
          <w:color w:val="000000"/>
          <w:szCs w:val="22"/>
        </w:rPr>
        <w:t>Párrafo 26.  Informes periódicos - CRC/C/58</w:t>
      </w:r>
    </w:p>
    <w:p w:rsidR="00000000" w:rsidRDefault="00000000">
      <w:pPr>
        <w:spacing w:after="240"/>
        <w:rPr>
          <w:bCs/>
          <w:noProof/>
          <w:color w:val="000000"/>
          <w:szCs w:val="22"/>
        </w:rPr>
      </w:pPr>
      <w:r>
        <w:rPr>
          <w:bCs/>
          <w:noProof/>
          <w:color w:val="000000"/>
          <w:szCs w:val="22"/>
        </w:rPr>
        <w:t>37.</w:t>
      </w:r>
      <w:r>
        <w:rPr>
          <w:bCs/>
          <w:noProof/>
          <w:color w:val="000000"/>
          <w:szCs w:val="22"/>
        </w:rPr>
        <w:tab/>
        <w:t xml:space="preserve">En cuanto a la preocupación del Comité expresada en el documento de las observaciones finales al segundo informe del Estado de Chile relativa al hecho que el principio de no discriminación no se aplique plenamente respecto de </w:t>
      </w:r>
      <w:r>
        <w:rPr>
          <w:bCs/>
          <w:noProof/>
          <w:szCs w:val="22"/>
        </w:rPr>
        <w:t xml:space="preserve">los niños y niñas pertenecientes </w:t>
      </w:r>
      <w:r>
        <w:rPr>
          <w:bCs/>
          <w:noProof/>
          <w:color w:val="000000"/>
          <w:szCs w:val="22"/>
        </w:rPr>
        <w:t>a grupos indígenas, pobres, con discapacidades y los que viven en zonas rurales, especialmente con respecto a su acceso a servicios adecuados de atención de la salud y educacionales, cabe informar que durante el período que comprende el presente informe, se han enfatizado políticas a favor de la no discriminación.</w:t>
      </w:r>
    </w:p>
    <w:p w:rsidR="00000000" w:rsidRDefault="00000000">
      <w:pPr>
        <w:keepLines/>
        <w:spacing w:after="240"/>
        <w:rPr>
          <w:bCs/>
          <w:noProof/>
          <w:color w:val="000000"/>
          <w:szCs w:val="22"/>
        </w:rPr>
      </w:pPr>
      <w:r>
        <w:rPr>
          <w:bCs/>
          <w:noProof/>
          <w:color w:val="000000"/>
          <w:szCs w:val="22"/>
        </w:rPr>
        <w:t>38.</w:t>
      </w:r>
      <w:r>
        <w:rPr>
          <w:bCs/>
          <w:noProof/>
          <w:color w:val="000000"/>
          <w:szCs w:val="22"/>
        </w:rPr>
        <w:tab/>
        <w:t>Desde el año 2000 el Programa Tolerancia y No Discriminación, dependiente de la División de Organizaciones Sociales del Ministerio Secretaría General de Gobierno, iniciativa que promueve la generación de condiciones para el ejercicio pleno de los derechos y para la participación ciudadana de diversos sectores sociales vulnerables a la discriminación.</w:t>
      </w:r>
    </w:p>
    <w:p w:rsidR="00000000" w:rsidRDefault="00000000">
      <w:pPr>
        <w:spacing w:after="240"/>
        <w:rPr>
          <w:bCs/>
          <w:noProof/>
          <w:color w:val="000000"/>
          <w:szCs w:val="22"/>
        </w:rPr>
      </w:pPr>
      <w:r>
        <w:rPr>
          <w:bCs/>
          <w:noProof/>
          <w:color w:val="000000"/>
          <w:szCs w:val="22"/>
        </w:rPr>
        <w:t>39.</w:t>
      </w:r>
      <w:r>
        <w:rPr>
          <w:bCs/>
          <w:noProof/>
          <w:color w:val="000000"/>
          <w:szCs w:val="22"/>
        </w:rPr>
        <w:tab/>
        <w:t>Algunas de las acciones más relevantes que se han efectuado en este sentido son:</w:t>
      </w:r>
    </w:p>
    <w:p w:rsidR="00000000" w:rsidRDefault="00000000">
      <w:pPr>
        <w:tabs>
          <w:tab w:val="left" w:pos="-1440"/>
        </w:tabs>
        <w:spacing w:after="240"/>
        <w:ind w:left="924" w:hanging="357"/>
        <w:rPr>
          <w:bCs/>
          <w:noProof/>
          <w:color w:val="000000"/>
          <w:szCs w:val="22"/>
        </w:rPr>
      </w:pPr>
      <w:r>
        <w:rPr>
          <w:bCs/>
          <w:noProof/>
          <w:color w:val="000000"/>
          <w:szCs w:val="22"/>
        </w:rPr>
        <w:t>-</w:t>
      </w:r>
      <w:r>
        <w:rPr>
          <w:bCs/>
          <w:noProof/>
          <w:color w:val="000000"/>
          <w:szCs w:val="22"/>
        </w:rPr>
        <w:tab/>
        <w:t>En el ámbito educacional el principio de la no discriminación es considerado ampliamente en la reforma educacional que el Gobierno se encuentra implementando lo que se ha traducido en los nuevos planes educacionales y en las bases curriculares de los diversos niveles de educación.</w:t>
      </w:r>
    </w:p>
    <w:p w:rsidR="00000000" w:rsidRDefault="00000000">
      <w:pPr>
        <w:tabs>
          <w:tab w:val="left" w:pos="-1440"/>
        </w:tabs>
        <w:spacing w:after="240"/>
        <w:ind w:left="924" w:hanging="357"/>
        <w:rPr>
          <w:bCs/>
          <w:noProof/>
          <w:color w:val="000000"/>
          <w:szCs w:val="22"/>
        </w:rPr>
      </w:pPr>
      <w:r>
        <w:rPr>
          <w:bCs/>
          <w:noProof/>
          <w:color w:val="000000"/>
          <w:szCs w:val="22"/>
        </w:rPr>
        <w:t>-</w:t>
      </w:r>
      <w:r>
        <w:rPr>
          <w:bCs/>
          <w:noProof/>
          <w:color w:val="000000"/>
          <w:szCs w:val="22"/>
        </w:rPr>
        <w:tab/>
        <w:t>Por su parte, la perspectiva universal con que se ha definido la atención de los niños y niñas en la Oficinas de Protección de Derechos (OPD) del SENAME, asegura el cumplimiento del principio de la no discriminación.  El programa acoge a todo niño o niña vulnerado, con total prescindencia de su condición étnica, social, económica, familiar o de sexo.</w:t>
      </w:r>
    </w:p>
    <w:p w:rsidR="00000000" w:rsidRDefault="00000000">
      <w:pPr>
        <w:tabs>
          <w:tab w:val="left" w:pos="-1440"/>
        </w:tabs>
        <w:spacing w:after="240"/>
        <w:ind w:left="924" w:hanging="357"/>
        <w:rPr>
          <w:bCs/>
          <w:noProof/>
          <w:color w:val="000000"/>
          <w:szCs w:val="22"/>
        </w:rPr>
      </w:pPr>
      <w:r>
        <w:rPr>
          <w:bCs/>
          <w:noProof/>
          <w:color w:val="000000"/>
          <w:szCs w:val="22"/>
        </w:rPr>
        <w:t>-</w:t>
      </w:r>
      <w:r>
        <w:rPr>
          <w:bCs/>
          <w:noProof/>
          <w:color w:val="000000"/>
          <w:szCs w:val="22"/>
        </w:rPr>
        <w:tab/>
        <w:t>La Ley indígena N°19.253 de 1993, y la Corporación Nacional de Desarrollo Indígena, CONADI, organismo encargado de cumplir su mandato, -ambos detallados en el informe anterior- han permitido avanzar en el respeto, protección y promoción del desarrollo de los indígenas, sus culturas, familias y comunidades.</w:t>
      </w:r>
    </w:p>
    <w:p w:rsidR="00000000" w:rsidRDefault="00000000">
      <w:pPr>
        <w:tabs>
          <w:tab w:val="left" w:pos="-1440"/>
        </w:tabs>
        <w:spacing w:after="240"/>
        <w:ind w:left="924" w:hanging="357"/>
        <w:rPr>
          <w:bCs/>
          <w:noProof/>
          <w:color w:val="000000"/>
          <w:szCs w:val="22"/>
        </w:rPr>
      </w:pPr>
      <w:r>
        <w:rPr>
          <w:bCs/>
          <w:noProof/>
          <w:color w:val="000000"/>
          <w:szCs w:val="22"/>
        </w:rPr>
        <w:t>-</w:t>
      </w:r>
      <w:r>
        <w:rPr>
          <w:bCs/>
          <w:noProof/>
          <w:color w:val="000000"/>
          <w:szCs w:val="22"/>
        </w:rPr>
        <w:tab/>
        <w:t>La Ley de integración social de las personas con discapacidad a través del Fondo Nacional de la Discapacidad (FONADIS) ha permitido financiar total o parcialmente, la adquisición de ayudas técnicas destinadas a personas con discapacidad de escasos recursos o a personas jurídicas sin fines de lucro que las atiendan, lo que se ha orientado principalmente al desarrollo de su autonomía funcional y su integración social.</w:t>
      </w:r>
    </w:p>
    <w:p w:rsidR="00000000" w:rsidRDefault="00000000">
      <w:pPr>
        <w:tabs>
          <w:tab w:val="left" w:pos="-1440"/>
        </w:tabs>
        <w:spacing w:after="240"/>
        <w:ind w:left="924" w:hanging="357"/>
        <w:rPr>
          <w:bCs/>
          <w:noProof/>
          <w:color w:val="000000"/>
          <w:szCs w:val="22"/>
        </w:rPr>
      </w:pPr>
      <w:r>
        <w:rPr>
          <w:bCs/>
          <w:noProof/>
          <w:color w:val="000000"/>
          <w:szCs w:val="22"/>
        </w:rPr>
        <w:t>-</w:t>
      </w:r>
      <w:r>
        <w:rPr>
          <w:bCs/>
          <w:noProof/>
          <w:color w:val="000000"/>
          <w:szCs w:val="22"/>
        </w:rPr>
        <w:tab/>
        <w:t xml:space="preserve">El SENAME dentro de su oferta de prestaciones residencial acoge a los niños y niñas con </w:t>
      </w:r>
      <w:r>
        <w:rPr>
          <w:bCs/>
          <w:noProof/>
          <w:szCs w:val="22"/>
        </w:rPr>
        <w:t xml:space="preserve">déficit leve </w:t>
      </w:r>
      <w:r>
        <w:rPr>
          <w:bCs/>
          <w:noProof/>
          <w:szCs w:val="22"/>
        </w:rPr>
        <w:noBreakHyphen/>
        <w:t>moderado y severo</w:t>
      </w:r>
      <w:r>
        <w:rPr>
          <w:bCs/>
          <w:noProof/>
          <w:color w:val="000000"/>
          <w:szCs w:val="22"/>
        </w:rPr>
        <w:noBreakHyphen/>
        <w:t xml:space="preserve"> profundo, específicamente se cuenta con 33 hogares residenciales que permiten acoger a un total de 1.913 niños y niñas.  A lo anterior se agrega la implementación de una oferta ambulatoria de 7 proyectos, distribuidos a nivel nacional, que permiten atender a un total de 304 plazas.  Además, el SENAME firmó un Convenio de Colaboración con la Institución Teletón, con la finalidad de atender, a través de la modalidad de colocación familiar, a 126 niños y niñas a lo largo del país.</w:t>
      </w:r>
    </w:p>
    <w:p w:rsidR="00000000" w:rsidRDefault="00000000">
      <w:pPr>
        <w:tabs>
          <w:tab w:val="left" w:pos="-1440"/>
        </w:tabs>
        <w:spacing w:after="240"/>
        <w:ind w:left="924" w:hanging="357"/>
        <w:rPr>
          <w:bCs/>
          <w:noProof/>
          <w:color w:val="000000"/>
          <w:szCs w:val="22"/>
        </w:rPr>
      </w:pPr>
      <w:r>
        <w:rPr>
          <w:bCs/>
          <w:noProof/>
          <w:color w:val="000000"/>
          <w:szCs w:val="22"/>
        </w:rPr>
        <w:t>-</w:t>
      </w:r>
      <w:r>
        <w:rPr>
          <w:bCs/>
          <w:noProof/>
          <w:color w:val="000000"/>
          <w:szCs w:val="22"/>
        </w:rPr>
        <w:tab/>
        <w:t>En cuanto a la discriminación de los portadores del virus de Inmuno Deficiencia Humana (VIH), la Ley N°19.779 de 2001, establece que la prevención, diagnóstico y control de la infección provocada por el VIH, así como la asistencia y el libre e igualitario ejercicio de sus derechos por parte de las personas portadoras y enfermas, sin discriminaciones de ninguna índole, constituyen un objetivo sanitario, cultural y social de interés nacional.  De igual manera, no podrá condicionarse el ingreso a un establecimiento educacional, ni la permanencia o promoción de sus alumnos, a la circunstancia de encontrarse afectados por el virus.  Tampoco podrá exigirse la realización o presentación del examen de detección para tales efectos.  Asimismo, ningún establecimiento de salud, público o privado, cuando sea requerida su intervención de acuerdo con la ley, podrá negar el ingreso o atención a personas portadoras o enfermas con el virus de inmunodeficiencia humana o condicionar lo anterior a la realización o presentación de resultados del referido examen.</w:t>
      </w:r>
    </w:p>
    <w:p w:rsidR="00000000" w:rsidRDefault="00000000">
      <w:pPr>
        <w:tabs>
          <w:tab w:val="left" w:pos="-1440"/>
        </w:tabs>
        <w:spacing w:after="240"/>
        <w:ind w:left="924" w:hanging="357"/>
        <w:rPr>
          <w:bCs/>
          <w:noProof/>
          <w:color w:val="000000"/>
          <w:szCs w:val="22"/>
        </w:rPr>
      </w:pPr>
      <w:r>
        <w:rPr>
          <w:bCs/>
          <w:noProof/>
          <w:color w:val="000000"/>
          <w:szCs w:val="22"/>
        </w:rPr>
        <w:t>-</w:t>
      </w:r>
      <w:r>
        <w:rPr>
          <w:bCs/>
          <w:noProof/>
          <w:color w:val="000000"/>
          <w:szCs w:val="22"/>
        </w:rPr>
        <w:tab/>
        <w:t>La Ley del deporte propone medidas y acciones que generen una igualdad de oportunidades para todos los ciudadanos, posibilitando su real incorporación a la sociedad.  El Estado promoverá las actividades a través de la prestación de servicios de fomento deportivo y de la asignación de recursos presupuestarios, distribuidos con criterio regional y de equidad de beneficio e impacto social directo, que faculten el acceso de la población especialmente niños y niñas discapacitados en edad escolar, a un mejor desarrollo físico y espiritual.  Existen iniciativas con proyectos que atienden personas viviendo con VIH, y otros referidos a discapacitados, tanto en el ámbito de la formación y la recreación.</w:t>
      </w:r>
    </w:p>
    <w:p w:rsidR="00000000" w:rsidRDefault="00000000">
      <w:pPr>
        <w:tabs>
          <w:tab w:val="left" w:pos="-1440"/>
        </w:tabs>
        <w:spacing w:after="240"/>
        <w:ind w:left="924" w:hanging="357"/>
        <w:rPr>
          <w:bCs/>
          <w:noProof/>
          <w:color w:val="000000"/>
          <w:szCs w:val="22"/>
        </w:rPr>
      </w:pPr>
      <w:r>
        <w:rPr>
          <w:bCs/>
          <w:noProof/>
          <w:color w:val="000000"/>
          <w:szCs w:val="22"/>
        </w:rPr>
        <w:t>-</w:t>
      </w:r>
      <w:r>
        <w:rPr>
          <w:bCs/>
          <w:noProof/>
          <w:color w:val="000000"/>
          <w:szCs w:val="22"/>
        </w:rPr>
        <w:tab/>
        <w:t>Los principales esfuerzos del Presidente Ricardo Lagos en materia social son los sistemas Chile Solidario destinado a los sectores más vulnerables de la sociedad</w:t>
      </w:r>
      <w:r>
        <w:rPr>
          <w:rStyle w:val="FootnoteReference"/>
          <w:bCs/>
          <w:noProof/>
          <w:color w:val="000000"/>
          <w:szCs w:val="22"/>
        </w:rPr>
        <w:footnoteReference w:id="4"/>
      </w:r>
      <w:r>
        <w:rPr>
          <w:bCs/>
          <w:noProof/>
          <w:color w:val="000000"/>
          <w:szCs w:val="22"/>
        </w:rPr>
        <w:t>, así como el denominado Plan Auge en materia de Salud</w:t>
      </w:r>
      <w:r>
        <w:rPr>
          <w:rStyle w:val="FootnoteReference"/>
          <w:bCs/>
          <w:noProof/>
          <w:color w:val="000000"/>
          <w:szCs w:val="22"/>
        </w:rPr>
        <w:footnoteReference w:id="5"/>
      </w:r>
      <w:r>
        <w:rPr>
          <w:bCs/>
          <w:noProof/>
          <w:color w:val="000000"/>
          <w:szCs w:val="22"/>
        </w:rPr>
        <w:t>.  Ambos se sostienen en el principio de la no discriminación y de garantizar los derechos a la población más vulnerable.</w:t>
      </w:r>
    </w:p>
    <w:p w:rsidR="00000000" w:rsidRDefault="00000000">
      <w:pPr>
        <w:spacing w:after="240"/>
        <w:outlineLvl w:val="0"/>
        <w:rPr>
          <w:b/>
          <w:iCs/>
          <w:noProof/>
          <w:color w:val="000000"/>
          <w:szCs w:val="22"/>
        </w:rPr>
      </w:pPr>
      <w:r>
        <w:rPr>
          <w:b/>
          <w:iCs/>
          <w:noProof/>
          <w:color w:val="000000"/>
          <w:szCs w:val="22"/>
        </w:rPr>
        <w:t>Párrafo 27.  Informes periódicos - CRC/C/58</w:t>
      </w:r>
    </w:p>
    <w:p w:rsidR="00000000" w:rsidRDefault="00000000">
      <w:pPr>
        <w:spacing w:after="240"/>
        <w:rPr>
          <w:bCs/>
          <w:noProof/>
          <w:color w:val="000000"/>
          <w:szCs w:val="22"/>
        </w:rPr>
      </w:pPr>
      <w:r>
        <w:rPr>
          <w:bCs/>
          <w:noProof/>
          <w:color w:val="000000"/>
          <w:szCs w:val="22"/>
        </w:rPr>
        <w:t>40.</w:t>
      </w:r>
      <w:r>
        <w:rPr>
          <w:bCs/>
          <w:noProof/>
          <w:color w:val="000000"/>
          <w:szCs w:val="22"/>
        </w:rPr>
        <w:tab/>
        <w:t>Con el objeto de disminuir la inequidad que afecta a las comunidades indígenas, la Corporación Nacional de Desarrollo Indígena ha implementado programas que ponen el énfasis en la difusión de derechos políticos, sociales, económicos, educativos, culturales.  Dentro de ello, se ha relevado la difusión de la Convención sobre los Derechos del Niño.  Las medidas que se han tomado se indican a continuación:</w:t>
      </w:r>
    </w:p>
    <w:p w:rsidR="00000000" w:rsidRDefault="00000000">
      <w:pPr>
        <w:tabs>
          <w:tab w:val="left" w:pos="-1440"/>
        </w:tabs>
        <w:spacing w:after="240"/>
        <w:ind w:left="924" w:hanging="357"/>
        <w:rPr>
          <w:bCs/>
          <w:noProof/>
          <w:color w:val="000000"/>
          <w:szCs w:val="22"/>
        </w:rPr>
      </w:pPr>
      <w:r>
        <w:rPr>
          <w:bCs/>
          <w:noProof/>
          <w:color w:val="000000"/>
          <w:szCs w:val="22"/>
        </w:rPr>
        <w:t>-</w:t>
      </w:r>
      <w:r>
        <w:rPr>
          <w:bCs/>
          <w:noProof/>
          <w:color w:val="000000"/>
          <w:szCs w:val="22"/>
        </w:rPr>
        <w:tab/>
        <w:t>A partir del año 1996, se han ejecutado programas sociales destinados a las comunidades indígenas, cuyas acciones tienen por objetivo la promoción e información de los beneficios de la red social pública y de los derechos de los indígenas.  Ejemplo de ello fue la transmisión de 15 programas radiales en idiomas indígenas, cuyo énfasis estuvo puesto en la difusión de los derechos indígenas y oferta pública, así también se puede mencionar la instalación de oficinas locales de información en 8 regiones de importante presencia indígena.</w:t>
      </w:r>
    </w:p>
    <w:p w:rsidR="00000000" w:rsidRDefault="00000000">
      <w:pPr>
        <w:tabs>
          <w:tab w:val="left" w:pos="-1440"/>
        </w:tabs>
        <w:spacing w:after="240"/>
        <w:ind w:left="924" w:hanging="357"/>
        <w:rPr>
          <w:bCs/>
          <w:noProof/>
          <w:color w:val="000000"/>
          <w:szCs w:val="22"/>
        </w:rPr>
      </w:pPr>
      <w:r>
        <w:rPr>
          <w:bCs/>
          <w:noProof/>
          <w:color w:val="000000"/>
          <w:szCs w:val="22"/>
        </w:rPr>
        <w:t>-</w:t>
      </w:r>
      <w:r>
        <w:rPr>
          <w:bCs/>
          <w:noProof/>
          <w:color w:val="000000"/>
          <w:szCs w:val="22"/>
        </w:rPr>
        <w:tab/>
        <w:t>Desde el ámbito de la salud se desarrolla actualmente un programa de capacitación destinado a los funcionarios de nueve Servicios de Salud en el país, para que reconozcan la cultura indígena y logren realizar actividades de atención con pertinencia cultural y reconocer actitudes presentes que discriminan la atención del niño o niña al someterlos a la medición de su desarrollo sin considerar la diferencia cultural.</w:t>
      </w:r>
    </w:p>
    <w:p w:rsidR="00000000" w:rsidRDefault="00000000">
      <w:pPr>
        <w:tabs>
          <w:tab w:val="left" w:pos="-1440"/>
        </w:tabs>
        <w:spacing w:after="240"/>
        <w:rPr>
          <w:bCs/>
          <w:noProof/>
          <w:color w:val="000000"/>
          <w:szCs w:val="22"/>
        </w:rPr>
      </w:pPr>
      <w:r>
        <w:rPr>
          <w:bCs/>
          <w:noProof/>
          <w:color w:val="000000"/>
          <w:szCs w:val="22"/>
        </w:rPr>
        <w:t>41.</w:t>
      </w:r>
      <w:r>
        <w:rPr>
          <w:bCs/>
          <w:noProof/>
          <w:color w:val="000000"/>
          <w:szCs w:val="22"/>
        </w:rPr>
        <w:tab/>
        <w:t>Con el objetivo de favorecer a la infancia discapacitada el Fondo Nacional de la Discapacidad, FONADIS, a través del concurso nacional de proyectos financia, en sus diferentes líneas de acción un promedio de 45 proyectos cuyos beneficiarios directos son exclusivamente población infantil y adolescente (0 a 17 años).</w:t>
      </w:r>
    </w:p>
    <w:p w:rsidR="00000000" w:rsidRDefault="00000000">
      <w:pPr>
        <w:tabs>
          <w:tab w:val="left" w:pos="-1440"/>
        </w:tabs>
        <w:spacing w:after="240"/>
        <w:rPr>
          <w:bCs/>
          <w:noProof/>
          <w:color w:val="000000"/>
          <w:szCs w:val="22"/>
        </w:rPr>
      </w:pPr>
      <w:r>
        <w:rPr>
          <w:bCs/>
          <w:noProof/>
          <w:color w:val="000000"/>
          <w:szCs w:val="22"/>
        </w:rPr>
        <w:t>42.</w:t>
      </w:r>
      <w:r>
        <w:rPr>
          <w:bCs/>
          <w:noProof/>
          <w:color w:val="000000"/>
          <w:szCs w:val="22"/>
        </w:rPr>
        <w:tab/>
        <w:t>Con el objeto de proteger a la población migrante, nuestro país se encuentra en pleno proceso de discusión y definición de una política migratoria.  Al mismo tiempo ha promovido una serie de acciones desde el Estado, con el objetivo de reducir de manera creciente la discriminación de la cual pueden ser objeto los niños y niñas extranjeros que residen en nuestro país.  Una de las iniciativas más significativas al respecto es la campaña denominada "Por el Derecho a la Educación", orientada a facilitar y promover la incorporación a los diversos establecimientos de educación general básica y media, a todos los hijos de migrantes que en la actualidad residen en Chile.  A los niños y niñas extranjeros que se encuentren en condición migratoria irregular, se les otorgará permisos de residencia en la condición de estudiante titular.  Con el objetivo de asegurar el derecho a la salud, en el año 2002 se desarrolló una experiencia en la Región Metropolitana, cuyo fin fue resolver la situación de mujeres embarazadas que se encontraban en situación migratoria irregular.  La acción estuvo centrada en lograr la inscripción de las mujeres en los consultorios que correspondiesen a su domicilio, con el fin de facilitar el control y seguimiento de sus embarazos.  El Ministerio del Interior otorga una visa temporaria a la mujer que se encuentra embarazada y que se controla regularmente en el consultorio que corresponde a su domicilio.</w:t>
      </w:r>
    </w:p>
    <w:p w:rsidR="00000000" w:rsidRDefault="00000000">
      <w:pPr>
        <w:spacing w:after="240"/>
        <w:outlineLvl w:val="0"/>
        <w:rPr>
          <w:b/>
          <w:iCs/>
          <w:noProof/>
          <w:color w:val="000000"/>
          <w:szCs w:val="22"/>
        </w:rPr>
      </w:pPr>
      <w:r>
        <w:rPr>
          <w:b/>
          <w:iCs/>
          <w:noProof/>
          <w:color w:val="000000"/>
          <w:szCs w:val="22"/>
        </w:rPr>
        <w:t>Párrafo 28.  Informes periódicos - CRC/C/58</w:t>
      </w:r>
    </w:p>
    <w:p w:rsidR="00000000" w:rsidRDefault="00000000">
      <w:pPr>
        <w:spacing w:after="240"/>
        <w:rPr>
          <w:bCs/>
          <w:noProof/>
          <w:color w:val="000000"/>
          <w:szCs w:val="22"/>
        </w:rPr>
      </w:pPr>
      <w:r>
        <w:rPr>
          <w:bCs/>
          <w:noProof/>
          <w:color w:val="000000"/>
          <w:szCs w:val="22"/>
        </w:rPr>
        <w:t>43.</w:t>
      </w:r>
      <w:r>
        <w:rPr>
          <w:bCs/>
          <w:noProof/>
          <w:color w:val="000000"/>
          <w:szCs w:val="22"/>
        </w:rPr>
        <w:tab/>
        <w:t>Se han tomado las siguientes medidas:</w:t>
      </w:r>
    </w:p>
    <w:p w:rsidR="00000000" w:rsidRDefault="00000000">
      <w:pPr>
        <w:tabs>
          <w:tab w:val="left" w:pos="-1440"/>
        </w:tabs>
        <w:spacing w:after="240"/>
        <w:ind w:left="924" w:hanging="357"/>
        <w:rPr>
          <w:bCs/>
          <w:noProof/>
          <w:color w:val="000000"/>
          <w:szCs w:val="22"/>
        </w:rPr>
      </w:pPr>
      <w:r>
        <w:rPr>
          <w:bCs/>
          <w:noProof/>
          <w:color w:val="000000"/>
          <w:szCs w:val="22"/>
        </w:rPr>
        <w:t>-</w:t>
      </w:r>
      <w:r>
        <w:rPr>
          <w:bCs/>
          <w:noProof/>
          <w:color w:val="000000"/>
          <w:szCs w:val="22"/>
        </w:rPr>
        <w:tab/>
        <w:t>Con una estrategia de difusión pública, el Gobierno a través del Servicio Nacional del la Mujer SERNAM, ha fomentado la toma de conciencia de la población respecto de la desigualdad de género y de los patrones socialmente aceptados que implican desequilibrio de poderes, que redundan en problemáticas como la violencia contra las mujeres y niñas al interior de las familias.  Se han impulsado las siguientes campañas de sensibilización:  "Hagamos un Nuevo Trato"; "Igualdad de Oportunidades para las Mujeres"; "Mujer, conoce tus Derechos"; "Sin Violencia entre Hombres y Mujeres se vive Mejor"; "Hay palabras que duelen, controla tus Palabras"; "No dejes que la Violencia Golpee a tu Pareja"; "Cuerpos Golpeados"; "Mujer con derechos, Mujer Ciudadana".</w:t>
      </w:r>
    </w:p>
    <w:p w:rsidR="00000000" w:rsidRDefault="00000000">
      <w:pPr>
        <w:tabs>
          <w:tab w:val="left" w:pos="-1440"/>
        </w:tabs>
        <w:spacing w:after="240"/>
        <w:ind w:left="924" w:hanging="357"/>
        <w:rPr>
          <w:bCs/>
          <w:noProof/>
          <w:color w:val="000000"/>
          <w:szCs w:val="22"/>
        </w:rPr>
      </w:pPr>
      <w:r>
        <w:rPr>
          <w:bCs/>
          <w:noProof/>
          <w:color w:val="000000"/>
          <w:szCs w:val="22"/>
        </w:rPr>
        <w:t>-</w:t>
      </w:r>
      <w:r>
        <w:rPr>
          <w:bCs/>
          <w:noProof/>
          <w:color w:val="000000"/>
          <w:szCs w:val="22"/>
        </w:rPr>
        <w:tab/>
        <w:t>Se han desarrollado una serie de acciones en los diversos ámbitos de la administración pública, dentro de lo cual cabe destacar el compromiso transversal de incorporar la variable de género en todas las áreas del accionar estatal a través de un Programa de Mejoramiento de la Gestión (PMG de género) por el cual todas las instituciones deben cumplir con la incorporación de la perspectiva de género a sus quehaceres.</w:t>
      </w:r>
    </w:p>
    <w:p w:rsidR="00000000" w:rsidRDefault="00000000">
      <w:pPr>
        <w:tabs>
          <w:tab w:val="left" w:pos="-1440"/>
        </w:tabs>
        <w:spacing w:after="240"/>
        <w:ind w:left="924" w:hanging="357"/>
        <w:rPr>
          <w:bCs/>
          <w:noProof/>
          <w:color w:val="000000"/>
          <w:szCs w:val="22"/>
        </w:rPr>
      </w:pPr>
      <w:r>
        <w:rPr>
          <w:bCs/>
          <w:noProof/>
          <w:color w:val="000000"/>
          <w:szCs w:val="22"/>
        </w:rPr>
        <w:t>-</w:t>
      </w:r>
      <w:r>
        <w:rPr>
          <w:bCs/>
          <w:noProof/>
          <w:color w:val="000000"/>
          <w:szCs w:val="22"/>
        </w:rPr>
        <w:tab/>
        <w:t>En el sector educacional, el enfoque de género se ha incorporado a la gestión y ejecución de los diferentes programas de apoyo administrados por la Junta Nacional de Auxilio Escolar y Becas, JUNAEB, como son las becas de alimentación; en las bases curriculares de la educación parvularia; en los programas de educación preescolar administrados por la Junta Nacional de Jardines Infantiles (JUNJI) y de Fundación Integra; así como en las orientaciones técnicas para la adquisición de material didáctico no sexista, incluyendo los textos a los cuales, en su elaboración y diseño, se les incorporó este enfoque tanto en el uso del lenguaje como en la utilización de ilustraciones, así como en los proyectos educativos.</w:t>
      </w:r>
    </w:p>
    <w:p w:rsidR="00000000" w:rsidRDefault="00000000">
      <w:pPr>
        <w:tabs>
          <w:tab w:val="left" w:pos="-1440"/>
        </w:tabs>
        <w:spacing w:after="240"/>
        <w:ind w:left="924" w:hanging="357"/>
        <w:rPr>
          <w:bCs/>
          <w:noProof/>
          <w:color w:val="000000"/>
          <w:szCs w:val="22"/>
        </w:rPr>
      </w:pPr>
      <w:r>
        <w:rPr>
          <w:bCs/>
          <w:noProof/>
          <w:color w:val="000000"/>
          <w:szCs w:val="22"/>
        </w:rPr>
        <w:t>-</w:t>
      </w:r>
      <w:r>
        <w:rPr>
          <w:bCs/>
          <w:noProof/>
          <w:color w:val="000000"/>
          <w:szCs w:val="22"/>
        </w:rPr>
        <w:tab/>
        <w:t>Un hito importante en la erradicación de la discriminación de las adolescentes embarazadas fue la promulgación de la Ley N°19.688 del año 2000, que modificó la Ley orgánica constitucional de enseñanza prohibiendo que el embarazo o la maternidad constituyan un impedimento para ingresar o permanecer en establecimientos educacionales de cualquier nivel e impone a éstos la obligación de otorgar todas las facilidades académicas a embarazadas o que sean madres de lactantes.</w:t>
      </w:r>
    </w:p>
    <w:p w:rsidR="00000000" w:rsidRDefault="00000000">
      <w:pPr>
        <w:spacing w:after="240"/>
        <w:outlineLvl w:val="0"/>
        <w:rPr>
          <w:b/>
          <w:iCs/>
          <w:noProof/>
          <w:szCs w:val="22"/>
        </w:rPr>
      </w:pPr>
      <w:r>
        <w:rPr>
          <w:b/>
          <w:iCs/>
          <w:noProof/>
          <w:szCs w:val="22"/>
        </w:rPr>
        <w:t xml:space="preserve">Párrafo 30.  </w:t>
      </w:r>
      <w:r>
        <w:rPr>
          <w:b/>
          <w:iCs/>
          <w:noProof/>
          <w:color w:val="000000"/>
          <w:szCs w:val="22"/>
        </w:rPr>
        <w:t xml:space="preserve">Informes periódicos </w:t>
      </w:r>
      <w:r>
        <w:rPr>
          <w:b/>
          <w:iCs/>
          <w:noProof/>
          <w:color w:val="000000"/>
          <w:szCs w:val="22"/>
        </w:rPr>
        <w:noBreakHyphen/>
        <w:t xml:space="preserve"> CRC/C/58</w:t>
      </w:r>
    </w:p>
    <w:p w:rsidR="00000000" w:rsidRDefault="00000000">
      <w:pPr>
        <w:spacing w:after="240"/>
        <w:rPr>
          <w:bCs/>
          <w:noProof/>
          <w:color w:val="000000"/>
          <w:szCs w:val="22"/>
        </w:rPr>
      </w:pPr>
      <w:r>
        <w:rPr>
          <w:bCs/>
          <w:noProof/>
          <w:color w:val="000000"/>
          <w:szCs w:val="22"/>
        </w:rPr>
        <w:t>44.</w:t>
      </w:r>
      <w:r>
        <w:rPr>
          <w:bCs/>
          <w:noProof/>
          <w:color w:val="000000"/>
          <w:szCs w:val="22"/>
        </w:rPr>
        <w:tab/>
        <w:t xml:space="preserve">De acuerdo a lo informado en la respuesta al párrafo 26 del documento CRC/C/58, el Gobierno en el año 2000 inició el programa por la Tolerancia y la No Discriminación, que se ejecuta a través de una red interministerial convocada para tal efecto.  </w:t>
      </w:r>
    </w:p>
    <w:p w:rsidR="00000000" w:rsidRDefault="00000000">
      <w:pPr>
        <w:spacing w:after="240"/>
        <w:jc w:val="center"/>
        <w:rPr>
          <w:b/>
          <w:noProof/>
          <w:color w:val="000000"/>
          <w:szCs w:val="22"/>
        </w:rPr>
      </w:pPr>
      <w:r>
        <w:rPr>
          <w:b/>
          <w:noProof/>
          <w:color w:val="000000"/>
          <w:szCs w:val="22"/>
        </w:rPr>
        <w:t>B.  Interés superior del niño (artículo 3)</w:t>
      </w:r>
    </w:p>
    <w:p w:rsidR="00000000" w:rsidRDefault="00000000">
      <w:pPr>
        <w:spacing w:after="240"/>
        <w:outlineLvl w:val="0"/>
        <w:rPr>
          <w:b/>
          <w:iCs/>
          <w:noProof/>
          <w:color w:val="000000"/>
          <w:szCs w:val="22"/>
        </w:rPr>
      </w:pPr>
      <w:r>
        <w:rPr>
          <w:b/>
          <w:iCs/>
          <w:noProof/>
          <w:color w:val="000000"/>
          <w:szCs w:val="22"/>
        </w:rPr>
        <w:t>Párrafo 33.  Informes periódicos - CRC/C/58</w:t>
      </w:r>
    </w:p>
    <w:p w:rsidR="00000000" w:rsidRDefault="00000000">
      <w:pPr>
        <w:spacing w:after="240"/>
        <w:rPr>
          <w:bCs/>
          <w:noProof/>
          <w:color w:val="000000"/>
          <w:szCs w:val="22"/>
        </w:rPr>
      </w:pPr>
      <w:r>
        <w:rPr>
          <w:bCs/>
          <w:noProof/>
          <w:color w:val="000000"/>
          <w:szCs w:val="22"/>
        </w:rPr>
        <w:t>45.</w:t>
      </w:r>
      <w:r>
        <w:rPr>
          <w:bCs/>
          <w:noProof/>
          <w:color w:val="000000"/>
          <w:szCs w:val="22"/>
        </w:rPr>
        <w:tab/>
        <w:t>La Convención y sus principios orientadores forman parte de nuestro ordenamiento jurídico con rango constitucional en virtud del artículo 5 inciso 2 de la Constitución Política de la República.  Asimismo dichos principios se encuentran consagrados en la Política Nacional y Plan de Acción Integrado a favor de la Infancia y la Adolescencia como principios rectores y orientadores.  Sin embargo, en la Ley de menores Nº 16.618, aún vigente, este principio no se establece.  A partir de la reforma al sistema de protección de derechos de la infancia y la adolescencia, planteada en el año 2000 por el Gobierno de Chile, se propone adecuar las prácticas institucionales y la legislación interna sustentada en los contenidos de la CDN.  Es por ello que el principio del interés superior del niño, es uno de los pilares fundamentales presente en todas las orientaciones técnicas del quehacer de los centros y programas de la red de atención ambulatoria y residencial del SENAME.  Se refleja en la agenda legislativa pendiente en materia de infancia, especialmente en el proyecto de Ley sobre protección de los derechos de los niños y niñas, actualmente en el Parlamento, y en la Ley que establece un sistema de responsabilidad juvenil para adolescentes infractores de la Ley penal, que considera procedimientos que protegen los derechos y garantías procesales y contempla el interés superior del niño dentro de sus lineamientos centrales.  Al respecto véase la respuesta al párrafo 12 del documento CRC/C/58, en el presente informe.</w:t>
      </w:r>
    </w:p>
    <w:p w:rsidR="00000000" w:rsidRDefault="00000000">
      <w:pPr>
        <w:spacing w:after="240"/>
        <w:outlineLvl w:val="0"/>
        <w:rPr>
          <w:b/>
          <w:iCs/>
          <w:noProof/>
          <w:color w:val="000000"/>
          <w:szCs w:val="22"/>
        </w:rPr>
      </w:pPr>
      <w:r>
        <w:rPr>
          <w:b/>
          <w:iCs/>
          <w:noProof/>
          <w:color w:val="000000"/>
          <w:szCs w:val="22"/>
        </w:rPr>
        <w:t>Párrafo 34.  Informes periódicos - CRC/C/58</w:t>
      </w:r>
    </w:p>
    <w:p w:rsidR="00000000" w:rsidRDefault="00000000">
      <w:pPr>
        <w:spacing w:after="240"/>
        <w:rPr>
          <w:bCs/>
          <w:noProof/>
          <w:color w:val="000000"/>
          <w:szCs w:val="22"/>
        </w:rPr>
      </w:pPr>
      <w:r>
        <w:rPr>
          <w:bCs/>
          <w:noProof/>
          <w:color w:val="000000"/>
          <w:szCs w:val="22"/>
        </w:rPr>
        <w:t>46.</w:t>
      </w:r>
      <w:r>
        <w:rPr>
          <w:bCs/>
          <w:noProof/>
          <w:color w:val="000000"/>
          <w:szCs w:val="22"/>
        </w:rPr>
        <w:tab/>
        <w:t>A partir del año 2002, el Gobierno ha promovido una extensa labor de capacitación al poder judicial, realizándose seminarios en todas las regiones del país.  En éstos, se ha abordado la importancia de los tratados internacionales sobre derechos humanos vigentes en Chile y debatido al rango jurídico (legal, supra legal o constitucional) que debiera atribuírseles en su aplicación por parte de los tribunales de justicia.  Asimismo se ha tratado de manera especial en estos seminarios la Ley de filiación y sus principios rectores, la Ley sobre delitos sexuales y la Ley de violencia intrafamiliar.  También, para mejorar la labor de protección de derechos y las intervenciones hacia los infractores de ley se han desarrollado reuniones con distintos juzgados de menores.</w:t>
      </w:r>
    </w:p>
    <w:p w:rsidR="00000000" w:rsidRDefault="00000000">
      <w:pPr>
        <w:keepNext/>
        <w:keepLines/>
        <w:spacing w:after="240"/>
        <w:outlineLvl w:val="0"/>
        <w:rPr>
          <w:b/>
          <w:iCs/>
          <w:noProof/>
          <w:color w:val="000000"/>
          <w:szCs w:val="22"/>
        </w:rPr>
      </w:pPr>
      <w:r>
        <w:rPr>
          <w:b/>
          <w:iCs/>
          <w:noProof/>
          <w:color w:val="000000"/>
          <w:szCs w:val="22"/>
        </w:rPr>
        <w:t>Párrafo 35.  Informes periódicos - CRC/C/58</w:t>
      </w:r>
    </w:p>
    <w:p w:rsidR="00000000" w:rsidRDefault="00000000">
      <w:pPr>
        <w:keepNext/>
        <w:keepLines/>
        <w:spacing w:after="240"/>
        <w:rPr>
          <w:bCs/>
          <w:noProof/>
          <w:color w:val="000000"/>
          <w:szCs w:val="22"/>
        </w:rPr>
      </w:pPr>
      <w:r>
        <w:rPr>
          <w:bCs/>
          <w:noProof/>
          <w:color w:val="000000"/>
          <w:szCs w:val="22"/>
        </w:rPr>
        <w:t>47.</w:t>
      </w:r>
      <w:r>
        <w:rPr>
          <w:bCs/>
          <w:noProof/>
          <w:color w:val="000000"/>
          <w:szCs w:val="22"/>
        </w:rPr>
        <w:tab/>
        <w:t>La Ley Nº 19.620 del año 1999, que dicta normas sobre la adopción de menores, está expresamente inspirada en el principio del interés superior del niño.  Al respecto véase la respuesta a los párrafos 12 y 83 del documento CRC/C/58, en el presente informe.</w:t>
      </w:r>
    </w:p>
    <w:p w:rsidR="00000000" w:rsidRDefault="00000000">
      <w:pPr>
        <w:keepNext/>
        <w:keepLines/>
        <w:spacing w:after="240"/>
        <w:outlineLvl w:val="0"/>
        <w:rPr>
          <w:b/>
          <w:iCs/>
          <w:noProof/>
          <w:color w:val="000000"/>
          <w:szCs w:val="22"/>
        </w:rPr>
      </w:pPr>
      <w:r>
        <w:rPr>
          <w:b/>
          <w:iCs/>
          <w:noProof/>
          <w:color w:val="000000"/>
          <w:szCs w:val="22"/>
        </w:rPr>
        <w:t>Párrafo 36.  Informes periódicos - CRC/C/58</w:t>
      </w:r>
    </w:p>
    <w:p w:rsidR="00000000" w:rsidRDefault="00000000">
      <w:pPr>
        <w:keepNext/>
        <w:keepLines/>
        <w:spacing w:after="240"/>
        <w:rPr>
          <w:bCs/>
          <w:noProof/>
          <w:color w:val="000000"/>
          <w:szCs w:val="22"/>
        </w:rPr>
      </w:pPr>
      <w:r>
        <w:rPr>
          <w:bCs/>
          <w:noProof/>
          <w:color w:val="000000"/>
          <w:szCs w:val="22"/>
        </w:rPr>
        <w:t>48.</w:t>
      </w:r>
      <w:r>
        <w:rPr>
          <w:bCs/>
          <w:noProof/>
          <w:color w:val="000000"/>
          <w:szCs w:val="22"/>
        </w:rPr>
        <w:tab/>
        <w:t>El Gobierno del Presidente Ricardo Lagos ha instaurado un sistema de protección social denominado Chile Solidario creado para mejorar la situación de indigencia en la que viven 849.169 chilenos, un 5,7% de la población</w:t>
      </w:r>
      <w:r>
        <w:rPr>
          <w:rStyle w:val="FootnoteReference"/>
          <w:bCs/>
          <w:noProof/>
          <w:color w:val="000000"/>
          <w:szCs w:val="22"/>
        </w:rPr>
        <w:footnoteReference w:id="6"/>
      </w:r>
      <w:r>
        <w:rPr>
          <w:bCs/>
          <w:noProof/>
          <w:color w:val="000000"/>
          <w:szCs w:val="22"/>
        </w:rPr>
        <w:t>.  El objetivo es que entre los años 2002 y 2005, 225.000 familias sean beneficiadas por el sistema.  Esta tarea implica coordinar el conjunto de la red social pública y privada existente a nivel nacional, regional y local en función de las necesidades y demandas de las familias que se integran al sistema para que reciban todo el apoyo del Estado y de la red de servicios sociales públicos.  El Sistema Chile Solidario se estructura en base a:</w:t>
      </w:r>
    </w:p>
    <w:p w:rsidR="00000000" w:rsidRDefault="00000000">
      <w:pPr>
        <w:tabs>
          <w:tab w:val="left" w:pos="-1440"/>
        </w:tabs>
        <w:spacing w:after="240"/>
        <w:ind w:left="924" w:hanging="357"/>
        <w:rPr>
          <w:bCs/>
          <w:noProof/>
          <w:color w:val="000000"/>
          <w:szCs w:val="22"/>
        </w:rPr>
      </w:pPr>
      <w:r>
        <w:rPr>
          <w:bCs/>
          <w:noProof/>
          <w:color w:val="000000"/>
          <w:szCs w:val="22"/>
        </w:rPr>
        <w:sym w:font="Symbol" w:char="F0B7"/>
      </w:r>
      <w:r>
        <w:rPr>
          <w:bCs/>
          <w:noProof/>
          <w:color w:val="000000"/>
          <w:szCs w:val="22"/>
        </w:rPr>
        <w:tab/>
      </w:r>
      <w:r>
        <w:rPr>
          <w:bCs/>
          <w:i/>
          <w:iCs/>
          <w:noProof/>
          <w:color w:val="000000"/>
          <w:szCs w:val="22"/>
        </w:rPr>
        <w:t>Apoyo psicosocial y aporte solidario</w:t>
      </w:r>
      <w:r>
        <w:rPr>
          <w:bCs/>
          <w:noProof/>
          <w:color w:val="000000"/>
          <w:szCs w:val="22"/>
        </w:rPr>
        <w:t>.  Las familias que aceptan integrarse al sistema se comprometen a trabajar con un profesional ("apoyo familiar") del Programa denominado Puente que ejecuta el Fondo de Solidaridad e Inversión Social, FOSIS, quien los acompañará durante 24 meses para que construyan su propio camino de superación.  Asimismo, el Gobierno les entrega un incentivo monetario de carácter decreciente a las mujeres jefas de hogar y/o a la pareja del jefe de familia.  Al final de la intervención se espera que de ellas al menos un 70% sean familias con prácticas de apoyo mutuo, integradas a su espacio local cotidiano, accediendo, a través de demanda expresa, a los beneficios sociales dirigidos a los más pobres, vinculados a las redes sociales existentes y con un ingreso económico superior al equivalente a la línea de la indigencia.  El trabajo que se realiza con la familia debe considerar siete pilares que corresponden a las siguientes dimensiones:  identificación, salud, educación, dinámica familiar, habitabilidad, trabajo e ingresos.  Para cada uno de los pilares, el programa ha fijado un conjunto de condiciones mínimas de calidad de vida que se espera que las familias participantes puedan alcanzar como resultado de la intervención.  Las condiciones mínimas establecidas aseguran que las familias estén en condiciones adecuadas para entregar al niño o niña, la protección y el cuidado que sean necesarios para su bienestar, aún más cuando una gran cantidad de los mínimos exigidos tiene directa relación con la población infantil.</w:t>
      </w:r>
    </w:p>
    <w:p w:rsidR="00000000" w:rsidRDefault="00000000">
      <w:pPr>
        <w:tabs>
          <w:tab w:val="left" w:pos="-1440"/>
        </w:tabs>
        <w:spacing w:after="240"/>
        <w:ind w:left="924" w:hanging="357"/>
        <w:rPr>
          <w:bCs/>
          <w:noProof/>
          <w:color w:val="000000"/>
          <w:szCs w:val="22"/>
        </w:rPr>
      </w:pPr>
      <w:r>
        <w:rPr>
          <w:bCs/>
          <w:noProof/>
          <w:color w:val="000000"/>
          <w:szCs w:val="22"/>
        </w:rPr>
        <w:sym w:font="Symbol" w:char="F0B7"/>
      </w:r>
      <w:r>
        <w:rPr>
          <w:bCs/>
          <w:noProof/>
          <w:color w:val="000000"/>
          <w:szCs w:val="22"/>
        </w:rPr>
        <w:tab/>
      </w:r>
      <w:r>
        <w:rPr>
          <w:bCs/>
          <w:i/>
          <w:iCs/>
          <w:noProof/>
          <w:color w:val="000000"/>
          <w:szCs w:val="22"/>
        </w:rPr>
        <w:t>Subsidios monetarios</w:t>
      </w:r>
      <w:r>
        <w:rPr>
          <w:bCs/>
          <w:noProof/>
          <w:color w:val="000000"/>
          <w:szCs w:val="22"/>
        </w:rPr>
        <w:t>.  Las familias tienen garantizada la asignación de los siguientes subsidios monetarios:</w:t>
      </w:r>
    </w:p>
    <w:p w:rsidR="00000000" w:rsidRDefault="00000000">
      <w:pPr>
        <w:tabs>
          <w:tab w:val="left" w:pos="-1440"/>
        </w:tabs>
        <w:spacing w:after="240"/>
        <w:ind w:left="1281" w:hanging="357"/>
        <w:rPr>
          <w:bCs/>
          <w:noProof/>
          <w:color w:val="000000"/>
          <w:szCs w:val="22"/>
        </w:rPr>
      </w:pPr>
      <w:r>
        <w:rPr>
          <w:bCs/>
          <w:noProof/>
          <w:color w:val="000000"/>
          <w:szCs w:val="22"/>
        </w:rPr>
        <w:t>-</w:t>
      </w:r>
      <w:r>
        <w:rPr>
          <w:bCs/>
          <w:noProof/>
          <w:color w:val="000000"/>
          <w:szCs w:val="22"/>
        </w:rPr>
        <w:tab/>
        <w:t>Subsidio Único Familiar (SUF), para todos los niños y niñas menores de 18 años;</w:t>
      </w:r>
    </w:p>
    <w:p w:rsidR="00000000" w:rsidRDefault="00000000">
      <w:pPr>
        <w:tabs>
          <w:tab w:val="left" w:pos="-1440"/>
        </w:tabs>
        <w:spacing w:after="240"/>
        <w:ind w:left="1281" w:hanging="357"/>
        <w:rPr>
          <w:bCs/>
          <w:noProof/>
          <w:color w:val="000000"/>
          <w:szCs w:val="22"/>
        </w:rPr>
      </w:pPr>
      <w:r>
        <w:rPr>
          <w:bCs/>
          <w:noProof/>
          <w:color w:val="000000"/>
          <w:szCs w:val="22"/>
        </w:rPr>
        <w:t>-</w:t>
      </w:r>
      <w:r>
        <w:rPr>
          <w:bCs/>
          <w:noProof/>
          <w:color w:val="000000"/>
          <w:szCs w:val="22"/>
        </w:rPr>
        <w:tab/>
        <w:t>Pensión Asistencial de Vejez (PASIS), para todos los mayores de 65 años;</w:t>
      </w:r>
    </w:p>
    <w:p w:rsidR="00000000" w:rsidRDefault="00000000">
      <w:pPr>
        <w:tabs>
          <w:tab w:val="left" w:pos="-1440"/>
        </w:tabs>
        <w:spacing w:after="240"/>
        <w:ind w:left="1281" w:hanging="357"/>
        <w:rPr>
          <w:bCs/>
          <w:noProof/>
          <w:color w:val="000000"/>
          <w:szCs w:val="22"/>
        </w:rPr>
      </w:pPr>
      <w:r>
        <w:rPr>
          <w:bCs/>
          <w:noProof/>
          <w:color w:val="000000"/>
          <w:szCs w:val="22"/>
        </w:rPr>
        <w:t>-</w:t>
      </w:r>
      <w:r>
        <w:rPr>
          <w:bCs/>
          <w:noProof/>
          <w:color w:val="000000"/>
          <w:szCs w:val="22"/>
        </w:rPr>
        <w:tab/>
        <w:t>Pensión Asistencial de Invalidez (PASIS) para quienes corresponda;</w:t>
      </w:r>
    </w:p>
    <w:p w:rsidR="00000000" w:rsidRDefault="00000000">
      <w:pPr>
        <w:tabs>
          <w:tab w:val="left" w:pos="-1440"/>
        </w:tabs>
        <w:spacing w:after="240"/>
        <w:ind w:left="1281" w:hanging="357"/>
        <w:rPr>
          <w:bCs/>
          <w:noProof/>
          <w:color w:val="000000"/>
          <w:szCs w:val="22"/>
        </w:rPr>
      </w:pPr>
      <w:r>
        <w:rPr>
          <w:bCs/>
          <w:noProof/>
          <w:color w:val="000000"/>
          <w:szCs w:val="22"/>
        </w:rPr>
        <w:t>-</w:t>
      </w:r>
      <w:r>
        <w:rPr>
          <w:bCs/>
          <w:noProof/>
          <w:color w:val="000000"/>
          <w:szCs w:val="22"/>
        </w:rPr>
        <w:tab/>
        <w:t>Subsidio de Agua Potable (SAP), para cubrir el 100% de la cuenta hasta 15 m</w:t>
      </w:r>
      <w:r>
        <w:rPr>
          <w:bCs/>
          <w:noProof/>
          <w:color w:val="000000"/>
          <w:szCs w:val="22"/>
          <w:vertAlign w:val="superscript"/>
        </w:rPr>
        <w:t>3</w:t>
      </w:r>
      <w:r>
        <w:rPr>
          <w:bCs/>
          <w:noProof/>
          <w:color w:val="000000"/>
          <w:szCs w:val="22"/>
        </w:rPr>
        <w:t xml:space="preserve"> de consumo mensual;</w:t>
      </w:r>
    </w:p>
    <w:p w:rsidR="00000000" w:rsidRDefault="00000000">
      <w:pPr>
        <w:tabs>
          <w:tab w:val="left" w:pos="-1440"/>
        </w:tabs>
        <w:spacing w:after="240"/>
        <w:ind w:left="1281" w:hanging="357"/>
        <w:rPr>
          <w:bCs/>
          <w:noProof/>
          <w:color w:val="000000"/>
          <w:szCs w:val="22"/>
        </w:rPr>
      </w:pPr>
      <w:r>
        <w:rPr>
          <w:bCs/>
          <w:noProof/>
          <w:color w:val="000000"/>
          <w:szCs w:val="22"/>
        </w:rPr>
        <w:t>-</w:t>
      </w:r>
      <w:r>
        <w:rPr>
          <w:bCs/>
          <w:noProof/>
          <w:color w:val="000000"/>
          <w:szCs w:val="22"/>
        </w:rPr>
        <w:tab/>
        <w:t>Subsidio pro retención educacional.</w:t>
      </w:r>
    </w:p>
    <w:p w:rsidR="00000000" w:rsidRDefault="00000000">
      <w:pPr>
        <w:tabs>
          <w:tab w:val="left" w:pos="-1440"/>
        </w:tabs>
        <w:spacing w:after="240"/>
        <w:ind w:left="924" w:hanging="357"/>
        <w:rPr>
          <w:bCs/>
          <w:noProof/>
          <w:color w:val="000000"/>
          <w:szCs w:val="22"/>
        </w:rPr>
      </w:pPr>
      <w:r>
        <w:rPr>
          <w:bCs/>
          <w:noProof/>
          <w:color w:val="000000"/>
          <w:szCs w:val="22"/>
        </w:rPr>
        <w:sym w:font="Symbol" w:char="F0B7"/>
      </w:r>
      <w:r>
        <w:rPr>
          <w:bCs/>
          <w:noProof/>
          <w:color w:val="000000"/>
          <w:szCs w:val="22"/>
        </w:rPr>
        <w:tab/>
      </w:r>
      <w:r>
        <w:rPr>
          <w:bCs/>
          <w:i/>
          <w:iCs/>
          <w:noProof/>
          <w:color w:val="000000"/>
          <w:szCs w:val="22"/>
        </w:rPr>
        <w:t>Acceso preferente a programas sociales</w:t>
      </w:r>
      <w:r>
        <w:rPr>
          <w:bCs/>
          <w:noProof/>
          <w:color w:val="000000"/>
          <w:szCs w:val="22"/>
        </w:rPr>
        <w:t>.  Las familias que ingresan al sistema reciben acceso preferente a los programas sociales, gracias al compromiso que han adquirido instituciones y organismos de las áreas de salud, educación, trabajo, vivienda y justicia, entre otras.</w:t>
      </w:r>
    </w:p>
    <w:p w:rsidR="00000000" w:rsidRDefault="00000000">
      <w:pPr>
        <w:spacing w:after="240"/>
        <w:outlineLvl w:val="0"/>
        <w:rPr>
          <w:b/>
          <w:iCs/>
          <w:noProof/>
          <w:color w:val="000000"/>
          <w:szCs w:val="22"/>
        </w:rPr>
      </w:pPr>
      <w:r>
        <w:rPr>
          <w:b/>
          <w:iCs/>
          <w:noProof/>
          <w:color w:val="000000"/>
          <w:szCs w:val="22"/>
        </w:rPr>
        <w:t>Párrafo 37.  Informes periódicos - CRC/C/58</w:t>
      </w:r>
    </w:p>
    <w:p w:rsidR="00000000" w:rsidRDefault="00000000">
      <w:pPr>
        <w:spacing w:after="240"/>
        <w:rPr>
          <w:bCs/>
          <w:noProof/>
          <w:color w:val="000000"/>
          <w:szCs w:val="22"/>
        </w:rPr>
      </w:pPr>
      <w:r>
        <w:rPr>
          <w:bCs/>
          <w:noProof/>
          <w:color w:val="000000"/>
          <w:szCs w:val="22"/>
        </w:rPr>
        <w:t>49.</w:t>
      </w:r>
      <w:r>
        <w:rPr>
          <w:bCs/>
          <w:noProof/>
          <w:color w:val="000000"/>
          <w:szCs w:val="22"/>
        </w:rPr>
        <w:tab/>
        <w:t>El Gobierno ha adquirido el compromiso de mejorar la calidad de la atención en las instituciones públicas.  En un marco general, a partir del año 1998 han comenzado los Programas de Mejoramiento de la Gestión PMG, asociando el cumplimiento de objetivos de gestión a un incentivo de carácter monetario para los funcionarios.  Una de las áreas del programa es el PMG de calidad de atención al usuario, que deben cumplir todas las instituciones estatales.  Un ejemplo de lo anterior es el control de calidad de los programas realizado por la JUNAEB, que ha realizado diversos estudios y encuestas de percepción del usuario en el año 2001 y 2002 en sus programas de alimentación escolar, de hogares y de salud escolar, entre otros, destinados a la población infantil.  Así también, SENAME mantiene un sistema de supervisión y asesoría de sus programas en forma continua y permanente, con el fin de evaluar la calidad de la atención otorgada y el nivel de vida de los niños y niñas, que deben permanecer en un sistema residencial, con el objetivo de corregir las deficiencias observadas y garantizarles el bienestar.</w:t>
      </w:r>
    </w:p>
    <w:p w:rsidR="00000000" w:rsidRDefault="00000000">
      <w:pPr>
        <w:spacing w:after="240"/>
        <w:outlineLvl w:val="0"/>
        <w:rPr>
          <w:b/>
          <w:iCs/>
          <w:noProof/>
          <w:color w:val="000000"/>
          <w:szCs w:val="22"/>
        </w:rPr>
      </w:pPr>
      <w:r>
        <w:rPr>
          <w:b/>
          <w:iCs/>
          <w:noProof/>
          <w:color w:val="000000"/>
          <w:szCs w:val="22"/>
        </w:rPr>
        <w:t>Párrafo 38.  Informes periódicos - CRC/C/58</w:t>
      </w:r>
    </w:p>
    <w:p w:rsidR="00000000" w:rsidRDefault="00000000">
      <w:pPr>
        <w:spacing w:after="240"/>
        <w:rPr>
          <w:bCs/>
          <w:noProof/>
          <w:color w:val="000000"/>
          <w:szCs w:val="22"/>
        </w:rPr>
      </w:pPr>
      <w:r>
        <w:rPr>
          <w:bCs/>
          <w:noProof/>
          <w:color w:val="000000"/>
          <w:szCs w:val="22"/>
        </w:rPr>
        <w:t>50.</w:t>
      </w:r>
      <w:r>
        <w:rPr>
          <w:bCs/>
          <w:noProof/>
          <w:color w:val="000000"/>
          <w:szCs w:val="22"/>
        </w:rPr>
        <w:tab/>
        <w:t>Dentro de las dificultades para hacer efectivo el principio del interés superior del niño se destaca la existencia de la Ley de menores de 1968, la cual no responde a los lineamientos de la CDN y por ello dificulta la ejecución de acciones tendientes a asegurar este principio.  Un aspecto crítico de la Ley de menores es que no incorpora la separación de vías entre la protección de derechos y la infracción a la Ley penal.  En la actualidad, este obstáculo en el cumplimiento de los derechos de los niños y niñas está siendo abordado por las instancias competentes a través de las leyes adecuatorias que se detallaron en la respuesta al párrafo 12 del documento CRC/C/58 en este informe.</w:t>
      </w:r>
    </w:p>
    <w:p w:rsidR="00000000" w:rsidRDefault="00000000">
      <w:pPr>
        <w:spacing w:after="240"/>
        <w:outlineLvl w:val="0"/>
        <w:rPr>
          <w:b/>
          <w:iCs/>
          <w:noProof/>
          <w:color w:val="000000"/>
          <w:szCs w:val="22"/>
        </w:rPr>
      </w:pPr>
      <w:r>
        <w:rPr>
          <w:b/>
          <w:iCs/>
          <w:noProof/>
          <w:color w:val="000000"/>
          <w:szCs w:val="22"/>
        </w:rPr>
        <w:t>Párrafo 39.  Informes periódicos - CRC/C/58</w:t>
      </w:r>
    </w:p>
    <w:p w:rsidR="00000000" w:rsidRDefault="00000000">
      <w:pPr>
        <w:spacing w:after="240"/>
        <w:rPr>
          <w:bCs/>
          <w:noProof/>
          <w:color w:val="000000"/>
          <w:szCs w:val="22"/>
        </w:rPr>
      </w:pPr>
      <w:r>
        <w:rPr>
          <w:bCs/>
          <w:noProof/>
          <w:color w:val="000000"/>
          <w:szCs w:val="22"/>
        </w:rPr>
        <w:t>51.</w:t>
      </w:r>
      <w:r>
        <w:rPr>
          <w:bCs/>
          <w:noProof/>
          <w:color w:val="000000"/>
          <w:szCs w:val="22"/>
        </w:rPr>
        <w:tab/>
        <w:t xml:space="preserve">El Gobierno de Chile a través de la Política Nacional y Plan de Acción Integrado a Favor de la Infancia y la Adolescencia, ha propiciado que el interés superior del niño sea considerado como un principio relevante en la integralidad de las acciones que desde la administración pública se realizan hacia los niños y niñas.  Con tal efecto, en diversos ámbitos del aparato estatal se ha fomentado a los equipos profesionales la aplicación de estas directrices.  </w:t>
      </w:r>
    </w:p>
    <w:p w:rsidR="00000000" w:rsidRDefault="00000000">
      <w:pPr>
        <w:keepNext/>
        <w:keepLines/>
        <w:spacing w:after="240"/>
        <w:jc w:val="center"/>
        <w:rPr>
          <w:b/>
          <w:noProof/>
          <w:color w:val="000000"/>
          <w:szCs w:val="22"/>
        </w:rPr>
      </w:pPr>
      <w:r>
        <w:rPr>
          <w:b/>
          <w:noProof/>
          <w:color w:val="000000"/>
          <w:szCs w:val="22"/>
        </w:rPr>
        <w:t>C.  Derecho a la vida, la supervivencia y el desarrollo (artículo 6)</w:t>
      </w:r>
    </w:p>
    <w:p w:rsidR="00000000" w:rsidRDefault="00000000">
      <w:pPr>
        <w:keepNext/>
        <w:keepLines/>
        <w:spacing w:after="240"/>
        <w:outlineLvl w:val="0"/>
        <w:rPr>
          <w:b/>
          <w:iCs/>
          <w:noProof/>
          <w:color w:val="000000"/>
          <w:szCs w:val="22"/>
        </w:rPr>
      </w:pPr>
      <w:r>
        <w:rPr>
          <w:b/>
          <w:iCs/>
          <w:noProof/>
          <w:color w:val="000000"/>
          <w:szCs w:val="22"/>
        </w:rPr>
        <w:t xml:space="preserve">Párrafo 40.  Informes periódicos </w:t>
      </w:r>
      <w:r>
        <w:rPr>
          <w:b/>
          <w:iCs/>
          <w:noProof/>
          <w:color w:val="000000"/>
          <w:szCs w:val="22"/>
        </w:rPr>
        <w:noBreakHyphen/>
        <w:t xml:space="preserve"> CRC/C/58</w:t>
      </w:r>
    </w:p>
    <w:p w:rsidR="00000000" w:rsidRDefault="00000000">
      <w:pPr>
        <w:keepNext/>
        <w:keepLines/>
        <w:spacing w:after="240"/>
        <w:rPr>
          <w:bCs/>
          <w:noProof/>
          <w:color w:val="000000"/>
          <w:szCs w:val="22"/>
        </w:rPr>
      </w:pPr>
      <w:r>
        <w:rPr>
          <w:bCs/>
          <w:noProof/>
          <w:color w:val="000000"/>
          <w:szCs w:val="22"/>
        </w:rPr>
        <w:t>52.</w:t>
      </w:r>
      <w:r>
        <w:rPr>
          <w:bCs/>
          <w:noProof/>
          <w:color w:val="000000"/>
          <w:szCs w:val="22"/>
        </w:rPr>
        <w:tab/>
        <w:t>Los positivos indicadores de salud que presenta nuestro país a nivel nacional, especialmente los relacionados a la mortalidad materna e infantil, han permitido que la política del Gobierno relativa a asegurar la supervivencia y el desarrollo de los niños y niñas, se encuentre enfocada a disminuir las brechas sociales y económicas existentes al interior del país.  La inequidad reflejada en los indicadores de infancia, según región de residencia y origen étnico y social de los niños y niñas, han requerido de acciones específicas para apoyar a los sectores más desfavorecidos, en especial a aquella población que se encuentra viviendo en condiciones de extrema pobreza.  El programa Chile Solidario resuelve aspectos que favorecen el desarrollo del niño o niña y de su familia.  Dentro de los compromisos que las familias adscritas deben cumplir se destacan en el ámbito de la salud que benefician directamente a los niños y niñas los siguientes:</w:t>
      </w:r>
    </w:p>
    <w:p w:rsidR="00000000" w:rsidRDefault="00000000">
      <w:pPr>
        <w:tabs>
          <w:tab w:val="left" w:pos="-1440"/>
        </w:tabs>
        <w:spacing w:after="240"/>
        <w:ind w:left="924" w:hanging="357"/>
        <w:rPr>
          <w:bCs/>
          <w:noProof/>
          <w:color w:val="000000"/>
          <w:szCs w:val="22"/>
        </w:rPr>
      </w:pPr>
      <w:r>
        <w:rPr>
          <w:bCs/>
          <w:noProof/>
          <w:color w:val="000000"/>
          <w:szCs w:val="22"/>
        </w:rPr>
        <w:t>-</w:t>
      </w:r>
      <w:r>
        <w:rPr>
          <w:bCs/>
          <w:noProof/>
          <w:color w:val="000000"/>
          <w:szCs w:val="22"/>
        </w:rPr>
        <w:tab/>
        <w:t>Que la familia esté inscrita en el Servicio de Atención Primaria de Salud.</w:t>
      </w:r>
    </w:p>
    <w:p w:rsidR="00000000" w:rsidRDefault="00000000">
      <w:pPr>
        <w:tabs>
          <w:tab w:val="left" w:pos="-1440"/>
        </w:tabs>
        <w:spacing w:after="240"/>
        <w:ind w:left="924" w:hanging="357"/>
        <w:rPr>
          <w:bCs/>
          <w:noProof/>
          <w:color w:val="000000"/>
          <w:szCs w:val="22"/>
        </w:rPr>
      </w:pPr>
      <w:r>
        <w:rPr>
          <w:bCs/>
          <w:noProof/>
          <w:color w:val="000000"/>
          <w:szCs w:val="22"/>
        </w:rPr>
        <w:t>-</w:t>
      </w:r>
      <w:r>
        <w:rPr>
          <w:bCs/>
          <w:noProof/>
          <w:color w:val="000000"/>
          <w:szCs w:val="22"/>
        </w:rPr>
        <w:tab/>
        <w:t>Que las embarazadas tengan sus controles de salud al día.</w:t>
      </w:r>
    </w:p>
    <w:p w:rsidR="00000000" w:rsidRDefault="00000000">
      <w:pPr>
        <w:tabs>
          <w:tab w:val="left" w:pos="-1440"/>
        </w:tabs>
        <w:spacing w:after="240"/>
        <w:ind w:left="924" w:hanging="357"/>
        <w:rPr>
          <w:bCs/>
          <w:noProof/>
          <w:color w:val="000000"/>
          <w:szCs w:val="22"/>
        </w:rPr>
      </w:pPr>
      <w:r>
        <w:rPr>
          <w:bCs/>
          <w:noProof/>
          <w:color w:val="000000"/>
          <w:szCs w:val="22"/>
        </w:rPr>
        <w:t>-</w:t>
      </w:r>
      <w:r>
        <w:rPr>
          <w:bCs/>
          <w:noProof/>
          <w:color w:val="000000"/>
          <w:szCs w:val="22"/>
        </w:rPr>
        <w:tab/>
        <w:t>Que los niños y niñas de 6 años o menos tengan sus vacunas al día.</w:t>
      </w:r>
    </w:p>
    <w:p w:rsidR="00000000" w:rsidRDefault="00000000">
      <w:pPr>
        <w:tabs>
          <w:tab w:val="left" w:pos="-1440"/>
        </w:tabs>
        <w:spacing w:after="240"/>
        <w:ind w:left="924" w:hanging="357"/>
        <w:rPr>
          <w:bCs/>
          <w:noProof/>
          <w:color w:val="000000"/>
          <w:szCs w:val="22"/>
        </w:rPr>
      </w:pPr>
      <w:r>
        <w:rPr>
          <w:bCs/>
          <w:noProof/>
          <w:color w:val="000000"/>
          <w:szCs w:val="22"/>
        </w:rPr>
        <w:t>-</w:t>
      </w:r>
      <w:r>
        <w:rPr>
          <w:bCs/>
          <w:noProof/>
          <w:color w:val="000000"/>
          <w:szCs w:val="22"/>
        </w:rPr>
        <w:tab/>
        <w:t>Que los niños y niñas de 6 años o menos tengan sus controles de salud al día.</w:t>
      </w:r>
    </w:p>
    <w:p w:rsidR="00000000" w:rsidRDefault="00000000">
      <w:pPr>
        <w:tabs>
          <w:tab w:val="left" w:pos="-1440"/>
        </w:tabs>
        <w:spacing w:after="240"/>
        <w:ind w:left="924" w:hanging="357"/>
        <w:rPr>
          <w:bCs/>
          <w:noProof/>
          <w:color w:val="000000"/>
          <w:szCs w:val="22"/>
        </w:rPr>
      </w:pPr>
      <w:r>
        <w:rPr>
          <w:bCs/>
          <w:noProof/>
          <w:color w:val="000000"/>
          <w:szCs w:val="22"/>
        </w:rPr>
        <w:t>-</w:t>
      </w:r>
      <w:r>
        <w:rPr>
          <w:bCs/>
          <w:noProof/>
          <w:color w:val="000000"/>
          <w:szCs w:val="22"/>
        </w:rPr>
        <w:tab/>
        <w:t>Que los miembros de la familia que sufren alguna enfermedad crónica, se encuentren bajo control médico en el centro de salud que corresponda.</w:t>
      </w:r>
    </w:p>
    <w:p w:rsidR="00000000" w:rsidRDefault="00000000">
      <w:pPr>
        <w:tabs>
          <w:tab w:val="left" w:pos="-1440"/>
        </w:tabs>
        <w:spacing w:after="240"/>
        <w:ind w:left="924" w:hanging="357"/>
        <w:rPr>
          <w:bCs/>
          <w:noProof/>
          <w:color w:val="000000"/>
          <w:szCs w:val="22"/>
        </w:rPr>
      </w:pPr>
      <w:r>
        <w:rPr>
          <w:bCs/>
          <w:noProof/>
          <w:color w:val="000000"/>
          <w:szCs w:val="22"/>
        </w:rPr>
        <w:t>-</w:t>
      </w:r>
      <w:r>
        <w:rPr>
          <w:bCs/>
          <w:noProof/>
          <w:color w:val="000000"/>
          <w:szCs w:val="22"/>
        </w:rPr>
        <w:tab/>
        <w:t>Que el o los miembros de la familia con discapacidad, susceptibles de ser rehabilitados, estén participando en algún programa de rehabilitación.</w:t>
      </w:r>
    </w:p>
    <w:p w:rsidR="00000000" w:rsidRDefault="00000000">
      <w:pPr>
        <w:spacing w:after="240"/>
        <w:outlineLvl w:val="0"/>
        <w:rPr>
          <w:b/>
          <w:iCs/>
          <w:noProof/>
          <w:color w:val="000000"/>
          <w:szCs w:val="22"/>
        </w:rPr>
      </w:pPr>
      <w:r>
        <w:rPr>
          <w:b/>
          <w:iCs/>
          <w:noProof/>
          <w:color w:val="000000"/>
          <w:szCs w:val="22"/>
        </w:rPr>
        <w:t>Párrafo 41.  Informes periódicos - CRC/C/58</w:t>
      </w:r>
    </w:p>
    <w:p w:rsidR="00000000" w:rsidRDefault="00000000">
      <w:pPr>
        <w:spacing w:after="240"/>
        <w:rPr>
          <w:bCs/>
          <w:noProof/>
          <w:color w:val="000000"/>
          <w:szCs w:val="22"/>
        </w:rPr>
      </w:pPr>
      <w:r>
        <w:rPr>
          <w:bCs/>
          <w:noProof/>
          <w:color w:val="000000"/>
          <w:szCs w:val="22"/>
        </w:rPr>
        <w:t>53.</w:t>
      </w:r>
      <w:r>
        <w:rPr>
          <w:bCs/>
          <w:noProof/>
          <w:color w:val="000000"/>
          <w:szCs w:val="22"/>
        </w:rPr>
        <w:tab/>
        <w:t>Toda muerte de un niño o niña requiere por ley certificación médica.  En dicho certificado de defunción debe registrarse la causa de muerte y el lugar de fallecimiento.  Todas las muertes de menores de 1 año son objeto de auditoría, determinándose en ellas las causas que la originaron.  Por otra parte las estadísticas demográficas de larga trayectoria en Chile, recaban periódicamente indicadores de mortalidad según sexo, edad y causales de mortalidad.</w:t>
      </w:r>
    </w:p>
    <w:p w:rsidR="00000000" w:rsidRDefault="00000000">
      <w:pPr>
        <w:spacing w:after="240"/>
        <w:jc w:val="center"/>
        <w:rPr>
          <w:b/>
          <w:noProof/>
          <w:color w:val="000000"/>
          <w:szCs w:val="22"/>
        </w:rPr>
      </w:pPr>
      <w:r>
        <w:rPr>
          <w:b/>
          <w:noProof/>
          <w:color w:val="000000"/>
          <w:szCs w:val="22"/>
        </w:rPr>
        <w:t>D.  Respeto a la opinión del niño (artículo 12)</w:t>
      </w:r>
    </w:p>
    <w:p w:rsidR="00000000" w:rsidRDefault="00000000">
      <w:pPr>
        <w:spacing w:after="240"/>
        <w:outlineLvl w:val="0"/>
        <w:rPr>
          <w:b/>
          <w:iCs/>
          <w:noProof/>
          <w:color w:val="000000"/>
          <w:szCs w:val="22"/>
        </w:rPr>
      </w:pPr>
      <w:r>
        <w:rPr>
          <w:b/>
          <w:iCs/>
          <w:noProof/>
          <w:color w:val="000000"/>
          <w:szCs w:val="22"/>
        </w:rPr>
        <w:t>Párrafo 42.  Informes periódicos - CRC/C/58</w:t>
      </w:r>
    </w:p>
    <w:p w:rsidR="00000000" w:rsidRDefault="00000000">
      <w:pPr>
        <w:pStyle w:val="BodyText"/>
        <w:widowControl/>
        <w:spacing w:after="240"/>
        <w:jc w:val="left"/>
        <w:rPr>
          <w:rFonts w:ascii="Times New Roman" w:hAnsi="Times New Roman"/>
          <w:bCs/>
          <w:szCs w:val="22"/>
          <w:lang w:val="es-ES"/>
        </w:rPr>
      </w:pPr>
      <w:r>
        <w:rPr>
          <w:rFonts w:ascii="Times New Roman" w:hAnsi="Times New Roman"/>
          <w:bCs/>
          <w:szCs w:val="22"/>
          <w:lang w:val="es-ES"/>
        </w:rPr>
        <w:t>54.</w:t>
      </w:r>
      <w:r>
        <w:rPr>
          <w:rFonts w:ascii="Times New Roman" w:hAnsi="Times New Roman"/>
          <w:bCs/>
          <w:szCs w:val="22"/>
          <w:lang w:val="es-ES"/>
        </w:rPr>
        <w:tab/>
        <w:t>La Constitución Política de la República de Chile garantiza a todas las personas, el derecho a emitir libremente su opinión, sin censura previa.  Al respecto remítase al segundo informe.</w:t>
      </w:r>
    </w:p>
    <w:p w:rsidR="00000000" w:rsidRDefault="00000000">
      <w:pPr>
        <w:keepNext/>
        <w:keepLines/>
        <w:spacing w:after="240"/>
        <w:outlineLvl w:val="0"/>
        <w:rPr>
          <w:b/>
          <w:iCs/>
          <w:noProof/>
          <w:color w:val="000000"/>
          <w:szCs w:val="22"/>
        </w:rPr>
      </w:pPr>
      <w:r>
        <w:rPr>
          <w:b/>
          <w:iCs/>
          <w:noProof/>
          <w:color w:val="000000"/>
          <w:szCs w:val="22"/>
        </w:rPr>
        <w:t>Párrafo 43.  Informes periódicos - CRC/C/58</w:t>
      </w:r>
    </w:p>
    <w:p w:rsidR="00000000" w:rsidRDefault="00000000">
      <w:pPr>
        <w:keepNext/>
        <w:keepLines/>
        <w:spacing w:after="240"/>
        <w:rPr>
          <w:bCs/>
          <w:noProof/>
          <w:color w:val="000000"/>
          <w:szCs w:val="22"/>
        </w:rPr>
      </w:pPr>
      <w:r>
        <w:rPr>
          <w:bCs/>
          <w:noProof/>
          <w:color w:val="000000"/>
          <w:szCs w:val="22"/>
        </w:rPr>
        <w:t>55.</w:t>
      </w:r>
      <w:r>
        <w:rPr>
          <w:bCs/>
          <w:noProof/>
          <w:color w:val="000000"/>
          <w:szCs w:val="22"/>
        </w:rPr>
        <w:tab/>
        <w:t>En el área educacional se promueve especialmente el derecho a la opinión a través de las reformas curriculares de los diversos niveles.  Además se han creado instrumentos especiales para ello, un ejemplo son las siguientes acciones:</w:t>
      </w:r>
    </w:p>
    <w:p w:rsidR="00000000" w:rsidRDefault="00000000">
      <w:pPr>
        <w:tabs>
          <w:tab w:val="left" w:pos="-1440"/>
        </w:tabs>
        <w:spacing w:after="240"/>
        <w:ind w:left="924" w:hanging="357"/>
        <w:rPr>
          <w:bCs/>
          <w:noProof/>
          <w:color w:val="000000"/>
          <w:szCs w:val="22"/>
        </w:rPr>
      </w:pPr>
      <w:r>
        <w:rPr>
          <w:bCs/>
          <w:noProof/>
          <w:color w:val="000000"/>
          <w:szCs w:val="22"/>
        </w:rPr>
        <w:t>-</w:t>
      </w:r>
      <w:r>
        <w:rPr>
          <w:bCs/>
          <w:noProof/>
          <w:color w:val="000000"/>
          <w:szCs w:val="22"/>
        </w:rPr>
        <w:tab/>
      </w:r>
      <w:r>
        <w:rPr>
          <w:bCs/>
          <w:i/>
          <w:iCs/>
          <w:noProof/>
          <w:color w:val="000000"/>
          <w:szCs w:val="22"/>
        </w:rPr>
        <w:t>Club de Niños del Servicio Fono Infancia</w:t>
      </w:r>
      <w:r>
        <w:rPr>
          <w:bCs/>
          <w:noProof/>
          <w:color w:val="000000"/>
          <w:szCs w:val="22"/>
        </w:rPr>
        <w:t>.  Se implementó a partir del año 2001 y tiene por propósito ofrecer un espacio de comunicación con niños y niñas de todo el país, recogiendo sus consultas, intereses, inquietudes y dificultades desde su propia perspectiva, cuenta con 450 socios entre 4 y 15 años.</w:t>
      </w:r>
    </w:p>
    <w:p w:rsidR="00000000" w:rsidRDefault="00000000">
      <w:pPr>
        <w:tabs>
          <w:tab w:val="left" w:pos="-1440"/>
        </w:tabs>
        <w:spacing w:after="240"/>
        <w:ind w:left="924" w:hanging="357"/>
        <w:rPr>
          <w:bCs/>
          <w:noProof/>
          <w:color w:val="000000"/>
          <w:szCs w:val="22"/>
        </w:rPr>
      </w:pPr>
      <w:r>
        <w:rPr>
          <w:bCs/>
          <w:noProof/>
          <w:color w:val="000000"/>
          <w:szCs w:val="22"/>
        </w:rPr>
        <w:t>-</w:t>
      </w:r>
      <w:r>
        <w:rPr>
          <w:bCs/>
          <w:noProof/>
          <w:color w:val="000000"/>
          <w:szCs w:val="22"/>
        </w:rPr>
        <w:tab/>
      </w:r>
      <w:r>
        <w:rPr>
          <w:bCs/>
          <w:i/>
          <w:iCs/>
          <w:noProof/>
          <w:color w:val="000000"/>
          <w:szCs w:val="22"/>
        </w:rPr>
        <w:t>Proyecto Escuchemos a los Niños</w:t>
      </w:r>
      <w:r>
        <w:rPr>
          <w:bCs/>
          <w:noProof/>
          <w:color w:val="000000"/>
          <w:szCs w:val="22"/>
        </w:rPr>
        <w:t>.  Su propósito es generar hechos noticiosos, donde los niños y niñas participen como sujetos de derechos, para contribuir a instalar en la agenda pública, los temas asociados a la infancia y la protección de sus derechos.  Se inició en el año 2000 y participan niños y niñas que asisten a 30 jardines infantiles en todas las regiones del país.</w:t>
      </w:r>
    </w:p>
    <w:p w:rsidR="00000000" w:rsidRDefault="00000000">
      <w:pPr>
        <w:tabs>
          <w:tab w:val="left" w:pos="-1440"/>
        </w:tabs>
        <w:spacing w:after="240"/>
        <w:ind w:left="924" w:hanging="357"/>
        <w:rPr>
          <w:bCs/>
          <w:noProof/>
          <w:color w:val="000000"/>
          <w:szCs w:val="22"/>
        </w:rPr>
      </w:pPr>
      <w:r>
        <w:rPr>
          <w:bCs/>
          <w:noProof/>
          <w:color w:val="000000"/>
          <w:szCs w:val="22"/>
        </w:rPr>
        <w:t>-</w:t>
      </w:r>
      <w:r>
        <w:rPr>
          <w:bCs/>
          <w:noProof/>
          <w:color w:val="000000"/>
          <w:szCs w:val="22"/>
        </w:rPr>
        <w:tab/>
      </w:r>
      <w:r>
        <w:rPr>
          <w:bCs/>
          <w:i/>
          <w:iCs/>
          <w:noProof/>
          <w:color w:val="000000"/>
          <w:szCs w:val="22"/>
        </w:rPr>
        <w:t>Realización de encuestas</w:t>
      </w:r>
      <w:r>
        <w:rPr>
          <w:bCs/>
          <w:noProof/>
          <w:color w:val="000000"/>
          <w:szCs w:val="22"/>
        </w:rPr>
        <w:t>.  De percepción de calidad de los servicios entregados a través de JUNAEB en los programas de salud, alimentación y campamentos escolares destinados a la población escolar.  Estas encuestas permiten evaluar y mejorar dichas prestaciones.  Los instrumentos aplicados están destinados a los niños y niñas, padres y profesores que participan de estos programas.</w:t>
      </w:r>
    </w:p>
    <w:p w:rsidR="00000000" w:rsidRDefault="00000000">
      <w:pPr>
        <w:tabs>
          <w:tab w:val="left" w:pos="-1440"/>
        </w:tabs>
        <w:spacing w:after="240"/>
        <w:ind w:left="924" w:hanging="357"/>
        <w:rPr>
          <w:bCs/>
          <w:noProof/>
          <w:color w:val="000000"/>
          <w:szCs w:val="22"/>
        </w:rPr>
      </w:pPr>
      <w:r>
        <w:rPr>
          <w:bCs/>
          <w:noProof/>
          <w:color w:val="000000"/>
          <w:szCs w:val="22"/>
        </w:rPr>
        <w:t>-</w:t>
      </w:r>
      <w:r>
        <w:rPr>
          <w:bCs/>
          <w:noProof/>
          <w:color w:val="000000"/>
          <w:szCs w:val="22"/>
        </w:rPr>
        <w:tab/>
      </w:r>
      <w:r>
        <w:rPr>
          <w:bCs/>
          <w:i/>
          <w:iCs/>
          <w:noProof/>
          <w:color w:val="000000"/>
          <w:szCs w:val="22"/>
        </w:rPr>
        <w:t>El programa MINEDUC 600</w:t>
      </w:r>
      <w:r>
        <w:rPr>
          <w:bCs/>
          <w:noProof/>
          <w:color w:val="000000"/>
          <w:szCs w:val="22"/>
        </w:rPr>
        <w:t>, que se detalla en la respuesta al párrafo 89 del documentos CRC/C/58 en el presente informe.</w:t>
      </w:r>
    </w:p>
    <w:p w:rsidR="00000000" w:rsidRDefault="00000000">
      <w:pPr>
        <w:spacing w:after="240"/>
        <w:rPr>
          <w:bCs/>
          <w:noProof/>
          <w:color w:val="000000"/>
          <w:szCs w:val="22"/>
        </w:rPr>
      </w:pPr>
      <w:r>
        <w:rPr>
          <w:bCs/>
          <w:noProof/>
          <w:color w:val="000000"/>
          <w:szCs w:val="22"/>
        </w:rPr>
        <w:t>56.</w:t>
      </w:r>
      <w:r>
        <w:rPr>
          <w:bCs/>
          <w:noProof/>
          <w:color w:val="000000"/>
          <w:szCs w:val="22"/>
        </w:rPr>
        <w:tab/>
        <w:t>La administración de justicia de los menores de edad, garantiza el derecho de los adolescentes a expresar su opinión, mediante la participación en la elaboración de los informes que se presentan a tribunales, teniendo en cuenta el de guardar silencio y de no inculparse sobre el acto que se le acusa, sin que esta actitud sea motivo de sanción.</w:t>
      </w:r>
    </w:p>
    <w:p w:rsidR="00000000" w:rsidRDefault="00000000">
      <w:pPr>
        <w:spacing w:after="240"/>
        <w:rPr>
          <w:bCs/>
          <w:noProof/>
          <w:color w:val="000000"/>
          <w:szCs w:val="22"/>
        </w:rPr>
      </w:pPr>
      <w:r>
        <w:rPr>
          <w:bCs/>
          <w:noProof/>
          <w:color w:val="000000"/>
          <w:szCs w:val="22"/>
        </w:rPr>
        <w:t>57.</w:t>
      </w:r>
      <w:r>
        <w:rPr>
          <w:bCs/>
          <w:noProof/>
          <w:color w:val="000000"/>
          <w:szCs w:val="22"/>
        </w:rPr>
        <w:tab/>
        <w:t>El Servicio Nacional de Menores ha desarrollado desde 1998 en adelante las siguientes acciones:</w:t>
      </w:r>
    </w:p>
    <w:p w:rsidR="00000000" w:rsidRDefault="00000000">
      <w:pPr>
        <w:tabs>
          <w:tab w:val="left" w:pos="-1440"/>
        </w:tabs>
        <w:spacing w:after="240"/>
        <w:ind w:left="924" w:hanging="357"/>
        <w:rPr>
          <w:bCs/>
          <w:noProof/>
          <w:color w:val="000000"/>
          <w:szCs w:val="22"/>
        </w:rPr>
      </w:pPr>
      <w:r>
        <w:rPr>
          <w:bCs/>
          <w:noProof/>
          <w:color w:val="000000"/>
          <w:szCs w:val="22"/>
        </w:rPr>
        <w:t>-</w:t>
      </w:r>
      <w:r>
        <w:rPr>
          <w:bCs/>
          <w:noProof/>
          <w:color w:val="000000"/>
          <w:szCs w:val="22"/>
        </w:rPr>
        <w:tab/>
        <w:t>Incorporación de los principios de consideración de la opinión del niño o niña y su familia en los asuntos que le conciernen.  Particularmente en el diseño y puesta en práctica del plan de intervención destinado a la superación de las situaciones de vulneración de derechos que les afecta y sobre las decisiones que les competen en las orientaciones técnicas de los diversos programas del área de protección de derechos.</w:t>
      </w:r>
    </w:p>
    <w:p w:rsidR="00000000" w:rsidRDefault="00000000">
      <w:pPr>
        <w:tabs>
          <w:tab w:val="left" w:pos="-1440"/>
        </w:tabs>
        <w:spacing w:after="240"/>
        <w:ind w:left="924" w:hanging="357"/>
        <w:rPr>
          <w:bCs/>
          <w:noProof/>
          <w:color w:val="000000"/>
          <w:szCs w:val="22"/>
        </w:rPr>
      </w:pPr>
      <w:r>
        <w:rPr>
          <w:bCs/>
          <w:noProof/>
          <w:color w:val="000000"/>
          <w:szCs w:val="22"/>
        </w:rPr>
        <w:t>-</w:t>
      </w:r>
      <w:r>
        <w:rPr>
          <w:bCs/>
          <w:noProof/>
          <w:color w:val="000000"/>
          <w:szCs w:val="22"/>
        </w:rPr>
        <w:tab/>
        <w:t>Mantención y fortalecimiento de una unidad de intervención jurídica que representa ante los tribunales los intereses de niños y niñas que han sido gravemente vulnerados en sus derechos mediante acciones constitutivas de delitos.</w:t>
      </w:r>
    </w:p>
    <w:p w:rsidR="00000000" w:rsidRDefault="00000000">
      <w:pPr>
        <w:tabs>
          <w:tab w:val="left" w:pos="-1440"/>
        </w:tabs>
        <w:spacing w:after="240"/>
        <w:ind w:left="924" w:hanging="357"/>
        <w:rPr>
          <w:bCs/>
          <w:noProof/>
          <w:color w:val="000000"/>
          <w:szCs w:val="22"/>
        </w:rPr>
      </w:pPr>
      <w:r>
        <w:rPr>
          <w:bCs/>
          <w:noProof/>
          <w:color w:val="000000"/>
          <w:szCs w:val="22"/>
        </w:rPr>
        <w:t>-</w:t>
      </w:r>
      <w:r>
        <w:rPr>
          <w:bCs/>
          <w:noProof/>
          <w:color w:val="000000"/>
          <w:szCs w:val="22"/>
        </w:rPr>
        <w:tab/>
        <w:t>En el nivel local, la modalidad de intervención de las OPD considera la opinión del niño o niña durante todo el proceso de intervención, y en los diversos ámbitos administrativos en que ha incursionado el programa.</w:t>
      </w:r>
    </w:p>
    <w:p w:rsidR="00000000" w:rsidRDefault="00000000">
      <w:pPr>
        <w:keepNext/>
        <w:keepLines/>
        <w:spacing w:after="240"/>
        <w:outlineLvl w:val="0"/>
        <w:rPr>
          <w:b/>
          <w:iCs/>
          <w:noProof/>
          <w:color w:val="000000"/>
          <w:szCs w:val="22"/>
        </w:rPr>
      </w:pPr>
      <w:r>
        <w:rPr>
          <w:b/>
          <w:iCs/>
          <w:noProof/>
          <w:color w:val="000000"/>
          <w:szCs w:val="22"/>
        </w:rPr>
        <w:t>Párrafo 44.  Informes periódicos - CRC/C/58</w:t>
      </w:r>
    </w:p>
    <w:p w:rsidR="00000000" w:rsidRDefault="00000000">
      <w:pPr>
        <w:keepNext/>
        <w:keepLines/>
        <w:spacing w:after="240"/>
        <w:rPr>
          <w:bCs/>
          <w:i/>
          <w:noProof/>
          <w:color w:val="000000"/>
          <w:szCs w:val="22"/>
        </w:rPr>
      </w:pPr>
      <w:r>
        <w:rPr>
          <w:bCs/>
          <w:noProof/>
          <w:color w:val="000000"/>
          <w:szCs w:val="22"/>
        </w:rPr>
        <w:t>58.</w:t>
      </w:r>
      <w:r>
        <w:rPr>
          <w:bCs/>
          <w:noProof/>
          <w:color w:val="000000"/>
          <w:szCs w:val="22"/>
        </w:rPr>
        <w:tab/>
        <w:t>Los tribunales de menores no tienen la obligación de escuchar a los adolescentes en los procesos, aunque algunos de ellos lo hacen.  Del mismo modo no siempre permiten la actuación de abogados en los procesos que ellos tramitan.  El SENAME cuenta, a través de instituciones colaboradoras, con proyectos de defensa jurídica en todas las regiones del país para resguardar el derecho de los niños y niñas a un debido proceso.  Por su parte en los oficios del Servicio de Registro Civil dirigidos a los tribunales con jurisdicción en lo civil, para aquellos casos en que los titulares de una inscripción de nacimiento son menores de edad, y sus padres requieren el cambio de sus nombres y/ o apellidos, se hace presente a los magistrados la importancia de que el niño o niña sea oído.</w:t>
      </w:r>
    </w:p>
    <w:p w:rsidR="00000000" w:rsidRDefault="00000000">
      <w:pPr>
        <w:keepNext/>
        <w:keepLines/>
        <w:spacing w:after="240"/>
        <w:outlineLvl w:val="0"/>
        <w:rPr>
          <w:b/>
          <w:iCs/>
          <w:noProof/>
          <w:color w:val="000000"/>
          <w:szCs w:val="22"/>
        </w:rPr>
      </w:pPr>
      <w:r>
        <w:rPr>
          <w:b/>
          <w:iCs/>
          <w:noProof/>
          <w:color w:val="000000"/>
          <w:szCs w:val="22"/>
        </w:rPr>
        <w:t>Párrafo 45.  Informes periódicos - CRC/C/58</w:t>
      </w:r>
    </w:p>
    <w:p w:rsidR="00000000" w:rsidRDefault="00000000">
      <w:pPr>
        <w:keepNext/>
        <w:keepLines/>
        <w:spacing w:after="240"/>
        <w:rPr>
          <w:bCs/>
          <w:noProof/>
          <w:color w:val="000000"/>
          <w:szCs w:val="22"/>
        </w:rPr>
      </w:pPr>
      <w:r>
        <w:rPr>
          <w:bCs/>
          <w:noProof/>
          <w:color w:val="000000"/>
          <w:szCs w:val="22"/>
        </w:rPr>
        <w:t>59.</w:t>
      </w:r>
      <w:r>
        <w:rPr>
          <w:bCs/>
          <w:noProof/>
          <w:color w:val="000000"/>
          <w:szCs w:val="22"/>
        </w:rPr>
        <w:tab/>
        <w:t>La Ley del deporte, posibilita la dictación de un curso para dirigentes deportivos escolares.  Los beneficiarios directos son adolescentes y miembros de la comunidad escolar, interesados en la promoción y formación de clubes deportivos escolares, dentro de la unidad educativa.  Esta actividad esta destinada al desarrollo de roles sociales y a la toma de decisiones de parte de los beneficiarios, mejorando la calidad de vida de niños y niñas.</w:t>
      </w:r>
    </w:p>
    <w:p w:rsidR="00000000" w:rsidRDefault="00000000">
      <w:pPr>
        <w:spacing w:after="240"/>
        <w:outlineLvl w:val="0"/>
        <w:rPr>
          <w:b/>
          <w:iCs/>
          <w:noProof/>
          <w:color w:val="000000"/>
          <w:szCs w:val="22"/>
        </w:rPr>
      </w:pPr>
      <w:r>
        <w:rPr>
          <w:b/>
          <w:iCs/>
          <w:noProof/>
          <w:color w:val="000000"/>
          <w:szCs w:val="22"/>
        </w:rPr>
        <w:t>Párrafo 46.  Informes periódicos - CRC/C/58</w:t>
      </w:r>
    </w:p>
    <w:p w:rsidR="00000000" w:rsidRDefault="00000000">
      <w:pPr>
        <w:spacing w:after="240"/>
        <w:rPr>
          <w:bCs/>
          <w:noProof/>
          <w:color w:val="000000"/>
          <w:szCs w:val="22"/>
        </w:rPr>
      </w:pPr>
      <w:r>
        <w:rPr>
          <w:bCs/>
          <w:noProof/>
          <w:color w:val="000000"/>
          <w:szCs w:val="22"/>
        </w:rPr>
        <w:t>60.</w:t>
      </w:r>
      <w:r>
        <w:rPr>
          <w:bCs/>
          <w:noProof/>
          <w:color w:val="000000"/>
          <w:szCs w:val="22"/>
        </w:rPr>
        <w:tab/>
        <w:t>El SENAME ha desarrollado, desde el año 2001, un programa de capacitación dirigido a los educadores de trato directo de los centros de administración directa, cuyos cursos incluyen la Convención sobre los Derechos del Niño y la compresión del proceso de desarrollo de niños y niñas.  A lo anterior se agregan los procesos de capacitación realizados a los profesionales de los proyectos administrados por instituciones colaboradoras.  Se capacitó a un total de 3.090 personas a partir de 2001.</w:t>
      </w:r>
    </w:p>
    <w:p w:rsidR="00000000" w:rsidRDefault="00000000">
      <w:pPr>
        <w:spacing w:after="240"/>
        <w:outlineLvl w:val="0"/>
        <w:rPr>
          <w:b/>
          <w:iCs/>
          <w:noProof/>
          <w:color w:val="000000"/>
          <w:szCs w:val="22"/>
        </w:rPr>
      </w:pPr>
      <w:r>
        <w:rPr>
          <w:b/>
          <w:iCs/>
          <w:noProof/>
          <w:color w:val="000000"/>
          <w:szCs w:val="22"/>
        </w:rPr>
        <w:t>Párrafo 47.  Informes periódicos - CRC/C/58</w:t>
      </w:r>
    </w:p>
    <w:p w:rsidR="00000000" w:rsidRDefault="00000000">
      <w:pPr>
        <w:spacing w:after="480"/>
        <w:rPr>
          <w:bCs/>
          <w:noProof/>
          <w:color w:val="000000"/>
          <w:szCs w:val="22"/>
        </w:rPr>
      </w:pPr>
      <w:r>
        <w:rPr>
          <w:bCs/>
          <w:noProof/>
          <w:color w:val="000000"/>
          <w:szCs w:val="22"/>
        </w:rPr>
        <w:t>61.</w:t>
      </w:r>
      <w:r>
        <w:rPr>
          <w:bCs/>
          <w:noProof/>
          <w:color w:val="000000"/>
          <w:szCs w:val="22"/>
        </w:rPr>
        <w:tab/>
        <w:t>El principio del respeto a la opinión del niño o niña, es considerado en los informes elaborados por los centros de tránsito y distribución, solicitados por los juzgados de menores para determinar la medida más adecuada a aplicar a aquéllos vulnerados en sus derechos o infractores de la Ley penal.  A pesar de los avances en incorporar los principios de la Convención sobre los Derechos del Niño en nuestro país, el derecho del niño o niña a expresar su opinión y a ser escuchado es una de las áreas que aún presenta grandes déficit tanto en el desarrollo de la acciones de intervención pública como en el ámbito judicial y legislativo.</w:t>
      </w:r>
    </w:p>
    <w:p w:rsidR="00000000" w:rsidRDefault="00000000">
      <w:pPr>
        <w:spacing w:after="240"/>
        <w:ind w:left="340" w:hanging="340"/>
        <w:jc w:val="center"/>
        <w:rPr>
          <w:b/>
          <w:noProof/>
          <w:color w:val="000000"/>
          <w:szCs w:val="22"/>
        </w:rPr>
      </w:pPr>
      <w:r>
        <w:rPr>
          <w:b/>
          <w:noProof/>
          <w:color w:val="000000"/>
          <w:szCs w:val="22"/>
        </w:rPr>
        <w:t>IV.  DERECHOS Y LIBERTADES CIVILES (ARTÍCULOS 7, 8, 13 A 17</w:t>
      </w:r>
      <w:r>
        <w:rPr>
          <w:b/>
          <w:noProof/>
          <w:color w:val="000000"/>
          <w:szCs w:val="22"/>
        </w:rPr>
        <w:br/>
        <w:t xml:space="preserve">Y APARTADO a) DEL ARTÍCULO 37, VER </w:t>
      </w:r>
      <w:r>
        <w:rPr>
          <w:b/>
          <w:i/>
          <w:iCs/>
          <w:noProof/>
          <w:color w:val="000000"/>
          <w:szCs w:val="22"/>
        </w:rPr>
        <w:t>INFRA</w:t>
      </w:r>
      <w:r>
        <w:rPr>
          <w:b/>
          <w:noProof/>
          <w:color w:val="000000"/>
          <w:szCs w:val="22"/>
        </w:rPr>
        <w:t>)</w:t>
      </w:r>
    </w:p>
    <w:p w:rsidR="00000000" w:rsidRDefault="00000000">
      <w:pPr>
        <w:spacing w:after="240"/>
        <w:outlineLvl w:val="0"/>
        <w:rPr>
          <w:b/>
          <w:iCs/>
          <w:noProof/>
          <w:color w:val="000000"/>
          <w:szCs w:val="22"/>
        </w:rPr>
      </w:pPr>
      <w:r>
        <w:rPr>
          <w:b/>
          <w:iCs/>
          <w:noProof/>
          <w:color w:val="000000"/>
          <w:szCs w:val="22"/>
        </w:rPr>
        <w:t>Párrafo 48.  Informes periódicos - CRC/C/58</w:t>
      </w:r>
    </w:p>
    <w:p w:rsidR="00000000" w:rsidRDefault="00000000">
      <w:pPr>
        <w:spacing w:after="240"/>
        <w:rPr>
          <w:bCs/>
          <w:noProof/>
          <w:color w:val="000000"/>
          <w:szCs w:val="22"/>
        </w:rPr>
      </w:pPr>
      <w:r>
        <w:rPr>
          <w:bCs/>
          <w:noProof/>
          <w:color w:val="000000"/>
          <w:szCs w:val="22"/>
        </w:rPr>
        <w:t>62.</w:t>
      </w:r>
      <w:r>
        <w:rPr>
          <w:bCs/>
          <w:noProof/>
          <w:color w:val="000000"/>
          <w:szCs w:val="22"/>
        </w:rPr>
        <w:tab/>
        <w:t>Se tiene presente que el Comité ha reiterado su preocupación por la vigencia de la Ley de menores de 1967, basada en la doctrina de la "situación irregular".  Si bien la Ley Nº 16.618 aún sigue vigente, durante el último tiempo se han realizado una serie de modificaciones con el objeto de adecuar sus normas a las necesidades reales como a los principios de la Convención.  La Ley Nº 19.806, de mayo de 2002, incorporó reformas acordes con la doctrina de la protección integral de los derechos de los niños y niñas.</w:t>
      </w:r>
    </w:p>
    <w:p w:rsidR="00000000" w:rsidRDefault="00000000">
      <w:pPr>
        <w:spacing w:after="200" w:line="238" w:lineRule="auto"/>
        <w:rPr>
          <w:bCs/>
          <w:noProof/>
          <w:color w:val="000000"/>
          <w:szCs w:val="22"/>
        </w:rPr>
      </w:pPr>
      <w:r>
        <w:rPr>
          <w:bCs/>
          <w:noProof/>
          <w:color w:val="000000"/>
          <w:szCs w:val="22"/>
        </w:rPr>
        <w:t>63.</w:t>
      </w:r>
      <w:r>
        <w:rPr>
          <w:bCs/>
          <w:noProof/>
          <w:color w:val="000000"/>
          <w:szCs w:val="22"/>
        </w:rPr>
        <w:tab/>
        <w:t>También observa con inquietud el Comité que la detención no se utiliza sólo como último recurso y que a menudo se recluye a los menores de edad en centros de detención de adultos.  La facultad de detención se vio claramente restringida.  En el caso de los niños y niñas que se encuentren en estado de amenaza o vulneración grave a sus derechos, dicha entidad policial deberá conducirlos hasta el hogar de sus padres o cuidadores, entregarlos e informar acerca de los hechos que motivaron la intervención judicial.  En caso que esté en peligro la integridad física y psíquica y fuere indispensable separarlos de su medio familiar o de las personas que los tuvieren bajo su cuidado, serán trasladados a un centro de tránsito y distribución dependiente del SENAME y se informará de esta situación al tribunal de menores correspondiente.  Según la modificación de 2002, constituye falta grave el recluir a menores de edad en conflicto con la ley en entidades distintas a los centros de observación y diagnóstico y a los establecimientos determinados por el Presidente de la República en los lugares en que no existen dichos centros.  También se prohíbe a los jefes de establecimientos de detención mantener a los menores de 18 años en comunicación con otros detenidos o presos mayores de edad.</w:t>
      </w:r>
    </w:p>
    <w:p w:rsidR="00000000" w:rsidRDefault="00000000">
      <w:pPr>
        <w:spacing w:after="200" w:line="238" w:lineRule="auto"/>
        <w:jc w:val="center"/>
        <w:outlineLvl w:val="0"/>
        <w:rPr>
          <w:b/>
          <w:noProof/>
          <w:color w:val="000000"/>
          <w:szCs w:val="22"/>
        </w:rPr>
      </w:pPr>
      <w:r>
        <w:rPr>
          <w:b/>
          <w:noProof/>
          <w:color w:val="000000"/>
          <w:szCs w:val="22"/>
        </w:rPr>
        <w:t>A.  Nombre y nacionalidad (artículo 7)</w:t>
      </w:r>
    </w:p>
    <w:p w:rsidR="00000000" w:rsidRDefault="00000000">
      <w:pPr>
        <w:spacing w:after="200" w:line="238" w:lineRule="auto"/>
        <w:outlineLvl w:val="0"/>
        <w:rPr>
          <w:b/>
          <w:noProof/>
          <w:color w:val="000000"/>
          <w:szCs w:val="22"/>
        </w:rPr>
      </w:pPr>
      <w:r>
        <w:rPr>
          <w:b/>
          <w:noProof/>
          <w:color w:val="000000"/>
          <w:szCs w:val="22"/>
        </w:rPr>
        <w:t>Párrafo 49.  Informes periódicos - CRC/C/58</w:t>
      </w:r>
    </w:p>
    <w:p w:rsidR="00000000" w:rsidRDefault="00000000">
      <w:pPr>
        <w:spacing w:after="200" w:line="238" w:lineRule="auto"/>
        <w:rPr>
          <w:bCs/>
          <w:noProof/>
          <w:color w:val="000000"/>
          <w:szCs w:val="22"/>
        </w:rPr>
      </w:pPr>
      <w:r>
        <w:rPr>
          <w:bCs/>
          <w:noProof/>
          <w:color w:val="000000"/>
          <w:szCs w:val="22"/>
        </w:rPr>
        <w:t>64.</w:t>
      </w:r>
      <w:r>
        <w:rPr>
          <w:bCs/>
          <w:noProof/>
          <w:color w:val="000000"/>
          <w:szCs w:val="22"/>
        </w:rPr>
        <w:tab/>
        <w:t xml:space="preserve">A partir del año 2001, los hospitales públicos cuentan con suboficinas del Servicio de Registro Civil e Identificación para la inscripción de los recién nacidos.  Además se inició un proceso progresivo de inscripción personalizada de nacimientos en las maternidades de los hospitales.  La Ley de filiación, estableció la obligación de este Servicio de entregar información por escrito, a toda persona que requiere la inscripción de un hijo nacido de una relación no matrimonial, sobre el derecho que le asiste para reclamar la filiación del niño o niña por la vía judicial, lo que puede acreditarse por pruebas periciales de carácter biológico.  </w:t>
      </w:r>
    </w:p>
    <w:p w:rsidR="00000000" w:rsidRDefault="00000000">
      <w:pPr>
        <w:spacing w:after="200" w:line="238" w:lineRule="auto"/>
        <w:rPr>
          <w:bCs/>
          <w:noProof/>
          <w:color w:val="000000"/>
          <w:szCs w:val="22"/>
        </w:rPr>
      </w:pPr>
      <w:r>
        <w:rPr>
          <w:bCs/>
          <w:noProof/>
          <w:color w:val="000000"/>
          <w:szCs w:val="22"/>
        </w:rPr>
        <w:t>65.</w:t>
      </w:r>
      <w:r>
        <w:rPr>
          <w:bCs/>
          <w:noProof/>
          <w:color w:val="000000"/>
          <w:szCs w:val="22"/>
        </w:rPr>
        <w:tab/>
        <w:t>Por su parte el sistema Chile Solidario, a través del Programa Puente, establece como condicion mínima para las familias beneficiarias:  que todos los miembros de la familia estén inscritos en el Registro Civil; y que todos los miembros de la familia tengan cédula de identidad.</w:t>
      </w:r>
    </w:p>
    <w:p w:rsidR="00000000" w:rsidRDefault="00000000">
      <w:pPr>
        <w:tabs>
          <w:tab w:val="left" w:pos="-1440"/>
        </w:tabs>
        <w:spacing w:after="200" w:line="238" w:lineRule="auto"/>
        <w:ind w:left="397" w:hanging="397"/>
        <w:jc w:val="center"/>
        <w:outlineLvl w:val="0"/>
        <w:rPr>
          <w:bCs/>
          <w:noProof/>
          <w:color w:val="000000"/>
          <w:szCs w:val="22"/>
        </w:rPr>
      </w:pPr>
      <w:r>
        <w:rPr>
          <w:b/>
          <w:noProof/>
          <w:color w:val="000000"/>
          <w:szCs w:val="22"/>
        </w:rPr>
        <w:t>H.  El derecho a no ser sometido a torturas ni a otros tratos</w:t>
      </w:r>
      <w:r>
        <w:rPr>
          <w:b/>
          <w:noProof/>
          <w:color w:val="000000"/>
          <w:szCs w:val="22"/>
        </w:rPr>
        <w:br/>
        <w:t>o penas crueles, inhumanos o degradantes</w:t>
      </w:r>
    </w:p>
    <w:p w:rsidR="00000000" w:rsidRDefault="00000000">
      <w:pPr>
        <w:spacing w:after="200" w:line="238" w:lineRule="auto"/>
        <w:outlineLvl w:val="0"/>
        <w:rPr>
          <w:b/>
          <w:iCs/>
          <w:noProof/>
          <w:color w:val="000000"/>
          <w:szCs w:val="22"/>
        </w:rPr>
      </w:pPr>
      <w:r>
        <w:rPr>
          <w:b/>
          <w:iCs/>
          <w:noProof/>
          <w:color w:val="000000"/>
          <w:szCs w:val="22"/>
        </w:rPr>
        <w:t>Párrafo 61.  Informes periódicos - CRC/C/58</w:t>
      </w:r>
    </w:p>
    <w:p w:rsidR="00000000" w:rsidRDefault="00000000">
      <w:pPr>
        <w:spacing w:after="200" w:line="238" w:lineRule="auto"/>
        <w:rPr>
          <w:bCs/>
          <w:noProof/>
          <w:color w:val="000000"/>
          <w:szCs w:val="22"/>
        </w:rPr>
      </w:pPr>
      <w:r>
        <w:rPr>
          <w:bCs/>
          <w:noProof/>
          <w:color w:val="000000"/>
          <w:szCs w:val="22"/>
        </w:rPr>
        <w:t>66.</w:t>
      </w:r>
      <w:r>
        <w:rPr>
          <w:bCs/>
          <w:noProof/>
          <w:color w:val="000000"/>
          <w:szCs w:val="22"/>
        </w:rPr>
        <w:tab/>
        <w:t>Con la Ley Nº 19.806 se modificó la Ley sobre maltrato en el ámbito extrafamiliar, estableciendo su radicación en los tribunales con competencia criminal, debido al término de la competencia penal de los tribunales de menores.</w:t>
      </w:r>
    </w:p>
    <w:p w:rsidR="00000000" w:rsidRDefault="00000000">
      <w:pPr>
        <w:spacing w:after="200" w:line="238" w:lineRule="auto"/>
        <w:rPr>
          <w:bCs/>
          <w:noProof/>
          <w:color w:val="000000"/>
          <w:szCs w:val="22"/>
        </w:rPr>
      </w:pPr>
      <w:r>
        <w:rPr>
          <w:bCs/>
          <w:noProof/>
          <w:color w:val="000000"/>
          <w:szCs w:val="22"/>
        </w:rPr>
        <w:t>67.</w:t>
      </w:r>
      <w:r>
        <w:rPr>
          <w:bCs/>
          <w:noProof/>
          <w:color w:val="000000"/>
          <w:szCs w:val="22"/>
        </w:rPr>
        <w:tab/>
        <w:t>Al Comité de los Derechos del Niño le preocupa que el castigo corporal de los niños y niñas siga siendo socialmente aceptable en Chile y aún se practique en las familias, en las escuelas y en otras instituciones, y que la legislación de Chile no prohíbe expresamente el castigo corporal.  El artículo 234 del Codigo Civil erradica la posibilidad que se les reconocía antes a los padres de castigar moderadamente a sus hijos, señalando que:  "Los padres tendrán la facultad de corregir a los hijos, cuidando que ello no menoscabe su salud ni su desarrollo personal".</w:t>
      </w:r>
    </w:p>
    <w:p w:rsidR="00000000" w:rsidRDefault="00000000">
      <w:pPr>
        <w:spacing w:after="480"/>
        <w:rPr>
          <w:bCs/>
          <w:noProof/>
          <w:color w:val="000000"/>
          <w:szCs w:val="22"/>
        </w:rPr>
      </w:pPr>
      <w:r>
        <w:rPr>
          <w:bCs/>
          <w:noProof/>
          <w:color w:val="000000"/>
          <w:szCs w:val="22"/>
        </w:rPr>
        <w:t>68.</w:t>
      </w:r>
      <w:r>
        <w:rPr>
          <w:bCs/>
          <w:noProof/>
          <w:color w:val="000000"/>
          <w:szCs w:val="22"/>
        </w:rPr>
        <w:tab/>
        <w:t>El castigo físico está estrictamente prohibido en los sistemas de atención de niños y niñas vulnerados en sus derechos o en conflicto con la justicia, quienes cometan esta acción son sumariados y sancionados de acuerdo a la gravedad de la situación.  Si un niño o niña al ingresar a un establecimiento, presenta señales de haber sido sometido a malos tratos, o si él denuncia malos tratos, se pide a los organismos policiales traer certificación médica, o es llevado a un centro médico para corroborar lesiones y se informa al tribunal pertinente.  Ver la respuesta al párrafo 89 del documento CRC/C/58 en este mismo informe.</w:t>
      </w:r>
    </w:p>
    <w:p w:rsidR="00000000" w:rsidRDefault="00000000">
      <w:pPr>
        <w:spacing w:after="240"/>
        <w:ind w:left="425" w:hanging="425"/>
        <w:jc w:val="center"/>
        <w:rPr>
          <w:b/>
          <w:noProof/>
          <w:color w:val="000000"/>
          <w:szCs w:val="22"/>
        </w:rPr>
      </w:pPr>
      <w:r>
        <w:rPr>
          <w:b/>
          <w:noProof/>
          <w:color w:val="000000"/>
          <w:szCs w:val="22"/>
        </w:rPr>
        <w:t>V.  ENTORNO FAMILIAR Y OTRO TIPO DE TUTELA (ARTÍCULO 5,</w:t>
      </w:r>
      <w:r>
        <w:rPr>
          <w:b/>
          <w:noProof/>
          <w:color w:val="000000"/>
          <w:szCs w:val="22"/>
        </w:rPr>
        <w:br/>
        <w:t>PÁRRAFOS 1 Y 2 DEL ARTÍCULO 18;  ARTÍCULOS 9 A 11; 21; 25;</w:t>
      </w:r>
      <w:r>
        <w:rPr>
          <w:b/>
          <w:noProof/>
          <w:color w:val="000000"/>
          <w:szCs w:val="22"/>
        </w:rPr>
        <w:br/>
        <w:t>PÁRRAFO 4 DEL ARTÍCULO 27; Y 39)</w:t>
      </w:r>
    </w:p>
    <w:p w:rsidR="00000000" w:rsidRDefault="00000000">
      <w:pPr>
        <w:spacing w:after="240"/>
        <w:jc w:val="center"/>
        <w:rPr>
          <w:b/>
          <w:noProof/>
          <w:color w:val="000000"/>
          <w:szCs w:val="22"/>
        </w:rPr>
      </w:pPr>
      <w:r>
        <w:rPr>
          <w:b/>
          <w:noProof/>
          <w:color w:val="000000"/>
          <w:szCs w:val="22"/>
        </w:rPr>
        <w:t>A.  La dirección y orientación parentales (artículo 5)</w:t>
      </w:r>
    </w:p>
    <w:p w:rsidR="00000000" w:rsidRDefault="00000000">
      <w:pPr>
        <w:spacing w:after="240"/>
        <w:outlineLvl w:val="0"/>
        <w:rPr>
          <w:b/>
          <w:iCs/>
          <w:noProof/>
          <w:color w:val="000000"/>
          <w:szCs w:val="22"/>
        </w:rPr>
      </w:pPr>
      <w:r>
        <w:rPr>
          <w:b/>
          <w:iCs/>
          <w:noProof/>
          <w:color w:val="000000"/>
          <w:szCs w:val="22"/>
        </w:rPr>
        <w:t>Párrafo 62.  Informes periódicos - CRC/C/58</w:t>
      </w:r>
    </w:p>
    <w:p w:rsidR="00000000" w:rsidRDefault="00000000">
      <w:pPr>
        <w:spacing w:after="240"/>
        <w:rPr>
          <w:bCs/>
          <w:noProof/>
          <w:color w:val="000000"/>
          <w:szCs w:val="22"/>
        </w:rPr>
      </w:pPr>
      <w:r>
        <w:rPr>
          <w:bCs/>
          <w:noProof/>
          <w:color w:val="000000"/>
          <w:szCs w:val="22"/>
        </w:rPr>
        <w:t>69.</w:t>
      </w:r>
      <w:r>
        <w:rPr>
          <w:bCs/>
          <w:noProof/>
          <w:color w:val="000000"/>
          <w:szCs w:val="22"/>
        </w:rPr>
        <w:tab/>
        <w:t>La Constitución de la República de Chile, en su artículo 1º establece que "La familia es el núcleo fundamental de la sociedad", sin distinguir a qué tipos de familia se refiere.  La Comisión Nacional de la Familia la ha definido como una unidad integrada por personas con identidades propias, unidas entre sí por vínculos de consanguinidad, filiación (biológica o adoptiva) y de alianza, que se mantiene y desarrolla en una situación de amor, de respeto y de protección, incluyendo las uniones de hecho, cuando ellas son estables.</w:t>
      </w:r>
    </w:p>
    <w:p w:rsidR="00000000" w:rsidRDefault="00000000">
      <w:pPr>
        <w:spacing w:after="240"/>
        <w:rPr>
          <w:bCs/>
          <w:noProof/>
          <w:color w:val="000000"/>
          <w:szCs w:val="22"/>
        </w:rPr>
      </w:pPr>
      <w:r>
        <w:rPr>
          <w:bCs/>
          <w:noProof/>
          <w:color w:val="000000"/>
          <w:szCs w:val="22"/>
        </w:rPr>
        <w:t>70.</w:t>
      </w:r>
      <w:r>
        <w:rPr>
          <w:bCs/>
          <w:noProof/>
          <w:color w:val="000000"/>
          <w:szCs w:val="22"/>
        </w:rPr>
        <w:tab/>
        <w:t>Por su parte la Ley de filiación de 1998, que modifica el Código Civil, establece en el acápite "De los derechos y obligaciones entre los padres e hijos", que:  "Los hijos deben respeto y obediencia a sus padres.  La preocupación fundamental de los padres es el interés superior del hijo, para lo cual procurarán su mayor realización espiritual y material posible, y lo guiarán en el ejercicio de los derechos esenciales que emanan de la naturaleza humana de modo conforme a la evolución de sus facultades".  Y agrega que "Toca de consuno a los padres, o al padre o madre sobreviviente, el cuidado personal de la crianza y educación de sus hijos".</w:t>
      </w:r>
    </w:p>
    <w:p w:rsidR="00000000" w:rsidRDefault="00000000">
      <w:pPr>
        <w:spacing w:after="240"/>
        <w:rPr>
          <w:bCs/>
          <w:noProof/>
          <w:color w:val="000000"/>
          <w:szCs w:val="22"/>
        </w:rPr>
      </w:pPr>
      <w:r>
        <w:rPr>
          <w:bCs/>
          <w:noProof/>
          <w:color w:val="000000"/>
          <w:szCs w:val="22"/>
        </w:rPr>
        <w:t>71.</w:t>
      </w:r>
      <w:r>
        <w:rPr>
          <w:bCs/>
          <w:noProof/>
          <w:color w:val="000000"/>
          <w:szCs w:val="22"/>
        </w:rPr>
        <w:tab/>
        <w:t>El cuidado personal del hijo o hija no concebido ni nacido durante el matrimonio, reconocido por uno de los padres, corresponde al padre o madre que lo haya reconocido.  Si no ha sido reconocido por ninguno de sus padres, la persona que tendrá su cuidado será determinada por el juez.  Si los padres viven separados, corresponde a la madre el cuidado personal del niño o niña.  Sin embargo la ley autoriza el pacto por escritura pública mediante el cual ambos padres otorgan el cuidado al padre, ya sea temporal o perpetuamente.  En todo caso, cuando el interés del hijo o hija lo haga indispensable, sea por maltrato, descuido y otra causa calificada, el juez podrá entregar su cuidado personal al otro padre, como lo señala el nuevo artículo 225 del Código Civil.</w:t>
      </w:r>
    </w:p>
    <w:p w:rsidR="00000000" w:rsidRDefault="00000000">
      <w:pPr>
        <w:spacing w:after="240"/>
        <w:rPr>
          <w:bCs/>
          <w:noProof/>
          <w:color w:val="000000"/>
          <w:szCs w:val="22"/>
        </w:rPr>
      </w:pPr>
      <w:r>
        <w:rPr>
          <w:bCs/>
          <w:noProof/>
          <w:color w:val="000000"/>
          <w:szCs w:val="22"/>
        </w:rPr>
        <w:t>72.</w:t>
      </w:r>
      <w:r>
        <w:rPr>
          <w:bCs/>
          <w:noProof/>
          <w:color w:val="000000"/>
          <w:szCs w:val="22"/>
        </w:rPr>
        <w:tab/>
        <w:t>Por su parte, el nuevo artículo 229 del Código Civil, reformula el tradicional "derecho de visitas" transformándolo ahora en el derecho</w:t>
      </w:r>
      <w:r>
        <w:rPr>
          <w:bCs/>
          <w:noProof/>
          <w:color w:val="000000"/>
          <w:szCs w:val="22"/>
        </w:rPr>
        <w:noBreakHyphen/>
        <w:t>deber del padre que no vive con sus hijos, a tener con ellos una relación directa y regular, la que se ejercerá con la frecuencia y libertad acordada con quien lo tiene a su cargo, o en su defecto, como el juez estimare conveniente para el hijo o hija.</w:t>
      </w:r>
    </w:p>
    <w:p w:rsidR="00000000" w:rsidRDefault="00000000">
      <w:pPr>
        <w:spacing w:after="200" w:line="238" w:lineRule="auto"/>
        <w:rPr>
          <w:bCs/>
          <w:noProof/>
          <w:color w:val="000000"/>
          <w:szCs w:val="22"/>
        </w:rPr>
      </w:pPr>
      <w:r>
        <w:rPr>
          <w:bCs/>
          <w:noProof/>
          <w:color w:val="000000"/>
          <w:szCs w:val="22"/>
        </w:rPr>
        <w:t>73.</w:t>
      </w:r>
      <w:r>
        <w:rPr>
          <w:bCs/>
          <w:noProof/>
          <w:color w:val="000000"/>
          <w:szCs w:val="22"/>
        </w:rPr>
        <w:tab/>
        <w:t>La Ley Nº 19.741 del 24 de julio de 2001, garantiza de mejor manera el bienestar material de los hijos e hijas menores de edad, introduciendo el concepto de una pensión alimenticia mínima de la que el alimentante sólo se puede eximir si prueba que no tiene los medios para otorgarla.  Por último, la falta o insuficiencia de los padres para proporcionar alimentos a sus hijos e hijas, da derecho a demandar a los abuelos de éstos, permitiendo ahora la ley, dirigirse primero en contra de los abuelos de la línea que no provee o que no lo hace suficientemente.</w:t>
      </w:r>
    </w:p>
    <w:p w:rsidR="00000000" w:rsidRDefault="00000000">
      <w:pPr>
        <w:spacing w:after="200" w:line="238" w:lineRule="auto"/>
        <w:rPr>
          <w:bCs/>
          <w:i/>
          <w:noProof/>
          <w:color w:val="000000"/>
          <w:szCs w:val="22"/>
        </w:rPr>
      </w:pPr>
      <w:r>
        <w:rPr>
          <w:bCs/>
          <w:noProof/>
          <w:color w:val="000000"/>
          <w:szCs w:val="22"/>
        </w:rPr>
        <w:t>74.</w:t>
      </w:r>
      <w:r>
        <w:rPr>
          <w:bCs/>
          <w:noProof/>
          <w:color w:val="000000"/>
          <w:szCs w:val="22"/>
        </w:rPr>
        <w:tab/>
        <w:t>El Servicio Nacional de la Mujer, SERNAM, ha desarrollado durante los últimos cuatro años una línea de trabajo de conciliación entre la vida laboral y familiar que a través de investigación y acciones de promoción busca que la sociedad otorgue a las personas (hombres y mujeres) más y mejores posibilidades para desempeñar sus responsabilidades familiares y laborales en forma armónica.  En ese marco se han desarrollado encuentros, premios y guías que contribuyen en esa dirección, ligándose el tema a la responsabilidad social corporativa.</w:t>
      </w:r>
    </w:p>
    <w:p w:rsidR="00000000" w:rsidRDefault="00000000">
      <w:pPr>
        <w:spacing w:after="200" w:line="238" w:lineRule="auto"/>
        <w:outlineLvl w:val="0"/>
        <w:rPr>
          <w:b/>
          <w:iCs/>
          <w:noProof/>
          <w:color w:val="000000"/>
          <w:szCs w:val="22"/>
        </w:rPr>
      </w:pPr>
      <w:r>
        <w:rPr>
          <w:b/>
          <w:iCs/>
          <w:noProof/>
          <w:color w:val="000000"/>
          <w:szCs w:val="22"/>
        </w:rPr>
        <w:t>Párrafo 63.  Informes periódicos - CRC/C/58</w:t>
      </w:r>
    </w:p>
    <w:p w:rsidR="00000000" w:rsidRDefault="00000000">
      <w:pPr>
        <w:numPr>
          <w:ilvl w:val="0"/>
          <w:numId w:val="27"/>
        </w:numPr>
        <w:tabs>
          <w:tab w:val="clear" w:pos="1080"/>
          <w:tab w:val="num" w:pos="-3686"/>
        </w:tabs>
        <w:spacing w:after="200" w:line="238" w:lineRule="auto"/>
        <w:ind w:left="0" w:firstLine="0"/>
        <w:rPr>
          <w:bCs/>
          <w:noProof/>
          <w:color w:val="000000"/>
          <w:szCs w:val="22"/>
        </w:rPr>
      </w:pPr>
      <w:r>
        <w:rPr>
          <w:bCs/>
          <w:noProof/>
          <w:color w:val="000000"/>
          <w:szCs w:val="22"/>
        </w:rPr>
        <w:t>El Gobierno dispone de diferentes herramientas para apoyar a las familias en el cumplimiento de su rol.  Las acciones principales en este ámbito son:</w:t>
      </w:r>
    </w:p>
    <w:p w:rsidR="00000000" w:rsidRDefault="00000000">
      <w:pPr>
        <w:tabs>
          <w:tab w:val="left" w:pos="-1440"/>
        </w:tabs>
        <w:spacing w:after="200" w:line="238" w:lineRule="auto"/>
        <w:ind w:left="924" w:hanging="357"/>
        <w:rPr>
          <w:bCs/>
          <w:noProof/>
          <w:color w:val="000000"/>
          <w:szCs w:val="22"/>
        </w:rPr>
      </w:pPr>
      <w:r>
        <w:rPr>
          <w:bCs/>
          <w:noProof/>
          <w:color w:val="000000"/>
          <w:szCs w:val="22"/>
        </w:rPr>
        <w:t>-</w:t>
      </w:r>
      <w:r>
        <w:rPr>
          <w:bCs/>
          <w:noProof/>
          <w:color w:val="000000"/>
          <w:szCs w:val="22"/>
        </w:rPr>
        <w:tab/>
        <w:t>Las oficinas de información, reclamos y sugerencias a cargo del Servicio Nacional de la Mujer.  En ellas se orienta a quienes consultan sobre los programas de formación relacionados con la familia que ofrecen distintas instituciones.  Se entrega asesoría en materias legales generales, derecho de familia y se da orientación especializada en los Centros de Atención y Prevención en Violencia Intrafamiliar.</w:t>
      </w:r>
    </w:p>
    <w:p w:rsidR="00000000" w:rsidRDefault="00000000">
      <w:pPr>
        <w:tabs>
          <w:tab w:val="left" w:pos="-1440"/>
        </w:tabs>
        <w:spacing w:after="200" w:line="238" w:lineRule="auto"/>
        <w:ind w:left="924" w:hanging="357"/>
        <w:rPr>
          <w:bCs/>
          <w:noProof/>
          <w:color w:val="000000"/>
          <w:szCs w:val="22"/>
        </w:rPr>
      </w:pPr>
      <w:r>
        <w:rPr>
          <w:bCs/>
          <w:noProof/>
          <w:color w:val="000000"/>
          <w:szCs w:val="22"/>
        </w:rPr>
        <w:t>-</w:t>
      </w:r>
      <w:r>
        <w:rPr>
          <w:bCs/>
          <w:noProof/>
          <w:color w:val="000000"/>
          <w:szCs w:val="22"/>
        </w:rPr>
        <w:tab/>
        <w:t xml:space="preserve">La reforma de la educación reconoce a la familia como el principal agente de socialización y educación de los niños y niñas.  La educación parvularia que genera espacios de participación de las familias con el objeto de potenciarlos como padres, agentes socializadores de sus hijos e hijas y actores sociales relevantes en la política educacional en los diferentes niveles del sistema.  </w:t>
      </w:r>
    </w:p>
    <w:p w:rsidR="00000000" w:rsidRDefault="00000000">
      <w:pPr>
        <w:tabs>
          <w:tab w:val="left" w:pos="-1440"/>
        </w:tabs>
        <w:spacing w:after="200" w:line="238" w:lineRule="auto"/>
        <w:ind w:left="924" w:hanging="357"/>
        <w:rPr>
          <w:bCs/>
          <w:noProof/>
          <w:color w:val="000000"/>
          <w:szCs w:val="22"/>
        </w:rPr>
      </w:pPr>
      <w:r>
        <w:rPr>
          <w:bCs/>
          <w:noProof/>
          <w:color w:val="000000"/>
          <w:szCs w:val="22"/>
        </w:rPr>
        <w:t>-</w:t>
      </w:r>
      <w:r>
        <w:rPr>
          <w:bCs/>
          <w:noProof/>
          <w:color w:val="000000"/>
          <w:szCs w:val="22"/>
        </w:rPr>
        <w:tab/>
        <w:t xml:space="preserve">En el ámbito programático se han generado diversas acciones, una de ellas cuenta con el apoyo de UNICEF, quien en conjunto con la Fundación de la Familia, Fundación para la Promoción de la Mujer y Fundación Íntegra realizan el programa "Te suena familiar" cuyo objetivo es apoyar a las familias a mejorar las relaciones entre sus integrantes.  </w:t>
      </w:r>
    </w:p>
    <w:p w:rsidR="00000000" w:rsidRDefault="00000000">
      <w:pPr>
        <w:tabs>
          <w:tab w:val="left" w:pos="-1440"/>
        </w:tabs>
        <w:spacing w:after="200" w:line="238" w:lineRule="auto"/>
        <w:ind w:left="924" w:hanging="357"/>
        <w:rPr>
          <w:bCs/>
          <w:noProof/>
          <w:color w:val="000000"/>
          <w:szCs w:val="22"/>
        </w:rPr>
      </w:pPr>
      <w:r>
        <w:rPr>
          <w:bCs/>
          <w:noProof/>
          <w:color w:val="000000"/>
          <w:szCs w:val="22"/>
        </w:rPr>
        <w:t>-</w:t>
      </w:r>
      <w:r>
        <w:rPr>
          <w:bCs/>
          <w:noProof/>
          <w:color w:val="000000"/>
          <w:szCs w:val="22"/>
        </w:rPr>
        <w:tab/>
        <w:t>Con el fin de apoyar a la familia en el año 2002 se firmó un Convenio con UNESCO para realizar el proyecto "Educando los primeros años", cuyo objetivo es promover en las familias prácticas educativas potenciadoras y contribuir a la sensibilización de las familias en torno a la importancia de los primeros años promoviendo la utilización de fuentes tecnológicas.  El proyecto beneficia a las familias de niños y niñas menores de</w:t>
      </w:r>
      <w:r>
        <w:t> </w:t>
      </w:r>
      <w:r>
        <w:rPr>
          <w:bCs/>
          <w:noProof/>
          <w:color w:val="000000"/>
          <w:szCs w:val="22"/>
        </w:rPr>
        <w:t>4 años que actualmente no asisten a ningún programa de educación parvularia.</w:t>
      </w:r>
    </w:p>
    <w:p w:rsidR="00000000" w:rsidRDefault="00000000">
      <w:pPr>
        <w:tabs>
          <w:tab w:val="left" w:pos="-1440"/>
        </w:tabs>
        <w:spacing w:after="200" w:line="238" w:lineRule="auto"/>
        <w:ind w:left="924" w:hanging="357"/>
        <w:rPr>
          <w:bCs/>
          <w:noProof/>
          <w:color w:val="000000"/>
          <w:szCs w:val="22"/>
        </w:rPr>
      </w:pPr>
      <w:r>
        <w:rPr>
          <w:bCs/>
          <w:noProof/>
          <w:color w:val="000000"/>
          <w:szCs w:val="22"/>
        </w:rPr>
        <w:t>-</w:t>
      </w:r>
      <w:r>
        <w:rPr>
          <w:bCs/>
          <w:noProof/>
          <w:color w:val="000000"/>
          <w:szCs w:val="22"/>
        </w:rPr>
        <w:tab/>
        <w:t>El servicio telefónico Fonoinfancia es un recurso de apoyo gratuito de orientación a la crianza, de cobertura nacional dirigido a padres y adultos responsables de niños y niñas, conformado por un equipo de profesionales expertos (psicólogas y asistentes sociales).  Se trabaja en prevención de conductas agresivas de padres y madres hacia su hijos e hijas y de fortalecimiento de sus competencias parentales.  En el año 2003 se inició.</w:t>
      </w:r>
    </w:p>
    <w:p w:rsidR="00000000" w:rsidRDefault="00000000">
      <w:pPr>
        <w:keepNext/>
        <w:keepLines/>
        <w:spacing w:after="240"/>
        <w:jc w:val="center"/>
        <w:rPr>
          <w:b/>
          <w:noProof/>
          <w:color w:val="000000"/>
          <w:szCs w:val="22"/>
        </w:rPr>
      </w:pPr>
      <w:r>
        <w:rPr>
          <w:b/>
          <w:noProof/>
          <w:szCs w:val="22"/>
        </w:rPr>
        <w:t>B.  Las responsabilidades de los padres</w:t>
      </w:r>
    </w:p>
    <w:p w:rsidR="00000000" w:rsidRDefault="00000000">
      <w:pPr>
        <w:keepNext/>
        <w:keepLines/>
        <w:spacing w:after="240"/>
        <w:outlineLvl w:val="0"/>
        <w:rPr>
          <w:b/>
          <w:iCs/>
          <w:noProof/>
          <w:color w:val="000000"/>
          <w:szCs w:val="22"/>
        </w:rPr>
      </w:pPr>
      <w:r>
        <w:rPr>
          <w:b/>
          <w:iCs/>
          <w:noProof/>
          <w:color w:val="000000"/>
          <w:szCs w:val="22"/>
        </w:rPr>
        <w:t>Párrafo 65.  Informes periódicos - CRC/C/58</w:t>
      </w:r>
    </w:p>
    <w:p w:rsidR="00000000" w:rsidRDefault="00000000">
      <w:pPr>
        <w:spacing w:after="240"/>
        <w:rPr>
          <w:bCs/>
          <w:noProof/>
          <w:color w:val="000000"/>
          <w:szCs w:val="22"/>
        </w:rPr>
      </w:pPr>
      <w:r>
        <w:rPr>
          <w:bCs/>
          <w:noProof/>
          <w:color w:val="000000"/>
          <w:szCs w:val="22"/>
        </w:rPr>
        <w:t>76.</w:t>
      </w:r>
      <w:r>
        <w:rPr>
          <w:bCs/>
          <w:noProof/>
          <w:color w:val="000000"/>
          <w:szCs w:val="22"/>
        </w:rPr>
        <w:tab/>
        <w:t>La Política Nacional y Plan de Acción Integrado en favor de la Infancia y la Adolescencia 2001</w:t>
      </w:r>
      <w:r>
        <w:rPr>
          <w:bCs/>
          <w:noProof/>
          <w:color w:val="000000"/>
          <w:szCs w:val="22"/>
        </w:rPr>
        <w:noBreakHyphen/>
        <w:t>2010, actualmente en ejecución, contiene un área estratégica de intervención denominada "Apoyo al fortalecimiento de las familias como principales responsables del desarrollo integral de sus hijos e hijas" que incluye acciones especialmente destinadas garantizar la participación igualitaria de padre y madre respecto de sus hijos e hijas.  Algunas de estas acciones son.</w:t>
      </w:r>
    </w:p>
    <w:p w:rsidR="00000000" w:rsidRDefault="00000000">
      <w:pPr>
        <w:spacing w:after="240"/>
        <w:rPr>
          <w:bCs/>
          <w:noProof/>
          <w:color w:val="000000"/>
          <w:szCs w:val="22"/>
        </w:rPr>
      </w:pPr>
      <w:r>
        <w:rPr>
          <w:bCs/>
          <w:noProof/>
          <w:color w:val="000000"/>
          <w:szCs w:val="22"/>
        </w:rPr>
        <w:t>77.</w:t>
      </w:r>
      <w:r>
        <w:rPr>
          <w:bCs/>
          <w:noProof/>
          <w:color w:val="000000"/>
          <w:szCs w:val="22"/>
        </w:rPr>
        <w:tab/>
        <w:t xml:space="preserve">Durante el año 2001, se elaboró un "Marco Orientador para la Acción Gubernamental en favor de las Familias", que persigue potenciar y dar un enfoque común a las distintas iniciativas que diferentes sectores están implementando.  Este marco incluye dentro de sus principios:  protección de las familias como espacios generadores y reproductores de relaciones basadas en el afecto, el respeto mutuo, la confianza, la aceptación incondicional, la reciprocidad y la solidaridad entre todos sus miembros; igualdad de derechos y deberes entre mujeres y hombres en el desempeño de sus roles y responsabilidades familiares; equidad en el ejercicio de los derechos culturales, económicos, sociales y políticos de todos sus miembros.  </w:t>
      </w:r>
    </w:p>
    <w:p w:rsidR="00000000" w:rsidRDefault="00000000">
      <w:pPr>
        <w:spacing w:after="240"/>
        <w:outlineLvl w:val="0"/>
        <w:rPr>
          <w:b/>
          <w:iCs/>
          <w:noProof/>
          <w:color w:val="000000"/>
          <w:szCs w:val="22"/>
        </w:rPr>
      </w:pPr>
      <w:r>
        <w:rPr>
          <w:b/>
          <w:iCs/>
          <w:noProof/>
          <w:color w:val="000000"/>
          <w:szCs w:val="22"/>
        </w:rPr>
        <w:t>Párrafo 66.  Informes periódicos - CRC/C/58</w:t>
      </w:r>
    </w:p>
    <w:p w:rsidR="00000000" w:rsidRDefault="00000000">
      <w:pPr>
        <w:spacing w:after="240"/>
        <w:rPr>
          <w:bCs/>
          <w:noProof/>
          <w:color w:val="000000"/>
          <w:szCs w:val="22"/>
        </w:rPr>
      </w:pPr>
      <w:r>
        <w:rPr>
          <w:bCs/>
          <w:noProof/>
          <w:color w:val="000000"/>
          <w:szCs w:val="22"/>
        </w:rPr>
        <w:t>78.</w:t>
      </w:r>
      <w:r>
        <w:rPr>
          <w:bCs/>
          <w:noProof/>
          <w:color w:val="000000"/>
          <w:szCs w:val="22"/>
        </w:rPr>
        <w:tab/>
        <w:t>Respecto a la preocupación del Comité de los Derechos del Niño sobre el sistema de asistencia a los padres y a los tutores legales en el desempeño de sus funciones de crianza de los niños y niñas aún sea insuficiente.  En particular respecto de las familias monoparentales, el Gobierno dispone de nuevas políticas y programas cuyo eje central de atención son las familias:</w:t>
      </w:r>
    </w:p>
    <w:p w:rsidR="00000000" w:rsidRDefault="00000000">
      <w:pPr>
        <w:spacing w:after="240"/>
        <w:ind w:left="1134" w:hanging="567"/>
        <w:rPr>
          <w:bCs/>
          <w:noProof/>
          <w:color w:val="000000"/>
          <w:szCs w:val="22"/>
        </w:rPr>
      </w:pPr>
      <w:r>
        <w:rPr>
          <w:bCs/>
          <w:noProof/>
          <w:color w:val="000000"/>
          <w:szCs w:val="22"/>
        </w:rPr>
        <w:t>a)</w:t>
      </w:r>
      <w:r>
        <w:rPr>
          <w:bCs/>
          <w:noProof/>
          <w:color w:val="000000"/>
          <w:szCs w:val="22"/>
        </w:rPr>
        <w:tab/>
        <w:t xml:space="preserve">Se ha iniciado una línea de trabajo en conjunto con UNICEF.  Su objetivo es formar agentes o técnicos sociales del nivel local en esta temática.  Durante el año 2002 se realizó un ciclo de encuentros con personas que trabajan en el nivel local con familias, en programas de diverso tipo:  oficinas o programas de infancia, programas de erradicación de la extrema pobreza, programa de violencia intrafamiliar o maltrato infantil, entre otros.  </w:t>
      </w:r>
    </w:p>
    <w:p w:rsidR="00000000" w:rsidRDefault="00000000">
      <w:pPr>
        <w:spacing w:after="240"/>
        <w:ind w:left="1134" w:hanging="567"/>
        <w:rPr>
          <w:bCs/>
          <w:noProof/>
          <w:color w:val="000000"/>
          <w:szCs w:val="22"/>
        </w:rPr>
      </w:pPr>
      <w:r>
        <w:rPr>
          <w:bCs/>
          <w:noProof/>
          <w:color w:val="000000"/>
          <w:szCs w:val="22"/>
        </w:rPr>
        <w:t>b)</w:t>
      </w:r>
      <w:r>
        <w:rPr>
          <w:bCs/>
          <w:noProof/>
          <w:color w:val="000000"/>
          <w:szCs w:val="22"/>
        </w:rPr>
        <w:tab/>
        <w:t>Destaca la continuidad del programa destinado a las familias monoparentales (1991</w:t>
      </w:r>
      <w:r>
        <w:rPr>
          <w:bCs/>
          <w:noProof/>
          <w:color w:val="000000"/>
          <w:szCs w:val="22"/>
        </w:rPr>
        <w:noBreakHyphen/>
        <w:t xml:space="preserve">2002), a través del SERNAM dirigido a mujeres jefas de hogar, llamado "Programa de habilitación laboral para mujeres de escasos recursos, preferentemente jefas de hogar", PJM.  En los últimos años benefició indirectamente a los niños y niñas, hijos de estas mujeres.  Además implementó una línea de cuidado infantil en coordinación con otras instituciones gubernamentales.  </w:t>
      </w:r>
    </w:p>
    <w:p w:rsidR="00000000" w:rsidRDefault="00000000">
      <w:pPr>
        <w:spacing w:after="240"/>
        <w:ind w:left="1134" w:hanging="567"/>
        <w:rPr>
          <w:bCs/>
          <w:noProof/>
          <w:color w:val="000000"/>
          <w:szCs w:val="22"/>
        </w:rPr>
      </w:pPr>
      <w:r>
        <w:rPr>
          <w:bCs/>
          <w:noProof/>
          <w:color w:val="000000"/>
          <w:szCs w:val="22"/>
        </w:rPr>
        <w:t>c)</w:t>
      </w:r>
      <w:r>
        <w:rPr>
          <w:bCs/>
          <w:noProof/>
          <w:color w:val="000000"/>
          <w:szCs w:val="22"/>
        </w:rPr>
        <w:tab/>
        <w:t>Asimismo en el ámbito educacional, el programa "Escuelas saludables", consistente en un fondo concursable para abordar factores de riesgo en los proyectos de promoción de salud de escuelas saludables, incorpora activamente la participación de los padres.  Se encuentran en ejecución 151 proyectos en el país, prioritariamente en escuelas básicas subvencionadas.  El programa ha favorecido a 91.863 alumnos y 54.430 padres.</w:t>
      </w:r>
    </w:p>
    <w:p w:rsidR="00000000" w:rsidRDefault="00000000">
      <w:pPr>
        <w:spacing w:after="240"/>
        <w:ind w:left="1134" w:hanging="567"/>
        <w:rPr>
          <w:bCs/>
          <w:noProof/>
          <w:color w:val="000000"/>
          <w:szCs w:val="22"/>
        </w:rPr>
      </w:pPr>
      <w:r>
        <w:rPr>
          <w:bCs/>
          <w:noProof/>
          <w:color w:val="000000"/>
          <w:szCs w:val="22"/>
        </w:rPr>
        <w:t>d)</w:t>
      </w:r>
      <w:r>
        <w:rPr>
          <w:bCs/>
          <w:noProof/>
          <w:color w:val="000000"/>
          <w:szCs w:val="22"/>
        </w:rPr>
        <w:tab/>
        <w:t xml:space="preserve">Para aquellas familias que se encuentran en la extrema pobreza el sistema de protección Chile Solidario ha establecido protocolos de cooperación con diferentes instituciones públicas a objeto de sacar de la indigencia a las 225.000 familias más pobres del país.  Junto a ello la estrategia de intervención del programa incorpora </w:t>
      </w:r>
      <w:r>
        <w:rPr>
          <w:bCs/>
          <w:noProof/>
          <w:szCs w:val="22"/>
        </w:rPr>
        <w:t xml:space="preserve">aspectos </w:t>
      </w:r>
      <w:r>
        <w:rPr>
          <w:bCs/>
          <w:noProof/>
          <w:color w:val="000000"/>
          <w:szCs w:val="22"/>
        </w:rPr>
        <w:t>relacionados con la dinámica familiar, que la familia se compromete a cumplir:  que existan en la familia prácticas cotidianas de conversación sobre temas como hábitos, horarios y espacios para la recreación; que la familia cuente con mecanismos adecuados para enfrentar conflictos; que existan normas claras de convivencia al interior de la familia; que exista una distribución equitativa de las tareas del hogar; que la familia conozca los recursos comunitarios y los programas de desarrollo disponibles en la red local (clubes deportivos, centros del adulto mayor, grupos de iniciativa, organizaciones de la comunidad, entre los principales); que, en caso que exista violencia intrafamiliar, las personas involucradas directamente en esta situación estén incorporadas a algún programa de apoyo; que la familia que tiene interno un niño o niña en algún sistema de protección, lo visite regularmente; que la familia que tiene algún joven privado de libertad, lo apoye y colabore en el programa de rehabilitación.</w:t>
      </w:r>
    </w:p>
    <w:p w:rsidR="00000000" w:rsidRDefault="00000000">
      <w:pPr>
        <w:spacing w:after="240"/>
        <w:ind w:left="1134" w:hanging="567"/>
        <w:rPr>
          <w:bCs/>
          <w:noProof/>
          <w:color w:val="000000"/>
          <w:szCs w:val="22"/>
        </w:rPr>
      </w:pPr>
      <w:r>
        <w:rPr>
          <w:bCs/>
          <w:noProof/>
          <w:color w:val="000000"/>
          <w:szCs w:val="22"/>
        </w:rPr>
        <w:t>e)</w:t>
      </w:r>
      <w:r>
        <w:rPr>
          <w:bCs/>
          <w:noProof/>
          <w:color w:val="000000"/>
          <w:szCs w:val="22"/>
        </w:rPr>
        <w:tab/>
        <w:t>En el caso específico de los servicios de protección de derechos para niños y niñas víctimas de vulneración de sus derechos y de atención a adolescentes en conflicto con la justicia, la oferta programática del SENAME, tiene como eje transversal el trabajo e intervención con las familias de los niños y niñas atendidos.  La familia asume una serie de responsabilidades y deberes que son la contrapartida del derecho primordial de los niños y niñas a vivir en familia.</w:t>
      </w:r>
    </w:p>
    <w:p w:rsidR="00000000" w:rsidRDefault="00000000">
      <w:pPr>
        <w:spacing w:after="240"/>
        <w:ind w:left="1134" w:hanging="567"/>
        <w:rPr>
          <w:bCs/>
          <w:noProof/>
          <w:color w:val="000000"/>
          <w:szCs w:val="22"/>
        </w:rPr>
      </w:pPr>
      <w:r>
        <w:rPr>
          <w:bCs/>
          <w:noProof/>
          <w:color w:val="000000"/>
          <w:szCs w:val="22"/>
        </w:rPr>
        <w:t>f)</w:t>
      </w:r>
      <w:r>
        <w:rPr>
          <w:bCs/>
          <w:noProof/>
          <w:color w:val="000000"/>
          <w:szCs w:val="22"/>
        </w:rPr>
        <w:tab/>
        <w:t>Las Oficinas de Protección de Derechos de Sename (OPD), implementan acciones psicoeducativas dirigidas a los padres o adultos significativos, con el objetivo de entregarles herramientas suficientes para que estén en condiciones de contribuir efectivamente a conservar la vida y cuidar del desarrollo integral de los niños y niñas.  También se destaca la implementación de proyectos de fortalecimiento familiar en la red de protección de derechos, que tienen por objetivo favorecer la reinserción familiar de niños y niñas internados en centros residenciales de protección, y evitar la internación.  Igualmente en los centros de diagnóstico se ha generado una línea de intervención breve, a fin de tratar aquellas problemáticas que pueden ser abordadas sin separar al niño o niña de su familia.  En los centros de prevención, especialmente los Centros Comunitarios Infanto Juveniles, la línea de trabajo con la familia para mejorar el desempeño de los roles parentales es de máxima importancia.</w:t>
      </w:r>
    </w:p>
    <w:p w:rsidR="00000000" w:rsidRDefault="00000000">
      <w:pPr>
        <w:spacing w:after="240"/>
        <w:jc w:val="center"/>
        <w:rPr>
          <w:b/>
          <w:noProof/>
          <w:szCs w:val="22"/>
        </w:rPr>
      </w:pPr>
      <w:r>
        <w:rPr>
          <w:b/>
          <w:noProof/>
          <w:szCs w:val="22"/>
        </w:rPr>
        <w:t>C.  La separación de los padres</w:t>
      </w:r>
    </w:p>
    <w:p w:rsidR="00000000" w:rsidRDefault="00000000">
      <w:pPr>
        <w:spacing w:after="240"/>
        <w:outlineLvl w:val="0"/>
        <w:rPr>
          <w:b/>
          <w:iCs/>
          <w:noProof/>
          <w:color w:val="000000"/>
          <w:szCs w:val="22"/>
        </w:rPr>
      </w:pPr>
      <w:r>
        <w:rPr>
          <w:b/>
          <w:iCs/>
          <w:noProof/>
          <w:color w:val="000000"/>
          <w:szCs w:val="22"/>
        </w:rPr>
        <w:t xml:space="preserve">Párrafo 68.  Informes periódicos </w:t>
      </w:r>
      <w:r>
        <w:rPr>
          <w:b/>
          <w:iCs/>
          <w:noProof/>
          <w:color w:val="000000"/>
          <w:szCs w:val="22"/>
        </w:rPr>
        <w:noBreakHyphen/>
        <w:t xml:space="preserve"> CRC/C/58</w:t>
      </w:r>
    </w:p>
    <w:p w:rsidR="00000000" w:rsidRDefault="00000000">
      <w:pPr>
        <w:spacing w:after="240"/>
        <w:rPr>
          <w:bCs/>
          <w:noProof/>
          <w:color w:val="000000"/>
          <w:szCs w:val="22"/>
        </w:rPr>
      </w:pPr>
      <w:r>
        <w:rPr>
          <w:bCs/>
          <w:noProof/>
          <w:color w:val="000000"/>
          <w:szCs w:val="22"/>
        </w:rPr>
        <w:t>79.</w:t>
      </w:r>
      <w:r>
        <w:rPr>
          <w:bCs/>
          <w:noProof/>
          <w:color w:val="000000"/>
          <w:szCs w:val="22"/>
        </w:rPr>
        <w:tab/>
        <w:t>En la actualidad, la única autoridad competente para determinar una medida que implique la separación del niño o niña de los padres es el Tribunal de Menores.</w:t>
      </w:r>
    </w:p>
    <w:p w:rsidR="00000000" w:rsidRDefault="00000000">
      <w:pPr>
        <w:keepLines/>
        <w:spacing w:after="240"/>
        <w:rPr>
          <w:bCs/>
          <w:noProof/>
          <w:color w:val="000000"/>
          <w:szCs w:val="22"/>
        </w:rPr>
      </w:pPr>
      <w:r>
        <w:rPr>
          <w:bCs/>
          <w:noProof/>
          <w:color w:val="000000"/>
          <w:szCs w:val="22"/>
        </w:rPr>
        <w:t>80.</w:t>
      </w:r>
      <w:r>
        <w:rPr>
          <w:bCs/>
          <w:noProof/>
          <w:color w:val="000000"/>
          <w:szCs w:val="22"/>
        </w:rPr>
        <w:tab/>
        <w:t>En cuanto a las medidas que pueden aplicar los tribunales de menores, se deben distinguir las medidas aplicables a los niños y niñas gravemente vulnerados o amenazados en sus derechos de aquellas que pueden ser aplicadas a aquellos infractores de ley menores de 16 años y a los mayores de esa edad pero menores de 18 años que han obrado sin discernimiento:</w:t>
      </w:r>
    </w:p>
    <w:p w:rsidR="00000000" w:rsidRDefault="00000000">
      <w:pPr>
        <w:spacing w:after="240"/>
        <w:ind w:left="1134" w:hanging="567"/>
        <w:rPr>
          <w:bCs/>
          <w:noProof/>
          <w:color w:val="000000"/>
          <w:szCs w:val="22"/>
        </w:rPr>
      </w:pPr>
      <w:r>
        <w:rPr>
          <w:bCs/>
          <w:noProof/>
          <w:color w:val="000000"/>
          <w:szCs w:val="22"/>
        </w:rPr>
        <w:t>a)</w:t>
      </w:r>
      <w:r>
        <w:rPr>
          <w:bCs/>
          <w:noProof/>
          <w:color w:val="000000"/>
          <w:szCs w:val="22"/>
        </w:rPr>
        <w:tab/>
        <w:t>En el primer caso, el nuevo artículo 30 de la Ley de menores establece que el Tribunal de Menores, podrá disponer la concurrencia a programas o acciones de apoyo, reparación, u orientación a los niños y niñas, padres o a las personas que lo tengan a su cuidado o bien, disponer el ingreso a un Centro de Tránsito y Distribución (CTD), hogar substituto o establecimiento residencial bajo los presupuestos establecidos en la ley.  La medida de internación tiene un carácter esencialmente temporal no pudiendo ser superior a 1 año, sujeta a revisión en el plazo de 6 meses, teniéndose a la vista los informes del encargado del centro o hogar respectivo.  Esta medida se puede renovar si subsisten las causales que le dieron origen.</w:t>
      </w:r>
    </w:p>
    <w:p w:rsidR="00000000" w:rsidRDefault="00000000">
      <w:pPr>
        <w:spacing w:after="240"/>
        <w:ind w:left="1134" w:hanging="567"/>
        <w:rPr>
          <w:bCs/>
          <w:noProof/>
          <w:color w:val="000000"/>
          <w:szCs w:val="22"/>
        </w:rPr>
      </w:pPr>
      <w:r>
        <w:rPr>
          <w:bCs/>
          <w:noProof/>
          <w:color w:val="000000"/>
          <w:szCs w:val="22"/>
        </w:rPr>
        <w:t>b)</w:t>
      </w:r>
      <w:r>
        <w:rPr>
          <w:bCs/>
          <w:noProof/>
          <w:color w:val="000000"/>
          <w:szCs w:val="22"/>
        </w:rPr>
        <w:tab/>
        <w:t>En tanto, el Tribunal de Menores puede aplicar algunas de las medidas contenidas en la Ley de menores a los infractores menores de 16 años y a los mayores de esa edad pero menores de 18 años que han obrado sin discernimiento.  En virtud de la modificación operada por las normas adecuatorias, el Tribunal podrá confiar al adolescente "a los establecimientos especiales de tránsito o rehabilitación que esta ley señala, según corresponda".  Las prestaciones de protección que el SENAME entrega en la actualidad dicen relación con las siguientes modalidades:</w:t>
      </w:r>
    </w:p>
    <w:p w:rsidR="00000000" w:rsidRDefault="00000000">
      <w:pPr>
        <w:tabs>
          <w:tab w:val="left" w:pos="-1440"/>
        </w:tabs>
        <w:spacing w:after="240"/>
        <w:ind w:left="1491" w:hanging="357"/>
        <w:rPr>
          <w:bCs/>
          <w:noProof/>
          <w:color w:val="000000"/>
          <w:szCs w:val="22"/>
        </w:rPr>
      </w:pPr>
      <w:r>
        <w:rPr>
          <w:bCs/>
          <w:noProof/>
          <w:color w:val="000000"/>
          <w:szCs w:val="22"/>
        </w:rPr>
        <w:t>-</w:t>
      </w:r>
      <w:r>
        <w:rPr>
          <w:bCs/>
          <w:noProof/>
          <w:color w:val="000000"/>
          <w:szCs w:val="22"/>
        </w:rPr>
        <w:tab/>
        <w:t>Protección Simple Internado (centros internados, residencias de vida familiar, hogares de madres adolescentes).</w:t>
      </w:r>
    </w:p>
    <w:p w:rsidR="00000000" w:rsidRDefault="00000000">
      <w:pPr>
        <w:tabs>
          <w:tab w:val="left" w:pos="-1440"/>
        </w:tabs>
        <w:spacing w:after="240"/>
        <w:ind w:left="1491" w:hanging="357"/>
        <w:rPr>
          <w:bCs/>
          <w:noProof/>
          <w:color w:val="000000"/>
          <w:szCs w:val="22"/>
        </w:rPr>
      </w:pPr>
      <w:r>
        <w:rPr>
          <w:bCs/>
          <w:noProof/>
          <w:color w:val="000000"/>
          <w:szCs w:val="22"/>
        </w:rPr>
        <w:t>-</w:t>
      </w:r>
      <w:r>
        <w:rPr>
          <w:bCs/>
          <w:noProof/>
          <w:color w:val="000000"/>
          <w:szCs w:val="22"/>
        </w:rPr>
        <w:tab/>
        <w:t>Colocación Familiar (hogares de familias de acogida).</w:t>
      </w:r>
    </w:p>
    <w:p w:rsidR="00000000" w:rsidRDefault="00000000">
      <w:pPr>
        <w:tabs>
          <w:tab w:val="left" w:pos="-1440"/>
        </w:tabs>
        <w:spacing w:after="240"/>
        <w:ind w:left="1491" w:hanging="357"/>
        <w:rPr>
          <w:bCs/>
          <w:noProof/>
          <w:color w:val="000000"/>
          <w:szCs w:val="22"/>
        </w:rPr>
      </w:pPr>
      <w:r>
        <w:rPr>
          <w:bCs/>
          <w:noProof/>
          <w:color w:val="000000"/>
          <w:szCs w:val="22"/>
        </w:rPr>
        <w:t>-</w:t>
      </w:r>
      <w:r>
        <w:rPr>
          <w:bCs/>
          <w:noProof/>
          <w:color w:val="000000"/>
          <w:szCs w:val="22"/>
        </w:rPr>
        <w:tab/>
        <w:t>Rehabilitación Psíquica (centros diurnos e internados).</w:t>
      </w:r>
    </w:p>
    <w:p w:rsidR="00000000" w:rsidRDefault="00000000">
      <w:pPr>
        <w:tabs>
          <w:tab w:val="left" w:pos="-1440"/>
        </w:tabs>
        <w:spacing w:after="240"/>
        <w:ind w:left="1491" w:hanging="357"/>
        <w:rPr>
          <w:bCs/>
          <w:noProof/>
          <w:color w:val="000000"/>
          <w:szCs w:val="22"/>
        </w:rPr>
      </w:pPr>
      <w:r>
        <w:rPr>
          <w:bCs/>
          <w:noProof/>
          <w:color w:val="000000"/>
          <w:szCs w:val="22"/>
        </w:rPr>
        <w:t>-</w:t>
      </w:r>
      <w:r>
        <w:rPr>
          <w:bCs/>
          <w:noProof/>
          <w:color w:val="000000"/>
          <w:szCs w:val="22"/>
        </w:rPr>
        <w:tab/>
        <w:t>Protección para deficientes leves y moderados (centros diurnos e internados).</w:t>
      </w:r>
    </w:p>
    <w:p w:rsidR="00000000" w:rsidRDefault="00000000">
      <w:pPr>
        <w:tabs>
          <w:tab w:val="left" w:pos="-1440"/>
        </w:tabs>
        <w:spacing w:after="240"/>
        <w:ind w:left="1491" w:hanging="357"/>
        <w:rPr>
          <w:bCs/>
          <w:noProof/>
          <w:color w:val="000000"/>
          <w:szCs w:val="22"/>
        </w:rPr>
      </w:pPr>
      <w:r>
        <w:rPr>
          <w:bCs/>
          <w:noProof/>
          <w:color w:val="000000"/>
          <w:szCs w:val="22"/>
        </w:rPr>
        <w:t>-</w:t>
      </w:r>
      <w:r>
        <w:rPr>
          <w:bCs/>
          <w:noProof/>
          <w:color w:val="000000"/>
          <w:szCs w:val="22"/>
        </w:rPr>
        <w:tab/>
        <w:t>Oficinas de Protección de Derechos, OPD.</w:t>
      </w:r>
    </w:p>
    <w:p w:rsidR="00000000" w:rsidRDefault="00000000">
      <w:pPr>
        <w:tabs>
          <w:tab w:val="left" w:pos="-1440"/>
        </w:tabs>
        <w:spacing w:after="240"/>
        <w:ind w:left="1491" w:hanging="357"/>
        <w:rPr>
          <w:bCs/>
          <w:noProof/>
          <w:color w:val="000000"/>
          <w:szCs w:val="22"/>
        </w:rPr>
      </w:pPr>
      <w:r>
        <w:rPr>
          <w:bCs/>
          <w:noProof/>
          <w:color w:val="000000"/>
          <w:szCs w:val="22"/>
        </w:rPr>
        <w:t>-</w:t>
      </w:r>
      <w:r>
        <w:rPr>
          <w:bCs/>
          <w:noProof/>
          <w:color w:val="000000"/>
          <w:szCs w:val="22"/>
        </w:rPr>
        <w:tab/>
        <w:t>Centros Infanto Juveniles, CIJ y de Prevención.</w:t>
      </w:r>
    </w:p>
    <w:p w:rsidR="00000000" w:rsidRDefault="00000000">
      <w:pPr>
        <w:tabs>
          <w:tab w:val="left" w:pos="-1440"/>
        </w:tabs>
        <w:spacing w:after="240"/>
        <w:ind w:left="1491" w:hanging="357"/>
        <w:rPr>
          <w:bCs/>
          <w:noProof/>
          <w:color w:val="000000"/>
          <w:szCs w:val="22"/>
        </w:rPr>
      </w:pPr>
      <w:r>
        <w:rPr>
          <w:bCs/>
          <w:noProof/>
          <w:color w:val="000000"/>
          <w:szCs w:val="22"/>
        </w:rPr>
        <w:t>-</w:t>
      </w:r>
      <w:r>
        <w:rPr>
          <w:bCs/>
          <w:noProof/>
          <w:color w:val="000000"/>
          <w:szCs w:val="22"/>
        </w:rPr>
        <w:tab/>
        <w:t>Proyectos especializados reparatorios (maltrato infantil y abuso sexual, niños y niñas inimputables en protección especial, trabajo infantil, explotación sexual comercial, reparación en consumo de drogas).</w:t>
      </w:r>
    </w:p>
    <w:p w:rsidR="00000000" w:rsidRDefault="00000000">
      <w:pPr>
        <w:tabs>
          <w:tab w:val="left" w:pos="-1440"/>
        </w:tabs>
        <w:spacing w:after="240"/>
        <w:ind w:left="1491" w:hanging="357"/>
        <w:rPr>
          <w:bCs/>
          <w:noProof/>
          <w:color w:val="000000"/>
          <w:szCs w:val="22"/>
        </w:rPr>
      </w:pPr>
      <w:r>
        <w:rPr>
          <w:bCs/>
          <w:noProof/>
          <w:color w:val="000000"/>
          <w:szCs w:val="22"/>
        </w:rPr>
        <w:t>-</w:t>
      </w:r>
      <w:r>
        <w:rPr>
          <w:bCs/>
          <w:noProof/>
          <w:color w:val="000000"/>
          <w:szCs w:val="22"/>
        </w:rPr>
        <w:tab/>
        <w:t>Protección local de derechos (Oficinas de Protección de Derechos).</w:t>
      </w:r>
    </w:p>
    <w:p w:rsidR="00000000" w:rsidRDefault="00000000">
      <w:pPr>
        <w:tabs>
          <w:tab w:val="left" w:pos="-1440"/>
        </w:tabs>
        <w:spacing w:after="240"/>
        <w:ind w:left="1491" w:hanging="357"/>
        <w:rPr>
          <w:bCs/>
          <w:noProof/>
          <w:color w:val="000000"/>
          <w:szCs w:val="22"/>
        </w:rPr>
      </w:pPr>
      <w:r>
        <w:rPr>
          <w:bCs/>
          <w:noProof/>
          <w:color w:val="000000"/>
          <w:szCs w:val="22"/>
        </w:rPr>
        <w:t>-</w:t>
      </w:r>
      <w:r>
        <w:rPr>
          <w:bCs/>
          <w:noProof/>
          <w:color w:val="000000"/>
          <w:szCs w:val="22"/>
        </w:rPr>
        <w:tab/>
        <w:t>Prestaciones de diagnóstico (residencial y ambulatorio).</w:t>
      </w:r>
    </w:p>
    <w:p w:rsidR="00000000" w:rsidRDefault="00000000">
      <w:pPr>
        <w:tabs>
          <w:tab w:val="left" w:pos="-1440"/>
        </w:tabs>
        <w:spacing w:after="240"/>
        <w:rPr>
          <w:bCs/>
          <w:noProof/>
          <w:color w:val="000000"/>
          <w:szCs w:val="22"/>
        </w:rPr>
      </w:pPr>
      <w:r>
        <w:rPr>
          <w:bCs/>
          <w:noProof/>
          <w:color w:val="000000"/>
          <w:szCs w:val="22"/>
        </w:rPr>
        <w:t>81.</w:t>
      </w:r>
      <w:r>
        <w:rPr>
          <w:bCs/>
          <w:noProof/>
          <w:color w:val="000000"/>
          <w:szCs w:val="22"/>
        </w:rPr>
        <w:tab/>
        <w:t>A partir del año 2000 se privilegia la atención de los niños y niñas en su ambiente familiar y comunitario, es así como se generan las siguientes disposiciones:</w:t>
      </w:r>
    </w:p>
    <w:p w:rsidR="00000000" w:rsidRDefault="00000000">
      <w:pPr>
        <w:tabs>
          <w:tab w:val="left" w:pos="-1440"/>
        </w:tabs>
        <w:spacing w:after="240" w:line="238" w:lineRule="auto"/>
        <w:ind w:left="924" w:hanging="357"/>
        <w:rPr>
          <w:bCs/>
          <w:noProof/>
          <w:color w:val="000000"/>
          <w:szCs w:val="22"/>
        </w:rPr>
      </w:pPr>
      <w:r>
        <w:rPr>
          <w:bCs/>
          <w:noProof/>
          <w:color w:val="000000"/>
          <w:szCs w:val="22"/>
        </w:rPr>
        <w:t>-</w:t>
      </w:r>
      <w:r>
        <w:rPr>
          <w:bCs/>
          <w:noProof/>
          <w:color w:val="000000"/>
          <w:szCs w:val="22"/>
        </w:rPr>
        <w:tab/>
        <w:t>El proyecto de ley sobre protección de los derechos de los niños y niñas establecerá causales delimitadas y siempre, como último recurso provisorio, la separación del niño o niña de su familia.  Entre sus disposiciones preliminares se dispone la responsabilidad de los padres en la crianza y cuidado de sus hijos e hijas.  Se establece que el Estado y las instituciones deben respetar los derechos y deberes de los padres y de aquellos que, por disposición legal o judicial, tengan el cuidado personal de los niños y niñas.</w:t>
      </w:r>
    </w:p>
    <w:p w:rsidR="00000000" w:rsidRDefault="00000000">
      <w:pPr>
        <w:tabs>
          <w:tab w:val="left" w:pos="-1440"/>
        </w:tabs>
        <w:spacing w:after="240" w:line="238" w:lineRule="auto"/>
        <w:ind w:left="924" w:hanging="357"/>
        <w:rPr>
          <w:bCs/>
          <w:noProof/>
          <w:color w:val="000000"/>
          <w:szCs w:val="22"/>
        </w:rPr>
      </w:pPr>
      <w:r>
        <w:rPr>
          <w:bCs/>
          <w:noProof/>
          <w:color w:val="000000"/>
          <w:szCs w:val="22"/>
        </w:rPr>
        <w:t>-</w:t>
      </w:r>
      <w:r>
        <w:rPr>
          <w:bCs/>
          <w:noProof/>
          <w:color w:val="000000"/>
          <w:szCs w:val="22"/>
        </w:rPr>
        <w:tab/>
        <w:t>El funcionamiento de la Ley de responsabilidad penal juvenil que incorpora las directrices de la Convención con relación a la separación de los padres.</w:t>
      </w:r>
    </w:p>
    <w:p w:rsidR="00000000" w:rsidRDefault="00000000">
      <w:pPr>
        <w:tabs>
          <w:tab w:val="left" w:pos="-1440"/>
        </w:tabs>
        <w:spacing w:after="240" w:line="238" w:lineRule="auto"/>
        <w:ind w:left="924" w:hanging="357"/>
        <w:rPr>
          <w:bCs/>
          <w:noProof/>
          <w:color w:val="000000"/>
          <w:szCs w:val="22"/>
        </w:rPr>
      </w:pPr>
      <w:r>
        <w:rPr>
          <w:bCs/>
          <w:noProof/>
          <w:color w:val="000000"/>
          <w:szCs w:val="22"/>
        </w:rPr>
        <w:t>-</w:t>
      </w:r>
      <w:r>
        <w:rPr>
          <w:bCs/>
          <w:noProof/>
          <w:color w:val="000000"/>
          <w:szCs w:val="22"/>
        </w:rPr>
        <w:tab/>
        <w:t>La Ley N° 20.032 de subvenciones de la red colaboradora del Servicio Nacional de Menores.</w:t>
      </w:r>
    </w:p>
    <w:p w:rsidR="00000000" w:rsidRDefault="00000000">
      <w:pPr>
        <w:spacing w:after="240" w:line="238" w:lineRule="auto"/>
        <w:rPr>
          <w:bCs/>
          <w:noProof/>
          <w:color w:val="000000"/>
          <w:szCs w:val="22"/>
        </w:rPr>
      </w:pPr>
      <w:r>
        <w:rPr>
          <w:bCs/>
          <w:noProof/>
          <w:color w:val="000000"/>
          <w:szCs w:val="22"/>
        </w:rPr>
        <w:t>82.</w:t>
      </w:r>
      <w:r>
        <w:rPr>
          <w:bCs/>
          <w:noProof/>
          <w:color w:val="000000"/>
          <w:szCs w:val="22"/>
        </w:rPr>
        <w:tab/>
        <w:t>En el plano programático el SENAME desarrolla una línea activa en el ámbito de la familia, en las cuales destacan las siguientes acciones:</w:t>
      </w:r>
    </w:p>
    <w:p w:rsidR="00000000" w:rsidRDefault="00000000">
      <w:pPr>
        <w:tabs>
          <w:tab w:val="left" w:pos="-1440"/>
        </w:tabs>
        <w:spacing w:after="240" w:line="238" w:lineRule="auto"/>
        <w:ind w:left="924" w:hanging="357"/>
        <w:rPr>
          <w:bCs/>
          <w:noProof/>
          <w:color w:val="000000"/>
          <w:szCs w:val="22"/>
        </w:rPr>
      </w:pPr>
      <w:r>
        <w:rPr>
          <w:bCs/>
          <w:noProof/>
          <w:color w:val="000000"/>
          <w:szCs w:val="22"/>
        </w:rPr>
        <w:t>-</w:t>
      </w:r>
      <w:r>
        <w:rPr>
          <w:bCs/>
          <w:noProof/>
          <w:color w:val="000000"/>
          <w:szCs w:val="22"/>
        </w:rPr>
        <w:tab/>
        <w:t>Programas de desinternamiento e integración familiar de niños y niñas.</w:t>
      </w:r>
    </w:p>
    <w:p w:rsidR="00000000" w:rsidRDefault="00000000">
      <w:pPr>
        <w:tabs>
          <w:tab w:val="left" w:pos="-1440"/>
        </w:tabs>
        <w:spacing w:after="240" w:line="238" w:lineRule="auto"/>
        <w:ind w:left="924" w:hanging="357"/>
        <w:rPr>
          <w:bCs/>
          <w:noProof/>
          <w:color w:val="000000"/>
          <w:szCs w:val="22"/>
        </w:rPr>
      </w:pPr>
      <w:r>
        <w:rPr>
          <w:bCs/>
          <w:noProof/>
          <w:color w:val="000000"/>
          <w:szCs w:val="22"/>
        </w:rPr>
        <w:t>-</w:t>
      </w:r>
      <w:r>
        <w:rPr>
          <w:bCs/>
          <w:noProof/>
          <w:color w:val="000000"/>
          <w:szCs w:val="22"/>
        </w:rPr>
        <w:tab/>
        <w:t>Creación progresiva de hogares con pequeñas coberturas para los casos más complejos en los cuales se brindará una atención personalizada en ambientes familiares y acogedores.</w:t>
      </w:r>
    </w:p>
    <w:p w:rsidR="00000000" w:rsidRDefault="00000000">
      <w:pPr>
        <w:tabs>
          <w:tab w:val="left" w:pos="-1440"/>
        </w:tabs>
        <w:spacing w:after="240" w:line="238" w:lineRule="auto"/>
        <w:ind w:left="924" w:hanging="357"/>
        <w:rPr>
          <w:bCs/>
          <w:noProof/>
          <w:color w:val="000000"/>
          <w:szCs w:val="22"/>
        </w:rPr>
      </w:pPr>
      <w:r>
        <w:rPr>
          <w:bCs/>
          <w:noProof/>
          <w:color w:val="000000"/>
          <w:szCs w:val="22"/>
        </w:rPr>
        <w:t>-</w:t>
      </w:r>
      <w:r>
        <w:rPr>
          <w:bCs/>
          <w:noProof/>
          <w:color w:val="000000"/>
          <w:szCs w:val="22"/>
        </w:rPr>
        <w:tab/>
        <w:t>Programas de acogida familiar, reinserción familiar y desarrollo de programas contra la vulneración grave de derechos.</w:t>
      </w:r>
    </w:p>
    <w:p w:rsidR="00000000" w:rsidRDefault="00000000">
      <w:pPr>
        <w:tabs>
          <w:tab w:val="left" w:pos="-1440"/>
        </w:tabs>
        <w:spacing w:after="240" w:line="238" w:lineRule="auto"/>
        <w:ind w:left="924" w:hanging="357"/>
        <w:rPr>
          <w:bCs/>
          <w:noProof/>
          <w:color w:val="000000"/>
          <w:szCs w:val="22"/>
        </w:rPr>
      </w:pPr>
      <w:r>
        <w:rPr>
          <w:bCs/>
          <w:noProof/>
          <w:color w:val="000000"/>
          <w:szCs w:val="22"/>
        </w:rPr>
        <w:t>-</w:t>
      </w:r>
      <w:r>
        <w:rPr>
          <w:bCs/>
          <w:noProof/>
          <w:color w:val="000000"/>
          <w:szCs w:val="22"/>
        </w:rPr>
        <w:tab/>
        <w:t>Con la finalidad de cautelar el derecho a que todo niño o niña mantenga los vínculos con los padres o adultos significativos, se ha establecido en las modalidades de atención residencial medidas que garanticen las visitas y contacto frecuente con su familia.  Asimismo, en los programas de maltrato infantil grave, se supervisa cada uno de los encuentros que se realicen entre el niño o niña y sus familiares cuando éstos se encuentran debilitados en su rol protector.</w:t>
      </w:r>
    </w:p>
    <w:p w:rsidR="00000000" w:rsidRDefault="00000000">
      <w:pPr>
        <w:spacing w:after="240" w:line="238" w:lineRule="auto"/>
        <w:outlineLvl w:val="0"/>
        <w:rPr>
          <w:b/>
          <w:iCs/>
          <w:noProof/>
          <w:color w:val="000000"/>
          <w:szCs w:val="22"/>
        </w:rPr>
      </w:pPr>
      <w:r>
        <w:rPr>
          <w:b/>
          <w:iCs/>
          <w:noProof/>
          <w:color w:val="000000"/>
          <w:szCs w:val="22"/>
        </w:rPr>
        <w:t>Párrafo 70.  Informes periódicos - CRC/C/58</w:t>
      </w:r>
    </w:p>
    <w:p w:rsidR="00000000" w:rsidRDefault="00000000">
      <w:pPr>
        <w:spacing w:after="240" w:line="238" w:lineRule="auto"/>
        <w:rPr>
          <w:bCs/>
          <w:noProof/>
          <w:color w:val="000000"/>
          <w:szCs w:val="22"/>
        </w:rPr>
      </w:pPr>
      <w:r>
        <w:rPr>
          <w:bCs/>
          <w:noProof/>
          <w:color w:val="000000"/>
          <w:szCs w:val="22"/>
        </w:rPr>
        <w:t>83.</w:t>
      </w:r>
      <w:r>
        <w:rPr>
          <w:bCs/>
          <w:noProof/>
          <w:color w:val="000000"/>
          <w:szCs w:val="22"/>
        </w:rPr>
        <w:tab/>
        <w:t>La Ley de filiación establece que el padre o madre que no tenga el cuidado personal del hijo o hija no será privado del derecho ni quedará exento del deber, que consiste en mantener con él una relación directa y regular.  Complementariamente la Ley N°19.711 de enero de 2001 vuelve más expedita la tramitación de las causas destinadas a regular la forma cómo se ejercerá el derecho</w:t>
      </w:r>
      <w:r>
        <w:rPr>
          <w:bCs/>
          <w:noProof/>
          <w:color w:val="000000"/>
          <w:szCs w:val="22"/>
        </w:rPr>
        <w:noBreakHyphen/>
        <w:t>deber de mantener una relación directa y regular entre el padre que carece del cuidado personal y su hijo o hija.  Dicha norma establece que cuando por razones imputables a la persona a cuyo cuidado se encuentre el niño o niña, se frustre, retarde o entorpezca de cualquier manera la relación en los términos que ha sido establecida, el padre o madre a quien le corresponde ejercerla podrá solicitar la recuperación del tiempo no utilizado.  Esta ley también establece que la suspensión o restricción del ejercicio del derecho procederá cuando manifiestamente perjudique el bienestar del niño.  Este derecho se ve favorecido por la Ley de los tribunales de familia que recoge mecanismos alternativos de solución de conflictos en los asuntos de familia, como la mediación, evitando así que los conflictos conyugales interfieran con las relaciones paterno o maternofiliales.</w:t>
      </w:r>
    </w:p>
    <w:p w:rsidR="00000000" w:rsidRDefault="00000000">
      <w:pPr>
        <w:keepNext/>
        <w:keepLines/>
        <w:spacing w:after="200" w:line="238" w:lineRule="auto"/>
        <w:outlineLvl w:val="0"/>
        <w:rPr>
          <w:b/>
          <w:iCs/>
          <w:noProof/>
          <w:color w:val="000000"/>
          <w:szCs w:val="22"/>
        </w:rPr>
      </w:pPr>
      <w:r>
        <w:rPr>
          <w:b/>
          <w:iCs/>
          <w:noProof/>
          <w:color w:val="000000"/>
          <w:szCs w:val="22"/>
        </w:rPr>
        <w:t>Párrafo 71.  Informes periódicos - CRC/C/58</w:t>
      </w:r>
    </w:p>
    <w:p w:rsidR="00000000" w:rsidRDefault="00000000">
      <w:pPr>
        <w:keepNext/>
        <w:keepLines/>
        <w:spacing w:after="200" w:line="238" w:lineRule="auto"/>
        <w:rPr>
          <w:bCs/>
          <w:noProof/>
          <w:color w:val="000000"/>
          <w:szCs w:val="22"/>
        </w:rPr>
      </w:pPr>
      <w:r>
        <w:rPr>
          <w:bCs/>
          <w:noProof/>
          <w:color w:val="000000"/>
          <w:szCs w:val="22"/>
        </w:rPr>
        <w:t>84.</w:t>
      </w:r>
      <w:r>
        <w:rPr>
          <w:bCs/>
          <w:noProof/>
          <w:color w:val="000000"/>
          <w:szCs w:val="22"/>
        </w:rPr>
        <w:tab/>
        <w:t>El Gobierno entrega apoyo permanente a los principales agentes de desarrollo de los niños y niñas, que como resultado de una medida de protección han sido separados de su medio familiar, especialmente a padres, a familias, y a todos los adultos significativos que trabajan directamente con los niños y niñas.  En el caso del Servicio Nacional de Menores, las instituciones están obligadas a permitir y favorecer el contacto de los niños y niñas con sus familias salvo que exista una resolución judicial que establezca lo contrario.  Por esto se modificó la normativa de asistencia para el pago de la subvención que sólo permitía cuatro permisos mensuales, que en la mayoría de los casos los niños y niñas usan para visitar a su familia.  En la actualidad los niños y niñas pueden visitar con toda la frecuencia necesaria a sus familias como también pueden permanecer con ellas durante tiempos prolongados como acercamiento o etapa previa al egreso, sin que esto signifique desmedro en la subvención percibida por la institución subvencionada.  Además los niños y niñas tienen derecho de visita por parte de sus familiares en los establecimientos en que se encuentran atendidos.</w:t>
      </w:r>
    </w:p>
    <w:p w:rsidR="00000000" w:rsidRDefault="00000000">
      <w:pPr>
        <w:spacing w:after="200" w:line="238" w:lineRule="auto"/>
        <w:outlineLvl w:val="0"/>
        <w:rPr>
          <w:b/>
          <w:iCs/>
          <w:noProof/>
          <w:color w:val="000000"/>
          <w:szCs w:val="22"/>
        </w:rPr>
      </w:pPr>
      <w:r>
        <w:rPr>
          <w:b/>
          <w:iCs/>
          <w:noProof/>
          <w:color w:val="000000"/>
          <w:szCs w:val="22"/>
        </w:rPr>
        <w:t>Párrafo 72.  Informes periódicos - CRC/C/58</w:t>
      </w:r>
    </w:p>
    <w:p w:rsidR="00000000" w:rsidRDefault="00000000">
      <w:pPr>
        <w:spacing w:after="200" w:line="238" w:lineRule="auto"/>
        <w:rPr>
          <w:bCs/>
          <w:noProof/>
          <w:color w:val="000000"/>
          <w:szCs w:val="22"/>
        </w:rPr>
      </w:pPr>
      <w:r>
        <w:rPr>
          <w:bCs/>
          <w:noProof/>
          <w:color w:val="000000"/>
          <w:szCs w:val="22"/>
        </w:rPr>
        <w:t>85.</w:t>
      </w:r>
      <w:r>
        <w:rPr>
          <w:bCs/>
          <w:noProof/>
          <w:color w:val="000000"/>
          <w:szCs w:val="22"/>
        </w:rPr>
        <w:tab/>
        <w:t>El SENAME dispone de un sistema de registro informático que permite precisar cada una de las identidades, particularidades y condiciones de los niños y niñas que ingresan a los programas que imparte.  Además, actualmente se está implementando un nuevo sistema informático que permitirá que los usuarios de los distintos centros del SENAME, puedan ingresar, actualizar y obtener información básica de los niños y niñas, con los debidos resguardos que esta información requiere.</w:t>
      </w:r>
    </w:p>
    <w:p w:rsidR="00000000" w:rsidRDefault="00000000">
      <w:pPr>
        <w:spacing w:after="200" w:line="238" w:lineRule="auto"/>
        <w:jc w:val="center"/>
        <w:rPr>
          <w:b/>
          <w:noProof/>
          <w:color w:val="000000"/>
          <w:szCs w:val="22"/>
        </w:rPr>
      </w:pPr>
      <w:r>
        <w:rPr>
          <w:b/>
          <w:noProof/>
          <w:color w:val="000000"/>
          <w:szCs w:val="22"/>
        </w:rPr>
        <w:t>E.  Los traslados ilícitos y la retención ilícita</w:t>
      </w:r>
    </w:p>
    <w:p w:rsidR="00000000" w:rsidRDefault="00000000">
      <w:pPr>
        <w:spacing w:after="200" w:line="238" w:lineRule="auto"/>
        <w:outlineLvl w:val="0"/>
        <w:rPr>
          <w:bCs/>
          <w:i/>
          <w:noProof/>
          <w:color w:val="000000"/>
          <w:szCs w:val="22"/>
        </w:rPr>
      </w:pPr>
      <w:r>
        <w:rPr>
          <w:b/>
          <w:iCs/>
          <w:noProof/>
          <w:color w:val="000000"/>
          <w:szCs w:val="22"/>
        </w:rPr>
        <w:t>Párrafo 78.  Informes periódicos - CRC/</w:t>
      </w:r>
      <w:r>
        <w:rPr>
          <w:b/>
          <w:noProof/>
          <w:color w:val="000000"/>
          <w:szCs w:val="22"/>
        </w:rPr>
        <w:t>C/58</w:t>
      </w:r>
    </w:p>
    <w:p w:rsidR="00000000" w:rsidRDefault="00000000">
      <w:pPr>
        <w:spacing w:after="200" w:line="238" w:lineRule="auto"/>
        <w:rPr>
          <w:bCs/>
          <w:noProof/>
          <w:color w:val="000000"/>
          <w:szCs w:val="22"/>
        </w:rPr>
      </w:pPr>
      <w:r>
        <w:rPr>
          <w:bCs/>
          <w:noProof/>
          <w:color w:val="000000"/>
          <w:szCs w:val="22"/>
        </w:rPr>
        <w:t>86.</w:t>
      </w:r>
      <w:r>
        <w:rPr>
          <w:bCs/>
          <w:noProof/>
          <w:color w:val="000000"/>
          <w:szCs w:val="22"/>
        </w:rPr>
        <w:tab/>
        <w:t>Los traslados ilícitos de niños y niñas al extranjero y su retención, están sancionados en la legislación nacional en diversos cuerpos legales:</w:t>
      </w:r>
    </w:p>
    <w:p w:rsidR="00000000" w:rsidRDefault="00000000">
      <w:pPr>
        <w:tabs>
          <w:tab w:val="left" w:pos="-1440"/>
        </w:tabs>
        <w:spacing w:after="200" w:line="238" w:lineRule="auto"/>
        <w:ind w:left="1134" w:hanging="567"/>
        <w:rPr>
          <w:bCs/>
          <w:noProof/>
          <w:color w:val="000000"/>
          <w:szCs w:val="22"/>
        </w:rPr>
      </w:pPr>
      <w:r>
        <w:rPr>
          <w:bCs/>
          <w:noProof/>
          <w:color w:val="000000"/>
          <w:szCs w:val="22"/>
        </w:rPr>
        <w:t>a)</w:t>
      </w:r>
      <w:r>
        <w:rPr>
          <w:bCs/>
          <w:noProof/>
          <w:color w:val="000000"/>
          <w:szCs w:val="22"/>
        </w:rPr>
        <w:tab/>
        <w:t>La sustracción de niños y niñas, es castigada con presidio mayor en su grado máximo a presidio perpetuo, en el caso que su objetivo sea obtener un rescate, imponer exigencias, arrancar decisiones o si resultare un grave daño en la persona del niño o niña; y con presidio mayor en su grado medio a máximo en los demás casos.  Si con motivo de la sustracción se cometiere alguno de los delitos de homicidio, violación, violación sodomítica o algunas de las lesiones comprendidas en el Código Penal, será castigado con presidio mayor en su grado máximo a presidio perpetuo calificado.</w:t>
      </w:r>
    </w:p>
    <w:p w:rsidR="00000000" w:rsidRDefault="00000000">
      <w:pPr>
        <w:tabs>
          <w:tab w:val="left" w:pos="-1440"/>
        </w:tabs>
        <w:spacing w:after="200" w:line="238" w:lineRule="auto"/>
        <w:ind w:left="1134" w:hanging="567"/>
        <w:rPr>
          <w:bCs/>
          <w:noProof/>
          <w:color w:val="000000"/>
          <w:szCs w:val="22"/>
        </w:rPr>
      </w:pPr>
      <w:r>
        <w:rPr>
          <w:bCs/>
          <w:noProof/>
          <w:color w:val="000000"/>
          <w:szCs w:val="22"/>
        </w:rPr>
        <w:t>b)</w:t>
      </w:r>
      <w:r>
        <w:rPr>
          <w:bCs/>
          <w:noProof/>
          <w:color w:val="000000"/>
          <w:szCs w:val="22"/>
        </w:rPr>
        <w:tab/>
        <w:t>El tráfico de personas con fines de prostitución (promoción o facilitación de la prostitución internacional), se tipifica en el Código Penal, el que establece la pena de presidio menor en su grado máximo y multa.  No obstante, se impondrá la pena de presidio mayor en cualquiera de sus grados y multa en los siguientes casos:  si la víctima es menor de edad; si se ejerce violencia o intimidación; si el agente actúa mediante engaño o con abuso de autoridad o confianza; si el autor fuere ascendiente, descendiente, marido, hermano, tutor, curador o encargado de la educación de la víctima; si el agente se vale del estado de desamparo económico de la víctima; si existe habitualidad en la conducta del agente.</w:t>
      </w:r>
    </w:p>
    <w:p w:rsidR="00000000" w:rsidRDefault="00000000">
      <w:pPr>
        <w:tabs>
          <w:tab w:val="left" w:pos="-1440"/>
        </w:tabs>
        <w:spacing w:after="240"/>
        <w:ind w:left="1134" w:hanging="567"/>
        <w:rPr>
          <w:bCs/>
          <w:noProof/>
          <w:color w:val="000000"/>
          <w:szCs w:val="22"/>
        </w:rPr>
      </w:pPr>
      <w:r>
        <w:rPr>
          <w:bCs/>
          <w:noProof/>
          <w:color w:val="000000"/>
          <w:szCs w:val="22"/>
        </w:rPr>
        <w:t>c)</w:t>
      </w:r>
      <w:r>
        <w:rPr>
          <w:bCs/>
          <w:noProof/>
          <w:color w:val="000000"/>
          <w:szCs w:val="22"/>
        </w:rPr>
        <w:tab/>
        <w:t>La Ley Nº 19.620 de 1999, sobre adopción nacional e internacional de menores, evita la salida ilegal de niños y niñas chilenos al extranjero.  Dicha Ley, tipifica como delito el cobro indebido para la entrega de un niño o niña para ser adoptado.  De esta manera se supera la situación anterior en la que sólo se exigía la autorización judicial para permitir la salida del niño o niña del territorio a fin de que fuera adoptado en el extranjero de acuerdo con la normativa del país de la nacionalidad y domicilio de los adoptantes.</w:t>
      </w:r>
    </w:p>
    <w:p w:rsidR="00000000" w:rsidRDefault="00000000">
      <w:pPr>
        <w:tabs>
          <w:tab w:val="left" w:pos="-1440"/>
        </w:tabs>
        <w:spacing w:after="240"/>
        <w:ind w:left="1134" w:hanging="567"/>
        <w:rPr>
          <w:bCs/>
          <w:noProof/>
          <w:color w:val="000000"/>
          <w:szCs w:val="22"/>
        </w:rPr>
      </w:pPr>
      <w:r>
        <w:rPr>
          <w:bCs/>
          <w:noProof/>
          <w:color w:val="000000"/>
          <w:szCs w:val="22"/>
        </w:rPr>
        <w:t>d)</w:t>
      </w:r>
      <w:r>
        <w:rPr>
          <w:bCs/>
          <w:noProof/>
          <w:color w:val="000000"/>
          <w:szCs w:val="22"/>
        </w:rPr>
        <w:tab/>
        <w:t>Una herramienta importante para evitar los traslados ilícitos es la Convención sobre Protección del Niño y Cooperación en materia de Adopción Internacional de La Haya, suscrita por el Estado de Chile, en agosto de 1999.</w:t>
      </w:r>
    </w:p>
    <w:p w:rsidR="00000000" w:rsidRDefault="00000000">
      <w:pPr>
        <w:spacing w:after="240"/>
        <w:jc w:val="center"/>
        <w:rPr>
          <w:b/>
          <w:noProof/>
          <w:color w:val="000000"/>
          <w:szCs w:val="22"/>
        </w:rPr>
      </w:pPr>
      <w:r>
        <w:rPr>
          <w:b/>
          <w:noProof/>
          <w:color w:val="000000"/>
          <w:szCs w:val="22"/>
        </w:rPr>
        <w:t>F.  El pago de la pensión alimenticia del niño</w:t>
      </w:r>
    </w:p>
    <w:p w:rsidR="00000000" w:rsidRDefault="00000000">
      <w:pPr>
        <w:spacing w:after="240"/>
        <w:outlineLvl w:val="0"/>
        <w:rPr>
          <w:b/>
          <w:iCs/>
          <w:noProof/>
          <w:color w:val="000000"/>
          <w:szCs w:val="22"/>
        </w:rPr>
      </w:pPr>
      <w:r>
        <w:rPr>
          <w:b/>
          <w:iCs/>
          <w:noProof/>
          <w:color w:val="000000"/>
          <w:szCs w:val="22"/>
        </w:rPr>
        <w:t>Párrafo 79.  Informes periódicos - CRC/C/58</w:t>
      </w:r>
    </w:p>
    <w:p w:rsidR="00000000" w:rsidRDefault="00000000">
      <w:pPr>
        <w:spacing w:after="240"/>
        <w:rPr>
          <w:bCs/>
          <w:noProof/>
          <w:color w:val="000000"/>
          <w:szCs w:val="22"/>
        </w:rPr>
      </w:pPr>
      <w:r>
        <w:rPr>
          <w:bCs/>
          <w:noProof/>
          <w:color w:val="000000"/>
          <w:szCs w:val="22"/>
        </w:rPr>
        <w:t>87.</w:t>
      </w:r>
      <w:r>
        <w:rPr>
          <w:bCs/>
          <w:noProof/>
          <w:color w:val="000000"/>
          <w:szCs w:val="22"/>
        </w:rPr>
        <w:tab/>
        <w:t>Al respecto en el año 2001 se promulgó la Ley Nº 19.741, sobre pensiones alimenticias, la cual establece una pensión mínima que corresponde al 40% de un ingreso mínimo.  Si el demandado tiene más de un hijo o hija menor, deberá pagar por cada uno el 30% de este ingreso.  Tratándose de trabajadores dependientes, el juez está obligado a decretar como forma de pago la retención del empleador.  Esto significa que el empleador deberá descontar del sueldo del trabajador la pensión alimenticia y pagársela directamente a quién recibe los alimentos, y decretar alimentos provisorios.  También en caso de incumplimiento en el pago de la pensión alimenticia, se da a la mujer casada en sociedad conyugal, la posibilidad de disponer de bienes sociales, en forma excepcional y con autorización judicial, para pagarse con ellos las pensiones adeudadas.</w:t>
      </w:r>
    </w:p>
    <w:p w:rsidR="00000000" w:rsidRDefault="00000000">
      <w:pPr>
        <w:spacing w:after="240"/>
        <w:jc w:val="center"/>
        <w:rPr>
          <w:b/>
          <w:noProof/>
          <w:color w:val="000000"/>
          <w:szCs w:val="22"/>
        </w:rPr>
      </w:pPr>
      <w:r>
        <w:rPr>
          <w:b/>
          <w:noProof/>
          <w:color w:val="000000"/>
          <w:szCs w:val="22"/>
        </w:rPr>
        <w:t>G.  Los niños privados de su medio familiar</w:t>
      </w:r>
    </w:p>
    <w:p w:rsidR="00000000" w:rsidRDefault="00000000">
      <w:pPr>
        <w:spacing w:after="240"/>
        <w:outlineLvl w:val="0"/>
        <w:rPr>
          <w:b/>
          <w:iCs/>
          <w:noProof/>
          <w:color w:val="000000"/>
          <w:szCs w:val="22"/>
        </w:rPr>
      </w:pPr>
      <w:r>
        <w:rPr>
          <w:b/>
          <w:iCs/>
          <w:noProof/>
          <w:color w:val="000000"/>
          <w:szCs w:val="22"/>
        </w:rPr>
        <w:t>Párrafo 80.  Informes periódicos - CRC/C/58</w:t>
      </w:r>
    </w:p>
    <w:p w:rsidR="00000000" w:rsidRDefault="00000000">
      <w:pPr>
        <w:spacing w:after="240"/>
        <w:rPr>
          <w:bCs/>
          <w:noProof/>
          <w:color w:val="000000"/>
          <w:szCs w:val="22"/>
        </w:rPr>
      </w:pPr>
      <w:r>
        <w:rPr>
          <w:bCs/>
          <w:noProof/>
          <w:color w:val="000000"/>
          <w:szCs w:val="22"/>
        </w:rPr>
        <w:t>88.</w:t>
      </w:r>
      <w:r>
        <w:rPr>
          <w:bCs/>
          <w:noProof/>
          <w:color w:val="000000"/>
          <w:szCs w:val="22"/>
        </w:rPr>
        <w:tab/>
        <w:t>La Política Nacional para la Infancia y la Adolescencia establece que la medida de separación de los padres a través de la internación es una medida de último recurso que sólo se debe utilizar cuando no existe ninguna alternativa para el cuidado del niño o niña.  En este sentido, los sistemas de protección a la infancia privilegian los sistemas de atención en medio ambulatorio.  Sin embargo, es importante señalar que no habiéndose modificado aún la Ley de menores las medidas de separación de los niños y niñas de sus padres continúan radicadas en los tribunales, con las correspondientes modificaciones de acuerdo a la introducción de las normas adecuatorias a la reforma procesal penal.</w:t>
      </w:r>
    </w:p>
    <w:p w:rsidR="00000000" w:rsidRDefault="00000000">
      <w:pPr>
        <w:spacing w:after="240"/>
        <w:rPr>
          <w:bCs/>
          <w:noProof/>
          <w:color w:val="000000"/>
          <w:szCs w:val="22"/>
        </w:rPr>
      </w:pPr>
      <w:r>
        <w:rPr>
          <w:bCs/>
          <w:noProof/>
          <w:color w:val="000000"/>
          <w:szCs w:val="22"/>
        </w:rPr>
        <w:t>89.</w:t>
      </w:r>
      <w:r>
        <w:rPr>
          <w:bCs/>
          <w:noProof/>
          <w:color w:val="000000"/>
          <w:szCs w:val="22"/>
        </w:rPr>
        <w:tab/>
        <w:t>La atención entregada a través de los sistemas residenciales en el área de protección del Servicio Nacional de Menores, descritos precedentemente en la respuesta el párrafo 68 del documento CRC/C/58, han presentado históricamente importantes nudos críticos.  Desde el año 2000 se han desarrollado acciones destinadas a la disminución progresiva de plazas con el fin de reconvertir los recursos a sistemas ambulatorios y locales de atención a los niños y niñas y sus familias.  Los principales avances percibidos por SENAME en este proceso de transición son:</w:t>
      </w:r>
    </w:p>
    <w:p w:rsidR="00000000" w:rsidRDefault="00000000">
      <w:pPr>
        <w:tabs>
          <w:tab w:val="left" w:pos="-1440"/>
        </w:tabs>
        <w:spacing w:after="240" w:line="238" w:lineRule="auto"/>
        <w:ind w:left="924" w:hanging="357"/>
        <w:rPr>
          <w:bCs/>
          <w:noProof/>
          <w:color w:val="000000"/>
          <w:szCs w:val="22"/>
        </w:rPr>
      </w:pPr>
      <w:r>
        <w:rPr>
          <w:bCs/>
          <w:noProof/>
          <w:color w:val="000000"/>
          <w:szCs w:val="22"/>
        </w:rPr>
        <w:t>-</w:t>
      </w:r>
      <w:r>
        <w:rPr>
          <w:bCs/>
          <w:noProof/>
          <w:color w:val="000000"/>
          <w:szCs w:val="22"/>
        </w:rPr>
        <w:tab/>
        <w:t>Consolidación del proceso de separación y especialización de los sistemas de atención para el área de protección de derechos y el área derechos y responsabilidad juvenil.</w:t>
      </w:r>
    </w:p>
    <w:p w:rsidR="00000000" w:rsidRDefault="00000000">
      <w:pPr>
        <w:tabs>
          <w:tab w:val="left" w:pos="-1440"/>
        </w:tabs>
        <w:spacing w:after="240" w:line="238" w:lineRule="auto"/>
        <w:ind w:left="924" w:hanging="357"/>
        <w:rPr>
          <w:bCs/>
          <w:noProof/>
          <w:color w:val="000000"/>
          <w:szCs w:val="22"/>
        </w:rPr>
      </w:pPr>
      <w:r>
        <w:rPr>
          <w:bCs/>
          <w:noProof/>
          <w:color w:val="000000"/>
          <w:szCs w:val="22"/>
        </w:rPr>
        <w:t>-</w:t>
      </w:r>
      <w:r>
        <w:rPr>
          <w:bCs/>
          <w:noProof/>
          <w:color w:val="000000"/>
          <w:szCs w:val="22"/>
        </w:rPr>
        <w:tab/>
        <w:t>Desarrollo de la oferta programática a niños y niñas vulneradas en sus derechos.</w:t>
      </w:r>
    </w:p>
    <w:p w:rsidR="00000000" w:rsidRDefault="00000000">
      <w:pPr>
        <w:tabs>
          <w:tab w:val="left" w:pos="-1440"/>
        </w:tabs>
        <w:spacing w:after="240" w:line="238" w:lineRule="auto"/>
        <w:ind w:left="924" w:hanging="357"/>
        <w:rPr>
          <w:bCs/>
          <w:noProof/>
          <w:color w:val="000000"/>
          <w:szCs w:val="22"/>
        </w:rPr>
      </w:pPr>
      <w:r>
        <w:rPr>
          <w:bCs/>
          <w:noProof/>
          <w:color w:val="000000"/>
          <w:szCs w:val="22"/>
        </w:rPr>
        <w:t>-</w:t>
      </w:r>
      <w:r>
        <w:rPr>
          <w:bCs/>
          <w:noProof/>
          <w:color w:val="000000"/>
          <w:szCs w:val="22"/>
        </w:rPr>
        <w:tab/>
        <w:t>Reconversión de la oferta programática.</w:t>
      </w:r>
    </w:p>
    <w:p w:rsidR="00000000" w:rsidRDefault="00000000">
      <w:pPr>
        <w:spacing w:after="240" w:line="238" w:lineRule="auto"/>
        <w:rPr>
          <w:bCs/>
          <w:noProof/>
          <w:color w:val="000000"/>
          <w:szCs w:val="22"/>
        </w:rPr>
      </w:pPr>
      <w:r>
        <w:rPr>
          <w:bCs/>
          <w:noProof/>
          <w:color w:val="000000"/>
          <w:szCs w:val="22"/>
        </w:rPr>
        <w:t>90.</w:t>
      </w:r>
      <w:r>
        <w:rPr>
          <w:bCs/>
          <w:noProof/>
          <w:color w:val="000000"/>
          <w:szCs w:val="22"/>
        </w:rPr>
        <w:tab/>
        <w:t>El SENAME cuenta con aproximadamente 15.000 cupos residenciales para niños y niñas entre los 0 y 18 años.  Éstos se componen de hogares, en su mayoría de mediana y pequeña cobertura (menos de 60 niños y niñas).  La intervención que se realiza en estos establecimientos procura mantener un entorno de vida familiar con figuras de apego cercanas y protectoras.  En las orientaciones técnicas para este tipo de establecimientos se define prioritario el trabajo con la familia, ya sea nuclear o extensa, con el fin de procurar que se conserve un vínculo de buena calidad entre el niño o niña y su familia o tutores legales.  Este trabajo sigue el principio de que la internación debe ser transitoria y lo más breve posible, esta intervención la realizan los profesionales de los establecimientos.</w:t>
      </w:r>
    </w:p>
    <w:p w:rsidR="00000000" w:rsidRDefault="00000000">
      <w:pPr>
        <w:spacing w:after="240" w:line="238" w:lineRule="auto"/>
        <w:rPr>
          <w:bCs/>
          <w:noProof/>
          <w:color w:val="000000"/>
          <w:szCs w:val="22"/>
        </w:rPr>
      </w:pPr>
      <w:r>
        <w:rPr>
          <w:bCs/>
          <w:noProof/>
          <w:color w:val="000000"/>
          <w:szCs w:val="22"/>
        </w:rPr>
        <w:t>91.</w:t>
      </w:r>
      <w:r>
        <w:rPr>
          <w:bCs/>
          <w:noProof/>
          <w:color w:val="000000"/>
          <w:szCs w:val="22"/>
        </w:rPr>
        <w:tab/>
        <w:t>Se ha instruido a las instituciones que administran centros de protección simple, que el ingreso de un niño o niña debe realizarse por orden de un tribunal, como medida de protección, en el entendido que la separación de los padres se constituye en una restricción de derechos, requerida para la protección de otros derechos esenciales del niño o niña.</w:t>
      </w:r>
    </w:p>
    <w:p w:rsidR="00000000" w:rsidRDefault="00000000">
      <w:pPr>
        <w:spacing w:after="240" w:line="238" w:lineRule="auto"/>
        <w:rPr>
          <w:bCs/>
          <w:noProof/>
          <w:color w:val="000000"/>
          <w:szCs w:val="22"/>
        </w:rPr>
      </w:pPr>
      <w:r>
        <w:rPr>
          <w:bCs/>
          <w:noProof/>
          <w:color w:val="000000"/>
          <w:szCs w:val="22"/>
        </w:rPr>
        <w:t>92.</w:t>
      </w:r>
      <w:r>
        <w:rPr>
          <w:bCs/>
          <w:noProof/>
          <w:color w:val="000000"/>
          <w:szCs w:val="22"/>
        </w:rPr>
        <w:tab/>
        <w:t xml:space="preserve">Respecto del ingreso por causales de pobreza, durante el año 2002 sólo 219 niños y niñas ingresaron por problemas socioeconómicos, cifra menor que el ingreso durante el año 2001 (253).  </w:t>
      </w:r>
    </w:p>
    <w:p w:rsidR="00000000" w:rsidRDefault="00000000">
      <w:pPr>
        <w:spacing w:after="240" w:line="238" w:lineRule="auto"/>
        <w:rPr>
          <w:bCs/>
          <w:noProof/>
          <w:color w:val="000000"/>
          <w:szCs w:val="22"/>
        </w:rPr>
      </w:pPr>
      <w:r>
        <w:rPr>
          <w:bCs/>
          <w:noProof/>
          <w:color w:val="000000"/>
          <w:szCs w:val="22"/>
        </w:rPr>
        <w:t>93.</w:t>
      </w:r>
      <w:r>
        <w:rPr>
          <w:bCs/>
          <w:noProof/>
          <w:color w:val="000000"/>
          <w:szCs w:val="22"/>
        </w:rPr>
        <w:tab/>
        <w:t>Se ha impulsado la implementación de oferta de atención ambulatoria, que apoye a las familias en su rol protector.  En el año 1990, el 62% de la oferta era residencial.  Actualmente el 60% de la oferta es ambulatoria.  En el documento de observaciones finales al segundo informe de Chile, el Comité opinó:  "Que actualmente el SENAME aún tiene a cargo tanto a los niños y niñas que necesitan cuidado como a los que tienen conflictos con la ley, y que los servicios sociales no están suficientemente descentralizados", además que el proyecto de ley de tribunales de familia se encuentra en el Congreso desde 1997.  Al respecto, cabe destacar que:</w:t>
      </w:r>
    </w:p>
    <w:p w:rsidR="00000000" w:rsidRDefault="00000000">
      <w:pPr>
        <w:tabs>
          <w:tab w:val="left" w:pos="-1440"/>
        </w:tabs>
        <w:spacing w:after="240" w:line="238" w:lineRule="auto"/>
        <w:ind w:left="924" w:hanging="357"/>
        <w:rPr>
          <w:bCs/>
          <w:noProof/>
          <w:color w:val="000000"/>
          <w:szCs w:val="22"/>
        </w:rPr>
      </w:pPr>
      <w:r>
        <w:rPr>
          <w:bCs/>
          <w:noProof/>
          <w:color w:val="000000"/>
          <w:szCs w:val="22"/>
        </w:rPr>
        <w:t>-</w:t>
      </w:r>
      <w:r>
        <w:rPr>
          <w:bCs/>
          <w:noProof/>
          <w:color w:val="000000"/>
          <w:szCs w:val="22"/>
        </w:rPr>
        <w:tab/>
        <w:t>La Ley de subvenciones N° 20.032, en la cual se incorporan nuevas líneas y sistemas de atención.  Tal es el caso de las nuevas Oficinas de Protección de los Derechos del Niño (OPD), cuya misión es facilitar al niño o niña que se encuentre en una situación de vulneración o grave amenaza a sus derechos un acceso efectivo a los programas, servicios y recursos disponibles en la comunidad, evitando su internación.</w:t>
      </w:r>
    </w:p>
    <w:p w:rsidR="00000000" w:rsidRDefault="00000000">
      <w:pPr>
        <w:tabs>
          <w:tab w:val="left" w:pos="-1440"/>
        </w:tabs>
        <w:spacing w:after="240" w:line="238" w:lineRule="auto"/>
        <w:ind w:left="924" w:hanging="357"/>
        <w:rPr>
          <w:bCs/>
          <w:noProof/>
          <w:color w:val="000000"/>
          <w:szCs w:val="22"/>
        </w:rPr>
      </w:pPr>
      <w:r>
        <w:rPr>
          <w:bCs/>
          <w:noProof/>
          <w:color w:val="000000"/>
          <w:szCs w:val="22"/>
        </w:rPr>
        <w:t>-</w:t>
      </w:r>
      <w:r>
        <w:rPr>
          <w:bCs/>
          <w:noProof/>
          <w:color w:val="000000"/>
          <w:szCs w:val="22"/>
        </w:rPr>
        <w:tab/>
        <w:t>La Ley de subvenciones regula también el internamiento residencial, especializando los centros en dos modalidades:  residencias y casas de acogida.  Las residencias se destinarán a proporcionar atención en forma estable a los niños y niñas privados de su medio familiar, a través de una determinación judicial.  Las casas de acogida estarán destinadas a acoger a niños y niñas privados de su medio familiar de manera transitoria, mientras se adopta una resolución definitiva.  Éstas se harán cargo de la actual "demanda espontánea" (ingreso a un centro residencial sin orden judicial).  Finalmente, el proyecto de subvenciones crea algunos programas nuevos en la línea de protección de derechos e incentiva la creación de sistemas de diagnósticos ambulatorios.</w:t>
      </w:r>
    </w:p>
    <w:p w:rsidR="00000000" w:rsidRDefault="00000000">
      <w:pPr>
        <w:spacing w:after="240"/>
        <w:outlineLvl w:val="0"/>
        <w:rPr>
          <w:b/>
          <w:iCs/>
          <w:noProof/>
          <w:color w:val="000000"/>
          <w:szCs w:val="22"/>
        </w:rPr>
      </w:pPr>
      <w:r>
        <w:rPr>
          <w:b/>
          <w:iCs/>
          <w:noProof/>
          <w:color w:val="000000"/>
          <w:szCs w:val="22"/>
        </w:rPr>
        <w:t>Párrafo 81.  Informes periódicos - CRC/C/58</w:t>
      </w:r>
    </w:p>
    <w:p w:rsidR="00000000" w:rsidRDefault="00000000">
      <w:pPr>
        <w:spacing w:after="240"/>
        <w:rPr>
          <w:bCs/>
          <w:noProof/>
          <w:color w:val="000000"/>
          <w:szCs w:val="22"/>
        </w:rPr>
      </w:pPr>
      <w:r>
        <w:rPr>
          <w:bCs/>
          <w:noProof/>
          <w:color w:val="000000"/>
          <w:szCs w:val="22"/>
        </w:rPr>
        <w:t>94.</w:t>
      </w:r>
      <w:r>
        <w:rPr>
          <w:bCs/>
          <w:noProof/>
          <w:color w:val="000000"/>
          <w:szCs w:val="22"/>
        </w:rPr>
        <w:tab/>
        <w:t>Respecto a los adolescentes que se encuentran privados de su medio familiar por estar sometido a una medida privativa de libertad, se garantiza su incorporación a programas de apoyo escolar, para evitar la perdida de continuidad en los estudios.  En el año 2003 se formalizó un convenio entre el SENAME y el Ministerio de Educación con la finalidad de que puedan acceder al Programa Chile Califica en la modalidad de nivelación de Educación Básica, destinado a adolescentes que han sido víctimas de vulneración de sus derechos y que han cometido infracción a la Ley penal.</w:t>
      </w:r>
    </w:p>
    <w:p w:rsidR="00000000" w:rsidRDefault="00000000">
      <w:pPr>
        <w:spacing w:after="240"/>
        <w:outlineLvl w:val="0"/>
        <w:rPr>
          <w:b/>
          <w:i/>
          <w:noProof/>
          <w:color w:val="000000"/>
          <w:szCs w:val="22"/>
        </w:rPr>
      </w:pPr>
      <w:r>
        <w:rPr>
          <w:b/>
          <w:iCs/>
          <w:noProof/>
          <w:color w:val="000000"/>
          <w:szCs w:val="22"/>
        </w:rPr>
        <w:t>Párrafo 82.  Informes periódicos -</w:t>
      </w:r>
      <w:r>
        <w:rPr>
          <w:b/>
          <w:noProof/>
          <w:color w:val="000000"/>
          <w:szCs w:val="22"/>
        </w:rPr>
        <w:t xml:space="preserve"> CRC/C/58</w:t>
      </w:r>
    </w:p>
    <w:p w:rsidR="00000000" w:rsidRDefault="00000000">
      <w:pPr>
        <w:spacing w:after="240"/>
        <w:rPr>
          <w:bCs/>
          <w:noProof/>
          <w:color w:val="000000"/>
          <w:szCs w:val="22"/>
        </w:rPr>
      </w:pPr>
      <w:r>
        <w:rPr>
          <w:bCs/>
          <w:noProof/>
          <w:color w:val="000000"/>
          <w:szCs w:val="22"/>
        </w:rPr>
        <w:t>95.</w:t>
      </w:r>
      <w:r>
        <w:rPr>
          <w:bCs/>
          <w:noProof/>
          <w:color w:val="000000"/>
          <w:szCs w:val="22"/>
        </w:rPr>
        <w:tab/>
        <w:t>No obstante los avances señalados, emerge como dificultad para los niños y niñas que están ingresados temporalmente en un centro, (ejemplo CTD Residencial), el irregular acceso a la educación formal durante ese período dada la transitoriedad de la medida, que tiene una duración máxima de tres a cuatro meses, período destinado para que el juez recopile la información necesaria y determine la medida más adecuada.</w:t>
      </w:r>
    </w:p>
    <w:p w:rsidR="00000000" w:rsidRDefault="00000000">
      <w:pPr>
        <w:spacing w:after="240"/>
        <w:jc w:val="center"/>
        <w:rPr>
          <w:b/>
          <w:noProof/>
          <w:color w:val="000000"/>
          <w:szCs w:val="22"/>
        </w:rPr>
      </w:pPr>
      <w:r>
        <w:rPr>
          <w:b/>
          <w:noProof/>
          <w:color w:val="000000"/>
          <w:szCs w:val="22"/>
        </w:rPr>
        <w:t>H.  La adopción  (artículo 21)</w:t>
      </w:r>
    </w:p>
    <w:p w:rsidR="00000000" w:rsidRDefault="00000000">
      <w:pPr>
        <w:spacing w:after="240"/>
        <w:outlineLvl w:val="0"/>
        <w:rPr>
          <w:b/>
          <w:iCs/>
          <w:noProof/>
          <w:color w:val="000000"/>
          <w:szCs w:val="22"/>
        </w:rPr>
      </w:pPr>
      <w:r>
        <w:rPr>
          <w:b/>
          <w:iCs/>
          <w:noProof/>
          <w:color w:val="000000"/>
          <w:szCs w:val="22"/>
        </w:rPr>
        <w:t>Párrafo 83.  Informes periódicos - CRC/C/58</w:t>
      </w:r>
    </w:p>
    <w:p w:rsidR="00000000" w:rsidRDefault="00000000">
      <w:pPr>
        <w:spacing w:after="240"/>
        <w:rPr>
          <w:bCs/>
          <w:noProof/>
          <w:color w:val="000000"/>
          <w:szCs w:val="22"/>
        </w:rPr>
      </w:pPr>
      <w:r>
        <w:rPr>
          <w:bCs/>
          <w:noProof/>
          <w:color w:val="000000"/>
          <w:szCs w:val="22"/>
        </w:rPr>
        <w:t>96.</w:t>
      </w:r>
      <w:r>
        <w:rPr>
          <w:bCs/>
          <w:noProof/>
          <w:color w:val="000000"/>
          <w:szCs w:val="22"/>
        </w:rPr>
        <w:tab/>
        <w:t>En octubre de 2003, la Ley Nº 19.910, introduce importantes modificaciones a la legislación de adopción vigente en el país y adecua la normativa de adopción al interés superior de los niños y niñas.  Esta ley pretende solucionar los problemas que ha presentado la Ley Nº 19.620 de 1999.  En lo central agiliza el procedimiento de declaración de susceptibilidad, acotando los plazos de la misma y simplificando el sistema de notificaciones.  Establece además la facultad del juez para confiar el cuidado personal del niño o niña durante la tramitación del proceso, la cual sólo surtirá efectos una vez ejecutoriada la sentencia que declara al niño o niña susceptible de ser adoptado.  Se establece que las adopciones internacionales sólo podrán ser patrocinadas por SENAME o por un organismo acreditado; se reducen los plazos de la causal de abandono y se establece una presunción del ánimo de entregar al hijo en adopción en el caso de abandono en la vía pública, lugar solitario o recinto hospitalario.</w:t>
      </w:r>
    </w:p>
    <w:p w:rsidR="00000000" w:rsidRDefault="00000000">
      <w:pPr>
        <w:spacing w:after="240"/>
        <w:rPr>
          <w:bCs/>
          <w:noProof/>
          <w:color w:val="000000"/>
          <w:szCs w:val="22"/>
        </w:rPr>
      </w:pPr>
      <w:r>
        <w:rPr>
          <w:bCs/>
          <w:noProof/>
          <w:color w:val="000000"/>
          <w:szCs w:val="22"/>
        </w:rPr>
        <w:t>97.</w:t>
      </w:r>
      <w:r>
        <w:rPr>
          <w:bCs/>
          <w:noProof/>
          <w:color w:val="000000"/>
          <w:szCs w:val="22"/>
        </w:rPr>
        <w:tab/>
        <w:t>Con la Ley Nº 19.620 de 1999, el Servicio Nacional de Menores emerge como un organismo coadyuvante del poder judicial en lo que respecta a los procesos de declaración de susceptibilidad para la adopción y de adopción propiamente tal.  El SENAME asume un importante rol de fiscalización y supervisión de los procesos, lo que en definitiva evita o elimina los abusos provenientes del tráfico de niños y niñas.  Las instituciones privadas deben ser acreditadas y supervisadas por el SENAME.</w:t>
      </w:r>
    </w:p>
    <w:p w:rsidR="00000000" w:rsidRDefault="00000000">
      <w:pPr>
        <w:spacing w:after="240"/>
        <w:rPr>
          <w:bCs/>
          <w:noProof/>
          <w:color w:val="000000"/>
          <w:szCs w:val="22"/>
        </w:rPr>
      </w:pPr>
      <w:r>
        <w:rPr>
          <w:bCs/>
          <w:noProof/>
          <w:color w:val="000000"/>
          <w:szCs w:val="22"/>
        </w:rPr>
        <w:t>98.</w:t>
      </w:r>
      <w:r>
        <w:rPr>
          <w:bCs/>
          <w:noProof/>
          <w:color w:val="000000"/>
          <w:szCs w:val="22"/>
        </w:rPr>
        <w:tab/>
        <w:t>El Servicio Nacional de Menores creó un área denominada "Búsqueda de Raíces", esta búsqueda que emprenden muchos jóvenes o adultos para concer sus orígenes hoy encuentra fundamento legal en el reglamento de la Ley de adopción, supone la existencia de profesionales especializados en el área que puedan asesorar, acompañar y contener en la forma debida al adoptado, para que en definitiva sea beneficiado con la revelación y no dañado por la misma.</w:t>
      </w:r>
    </w:p>
    <w:p w:rsidR="00000000" w:rsidRDefault="00000000">
      <w:pPr>
        <w:spacing w:after="240"/>
        <w:rPr>
          <w:bCs/>
          <w:noProof/>
          <w:color w:val="000000"/>
          <w:szCs w:val="22"/>
        </w:rPr>
      </w:pPr>
      <w:r>
        <w:rPr>
          <w:bCs/>
          <w:noProof/>
          <w:color w:val="000000"/>
          <w:szCs w:val="22"/>
        </w:rPr>
        <w:t>99.</w:t>
      </w:r>
      <w:r>
        <w:rPr>
          <w:bCs/>
          <w:noProof/>
          <w:color w:val="000000"/>
          <w:szCs w:val="22"/>
        </w:rPr>
        <w:tab/>
        <w:t>El reglamento de la Ley de adopción regula la intervención del Servicio Nacional de Menores en los procesos de adopción; los registros que deben llevar los contenidos de los programas de adopción; y la acreditación de los organismos privados para intervenir en los procesos de adopción nacional e internacional.  De este modo, el reglamento da cumplimiento a lo establecido en los artículos 9 y 12 de la Convención de La Haya, referidos a la participación de la autoridad central en los procesos de adopción transnacional y a la labor de los organismos acreditados.</w:t>
      </w:r>
    </w:p>
    <w:p w:rsidR="00000000" w:rsidRDefault="00000000">
      <w:pPr>
        <w:tabs>
          <w:tab w:val="left" w:pos="-1440"/>
        </w:tabs>
        <w:spacing w:after="240"/>
        <w:rPr>
          <w:bCs/>
          <w:noProof/>
          <w:color w:val="000000"/>
          <w:szCs w:val="22"/>
        </w:rPr>
      </w:pPr>
      <w:r>
        <w:rPr>
          <w:bCs/>
          <w:noProof/>
          <w:color w:val="000000"/>
          <w:szCs w:val="22"/>
        </w:rPr>
        <w:t>100.</w:t>
      </w:r>
      <w:r>
        <w:rPr>
          <w:bCs/>
          <w:noProof/>
          <w:color w:val="000000"/>
          <w:szCs w:val="22"/>
        </w:rPr>
        <w:tab/>
        <w:t xml:space="preserve">Los principios que inspiran el nuevo régimen de adopción en Chile son el </w:t>
      </w:r>
      <w:r>
        <w:rPr>
          <w:bCs/>
          <w:noProof/>
          <w:szCs w:val="22"/>
        </w:rPr>
        <w:t>Principio del interés superior del niño, el Principio de subsidiariedad de la adopción</w:t>
      </w:r>
      <w:r>
        <w:rPr>
          <w:bCs/>
          <w:noProof/>
          <w:color w:val="FF0000"/>
          <w:szCs w:val="22"/>
        </w:rPr>
        <w:t xml:space="preserve"> </w:t>
      </w:r>
      <w:r>
        <w:rPr>
          <w:bCs/>
          <w:noProof/>
          <w:szCs w:val="22"/>
        </w:rPr>
        <w:t>respecto de la familia biológica o prioridad de la familia de origen por sobre la adopción y subsidiariedad de la adopción internacional respecto de la nacional.</w:t>
      </w:r>
    </w:p>
    <w:p w:rsidR="00000000" w:rsidRDefault="00000000">
      <w:pPr>
        <w:tabs>
          <w:tab w:val="left" w:pos="-1440"/>
        </w:tabs>
        <w:spacing w:after="240"/>
        <w:ind w:left="567"/>
        <w:rPr>
          <w:bCs/>
          <w:noProof/>
          <w:color w:val="000000"/>
          <w:szCs w:val="22"/>
        </w:rPr>
      </w:pPr>
      <w:r>
        <w:rPr>
          <w:bCs/>
          <w:i/>
          <w:iCs/>
          <w:noProof/>
          <w:color w:val="000000"/>
          <w:szCs w:val="22"/>
        </w:rPr>
        <w:t>Principio de respeto al derecho de opinión del niño</w:t>
      </w:r>
      <w:r>
        <w:rPr>
          <w:bCs/>
          <w:noProof/>
          <w:color w:val="000000"/>
          <w:szCs w:val="22"/>
        </w:rPr>
        <w:t>.  La ley ha regulado en forma expresa la necesidad de consultar la opinión o requerir incluso el consentimiento del niño o niña en los trámites relativos a la adopción, estableciendo la edad de la pubertad como aquélla suficiente para consentir o rechazar la adopción.  El consentimiento debe requerirse al niño o niña en dos oportunidades:  primero para la declaración de susceptibilidad para la adopción y segundo para la constitución misma de la adopción.  Pese a lo dicho, la ley confiere al juez la facultad de obrar aún en contra de la voluntad del niño o niña, si se aprecia que existen motivos fundados para estimar que la adopción velará mejor por el interés superior del adoptado.</w:t>
      </w:r>
    </w:p>
    <w:p w:rsidR="00000000" w:rsidRDefault="00000000">
      <w:pPr>
        <w:spacing w:after="240"/>
        <w:ind w:left="567"/>
        <w:rPr>
          <w:bCs/>
          <w:noProof/>
          <w:color w:val="000000"/>
          <w:szCs w:val="22"/>
        </w:rPr>
      </w:pPr>
      <w:r>
        <w:rPr>
          <w:bCs/>
          <w:i/>
          <w:iCs/>
          <w:noProof/>
          <w:color w:val="000000"/>
          <w:szCs w:val="22"/>
        </w:rPr>
        <w:t>Principio de preferencia de la familia matrimonial</w:t>
      </w:r>
      <w:r>
        <w:rPr>
          <w:bCs/>
          <w:noProof/>
          <w:color w:val="000000"/>
          <w:szCs w:val="22"/>
        </w:rPr>
        <w:t>.  No se permite la adopción por parte de parejas de hecho, aceptándose la adopción por personas solteras o viudas, sólo respecto de solicitantes residentes en nuestro país, cuando no existan cónyuges interesados e idóneos para adoptar.  A su vez, tratándose de la adopción internacional, la ley exige que los postulantes a la adopción se encuentren unidos por vínculo matrimonial.</w:t>
      </w:r>
    </w:p>
    <w:p w:rsidR="00000000" w:rsidRDefault="00000000">
      <w:pPr>
        <w:spacing w:after="240"/>
        <w:ind w:left="567"/>
        <w:rPr>
          <w:bCs/>
          <w:noProof/>
          <w:color w:val="000000"/>
          <w:szCs w:val="22"/>
        </w:rPr>
      </w:pPr>
      <w:r>
        <w:rPr>
          <w:bCs/>
          <w:i/>
          <w:iCs/>
          <w:noProof/>
          <w:color w:val="000000"/>
          <w:szCs w:val="22"/>
        </w:rPr>
        <w:t>Principio de la reserva relativa</w:t>
      </w:r>
      <w:r>
        <w:rPr>
          <w:bCs/>
          <w:noProof/>
          <w:color w:val="000000"/>
          <w:szCs w:val="22"/>
        </w:rPr>
        <w:t>.  La ley dispone que todas las tramitaciones, tanto judiciales como administrativas, y la guarda de documentos a que dé lugar la adopción, serán reservadas, estableciéndose sanciones a quien revele dichos antecedentes o permita que otros los revelen.  Sin embargo la reserva no es absoluta ya que admite limitaciones.  Los adoptantes pueden optar no acogerse a la misma y, además, se permite la emisión de certificados durante la tramitación del proceso para impetrar derechos o realizar actuaciones en beneficio del niño o niña.</w:t>
      </w:r>
    </w:p>
    <w:p w:rsidR="00000000" w:rsidRDefault="00000000">
      <w:pPr>
        <w:spacing w:after="240"/>
        <w:ind w:left="567"/>
        <w:rPr>
          <w:bCs/>
          <w:noProof/>
          <w:color w:val="000000"/>
          <w:szCs w:val="22"/>
        </w:rPr>
      </w:pPr>
      <w:r>
        <w:rPr>
          <w:bCs/>
          <w:i/>
          <w:iCs/>
          <w:noProof/>
          <w:color w:val="000000"/>
          <w:szCs w:val="22"/>
        </w:rPr>
        <w:t>Principio de protección del derecho a la identidad</w:t>
      </w:r>
      <w:r>
        <w:rPr>
          <w:bCs/>
          <w:noProof/>
          <w:color w:val="000000"/>
          <w:szCs w:val="22"/>
        </w:rPr>
        <w:t>.  El derecho a la identidad es trastocado por una identidad adoptiva que se superpone y excluye a la anterior.  Para respetar este derecho en la adopción se busca que el adoptado pueda conocerse a sí mismo a través de la reconstrucción de su propia historia personal y de sus orígenes.  Se contempla la posibilidad que el adoptado tenga derecho a ubicar y contactar a sus padres biológicos.  Para estos efectos, la Ley de adopción establece que, "cualquier interesado mayor de edad y plenamente capaz que tenga antecedentes que le permitan presumir que fue adoptado podrá solicitar personalmente al Servicio de Registro Civil e Identificación que le informe si su filiación tiene ese origen".</w:t>
      </w:r>
    </w:p>
    <w:p w:rsidR="00000000" w:rsidRDefault="00000000">
      <w:pPr>
        <w:spacing w:after="240"/>
        <w:ind w:left="567"/>
        <w:rPr>
          <w:bCs/>
          <w:noProof/>
          <w:szCs w:val="22"/>
        </w:rPr>
      </w:pPr>
      <w:r>
        <w:rPr>
          <w:bCs/>
          <w:i/>
          <w:iCs/>
          <w:noProof/>
          <w:szCs w:val="22"/>
        </w:rPr>
        <w:t>Principio de prevención del tráfico de niños y niñas</w:t>
      </w:r>
      <w:r>
        <w:rPr>
          <w:bCs/>
          <w:noProof/>
          <w:szCs w:val="22"/>
        </w:rPr>
        <w:t>.  La Ley N°19.620, impone acumulativamente, penas privativas de libertad y multas al que con abuso de confianza, ardid, simulación, atribución de identidad o estado civil u otra condición semejante, obtuviere la entrega de un niño o niña para sí, para un tercero o para sacarlo del país.  Así también al que solicitare o aceptare recibir cualquier clase de contraprestación por facilitar su entrega en adopción.  La ley estipula también el aumento de las sanciones correspondientes si el ilícito fuere cometido por autoridad, empleado público, abogado, médico, matrona, enfermera, asistente social o por el encargado, a cualquier título, del cuidado del menor, cuando ejecutaren dichas conductas abusando de su oficio, cargo o profesión.</w:t>
      </w:r>
    </w:p>
    <w:p w:rsidR="00000000" w:rsidRDefault="00000000">
      <w:pPr>
        <w:spacing w:after="240"/>
        <w:rPr>
          <w:bCs/>
          <w:noProof/>
          <w:color w:val="000000"/>
          <w:szCs w:val="22"/>
        </w:rPr>
      </w:pPr>
      <w:r>
        <w:rPr>
          <w:bCs/>
          <w:noProof/>
          <w:color w:val="000000"/>
          <w:szCs w:val="22"/>
        </w:rPr>
        <w:t>El SENAME promovió durante el año 2002, la adopción de niños y niñas mayores de 4 años.  Esta campaña tuvo un balance muy satisfactorio, ya que hasta hace poco tiempo la única esperanza de familia para estos niños y niñas era, en la mayoría de los casos, dejar nuestro país y encontrar posibilidades de pleno desarrollo en el extranjero.</w:t>
      </w:r>
    </w:p>
    <w:p w:rsidR="00000000" w:rsidRDefault="00000000">
      <w:pPr>
        <w:spacing w:after="240"/>
        <w:rPr>
          <w:b/>
          <w:iCs/>
          <w:noProof/>
          <w:color w:val="000000"/>
          <w:szCs w:val="22"/>
        </w:rPr>
      </w:pPr>
      <w:r>
        <w:rPr>
          <w:b/>
          <w:iCs/>
          <w:noProof/>
          <w:color w:val="000000"/>
          <w:szCs w:val="22"/>
        </w:rPr>
        <w:t>Párrafo 84.  Informes periódicos - CRC/C/58</w:t>
      </w:r>
    </w:p>
    <w:p w:rsidR="00000000" w:rsidRDefault="00000000">
      <w:pPr>
        <w:spacing w:after="240"/>
        <w:rPr>
          <w:bCs/>
          <w:noProof/>
          <w:color w:val="000000"/>
          <w:szCs w:val="22"/>
        </w:rPr>
      </w:pPr>
      <w:r>
        <w:rPr>
          <w:bCs/>
          <w:noProof/>
          <w:color w:val="000000"/>
          <w:szCs w:val="22"/>
        </w:rPr>
        <w:t>101.</w:t>
      </w:r>
      <w:r>
        <w:rPr>
          <w:bCs/>
          <w:noProof/>
          <w:color w:val="000000"/>
          <w:szCs w:val="22"/>
        </w:rPr>
        <w:tab/>
        <w:t>La ley vigente contempla el derecho de aquel que requiere una familia adoptiva a encontrarla preferentemente en su país de origen.</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jc w:val="center"/>
        <w:outlineLvl w:val="0"/>
        <w:rPr>
          <w:b/>
          <w:noProof/>
          <w:color w:val="000000"/>
          <w:szCs w:val="22"/>
        </w:rPr>
      </w:pPr>
      <w:r>
        <w:rPr>
          <w:b/>
          <w:noProof/>
          <w:color w:val="000000"/>
          <w:szCs w:val="22"/>
        </w:rPr>
        <w:t>I.  Examen periódico de las condiciones de internación</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outlineLvl w:val="0"/>
        <w:rPr>
          <w:b/>
          <w:iCs/>
          <w:noProof/>
          <w:color w:val="000000"/>
          <w:szCs w:val="22"/>
        </w:rPr>
      </w:pPr>
      <w:r>
        <w:rPr>
          <w:b/>
          <w:iCs/>
          <w:noProof/>
          <w:color w:val="000000"/>
          <w:szCs w:val="22"/>
        </w:rPr>
        <w:t>Párrafo 86.  Informes periódicos - CRC/C/58</w:t>
      </w:r>
    </w:p>
    <w:p w:rsidR="00000000" w:rsidRDefault="00000000">
      <w:pPr>
        <w:tabs>
          <w:tab w:val="left" w:pos="-3828"/>
          <w:tab w:val="left" w:pos="-3686"/>
          <w:tab w:val="left" w:pos="0"/>
        </w:tabs>
        <w:spacing w:after="240"/>
        <w:rPr>
          <w:bCs/>
          <w:noProof/>
          <w:color w:val="000000"/>
          <w:szCs w:val="22"/>
        </w:rPr>
      </w:pPr>
      <w:r>
        <w:rPr>
          <w:bCs/>
          <w:noProof/>
          <w:color w:val="000000"/>
          <w:szCs w:val="22"/>
        </w:rPr>
        <w:t>102.</w:t>
      </w:r>
      <w:r>
        <w:rPr>
          <w:bCs/>
          <w:noProof/>
          <w:color w:val="000000"/>
          <w:szCs w:val="22"/>
        </w:rPr>
        <w:tab/>
        <w:t xml:space="preserve">Los proyectos residenciales del Servicio Nacional de Menores tienen la obligación de velar por el cumplimiento del ejercicio de los derechos de los niños y niñas.  Se realizan las acciones de reparación e interrupción de la vulneración de derechos de la cual ha sido víctima el niño o niña.  Se intenta en el más breve plazo el reintegro a una familia, si corresponde.  Cada niño o niña deberá contar con un Plan de Intervención en los ámbitos educativos, recreativos, de salud, participación, etc., como de la intervención técnica destinada a la reparación de los derechos vulnerados, incluida la intervención familiar.  </w:t>
      </w:r>
    </w:p>
    <w:p w:rsidR="00000000" w:rsidRDefault="00000000">
      <w:pPr>
        <w:tabs>
          <w:tab w:val="left" w:pos="-3828"/>
          <w:tab w:val="left" w:pos="-3686"/>
          <w:tab w:val="left" w:pos="0"/>
        </w:tabs>
        <w:spacing w:after="240"/>
        <w:rPr>
          <w:bCs/>
          <w:noProof/>
          <w:color w:val="000000"/>
          <w:szCs w:val="22"/>
        </w:rPr>
      </w:pPr>
      <w:r>
        <w:rPr>
          <w:bCs/>
          <w:noProof/>
          <w:color w:val="000000"/>
          <w:szCs w:val="22"/>
        </w:rPr>
        <w:t>103.</w:t>
      </w:r>
      <w:r>
        <w:rPr>
          <w:bCs/>
          <w:noProof/>
          <w:color w:val="000000"/>
          <w:szCs w:val="22"/>
        </w:rPr>
        <w:tab/>
        <w:t>El SENAME debe privilegiar las condiciones que favorezcan la vinculación afectiva con su familia, facilitando todas las instancias que permitan este acercamiento, el contacto a través de visitas periódicas, vacaciones, fechas especiales etc., debiendo permitir la mayor frecuencia cuando ello sea posible</w:t>
      </w:r>
      <w:r>
        <w:rPr>
          <w:rStyle w:val="FootnoteReference"/>
          <w:bCs/>
          <w:noProof/>
          <w:color w:val="000000"/>
          <w:szCs w:val="22"/>
        </w:rPr>
        <w:footnoteReference w:id="7"/>
      </w:r>
      <w:r>
        <w:rPr>
          <w:bCs/>
          <w:noProof/>
          <w:color w:val="000000"/>
          <w:szCs w:val="22"/>
        </w:rPr>
        <w:t>.  Se facilitará el acceso a la comunicación telefónica y/o escrita con la familia o figuras significativas y la incorporación progresiva de la familia en actividades de responsabilización del proceso de desarrollo del niño o niña.</w:t>
      </w:r>
    </w:p>
    <w:p w:rsidR="00000000" w:rsidRDefault="00000000">
      <w:pPr>
        <w:tabs>
          <w:tab w:val="left" w:pos="-3828"/>
          <w:tab w:val="left" w:pos="-3686"/>
        </w:tabs>
        <w:spacing w:after="240"/>
        <w:rPr>
          <w:bCs/>
          <w:noProof/>
          <w:color w:val="000000"/>
          <w:szCs w:val="22"/>
        </w:rPr>
      </w:pPr>
      <w:r>
        <w:rPr>
          <w:bCs/>
          <w:noProof/>
          <w:color w:val="000000"/>
          <w:szCs w:val="22"/>
        </w:rPr>
        <w:t>104.</w:t>
      </w:r>
      <w:r>
        <w:rPr>
          <w:bCs/>
          <w:noProof/>
          <w:color w:val="000000"/>
          <w:szCs w:val="22"/>
        </w:rPr>
        <w:tab/>
        <w:t>Durante todo el proceso de intervención se deben considerar instancias en las cuales los niños y niñas, de acuerdo a su etapa de desarrollo, puedan manifestar directamente sus inquietudes respecto a las acciones que les atañen o decisiones que se adopten respecto a su situación de vida.</w:t>
      </w:r>
    </w:p>
    <w:p w:rsidR="00000000" w:rsidRDefault="00000000">
      <w:pPr>
        <w:widowControl w:val="0"/>
        <w:spacing w:after="240"/>
        <w:rPr>
          <w:bCs/>
          <w:noProof/>
          <w:color w:val="000000"/>
          <w:szCs w:val="22"/>
        </w:rPr>
      </w:pPr>
      <w:r>
        <w:rPr>
          <w:bCs/>
          <w:noProof/>
          <w:color w:val="000000"/>
          <w:szCs w:val="22"/>
        </w:rPr>
        <w:t>105.</w:t>
      </w:r>
      <w:r>
        <w:rPr>
          <w:bCs/>
          <w:noProof/>
          <w:color w:val="000000"/>
          <w:szCs w:val="22"/>
        </w:rPr>
        <w:tab/>
        <w:t>Tal como lo indica la ley, los directores de las residencias deben informar a lo menos cada seis meses al Tribunal que ordenó el ingreso del niño o niña, de la evolución de la situación de internación.  La calidad de la atención y nivel de vida de los niños y niñas es cautelada a través del proceso de supervisión, efectuado por parte de SENAME.  En situaciones que afecten la seguridad y bienestar de los niños y niñas, se deben tomar las medidas inmediatas de resguardo y protección de ellos, informar al Tribunal de Menores correspondiente y denunciar al Tribunal del Crimen a los responsables de los actos de maltrato constitutivos de delito.</w:t>
      </w:r>
    </w:p>
    <w:p w:rsidR="00000000" w:rsidRDefault="00000000">
      <w:pPr>
        <w:widowControl w:val="0"/>
        <w:spacing w:after="240"/>
        <w:rPr>
          <w:bCs/>
          <w:i/>
          <w:noProof/>
          <w:color w:val="000000"/>
          <w:szCs w:val="22"/>
        </w:rPr>
      </w:pPr>
      <w:r>
        <w:rPr>
          <w:bCs/>
          <w:noProof/>
          <w:color w:val="000000"/>
          <w:szCs w:val="22"/>
        </w:rPr>
        <w:t>106.</w:t>
      </w:r>
      <w:r>
        <w:rPr>
          <w:bCs/>
          <w:noProof/>
          <w:color w:val="000000"/>
          <w:szCs w:val="22"/>
        </w:rPr>
        <w:tab/>
        <w:t>Respecto de los adolescentes que permanecen en recintos privativos de libertad, se han establecido las medidas administrativas para resguardar su atención, protección y tratamiento de su salud física y mental, a través de un examen periódico del tratamiento.  cuando estén sometidos a él y las demás circunstancias propias de su internación.</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outlineLvl w:val="0"/>
        <w:rPr>
          <w:b/>
          <w:iCs/>
          <w:noProof/>
          <w:color w:val="000000"/>
          <w:szCs w:val="22"/>
        </w:rPr>
      </w:pPr>
      <w:r>
        <w:rPr>
          <w:b/>
          <w:iCs/>
          <w:noProof/>
          <w:color w:val="000000"/>
          <w:szCs w:val="22"/>
        </w:rPr>
        <w:t>Párrafo 87.  Informes periódicos - CRC/C/58</w:t>
      </w:r>
    </w:p>
    <w:p w:rsidR="00000000" w:rsidRDefault="00000000">
      <w:pPr>
        <w:widowControl w:val="0"/>
        <w:spacing w:after="240"/>
        <w:rPr>
          <w:bCs/>
          <w:noProof/>
          <w:color w:val="000000"/>
          <w:szCs w:val="22"/>
        </w:rPr>
      </w:pPr>
      <w:r>
        <w:rPr>
          <w:bCs/>
          <w:noProof/>
          <w:color w:val="000000"/>
          <w:szCs w:val="22"/>
        </w:rPr>
        <w:t>107.</w:t>
      </w:r>
      <w:r>
        <w:rPr>
          <w:bCs/>
          <w:noProof/>
          <w:color w:val="000000"/>
          <w:szCs w:val="22"/>
        </w:rPr>
        <w:tab/>
        <w:t>Los Tribunales de Menores tienen la autoridad de dictaminar como medida de protección la internación de un niño o niña a un sistema residencial del SENAME.</w:t>
      </w:r>
    </w:p>
    <w:p w:rsidR="00000000" w:rsidRDefault="00000000">
      <w:pPr>
        <w:widowControl w:val="0"/>
        <w:spacing w:after="240"/>
        <w:rPr>
          <w:bCs/>
          <w:noProof/>
          <w:color w:val="000000"/>
          <w:szCs w:val="22"/>
        </w:rPr>
      </w:pPr>
      <w:r>
        <w:rPr>
          <w:bCs/>
          <w:noProof/>
          <w:color w:val="000000"/>
          <w:szCs w:val="22"/>
        </w:rPr>
        <w:t>108.</w:t>
      </w:r>
      <w:r>
        <w:rPr>
          <w:bCs/>
          <w:noProof/>
          <w:color w:val="000000"/>
          <w:szCs w:val="22"/>
        </w:rPr>
        <w:tab/>
        <w:t>La permanencia de niños y niñas en recintos privativos de libertad es determinada por los tribunales pertinentes.  Cuando no corresponde su privación de libertad, porque no están inculpados de cometer un hecho constitutivo de delito o porque son menores de 14 años, los proyectos jurídicos presentan recursos de amparo para que el niño o niña sea reintegrado a su medio familiar.</w:t>
      </w:r>
    </w:p>
    <w:p w:rsidR="00000000" w:rsidRDefault="00000000">
      <w:pPr>
        <w:spacing w:after="240"/>
        <w:ind w:left="284" w:hanging="284"/>
        <w:jc w:val="center"/>
        <w:rPr>
          <w:b/>
          <w:noProof/>
          <w:color w:val="000000"/>
          <w:szCs w:val="22"/>
        </w:rPr>
      </w:pPr>
      <w:r>
        <w:rPr>
          <w:b/>
          <w:noProof/>
          <w:color w:val="000000"/>
          <w:szCs w:val="22"/>
        </w:rPr>
        <w:t>J.  Los abusos y el descuido, incluidas la recuperación física</w:t>
      </w:r>
      <w:r>
        <w:rPr>
          <w:b/>
          <w:noProof/>
          <w:color w:val="000000"/>
          <w:szCs w:val="22"/>
        </w:rPr>
        <w:br/>
        <w:t>y psicológica y la reintegración social</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outlineLvl w:val="0"/>
        <w:rPr>
          <w:b/>
          <w:iCs/>
          <w:noProof/>
          <w:color w:val="000000"/>
          <w:szCs w:val="22"/>
        </w:rPr>
      </w:pPr>
      <w:r>
        <w:rPr>
          <w:b/>
          <w:iCs/>
          <w:noProof/>
          <w:color w:val="000000"/>
          <w:szCs w:val="22"/>
        </w:rPr>
        <w:t>Párrafo 88.  Informes periódicos - CRC/C/58</w:t>
      </w:r>
    </w:p>
    <w:p w:rsidR="00000000" w:rsidRDefault="00000000">
      <w:pPr>
        <w:widowControl w:val="0"/>
        <w:spacing w:after="240"/>
        <w:rPr>
          <w:bCs/>
          <w:noProof/>
          <w:color w:val="000000"/>
          <w:szCs w:val="22"/>
        </w:rPr>
      </w:pPr>
      <w:r>
        <w:rPr>
          <w:bCs/>
          <w:noProof/>
          <w:color w:val="000000"/>
          <w:szCs w:val="22"/>
        </w:rPr>
        <w:t>109.</w:t>
      </w:r>
      <w:r>
        <w:rPr>
          <w:bCs/>
          <w:noProof/>
          <w:color w:val="000000"/>
          <w:szCs w:val="22"/>
        </w:rPr>
        <w:tab/>
        <w:t>Las medidas legislativas y administrativas que el Estado de Chile ha implementado para la protección y recuperación de los niños y niñas víctimas del maltrato infantil, descuido y abuso sexual tuvieron un progreso sustantivo en la década de los noventa de lo cual se dio cuenta detallada en el segundo informe.  En los últimos años se han realizado otros avances.  En el ámbito de los delitos que afectan la libertad o indemnidad sexual de niños y niñas, se tipifican alrededor de siete figuras delictivas específicas:  violación, incesto, estupro, sodomía, abuso sexual, pornografía infantil y utilización de niños y niñas para la prostitución, distinguiéndose en este último tipo el proxenitismo y la sanción al cliente de prostitución infantil.  La legislación concentra la mayor cantidad de las sanciones en casos de víctimas menores de edad, ampliando la sanción si los delitos son cometidos por personas vinculadas a las víctimas bastando que tenga una relación directa o habitual con menores de edad.</w:t>
      </w:r>
    </w:p>
    <w:p w:rsidR="00000000" w:rsidRDefault="00000000">
      <w:pPr>
        <w:widowControl w:val="0"/>
        <w:spacing w:after="240"/>
        <w:rPr>
          <w:bCs/>
          <w:noProof/>
          <w:color w:val="000000"/>
          <w:szCs w:val="22"/>
        </w:rPr>
      </w:pPr>
      <w:r>
        <w:rPr>
          <w:bCs/>
          <w:noProof/>
          <w:color w:val="000000"/>
          <w:szCs w:val="22"/>
        </w:rPr>
        <w:t>110.</w:t>
      </w:r>
      <w:r>
        <w:rPr>
          <w:bCs/>
          <w:noProof/>
          <w:color w:val="000000"/>
          <w:szCs w:val="22"/>
        </w:rPr>
        <w:tab/>
        <w:t>Respecto de los malos tratos constitutivos de delito (incluidos los relativos al abuso sexual infantil), y conforme al nuevo Código Procesal Penal (CPP) toda persona puede presentar denuncia de un hecho que reviste caracteres de delito, por lo tanto, los niños y niñas pueden realizar este acto procesal ante el Ministerio Público, las policías o los tribunales con competencia en lo criminal.  Sin perjuicio de lo anterior, el ministerio público siempre puede proceder de oficio para la persecución de los delitos de acción pública, cuando son cometidos en contra de niños y niñas.  Esto también respecto de los delitos sexuales.</w:t>
      </w:r>
    </w:p>
    <w:p w:rsidR="00000000" w:rsidRDefault="00000000">
      <w:pPr>
        <w:widowControl w:val="0"/>
        <w:spacing w:after="240"/>
        <w:rPr>
          <w:bCs/>
          <w:i/>
          <w:noProof/>
          <w:color w:val="000000"/>
          <w:szCs w:val="22"/>
        </w:rPr>
      </w:pPr>
      <w:r>
        <w:rPr>
          <w:bCs/>
          <w:noProof/>
          <w:color w:val="000000"/>
          <w:szCs w:val="22"/>
        </w:rPr>
        <w:t>111.</w:t>
      </w:r>
      <w:r>
        <w:rPr>
          <w:bCs/>
          <w:noProof/>
          <w:color w:val="000000"/>
          <w:szCs w:val="22"/>
        </w:rPr>
        <w:tab/>
        <w:t>Respecto de los actos de violencia intrafamiliar, la denuncia de los hechos puede ser formulada o deducida por el afectado, sus ascendientes, descendientes, guardadores, tutores, curadores o cualquier otra persona que tenga conocimiento directo de los hechos materia de la denuncia o demanda.  En estos juicios las personas pueden actuar y comparecer personalmente, sin necesidad de mandatario judicial, a menos que el juez así lo ordene expresamente.</w:t>
      </w:r>
    </w:p>
    <w:p w:rsidR="00000000" w:rsidRDefault="00000000">
      <w:pPr>
        <w:widowControl w:val="0"/>
        <w:spacing w:after="240"/>
        <w:rPr>
          <w:bCs/>
          <w:noProof/>
          <w:color w:val="000000"/>
          <w:szCs w:val="22"/>
        </w:rPr>
      </w:pPr>
      <w:r>
        <w:rPr>
          <w:bCs/>
          <w:noProof/>
          <w:color w:val="000000"/>
          <w:szCs w:val="22"/>
        </w:rPr>
        <w:t>112.</w:t>
      </w:r>
      <w:r>
        <w:rPr>
          <w:bCs/>
          <w:noProof/>
          <w:color w:val="000000"/>
          <w:szCs w:val="22"/>
        </w:rPr>
        <w:tab/>
        <w:t>El maltrato intrafamiliar con resultado de lesiones leves, amenazas con armas de fuego, maltrato psicológico y maltrato por omisión es de competencia del juez civil.  Este puede adoptar desde el inicio del proceso medidas precautorias destinadas a garantizar la seguridad física o psíquica del afectado; la tranquila convivencia; la subsistencia económica; y la integridad patrimonial del grupo familiar.  Para la ejecución y cumplimiento de estas medidas, el juez puede decretar el auxilio de la fuerza pública, siendo su duración esencialmente provisoria ya que éstas no pueden exceder de 60 días hábiles, pudiendo ampliarse hasta 180 días hábiles por motivos graves y urgentes.  Las sanciones contempladas consisten en:  a) asistencia obligatoria a determinados programas terapéuticos o de orientación familiar que no excedan el lapso de seis meses;  b) multa a beneficio municipal; y  c) prisión en cualquiera de sus grados (hasta 60 días).</w:t>
      </w:r>
    </w:p>
    <w:p w:rsidR="00000000" w:rsidRDefault="00000000">
      <w:pPr>
        <w:widowControl w:val="0"/>
        <w:spacing w:after="240"/>
        <w:rPr>
          <w:bCs/>
          <w:noProof/>
          <w:color w:val="000000"/>
          <w:szCs w:val="22"/>
        </w:rPr>
      </w:pPr>
      <w:r>
        <w:rPr>
          <w:bCs/>
          <w:noProof/>
          <w:color w:val="000000"/>
          <w:szCs w:val="22"/>
        </w:rPr>
        <w:t>113.</w:t>
      </w:r>
      <w:r>
        <w:rPr>
          <w:bCs/>
          <w:noProof/>
          <w:color w:val="000000"/>
          <w:szCs w:val="22"/>
        </w:rPr>
        <w:tab/>
        <w:t>El Código Procesal Penal, consagra el derecho de toda víctima a solicitar medidas de protección frente a posibles hostigamientos, amenazas o atentados en contra suya o de su familia.  El ministerio público puede adoptar o solicitar medidas de protección a las víctimas y sus familias:  a) adoptar, sin intervención judicial, cualquier medida de protección de la víctima y su familia que no implique privación ni restricción de los derechos del imputado; o  b) solicitar al tribunal que decrete una medida cautelar personal, con fundamento en la protección de la víctima.  Si el peligro fuere provocado por un miembro de la familia del niño o niña, o por sus cuidadores, el fiscal puede ordenar inmediatamente a Carabineros de Chile que lleve al niño o niña a la casa de parientes consanguíneos o de otras personas con las que éste tenga una relación de confianza, o a un centro de Tránsito y Distribución, y le informe de ello al juez de menores.  En este caso no se requiere la aceptación del niño o niña.</w:t>
      </w:r>
    </w:p>
    <w:p w:rsidR="00000000" w:rsidRDefault="00000000">
      <w:pPr>
        <w:widowControl w:val="0"/>
        <w:spacing w:after="240"/>
        <w:rPr>
          <w:bCs/>
          <w:noProof/>
          <w:color w:val="000000"/>
          <w:szCs w:val="22"/>
        </w:rPr>
      </w:pPr>
      <w:r>
        <w:rPr>
          <w:bCs/>
          <w:noProof/>
          <w:color w:val="000000"/>
          <w:szCs w:val="22"/>
        </w:rPr>
        <w:t>114.</w:t>
      </w:r>
      <w:r>
        <w:rPr>
          <w:bCs/>
          <w:noProof/>
          <w:color w:val="000000"/>
          <w:szCs w:val="22"/>
        </w:rPr>
        <w:tab/>
        <w:t>Cuando se trata de delitos de menor gravedad, cometidos por los padres o cuidadores en perjuicio de los derechos del niño o adolescente, y siempre que éstos se encuentren en un ambiente protegido, el fiscal puede solicitar al juez de menores que decrete la medida de concurrencia de los niños y niñas, sus padres o cuidadores, a programas o acciones de apoyo, reparación u orientación para enfrentar y superar la situación de crisis en que pudieren encontrarse.  El fiscal puede solicitar también al juez de menores que disponga que parientes consanguíneos del niño o niña o, u otras personas con las que éste tenga una relación de confianza, asuman provisoriamente su cuidado, siempre que éstas no hayan contribuido a la comisión del delito.</w:t>
      </w:r>
    </w:p>
    <w:p w:rsidR="00000000" w:rsidRDefault="00000000">
      <w:pPr>
        <w:widowControl w:val="0"/>
        <w:spacing w:after="240"/>
        <w:rPr>
          <w:bCs/>
          <w:noProof/>
          <w:color w:val="000000"/>
          <w:szCs w:val="22"/>
        </w:rPr>
      </w:pPr>
      <w:r>
        <w:rPr>
          <w:bCs/>
          <w:noProof/>
          <w:color w:val="000000"/>
          <w:szCs w:val="22"/>
        </w:rPr>
        <w:t>115.</w:t>
      </w:r>
      <w:r>
        <w:rPr>
          <w:bCs/>
          <w:noProof/>
          <w:color w:val="000000"/>
          <w:szCs w:val="22"/>
        </w:rPr>
        <w:tab/>
        <w:t>Cuando se trate de delitos cometidos por los padres o cuidadores en perjuicio de la vida, la integridad física o psíquica o la indemnidad sexual del niño o niña, y faltando parientes consanguíneos de éste o personas con las que tenga una relación de confianza, el fiscal puede solicitar al juez de menores que decrete la internación en un establecimiento de protección, de modo que la internación sólo puede resultar aplicable en situaciones de grave vulneración de otros derechos del niño o niña y cuando no exista otra medida eficaz para evitar nuevos atentados.</w:t>
      </w:r>
    </w:p>
    <w:p w:rsidR="00000000" w:rsidRDefault="00000000">
      <w:pPr>
        <w:widowControl w:val="0"/>
        <w:spacing w:after="240"/>
        <w:rPr>
          <w:bCs/>
          <w:noProof/>
          <w:color w:val="000000"/>
          <w:szCs w:val="22"/>
        </w:rPr>
      </w:pPr>
      <w:r>
        <w:rPr>
          <w:bCs/>
          <w:noProof/>
          <w:color w:val="000000"/>
          <w:szCs w:val="22"/>
        </w:rPr>
        <w:t>116.</w:t>
      </w:r>
      <w:r>
        <w:rPr>
          <w:bCs/>
          <w:noProof/>
          <w:color w:val="000000"/>
          <w:szCs w:val="22"/>
        </w:rPr>
        <w:tab/>
        <w:t>Cuando se trate de delitos de violación, estupro, sodomía, abusos sexuales, promoción de la prostitución o trata de personas, cometidos en perjuicio de un niño o niña, el fiscal podrá, después de la formalización de la investigación, solicitar medidas especiales de protección a la víctima, como las siguientes:  a) sujeción del imputado a la vigilancia de una persona o institución determinada, la que informará periódicamente al tribunal;  b) prohibición de visitar el domicilio, el lugar de trabajo o el establecimiento educacional de la víctima; y  c) prohibición de acercarse a la víctima o a su familia y, en su caso, la obligación de abandonar el hogar que compartiere con aquél.</w:t>
      </w:r>
    </w:p>
    <w:p w:rsidR="00000000" w:rsidRDefault="00000000">
      <w:pPr>
        <w:widowControl w:val="0"/>
        <w:spacing w:after="240"/>
        <w:rPr>
          <w:bCs/>
          <w:noProof/>
          <w:color w:val="000000"/>
          <w:szCs w:val="22"/>
        </w:rPr>
      </w:pPr>
      <w:r>
        <w:rPr>
          <w:bCs/>
          <w:noProof/>
          <w:color w:val="000000"/>
          <w:szCs w:val="22"/>
        </w:rPr>
        <w:t>117.</w:t>
      </w:r>
      <w:r>
        <w:rPr>
          <w:bCs/>
          <w:noProof/>
          <w:color w:val="000000"/>
          <w:szCs w:val="22"/>
        </w:rPr>
        <w:tab/>
        <w:t>En el año 1999, el Comité Nacional de Prevención del Maltrato Infantil constituido en el año 1995, elaboró el "Plan Nacional de Prevención del Maltrato Infantil en Chile" para el período 2000-2006.  Dicho Plan se ha llevado adelante mediante la ejecución de metas sectoriales en prevención y atención de maltrato infantil lo que incluye abuso sexual infantil.  Entre los años 1999 y 2003 se han diseñado programas de capacitación y formación en la materia.  Además los Comités Regionales de Prevención de Maltrato Infantil, desarrollan actividades educativas de prevención y capacitación en derechos de la infancia durante todo el año.  Algunas de las acciones en el ámbito educativo-preventivo, se señalan a continuación:</w:t>
      </w:r>
    </w:p>
    <w:p w:rsidR="00000000" w:rsidRDefault="00000000">
      <w:pPr>
        <w:tabs>
          <w:tab w:val="left" w:pos="-2127"/>
          <w:tab w:val="left" w:pos="-1985"/>
          <w:tab w:val="left" w:pos="-1843"/>
        </w:tabs>
        <w:spacing w:after="240"/>
        <w:ind w:left="1134" w:hanging="567"/>
        <w:rPr>
          <w:bCs/>
          <w:noProof/>
          <w:color w:val="000000"/>
          <w:szCs w:val="22"/>
        </w:rPr>
      </w:pPr>
      <w:r>
        <w:rPr>
          <w:bCs/>
          <w:noProof/>
          <w:color w:val="000000"/>
          <w:szCs w:val="22"/>
        </w:rPr>
        <w:t>a)</w:t>
      </w:r>
      <w:r>
        <w:rPr>
          <w:bCs/>
          <w:noProof/>
          <w:color w:val="000000"/>
          <w:szCs w:val="22"/>
        </w:rPr>
        <w:tab/>
        <w:t>Durante el año 2001, la Fundación Integra diseñó un "Plan Institucional por el Buen Trato Infantil".  Además, realiza talleres "Ayudando a crecer" en conjunto con la Fundación de la Familia, dirigidos a agentes educativos madres y padres.  Durante el año 2003, se realizó la implementación del proyecto "Te suena familiar" en 50 jardines en coordinación con UNICEF.  En el 100% de los jardines se realizaron talleres para fortalecer las competencias parentales.  Se desarrolló, también, un proyecto con fondos del SENAME y Fundación Integra, con vigencia octubre 2003-diciembre 2004 para capacitación al 100% de los equipos regionales de la Fundación Integra y el 70% de equipos de jardines de 13 regiones del país, con cobertura de 40.000 niños y niñas.</w:t>
      </w:r>
    </w:p>
    <w:p w:rsidR="00000000" w:rsidRDefault="00000000">
      <w:pPr>
        <w:tabs>
          <w:tab w:val="left" w:pos="-2127"/>
          <w:tab w:val="left" w:pos="-1985"/>
          <w:tab w:val="left" w:pos="-1843"/>
        </w:tabs>
        <w:spacing w:after="240"/>
        <w:ind w:left="1134" w:hanging="567"/>
        <w:rPr>
          <w:bCs/>
          <w:noProof/>
          <w:color w:val="000000"/>
          <w:szCs w:val="22"/>
        </w:rPr>
      </w:pPr>
      <w:r>
        <w:rPr>
          <w:bCs/>
          <w:noProof/>
          <w:color w:val="000000"/>
          <w:szCs w:val="22"/>
        </w:rPr>
        <w:t>b)</w:t>
      </w:r>
      <w:r>
        <w:rPr>
          <w:bCs/>
          <w:noProof/>
          <w:color w:val="000000"/>
          <w:szCs w:val="22"/>
        </w:rPr>
        <w:tab/>
        <w:t>La Junta Nacional de Jardines Infantiles (JUNJI), ha implementado desde el año 2001 el proyecto "Crecer y desarrollarse en la senda de la afectividad cotidiana", estrategia de prevención integral del maltrato infantil y violencia intrafamiliar, que se lleva a cabo en colaboración con el Servicio Nacional de la Mujer.  Coberturas:  año 2000:  51 jardines infantiles.  Año 2001:  106 jardines infantiles.  Año 2002:  187 jardines infantiles.  El compromiso para el período 2003</w:t>
      </w:r>
      <w:r>
        <w:rPr>
          <w:bCs/>
          <w:noProof/>
          <w:color w:val="000000"/>
          <w:szCs w:val="22"/>
        </w:rPr>
        <w:noBreakHyphen/>
        <w:t>2004, ha sido instalar el proyecto en los planes de trabajo de los jardines infantiles de la JUNJI a lo largo de todo el país, promoviendo su desarrollo dentro de los temas transversales y de acuerdo a programación regional.</w:t>
      </w:r>
    </w:p>
    <w:p w:rsidR="00000000" w:rsidRDefault="00000000">
      <w:pPr>
        <w:tabs>
          <w:tab w:val="left" w:pos="-2127"/>
          <w:tab w:val="left" w:pos="-1985"/>
          <w:tab w:val="left" w:pos="-1843"/>
        </w:tabs>
        <w:spacing w:after="240"/>
        <w:ind w:left="1134" w:hanging="567"/>
        <w:rPr>
          <w:bCs/>
          <w:noProof/>
          <w:color w:val="000000"/>
          <w:szCs w:val="22"/>
        </w:rPr>
      </w:pPr>
      <w:r>
        <w:rPr>
          <w:bCs/>
          <w:noProof/>
          <w:color w:val="000000"/>
          <w:szCs w:val="22"/>
        </w:rPr>
        <w:t>c)</w:t>
      </w:r>
      <w:r>
        <w:rPr>
          <w:bCs/>
          <w:noProof/>
          <w:color w:val="000000"/>
          <w:szCs w:val="22"/>
        </w:rPr>
        <w:tab/>
        <w:t>El Ministerio de Educación desarrolló el Programa "Diseño, Implementación y Evaluación de un Programa de Educación para la No-Violencia", ejecutado en el sistema escolar por una entidad universitaria, financiado por el Fondo para el Desarrollo Científico y Tecnológico.  Implementó, además, el año 2003 el plan piloto "Hacia una Sexualidad Responsable" coordinado por el Ministerio de Salud de Educación y SERNAM, en el que se ha propuesto desde el Ministerio de Salud, incorporar el tema de la prevención del abuso sexual infantil.</w:t>
      </w:r>
    </w:p>
    <w:p w:rsidR="00000000" w:rsidRDefault="00000000">
      <w:pPr>
        <w:spacing w:after="240"/>
        <w:ind w:left="1134" w:hanging="567"/>
        <w:rPr>
          <w:bCs/>
          <w:noProof/>
          <w:color w:val="000000"/>
          <w:szCs w:val="22"/>
        </w:rPr>
      </w:pPr>
      <w:r>
        <w:rPr>
          <w:bCs/>
          <w:noProof/>
          <w:color w:val="000000"/>
          <w:szCs w:val="22"/>
        </w:rPr>
        <w:t>d)</w:t>
      </w:r>
      <w:r>
        <w:rPr>
          <w:bCs/>
          <w:noProof/>
          <w:color w:val="000000"/>
          <w:szCs w:val="22"/>
        </w:rPr>
        <w:tab/>
        <w:t>La Policía de Investigaciones, realiza acciones de difusión del tema de prevención de abuso sexual infantil a la comunidad, tales como:  campañas educativas, difusión de cartillas acerca de la prevención del abuso sexual infantil (ciclo prebásico y básico), difusión de trípticos con respecto al tráfico y pornografía en Internet, coordinación con las oficinas de fiscalización de los municipios (drogas, delitos sexuales).</w:t>
      </w:r>
    </w:p>
    <w:p w:rsidR="00000000" w:rsidRDefault="00000000">
      <w:pPr>
        <w:spacing w:after="240"/>
        <w:ind w:left="1134" w:hanging="567"/>
        <w:rPr>
          <w:bCs/>
          <w:noProof/>
          <w:color w:val="000000"/>
          <w:szCs w:val="22"/>
        </w:rPr>
      </w:pPr>
      <w:r>
        <w:rPr>
          <w:bCs/>
          <w:noProof/>
          <w:color w:val="000000"/>
          <w:szCs w:val="22"/>
        </w:rPr>
        <w:t>e)</w:t>
      </w:r>
      <w:r>
        <w:rPr>
          <w:bCs/>
          <w:noProof/>
          <w:color w:val="000000"/>
          <w:szCs w:val="22"/>
        </w:rPr>
        <w:tab/>
        <w:t xml:space="preserve">Durante el año 2003, el Ministerio de Justicia, realizó la evaluación y seguimiento de la implementación del Plan y se evaluaron las metas sectoriales en la materia.  En el mismo año este Ministerio elaboró, en conjunto con la Fundación de la Familia, un "Manual de orientaciones técnicas para la prevención y atención del maltrato infantil y abuso sexual en el sistema escolar", dirigido a profesores, para detectar precozmente situaciones de abuso sexual en las escuelas y derivarlas a los organismos judiciales y de protección pertinentes.  </w:t>
      </w:r>
    </w:p>
    <w:p w:rsidR="00000000" w:rsidRDefault="00000000">
      <w:pPr>
        <w:spacing w:after="240"/>
        <w:ind w:left="1134" w:hanging="567"/>
        <w:rPr>
          <w:bCs/>
          <w:noProof/>
          <w:color w:val="000000"/>
          <w:szCs w:val="22"/>
        </w:rPr>
      </w:pPr>
      <w:r>
        <w:rPr>
          <w:bCs/>
          <w:noProof/>
          <w:color w:val="000000"/>
          <w:szCs w:val="22"/>
        </w:rPr>
        <w:t>f)</w:t>
      </w:r>
      <w:r>
        <w:rPr>
          <w:bCs/>
          <w:noProof/>
          <w:color w:val="000000"/>
          <w:szCs w:val="22"/>
        </w:rPr>
        <w:tab/>
        <w:t>El Ministerio de Justicia y el SENAME, han establecido una coordinación con el ministerio público en el ámbito del nuevo proceso penal con el fin de definir algunos criterios de actuación de fiscales para evitar la victimización secundaria de los niños y niñas víctimas de delito.  Se publicó en el año 2003, un instructivo para la actuación de fiscales, sobre la situación de niños y niñas víctimas de delitos en la reforma procesal penal.  Además el año 2001, el Servicio Nacional de la Mujer, SERNAM, lanzó el Manual de Aplicación de la Ley de violencia intrafamiliar, dirigido específicamente a jueces y funcionarios judiciales.</w:t>
      </w:r>
    </w:p>
    <w:p w:rsidR="00000000" w:rsidRDefault="00000000">
      <w:pPr>
        <w:widowControl w:val="0"/>
        <w:spacing w:after="240"/>
        <w:rPr>
          <w:bCs/>
          <w:noProof/>
          <w:color w:val="000000"/>
          <w:szCs w:val="22"/>
        </w:rPr>
      </w:pPr>
      <w:r>
        <w:rPr>
          <w:bCs/>
          <w:noProof/>
          <w:color w:val="000000"/>
          <w:szCs w:val="22"/>
        </w:rPr>
        <w:t>118.</w:t>
      </w:r>
      <w:r>
        <w:rPr>
          <w:bCs/>
          <w:noProof/>
          <w:color w:val="000000"/>
          <w:szCs w:val="22"/>
        </w:rPr>
        <w:tab/>
      </w:r>
      <w:r>
        <w:rPr>
          <w:bCs/>
          <w:noProof/>
          <w:szCs w:val="22"/>
        </w:rPr>
        <w:t>El Comité elaboró</w:t>
      </w:r>
      <w:r>
        <w:rPr>
          <w:bCs/>
          <w:noProof/>
          <w:color w:val="000000"/>
          <w:szCs w:val="22"/>
        </w:rPr>
        <w:t xml:space="preserve"> una "Guía Nacional de Orientaciones Técnicas para la Prevención y Atención del Maltrato Físico y Abuso Sexual Infantil", para ser utilizada por el personal de salud, educación y del SENAME, además de encontrarse actualizando un catastro de instituciones que atienden abuso sexual infantil, en el ámbito nacional y regional.</w:t>
      </w:r>
    </w:p>
    <w:p w:rsidR="00000000" w:rsidRDefault="00000000">
      <w:pPr>
        <w:widowControl w:val="0"/>
        <w:spacing w:after="240"/>
        <w:rPr>
          <w:bCs/>
          <w:szCs w:val="22"/>
        </w:rPr>
      </w:pPr>
      <w:r>
        <w:rPr>
          <w:bCs/>
          <w:szCs w:val="22"/>
        </w:rPr>
        <w:t>119.</w:t>
      </w:r>
      <w:r>
        <w:rPr>
          <w:bCs/>
          <w:szCs w:val="22"/>
        </w:rPr>
        <w:tab/>
        <w:t xml:space="preserve">El Comité Nacional de Prevención de Maltrato Infantil ha coordinado y realizado desde 1997 al año 2003, cinco campañas nacionales y regionales denominadas "Por Un Buen Trato Infantil".  Estas campañas han tenido como </w:t>
      </w:r>
      <w:r>
        <w:rPr>
          <w:bCs/>
          <w:noProof/>
          <w:color w:val="000000"/>
          <w:szCs w:val="22"/>
        </w:rPr>
        <w:t>objetivo</w:t>
      </w:r>
      <w:r>
        <w:rPr>
          <w:bCs/>
          <w:szCs w:val="22"/>
        </w:rPr>
        <w:t xml:space="preserve"> la sensibilización y educación en el respeto a los derechos infantiles y la prevención de maltrato infantil.  Los contenidos específicos han sido:</w:t>
      </w:r>
    </w:p>
    <w:p w:rsidR="00000000" w:rsidRDefault="00000000">
      <w:pPr>
        <w:spacing w:after="240"/>
        <w:ind w:left="924" w:hanging="357"/>
        <w:rPr>
          <w:bCs/>
          <w:noProof/>
          <w:color w:val="000000"/>
          <w:szCs w:val="22"/>
        </w:rPr>
      </w:pPr>
      <w:r>
        <w:rPr>
          <w:bCs/>
          <w:noProof/>
          <w:color w:val="000000"/>
          <w:szCs w:val="22"/>
        </w:rPr>
        <w:t>-</w:t>
      </w:r>
      <w:r>
        <w:rPr>
          <w:bCs/>
          <w:noProof/>
          <w:color w:val="000000"/>
          <w:szCs w:val="22"/>
        </w:rPr>
        <w:tab/>
      </w:r>
      <w:r>
        <w:rPr>
          <w:bCs/>
          <w:i/>
          <w:iCs/>
          <w:noProof/>
          <w:color w:val="000000"/>
          <w:szCs w:val="22"/>
        </w:rPr>
        <w:t>Primera campaña</w:t>
      </w:r>
      <w:r>
        <w:rPr>
          <w:bCs/>
          <w:noProof/>
          <w:color w:val="000000"/>
          <w:szCs w:val="22"/>
        </w:rPr>
        <w:t>:  "Antes de maltratar a un niño cuenta hasta diez" de 1997, orientada a poner el tema del maltrato infantil en la opinión pública.</w:t>
      </w:r>
    </w:p>
    <w:p w:rsidR="00000000" w:rsidRDefault="00000000">
      <w:pPr>
        <w:spacing w:after="240"/>
        <w:ind w:left="924" w:hanging="357"/>
        <w:rPr>
          <w:bCs/>
          <w:noProof/>
          <w:color w:val="000000"/>
          <w:szCs w:val="22"/>
        </w:rPr>
      </w:pPr>
      <w:r>
        <w:rPr>
          <w:bCs/>
          <w:noProof/>
          <w:color w:val="000000"/>
          <w:szCs w:val="22"/>
        </w:rPr>
        <w:t>-</w:t>
      </w:r>
      <w:r>
        <w:rPr>
          <w:bCs/>
          <w:noProof/>
          <w:color w:val="000000"/>
          <w:szCs w:val="22"/>
        </w:rPr>
        <w:tab/>
      </w:r>
      <w:r>
        <w:rPr>
          <w:bCs/>
          <w:i/>
          <w:iCs/>
          <w:noProof/>
          <w:color w:val="000000"/>
          <w:szCs w:val="22"/>
        </w:rPr>
        <w:t>Segunda campaña</w:t>
      </w:r>
      <w:r>
        <w:rPr>
          <w:bCs/>
          <w:noProof/>
          <w:color w:val="000000"/>
          <w:szCs w:val="22"/>
        </w:rPr>
        <w:t xml:space="preserve">:  "No es cuestión de tamaño, es cuestión de respeto.  Midamos nuestros actos" de 1998, en la cual el mensaje estuvo orientado a prevenir el uso de la violencia como un método de crianza y de resolución de conflictos.  </w:t>
      </w:r>
    </w:p>
    <w:p w:rsidR="00000000" w:rsidRDefault="00000000">
      <w:pPr>
        <w:spacing w:after="240"/>
        <w:ind w:left="924" w:hanging="357"/>
        <w:rPr>
          <w:bCs/>
          <w:noProof/>
          <w:color w:val="000000"/>
          <w:szCs w:val="22"/>
        </w:rPr>
      </w:pPr>
      <w:r>
        <w:rPr>
          <w:bCs/>
          <w:noProof/>
          <w:color w:val="000000"/>
          <w:szCs w:val="22"/>
        </w:rPr>
        <w:t>-</w:t>
      </w:r>
      <w:r>
        <w:rPr>
          <w:bCs/>
          <w:noProof/>
          <w:color w:val="000000"/>
          <w:szCs w:val="22"/>
        </w:rPr>
        <w:tab/>
      </w:r>
      <w:r>
        <w:rPr>
          <w:bCs/>
          <w:i/>
          <w:iCs/>
          <w:noProof/>
          <w:color w:val="000000"/>
          <w:szCs w:val="22"/>
        </w:rPr>
        <w:t>Tercera campaña</w:t>
      </w:r>
      <w:r>
        <w:rPr>
          <w:bCs/>
          <w:noProof/>
          <w:color w:val="000000"/>
          <w:szCs w:val="22"/>
        </w:rPr>
        <w:t>:  "Soy un niño, ¿me ves?, ¿soy una niña, me escuchas? de 1999, tuvo como objetivo promover el derecho a la participación de los niños y niñas en los espacios familiares y sociales", abordando con mayor énfasis el maltrato de tipo psicológico o emocional.</w:t>
      </w:r>
    </w:p>
    <w:p w:rsidR="00000000" w:rsidRDefault="00000000">
      <w:pPr>
        <w:spacing w:after="240"/>
        <w:ind w:left="924" w:hanging="357"/>
        <w:rPr>
          <w:bCs/>
          <w:noProof/>
          <w:color w:val="000000"/>
          <w:szCs w:val="22"/>
        </w:rPr>
      </w:pPr>
      <w:r>
        <w:rPr>
          <w:bCs/>
          <w:noProof/>
          <w:color w:val="000000"/>
          <w:szCs w:val="22"/>
        </w:rPr>
        <w:t>-</w:t>
      </w:r>
      <w:r>
        <w:rPr>
          <w:bCs/>
          <w:noProof/>
          <w:color w:val="000000"/>
          <w:szCs w:val="22"/>
        </w:rPr>
        <w:tab/>
      </w:r>
      <w:r>
        <w:rPr>
          <w:bCs/>
          <w:i/>
          <w:iCs/>
          <w:noProof/>
          <w:color w:val="000000"/>
          <w:szCs w:val="22"/>
        </w:rPr>
        <w:t>Cuarta campaña</w:t>
      </w:r>
      <w:r>
        <w:rPr>
          <w:bCs/>
          <w:noProof/>
          <w:color w:val="000000"/>
          <w:szCs w:val="22"/>
        </w:rPr>
        <w:t>:  "Hay gestos que dañan... y hay gestos que estimulan" de 2000, orientada a disminuir las altas cifras de maltrato que presenta nuestro país, principalmente el maltrato psicológico.</w:t>
      </w:r>
    </w:p>
    <w:p w:rsidR="00000000" w:rsidRDefault="00000000">
      <w:pPr>
        <w:spacing w:after="240"/>
        <w:ind w:left="924" w:hanging="357"/>
        <w:rPr>
          <w:bCs/>
          <w:i/>
          <w:noProof/>
          <w:color w:val="000000"/>
          <w:szCs w:val="22"/>
        </w:rPr>
      </w:pPr>
      <w:r>
        <w:rPr>
          <w:bCs/>
          <w:noProof/>
          <w:color w:val="000000"/>
          <w:szCs w:val="22"/>
        </w:rPr>
        <w:t>-</w:t>
      </w:r>
      <w:r>
        <w:rPr>
          <w:bCs/>
          <w:noProof/>
          <w:color w:val="000000"/>
          <w:szCs w:val="22"/>
        </w:rPr>
        <w:tab/>
      </w:r>
      <w:r>
        <w:rPr>
          <w:bCs/>
          <w:i/>
          <w:iCs/>
          <w:noProof/>
          <w:color w:val="000000"/>
          <w:szCs w:val="22"/>
        </w:rPr>
        <w:t>Quinta campaña</w:t>
      </w:r>
      <w:r>
        <w:rPr>
          <w:bCs/>
          <w:noProof/>
          <w:color w:val="000000"/>
          <w:szCs w:val="22"/>
        </w:rPr>
        <w:t>:  "Para prevenir el abuso sexual infantil...  Tu presencia importa...  Escucha, mira y toma en serio a los niños y niñas" de 2003, cuyo contenido central es la prevención del abuso sexual infantil.  Los objetivos específicos son instalar el tema del abuso sexual infantil en la discusión y diálogo nacional, desde una perspectiva educativa y de prevención ("Buen Trato").  Frente a las situaciones de abuso sexual infantil, y la importancia de reaccionar positivamente, escuchar y creer a los niños y niñas en estas situaciones; e incentivar la denuncia responsable (promoviendo el uso de la línea teléfonica de denuncia 800 730 800).</w:t>
      </w:r>
    </w:p>
    <w:p w:rsidR="00000000" w:rsidRDefault="00000000">
      <w:pPr>
        <w:widowControl w:val="0"/>
        <w:spacing w:after="240"/>
        <w:rPr>
          <w:bCs/>
          <w:noProof/>
          <w:color w:val="000000"/>
          <w:szCs w:val="22"/>
        </w:rPr>
      </w:pPr>
      <w:r>
        <w:rPr>
          <w:bCs/>
          <w:noProof/>
          <w:color w:val="000000"/>
          <w:szCs w:val="22"/>
        </w:rPr>
        <w:t>120.</w:t>
      </w:r>
      <w:r>
        <w:rPr>
          <w:bCs/>
          <w:noProof/>
          <w:color w:val="000000"/>
          <w:szCs w:val="22"/>
        </w:rPr>
        <w:tab/>
        <w:t>En el marco de la cooperación IPEC</w:t>
      </w:r>
      <w:r>
        <w:rPr>
          <w:bCs/>
          <w:noProof/>
          <w:color w:val="000000"/>
          <w:szCs w:val="22"/>
        </w:rPr>
        <w:noBreakHyphen/>
        <w:t>OIT y SENAME sobre las peores formas de trabajo infantil, en el año 2003 se realizó una investigación por parte de una entidad universitaria, sobre la magnitud de la explotación sexual comercial a nivel nacional.  A partir de abril del año 2004, se instaló un sistema de registro de las peores formas de trabajo infantil, en 5 regiones del país, esfuerzo conducido por SENAME, bajo Convenio IPEC/OIT-Ministerio del Trabajo-SENAME.  Complementariamente al registro se ejecuta un estudio de carácter cualitativo con niños y niñas involucradas en estas situaciones.</w:t>
      </w:r>
    </w:p>
    <w:p w:rsidR="00000000" w:rsidRDefault="00000000">
      <w:pPr>
        <w:widowControl w:val="0"/>
        <w:spacing w:after="240"/>
        <w:rPr>
          <w:b/>
          <w:iCs/>
          <w:noProof/>
          <w:color w:val="000000"/>
          <w:szCs w:val="22"/>
        </w:rPr>
      </w:pPr>
      <w:r>
        <w:rPr>
          <w:b/>
          <w:iCs/>
          <w:noProof/>
          <w:color w:val="000000"/>
          <w:szCs w:val="22"/>
        </w:rPr>
        <w:t xml:space="preserve">Párrafo 89.  Informes periódicos </w:t>
      </w:r>
      <w:r>
        <w:rPr>
          <w:b/>
          <w:iCs/>
          <w:noProof/>
          <w:color w:val="000000"/>
          <w:szCs w:val="22"/>
        </w:rPr>
        <w:noBreakHyphen/>
        <w:t xml:space="preserve"> CRC/C/58</w:t>
      </w:r>
    </w:p>
    <w:p w:rsidR="00000000" w:rsidRDefault="00000000">
      <w:pPr>
        <w:widowControl w:val="0"/>
        <w:spacing w:after="240"/>
        <w:rPr>
          <w:bCs/>
          <w:noProof/>
          <w:color w:val="000000"/>
          <w:szCs w:val="22"/>
        </w:rPr>
      </w:pPr>
      <w:r>
        <w:rPr>
          <w:bCs/>
          <w:noProof/>
          <w:color w:val="000000"/>
          <w:szCs w:val="22"/>
        </w:rPr>
        <w:t>121.</w:t>
      </w:r>
      <w:r>
        <w:rPr>
          <w:bCs/>
          <w:noProof/>
          <w:color w:val="000000"/>
          <w:szCs w:val="22"/>
        </w:rPr>
        <w:tab/>
        <w:t>El Ministerio de Salud cuenta desde el año 2001 con un marco regulatorio para asegurar la cobertura y calidad de las acciones de salud con relación al maltrato infantil y abuso sexual.  Algunas de las orientaciones de este marco están contenidas en los documentos:  "Orientaciones Programáticas, Derechos Humanos, Salud y Violencia"; "Orientaciones Técnicas y Programáticas en Maltrato Infantil"; "Guía para la Detección y Respuesta al Maltrato Físico y Abuso Sexual en los Servicios de Urgencia" y " Relaciones Saludables en Ambiente Preescolar".</w:t>
      </w:r>
    </w:p>
    <w:p w:rsidR="00000000" w:rsidRDefault="00000000">
      <w:pPr>
        <w:widowControl w:val="0"/>
        <w:spacing w:after="240"/>
        <w:rPr>
          <w:bCs/>
          <w:noProof/>
          <w:color w:val="000000"/>
          <w:szCs w:val="22"/>
        </w:rPr>
      </w:pPr>
      <w:r>
        <w:rPr>
          <w:bCs/>
          <w:noProof/>
          <w:color w:val="000000"/>
          <w:szCs w:val="22"/>
        </w:rPr>
        <w:t>122.</w:t>
      </w:r>
      <w:r>
        <w:rPr>
          <w:bCs/>
          <w:noProof/>
          <w:color w:val="000000"/>
          <w:szCs w:val="22"/>
        </w:rPr>
        <w:tab/>
        <w:t>El Servicio Médico Legal, recibe derivaciones de los servicios de urgencia para peritaje (sexológico y psiquiátrico), contando dicho servicio con instrucciones y normativa técnica para su realización.</w:t>
      </w:r>
    </w:p>
    <w:p w:rsidR="00000000" w:rsidRDefault="00000000">
      <w:pPr>
        <w:widowControl w:val="0"/>
        <w:spacing w:after="240"/>
        <w:rPr>
          <w:bCs/>
          <w:noProof/>
          <w:color w:val="000000"/>
          <w:szCs w:val="22"/>
        </w:rPr>
      </w:pPr>
      <w:r>
        <w:rPr>
          <w:bCs/>
          <w:noProof/>
          <w:color w:val="000000"/>
          <w:szCs w:val="22"/>
        </w:rPr>
        <w:t>123.</w:t>
      </w:r>
      <w:r>
        <w:rPr>
          <w:bCs/>
          <w:noProof/>
          <w:color w:val="000000"/>
          <w:szCs w:val="22"/>
        </w:rPr>
        <w:tab/>
        <w:t xml:space="preserve"> Los servicios clínicos de psiquiatría del sistema público de salud, realizan actividades de detección, diagnóstico, tratamiento y derivación para seguimiento de casos de maltrato y abuso sexual infantil, utilizando para ello, normativas locales y de la Unidad de Salud Mental del MINSAL.</w:t>
      </w:r>
    </w:p>
    <w:p w:rsidR="00000000" w:rsidRDefault="00000000">
      <w:pPr>
        <w:widowControl w:val="0"/>
        <w:spacing w:after="240"/>
        <w:rPr>
          <w:bCs/>
          <w:noProof/>
          <w:color w:val="000000"/>
          <w:szCs w:val="22"/>
        </w:rPr>
      </w:pPr>
      <w:r>
        <w:rPr>
          <w:bCs/>
          <w:noProof/>
          <w:color w:val="000000"/>
          <w:szCs w:val="22"/>
        </w:rPr>
        <w:t>124.</w:t>
      </w:r>
      <w:r>
        <w:rPr>
          <w:bCs/>
          <w:noProof/>
          <w:color w:val="000000"/>
          <w:szCs w:val="22"/>
        </w:rPr>
        <w:tab/>
        <w:t>Las mismas actividades descritas en el párrafo anterior se realizan en el Centro de Asistencia a Víctimas de Atentados Sexuales, C.A.V.A.S, dependiente de la Policía de Investigaciones y PRE-VIF (financiado por SENAME), con normativas técnicas propias.  Uno de los problemas detectados en este ámbito dice relación con que las normativas y categorizaciones diagnósticas de las distintas instituciones, son distintas y por ende no son comparables.  Asimismo, SENAME financia, asesora y monitorea 33 proyectos especializados en la reparación del maltrato físico grave y abuso sexual, acogiendo una cobertura de 1.900 niños y niñas, los que se distribuyen en todas las regiones del país.  Este aspecto se aborda más detalladamente en la respuesta al párrafo 90 del documento CRC/C/58, en este informe.</w:t>
      </w:r>
    </w:p>
    <w:p w:rsidR="00000000" w:rsidRDefault="00000000">
      <w:pPr>
        <w:widowControl w:val="0"/>
        <w:spacing w:after="240"/>
        <w:rPr>
          <w:bCs/>
          <w:noProof/>
          <w:color w:val="000000"/>
          <w:szCs w:val="22"/>
        </w:rPr>
      </w:pPr>
      <w:r>
        <w:rPr>
          <w:bCs/>
          <w:noProof/>
          <w:color w:val="000000"/>
          <w:szCs w:val="22"/>
        </w:rPr>
        <w:t>125.</w:t>
      </w:r>
      <w:r>
        <w:rPr>
          <w:bCs/>
          <w:noProof/>
          <w:color w:val="000000"/>
          <w:szCs w:val="22"/>
        </w:rPr>
        <w:tab/>
        <w:t>En el año 2004 se proyectó incluir por parte del MINSAL, en el Programa "Hacia una Sexualidad Responsable" el componente de atención del abuso sexual en los servicios de urgencia y servicios de atención primaria de urgencia, SAPU.  En muchos casos la atención de urgencia podría permitir su detección aunque el motivo de consulta no esté directamente relacionado con maltrato o abuso.</w:t>
      </w:r>
    </w:p>
    <w:p w:rsidR="00000000" w:rsidRDefault="00000000">
      <w:pPr>
        <w:widowControl w:val="0"/>
        <w:spacing w:after="240"/>
        <w:rPr>
          <w:bCs/>
          <w:noProof/>
          <w:color w:val="000000"/>
          <w:szCs w:val="22"/>
        </w:rPr>
      </w:pPr>
      <w:r>
        <w:rPr>
          <w:bCs/>
          <w:noProof/>
          <w:color w:val="000000"/>
          <w:szCs w:val="22"/>
        </w:rPr>
        <w:t>126.</w:t>
      </w:r>
      <w:r>
        <w:rPr>
          <w:bCs/>
          <w:noProof/>
          <w:color w:val="000000"/>
          <w:szCs w:val="22"/>
        </w:rPr>
        <w:tab/>
        <w:t>Mediante un rediseño de la oferta tradicional y asistencialista de prevención, el SENAME, en el marco de la reforma, ha articulado un circuito de oferta de alta especialización referida a reparación en casos de maltrato grave.  Esto se ha complementado con una estrategia destinada a la prevención de actos o conductas que constituyan vulneración de derechos, de carácter ambulatorio.  Bajo una nueva modalidad de prevención se formularon los denominados Centros Comunitarios por los Derechos Infanto Juveniles, CIJ, que tienen entre sus objetivos promover y generar una cultura protectora de los derechos de los niños y niñas, resituar la responsabilidad de cuidado, de provisión afectiva y de protección en la familia y en el entorno comunitario (en 2003 había 120 CIJ).  Los programas se articulan sobre la base de diagnósticos comunitarios participativos en los cuales se promueve, sensibiliza, informa y habilita a las familias frente a su responsabilidad y rol tutelar.  Se forman y fortalecen las prácticas del buen trato; se capacita en resolución no violenta de conflictos; se promueve la asociatividad, gestión grupal y comunitaria para facilitar entornos protectores e integrar a otros actores comunitarios- vecinales en esta tarea, tales como escuelas, consultorios de salud, juntas de vecinos, etc.</w:t>
      </w:r>
    </w:p>
    <w:p w:rsidR="00000000" w:rsidRDefault="00000000">
      <w:pPr>
        <w:widowControl w:val="0"/>
        <w:spacing w:after="240"/>
        <w:rPr>
          <w:bCs/>
          <w:noProof/>
          <w:color w:val="000000"/>
          <w:szCs w:val="22"/>
        </w:rPr>
      </w:pPr>
      <w:r>
        <w:rPr>
          <w:bCs/>
          <w:noProof/>
          <w:color w:val="000000"/>
          <w:szCs w:val="22"/>
        </w:rPr>
        <w:t>127.</w:t>
      </w:r>
      <w:r>
        <w:rPr>
          <w:bCs/>
          <w:noProof/>
          <w:color w:val="000000"/>
          <w:szCs w:val="22"/>
        </w:rPr>
        <w:tab/>
        <w:t>Paralelo a los CIJ, desde el año 2002 a junio de 2003 se ejecutaron con carácter de pilotos otras dos modalidades de programas de prevención en familia.  Ellos son los proyectos de fortalecimiento familiar en prevención y un proyecto de cuidado diario en familia, cuyos objetivos se orientan a fortalecer las competencias familiares en su rol de protección y cuidado, contribuyendo al buen trato y a evitar procesos de institucionalización y desarraigo familiar y comunitario.</w:t>
      </w:r>
    </w:p>
    <w:p w:rsidR="00000000" w:rsidRDefault="00000000">
      <w:pPr>
        <w:widowControl w:val="0"/>
        <w:spacing w:after="240"/>
        <w:rPr>
          <w:bCs/>
          <w:noProof/>
          <w:color w:val="000000"/>
          <w:szCs w:val="22"/>
        </w:rPr>
      </w:pPr>
      <w:r>
        <w:rPr>
          <w:bCs/>
          <w:noProof/>
          <w:color w:val="000000"/>
          <w:szCs w:val="22"/>
        </w:rPr>
        <w:t>128.</w:t>
      </w:r>
      <w:r>
        <w:rPr>
          <w:bCs/>
          <w:noProof/>
          <w:color w:val="000000"/>
          <w:szCs w:val="22"/>
        </w:rPr>
        <w:tab/>
        <w:t xml:space="preserve">Las Oficinas de Protección de Derechos (OPD), en los casos de maltrato y abuso sexual infantil efectúan las medidas proteccionales iniciales y realizan las acciones que permitan la adecuada atención del niño o niña y su familia en una instancia reparatoria especializada.  </w:t>
      </w:r>
    </w:p>
    <w:p w:rsidR="00000000" w:rsidRDefault="00000000">
      <w:pPr>
        <w:widowControl w:val="0"/>
        <w:spacing w:after="240"/>
        <w:rPr>
          <w:bCs/>
          <w:noProof/>
          <w:color w:val="000000"/>
          <w:szCs w:val="22"/>
        </w:rPr>
      </w:pPr>
      <w:r>
        <w:rPr>
          <w:bCs/>
          <w:noProof/>
          <w:color w:val="000000"/>
          <w:szCs w:val="22"/>
        </w:rPr>
        <w:t>129.</w:t>
      </w:r>
      <w:r>
        <w:rPr>
          <w:bCs/>
          <w:noProof/>
          <w:color w:val="000000"/>
          <w:szCs w:val="22"/>
        </w:rPr>
        <w:tab/>
        <w:t>A pesar de existir normativas técnicas para la atención y prevención del maltrato y abuso sexual infantil en el área de salud, y no obstante haber recibido los médicos de los servicios de urgencia capacitación en detección de abuso sexual, no existe una normativa homogénea para su abordaje, habiendo además obstáculos de infraestructura para la detección y diagnóstico.</w:t>
      </w:r>
    </w:p>
    <w:p w:rsidR="00000000" w:rsidRDefault="00000000">
      <w:pPr>
        <w:widowControl w:val="0"/>
        <w:spacing w:after="240"/>
        <w:rPr>
          <w:bCs/>
          <w:noProof/>
          <w:color w:val="000000"/>
          <w:szCs w:val="22"/>
        </w:rPr>
      </w:pPr>
      <w:r>
        <w:rPr>
          <w:bCs/>
          <w:noProof/>
          <w:color w:val="000000"/>
          <w:szCs w:val="22"/>
        </w:rPr>
        <w:t>130.</w:t>
      </w:r>
      <w:r>
        <w:rPr>
          <w:bCs/>
          <w:noProof/>
          <w:color w:val="000000"/>
          <w:szCs w:val="22"/>
        </w:rPr>
        <w:tab/>
        <w:t>El Gobierno ha hecho un especial esfuerzo en informar a la población de los mecanismos para la denuncia de los actos de maltrato y abuso, por ello a puesto a disposición de la ciudadanía diversas herramientas sobre los procedimientos generados al respecto.</w:t>
      </w:r>
    </w:p>
    <w:p w:rsidR="00000000" w:rsidRDefault="00000000">
      <w:pPr>
        <w:spacing w:after="240"/>
        <w:rPr>
          <w:bCs/>
          <w:i/>
          <w:iCs/>
          <w:noProof/>
          <w:color w:val="000000"/>
          <w:szCs w:val="22"/>
        </w:rPr>
      </w:pPr>
      <w:r>
        <w:rPr>
          <w:bCs/>
          <w:i/>
          <w:iCs/>
          <w:noProof/>
          <w:color w:val="000000"/>
          <w:szCs w:val="22"/>
        </w:rPr>
        <w:t>Mecanismo de denuncia</w:t>
      </w:r>
    </w:p>
    <w:p w:rsidR="00000000" w:rsidRDefault="00000000">
      <w:pPr>
        <w:tabs>
          <w:tab w:val="left" w:pos="-1985"/>
          <w:tab w:val="left" w:pos="-1843"/>
        </w:tabs>
        <w:spacing w:after="240"/>
        <w:ind w:left="1134" w:hanging="567"/>
        <w:rPr>
          <w:bCs/>
          <w:noProof/>
          <w:color w:val="000000"/>
          <w:szCs w:val="22"/>
        </w:rPr>
      </w:pPr>
      <w:r>
        <w:rPr>
          <w:bCs/>
          <w:noProof/>
          <w:color w:val="000000"/>
          <w:szCs w:val="22"/>
        </w:rPr>
        <w:t>a)</w:t>
      </w:r>
      <w:r>
        <w:rPr>
          <w:bCs/>
          <w:noProof/>
          <w:color w:val="000000"/>
          <w:szCs w:val="22"/>
        </w:rPr>
        <w:tab/>
        <w:t>Ya en el año 1995, el Ministerio de Justicia, en conjunto con Carabineros de Chile, Policía de Investigaciones, gobiernos regionales y la Compañía de Telecomunicaciones de Chile (actual Telefónica) implementó un servicio de atención de llamados, línea 800 220 040, a fin de informar al público sobre las leyes de violencia intrafamiliar y de maltrato infantil; recibir denuncias de violencia intrafamiliar y maltrato infantil y derivarlas a organismos e instituciones que constituyen su red de apoyo.  En el año 2001, el programa se desarrolló en las regiones V, VI, VII, VIII, IX, XI y Metropolitana.</w:t>
      </w:r>
    </w:p>
    <w:p w:rsidR="00000000" w:rsidRDefault="00000000">
      <w:pPr>
        <w:tabs>
          <w:tab w:val="left" w:pos="-1985"/>
          <w:tab w:val="left" w:pos="-1843"/>
        </w:tabs>
        <w:spacing w:after="240"/>
        <w:ind w:left="1134" w:hanging="567"/>
        <w:rPr>
          <w:bCs/>
          <w:noProof/>
          <w:color w:val="000000"/>
          <w:szCs w:val="22"/>
        </w:rPr>
      </w:pPr>
      <w:r>
        <w:rPr>
          <w:bCs/>
          <w:noProof/>
          <w:color w:val="000000"/>
          <w:szCs w:val="22"/>
        </w:rPr>
        <w:t>b)</w:t>
      </w:r>
      <w:r>
        <w:rPr>
          <w:bCs/>
          <w:noProof/>
          <w:color w:val="000000"/>
          <w:szCs w:val="22"/>
        </w:rPr>
        <w:tab/>
        <w:t>Por su parte la Fundación INTEGRA, instaló en el año 2001, el Fono-Infancia para consultas acerca de temas de crianza, incluidos maltrato y abuso sexual.</w:t>
      </w:r>
    </w:p>
    <w:p w:rsidR="00000000" w:rsidRDefault="00000000">
      <w:pPr>
        <w:tabs>
          <w:tab w:val="left" w:pos="-1985"/>
          <w:tab w:val="left" w:pos="-1843"/>
        </w:tabs>
        <w:spacing w:after="240"/>
        <w:ind w:left="1134" w:hanging="567"/>
        <w:rPr>
          <w:bCs/>
          <w:noProof/>
          <w:color w:val="000000"/>
          <w:szCs w:val="22"/>
        </w:rPr>
      </w:pPr>
      <w:r>
        <w:rPr>
          <w:bCs/>
          <w:noProof/>
          <w:color w:val="000000"/>
          <w:szCs w:val="22"/>
        </w:rPr>
        <w:t>c)</w:t>
      </w:r>
      <w:r>
        <w:rPr>
          <w:bCs/>
          <w:noProof/>
          <w:color w:val="000000"/>
          <w:szCs w:val="22"/>
        </w:rPr>
        <w:tab/>
        <w:t>En el año 2002 se puso en marcha un centro de atención para maltrato y abuso sexual infantil entre SENAME y la Corporación de Asistencia Judicial, en el cual también funciona la línea telefónica gratuita 800 730 800 para atender consultas sobre abandono, abuso sexual y explotación sexual comercial infantil.</w:t>
      </w:r>
    </w:p>
    <w:p w:rsidR="00000000" w:rsidRDefault="00000000">
      <w:pPr>
        <w:tabs>
          <w:tab w:val="left" w:pos="-1985"/>
          <w:tab w:val="left" w:pos="-1843"/>
        </w:tabs>
        <w:spacing w:after="240"/>
        <w:ind w:left="1134" w:hanging="567"/>
        <w:rPr>
          <w:bCs/>
          <w:noProof/>
          <w:color w:val="000000"/>
          <w:szCs w:val="22"/>
        </w:rPr>
      </w:pPr>
      <w:r>
        <w:rPr>
          <w:bCs/>
          <w:noProof/>
          <w:color w:val="000000"/>
          <w:szCs w:val="22"/>
        </w:rPr>
        <w:t>d)</w:t>
      </w:r>
      <w:r>
        <w:rPr>
          <w:bCs/>
          <w:noProof/>
          <w:color w:val="000000"/>
          <w:szCs w:val="22"/>
        </w:rPr>
        <w:tab/>
        <w:t>En 2004 puso en marcha el fono 147 de Carabineros de Chile, para atender consultas directas de niños y niñas en casos de vulneración de sus derechos.</w:t>
      </w:r>
    </w:p>
    <w:p w:rsidR="00000000" w:rsidRDefault="00000000">
      <w:pPr>
        <w:tabs>
          <w:tab w:val="left" w:pos="-1985"/>
          <w:tab w:val="left" w:pos="-1843"/>
        </w:tabs>
        <w:spacing w:after="240"/>
        <w:ind w:left="1134" w:hanging="567"/>
        <w:rPr>
          <w:bCs/>
          <w:noProof/>
          <w:color w:val="000000"/>
          <w:szCs w:val="22"/>
        </w:rPr>
      </w:pPr>
      <w:r>
        <w:rPr>
          <w:bCs/>
          <w:noProof/>
          <w:color w:val="000000"/>
          <w:szCs w:val="22"/>
        </w:rPr>
        <w:t>e)</w:t>
      </w:r>
      <w:r>
        <w:rPr>
          <w:bCs/>
          <w:noProof/>
          <w:color w:val="000000"/>
          <w:szCs w:val="22"/>
        </w:rPr>
        <w:tab/>
        <w:t xml:space="preserve">En el ámbito educacional, existe el programa 600, MINEDUC, iniciativa que surge como respuesta concreta a las inquietudes y problemas de los miembros del sistema escolar.  Es un servicio de información, promoción y atención destinado a apoyar las comunidades escolares en la prevención y resolución de problemas relacionados con las condiciones básicas de la convivencia y vida escolar.  Se accede telefónicamente a través del número 600 600 2626 y en las oficinas 600 MINEDUC habilitadas en todas las direcciones provinciales de educación del país, o en el sitio </w:t>
      </w:r>
      <w:hyperlink r:id="rId10" w:history="1">
        <w:r>
          <w:rPr>
            <w:rStyle w:val="Hyperlink"/>
            <w:bCs/>
            <w:noProof/>
            <w:szCs w:val="22"/>
          </w:rPr>
          <w:t>www.mineduc.cl</w:t>
        </w:r>
      </w:hyperlink>
      <w:r>
        <w:rPr>
          <w:bCs/>
          <w:noProof/>
          <w:color w:val="000000"/>
          <w:szCs w:val="22"/>
        </w:rPr>
        <w:t>.  A través de este programa se puede realizar:  información y consultas, recepción de sugerencias y comentarios, trámites educacionales y entrega de documentos, apoyo a la solución de:  falta de matrícula, discriminaciones arbitrarias, cobros indebidos, violencia escolar.</w:t>
      </w:r>
    </w:p>
    <w:p w:rsidR="00000000" w:rsidRDefault="00000000">
      <w:pPr>
        <w:spacing w:after="240"/>
        <w:rPr>
          <w:bCs/>
          <w:noProof/>
          <w:color w:val="000000"/>
          <w:szCs w:val="22"/>
        </w:rPr>
      </w:pPr>
      <w:r>
        <w:rPr>
          <w:bCs/>
          <w:noProof/>
          <w:color w:val="000000"/>
          <w:szCs w:val="22"/>
        </w:rPr>
        <w:t>131.</w:t>
      </w:r>
      <w:r>
        <w:rPr>
          <w:bCs/>
          <w:noProof/>
          <w:color w:val="000000"/>
          <w:szCs w:val="22"/>
        </w:rPr>
        <w:tab/>
        <w:t>El Comité Nacional de Prevención de Maltrato Infantil, ha promovido una estrategia de capacitación en maltrato infantil al mismo tiempo que ha incentivado la incorporación de sus orientaciones al interior de cada uno de los sectores del Estado, instituciones y medios de comunicación, tanto para la detección precoz y derivación, como para la prevención.  Algunas de las acciones más significativas realizadas por los diversos sectores del Estado son las siguientes:</w:t>
      </w:r>
    </w:p>
    <w:p w:rsidR="00000000" w:rsidRDefault="00000000">
      <w:pPr>
        <w:tabs>
          <w:tab w:val="left" w:pos="-1985"/>
        </w:tabs>
        <w:spacing w:after="240"/>
        <w:ind w:left="1134" w:hanging="567"/>
        <w:rPr>
          <w:bCs/>
          <w:noProof/>
          <w:color w:val="000000"/>
          <w:szCs w:val="22"/>
        </w:rPr>
      </w:pPr>
      <w:r>
        <w:rPr>
          <w:bCs/>
          <w:noProof/>
          <w:color w:val="000000"/>
          <w:szCs w:val="22"/>
        </w:rPr>
        <w:t>a)</w:t>
      </w:r>
      <w:r>
        <w:rPr>
          <w:bCs/>
          <w:noProof/>
          <w:color w:val="000000"/>
          <w:szCs w:val="22"/>
        </w:rPr>
        <w:tab/>
        <w:t>El Ministerio de Salud, entregó información y sensibilizó a su personal y a los usuarios respecto al problema de maltrato y abuso infantil, en el marco del respeto a los derechos de las personas, especialmente mujeres, niños y niñas.  Al año 2001, se habían desarrollado en todas las regiones del país, actividades de capacitación para la detección y tratamiento de coordinación de redes de prevención y atención de violencia y maltrato con la participación de equipos de salud de atención primaria y de los servicios clínicos de salud mental de nivel secundario.</w:t>
      </w:r>
    </w:p>
    <w:p w:rsidR="00000000" w:rsidRDefault="00000000">
      <w:pPr>
        <w:tabs>
          <w:tab w:val="left" w:pos="-1985"/>
        </w:tabs>
        <w:spacing w:after="240"/>
        <w:ind w:left="1134" w:hanging="567"/>
        <w:rPr>
          <w:bCs/>
          <w:noProof/>
          <w:color w:val="000000"/>
          <w:szCs w:val="22"/>
        </w:rPr>
      </w:pPr>
      <w:r>
        <w:rPr>
          <w:bCs/>
          <w:noProof/>
          <w:color w:val="000000"/>
          <w:szCs w:val="22"/>
        </w:rPr>
        <w:t>b)</w:t>
      </w:r>
      <w:r>
        <w:rPr>
          <w:bCs/>
          <w:noProof/>
          <w:color w:val="FF0000"/>
          <w:szCs w:val="22"/>
        </w:rPr>
        <w:tab/>
      </w:r>
      <w:r>
        <w:rPr>
          <w:bCs/>
          <w:noProof/>
          <w:color w:val="000000"/>
          <w:szCs w:val="22"/>
        </w:rPr>
        <w:t>La Junta Nacional de Auxilio Escolar y Becas, JUNAEB, realizó difusión del manual de prevención de maltrato infantil en el ámbito preescolar y entregó orientaciones técnicas a los equipos del programa Habilidades para la Vida, para la derivación de casos de maltrato a la red local y apoyo a los programas de promoción de escuelas saludables en el tema.</w:t>
      </w:r>
    </w:p>
    <w:p w:rsidR="00000000" w:rsidRDefault="00000000">
      <w:pPr>
        <w:tabs>
          <w:tab w:val="left" w:pos="-1985"/>
        </w:tabs>
        <w:spacing w:after="240"/>
        <w:ind w:left="1134" w:hanging="567"/>
        <w:rPr>
          <w:bCs/>
          <w:noProof/>
          <w:color w:val="000000"/>
          <w:szCs w:val="22"/>
        </w:rPr>
      </w:pPr>
      <w:r>
        <w:rPr>
          <w:bCs/>
          <w:noProof/>
          <w:szCs w:val="22"/>
        </w:rPr>
        <w:t>c)</w:t>
      </w:r>
      <w:r>
        <w:rPr>
          <w:bCs/>
          <w:noProof/>
          <w:szCs w:val="22"/>
        </w:rPr>
        <w:tab/>
      </w:r>
      <w:r>
        <w:rPr>
          <w:bCs/>
          <w:noProof/>
          <w:color w:val="000000"/>
          <w:szCs w:val="22"/>
        </w:rPr>
        <w:t>A nivel regional también se han desarrollado acciones, especialmente a partir del "Plan Nacional de Prevención del Maltrato Infantil en Chile, 2000-2006", elaborado en 1999.  Los comités regionales de prevención de maltrato infantil, coordinados por las Secretarías Regionales Ministeriales de Justicia han desarrollado actividades educativas de prevención y capacitación en derechos de la infancia durante todo el año, algunas, en convenio con universidades.</w:t>
      </w:r>
    </w:p>
    <w:p w:rsidR="00000000" w:rsidRDefault="00000000">
      <w:pPr>
        <w:tabs>
          <w:tab w:val="left" w:pos="-1985"/>
        </w:tabs>
        <w:spacing w:after="240"/>
        <w:ind w:left="1134" w:hanging="567"/>
        <w:rPr>
          <w:bCs/>
          <w:noProof/>
          <w:color w:val="000000"/>
          <w:szCs w:val="22"/>
        </w:rPr>
      </w:pPr>
      <w:r>
        <w:rPr>
          <w:bCs/>
          <w:noProof/>
          <w:color w:val="000000"/>
          <w:szCs w:val="22"/>
        </w:rPr>
        <w:t>d)</w:t>
      </w:r>
      <w:r>
        <w:rPr>
          <w:bCs/>
          <w:noProof/>
          <w:color w:val="000000"/>
          <w:szCs w:val="22"/>
        </w:rPr>
        <w:tab/>
        <w:t>El SENAME ha desarrollo cursos de detección, calificación e intervención en maltrato grave y abuso sexual destinado a los profesionales que se desempeñan en los distintos proyectos de la oferta del Servicio, tales como:  OPD, CIJ, Diagnóstico y proyectos especializados.  Estas temáticas también se trabajaron con los educadores de trato directo de los CTD Residenciales administrados directamente por el Servicio.</w:t>
      </w:r>
    </w:p>
    <w:p w:rsidR="00000000" w:rsidRDefault="00000000">
      <w:pPr>
        <w:spacing w:after="240"/>
        <w:rPr>
          <w:bCs/>
          <w:noProof/>
          <w:color w:val="000000"/>
          <w:szCs w:val="22"/>
        </w:rPr>
      </w:pPr>
      <w:r>
        <w:rPr>
          <w:bCs/>
          <w:noProof/>
          <w:color w:val="000000"/>
          <w:szCs w:val="22"/>
        </w:rPr>
        <w:t>Véase también la respuesta al párrafo 34 del documento CRC/C/58, en este informe.</w:t>
      </w:r>
    </w:p>
    <w:p w:rsidR="00000000" w:rsidRDefault="00000000">
      <w:pPr>
        <w:spacing w:after="240"/>
        <w:rPr>
          <w:b/>
          <w:iCs/>
          <w:noProof/>
          <w:szCs w:val="22"/>
        </w:rPr>
      </w:pPr>
      <w:r>
        <w:rPr>
          <w:b/>
          <w:iCs/>
          <w:noProof/>
          <w:szCs w:val="22"/>
        </w:rPr>
        <w:t xml:space="preserve">Párrafo 90.  </w:t>
      </w:r>
      <w:r>
        <w:rPr>
          <w:b/>
          <w:iCs/>
          <w:noProof/>
          <w:color w:val="000000"/>
          <w:szCs w:val="22"/>
        </w:rPr>
        <w:t xml:space="preserve">Informes periódicos </w:t>
      </w:r>
      <w:r>
        <w:rPr>
          <w:b/>
          <w:iCs/>
          <w:noProof/>
          <w:color w:val="000000"/>
          <w:szCs w:val="22"/>
        </w:rPr>
        <w:noBreakHyphen/>
        <w:t xml:space="preserve"> CRC/C/58</w:t>
      </w:r>
    </w:p>
    <w:p w:rsidR="00000000" w:rsidRDefault="00000000">
      <w:pPr>
        <w:spacing w:after="240"/>
        <w:rPr>
          <w:bCs/>
          <w:noProof/>
          <w:color w:val="000000"/>
          <w:szCs w:val="22"/>
        </w:rPr>
      </w:pPr>
      <w:r>
        <w:rPr>
          <w:bCs/>
          <w:noProof/>
          <w:color w:val="000000"/>
          <w:szCs w:val="22"/>
        </w:rPr>
        <w:t>132.</w:t>
      </w:r>
      <w:r>
        <w:rPr>
          <w:bCs/>
          <w:noProof/>
          <w:color w:val="000000"/>
          <w:szCs w:val="22"/>
        </w:rPr>
        <w:tab/>
        <w:t>El Servicio Nacional de Menores ha asumido, como institución del Estado, la responsabilidad de operacionalizar el compromiso de proteger los derechos de los niños y niñas que sufren maltrato infantil y abuso sexual; de promover su recuperación física y psicológica; y de adoptar todas las medidas necesarias para proteger a los niños y niñas de toda forma de violencia, perjuicio o abuso físico o mental, descuido o trato negligente, malos tratos o explotación, incluido el abuso sexual, mientras el niño o niña se encuentre bajo la custodia de los padres, un tutor o de cualquier persona que lo tenga a su cargo.  Lo anterior se realiza a través de una oferta de proyectos reparatorios, ya sean ambulatorios o residenciales que permiten abordar los distintos tipos de vulneraciones de derechos.  Los proyectos de maltrato grave y abuso sexual contemplan una atención psicológica, social y legal.  La cobertura contempla la realización de atenciones de modalidad ambulatoria, desarrollando intervenciones con niños y niñas que se encuentran a cargo de sus figuras protectoras como en aquellos que se encuentran bajo una medida de protección simple.</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rPr>
          <w:bCs/>
          <w:noProof/>
          <w:color w:val="000000"/>
          <w:szCs w:val="22"/>
        </w:rPr>
      </w:pPr>
      <w:r>
        <w:rPr>
          <w:bCs/>
          <w:noProof/>
          <w:color w:val="000000"/>
          <w:szCs w:val="22"/>
        </w:rPr>
        <w:t>133.</w:t>
      </w:r>
      <w:r>
        <w:rPr>
          <w:bCs/>
          <w:noProof/>
          <w:color w:val="000000"/>
          <w:szCs w:val="22"/>
        </w:rPr>
        <w:tab/>
        <w:t>Los casos de maltrato grave exceden significativamente a la oferta disponible para su tratamiento, no obstante los esfuerzos realizados para focalizar recursos en este área.  En los centros de reparación existen listas de espera de niños y niñas que requieren atención, lo que determinó la decisión de incrementar en un 10% la cobertura de atención de dichos proyectos, se han realizado esfuerzos importantes por ampliar la oferta de atención.  Ello ha implicado aumentar la oferta en casi un 300% desde 2001 y se ha ampliado la oferta de atención a través de la reconversión de otros programas que han dejado de ser prioritarios.</w:t>
      </w:r>
    </w:p>
    <w:p w:rsidR="00000000" w:rsidRDefault="00000000">
      <w:pPr>
        <w:spacing w:after="240"/>
        <w:rPr>
          <w:bCs/>
          <w:noProof/>
          <w:color w:val="000000"/>
          <w:szCs w:val="22"/>
        </w:rPr>
      </w:pPr>
      <w:r>
        <w:rPr>
          <w:bCs/>
          <w:noProof/>
          <w:color w:val="000000"/>
          <w:szCs w:val="22"/>
        </w:rPr>
        <w:t>134.</w:t>
      </w:r>
      <w:r>
        <w:rPr>
          <w:bCs/>
          <w:noProof/>
          <w:color w:val="000000"/>
          <w:szCs w:val="22"/>
        </w:rPr>
        <w:tab/>
        <w:t>Respecto a las vulneraciones causadas por la explotación sexual y comercio infantil el SENAME, en conjunto con la OIT</w:t>
      </w:r>
      <w:r>
        <w:rPr>
          <w:bCs/>
          <w:noProof/>
          <w:color w:val="000000"/>
          <w:szCs w:val="22"/>
        </w:rPr>
        <w:noBreakHyphen/>
        <w:t>IPEC, realizó un estudio de la problemática.  Uno de sus resultados fue llegar a la estimación que existen 3.719 niños y niñas explotados sexualmente en el país.  Durante el año 2003, SENAME financió un proyecto especializado en esta temática en la Región Metropolitana, con una cobertura de 60 niños y niñas.  Además, con recursos de la OIT, se desarrolló un proyecto en la Ciudad de Concepción, para 60 niños y niñas.</w:t>
      </w:r>
    </w:p>
    <w:p w:rsidR="00000000" w:rsidRDefault="00000000">
      <w:pPr>
        <w:spacing w:after="240"/>
        <w:rPr>
          <w:bCs/>
          <w:noProof/>
          <w:color w:val="000000"/>
          <w:szCs w:val="22"/>
        </w:rPr>
      </w:pPr>
      <w:r>
        <w:rPr>
          <w:bCs/>
          <w:noProof/>
          <w:color w:val="000000"/>
          <w:szCs w:val="22"/>
        </w:rPr>
        <w:t>135.</w:t>
      </w:r>
      <w:r>
        <w:rPr>
          <w:bCs/>
          <w:noProof/>
          <w:color w:val="000000"/>
          <w:szCs w:val="22"/>
        </w:rPr>
        <w:tab/>
        <w:t>Dada la gravedad de las consecuencias que genera en el niño o niña el ser víctima de explotación sexual, el Presidente de la República anunció un aumento presupuestario para SENAME de 842.034 dólares de los EE.UU. dirigidos específicamente para la atención de niños y niñas víctimas de explotación sexual comercial.  Estos recursos han permitido aumentar en un 283% la cobertura de atención.  El SENAME invitó a instituciones de la sociedad civil a participar en un proceso de selección que iniciaron durante el mes de marzo de 2004 nuevos proyectos que benefician a 280 niños y niñas en las regiones que presentan mayor prevalencia de este problema (regiones I, II, V, X y Región Metropolitana).  Los nuevos proyectos consideran la posibilidad de atención residencial especializada para el 30% de los niños y niñas que atiendan.  Los proyectos atienden niños y niñas menores de 18 años víctimas de explotación sexual comercial en cualquiera de sus modalidades.</w:t>
      </w:r>
    </w:p>
    <w:p w:rsidR="00000000" w:rsidRDefault="00000000">
      <w:pPr>
        <w:spacing w:after="240"/>
        <w:rPr>
          <w:bCs/>
          <w:noProof/>
          <w:color w:val="000000"/>
          <w:szCs w:val="22"/>
        </w:rPr>
      </w:pPr>
      <w:r>
        <w:rPr>
          <w:bCs/>
          <w:noProof/>
          <w:color w:val="000000"/>
          <w:szCs w:val="22"/>
        </w:rPr>
        <w:t>136.</w:t>
      </w:r>
      <w:r>
        <w:rPr>
          <w:bCs/>
          <w:noProof/>
          <w:color w:val="000000"/>
          <w:szCs w:val="22"/>
        </w:rPr>
        <w:tab/>
        <w:t>La oferta de SENAME da respuesta especializada al menos a 400 niños y niñas, lo que representa el 10,8% del total estimado nacional.  Los proyectos de intervención reparatoria con niños y niñas víctimas de explotación sexual comercial, son propuestas ejecutadas por SENAME, con equipos interdisciplinarios.  Se trabaja con las redes sociales e institucionales, con el fin de que se constituyan en soporte operativo para este proceso de protección.  Debido a que la explotación sexual comercial infantil es un delito, se considera la intervención legal, tanto en el ámbito de la protección de derechos, como en el criminal.</w:t>
      </w:r>
    </w:p>
    <w:p w:rsidR="00000000" w:rsidRDefault="00000000">
      <w:pPr>
        <w:spacing w:after="240"/>
        <w:rPr>
          <w:bCs/>
          <w:noProof/>
          <w:color w:val="000000"/>
          <w:szCs w:val="22"/>
        </w:rPr>
      </w:pPr>
      <w:r>
        <w:rPr>
          <w:bCs/>
          <w:noProof/>
          <w:color w:val="000000"/>
          <w:szCs w:val="22"/>
        </w:rPr>
        <w:t>137.</w:t>
      </w:r>
      <w:r>
        <w:rPr>
          <w:bCs/>
          <w:noProof/>
          <w:color w:val="000000"/>
          <w:szCs w:val="22"/>
        </w:rPr>
        <w:tab/>
        <w:t>El área jurídica del SENAME realiza la representación legal de los niños y niñas víctimas de maltrato grave y abuso sexual a través de ejercicio de la acción penal, contando para ello con abogados expertos en todas las regiones del país, que se han hecho parte de 1.800 querellas.</w:t>
      </w:r>
    </w:p>
    <w:p w:rsidR="00000000" w:rsidRDefault="00000000">
      <w:pPr>
        <w:spacing w:after="240"/>
        <w:rPr>
          <w:bCs/>
          <w:noProof/>
          <w:color w:val="000000"/>
          <w:szCs w:val="22"/>
        </w:rPr>
      </w:pPr>
      <w:r>
        <w:rPr>
          <w:bCs/>
          <w:noProof/>
          <w:color w:val="000000"/>
          <w:szCs w:val="22"/>
        </w:rPr>
        <w:t>138.</w:t>
      </w:r>
      <w:r>
        <w:rPr>
          <w:bCs/>
          <w:noProof/>
          <w:color w:val="000000"/>
          <w:szCs w:val="22"/>
        </w:rPr>
        <w:tab/>
        <w:t>El Servicio Médico Legal en lo que se refiere al maltrato infantil realiza peritajes médicos a niños y niñas lesionados por maltrato a requerimiento de los tribunales y exámenes por delitos sexuales, registro de casuística, extensión y docencia.  Este servicio cuenta en la actualidad con una unidad especializada y con una nueva normativa pericial en maltrato infantil para el trabajo médico legal, según protocolo de uso interno y pautas internacionales.  La Unidad de Maltrato y Psiquiatría de la Infancia y la Adolescencia, creada en el año 2000, ha aumentado en el último año, sus recursos humanos, materiales y de infraestructura.  Desde el año 2003 esta Unidad cuenta con una nueva infraestructura consistente en tres oficinas construidas para realizar pericias de niños y niñas víctimas de delitos sexuales con sistema de videograbación.  La cinta de vídeo puede ser utilizada como medio de prueba en el proceso judicial.  Lo anterior da la posibilidad de disminuir el número de declaraciones que debe realizar el niño o niña, por lo tanto, permite evitar el proceso de revictimización.</w:t>
      </w:r>
    </w:p>
    <w:p w:rsidR="00000000" w:rsidRDefault="00000000">
      <w:pPr>
        <w:spacing w:after="240"/>
        <w:rPr>
          <w:bCs/>
          <w:noProof/>
          <w:color w:val="000000"/>
          <w:szCs w:val="22"/>
        </w:rPr>
      </w:pPr>
      <w:r>
        <w:rPr>
          <w:bCs/>
          <w:noProof/>
          <w:color w:val="000000"/>
          <w:szCs w:val="22"/>
        </w:rPr>
        <w:t>139.</w:t>
      </w:r>
      <w:r>
        <w:rPr>
          <w:bCs/>
          <w:noProof/>
          <w:color w:val="000000"/>
          <w:szCs w:val="22"/>
        </w:rPr>
        <w:tab/>
        <w:t>El Ministerio de Justicia implementa dos proyectos que tienen como objetivo la atención jurídica, la representación judicial y el tratamiento psicológico a niños y niñas víctimas de delitos.  Estos proyectos son el Centro Regional por los Derechos del Niño y los Centros Regionales de Atención Integral a Víctimas de Delitos Violentos.  Se cuenta en la actualidad con 18 Centros Regionales de Atención Integral a Víctimas de Delitos Violentos, en todas las regiones del país, además de 5 centros comunales ubicados en la Región Metropolitana.  Dichos centros desarrollan también actividades de trabajo comunitario y de difusión de derechos.  Las corporaciones, además, brindan asistencia jurídica gratuita, patrocinio y representación judicial en diversas materias (civil, menores, penal, laboral); información y orientación jurídica; servicios para resolver conflictos en instancias de mediación; difusión de derechos; y trabajo comunitario.</w:t>
      </w:r>
    </w:p>
    <w:p w:rsidR="00000000" w:rsidRDefault="00000000">
      <w:pPr>
        <w:spacing w:after="240"/>
        <w:rPr>
          <w:bCs/>
          <w:noProof/>
          <w:color w:val="000000"/>
          <w:szCs w:val="22"/>
        </w:rPr>
      </w:pPr>
      <w:r>
        <w:rPr>
          <w:bCs/>
          <w:noProof/>
          <w:color w:val="000000"/>
          <w:szCs w:val="22"/>
        </w:rPr>
        <w:t>140.</w:t>
      </w:r>
      <w:r>
        <w:rPr>
          <w:bCs/>
          <w:noProof/>
          <w:color w:val="000000"/>
          <w:szCs w:val="22"/>
        </w:rPr>
        <w:tab/>
        <w:t>Respecto de las acciones desarrolladas por el Ministerio de Salud en el ámbito de la reparación del maltrato infantil, se puede señalar que:</w:t>
      </w:r>
    </w:p>
    <w:p w:rsidR="00000000" w:rsidRDefault="00000000">
      <w:pPr>
        <w:spacing w:after="240"/>
        <w:ind w:left="924" w:hanging="357"/>
        <w:rPr>
          <w:bCs/>
          <w:noProof/>
          <w:color w:val="000000"/>
          <w:szCs w:val="22"/>
        </w:rPr>
      </w:pPr>
      <w:r>
        <w:rPr>
          <w:bCs/>
          <w:noProof/>
          <w:color w:val="000000"/>
          <w:szCs w:val="22"/>
        </w:rPr>
        <w:t>-</w:t>
      </w:r>
      <w:r>
        <w:rPr>
          <w:bCs/>
          <w:noProof/>
          <w:color w:val="000000"/>
          <w:szCs w:val="22"/>
        </w:rPr>
        <w:tab/>
        <w:t>Entre los años 1997 y 2000, este Ministerio consideró el maltrato y abuso sexual infantil como prioridad programática.  Desarrolla desde 1999 el "Plan Nacional de Salud Mental y Psiquiatría", el que tiene como una de sus prioridades programáticas los problemas de salud mental asociados a la violencia física, psicológica y sexual, además de la negligencia y abandono hacia los niños y niñas.</w:t>
      </w:r>
    </w:p>
    <w:p w:rsidR="00000000" w:rsidRDefault="00000000">
      <w:pPr>
        <w:spacing w:after="240"/>
        <w:ind w:left="924" w:hanging="357"/>
        <w:rPr>
          <w:bCs/>
          <w:noProof/>
          <w:color w:val="000000"/>
          <w:szCs w:val="22"/>
        </w:rPr>
      </w:pPr>
      <w:r>
        <w:rPr>
          <w:bCs/>
          <w:noProof/>
          <w:color w:val="000000"/>
          <w:szCs w:val="22"/>
        </w:rPr>
        <w:t>-</w:t>
      </w:r>
      <w:r>
        <w:rPr>
          <w:bCs/>
          <w:noProof/>
          <w:color w:val="000000"/>
          <w:szCs w:val="22"/>
        </w:rPr>
        <w:tab/>
        <w:t>Entre los años 1994 y 2001, sus acciones estuvieron orientadas a desarrollar, en el sistema nacional de Servicios de Salud, la capacidad de prevenir, detectar precozmente y tratar el maltrato y abuso sexual infantil.  Asimismo, asumió las nuevas responsabilidades que asignan al sector las leyes sobre violencia intrafamiliar y maltrato infantil promulgadas en 1994, y la Ley de delitos sexuales del año 1999.  Se dispone de un marco regulatorio para asegurar la cobertura y calidad de las acciones de salud con relación al maltrato infantil y abuso sexual.  Además, se han definido actividades de prevención y atención de maltrato físico y violencia sexual para los Centros de Salud Mental Familiar (COSAM) y para su prevención y detección en los Programas de Salud de la Mujer y del Niño.  Entre los años 1997 y 2000 se expandieron las acciones de detección y atención primaria del maltrato financiadas mediante Campaña Sanitaria en los servicios de salud que priorizan este problema.</w:t>
      </w:r>
    </w:p>
    <w:p w:rsidR="00000000" w:rsidRDefault="00000000">
      <w:pPr>
        <w:spacing w:after="240"/>
        <w:ind w:left="924" w:hanging="357"/>
        <w:rPr>
          <w:bCs/>
          <w:noProof/>
          <w:color w:val="000000"/>
          <w:szCs w:val="22"/>
        </w:rPr>
      </w:pPr>
      <w:r>
        <w:rPr>
          <w:bCs/>
          <w:noProof/>
          <w:color w:val="000000"/>
          <w:szCs w:val="22"/>
        </w:rPr>
        <w:t>-</w:t>
      </w:r>
      <w:r>
        <w:rPr>
          <w:bCs/>
          <w:noProof/>
          <w:color w:val="000000"/>
          <w:szCs w:val="22"/>
        </w:rPr>
        <w:tab/>
        <w:t xml:space="preserve">Se han desarrollado acciones de salud en hospitales públicos que han priorizado este problema, tales como el Centro de Atención y Derivación PRE-VIF, los hospitales Luis Calvo Mackenna, Exequiel González Cortés, Félix Bulnes y Roberto del Río.  En la mayoría de dichos establecimientos hospitalarios los médicos de los servicios de urgencia han recibido capacitación en detección de abuso sexual.  </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outlineLvl w:val="0"/>
        <w:rPr>
          <w:b/>
          <w:iCs/>
          <w:noProof/>
          <w:color w:val="000000"/>
          <w:szCs w:val="22"/>
        </w:rPr>
      </w:pPr>
      <w:r>
        <w:rPr>
          <w:b/>
          <w:iCs/>
          <w:noProof/>
          <w:color w:val="000000"/>
          <w:szCs w:val="22"/>
        </w:rPr>
        <w:t>Párrafo 91.  Informes periódicos - CRC/C/58</w:t>
      </w:r>
    </w:p>
    <w:p w:rsidR="00000000" w:rsidRDefault="00000000">
      <w:pPr>
        <w:spacing w:after="480"/>
        <w:rPr>
          <w:bCs/>
          <w:noProof/>
          <w:color w:val="000000"/>
          <w:szCs w:val="22"/>
        </w:rPr>
      </w:pPr>
      <w:r>
        <w:rPr>
          <w:bCs/>
          <w:noProof/>
          <w:color w:val="000000"/>
          <w:szCs w:val="22"/>
        </w:rPr>
        <w:t>141.</w:t>
      </w:r>
      <w:r>
        <w:rPr>
          <w:bCs/>
          <w:noProof/>
          <w:color w:val="000000"/>
          <w:szCs w:val="22"/>
        </w:rPr>
        <w:tab/>
        <w:t>La principal dificultad se centra en la restringida oferta de proyectos especializados en materias de reparación y rehabilitación para los niños y niñas que han sido víctimas de explotación y comercio sexual.</w:t>
      </w:r>
    </w:p>
    <w:p w:rsidR="00000000" w:rsidRDefault="00000000">
      <w:pPr>
        <w:spacing w:after="240"/>
        <w:ind w:left="482" w:hanging="482"/>
        <w:jc w:val="center"/>
        <w:rPr>
          <w:b/>
          <w:noProof/>
          <w:color w:val="000000"/>
          <w:szCs w:val="22"/>
        </w:rPr>
      </w:pPr>
      <w:r>
        <w:rPr>
          <w:b/>
          <w:noProof/>
          <w:color w:val="000000"/>
          <w:szCs w:val="22"/>
        </w:rPr>
        <w:t>VI.  SALUD BÁSICA Y BIENESTAR (ARTÍCULO 6, PÁRRAFO 3 DEL</w:t>
      </w:r>
      <w:r>
        <w:rPr>
          <w:b/>
          <w:noProof/>
          <w:color w:val="000000"/>
          <w:szCs w:val="22"/>
        </w:rPr>
        <w:br/>
        <w:t>ARTÍCULO 18; ARTÍCULOS 23, 24 Y 26, PÁRRAFOS 1 A 3</w:t>
      </w:r>
      <w:r>
        <w:rPr>
          <w:b/>
          <w:noProof/>
          <w:color w:val="000000"/>
          <w:szCs w:val="22"/>
        </w:rPr>
        <w:br/>
        <w:t>DEL ARTÍCULO 27)</w:t>
      </w:r>
    </w:p>
    <w:p w:rsidR="00000000" w:rsidRDefault="00000000">
      <w:pPr>
        <w:spacing w:after="240"/>
        <w:jc w:val="center"/>
        <w:rPr>
          <w:b/>
          <w:noProof/>
          <w:color w:val="000000"/>
          <w:szCs w:val="22"/>
        </w:rPr>
      </w:pPr>
      <w:r>
        <w:rPr>
          <w:b/>
          <w:noProof/>
          <w:color w:val="000000"/>
          <w:szCs w:val="22"/>
        </w:rPr>
        <w:t>A.  Los niños impedidos</w:t>
      </w:r>
    </w:p>
    <w:p w:rsidR="00000000" w:rsidRDefault="00000000">
      <w:pPr>
        <w:spacing w:after="240"/>
        <w:rPr>
          <w:bCs/>
          <w:iCs/>
          <w:noProof/>
          <w:color w:val="000000"/>
          <w:szCs w:val="22"/>
        </w:rPr>
      </w:pPr>
      <w:r>
        <w:rPr>
          <w:b/>
          <w:iCs/>
          <w:noProof/>
          <w:color w:val="000000"/>
          <w:szCs w:val="22"/>
        </w:rPr>
        <w:t>Párrafo 92.  Informes periódicos - CRC/C/58</w:t>
      </w:r>
    </w:p>
    <w:p w:rsidR="00000000" w:rsidRDefault="00000000">
      <w:pPr>
        <w:spacing w:after="240"/>
        <w:rPr>
          <w:bCs/>
          <w:noProof/>
          <w:color w:val="000000"/>
          <w:szCs w:val="22"/>
        </w:rPr>
      </w:pPr>
      <w:r>
        <w:rPr>
          <w:bCs/>
          <w:noProof/>
          <w:color w:val="000000"/>
          <w:szCs w:val="22"/>
        </w:rPr>
        <w:t>142.</w:t>
      </w:r>
      <w:r>
        <w:rPr>
          <w:bCs/>
          <w:noProof/>
          <w:color w:val="000000"/>
          <w:szCs w:val="22"/>
        </w:rPr>
        <w:tab/>
        <w:t>Las medidas que el Estado de Chile ha tomado en beneficio de los niños y niñas impedidos y las políticas frente a la discapacidad fueron ampliamente detalladas en el segundo informe.  Históricamente, las políticas en salud infantil han priorizado las actividades de prevención de la discapacidad, con énfasis en aquellas vinculadas a la salud perinatal y al desarrollo integral del niño o niña.  La acciones se efectúan fundamentalmente a través de las actividades programáticas básicas:  control de niño sano; control prenatal; programa ampliado de inmunizaciones; pesquisa precoz de hipotiroidismo congénito y fenilcetonuria; prevención y control de accidentes; estimulación temprana y evaluación del desarrollo psicomotor; seguimiento a largo plazo de niños y niñas prematuros extremos; implementación de medidas de salud pública de alto impacto como la fortificación de la harina con ácido fólico, lo que ha permitido disminuir la incidencia de nacimientos de niños y niñas con defectos de cierre del tubo neural, entre las más importantes.</w:t>
      </w:r>
    </w:p>
    <w:p w:rsidR="00000000" w:rsidRDefault="00000000">
      <w:pPr>
        <w:spacing w:after="200" w:line="238" w:lineRule="auto"/>
        <w:rPr>
          <w:bCs/>
          <w:noProof/>
          <w:color w:val="000000"/>
          <w:szCs w:val="22"/>
        </w:rPr>
      </w:pPr>
      <w:r>
        <w:rPr>
          <w:bCs/>
          <w:noProof/>
          <w:color w:val="000000"/>
          <w:szCs w:val="22"/>
        </w:rPr>
        <w:t>143.</w:t>
      </w:r>
      <w:r>
        <w:rPr>
          <w:bCs/>
          <w:noProof/>
          <w:color w:val="000000"/>
          <w:szCs w:val="22"/>
        </w:rPr>
        <w:tab/>
        <w:t>En el área de la rehabilitación se distinguen los programas que se desarrollan en las unidades de rehabilitación y de salud mental y las actividades incorporadas a los programas básicos de salud, estrategia de R. B. C.  (Rehabilitación Basada en la Comunidad).  Los programas existentes relativos a los niños y niñas son los siguientes:</w:t>
      </w:r>
    </w:p>
    <w:p w:rsidR="00000000" w:rsidRDefault="00000000">
      <w:pPr>
        <w:spacing w:after="200" w:line="238" w:lineRule="auto"/>
        <w:ind w:left="924" w:hanging="357"/>
        <w:rPr>
          <w:bCs/>
          <w:noProof/>
          <w:color w:val="000000"/>
          <w:szCs w:val="22"/>
        </w:rPr>
      </w:pPr>
      <w:r>
        <w:rPr>
          <w:bCs/>
          <w:noProof/>
          <w:color w:val="000000"/>
          <w:szCs w:val="22"/>
        </w:rPr>
        <w:t>-</w:t>
      </w:r>
      <w:r>
        <w:rPr>
          <w:bCs/>
          <w:noProof/>
          <w:color w:val="000000"/>
          <w:szCs w:val="22"/>
        </w:rPr>
        <w:tab/>
        <w:t>Mejoramiento de los servicios de medicina física y rehabilitación.</w:t>
      </w:r>
    </w:p>
    <w:p w:rsidR="00000000" w:rsidRDefault="00000000">
      <w:pPr>
        <w:spacing w:after="200" w:line="238" w:lineRule="auto"/>
        <w:ind w:left="924" w:hanging="357"/>
        <w:rPr>
          <w:bCs/>
          <w:noProof/>
          <w:color w:val="000000"/>
          <w:szCs w:val="22"/>
        </w:rPr>
      </w:pPr>
      <w:r>
        <w:rPr>
          <w:bCs/>
          <w:noProof/>
          <w:color w:val="000000"/>
          <w:szCs w:val="22"/>
        </w:rPr>
        <w:t>-</w:t>
      </w:r>
      <w:r>
        <w:rPr>
          <w:bCs/>
          <w:noProof/>
          <w:color w:val="000000"/>
          <w:szCs w:val="22"/>
        </w:rPr>
        <w:tab/>
        <w:t>Convenio con la Sociedad Pro</w:t>
      </w:r>
      <w:r>
        <w:rPr>
          <w:bCs/>
          <w:noProof/>
          <w:color w:val="000000"/>
          <w:szCs w:val="22"/>
        </w:rPr>
        <w:noBreakHyphen/>
        <w:t>Ayuda al Niño Lisiado (niños y niñas hasta los 18 años).</w:t>
      </w:r>
    </w:p>
    <w:p w:rsidR="00000000" w:rsidRDefault="00000000">
      <w:pPr>
        <w:spacing w:after="200" w:line="238" w:lineRule="auto"/>
        <w:ind w:left="924" w:hanging="357"/>
        <w:rPr>
          <w:bCs/>
          <w:noProof/>
          <w:color w:val="000000"/>
          <w:szCs w:val="22"/>
        </w:rPr>
      </w:pPr>
      <w:r>
        <w:rPr>
          <w:bCs/>
          <w:noProof/>
          <w:color w:val="000000"/>
          <w:szCs w:val="22"/>
        </w:rPr>
        <w:t>-</w:t>
      </w:r>
      <w:r>
        <w:rPr>
          <w:bCs/>
          <w:noProof/>
          <w:color w:val="000000"/>
          <w:szCs w:val="22"/>
        </w:rPr>
        <w:tab/>
        <w:t>Programa de rehabilitación y reinserción social de causa psíquica.</w:t>
      </w:r>
    </w:p>
    <w:p w:rsidR="00000000" w:rsidRDefault="00000000">
      <w:pPr>
        <w:spacing w:after="200" w:line="238" w:lineRule="auto"/>
        <w:ind w:left="924" w:hanging="357"/>
        <w:rPr>
          <w:bCs/>
          <w:noProof/>
          <w:color w:val="000000"/>
          <w:szCs w:val="22"/>
        </w:rPr>
      </w:pPr>
      <w:r>
        <w:rPr>
          <w:bCs/>
          <w:noProof/>
          <w:color w:val="000000"/>
          <w:szCs w:val="22"/>
        </w:rPr>
        <w:t>-</w:t>
      </w:r>
      <w:r>
        <w:rPr>
          <w:bCs/>
          <w:noProof/>
          <w:color w:val="000000"/>
          <w:szCs w:val="22"/>
        </w:rPr>
        <w:tab/>
        <w:t>Fondo para convenios con residencias protegidas.</w:t>
      </w:r>
    </w:p>
    <w:p w:rsidR="00000000" w:rsidRDefault="00000000">
      <w:pPr>
        <w:spacing w:after="200" w:line="238" w:lineRule="auto"/>
        <w:ind w:left="924" w:hanging="357"/>
        <w:rPr>
          <w:bCs/>
          <w:noProof/>
          <w:color w:val="000000"/>
          <w:szCs w:val="22"/>
        </w:rPr>
      </w:pPr>
      <w:r>
        <w:rPr>
          <w:bCs/>
          <w:noProof/>
          <w:color w:val="000000"/>
          <w:szCs w:val="22"/>
        </w:rPr>
        <w:t>-</w:t>
      </w:r>
      <w:r>
        <w:rPr>
          <w:bCs/>
          <w:noProof/>
          <w:color w:val="000000"/>
          <w:szCs w:val="22"/>
        </w:rPr>
        <w:tab/>
        <w:t>Centros comunitarios de salud mental.</w:t>
      </w:r>
    </w:p>
    <w:p w:rsidR="00000000" w:rsidRDefault="00000000">
      <w:pPr>
        <w:spacing w:after="200" w:line="238" w:lineRule="auto"/>
        <w:rPr>
          <w:bCs/>
          <w:noProof/>
          <w:color w:val="000000"/>
          <w:szCs w:val="22"/>
        </w:rPr>
      </w:pPr>
      <w:r>
        <w:rPr>
          <w:bCs/>
          <w:noProof/>
          <w:color w:val="000000"/>
          <w:szCs w:val="22"/>
        </w:rPr>
        <w:t>144.</w:t>
      </w:r>
      <w:r>
        <w:rPr>
          <w:bCs/>
          <w:noProof/>
          <w:color w:val="000000"/>
          <w:szCs w:val="22"/>
        </w:rPr>
        <w:tab/>
        <w:t>Con la finalidad de integrar a los niños y niñas en el desarrollo de actividades deportivas la Ley del deporte faculta al Instituto Nacional de Deportes mediante el Fondo Nacional para el Fomento del Deporte a financiar proyectos deportivos a través de sus categorías deportivas, postulados a concurso público por instituciones que atienden a la población de niños y niñas discapacitados del país.  Se han aprobado proyectos para financiar campeonatos deportivos de la discapacidad y juegos paraolímpicos regionales; formación para el deporte; deporte de alto rendimiento.</w:t>
      </w:r>
    </w:p>
    <w:p w:rsidR="00000000" w:rsidRDefault="00000000">
      <w:pPr>
        <w:numPr>
          <w:ilvl w:val="0"/>
          <w:numId w:val="30"/>
        </w:numPr>
        <w:tabs>
          <w:tab w:val="clear" w:pos="1065"/>
          <w:tab w:val="left" w:pos="-3828"/>
          <w:tab w:val="left" w:pos="-3686"/>
        </w:tabs>
        <w:spacing w:after="200" w:line="238" w:lineRule="auto"/>
        <w:ind w:left="0" w:firstLine="0"/>
        <w:rPr>
          <w:bCs/>
          <w:noProof/>
          <w:color w:val="000000"/>
          <w:szCs w:val="22"/>
        </w:rPr>
      </w:pPr>
      <w:r>
        <w:rPr>
          <w:bCs/>
          <w:noProof/>
          <w:color w:val="000000"/>
          <w:szCs w:val="22"/>
        </w:rPr>
        <w:t xml:space="preserve">También a través del Fondo Nacional de la Discapacidad FONADIS se ejecuta, desde el año 2001, un programa de financiamiento de becas de apoyo técnico para alumnos con discapacidad en la educación en establecimientos públicos y privados.  Los apoyos son los siguientes:  entrega de ayudas técnicas especializadas y de alta tecnología para la educación; equipamiento de salas especializadas para la educación con software, hardware, elementos para la baja visión, etc.; profesionales especializados en integración educativa que dan apoyo a los profesores del aula regular; adecuaciones de infraestructura cuando se requiere; y traslado de alumnos con movilidad severamente restringida.  En el mismo sentido FONADIS ejecuta, a través de la televisión abierta, un programa de capacitación a distancia en materia de integración educativa de alumnos con discapacidad, dirigido a profesores de aula regular.  </w:t>
      </w:r>
    </w:p>
    <w:p w:rsidR="00000000" w:rsidRDefault="00000000">
      <w:pPr>
        <w:tabs>
          <w:tab w:val="left" w:pos="-3828"/>
          <w:tab w:val="left" w:pos="-3686"/>
        </w:tabs>
        <w:spacing w:after="200" w:line="238" w:lineRule="auto"/>
        <w:rPr>
          <w:bCs/>
          <w:szCs w:val="22"/>
        </w:rPr>
      </w:pPr>
      <w:r>
        <w:rPr>
          <w:bCs/>
          <w:szCs w:val="22"/>
        </w:rPr>
        <w:t>146.</w:t>
      </w:r>
      <w:r>
        <w:rPr>
          <w:bCs/>
          <w:szCs w:val="22"/>
        </w:rPr>
        <w:tab/>
        <w:t xml:space="preserve">Complementariamente el Servicio Nacional de Menores contempla programas residenciales para los niños y niñas de 6 a 18 años de edad con déficit intelectual leve o moderado, en 23 proyectos.  Igualmente se cuenta con 10 proyectos para niños y niñas con déficit intelectual severo profundo.  Dichos proyectos se encuentran sometidos al sistema de supervisión y asesoría de SENAME, cuyo objetivo es garantizar el </w:t>
      </w:r>
      <w:r>
        <w:rPr>
          <w:bCs/>
          <w:noProof/>
          <w:color w:val="000000"/>
          <w:szCs w:val="22"/>
        </w:rPr>
        <w:t>bienestar</w:t>
      </w:r>
      <w:r>
        <w:rPr>
          <w:bCs/>
          <w:szCs w:val="22"/>
        </w:rPr>
        <w:t xml:space="preserve"> de los niños y niñas atendidos, su reinserción familiar y el ejercicio de todos los derechos que les son propios.  También se dispone de una oferta ambulatoria para los niños y niñas que presentan esta problemática; actualmente se cuenta con 7 proyectos que atienden a un total de 304 niños y niñas.</w:t>
      </w:r>
    </w:p>
    <w:p w:rsidR="00000000" w:rsidRDefault="00000000">
      <w:pPr>
        <w:tabs>
          <w:tab w:val="left" w:pos="-3828"/>
          <w:tab w:val="left" w:pos="-3686"/>
        </w:tabs>
        <w:spacing w:after="240"/>
        <w:jc w:val="center"/>
        <w:rPr>
          <w:b/>
          <w:noProof/>
          <w:color w:val="000000"/>
          <w:szCs w:val="22"/>
        </w:rPr>
      </w:pPr>
      <w:r>
        <w:rPr>
          <w:b/>
          <w:noProof/>
          <w:color w:val="000000"/>
          <w:szCs w:val="22"/>
        </w:rPr>
        <w:t xml:space="preserve">B.  La salud y los </w:t>
      </w:r>
      <w:r>
        <w:rPr>
          <w:b/>
          <w:szCs w:val="22"/>
        </w:rPr>
        <w:t>servicios</w:t>
      </w:r>
      <w:r>
        <w:rPr>
          <w:b/>
          <w:noProof/>
          <w:color w:val="000000"/>
          <w:szCs w:val="22"/>
        </w:rPr>
        <w:t xml:space="preserve"> </w:t>
      </w:r>
      <w:r>
        <w:rPr>
          <w:b/>
          <w:szCs w:val="22"/>
        </w:rPr>
        <w:t>sanitarios</w:t>
      </w:r>
      <w:r>
        <w:rPr>
          <w:b/>
          <w:noProof/>
          <w:color w:val="000000"/>
          <w:szCs w:val="22"/>
        </w:rPr>
        <w:t xml:space="preserve"> (artículo 24)</w:t>
      </w:r>
    </w:p>
    <w:p w:rsidR="00000000" w:rsidRDefault="00000000">
      <w:pPr>
        <w:tabs>
          <w:tab w:val="left" w:pos="-3828"/>
          <w:tab w:val="left" w:pos="-3686"/>
        </w:tabs>
        <w:spacing w:after="240"/>
        <w:rPr>
          <w:b/>
          <w:iCs/>
          <w:noProof/>
          <w:color w:val="000000"/>
          <w:szCs w:val="22"/>
        </w:rPr>
      </w:pPr>
      <w:r>
        <w:rPr>
          <w:b/>
          <w:iCs/>
          <w:noProof/>
          <w:color w:val="000000"/>
          <w:szCs w:val="22"/>
        </w:rPr>
        <w:t xml:space="preserve">Párrafo 93.  Informes </w:t>
      </w:r>
      <w:r>
        <w:rPr>
          <w:b/>
          <w:iCs/>
          <w:szCs w:val="22"/>
        </w:rPr>
        <w:t>periódicos</w:t>
      </w:r>
      <w:r>
        <w:rPr>
          <w:b/>
          <w:iCs/>
          <w:noProof/>
          <w:color w:val="000000"/>
          <w:szCs w:val="22"/>
        </w:rPr>
        <w:t xml:space="preserve"> </w:t>
      </w:r>
      <w:r>
        <w:rPr>
          <w:b/>
          <w:iCs/>
          <w:noProof/>
          <w:color w:val="000000"/>
          <w:szCs w:val="22"/>
        </w:rPr>
        <w:noBreakHyphen/>
        <w:t xml:space="preserve"> CRC/C/58</w:t>
      </w:r>
    </w:p>
    <w:p w:rsidR="00000000" w:rsidRDefault="00000000">
      <w:pPr>
        <w:tabs>
          <w:tab w:val="left" w:pos="-3828"/>
          <w:tab w:val="left" w:pos="-3686"/>
        </w:tabs>
        <w:spacing w:after="240"/>
        <w:rPr>
          <w:bCs/>
          <w:noProof/>
          <w:color w:val="000000"/>
          <w:szCs w:val="22"/>
        </w:rPr>
      </w:pPr>
      <w:r>
        <w:rPr>
          <w:bCs/>
          <w:noProof/>
          <w:color w:val="000000"/>
          <w:szCs w:val="22"/>
        </w:rPr>
        <w:t>147.</w:t>
      </w:r>
      <w:r>
        <w:rPr>
          <w:bCs/>
          <w:noProof/>
          <w:color w:val="000000"/>
          <w:szCs w:val="22"/>
        </w:rPr>
        <w:tab/>
        <w:t xml:space="preserve">Frente a la preocupación del Comité de los Derechos del Niño acerca de las grandes disparidades que existen en las </w:t>
      </w:r>
      <w:r>
        <w:rPr>
          <w:bCs/>
          <w:szCs w:val="22"/>
        </w:rPr>
        <w:t>tasas</w:t>
      </w:r>
      <w:r>
        <w:rPr>
          <w:bCs/>
          <w:noProof/>
          <w:color w:val="000000"/>
          <w:szCs w:val="22"/>
        </w:rPr>
        <w:t xml:space="preserve"> de mortalidad infantil y de lactantes, en particular en lo que respecta a los niños y niñas indígenas, a los que viven en zonas rurales, a los de extracción socioeconómica más baja y a aquellos cuyas madres tienen un bajo nivel de instrucción, cabe señalar que se encuentra en implementación una profunda reforma a la salud en Chile.  El compromiso del Gobierno es hacer realidad el derecho a la salud mediante acceso universal a las acciones de salud con garantías explícitas (AUGE).  Los recursos que el país dispone para cuidar la salud de la población son limitados y escasos.  Es necesario por lo tanto que el país oriente estos recursos para asegurar que las enfermedades causantes del mayor sufrimiento, daño y muertes prevenibles a la población, sean adecuadamente tratadas.  La orientación fundamental para estos efectos está dada por los objetivos nacionales de salud.  El sistema AUGE es un instrumento para promover la equidad y materializar los objetivos sanitarios y de protección social en salud para todos los chilenos y chilenas.</w:t>
      </w:r>
    </w:p>
    <w:p w:rsidR="00000000" w:rsidRDefault="00000000">
      <w:pPr>
        <w:tabs>
          <w:tab w:val="left" w:pos="-3828"/>
          <w:tab w:val="left" w:pos="-3686"/>
        </w:tabs>
        <w:spacing w:after="240"/>
        <w:rPr>
          <w:bCs/>
          <w:noProof/>
          <w:color w:val="000000"/>
          <w:szCs w:val="22"/>
        </w:rPr>
      </w:pPr>
      <w:r>
        <w:rPr>
          <w:bCs/>
          <w:noProof/>
          <w:color w:val="000000"/>
          <w:szCs w:val="22"/>
        </w:rPr>
        <w:t>148.</w:t>
      </w:r>
      <w:r>
        <w:rPr>
          <w:bCs/>
          <w:noProof/>
          <w:color w:val="000000"/>
          <w:szCs w:val="22"/>
        </w:rPr>
        <w:tab/>
        <w:t xml:space="preserve">La puesta en marcha del sistema AUGE incorpora prestaciones garantizadas para las siguientes enfermedades que afectan a la salud infantil:  </w:t>
      </w:r>
      <w:r>
        <w:rPr>
          <w:bCs/>
          <w:szCs w:val="22"/>
          <w:lang w:val="es-CL"/>
        </w:rPr>
        <w:t xml:space="preserve">cáncer infantil; cardiopatía congénita operable; bronquitis, asma, neumonía para niños o niñas menores de 5 años; malformación a la médula espinal; atención dental para niño o niña de 6 años; niño o niña que nace con fisura en el labio y/o paladar; prevención y </w:t>
      </w:r>
      <w:r>
        <w:rPr>
          <w:bCs/>
          <w:szCs w:val="22"/>
        </w:rPr>
        <w:t>atención</w:t>
      </w:r>
      <w:r>
        <w:rPr>
          <w:bCs/>
          <w:szCs w:val="22"/>
          <w:lang w:val="es-CL"/>
        </w:rPr>
        <w:t xml:space="preserve"> del parto prematuro; atención de niño o niña prematuro; trastornos en la generación de impulso cardiaco para niños o niñas mayores de 15; insuficiencia renal crónica terminal; diabetes tipo 1; epilepsia para menores de 15 años; escoliosis que requiere cirugía para personas menores de 25 años; cáncer a los ganglios para mayores de 15 años; cáncer de testículo para mayores de 15 años y; tratamiento de niño o niña que nace de madre con virus del SIDA.</w:t>
      </w:r>
    </w:p>
    <w:p w:rsidR="00000000" w:rsidRDefault="00000000">
      <w:pPr>
        <w:tabs>
          <w:tab w:val="left" w:pos="-3828"/>
          <w:tab w:val="left" w:pos="-3686"/>
        </w:tabs>
        <w:spacing w:after="240"/>
        <w:rPr>
          <w:bCs/>
          <w:noProof/>
          <w:color w:val="000000"/>
          <w:szCs w:val="22"/>
        </w:rPr>
      </w:pPr>
      <w:r>
        <w:rPr>
          <w:bCs/>
          <w:noProof/>
          <w:color w:val="000000"/>
          <w:szCs w:val="22"/>
        </w:rPr>
        <w:t>149.</w:t>
      </w:r>
      <w:r>
        <w:rPr>
          <w:bCs/>
          <w:noProof/>
          <w:color w:val="000000"/>
          <w:szCs w:val="22"/>
        </w:rPr>
        <w:tab/>
        <w:t>El AUGE explícita garantías en los siguientes á</w:t>
      </w:r>
      <w:r>
        <w:rPr>
          <w:bCs/>
          <w:szCs w:val="22"/>
        </w:rPr>
        <w:t>mbitos</w:t>
      </w:r>
      <w:r>
        <w:rPr>
          <w:bCs/>
          <w:noProof/>
          <w:color w:val="000000"/>
          <w:szCs w:val="22"/>
        </w:rPr>
        <w:t>, como derechos exigibles para los beneficiarios:</w:t>
      </w:r>
    </w:p>
    <w:p w:rsidR="00000000" w:rsidRDefault="00000000">
      <w:pPr>
        <w:tabs>
          <w:tab w:val="left" w:pos="-3828"/>
          <w:tab w:val="left" w:pos="-3686"/>
        </w:tabs>
        <w:spacing w:after="240"/>
        <w:ind w:left="924" w:hanging="357"/>
        <w:rPr>
          <w:bCs/>
          <w:szCs w:val="22"/>
        </w:rPr>
      </w:pPr>
      <w:r>
        <w:rPr>
          <w:bCs/>
          <w:noProof/>
          <w:color w:val="000000"/>
          <w:szCs w:val="22"/>
        </w:rPr>
        <w:t>-</w:t>
      </w:r>
      <w:r>
        <w:rPr>
          <w:bCs/>
          <w:noProof/>
          <w:color w:val="000000"/>
          <w:szCs w:val="22"/>
        </w:rPr>
        <w:tab/>
      </w:r>
      <w:r>
        <w:rPr>
          <w:bCs/>
          <w:i/>
          <w:iCs/>
          <w:noProof/>
          <w:color w:val="000000"/>
          <w:szCs w:val="22"/>
        </w:rPr>
        <w:t>Acceso</w:t>
      </w:r>
      <w:r>
        <w:rPr>
          <w:bCs/>
          <w:noProof/>
          <w:color w:val="000000"/>
          <w:szCs w:val="22"/>
        </w:rPr>
        <w:t xml:space="preserve">.  Se entiende como el derecho a recibir </w:t>
      </w:r>
      <w:r>
        <w:rPr>
          <w:bCs/>
          <w:szCs w:val="22"/>
        </w:rPr>
        <w:t xml:space="preserve">prestaciones, en la forma y condiciones que determine la autoridad sanitaria.  </w:t>
      </w:r>
    </w:p>
    <w:p w:rsidR="00000000" w:rsidRDefault="00000000">
      <w:pPr>
        <w:tabs>
          <w:tab w:val="left" w:pos="-3828"/>
          <w:tab w:val="left" w:pos="-3686"/>
        </w:tabs>
        <w:spacing w:after="240"/>
        <w:ind w:left="924" w:hanging="357"/>
        <w:rPr>
          <w:bCs/>
          <w:noProof/>
          <w:color w:val="000000"/>
          <w:szCs w:val="22"/>
        </w:rPr>
      </w:pPr>
      <w:r>
        <w:rPr>
          <w:bCs/>
          <w:noProof/>
          <w:color w:val="000000"/>
          <w:szCs w:val="22"/>
        </w:rPr>
        <w:t>-</w:t>
      </w:r>
      <w:r>
        <w:rPr>
          <w:bCs/>
          <w:noProof/>
          <w:color w:val="000000"/>
          <w:szCs w:val="22"/>
        </w:rPr>
        <w:tab/>
      </w:r>
      <w:r>
        <w:rPr>
          <w:bCs/>
          <w:i/>
          <w:iCs/>
          <w:noProof/>
          <w:color w:val="000000"/>
          <w:szCs w:val="22"/>
        </w:rPr>
        <w:t>Oportunidad</w:t>
      </w:r>
      <w:r>
        <w:rPr>
          <w:bCs/>
          <w:noProof/>
          <w:color w:val="000000"/>
          <w:szCs w:val="22"/>
        </w:rPr>
        <w:t xml:space="preserve">.  Se refiere al tiempo máximo para la entrega de prestaciones.  Operativamente se contemplan garantías de tiempo para la confirmación </w:t>
      </w:r>
      <w:r>
        <w:rPr>
          <w:bCs/>
          <w:szCs w:val="22"/>
        </w:rPr>
        <w:t>diagnóstica</w:t>
      </w:r>
      <w:r>
        <w:rPr>
          <w:bCs/>
          <w:noProof/>
          <w:color w:val="000000"/>
          <w:szCs w:val="22"/>
        </w:rPr>
        <w:t xml:space="preserve"> y/o para atención cuando ya existe diagnóstico.</w:t>
      </w:r>
    </w:p>
    <w:p w:rsidR="00000000" w:rsidRDefault="00000000">
      <w:pPr>
        <w:tabs>
          <w:tab w:val="left" w:pos="-3828"/>
          <w:tab w:val="left" w:pos="-3686"/>
        </w:tabs>
        <w:spacing w:after="240"/>
        <w:ind w:left="924" w:hanging="357"/>
        <w:rPr>
          <w:bCs/>
          <w:noProof/>
          <w:color w:val="000000"/>
          <w:szCs w:val="22"/>
        </w:rPr>
      </w:pPr>
      <w:r>
        <w:rPr>
          <w:bCs/>
          <w:noProof/>
          <w:color w:val="000000"/>
          <w:szCs w:val="22"/>
        </w:rPr>
        <w:t>-</w:t>
      </w:r>
      <w:r>
        <w:rPr>
          <w:bCs/>
          <w:noProof/>
          <w:color w:val="000000"/>
          <w:szCs w:val="22"/>
        </w:rPr>
        <w:tab/>
      </w:r>
      <w:r>
        <w:rPr>
          <w:bCs/>
          <w:i/>
          <w:iCs/>
          <w:noProof/>
          <w:color w:val="000000"/>
          <w:szCs w:val="22"/>
        </w:rPr>
        <w:t>Calidad</w:t>
      </w:r>
      <w:r>
        <w:rPr>
          <w:bCs/>
          <w:noProof/>
          <w:color w:val="000000"/>
          <w:szCs w:val="22"/>
        </w:rPr>
        <w:t xml:space="preserve">.  Implica recibir prestaciones de la complejidad y atributos técnicos adecuados para obtener los resultados esperados, incluyendo la mayor </w:t>
      </w:r>
      <w:r>
        <w:rPr>
          <w:bCs/>
          <w:szCs w:val="22"/>
        </w:rPr>
        <w:t>satisfacción</w:t>
      </w:r>
      <w:r>
        <w:rPr>
          <w:bCs/>
          <w:noProof/>
          <w:color w:val="000000"/>
          <w:szCs w:val="22"/>
        </w:rPr>
        <w:t xml:space="preserve"> de los usuarios.</w:t>
      </w:r>
    </w:p>
    <w:p w:rsidR="00000000" w:rsidRDefault="00000000">
      <w:pPr>
        <w:tabs>
          <w:tab w:val="left" w:pos="-3828"/>
          <w:tab w:val="left" w:pos="-3686"/>
        </w:tabs>
        <w:spacing w:after="240"/>
        <w:ind w:left="924" w:hanging="357"/>
        <w:rPr>
          <w:bCs/>
          <w:noProof/>
          <w:color w:val="000000"/>
          <w:szCs w:val="22"/>
        </w:rPr>
      </w:pPr>
      <w:r>
        <w:rPr>
          <w:bCs/>
          <w:noProof/>
          <w:color w:val="000000"/>
          <w:szCs w:val="22"/>
        </w:rPr>
        <w:t>-</w:t>
      </w:r>
      <w:r>
        <w:rPr>
          <w:bCs/>
          <w:noProof/>
          <w:color w:val="000000"/>
          <w:szCs w:val="22"/>
        </w:rPr>
        <w:tab/>
      </w:r>
      <w:r>
        <w:rPr>
          <w:bCs/>
          <w:i/>
          <w:iCs/>
          <w:noProof/>
          <w:color w:val="000000"/>
          <w:szCs w:val="22"/>
        </w:rPr>
        <w:t>Protección financiera</w:t>
      </w:r>
      <w:r>
        <w:rPr>
          <w:bCs/>
          <w:noProof/>
          <w:color w:val="000000"/>
          <w:szCs w:val="22"/>
        </w:rPr>
        <w:t>.  El pago no limita el acceso a los servicios, ni arriesga a que el trabajador o su familia caiga en la pobreza o se mantenga en ésta como resultado de afrontar el gasto en salud.</w:t>
      </w:r>
    </w:p>
    <w:p w:rsidR="00000000" w:rsidRDefault="00000000">
      <w:pPr>
        <w:keepNext/>
        <w:keepLines/>
        <w:tabs>
          <w:tab w:val="left" w:pos="-3828"/>
          <w:tab w:val="left" w:pos="-3686"/>
        </w:tabs>
        <w:spacing w:after="240"/>
        <w:rPr>
          <w:b/>
          <w:iCs/>
          <w:noProof/>
          <w:color w:val="000000"/>
          <w:szCs w:val="22"/>
        </w:rPr>
      </w:pPr>
      <w:r>
        <w:rPr>
          <w:b/>
          <w:iCs/>
          <w:noProof/>
          <w:color w:val="000000"/>
          <w:szCs w:val="22"/>
        </w:rPr>
        <w:t xml:space="preserve">Párrafo 94.  </w:t>
      </w:r>
      <w:r>
        <w:rPr>
          <w:b/>
          <w:noProof/>
          <w:color w:val="000000"/>
          <w:szCs w:val="22"/>
        </w:rPr>
        <w:t>Informes</w:t>
      </w:r>
      <w:r>
        <w:rPr>
          <w:b/>
          <w:iCs/>
          <w:noProof/>
          <w:color w:val="000000"/>
          <w:szCs w:val="22"/>
        </w:rPr>
        <w:t xml:space="preserve"> periódicos - CRC/C/58</w:t>
      </w:r>
    </w:p>
    <w:p w:rsidR="00000000" w:rsidRDefault="00000000">
      <w:pPr>
        <w:widowControl w:val="0"/>
        <w:tabs>
          <w:tab w:val="left" w:pos="-3828"/>
          <w:tab w:val="left" w:pos="-3686"/>
        </w:tabs>
        <w:spacing w:after="240"/>
        <w:rPr>
          <w:bCs/>
          <w:noProof/>
          <w:color w:val="000000"/>
          <w:szCs w:val="22"/>
        </w:rPr>
      </w:pPr>
      <w:r>
        <w:rPr>
          <w:bCs/>
          <w:noProof/>
          <w:color w:val="000000"/>
          <w:szCs w:val="22"/>
        </w:rPr>
        <w:t>150.</w:t>
      </w:r>
      <w:r>
        <w:rPr>
          <w:bCs/>
          <w:noProof/>
          <w:color w:val="000000"/>
          <w:szCs w:val="22"/>
        </w:rPr>
        <w:tab/>
        <w:t>Las actividades programáticas en salud infantil tienen como objetivo el mejoramiento de la calidad de vida de los niños y niñas chilenos.  En este contexto las principales líneas de desarrollo en salud del niño o niña son:  atención neonatal, programa de búsqueda masiva de fenilcetonuria e hipotiroidismo congénito, anomalías congénitas, desarrollo psicosocial del niño o niña, Programa de control Infecciones Respiratorias Agudas (IRA), nutrición infantil, cáncer, salud mental infantojuvenil, Programa de tratamiento integral de pacientes hemofílicos, traumatismos y accidentes, salud bucal, salud reproductiva, VIH/SIDA en niños o niñas.</w:t>
      </w:r>
    </w:p>
    <w:p w:rsidR="00000000" w:rsidRDefault="00000000">
      <w:pPr>
        <w:widowControl w:val="0"/>
        <w:tabs>
          <w:tab w:val="left" w:pos="-3828"/>
          <w:tab w:val="left" w:pos="-3686"/>
        </w:tabs>
        <w:spacing w:after="240"/>
        <w:rPr>
          <w:b/>
          <w:iCs/>
          <w:noProof/>
          <w:color w:val="000000"/>
          <w:szCs w:val="22"/>
        </w:rPr>
      </w:pPr>
      <w:r>
        <w:rPr>
          <w:b/>
          <w:iCs/>
          <w:noProof/>
          <w:color w:val="000000"/>
          <w:szCs w:val="22"/>
        </w:rPr>
        <w:t>Párrafo 95.  Informes periódicos - CRC/C/58</w:t>
      </w:r>
    </w:p>
    <w:p w:rsidR="00000000" w:rsidRDefault="00000000">
      <w:pPr>
        <w:widowControl w:val="0"/>
        <w:tabs>
          <w:tab w:val="left" w:pos="-3828"/>
          <w:tab w:val="left" w:pos="-3686"/>
        </w:tabs>
        <w:spacing w:after="240"/>
        <w:rPr>
          <w:bCs/>
          <w:noProof/>
          <w:color w:val="000000"/>
          <w:szCs w:val="22"/>
        </w:rPr>
      </w:pPr>
      <w:r>
        <w:rPr>
          <w:bCs/>
          <w:noProof/>
          <w:color w:val="000000"/>
          <w:szCs w:val="22"/>
        </w:rPr>
        <w:t>151.</w:t>
      </w:r>
      <w:r>
        <w:rPr>
          <w:bCs/>
          <w:noProof/>
          <w:color w:val="000000"/>
          <w:szCs w:val="22"/>
        </w:rPr>
        <w:tab/>
        <w:t>La mortalidad infantil ha mantenido una tendencia sistemática al descenso, alcanzando el año 2001 una tasa de 8,3 por 1.000 nacidos vivos.  Un 60% de la mortalidad del menor de 1 año está dado por la mortalidad neonatal (0 a 28 días), siendo la tasa actual de 5 por 1.000 nacidos vivos.  La mortalidad infantil tardía ha presentado una tendencia al descenso más pronunciada que la neonatal, la tasa actual de 3,4 ‰ en 2001, contiene todavía una proporción de causas prevenibles, como por ejemplo, las infecciones respiratorias agudas y los accidentes.  Se debe considerar que el promedio nacional esconde importantes diferencias a nivel regional y particularmente a nivel comunal, lo que refleja desigualdad e inequidad en el acceso a la atención de salud de los sectores más pobres de nuestro país y obliga a focalizar esfuerzos en disminuir las brechas de atención en esos sectores.</w:t>
      </w:r>
    </w:p>
    <w:p w:rsidR="00000000" w:rsidRDefault="00000000">
      <w:pPr>
        <w:widowControl w:val="0"/>
        <w:tabs>
          <w:tab w:val="left" w:pos="-3828"/>
          <w:tab w:val="left" w:pos="-3686"/>
        </w:tabs>
        <w:spacing w:after="240"/>
        <w:rPr>
          <w:bCs/>
          <w:noProof/>
          <w:color w:val="000000"/>
          <w:szCs w:val="22"/>
        </w:rPr>
      </w:pPr>
      <w:r>
        <w:rPr>
          <w:bCs/>
          <w:noProof/>
          <w:color w:val="000000"/>
          <w:szCs w:val="22"/>
        </w:rPr>
        <w:t>152.</w:t>
      </w:r>
      <w:r>
        <w:rPr>
          <w:bCs/>
          <w:noProof/>
          <w:color w:val="000000"/>
          <w:szCs w:val="22"/>
        </w:rPr>
        <w:tab/>
        <w:t>Se han concentrado los esfuerzos en la implementación de estrategias que permitan incidir en las causas principales de muerte del menor de un año:  perinatales, congénitas e infecciones respiratorias agudas.  El Ministerio de Salud ha implementado estrategias de intervención respecto a aquellas áreas que contribuyen a mejorar la calidad de sobrevida de los niños y niñas chilenos.  Las condiciones de vulnerabilidad social y económica que antes ponían a los niños y niñas en riesgo de morir, los exponen ahora al riesgo de dañar su desarrollo físico, mental, social y emocional en los primeros meses y años de vida.  Por lo anterior el énfasis se ha puesto en la promoción y vigilancia del desarrollo integral del niño o niña, detectando y manejando oportunamente factores de riesgo biomédicos y socioculturales como los siguientes:</w:t>
      </w:r>
    </w:p>
    <w:p w:rsidR="00000000" w:rsidRDefault="00000000">
      <w:pPr>
        <w:widowControl w:val="0"/>
        <w:tabs>
          <w:tab w:val="left" w:pos="-3828"/>
          <w:tab w:val="left" w:pos="-3686"/>
        </w:tabs>
        <w:spacing w:after="240"/>
        <w:ind w:left="567"/>
        <w:rPr>
          <w:bCs/>
          <w:noProof/>
          <w:color w:val="000000"/>
          <w:szCs w:val="22"/>
        </w:rPr>
      </w:pPr>
      <w:r>
        <w:rPr>
          <w:bCs/>
          <w:i/>
          <w:iCs/>
          <w:noProof/>
          <w:color w:val="000000"/>
          <w:szCs w:val="22"/>
        </w:rPr>
        <w:tab/>
        <w:t>Las afecciones del período perinatal</w:t>
      </w:r>
      <w:r>
        <w:rPr>
          <w:bCs/>
          <w:noProof/>
          <w:color w:val="000000"/>
          <w:szCs w:val="22"/>
        </w:rPr>
        <w:t xml:space="preserve"> mantienen el primer lugar como grupo de causas de muerte del menor de 1 año, con una tasa de 3,26 por 1.000 nacidos vivos, representando un 40% del total de muertes.  Las acciones generales desarrolladas para hacer frente a esta situación se encuentran detalladas en el informe anterior, a las cuales se le han sumado las siguientes:</w:t>
      </w:r>
    </w:p>
    <w:p w:rsidR="00000000" w:rsidRDefault="00000000">
      <w:pPr>
        <w:tabs>
          <w:tab w:val="left" w:pos="-3828"/>
          <w:tab w:val="left" w:pos="-3686"/>
        </w:tabs>
        <w:spacing w:after="240"/>
        <w:ind w:left="1491" w:hanging="357"/>
        <w:rPr>
          <w:bCs/>
          <w:noProof/>
          <w:color w:val="000000"/>
          <w:szCs w:val="22"/>
        </w:rPr>
      </w:pPr>
      <w:r>
        <w:rPr>
          <w:bCs/>
          <w:noProof/>
          <w:color w:val="000000"/>
          <w:szCs w:val="22"/>
        </w:rPr>
        <w:t>-</w:t>
      </w:r>
      <w:r>
        <w:rPr>
          <w:bCs/>
          <w:noProof/>
          <w:color w:val="000000"/>
          <w:szCs w:val="22"/>
        </w:rPr>
        <w:tab/>
        <w:t>Desarrollo e implementación de policlínicos de seguimiento de prematuros en todo el país;</w:t>
      </w:r>
    </w:p>
    <w:p w:rsidR="00000000" w:rsidRDefault="00000000">
      <w:pPr>
        <w:tabs>
          <w:tab w:val="left" w:pos="-3828"/>
          <w:tab w:val="left" w:pos="-3686"/>
        </w:tabs>
        <w:spacing w:after="240"/>
        <w:ind w:left="1491" w:hanging="357"/>
        <w:rPr>
          <w:bCs/>
          <w:noProof/>
          <w:color w:val="000000"/>
          <w:szCs w:val="22"/>
        </w:rPr>
      </w:pPr>
      <w:r>
        <w:rPr>
          <w:bCs/>
          <w:noProof/>
          <w:color w:val="000000"/>
          <w:szCs w:val="22"/>
        </w:rPr>
        <w:t>-</w:t>
      </w:r>
      <w:r>
        <w:rPr>
          <w:bCs/>
          <w:noProof/>
          <w:color w:val="000000"/>
          <w:szCs w:val="22"/>
        </w:rPr>
        <w:tab/>
        <w:t>Se ha revisado y están en etapa de edición las normas nacionales de atención del recién nacido en cuyo trabajo han participado los servicios de salud y universidades;</w:t>
      </w:r>
    </w:p>
    <w:p w:rsidR="00000000" w:rsidRDefault="00000000">
      <w:pPr>
        <w:tabs>
          <w:tab w:val="left" w:pos="-3828"/>
          <w:tab w:val="left" w:pos="-3686"/>
        </w:tabs>
        <w:spacing w:after="240"/>
        <w:ind w:left="1491" w:hanging="357"/>
        <w:rPr>
          <w:bCs/>
          <w:noProof/>
          <w:color w:val="000000"/>
          <w:szCs w:val="22"/>
        </w:rPr>
      </w:pPr>
      <w:r>
        <w:rPr>
          <w:bCs/>
          <w:noProof/>
          <w:color w:val="000000"/>
          <w:szCs w:val="22"/>
        </w:rPr>
        <w:t>-</w:t>
      </w:r>
      <w:r>
        <w:rPr>
          <w:bCs/>
          <w:noProof/>
          <w:color w:val="000000"/>
          <w:szCs w:val="22"/>
        </w:rPr>
        <w:tab/>
        <w:t>Recientemente se ha incorporado la entrega gratuita de leches especiales para prematuros, con recursos del Programa Nacional de Alimentación Complementaria (PNAC);</w:t>
      </w:r>
    </w:p>
    <w:p w:rsidR="00000000" w:rsidRDefault="00000000">
      <w:pPr>
        <w:tabs>
          <w:tab w:val="left" w:pos="-3828"/>
          <w:tab w:val="left" w:pos="-3686"/>
        </w:tabs>
        <w:spacing w:after="240"/>
        <w:ind w:left="1491" w:hanging="357"/>
        <w:rPr>
          <w:bCs/>
          <w:noProof/>
          <w:color w:val="000000"/>
          <w:szCs w:val="22"/>
        </w:rPr>
      </w:pPr>
      <w:r>
        <w:rPr>
          <w:bCs/>
          <w:noProof/>
          <w:color w:val="000000"/>
          <w:szCs w:val="22"/>
        </w:rPr>
        <w:t>-</w:t>
      </w:r>
      <w:r>
        <w:rPr>
          <w:bCs/>
          <w:noProof/>
          <w:color w:val="000000"/>
          <w:szCs w:val="22"/>
        </w:rPr>
        <w:tab/>
        <w:t>Se ha privilegiado la acción sobre grupos de riesgo; mujeres con bajo peso; embarazadas con riesgos médicos:  infecciones, anemia y otros; mujeres con antecedentes de hijos de bajo peso en embarazos anteriores; y mujeres con antecedentes de tabaquismo, consumo de alcohol y uso de fármacos.</w:t>
      </w:r>
    </w:p>
    <w:p w:rsidR="00000000" w:rsidRDefault="00000000">
      <w:pPr>
        <w:widowControl w:val="0"/>
        <w:tabs>
          <w:tab w:val="left" w:pos="-3828"/>
          <w:tab w:val="left" w:pos="-3686"/>
        </w:tabs>
        <w:spacing w:after="240"/>
        <w:ind w:left="567"/>
        <w:rPr>
          <w:bCs/>
          <w:noProof/>
          <w:color w:val="000000"/>
          <w:szCs w:val="22"/>
        </w:rPr>
      </w:pPr>
      <w:r>
        <w:rPr>
          <w:bCs/>
          <w:i/>
          <w:iCs/>
          <w:noProof/>
          <w:color w:val="000000"/>
          <w:szCs w:val="22"/>
        </w:rPr>
        <w:tab/>
        <w:t>Las anomalías congénitas</w:t>
      </w:r>
      <w:r>
        <w:rPr>
          <w:bCs/>
          <w:noProof/>
          <w:color w:val="000000"/>
          <w:szCs w:val="22"/>
        </w:rPr>
        <w:t xml:space="preserve"> son responsables del 31% de las defunciones de menores de 1 año, la segunda causa de mortalidad infantil con una tasa de 2,6 por 1.000 nacidos vivos.  Las estrategias desarrolladas para hacer frente a esta problemática se encuentran en el segundo informe.  Adicionalmente, a contar de agosto del año 2002 se incorporó al sistema AUGE, el diagnóstico y tratamiento quirúrgico de las cardiopatías congénitas, lo que ha permitido una mejora en el diagnóstico y la resolución la que se evidencia en el aumento del número de egresos por esta causa a pesar de la caída en el número de nacimientos.  Además ha disminuido la tasa de fallecidos en proporción al número de egresos.</w:t>
      </w:r>
    </w:p>
    <w:p w:rsidR="00000000" w:rsidRDefault="00000000">
      <w:pPr>
        <w:widowControl w:val="0"/>
        <w:tabs>
          <w:tab w:val="left" w:pos="-3828"/>
          <w:tab w:val="left" w:pos="-3686"/>
        </w:tabs>
        <w:spacing w:after="240"/>
        <w:ind w:left="567"/>
        <w:rPr>
          <w:bCs/>
          <w:noProof/>
          <w:color w:val="000000"/>
          <w:szCs w:val="22"/>
        </w:rPr>
      </w:pPr>
      <w:r>
        <w:rPr>
          <w:bCs/>
          <w:i/>
          <w:iCs/>
          <w:noProof/>
          <w:color w:val="000000"/>
          <w:szCs w:val="22"/>
        </w:rPr>
        <w:tab/>
        <w:t>Las enfermedades del aparato respiratorio</w:t>
      </w:r>
      <w:r>
        <w:rPr>
          <w:bCs/>
          <w:noProof/>
          <w:color w:val="000000"/>
          <w:szCs w:val="22"/>
        </w:rPr>
        <w:t xml:space="preserve"> constituyen la tercera causa de muerte del menor de 1 año, con una tasa de 0,75 por 1.000 nacidos vivos, representando el 9% de todas las defunciones de este grupo de edad.  La causa específica más importante es la bronconeumonía, responsable del 85% del total de muertes por enfermedades del aparato respiratorio.  Las acciones implementadas para hacer frente a esta situación, se encuentran en el segundo informe.</w:t>
      </w:r>
    </w:p>
    <w:p w:rsidR="00000000" w:rsidRDefault="00000000">
      <w:pPr>
        <w:widowControl w:val="0"/>
        <w:tabs>
          <w:tab w:val="left" w:pos="-3828"/>
          <w:tab w:val="left" w:pos="-3686"/>
        </w:tabs>
        <w:spacing w:after="240"/>
        <w:rPr>
          <w:bCs/>
          <w:noProof/>
          <w:szCs w:val="22"/>
        </w:rPr>
      </w:pPr>
      <w:r>
        <w:rPr>
          <w:bCs/>
          <w:noProof/>
          <w:color w:val="000000"/>
          <w:szCs w:val="22"/>
        </w:rPr>
        <w:t>153.</w:t>
      </w:r>
      <w:r>
        <w:rPr>
          <w:bCs/>
          <w:noProof/>
          <w:color w:val="000000"/>
          <w:szCs w:val="22"/>
        </w:rPr>
        <w:tab/>
        <w:t xml:space="preserve">Acerca de las características generales del Programa Ampliado de Inmunizaciones a la población chilena, ver el segundo informe en el cual se explica detalladamente.  La exigencia de la vacunación es aplicada al 100% de la población, y se han alcanzado coberturas de vacunación que bordean o superan el 90%.  En la vacunación del recién nacido influye fuertemente la alta tasa de atención profesional del parto (98% y más).  Durante el año 2001 se realizó la tercera campaña de seguimiento del compromiso sobre la eliminación del sarampión, adquirido por Chile como parte de la estrategia regional de Las Américas en 1992.  Se vacunaron un total de 1.200.000 niños y niñas de 1 a 5 </w:t>
      </w:r>
      <w:r>
        <w:rPr>
          <w:bCs/>
          <w:noProof/>
          <w:szCs w:val="22"/>
        </w:rPr>
        <w:t>años, con una cobertura de 99,4%.  Esta estrategia ha permitido que nuestro país este libre de casos de sarampión por 4 años consecutivos (2000 a 2003).</w:t>
      </w:r>
    </w:p>
    <w:p w:rsidR="00000000" w:rsidRDefault="00000000">
      <w:pPr>
        <w:widowControl w:val="0"/>
        <w:tabs>
          <w:tab w:val="left" w:pos="-3828"/>
          <w:tab w:val="left" w:pos="-3686"/>
        </w:tabs>
        <w:spacing w:after="240"/>
        <w:rPr>
          <w:bCs/>
          <w:noProof/>
          <w:color w:val="000000"/>
          <w:szCs w:val="22"/>
        </w:rPr>
      </w:pPr>
      <w:r>
        <w:rPr>
          <w:bCs/>
          <w:noProof/>
          <w:color w:val="000000"/>
          <w:szCs w:val="22"/>
        </w:rPr>
        <w:t>154.</w:t>
      </w:r>
      <w:r>
        <w:rPr>
          <w:bCs/>
          <w:noProof/>
          <w:color w:val="000000"/>
          <w:szCs w:val="22"/>
        </w:rPr>
        <w:tab/>
        <w:t>En relación a la malnutrición infantil, el Gobierno de Chile mantiene continuidad en las metas y estrategias expresadas en el Segundo informe.  Con el propósito de prevenir y disminuir el déficit nutricional en niños y niñas menores de 6 años, embarazadas y nodrizas existe el Programa Nacional de Alimentación Complementaria (PNAC), el cual se encuentra desarrollado en el Segundo informe.  En relación a la reducción de la anemia, el impacto nutricional que ha tenido la fortificación de la leche del PNAC con hierro, zinc, cobre y vitamina C, ha permitido disminuir la anemia en los lactantes de un 30 a un 8% en menores de 2 años; esta medida fue incorporada el año 1999 para la población embarazada.  El año 2003 el PNAC ha incorporado tres nuevos productos, dos de ellos destinados a los lactantes, uno para los menores con muy bajo peso de nacimiento y el otro para recién nacidos fenilcetonúricos.  El tercer producto está destinado a niños y niñas desnutridos y en riesgo de serlo, corresponde una papilla enriquecida con vitaminas y minerales.  En los últimos años las cifras de desnutrición se han mantenido muy estables y en valores muy bajos, manteniéndose desde el año 2000 en tasas de 0,5 y 3,2% de riesgo nutricional, en cambio el sobrepeso está en 16% y la obesidad en 8% en la población menor de 6 años.</w:t>
      </w:r>
    </w:p>
    <w:p w:rsidR="00000000" w:rsidRDefault="00000000">
      <w:pPr>
        <w:widowControl w:val="0"/>
        <w:tabs>
          <w:tab w:val="left" w:pos="-3828"/>
          <w:tab w:val="left" w:pos="-3686"/>
        </w:tabs>
        <w:spacing w:after="240"/>
        <w:rPr>
          <w:bCs/>
          <w:noProof/>
          <w:color w:val="000000"/>
          <w:szCs w:val="22"/>
        </w:rPr>
      </w:pPr>
      <w:r>
        <w:rPr>
          <w:bCs/>
          <w:noProof/>
          <w:color w:val="000000"/>
          <w:szCs w:val="22"/>
        </w:rPr>
        <w:t>155.</w:t>
      </w:r>
      <w:r>
        <w:rPr>
          <w:bCs/>
          <w:noProof/>
          <w:color w:val="000000"/>
          <w:szCs w:val="22"/>
        </w:rPr>
        <w:tab/>
        <w:t>En relación a la lactancia materna, en términos de tendencia, se observa un aumento significativo de la lactancia materna exclusiva del 32,3% en 1993 a 40% en 2002.  En relación a la política de lactancia materna y a la Comisión Nacional de lactancia referirse al segundo informe.</w:t>
      </w:r>
    </w:p>
    <w:p w:rsidR="00000000" w:rsidRDefault="00000000">
      <w:pPr>
        <w:widowControl w:val="0"/>
        <w:tabs>
          <w:tab w:val="left" w:pos="-3828"/>
          <w:tab w:val="left" w:pos="-3686"/>
        </w:tabs>
        <w:spacing w:after="240"/>
        <w:rPr>
          <w:bCs/>
          <w:noProof/>
          <w:color w:val="000000"/>
          <w:szCs w:val="22"/>
        </w:rPr>
      </w:pPr>
      <w:r>
        <w:rPr>
          <w:bCs/>
          <w:noProof/>
          <w:szCs w:val="22"/>
        </w:rPr>
        <w:t>156.</w:t>
      </w:r>
      <w:r>
        <w:rPr>
          <w:bCs/>
          <w:noProof/>
          <w:szCs w:val="22"/>
        </w:rPr>
        <w:tab/>
        <w:t>En relación a la mortalidad materna, las tasas han continuado presentando una reducción importante:  la tasa de mortalidad materna era en 1990 de 40 por 100.000 nacidos vivos y en el año 2001 de 11,1</w:t>
      </w:r>
      <w:r>
        <w:rPr>
          <w:bCs/>
          <w:noProof/>
          <w:color w:val="000000"/>
          <w:szCs w:val="22"/>
        </w:rPr>
        <w:t xml:space="preserve">.  Acerca de las causas de la disminución de la tasa de mortalidad materna remitirse al segundo informe.  En los últimos tres años, la primera causa específica de muerte materna son las complicaciones hipertensivas del embarazo.  </w:t>
      </w:r>
    </w:p>
    <w:p w:rsidR="00000000" w:rsidRDefault="00000000">
      <w:pPr>
        <w:widowControl w:val="0"/>
        <w:tabs>
          <w:tab w:val="left" w:pos="-3828"/>
          <w:tab w:val="left" w:pos="-3686"/>
        </w:tabs>
        <w:spacing w:after="240"/>
        <w:rPr>
          <w:bCs/>
          <w:noProof/>
          <w:szCs w:val="22"/>
        </w:rPr>
      </w:pPr>
      <w:r>
        <w:rPr>
          <w:bCs/>
          <w:noProof/>
          <w:color w:val="000000"/>
          <w:szCs w:val="22"/>
        </w:rPr>
        <w:t>157.</w:t>
      </w:r>
      <w:r>
        <w:rPr>
          <w:bCs/>
          <w:noProof/>
          <w:color w:val="000000"/>
          <w:szCs w:val="22"/>
        </w:rPr>
        <w:tab/>
        <w:t xml:space="preserve">El aumento de la cobertura de la atención profesional del parto alcanzó en el año 2001 a un 99,8% y el control prenatal establecido en el programa de salud de la mujer del Ministerio de Salud, tiene una cobertura del 90% de la población de embarazadas en el sistema público de salud; en el 79% de ellos el control del embarazo se inició oportunamente (antes de las 20 semanas de gestación).  El control posterior al parto y del recién nacido alcanza coberturas cercanas al 100%.  </w:t>
      </w:r>
      <w:r>
        <w:rPr>
          <w:bCs/>
          <w:noProof/>
          <w:szCs w:val="22"/>
        </w:rPr>
        <w:t>Los partos asistidos en el sistema público de salud, en el año 2001 fueron 180.463, de los cuales un 30,7% fue por cesárea.  El año 2002, en un 30,6% hubo presencia del padre o de un familiar acompañando a la madre al momento del parto.</w:t>
      </w:r>
    </w:p>
    <w:p w:rsidR="00000000" w:rsidRDefault="00000000">
      <w:pPr>
        <w:widowControl w:val="0"/>
        <w:tabs>
          <w:tab w:val="left" w:pos="-3828"/>
          <w:tab w:val="left" w:pos="-3686"/>
        </w:tabs>
        <w:spacing w:after="240"/>
        <w:rPr>
          <w:bCs/>
          <w:noProof/>
          <w:color w:val="000000"/>
          <w:szCs w:val="22"/>
        </w:rPr>
      </w:pPr>
      <w:r>
        <w:rPr>
          <w:bCs/>
          <w:noProof/>
          <w:color w:val="000000"/>
          <w:szCs w:val="22"/>
        </w:rPr>
        <w:t>158.</w:t>
      </w:r>
      <w:r>
        <w:rPr>
          <w:bCs/>
          <w:noProof/>
          <w:color w:val="000000"/>
          <w:szCs w:val="22"/>
        </w:rPr>
        <w:tab/>
        <w:t>La historia del desarrollo de las actividades de planificación familiar en Chile se encuentran detalladas en el segundo informe.  El sistema público de salud mantiene bajo control de planificación familiar alrededor de un 25% de las mujeres en edad fértil que atiende el Sistema.  En el período 1990-2000 se observó un incremento del 40% de la población bajo control, llegando a una cifra de usuarias de 1 millón de mujeres.  En la actualidad se estima que alrededor de un 60% de la población de mujeres en edad fértil (MEF), usa algún método anticonceptivo, aunque no estén todas bajo control.</w:t>
      </w:r>
    </w:p>
    <w:p w:rsidR="00000000" w:rsidRDefault="00000000">
      <w:pPr>
        <w:widowControl w:val="0"/>
        <w:tabs>
          <w:tab w:val="left" w:pos="-3828"/>
          <w:tab w:val="left" w:pos="-3686"/>
        </w:tabs>
        <w:spacing w:after="240"/>
        <w:rPr>
          <w:bCs/>
          <w:noProof/>
          <w:color w:val="000000"/>
          <w:szCs w:val="22"/>
        </w:rPr>
      </w:pPr>
      <w:r>
        <w:rPr>
          <w:bCs/>
          <w:noProof/>
          <w:color w:val="000000"/>
          <w:szCs w:val="22"/>
        </w:rPr>
        <w:t>159.</w:t>
      </w:r>
      <w:r>
        <w:rPr>
          <w:bCs/>
          <w:noProof/>
          <w:color w:val="000000"/>
          <w:szCs w:val="22"/>
        </w:rPr>
        <w:tab/>
      </w:r>
      <w:r>
        <w:rPr>
          <w:bCs/>
          <w:noProof/>
          <w:szCs w:val="22"/>
        </w:rPr>
        <w:t>Se han observado cambios en la fecundidad.  En el año 2001 nacieron 259.069 niños y niñas, lo que significa una tasa bruta de natalidad de 16,8 nacidos vivos por 1.000 habitantes</w:t>
      </w:r>
      <w:r>
        <w:rPr>
          <w:bCs/>
          <w:noProof/>
          <w:color w:val="000000"/>
          <w:szCs w:val="22"/>
        </w:rPr>
        <w:t>.  Estas cifras han tenido una disminución sistemática en los últimos años, observándose una reducción de la tasa en un 10% en el período 1997-2001.  La tasa global de fecundidad de acuerdo al Censo Nacional 2002, es de 2,26 hijos por mujer (2,12 en área urbana, 2,9 en áreas rurales).  La distribución de la fecundidad específica por edad ha cambiado en los últimos años.  Los partos de mujeres menores de 20 años han tenido un aumento proporcional, alcanzando el 16% de los partos totales registrados el año 2000.  La concentración de nacimientos de orden uno y dos es del 71% y se constata una acumulación de la fecundidad en mujeres jóvenes (60% de los nacidos vivos provienen de mujeres entre los 20 y 29 años).</w:t>
      </w:r>
    </w:p>
    <w:p w:rsidR="00000000" w:rsidRDefault="00000000">
      <w:pPr>
        <w:tabs>
          <w:tab w:val="left" w:pos="-3828"/>
          <w:tab w:val="left" w:pos="-3686"/>
        </w:tabs>
        <w:spacing w:after="240"/>
        <w:rPr>
          <w:bCs/>
          <w:noProof/>
          <w:color w:val="000000"/>
          <w:szCs w:val="22"/>
        </w:rPr>
      </w:pPr>
      <w:r>
        <w:rPr>
          <w:bCs/>
          <w:noProof/>
          <w:color w:val="000000"/>
          <w:szCs w:val="22"/>
        </w:rPr>
        <w:t>160.</w:t>
      </w:r>
      <w:r>
        <w:rPr>
          <w:bCs/>
          <w:noProof/>
          <w:color w:val="000000"/>
          <w:szCs w:val="22"/>
        </w:rPr>
        <w:tab/>
      </w:r>
      <w:r>
        <w:rPr>
          <w:bCs/>
          <w:i/>
          <w:iCs/>
          <w:noProof/>
          <w:color w:val="000000"/>
          <w:szCs w:val="22"/>
        </w:rPr>
        <w:t>Embarazo en adolescentes.</w:t>
      </w:r>
      <w:r>
        <w:rPr>
          <w:bCs/>
          <w:noProof/>
          <w:color w:val="000000"/>
          <w:szCs w:val="22"/>
        </w:rPr>
        <w:t xml:space="preserve">  La inquietud expresada por el Comité de los Derechos del Niño respecto a las altas tasas de embarazos precoces y la falta de información, asesoramiento y programas preventivos sobre salud reproductiva, incluida la falta de acceso adecuado a los anticonceptivos, en particular en las zonas rurales, constituyen un ámbito de escaso desarrollo, debido fundamentalmente a la dificultad de incorporar cambios culturales en la sociedad chilena.  Los adolescentes son atendidos en los consultorios del Ministerio de Salud sin diferenciación, salvo en aquellos lugares donde se está implementando el Programa de Salud Integral del Adolescente, creado en 1995, el que ha tenido una lenta instalación.  Por otra parte, presiones de los sectores conservadores, político y religioso, han limitado la incorporación de la temática de la sexualidad de mujeres y hombres adolescentes en las políticas públicas.  Una expresión de este punto es la carencia de servicios de salud sexual y reproductiva exclusivos para adolescentes de ambos sexos, con información, educación y acceso a servicios de regulación de la fertilidad.  Respecto a la orientación y educación a los padres, al igual que a la de los propios adolescentes, depende de lo que cada establecimiento educacional esté haciendo en materia de educación sexual.  El año 2001, como una continuación del proyecto de jornadas de conversación de afectividad y sexualidad, JOCAS</w:t>
      </w:r>
      <w:r>
        <w:rPr>
          <w:rStyle w:val="FootnoteReference"/>
          <w:bCs/>
          <w:noProof/>
          <w:color w:val="000000"/>
          <w:szCs w:val="22"/>
        </w:rPr>
        <w:footnoteReference w:id="8"/>
      </w:r>
      <w:r>
        <w:rPr>
          <w:bCs/>
          <w:noProof/>
          <w:color w:val="000000"/>
          <w:szCs w:val="22"/>
        </w:rPr>
        <w:t>, las mismas instituciones participantes -Ministerio de Educación, Ministerio de Salud, Servicio Nacional de la Mujer e Instituto Nacional de la Juventud- formularon una propuesta gubernamental denominada "Hacia una Sexualidad Responsable".  Junto a ello se inició un plan piloto, en 8 comunas de 4 regiones del país, proyecto que se halla en etapa de evaluación, para transferir las experiencias recogidas a las demás comunas del país.</w:t>
      </w:r>
    </w:p>
    <w:p w:rsidR="00000000" w:rsidRDefault="00000000">
      <w:pPr>
        <w:widowControl w:val="0"/>
        <w:tabs>
          <w:tab w:val="left" w:pos="-3828"/>
          <w:tab w:val="left" w:pos="-3686"/>
        </w:tabs>
        <w:spacing w:after="240"/>
        <w:rPr>
          <w:b/>
          <w:iCs/>
          <w:noProof/>
          <w:color w:val="000000"/>
          <w:szCs w:val="22"/>
        </w:rPr>
      </w:pPr>
      <w:r>
        <w:rPr>
          <w:b/>
          <w:iCs/>
          <w:noProof/>
          <w:color w:val="000000"/>
          <w:szCs w:val="22"/>
        </w:rPr>
        <w:t>Párrafo 96.  Informes periódicos - CRC/C/58</w:t>
      </w:r>
    </w:p>
    <w:p w:rsidR="00000000" w:rsidRDefault="00000000">
      <w:pPr>
        <w:widowControl w:val="0"/>
        <w:tabs>
          <w:tab w:val="left" w:pos="-3828"/>
          <w:tab w:val="left" w:pos="-3686"/>
        </w:tabs>
        <w:spacing w:after="240"/>
        <w:rPr>
          <w:bCs/>
          <w:noProof/>
          <w:color w:val="000000"/>
          <w:szCs w:val="22"/>
        </w:rPr>
      </w:pPr>
      <w:r>
        <w:rPr>
          <w:bCs/>
          <w:noProof/>
          <w:color w:val="000000"/>
          <w:szCs w:val="22"/>
        </w:rPr>
        <w:t>161.</w:t>
      </w:r>
      <w:r>
        <w:rPr>
          <w:bCs/>
          <w:noProof/>
          <w:color w:val="000000"/>
          <w:szCs w:val="22"/>
        </w:rPr>
        <w:tab/>
        <w:t>El Gobierno de Chile a través de CONASIDA</w:t>
      </w:r>
      <w:r>
        <w:rPr>
          <w:rStyle w:val="FootnoteReference"/>
          <w:bCs/>
          <w:noProof/>
          <w:color w:val="000000"/>
          <w:szCs w:val="22"/>
        </w:rPr>
        <w:footnoteReference w:id="9"/>
      </w:r>
      <w:r>
        <w:rPr>
          <w:bCs/>
          <w:noProof/>
          <w:color w:val="000000"/>
          <w:szCs w:val="22"/>
        </w:rPr>
        <w:t xml:space="preserve"> promueve y facilita procesos orientados a que la sociedad asuma la prevención y la disminución del impacto biopsicosocial del VIH/SIDA y las enfermedades de transmisión sexual, ETS.</w:t>
      </w:r>
    </w:p>
    <w:p w:rsidR="00000000" w:rsidRDefault="00000000">
      <w:pPr>
        <w:widowControl w:val="0"/>
        <w:tabs>
          <w:tab w:val="left" w:pos="-3828"/>
          <w:tab w:val="left" w:pos="-3686"/>
        </w:tabs>
        <w:spacing w:after="240"/>
        <w:rPr>
          <w:bCs/>
          <w:noProof/>
          <w:color w:val="000000"/>
          <w:szCs w:val="22"/>
        </w:rPr>
      </w:pPr>
      <w:r>
        <w:rPr>
          <w:bCs/>
          <w:noProof/>
          <w:color w:val="000000"/>
          <w:szCs w:val="22"/>
        </w:rPr>
        <w:t>162.</w:t>
      </w:r>
      <w:r>
        <w:rPr>
          <w:bCs/>
          <w:noProof/>
          <w:color w:val="000000"/>
          <w:szCs w:val="22"/>
        </w:rPr>
        <w:tab/>
        <w:t>Se han desarrollado tres niveles de trabajo:</w:t>
      </w:r>
    </w:p>
    <w:p w:rsidR="00000000" w:rsidRDefault="00000000">
      <w:pPr>
        <w:tabs>
          <w:tab w:val="left" w:pos="-1985"/>
          <w:tab w:val="left" w:pos="-1843"/>
        </w:tabs>
        <w:spacing w:after="240"/>
        <w:ind w:left="1134" w:hanging="567"/>
        <w:rPr>
          <w:bCs/>
          <w:noProof/>
          <w:color w:val="000000"/>
          <w:szCs w:val="22"/>
        </w:rPr>
      </w:pPr>
      <w:r>
        <w:rPr>
          <w:bCs/>
          <w:noProof/>
          <w:color w:val="000000"/>
          <w:szCs w:val="22"/>
        </w:rPr>
        <w:t>a)</w:t>
      </w:r>
      <w:r>
        <w:rPr>
          <w:bCs/>
          <w:noProof/>
          <w:color w:val="000000"/>
          <w:szCs w:val="22"/>
        </w:rPr>
        <w:tab/>
      </w:r>
      <w:r>
        <w:rPr>
          <w:bCs/>
          <w:i/>
          <w:iCs/>
          <w:noProof/>
          <w:color w:val="000000"/>
          <w:szCs w:val="22"/>
        </w:rPr>
        <w:t>Nivel individual</w:t>
      </w:r>
      <w:r>
        <w:rPr>
          <w:bCs/>
          <w:noProof/>
          <w:color w:val="000000"/>
          <w:szCs w:val="22"/>
        </w:rPr>
        <w:t>.  Su objetivo es el apoyo personalizado a la gestión del riesgo individual y la entrega de información y orientación personalizada, a través de la consejería directa y telefónica.  En nuestro país funciona desde 1998 una Red Nacional de Consejería, para la Prevención del VIH/SIDA, integrada por CONASIDA, representantes de los Servicios de Salud del país, FONOSIDA, diversas ONG y el Centro de Detección y Consejería de Santiago.</w:t>
      </w:r>
    </w:p>
    <w:p w:rsidR="00000000" w:rsidRDefault="00000000">
      <w:pPr>
        <w:tabs>
          <w:tab w:val="left" w:pos="-1985"/>
          <w:tab w:val="left" w:pos="-1843"/>
        </w:tabs>
        <w:spacing w:after="240"/>
        <w:ind w:left="1134" w:hanging="567"/>
        <w:rPr>
          <w:bCs/>
          <w:noProof/>
          <w:color w:val="000000"/>
          <w:szCs w:val="22"/>
        </w:rPr>
      </w:pPr>
      <w:r>
        <w:rPr>
          <w:bCs/>
          <w:noProof/>
          <w:color w:val="000000"/>
          <w:szCs w:val="22"/>
        </w:rPr>
        <w:t>b)</w:t>
      </w:r>
      <w:r>
        <w:rPr>
          <w:bCs/>
          <w:noProof/>
          <w:color w:val="000000"/>
          <w:szCs w:val="22"/>
        </w:rPr>
        <w:tab/>
      </w:r>
      <w:r>
        <w:rPr>
          <w:bCs/>
          <w:i/>
          <w:iCs/>
          <w:noProof/>
          <w:color w:val="000000"/>
          <w:szCs w:val="22"/>
        </w:rPr>
        <w:t>Nivel grupal comunitario</w:t>
      </w:r>
      <w:r>
        <w:rPr>
          <w:bCs/>
          <w:noProof/>
          <w:color w:val="000000"/>
          <w:szCs w:val="22"/>
        </w:rPr>
        <w:t>.  Tiene como objetivo socializar los aprendizajes entre pares en relación con la prevención y la gestión del riesgo, y promover ambientes sociales fomentadores de la prevención.  En este ámbito se sitúan proyectos con población más vulnerable al riesgo y proyectos sociales intersectoriales.</w:t>
      </w:r>
    </w:p>
    <w:p w:rsidR="00000000" w:rsidRDefault="00000000">
      <w:pPr>
        <w:keepLines/>
        <w:tabs>
          <w:tab w:val="left" w:pos="-1985"/>
          <w:tab w:val="left" w:pos="-1843"/>
        </w:tabs>
        <w:spacing w:after="240"/>
        <w:ind w:left="1134" w:hanging="567"/>
        <w:rPr>
          <w:bCs/>
          <w:noProof/>
          <w:color w:val="000000"/>
          <w:szCs w:val="22"/>
        </w:rPr>
      </w:pPr>
      <w:r>
        <w:rPr>
          <w:bCs/>
          <w:noProof/>
          <w:color w:val="000000"/>
          <w:szCs w:val="22"/>
        </w:rPr>
        <w:t>c)</w:t>
      </w:r>
      <w:r>
        <w:rPr>
          <w:bCs/>
          <w:noProof/>
          <w:color w:val="000000"/>
          <w:szCs w:val="22"/>
        </w:rPr>
        <w:tab/>
      </w:r>
      <w:r>
        <w:rPr>
          <w:bCs/>
          <w:i/>
          <w:iCs/>
          <w:noProof/>
          <w:color w:val="000000"/>
          <w:szCs w:val="22"/>
        </w:rPr>
        <w:t>Nivel masivo</w:t>
      </w:r>
      <w:r>
        <w:rPr>
          <w:bCs/>
          <w:noProof/>
          <w:color w:val="000000"/>
          <w:szCs w:val="22"/>
        </w:rPr>
        <w:t>.  Su objetivo central es mantener el alerta social y la percepción de riesgo de la población.  En este nivel están integradas las campañas de comunicación social, los eventos o actividades dirigidas a un público anónimo y heterogéneo y el trabajo con comunicadores y medios de comunicación social.</w:t>
      </w:r>
    </w:p>
    <w:p w:rsidR="00000000" w:rsidRDefault="00000000">
      <w:pPr>
        <w:widowControl w:val="0"/>
        <w:tabs>
          <w:tab w:val="left" w:pos="-3828"/>
          <w:tab w:val="left" w:pos="-3686"/>
        </w:tabs>
        <w:spacing w:after="240"/>
        <w:rPr>
          <w:bCs/>
          <w:noProof/>
          <w:color w:val="000000"/>
          <w:szCs w:val="22"/>
        </w:rPr>
      </w:pPr>
      <w:r>
        <w:rPr>
          <w:bCs/>
          <w:noProof/>
          <w:color w:val="000000"/>
          <w:szCs w:val="22"/>
        </w:rPr>
        <w:t>163.</w:t>
      </w:r>
      <w:r>
        <w:rPr>
          <w:bCs/>
          <w:noProof/>
          <w:color w:val="000000"/>
          <w:szCs w:val="22"/>
        </w:rPr>
        <w:tab/>
        <w:t>La estrategia de los planes regionales de prevención del VIH/SIDA constituye una acción transversal, que cruza los tres niveles de trabajo al promover el desarrollo de proyectos locales con la participación de diferentes organizaciones gubernamentales y no gubernamentales comprometidas con la prevención del VIH/SIDA.</w:t>
      </w:r>
    </w:p>
    <w:p w:rsidR="00000000" w:rsidRDefault="00000000">
      <w:pPr>
        <w:widowControl w:val="0"/>
        <w:tabs>
          <w:tab w:val="left" w:pos="-3828"/>
          <w:tab w:val="left" w:pos="-3686"/>
        </w:tabs>
        <w:spacing w:after="240"/>
        <w:rPr>
          <w:bCs/>
          <w:noProof/>
          <w:color w:val="000000"/>
          <w:szCs w:val="22"/>
        </w:rPr>
      </w:pPr>
      <w:r>
        <w:rPr>
          <w:bCs/>
          <w:noProof/>
          <w:color w:val="000000"/>
          <w:szCs w:val="22"/>
        </w:rPr>
        <w:t>164.</w:t>
      </w:r>
      <w:r>
        <w:rPr>
          <w:bCs/>
          <w:noProof/>
          <w:color w:val="000000"/>
          <w:szCs w:val="22"/>
        </w:rPr>
        <w:tab/>
        <w:t>Entre estas medidas se pueden señalar:</w:t>
      </w:r>
    </w:p>
    <w:p w:rsidR="00000000" w:rsidRDefault="00000000">
      <w:pPr>
        <w:spacing w:after="240"/>
        <w:ind w:left="1134" w:hanging="567"/>
        <w:rPr>
          <w:bCs/>
          <w:noProof/>
          <w:color w:val="000000"/>
          <w:szCs w:val="22"/>
        </w:rPr>
      </w:pPr>
      <w:r>
        <w:rPr>
          <w:bCs/>
          <w:noProof/>
          <w:color w:val="000000"/>
          <w:szCs w:val="22"/>
        </w:rPr>
        <w:t>a)</w:t>
      </w:r>
      <w:r>
        <w:rPr>
          <w:bCs/>
          <w:noProof/>
          <w:color w:val="000000"/>
          <w:szCs w:val="22"/>
        </w:rPr>
        <w:tab/>
      </w:r>
      <w:r>
        <w:rPr>
          <w:bCs/>
          <w:i/>
          <w:iCs/>
          <w:noProof/>
          <w:color w:val="000000"/>
          <w:szCs w:val="22"/>
        </w:rPr>
        <w:t>Sistema de vigilancia del VIH/SIDA en Chile</w:t>
      </w:r>
      <w:r>
        <w:rPr>
          <w:bCs/>
          <w:noProof/>
          <w:color w:val="000000"/>
          <w:szCs w:val="22"/>
        </w:rPr>
        <w:t>.  Su establecimiento constituye el mecanismo central para evaluar y conocer la tendencia de la epidemia; obtener insumos para la planificación en prevención y atención; para la priorización y focalización de los recursos; y para medir los impactos de los programas implementados.  La notificación obligatoria del VIH/SIDA en Chile que se estableció en 1985, es una de las fuentes que integran el sistema y que permite caracterizar la epidemia chilena.</w:t>
      </w:r>
    </w:p>
    <w:p w:rsidR="00000000" w:rsidRDefault="00000000">
      <w:pPr>
        <w:spacing w:after="240"/>
        <w:ind w:left="1134" w:hanging="567"/>
        <w:rPr>
          <w:bCs/>
          <w:noProof/>
          <w:color w:val="000000"/>
          <w:szCs w:val="22"/>
        </w:rPr>
      </w:pPr>
      <w:r>
        <w:rPr>
          <w:bCs/>
          <w:noProof/>
          <w:color w:val="000000"/>
          <w:szCs w:val="22"/>
        </w:rPr>
        <w:t>b)</w:t>
      </w:r>
      <w:r>
        <w:rPr>
          <w:bCs/>
          <w:noProof/>
          <w:color w:val="000000"/>
          <w:szCs w:val="22"/>
        </w:rPr>
        <w:tab/>
      </w:r>
      <w:r>
        <w:rPr>
          <w:bCs/>
          <w:i/>
          <w:iCs/>
          <w:noProof/>
          <w:color w:val="000000"/>
          <w:szCs w:val="22"/>
        </w:rPr>
        <w:t>Incidencia de SIDA</w:t>
      </w:r>
      <w:r>
        <w:rPr>
          <w:bCs/>
          <w:noProof/>
          <w:color w:val="000000"/>
          <w:szCs w:val="22"/>
        </w:rPr>
        <w:t>.  El primer caso de SIDA en nuestro país fue notificado en 1984; hasta el 31 de diciembre de 2001 se han notificado 4.749 enfermos y 5.276</w:t>
      </w:r>
      <w:r>
        <w:rPr>
          <w:rStyle w:val="FootnoteReference"/>
          <w:bCs/>
          <w:noProof/>
          <w:color w:val="000000"/>
          <w:szCs w:val="22"/>
        </w:rPr>
        <w:footnoteReference w:id="10"/>
      </w:r>
      <w:r>
        <w:rPr>
          <w:bCs/>
          <w:noProof/>
          <w:color w:val="000000"/>
          <w:szCs w:val="22"/>
        </w:rPr>
        <w:t xml:space="preserve"> personas VIH+ asintomáticas en las 13 regiones del país.  Se ha informado el fallecimiento de 3.230 personas.</w:t>
      </w:r>
    </w:p>
    <w:p w:rsidR="00000000" w:rsidRDefault="00000000">
      <w:pPr>
        <w:spacing w:after="240"/>
        <w:ind w:left="1134" w:hanging="567"/>
        <w:rPr>
          <w:bCs/>
          <w:noProof/>
          <w:color w:val="000000"/>
          <w:szCs w:val="22"/>
        </w:rPr>
      </w:pPr>
      <w:r>
        <w:rPr>
          <w:bCs/>
          <w:noProof/>
          <w:color w:val="000000"/>
          <w:szCs w:val="22"/>
        </w:rPr>
        <w:t>c)</w:t>
      </w:r>
      <w:r>
        <w:rPr>
          <w:bCs/>
          <w:noProof/>
          <w:color w:val="000000"/>
          <w:szCs w:val="22"/>
        </w:rPr>
        <w:tab/>
      </w:r>
      <w:r>
        <w:rPr>
          <w:bCs/>
          <w:i/>
          <w:iCs/>
          <w:noProof/>
          <w:color w:val="000000"/>
          <w:szCs w:val="22"/>
        </w:rPr>
        <w:t>La tasa de incidencia anual de SIDA.</w:t>
      </w:r>
      <w:r>
        <w:rPr>
          <w:bCs/>
          <w:noProof/>
          <w:color w:val="000000"/>
          <w:szCs w:val="22"/>
        </w:rPr>
        <w:t xml:space="preserve">  Muestra una tendencia al aumento a través de los años hasta 1998, año en que se observa un descenso de un 12,2% respecto de 1997, que puede atribuirse al impacto de la biterapia implementada en Chile, a partir de 1997.  Este efecto sería transitorio, y en la actualidad se puede asumir que el impacto de la expansión del acceso a triterapia que comenzó en el año 2001, se evidenciará a partir de 2003 con una caída en la curva de incidencia de SIDA.</w:t>
      </w:r>
    </w:p>
    <w:p w:rsidR="00000000" w:rsidRDefault="00000000">
      <w:pPr>
        <w:spacing w:after="240"/>
        <w:ind w:left="1134" w:hanging="567"/>
        <w:rPr>
          <w:bCs/>
          <w:noProof/>
          <w:color w:val="000000"/>
          <w:szCs w:val="22"/>
        </w:rPr>
      </w:pPr>
      <w:r>
        <w:rPr>
          <w:bCs/>
          <w:noProof/>
          <w:color w:val="000000"/>
          <w:szCs w:val="22"/>
        </w:rPr>
        <w:t>d)</w:t>
      </w:r>
      <w:r>
        <w:rPr>
          <w:bCs/>
          <w:noProof/>
          <w:color w:val="000000"/>
          <w:szCs w:val="22"/>
        </w:rPr>
        <w:tab/>
      </w:r>
      <w:r>
        <w:rPr>
          <w:bCs/>
          <w:i/>
          <w:iCs/>
          <w:noProof/>
          <w:color w:val="000000"/>
          <w:szCs w:val="22"/>
        </w:rPr>
        <w:t>La distribución geográfica de los casos de SIDA</w:t>
      </w:r>
      <w:r>
        <w:rPr>
          <w:bCs/>
          <w:noProof/>
          <w:color w:val="000000"/>
          <w:szCs w:val="22"/>
        </w:rPr>
        <w:t>.  Muestra que existen casos en todas las regiones del país, sin embargo, éstos se concentran en las regiones Metropolitana (57,9 por 100.000 habitantes), V de Valparaíso (45,5), I de Tarapacá (38,4) y II de Antofagasta (29,8), la tasa nacional acumulada es de 34,8 por 100.000 habitantes.</w:t>
      </w:r>
    </w:p>
    <w:p w:rsidR="00000000" w:rsidRDefault="00000000">
      <w:pPr>
        <w:spacing w:after="240"/>
        <w:ind w:left="1134" w:hanging="567"/>
        <w:rPr>
          <w:bCs/>
          <w:noProof/>
          <w:color w:val="000000"/>
          <w:szCs w:val="22"/>
        </w:rPr>
      </w:pPr>
      <w:r>
        <w:rPr>
          <w:bCs/>
          <w:noProof/>
          <w:color w:val="000000"/>
          <w:szCs w:val="22"/>
        </w:rPr>
        <w:t>e)</w:t>
      </w:r>
      <w:r>
        <w:rPr>
          <w:bCs/>
          <w:noProof/>
          <w:color w:val="000000"/>
          <w:szCs w:val="22"/>
        </w:rPr>
        <w:tab/>
      </w:r>
      <w:r>
        <w:rPr>
          <w:bCs/>
          <w:i/>
          <w:iCs/>
          <w:noProof/>
          <w:color w:val="000000"/>
          <w:szCs w:val="22"/>
        </w:rPr>
        <w:t>La distribución por sexo en casos de SIDA</w:t>
      </w:r>
      <w:r>
        <w:rPr>
          <w:bCs/>
          <w:noProof/>
          <w:color w:val="000000"/>
          <w:szCs w:val="22"/>
        </w:rPr>
        <w:t xml:space="preserve">.  Indica que desde el inicio de la epidemia la mayor proporción está centrada en los hombres que constituyen el 89,1% de los casos SIDA; sólo el 10,9% son mujeres.  Sin embargo, existe un crecimiento relativo mayor de casos de SIDA en mujeres con relación a los hombres durante los últimos cinco años, incluyendo todos los mecanismos de transmisión.  </w:t>
      </w:r>
    </w:p>
    <w:p w:rsidR="00000000" w:rsidRDefault="00000000">
      <w:pPr>
        <w:spacing w:after="240"/>
        <w:ind w:left="1134" w:hanging="567"/>
        <w:rPr>
          <w:bCs/>
          <w:noProof/>
          <w:color w:val="000000"/>
          <w:szCs w:val="22"/>
        </w:rPr>
      </w:pPr>
      <w:r>
        <w:rPr>
          <w:bCs/>
          <w:noProof/>
          <w:color w:val="000000"/>
          <w:szCs w:val="22"/>
        </w:rPr>
        <w:t>f)</w:t>
      </w:r>
      <w:r>
        <w:rPr>
          <w:bCs/>
          <w:noProof/>
          <w:color w:val="000000"/>
          <w:szCs w:val="22"/>
        </w:rPr>
        <w:tab/>
      </w:r>
      <w:r>
        <w:rPr>
          <w:bCs/>
          <w:i/>
          <w:iCs/>
          <w:noProof/>
          <w:color w:val="000000"/>
          <w:szCs w:val="22"/>
        </w:rPr>
        <w:t>La distribución por edad</w:t>
      </w:r>
      <w:r>
        <w:rPr>
          <w:bCs/>
          <w:noProof/>
          <w:color w:val="000000"/>
          <w:szCs w:val="22"/>
        </w:rPr>
        <w:t xml:space="preserve">.  El diagnóstico muestra que el principal grupo de edad afectado tiene entre 20 y 49 años y concentra el 84,6% de los casos.  Los menores de 20 años representan el 2,2% y los mayores de 50 el 13,2%.  La tendencia de la edad se evalúa a través del seguimiento en el tiempo de la edad al momento del diagnóstico.  Los resultados indican que el diagnóstico de infección VIH y/o SIDA disminuye progresivamente en los jóvenes entre los 15 y 24 años.  En los adultos jóvenes entre 25 y 34 años, se produce una disminución significativa a través del tiempo, siendo inversa la situación en el caso de los adultos (entre 35 y 49 años) en que los casos aumentan.  Dentro de las razones que podrían explicar lo descrito, está el hecho que los jóvenes en diversos estudios demuestran tener mayor adopción de conductas preventivas, siendo más proclives a la prevención en comparación a los adultos.  Otra razón puede atribuirse a la terapias antiretrovirales que evitan la evolución a SIDA, alargando el período asintomático de la infección y retrasando la aparición de enfermedades marcadoras a edades mayores.  </w:t>
      </w:r>
    </w:p>
    <w:p w:rsidR="00000000" w:rsidRDefault="00000000">
      <w:pPr>
        <w:spacing w:after="240"/>
        <w:ind w:left="1134" w:hanging="567"/>
        <w:rPr>
          <w:bCs/>
          <w:noProof/>
          <w:color w:val="000000"/>
          <w:szCs w:val="22"/>
        </w:rPr>
      </w:pPr>
      <w:r>
        <w:rPr>
          <w:bCs/>
          <w:noProof/>
          <w:color w:val="000000"/>
          <w:szCs w:val="22"/>
        </w:rPr>
        <w:t>g)</w:t>
      </w:r>
      <w:r>
        <w:rPr>
          <w:bCs/>
          <w:noProof/>
          <w:color w:val="000000"/>
          <w:szCs w:val="22"/>
        </w:rPr>
        <w:tab/>
      </w:r>
      <w:r>
        <w:rPr>
          <w:bCs/>
          <w:i/>
          <w:iCs/>
          <w:noProof/>
          <w:color w:val="000000"/>
          <w:szCs w:val="22"/>
        </w:rPr>
        <w:t>La categoría de exposición declarada por las personas notificadas</w:t>
      </w:r>
      <w:r>
        <w:rPr>
          <w:bCs/>
          <w:noProof/>
          <w:color w:val="000000"/>
          <w:szCs w:val="22"/>
        </w:rPr>
        <w:t xml:space="preserve">.  Muestra que la </w:t>
      </w:r>
      <w:r>
        <w:rPr>
          <w:bCs/>
          <w:i/>
          <w:iCs/>
          <w:noProof/>
          <w:color w:val="000000"/>
          <w:szCs w:val="22"/>
        </w:rPr>
        <w:t>vía sexual</w:t>
      </w:r>
      <w:r>
        <w:rPr>
          <w:bCs/>
          <w:noProof/>
          <w:color w:val="000000"/>
          <w:szCs w:val="22"/>
        </w:rPr>
        <w:t xml:space="preserve"> ha sido la principal categoría, tendiendo siempre a crecer, alcanzando al 2001 a 93,9% de los casos totales.  El análisis de tendencia en el tiempo muestra que el mayor número de casos sigue concentrándose en la exposición homobisexual.  Sin embargo se observa un crecimiento de la transmisión heterosexual tanto en mujeres como en hombres.  En relación a la </w:t>
      </w:r>
      <w:r>
        <w:rPr>
          <w:bCs/>
          <w:i/>
          <w:iCs/>
          <w:noProof/>
          <w:color w:val="000000"/>
          <w:szCs w:val="22"/>
        </w:rPr>
        <w:t>vía sanguínea</w:t>
      </w:r>
      <w:r>
        <w:rPr>
          <w:bCs/>
          <w:noProof/>
          <w:color w:val="000000"/>
          <w:szCs w:val="22"/>
        </w:rPr>
        <w:t>, ésta constituye el 4,6% del total de casos y su proporción tiende a disminuir.  El análisis de la transmisión sanguínea a través del tiempo muestra que la infección adquirida por prácticas asociadas al uso de drogas inyectables es hoy la fundamental dentro de esta vía de transmisión.  La detección de anticuerpos anti</w:t>
      </w:r>
      <w:r>
        <w:rPr>
          <w:bCs/>
          <w:noProof/>
          <w:color w:val="000000"/>
          <w:szCs w:val="22"/>
        </w:rPr>
        <w:noBreakHyphen/>
        <w:t xml:space="preserve">VIH se implementó en los bancos de sangre a partir del segundo semestre de 1987, frenando la exposición por transfusiones de sangre y otros productos hemoderivados.  La </w:t>
      </w:r>
      <w:r>
        <w:rPr>
          <w:bCs/>
          <w:i/>
          <w:iCs/>
          <w:noProof/>
          <w:color w:val="000000"/>
          <w:szCs w:val="22"/>
        </w:rPr>
        <w:t>transmisión vertical</w:t>
      </w:r>
      <w:r>
        <w:rPr>
          <w:bCs/>
          <w:noProof/>
          <w:color w:val="000000"/>
          <w:szCs w:val="22"/>
        </w:rPr>
        <w:t xml:space="preserve"> corresponde al 1,5% dentro del total de casos.  En el análisis de la transmisión madre a hijo se excluyen los casos sin diagnóstico definitivo por pérdida de seguimiento que corresponde a 27 niños y niñas.  Entre los que tienen diagnóstico la transmisión vertical acumulada desde el inicio de la epidemia alcanza a 27,3%.  </w:t>
      </w:r>
    </w:p>
    <w:p w:rsidR="00000000" w:rsidRDefault="00000000">
      <w:pPr>
        <w:spacing w:after="240"/>
        <w:ind w:left="1134" w:hanging="567"/>
        <w:rPr>
          <w:bCs/>
          <w:noProof/>
          <w:color w:val="000000"/>
          <w:szCs w:val="22"/>
        </w:rPr>
      </w:pPr>
      <w:r>
        <w:rPr>
          <w:bCs/>
          <w:noProof/>
          <w:color w:val="000000"/>
          <w:szCs w:val="22"/>
        </w:rPr>
        <w:t>h)</w:t>
      </w:r>
      <w:r>
        <w:rPr>
          <w:bCs/>
          <w:noProof/>
          <w:color w:val="000000"/>
          <w:szCs w:val="22"/>
        </w:rPr>
        <w:tab/>
      </w:r>
      <w:r>
        <w:rPr>
          <w:bCs/>
          <w:i/>
          <w:iCs/>
          <w:noProof/>
          <w:color w:val="000000"/>
          <w:szCs w:val="22"/>
        </w:rPr>
        <w:t>Estrategias implementadas para disminuir la transmisión vertical del VIH</w:t>
      </w:r>
      <w:r>
        <w:rPr>
          <w:bCs/>
          <w:noProof/>
          <w:color w:val="000000"/>
          <w:szCs w:val="22"/>
        </w:rPr>
        <w:t>.  Desde 1996 se usa en Chile el protocolo de prevención de la transmisión vertical del VIH ACTG 076.  Su evaluación en 1999, mostró una alta eficacia en la disminución de la transmisión que alcanzó globalmente a 5,6%.  En los casos con protocolo completo, incluyendo cesárea, llegó al 2%.  El protocolo de prevención de la transmisión vertical considera la suspensión de la lactancia materna y su reemplazo por leche maternizada durante 6 meses para los niños y niñas beneficiarios del sistema público de salud.  Este protocolo se encuentra disponible, en forma gratuita, para el 100% de las mujeres que lo requieren tanto en el sector público como en el sector privado de salud.  Durante el año 2001, en Chile se trataron 72 mujeres con este protocolo terapéutico.  De acuerdo a la legislación chilena, el examen se ofrece a las embarazadas con consejería y consentimiento informado explícito.  La Ley N° 19.779 establece que el examen para detectar el virus de inmunodeficiencia humana será siempre confidencial y voluntario, debiendo constar por escrito el consentimiento del interesado o de su representante legal.</w:t>
      </w:r>
    </w:p>
    <w:p w:rsidR="00000000" w:rsidRDefault="00000000">
      <w:pPr>
        <w:spacing w:after="240"/>
        <w:ind w:left="1134" w:hanging="567"/>
        <w:rPr>
          <w:bCs/>
          <w:noProof/>
          <w:color w:val="000000"/>
          <w:szCs w:val="22"/>
        </w:rPr>
      </w:pPr>
      <w:r>
        <w:rPr>
          <w:bCs/>
          <w:noProof/>
          <w:color w:val="000000"/>
          <w:szCs w:val="22"/>
        </w:rPr>
        <w:t>i)</w:t>
      </w:r>
      <w:r>
        <w:rPr>
          <w:bCs/>
          <w:noProof/>
          <w:color w:val="000000"/>
          <w:szCs w:val="22"/>
        </w:rPr>
        <w:tab/>
      </w:r>
      <w:r>
        <w:rPr>
          <w:bCs/>
          <w:i/>
          <w:iCs/>
          <w:noProof/>
          <w:color w:val="000000"/>
          <w:szCs w:val="22"/>
        </w:rPr>
        <w:t xml:space="preserve">Los objetivos generales </w:t>
      </w:r>
      <w:r>
        <w:rPr>
          <w:bCs/>
          <w:noProof/>
          <w:color w:val="000000"/>
          <w:szCs w:val="22"/>
        </w:rPr>
        <w:t>de</w:t>
      </w:r>
      <w:r>
        <w:rPr>
          <w:bCs/>
          <w:i/>
          <w:iCs/>
          <w:noProof/>
          <w:color w:val="000000"/>
          <w:szCs w:val="22"/>
        </w:rPr>
        <w:t xml:space="preserve"> la atención integral a personas que viven con el VIH (PVVIH), son</w:t>
      </w:r>
      <w:r>
        <w:rPr>
          <w:bCs/>
          <w:noProof/>
          <w:color w:val="000000"/>
          <w:szCs w:val="22"/>
        </w:rPr>
        <w:t xml:space="preserve">:  </w:t>
      </w:r>
    </w:p>
    <w:p w:rsidR="00000000" w:rsidRDefault="00000000">
      <w:pPr>
        <w:tabs>
          <w:tab w:val="left" w:pos="-1985"/>
          <w:tab w:val="left" w:pos="-1843"/>
          <w:tab w:val="left" w:pos="0"/>
        </w:tabs>
        <w:spacing w:after="240"/>
        <w:ind w:left="1491" w:hanging="357"/>
        <w:rPr>
          <w:bCs/>
          <w:noProof/>
          <w:color w:val="000000"/>
          <w:szCs w:val="22"/>
        </w:rPr>
      </w:pPr>
      <w:r>
        <w:rPr>
          <w:bCs/>
          <w:noProof/>
          <w:color w:val="000000"/>
          <w:szCs w:val="22"/>
        </w:rPr>
        <w:t>-</w:t>
      </w:r>
      <w:r>
        <w:rPr>
          <w:bCs/>
          <w:noProof/>
          <w:color w:val="000000"/>
          <w:szCs w:val="22"/>
        </w:rPr>
        <w:tab/>
        <w:t>Disminuir la transmisión del VIH/SIDA, ETS y la discriminación a las personas que viven con VIH (PVVIH);</w:t>
      </w:r>
    </w:p>
    <w:p w:rsidR="00000000" w:rsidRDefault="00000000">
      <w:pPr>
        <w:tabs>
          <w:tab w:val="left" w:pos="-1985"/>
          <w:tab w:val="left" w:pos="-1843"/>
          <w:tab w:val="left" w:pos="0"/>
        </w:tabs>
        <w:spacing w:after="240"/>
        <w:ind w:left="1491" w:hanging="357"/>
        <w:rPr>
          <w:bCs/>
          <w:noProof/>
          <w:color w:val="000000"/>
          <w:szCs w:val="22"/>
        </w:rPr>
      </w:pPr>
      <w:r>
        <w:rPr>
          <w:bCs/>
          <w:noProof/>
          <w:color w:val="000000"/>
          <w:szCs w:val="22"/>
        </w:rPr>
        <w:t>-</w:t>
      </w:r>
      <w:r>
        <w:rPr>
          <w:bCs/>
          <w:noProof/>
          <w:color w:val="000000"/>
          <w:szCs w:val="22"/>
        </w:rPr>
        <w:tab/>
        <w:t>Mejorar la calidad, oportunidad y cobertura de atención de salud de las PVVIH.</w:t>
      </w:r>
    </w:p>
    <w:p w:rsidR="00000000" w:rsidRDefault="00000000">
      <w:pPr>
        <w:spacing w:after="240"/>
        <w:ind w:left="1134" w:hanging="567"/>
        <w:rPr>
          <w:bCs/>
          <w:noProof/>
          <w:color w:val="000000"/>
          <w:szCs w:val="22"/>
        </w:rPr>
      </w:pPr>
      <w:r>
        <w:rPr>
          <w:bCs/>
          <w:noProof/>
          <w:color w:val="000000"/>
          <w:szCs w:val="22"/>
        </w:rPr>
        <w:t>j)</w:t>
      </w:r>
      <w:r>
        <w:rPr>
          <w:bCs/>
          <w:noProof/>
          <w:color w:val="000000"/>
          <w:szCs w:val="22"/>
        </w:rPr>
        <w:tab/>
      </w:r>
      <w:r>
        <w:rPr>
          <w:bCs/>
          <w:i/>
          <w:iCs/>
          <w:noProof/>
          <w:color w:val="000000"/>
          <w:szCs w:val="22"/>
        </w:rPr>
        <w:t>Estrategias para la atención integral personas que viven con el VIH (PVVIH):</w:t>
      </w:r>
    </w:p>
    <w:p w:rsidR="00000000" w:rsidRDefault="00000000">
      <w:pPr>
        <w:tabs>
          <w:tab w:val="left" w:pos="-1985"/>
          <w:tab w:val="left" w:pos="-1843"/>
          <w:tab w:val="left" w:pos="0"/>
        </w:tabs>
        <w:spacing w:after="240"/>
        <w:ind w:left="1491" w:hanging="357"/>
        <w:rPr>
          <w:bCs/>
          <w:noProof/>
          <w:color w:val="000000"/>
          <w:szCs w:val="22"/>
        </w:rPr>
      </w:pPr>
      <w:r>
        <w:rPr>
          <w:bCs/>
          <w:noProof/>
          <w:color w:val="000000"/>
          <w:szCs w:val="22"/>
        </w:rPr>
        <w:t>-</w:t>
      </w:r>
      <w:r>
        <w:rPr>
          <w:bCs/>
          <w:noProof/>
          <w:color w:val="000000"/>
          <w:szCs w:val="22"/>
        </w:rPr>
        <w:tab/>
        <w:t>Prevención de la transmisión vertical (de madre a hijo/a) del VIH y las ETS;</w:t>
      </w:r>
    </w:p>
    <w:p w:rsidR="00000000" w:rsidRDefault="00000000">
      <w:pPr>
        <w:tabs>
          <w:tab w:val="left" w:pos="-1985"/>
          <w:tab w:val="left" w:pos="-1843"/>
          <w:tab w:val="left" w:pos="0"/>
        </w:tabs>
        <w:spacing w:after="240"/>
        <w:ind w:left="1491" w:hanging="357"/>
        <w:rPr>
          <w:bCs/>
          <w:noProof/>
          <w:color w:val="000000"/>
          <w:szCs w:val="22"/>
        </w:rPr>
      </w:pPr>
      <w:r>
        <w:rPr>
          <w:bCs/>
          <w:noProof/>
          <w:color w:val="000000"/>
          <w:szCs w:val="22"/>
        </w:rPr>
        <w:t>-</w:t>
      </w:r>
      <w:r>
        <w:rPr>
          <w:bCs/>
          <w:noProof/>
          <w:color w:val="000000"/>
          <w:szCs w:val="22"/>
        </w:rPr>
        <w:tab/>
        <w:t>Atención profesional en salud en centros dependientes de los servicios de salud pública;</w:t>
      </w:r>
    </w:p>
    <w:p w:rsidR="00000000" w:rsidRDefault="00000000">
      <w:pPr>
        <w:tabs>
          <w:tab w:val="left" w:pos="-1985"/>
          <w:tab w:val="left" w:pos="-1843"/>
          <w:tab w:val="left" w:pos="0"/>
        </w:tabs>
        <w:spacing w:after="240"/>
        <w:ind w:left="1491" w:hanging="357"/>
        <w:rPr>
          <w:bCs/>
          <w:noProof/>
          <w:color w:val="000000"/>
          <w:szCs w:val="22"/>
        </w:rPr>
      </w:pPr>
      <w:r>
        <w:rPr>
          <w:bCs/>
          <w:noProof/>
          <w:color w:val="000000"/>
          <w:szCs w:val="22"/>
        </w:rPr>
        <w:t>-</w:t>
      </w:r>
      <w:r>
        <w:rPr>
          <w:bCs/>
          <w:noProof/>
          <w:color w:val="000000"/>
          <w:szCs w:val="22"/>
        </w:rPr>
        <w:tab/>
        <w:t>Evaluación periódica de la situación inmunológica y virológica;</w:t>
      </w:r>
    </w:p>
    <w:p w:rsidR="00000000" w:rsidRDefault="00000000">
      <w:pPr>
        <w:tabs>
          <w:tab w:val="left" w:pos="-1985"/>
          <w:tab w:val="left" w:pos="-1843"/>
          <w:tab w:val="left" w:pos="0"/>
        </w:tabs>
        <w:spacing w:after="240"/>
        <w:ind w:left="1491" w:hanging="357"/>
        <w:rPr>
          <w:bCs/>
          <w:noProof/>
          <w:color w:val="000000"/>
          <w:szCs w:val="22"/>
        </w:rPr>
      </w:pPr>
      <w:r>
        <w:rPr>
          <w:bCs/>
          <w:noProof/>
          <w:color w:val="000000"/>
          <w:szCs w:val="22"/>
        </w:rPr>
        <w:t>-</w:t>
      </w:r>
      <w:r>
        <w:rPr>
          <w:bCs/>
          <w:noProof/>
          <w:color w:val="000000"/>
          <w:szCs w:val="22"/>
        </w:rPr>
        <w:tab/>
        <w:t>Tratamientos antirretrovirales, según disponibilidad y protocolo técnico actualizado;</w:t>
      </w:r>
    </w:p>
    <w:p w:rsidR="00000000" w:rsidRDefault="00000000">
      <w:pPr>
        <w:tabs>
          <w:tab w:val="left" w:pos="-1985"/>
          <w:tab w:val="left" w:pos="-1843"/>
          <w:tab w:val="left" w:pos="0"/>
        </w:tabs>
        <w:spacing w:after="240"/>
        <w:ind w:left="1491" w:hanging="357"/>
        <w:rPr>
          <w:bCs/>
          <w:noProof/>
          <w:color w:val="000000"/>
          <w:szCs w:val="22"/>
        </w:rPr>
      </w:pPr>
      <w:r>
        <w:rPr>
          <w:bCs/>
          <w:noProof/>
          <w:color w:val="000000"/>
          <w:szCs w:val="22"/>
        </w:rPr>
        <w:t>-</w:t>
      </w:r>
      <w:r>
        <w:rPr>
          <w:bCs/>
          <w:noProof/>
          <w:color w:val="000000"/>
          <w:szCs w:val="22"/>
        </w:rPr>
        <w:tab/>
        <w:t>Prevención y tratamiento de infecciones oportunistas;</w:t>
      </w:r>
    </w:p>
    <w:p w:rsidR="00000000" w:rsidRDefault="00000000">
      <w:pPr>
        <w:tabs>
          <w:tab w:val="left" w:pos="-1985"/>
          <w:tab w:val="left" w:pos="-1843"/>
          <w:tab w:val="left" w:pos="0"/>
        </w:tabs>
        <w:spacing w:after="240"/>
        <w:ind w:left="1491" w:hanging="357"/>
        <w:rPr>
          <w:bCs/>
          <w:noProof/>
          <w:color w:val="000000"/>
          <w:szCs w:val="22"/>
        </w:rPr>
      </w:pPr>
      <w:r>
        <w:rPr>
          <w:bCs/>
          <w:noProof/>
          <w:color w:val="000000"/>
          <w:szCs w:val="22"/>
        </w:rPr>
        <w:t>-</w:t>
      </w:r>
      <w:r>
        <w:rPr>
          <w:bCs/>
          <w:noProof/>
          <w:color w:val="000000"/>
          <w:szCs w:val="22"/>
        </w:rPr>
        <w:tab/>
        <w:t>Apoyo a la adherencia a tratamientos y controles clínicos;</w:t>
      </w:r>
    </w:p>
    <w:p w:rsidR="00000000" w:rsidRDefault="00000000">
      <w:pPr>
        <w:tabs>
          <w:tab w:val="left" w:pos="-1985"/>
          <w:tab w:val="left" w:pos="-1843"/>
          <w:tab w:val="left" w:pos="0"/>
        </w:tabs>
        <w:spacing w:after="240"/>
        <w:ind w:left="1491" w:hanging="357"/>
        <w:rPr>
          <w:bCs/>
          <w:noProof/>
          <w:color w:val="000000"/>
          <w:szCs w:val="22"/>
        </w:rPr>
      </w:pPr>
      <w:r>
        <w:rPr>
          <w:bCs/>
          <w:noProof/>
          <w:color w:val="000000"/>
          <w:szCs w:val="22"/>
        </w:rPr>
        <w:t>-</w:t>
      </w:r>
      <w:r>
        <w:rPr>
          <w:bCs/>
          <w:noProof/>
          <w:color w:val="000000"/>
          <w:szCs w:val="22"/>
        </w:rPr>
        <w:tab/>
        <w:t>Apoyo psicosocial;</w:t>
      </w:r>
    </w:p>
    <w:p w:rsidR="00000000" w:rsidRDefault="00000000">
      <w:pPr>
        <w:tabs>
          <w:tab w:val="left" w:pos="-1985"/>
          <w:tab w:val="left" w:pos="-1843"/>
          <w:tab w:val="left" w:pos="0"/>
        </w:tabs>
        <w:spacing w:after="240"/>
        <w:ind w:left="1491" w:hanging="357"/>
        <w:rPr>
          <w:bCs/>
          <w:noProof/>
          <w:color w:val="000000"/>
          <w:szCs w:val="22"/>
        </w:rPr>
      </w:pPr>
      <w:r>
        <w:rPr>
          <w:bCs/>
          <w:noProof/>
          <w:color w:val="000000"/>
          <w:szCs w:val="22"/>
        </w:rPr>
        <w:t>-</w:t>
      </w:r>
      <w:r>
        <w:rPr>
          <w:bCs/>
          <w:noProof/>
          <w:color w:val="000000"/>
          <w:szCs w:val="22"/>
        </w:rPr>
        <w:tab/>
        <w:t>Fomento de la participación social de las PVVIH.</w:t>
      </w:r>
    </w:p>
    <w:p w:rsidR="00000000" w:rsidRDefault="00000000">
      <w:pPr>
        <w:spacing w:after="240"/>
        <w:ind w:left="1134" w:hanging="567"/>
        <w:rPr>
          <w:bCs/>
          <w:noProof/>
          <w:color w:val="000000"/>
          <w:szCs w:val="22"/>
        </w:rPr>
      </w:pPr>
      <w:r>
        <w:rPr>
          <w:bCs/>
          <w:noProof/>
          <w:color w:val="000000"/>
          <w:szCs w:val="22"/>
        </w:rPr>
        <w:t>k)</w:t>
      </w:r>
      <w:r>
        <w:rPr>
          <w:bCs/>
          <w:noProof/>
          <w:color w:val="000000"/>
          <w:szCs w:val="22"/>
        </w:rPr>
        <w:tab/>
      </w:r>
      <w:r>
        <w:rPr>
          <w:bCs/>
          <w:i/>
          <w:iCs/>
          <w:noProof/>
          <w:color w:val="000000"/>
          <w:szCs w:val="22"/>
        </w:rPr>
        <w:t>Niños y niñas que viven con VIH</w:t>
      </w:r>
      <w:r>
        <w:rPr>
          <w:bCs/>
          <w:noProof/>
          <w:color w:val="000000"/>
          <w:szCs w:val="22"/>
        </w:rPr>
        <w:t>.  El 100% son beneficiarios del sistema de salud pública en nuestro país y tienen acceso gratuito a las terapias requeridas y establecidas en el protocolo de atención a niños y niñas que viven con VIH.  Incluye zonas urbanas y rurales.  Paralelamente se garantiza un monitoreo periódico de estas terapias a través de exámenes de recuento de linfocitos CD4, carga viral y genotipificación cuando hay fracaso.  Al 31 de enero de 2003 el número de niños y niñas que viven con VIH que se encontraban en tratamiento en algún centro de salud pública del país eran 118 en total.</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jc w:val="center"/>
        <w:rPr>
          <w:b/>
          <w:noProof/>
          <w:szCs w:val="22"/>
        </w:rPr>
      </w:pPr>
      <w:r>
        <w:rPr>
          <w:b/>
          <w:noProof/>
          <w:szCs w:val="22"/>
        </w:rPr>
        <w:t>D.  El nivel de vida (párrafos 1 a 3 del artículo 27)</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outlineLvl w:val="0"/>
        <w:rPr>
          <w:bCs/>
          <w:i/>
          <w:noProof/>
          <w:color w:val="000000"/>
          <w:szCs w:val="22"/>
        </w:rPr>
      </w:pPr>
      <w:r>
        <w:rPr>
          <w:b/>
          <w:noProof/>
          <w:color w:val="000000"/>
          <w:szCs w:val="22"/>
        </w:rPr>
        <w:t>Párrafo 103.  Informes periódicos - CRC/C/58</w:t>
      </w:r>
    </w:p>
    <w:p w:rsidR="00000000" w:rsidRDefault="00000000">
      <w:pPr>
        <w:widowControl w:val="0"/>
        <w:tabs>
          <w:tab w:val="left" w:pos="-3828"/>
          <w:tab w:val="left" w:pos="-3686"/>
        </w:tabs>
        <w:spacing w:after="240"/>
        <w:rPr>
          <w:bCs/>
          <w:noProof/>
          <w:color w:val="000000"/>
          <w:szCs w:val="22"/>
        </w:rPr>
      </w:pPr>
      <w:r>
        <w:rPr>
          <w:bCs/>
          <w:noProof/>
          <w:color w:val="000000"/>
          <w:szCs w:val="22"/>
        </w:rPr>
        <w:t>165.</w:t>
      </w:r>
      <w:r>
        <w:rPr>
          <w:bCs/>
          <w:noProof/>
          <w:color w:val="000000"/>
          <w:szCs w:val="22"/>
        </w:rPr>
        <w:tab/>
        <w:t>La principal iniciativa del Gobierno en materia social es el sistema de protección social Chile Solidario, que garantiza a la población de mayor vulnerabilidad del país el derecho a las prestaciones sociales mínimas y apoya a las familias para su desarrollo integral.  Al respecto véase la respuesta al párrafo 36 del documento CRC/C/58 en el presente informe.</w:t>
      </w:r>
    </w:p>
    <w:p w:rsidR="00000000" w:rsidRDefault="00000000">
      <w:pPr>
        <w:widowControl w:val="0"/>
        <w:tabs>
          <w:tab w:val="left" w:pos="-3828"/>
          <w:tab w:val="left" w:pos="-3686"/>
        </w:tabs>
        <w:spacing w:after="240"/>
        <w:rPr>
          <w:bCs/>
          <w:noProof/>
          <w:color w:val="000000"/>
          <w:szCs w:val="22"/>
        </w:rPr>
      </w:pPr>
      <w:r>
        <w:rPr>
          <w:bCs/>
          <w:noProof/>
          <w:color w:val="000000"/>
          <w:szCs w:val="22"/>
        </w:rPr>
        <w:t>166.</w:t>
      </w:r>
      <w:r>
        <w:rPr>
          <w:bCs/>
          <w:noProof/>
          <w:color w:val="000000"/>
          <w:szCs w:val="22"/>
        </w:rPr>
        <w:tab/>
        <w:t>Los principales instrumentos de medición de indicadores socioeconómicos fueron detallados en el segundo informe.</w:t>
      </w:r>
    </w:p>
    <w:p w:rsidR="00000000" w:rsidRDefault="00000000">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outlineLvl w:val="0"/>
        <w:rPr>
          <w:b/>
          <w:iCs/>
          <w:noProof/>
          <w:color w:val="000000"/>
          <w:szCs w:val="22"/>
        </w:rPr>
      </w:pPr>
      <w:r>
        <w:rPr>
          <w:b/>
          <w:iCs/>
          <w:noProof/>
          <w:color w:val="000000"/>
          <w:szCs w:val="22"/>
        </w:rPr>
        <w:t>Párrafo 104.  Informes periódicos - CRC/C/58</w:t>
      </w:r>
    </w:p>
    <w:p w:rsidR="00000000" w:rsidRDefault="00000000">
      <w:pPr>
        <w:keepNext/>
        <w:keepLines/>
        <w:tabs>
          <w:tab w:val="left" w:pos="-3828"/>
          <w:tab w:val="left" w:pos="-3686"/>
        </w:tabs>
        <w:spacing w:after="480"/>
        <w:rPr>
          <w:bCs/>
          <w:noProof/>
          <w:color w:val="000000"/>
          <w:szCs w:val="22"/>
        </w:rPr>
      </w:pPr>
      <w:r>
        <w:rPr>
          <w:bCs/>
          <w:noProof/>
          <w:color w:val="000000"/>
          <w:szCs w:val="22"/>
        </w:rPr>
        <w:t>167.</w:t>
      </w:r>
      <w:r>
        <w:rPr>
          <w:bCs/>
          <w:noProof/>
          <w:color w:val="000000"/>
          <w:szCs w:val="22"/>
        </w:rPr>
        <w:tab/>
        <w:t>En el caso del SENAME se estima como un logro lo desarrollado en el sistema residencial para niños y niñas privados de su medio familiar, en lo que se refiere a la reducción de la masividad de la atención y la paulatina incorporación por parte de las instituciones que administran estos hogares de políticas de adecuación de su infraestructura con el fin de propiciar condiciones de vida más similares a la vida familiar.  En el año 2002, el 77,08% de los centros fueron reconvertidos a establecimientos residenciales con cobertura de menos de 60 plazas.  Por otra parte, cabe señalar que el sistema residencial se encuentra en proceso de racionalización de su cobertura en pro de la intervención ambulatoria.</w:t>
      </w:r>
    </w:p>
    <w:p w:rsidR="00000000" w:rsidRDefault="00000000">
      <w:pPr>
        <w:spacing w:after="240"/>
        <w:ind w:left="284" w:hanging="284"/>
        <w:jc w:val="center"/>
        <w:rPr>
          <w:b/>
          <w:noProof/>
          <w:color w:val="000000"/>
          <w:szCs w:val="22"/>
        </w:rPr>
      </w:pPr>
      <w:r>
        <w:rPr>
          <w:b/>
          <w:noProof/>
          <w:color w:val="000000"/>
          <w:szCs w:val="22"/>
        </w:rPr>
        <w:t>VII.  EDUCACIÓN, ESPARCIMIENTO Y ACTIVID</w:t>
      </w:r>
      <w:r>
        <w:rPr>
          <w:bCs/>
          <w:noProof/>
          <w:color w:val="000000"/>
          <w:szCs w:val="22"/>
        </w:rPr>
        <w:t>A</w:t>
      </w:r>
      <w:r>
        <w:rPr>
          <w:b/>
          <w:noProof/>
          <w:color w:val="000000"/>
          <w:szCs w:val="22"/>
        </w:rPr>
        <w:t>DES</w:t>
      </w:r>
      <w:r>
        <w:rPr>
          <w:b/>
          <w:noProof/>
          <w:color w:val="000000"/>
          <w:szCs w:val="22"/>
        </w:rPr>
        <w:br/>
        <w:t>CULTURALES (ARTÍCULOS 28, 29 Y 31)</w:t>
      </w:r>
    </w:p>
    <w:p w:rsidR="00000000" w:rsidRDefault="00000000">
      <w:pPr>
        <w:widowControl w:val="0"/>
        <w:tabs>
          <w:tab w:val="left" w:pos="-3828"/>
          <w:tab w:val="left" w:pos="-3686"/>
        </w:tabs>
        <w:spacing w:after="240"/>
        <w:jc w:val="center"/>
        <w:rPr>
          <w:b/>
          <w:noProof/>
          <w:color w:val="000000"/>
          <w:szCs w:val="22"/>
        </w:rPr>
      </w:pPr>
      <w:r>
        <w:rPr>
          <w:b/>
          <w:noProof/>
          <w:color w:val="000000"/>
          <w:szCs w:val="22"/>
        </w:rPr>
        <w:t>A.  La educación, incluidas la formación y orientación profesionales</w:t>
      </w:r>
    </w:p>
    <w:p w:rsidR="00000000" w:rsidRDefault="00000000">
      <w:pPr>
        <w:widowControl w:val="0"/>
        <w:tabs>
          <w:tab w:val="left" w:pos="-3828"/>
          <w:tab w:val="left" w:pos="-3686"/>
        </w:tabs>
        <w:spacing w:after="240"/>
        <w:rPr>
          <w:b/>
          <w:iCs/>
          <w:noProof/>
          <w:color w:val="000000"/>
          <w:szCs w:val="22"/>
        </w:rPr>
      </w:pPr>
      <w:r>
        <w:rPr>
          <w:b/>
          <w:iCs/>
          <w:noProof/>
          <w:color w:val="000000"/>
          <w:szCs w:val="22"/>
        </w:rPr>
        <w:t>Párrafo 105.  Informes periódicos - CRC/C/58</w:t>
      </w:r>
    </w:p>
    <w:p w:rsidR="00000000" w:rsidRDefault="00000000">
      <w:pPr>
        <w:widowControl w:val="0"/>
        <w:tabs>
          <w:tab w:val="left" w:pos="-3828"/>
          <w:tab w:val="left" w:pos="-3686"/>
        </w:tabs>
        <w:spacing w:after="240"/>
        <w:rPr>
          <w:bCs/>
          <w:noProof/>
          <w:color w:val="000000"/>
          <w:szCs w:val="22"/>
        </w:rPr>
      </w:pPr>
      <w:r>
        <w:rPr>
          <w:bCs/>
          <w:noProof/>
          <w:color w:val="000000"/>
          <w:szCs w:val="22"/>
        </w:rPr>
        <w:t>168.</w:t>
      </w:r>
      <w:r>
        <w:rPr>
          <w:bCs/>
          <w:noProof/>
          <w:color w:val="000000"/>
          <w:szCs w:val="22"/>
        </w:rPr>
        <w:tab/>
        <w:t>El Comité ha manifestado su preocupación por el difícil acceso a la educación; las altas tasas de deserción escolar y repetición de cursos que afectan en particular a los niños y niñas indígenas, a los pobres y a los que viven en zonas rurales; la baja tasa de matrícula en la enseñanza preescolar; la baja tasa de niños y niñas que llegan a la enseñanza secundaria; el trato que reciben los niños y niñas con problemas de comportamiento; y el alto número de adolescentes embarazadas que quedan excluidas del sistema educacional.  Al respecto, el Gobierno ha efectuado importantes modificaciones a la Constitución y a la Ley orgánica constitucional de enseñanza.  En el segundo informe se describieron en forma detallada los principios y normas que tanto en la Constitución del Estado como en la Ley orgánica constitucional de enseñanza (LOCE), reconocen y garantizan el derecho de niños y niñas a la educación.  Dichos principios y normas se mantienen vigentes, no obstante en el último año se incorporaron reformas en ambos cuerpos legales, que profundizan y extienden estos derechos:</w:t>
      </w:r>
    </w:p>
    <w:p w:rsidR="00000000" w:rsidRDefault="00000000">
      <w:pPr>
        <w:spacing w:after="240"/>
        <w:ind w:left="1134" w:hanging="567"/>
        <w:rPr>
          <w:bCs/>
          <w:noProof/>
          <w:color w:val="000000"/>
          <w:szCs w:val="22"/>
        </w:rPr>
      </w:pPr>
      <w:r>
        <w:rPr>
          <w:bCs/>
          <w:noProof/>
          <w:color w:val="000000"/>
          <w:szCs w:val="22"/>
        </w:rPr>
        <w:t>a)</w:t>
      </w:r>
      <w:r>
        <w:rPr>
          <w:bCs/>
          <w:noProof/>
          <w:color w:val="000000"/>
          <w:szCs w:val="22"/>
        </w:rPr>
        <w:tab/>
        <w:t xml:space="preserve">El 7 de mayo de 2003 se promulgó una reforma constitucional que establece la enseñanza media obligatoria y gratuita, entregando al Estado la responsabilidad de garantizar el acceso a este nivel educacional para todos los chilenos hasta los 21 años de edad.  De este modo, el Gobierno busca lograr que los niños, niñas y adolescentes tengan un mínimo de 12 años de escolaridad.  </w:t>
      </w:r>
    </w:p>
    <w:p w:rsidR="00000000" w:rsidRDefault="00000000">
      <w:pPr>
        <w:spacing w:after="240"/>
        <w:ind w:left="1134" w:hanging="567"/>
        <w:rPr>
          <w:bCs/>
          <w:noProof/>
          <w:color w:val="000000"/>
          <w:szCs w:val="22"/>
        </w:rPr>
      </w:pPr>
      <w:r>
        <w:rPr>
          <w:bCs/>
          <w:noProof/>
          <w:color w:val="000000"/>
          <w:szCs w:val="22"/>
        </w:rPr>
        <w:t>b)</w:t>
      </w:r>
      <w:r>
        <w:rPr>
          <w:bCs/>
          <w:noProof/>
          <w:color w:val="000000"/>
          <w:szCs w:val="22"/>
        </w:rPr>
        <w:tab/>
        <w:t>Así también, con el fin de asegurar que el embarazo y la maternidad de las estudiantes no sea un impedimento para la continuidad de sus estudios, en el año 2000 se promulgó la Ley N°19.688, la cual modificó la Ley orgánica constitucional de enseñanza LOCE señalando que "El embarazo y la maternidad, no constituirán impedimento para ingresar y permanecer en los establecimientos educacionales de educación de cualquier nivel.  Estos últimos deberán además, otorgar las facilidades académicas del caso".</w:t>
      </w:r>
    </w:p>
    <w:p w:rsidR="00000000" w:rsidRDefault="00000000">
      <w:pPr>
        <w:tabs>
          <w:tab w:val="left" w:pos="-3828"/>
          <w:tab w:val="left" w:pos="-3686"/>
        </w:tabs>
        <w:spacing w:after="240" w:line="238" w:lineRule="auto"/>
        <w:rPr>
          <w:bCs/>
          <w:noProof/>
          <w:color w:val="000000"/>
          <w:szCs w:val="22"/>
        </w:rPr>
      </w:pPr>
      <w:r>
        <w:rPr>
          <w:bCs/>
          <w:noProof/>
          <w:color w:val="000000"/>
          <w:szCs w:val="22"/>
        </w:rPr>
        <w:t>169.</w:t>
      </w:r>
      <w:r>
        <w:rPr>
          <w:bCs/>
          <w:noProof/>
          <w:color w:val="000000"/>
          <w:szCs w:val="22"/>
        </w:rPr>
        <w:tab/>
        <w:t>Durante la actual administración gubernamental, se definieron los énfasis de la política educacional, varios de ellos en continuidad con los objetivos establecidos por el primer gobierno de restauración democrática; éstos son:</w:t>
      </w:r>
    </w:p>
    <w:p w:rsidR="00000000" w:rsidRDefault="00000000">
      <w:pPr>
        <w:spacing w:after="240" w:line="238" w:lineRule="auto"/>
        <w:ind w:left="1134" w:hanging="567"/>
        <w:rPr>
          <w:bCs/>
          <w:iCs/>
          <w:noProof/>
          <w:color w:val="000000"/>
          <w:szCs w:val="22"/>
        </w:rPr>
      </w:pPr>
      <w:r>
        <w:rPr>
          <w:bCs/>
          <w:iCs/>
          <w:noProof/>
          <w:color w:val="000000"/>
          <w:szCs w:val="22"/>
        </w:rPr>
        <w:t>a)</w:t>
      </w:r>
      <w:r>
        <w:rPr>
          <w:bCs/>
          <w:iCs/>
          <w:noProof/>
          <w:color w:val="000000"/>
          <w:szCs w:val="22"/>
        </w:rPr>
        <w:tab/>
        <w:t>Más calidad para todos</w:t>
      </w:r>
    </w:p>
    <w:p w:rsidR="00000000" w:rsidRDefault="00000000">
      <w:pPr>
        <w:spacing w:after="240" w:line="238" w:lineRule="auto"/>
        <w:ind w:left="1134" w:hanging="567"/>
        <w:rPr>
          <w:bCs/>
          <w:noProof/>
          <w:color w:val="000000"/>
          <w:szCs w:val="22"/>
        </w:rPr>
      </w:pPr>
      <w:r>
        <w:rPr>
          <w:bCs/>
          <w:i/>
          <w:iCs/>
          <w:noProof/>
          <w:color w:val="000000"/>
          <w:szCs w:val="22"/>
        </w:rPr>
        <w:tab/>
        <w:t>Evaluación docente</w:t>
      </w:r>
      <w:r>
        <w:rPr>
          <w:bCs/>
          <w:noProof/>
          <w:color w:val="000000"/>
          <w:szCs w:val="22"/>
        </w:rPr>
        <w:t>.  El Ministerio de Educación está empeñado en elevar sustancialmente los resultados de aprendizaje en el sistema escolar.  En ese sentido es fundamental que el profesor tenga las competencias adecuadas porque el énfasis actual de la reforma educacional está puesto en la sala de clases en la relación entre maestro y alumno.</w:t>
      </w:r>
    </w:p>
    <w:p w:rsidR="00000000" w:rsidRDefault="00000000">
      <w:pPr>
        <w:spacing w:after="240" w:line="238" w:lineRule="auto"/>
        <w:ind w:left="1134" w:hanging="567"/>
        <w:rPr>
          <w:bCs/>
          <w:noProof/>
          <w:color w:val="000000"/>
          <w:szCs w:val="22"/>
        </w:rPr>
      </w:pPr>
      <w:r>
        <w:rPr>
          <w:bCs/>
          <w:i/>
          <w:iCs/>
          <w:noProof/>
          <w:color w:val="000000"/>
          <w:szCs w:val="22"/>
        </w:rPr>
        <w:tab/>
        <w:t>Mejorar aprendizajes</w:t>
      </w:r>
      <w:r>
        <w:rPr>
          <w:bCs/>
          <w:noProof/>
          <w:color w:val="000000"/>
          <w:szCs w:val="22"/>
        </w:rPr>
        <w:t>.  Mejorar los conocimientos y competencias de base en lenguaje, matemáticas y ciencias (sociales y naturales).</w:t>
      </w:r>
    </w:p>
    <w:p w:rsidR="00000000" w:rsidRDefault="00000000">
      <w:pPr>
        <w:spacing w:after="240" w:line="238" w:lineRule="auto"/>
        <w:ind w:left="1134" w:hanging="567"/>
        <w:rPr>
          <w:bCs/>
          <w:noProof/>
          <w:color w:val="000000"/>
          <w:szCs w:val="22"/>
        </w:rPr>
      </w:pPr>
      <w:r>
        <w:rPr>
          <w:bCs/>
          <w:i/>
          <w:iCs/>
          <w:noProof/>
          <w:color w:val="000000"/>
          <w:szCs w:val="22"/>
        </w:rPr>
        <w:tab/>
        <w:t>Mejorar la calidad de la gestión escolar</w:t>
      </w:r>
      <w:r>
        <w:rPr>
          <w:bCs/>
          <w:noProof/>
          <w:color w:val="000000"/>
          <w:szCs w:val="22"/>
        </w:rPr>
        <w:t>.  Impulsar una buena gestión escolar, que implica directivos responsables que dan cuenta a la institución y comunidad que sirven; profesores que son evaluados que reciben apoyos, incentivos y exigencias al desempeño; sistemas de evaluación de cumplimiento de metas y de rendición de cuentas que convergen en instituciones y profesionales responsables capaces y motivados por lo que ocurra con sus alumnos.</w:t>
      </w:r>
    </w:p>
    <w:p w:rsidR="00000000" w:rsidRDefault="00000000">
      <w:pPr>
        <w:spacing w:after="240" w:line="238" w:lineRule="auto"/>
        <w:ind w:left="1134" w:hanging="567"/>
        <w:rPr>
          <w:bCs/>
          <w:iCs/>
          <w:noProof/>
          <w:color w:val="000000"/>
          <w:szCs w:val="22"/>
        </w:rPr>
      </w:pPr>
      <w:r>
        <w:rPr>
          <w:bCs/>
          <w:iCs/>
          <w:noProof/>
          <w:color w:val="000000"/>
          <w:szCs w:val="22"/>
        </w:rPr>
        <w:t>b)</w:t>
      </w:r>
      <w:r>
        <w:rPr>
          <w:bCs/>
          <w:iCs/>
          <w:noProof/>
          <w:color w:val="000000"/>
          <w:szCs w:val="22"/>
        </w:rPr>
        <w:tab/>
        <w:t>Habilidades para la globalización</w:t>
      </w:r>
    </w:p>
    <w:p w:rsidR="00000000" w:rsidRDefault="00000000">
      <w:pPr>
        <w:spacing w:after="240" w:line="238" w:lineRule="auto"/>
        <w:ind w:left="1134" w:hanging="567"/>
        <w:rPr>
          <w:bCs/>
          <w:noProof/>
          <w:color w:val="000000"/>
          <w:szCs w:val="22"/>
        </w:rPr>
      </w:pPr>
      <w:r>
        <w:rPr>
          <w:bCs/>
          <w:i/>
          <w:iCs/>
          <w:noProof/>
          <w:color w:val="000000"/>
          <w:szCs w:val="22"/>
        </w:rPr>
        <w:tab/>
        <w:t>Dominar un idioma extranjero y la alfabetización digital</w:t>
      </w:r>
      <w:r>
        <w:rPr>
          <w:bCs/>
          <w:noProof/>
          <w:color w:val="000000"/>
          <w:szCs w:val="22"/>
        </w:rPr>
        <w:t xml:space="preserve"> son los dos pies para caminar en el mundo global.  En el futuro serán analfabetos quienes no puedan utilizar una segunda lengua y quienes no sean capaces de comunicarse, escribir o realizar operaciones a través de un computador.</w:t>
      </w:r>
    </w:p>
    <w:p w:rsidR="00000000" w:rsidRDefault="00000000">
      <w:pPr>
        <w:spacing w:after="240" w:line="238" w:lineRule="auto"/>
        <w:ind w:left="1134" w:hanging="567"/>
        <w:rPr>
          <w:bCs/>
          <w:noProof/>
          <w:color w:val="000000"/>
          <w:szCs w:val="22"/>
        </w:rPr>
      </w:pPr>
      <w:r>
        <w:rPr>
          <w:bCs/>
          <w:i/>
          <w:iCs/>
          <w:noProof/>
          <w:color w:val="000000"/>
          <w:szCs w:val="22"/>
        </w:rPr>
        <w:tab/>
        <w:t>Formación técnica</w:t>
      </w:r>
      <w:r>
        <w:rPr>
          <w:bCs/>
          <w:noProof/>
          <w:color w:val="000000"/>
          <w:szCs w:val="22"/>
        </w:rPr>
        <w:t>.  Intensificar los esfuerzos por levantar la calidad de la formación técnica media y superior e incrementar su pertinencia con las demandas del desarrollo productivo en los actuales escenarios del trabajo y del empleo.</w:t>
      </w:r>
    </w:p>
    <w:p w:rsidR="00000000" w:rsidRDefault="00000000">
      <w:pPr>
        <w:spacing w:after="240" w:line="238" w:lineRule="auto"/>
        <w:ind w:left="1134" w:hanging="567"/>
        <w:rPr>
          <w:bCs/>
          <w:noProof/>
          <w:color w:val="000000"/>
          <w:szCs w:val="22"/>
        </w:rPr>
      </w:pPr>
      <w:r>
        <w:rPr>
          <w:bCs/>
          <w:iCs/>
          <w:noProof/>
          <w:color w:val="000000"/>
          <w:szCs w:val="22"/>
        </w:rPr>
        <w:t>c)</w:t>
      </w:r>
      <w:r>
        <w:rPr>
          <w:bCs/>
          <w:iCs/>
          <w:noProof/>
          <w:color w:val="000000"/>
          <w:szCs w:val="22"/>
        </w:rPr>
        <w:tab/>
        <w:t>Capital humano avanzado</w:t>
      </w:r>
    </w:p>
    <w:p w:rsidR="00000000" w:rsidRDefault="00000000">
      <w:pPr>
        <w:spacing w:after="240" w:line="238" w:lineRule="auto"/>
        <w:ind w:left="1134" w:hanging="567"/>
        <w:rPr>
          <w:bCs/>
          <w:noProof/>
          <w:color w:val="000000"/>
          <w:szCs w:val="22"/>
        </w:rPr>
      </w:pPr>
      <w:r>
        <w:rPr>
          <w:bCs/>
          <w:i/>
          <w:iCs/>
          <w:noProof/>
          <w:color w:val="000000"/>
          <w:szCs w:val="22"/>
        </w:rPr>
        <w:tab/>
        <w:t>Educación superior</w:t>
      </w:r>
      <w:r>
        <w:rPr>
          <w:bCs/>
          <w:noProof/>
          <w:color w:val="000000"/>
          <w:szCs w:val="22"/>
        </w:rPr>
        <w:t>.  Desarrollar una educación superior de calidad y equitativa en el acceso, permanencia y egreso de todos los niños y niñas con talento.  En términos concretos el sistema de educación superior debe prepararse para:  i) educar a segmentos crecientes de la población;  ii) formar tanto conocimientos como capacidades para aprender;  iii) desarrollar la base científica y tecnológica del país, a través de la formación de cuadros científicos y tecnológicos, así como una creciente presencia de los procesos de creación, difusión y ampliación del conocimiento.</w:t>
      </w:r>
    </w:p>
    <w:p w:rsidR="00000000" w:rsidRDefault="00000000">
      <w:pPr>
        <w:spacing w:after="240" w:line="238" w:lineRule="auto"/>
        <w:ind w:left="1134" w:hanging="567"/>
        <w:rPr>
          <w:bCs/>
          <w:noProof/>
          <w:color w:val="000000"/>
          <w:szCs w:val="22"/>
        </w:rPr>
      </w:pPr>
      <w:r>
        <w:rPr>
          <w:bCs/>
          <w:i/>
          <w:iCs/>
          <w:noProof/>
          <w:color w:val="000000"/>
          <w:szCs w:val="22"/>
        </w:rPr>
        <w:tab/>
        <w:t>Ciencia y tecnología</w:t>
      </w:r>
      <w:r>
        <w:rPr>
          <w:bCs/>
          <w:noProof/>
          <w:color w:val="000000"/>
          <w:szCs w:val="22"/>
        </w:rPr>
        <w:t>.  Mejorar y expandir la formación de doctores y magíster, promoviendo su inserción en la empresa; aumentar la inversión pública y privada en ciencia y tecnología; fortalecer los equipos de investigación y promover su vinculación con el sector privado; promover y fomentar la formación de redes nacionales e internacionales de investigación y desarrollo, para favorecer la existencia de masa crítica suficiente en las diversas áreas frontera de la investigación.</w:t>
      </w:r>
    </w:p>
    <w:p w:rsidR="00000000" w:rsidRDefault="00000000">
      <w:pPr>
        <w:spacing w:after="240"/>
        <w:ind w:left="1134" w:hanging="567"/>
        <w:rPr>
          <w:bCs/>
          <w:noProof/>
          <w:color w:val="000000"/>
          <w:szCs w:val="22"/>
        </w:rPr>
      </w:pPr>
      <w:r>
        <w:rPr>
          <w:bCs/>
          <w:iCs/>
          <w:noProof/>
          <w:color w:val="000000"/>
          <w:szCs w:val="22"/>
        </w:rPr>
        <w:t>d)</w:t>
      </w:r>
      <w:r>
        <w:rPr>
          <w:bCs/>
          <w:iCs/>
          <w:noProof/>
          <w:color w:val="000000"/>
          <w:szCs w:val="22"/>
        </w:rPr>
        <w:tab/>
        <w:t>Formación ciudadana</w:t>
      </w:r>
    </w:p>
    <w:p w:rsidR="00000000" w:rsidRDefault="00000000">
      <w:pPr>
        <w:spacing w:after="240"/>
        <w:ind w:left="1134" w:hanging="567"/>
        <w:rPr>
          <w:bCs/>
          <w:noProof/>
          <w:color w:val="000000"/>
          <w:szCs w:val="22"/>
        </w:rPr>
      </w:pPr>
      <w:r>
        <w:rPr>
          <w:bCs/>
          <w:i/>
          <w:iCs/>
          <w:noProof/>
          <w:color w:val="000000"/>
          <w:szCs w:val="22"/>
        </w:rPr>
        <w:tab/>
        <w:t>La educación y la formación en valores</w:t>
      </w:r>
      <w:r>
        <w:rPr>
          <w:bCs/>
          <w:noProof/>
          <w:color w:val="000000"/>
          <w:szCs w:val="22"/>
        </w:rPr>
        <w:t>.  Deben jugarse en tres áreas cruciales para las personas y la sociedad:  familia, trabajo y ciudadanía.  Hay que potenciar cada vez más, en nuestros niños y niñas su creatividad, disciplina y emprendimiento; su autonomía y aprecio por la libertad; sus valores de honestidad; su compromiso por la paz y la convivencia democrática.</w:t>
      </w:r>
    </w:p>
    <w:p w:rsidR="00000000" w:rsidRDefault="00000000">
      <w:pPr>
        <w:spacing w:after="240"/>
        <w:ind w:left="1134" w:hanging="567"/>
        <w:rPr>
          <w:bCs/>
          <w:noProof/>
          <w:color w:val="000000"/>
          <w:szCs w:val="22"/>
        </w:rPr>
      </w:pPr>
      <w:r>
        <w:rPr>
          <w:bCs/>
          <w:i/>
          <w:iCs/>
          <w:noProof/>
          <w:color w:val="000000"/>
          <w:szCs w:val="22"/>
        </w:rPr>
        <w:tab/>
        <w:t>La educación es la formación de capacidades de discernimiento</w:t>
      </w:r>
      <w:r>
        <w:rPr>
          <w:bCs/>
          <w:noProof/>
          <w:color w:val="000000"/>
          <w:szCs w:val="22"/>
        </w:rPr>
        <w:t>.  Familia, trabajo y ciudadanía demandan una educación capaz de enseñar a sus alumnos a discernir, a reflexionar, evaluar y tener juicios respecto de:  los conflictos de valores que viven en la escuela y que vivirán fuera de ella; de los dilemas y alternativas de su sociedad y de su propia vida; y desarrollar competencias para la participación.</w:t>
      </w:r>
    </w:p>
    <w:p w:rsidR="00000000" w:rsidRDefault="00000000">
      <w:pPr>
        <w:spacing w:after="240"/>
        <w:ind w:left="1134" w:hanging="567"/>
        <w:rPr>
          <w:bCs/>
          <w:noProof/>
          <w:color w:val="000000"/>
          <w:szCs w:val="22"/>
        </w:rPr>
      </w:pPr>
      <w:r>
        <w:rPr>
          <w:bCs/>
          <w:i/>
          <w:iCs/>
          <w:noProof/>
          <w:color w:val="000000"/>
          <w:szCs w:val="22"/>
        </w:rPr>
        <w:tab/>
        <w:t>Educación tarea de todos.  Participación</w:t>
      </w:r>
      <w:r>
        <w:rPr>
          <w:bCs/>
          <w:noProof/>
          <w:color w:val="000000"/>
          <w:szCs w:val="22"/>
        </w:rPr>
        <w:t>.  En la tarea de asegurar más calidad todos pueden contribuir desde sus saberes y experiencia.  La única posibilidad de lograr todos los desafíos antes mencionados, es generar un diálogo entre el saber técnico acumulado y el sentido común de las personas, para así lograr desde los significados compartidos el compromiso de todos para más calidad.</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outlineLvl w:val="0"/>
        <w:rPr>
          <w:b/>
          <w:iCs/>
          <w:noProof/>
          <w:color w:val="000000"/>
          <w:szCs w:val="22"/>
        </w:rPr>
      </w:pPr>
      <w:r>
        <w:rPr>
          <w:b/>
          <w:iCs/>
          <w:noProof/>
          <w:color w:val="000000"/>
          <w:szCs w:val="22"/>
        </w:rPr>
        <w:t>Párrafo 106.  Informes periódicos - CRC/C/58</w:t>
      </w:r>
    </w:p>
    <w:p w:rsidR="00000000" w:rsidRDefault="00000000">
      <w:pPr>
        <w:widowControl w:val="0"/>
        <w:tabs>
          <w:tab w:val="left" w:pos="-3828"/>
          <w:tab w:val="left" w:pos="-3686"/>
        </w:tabs>
        <w:spacing w:after="240"/>
        <w:rPr>
          <w:bCs/>
          <w:noProof/>
          <w:color w:val="000000"/>
          <w:szCs w:val="22"/>
        </w:rPr>
      </w:pPr>
      <w:r>
        <w:rPr>
          <w:bCs/>
          <w:noProof/>
          <w:color w:val="000000"/>
          <w:szCs w:val="22"/>
        </w:rPr>
        <w:t>170.</w:t>
      </w:r>
      <w:r>
        <w:rPr>
          <w:bCs/>
          <w:noProof/>
          <w:color w:val="000000"/>
          <w:szCs w:val="22"/>
        </w:rPr>
        <w:tab/>
        <w:t>Con el fin de evitar situaciones de discriminación, el Ministerio de Educación ha realizado, diversas políticas y acciones como por ejemplo:</w:t>
      </w:r>
    </w:p>
    <w:p w:rsidR="00000000" w:rsidRDefault="00000000">
      <w:pPr>
        <w:spacing w:after="240"/>
        <w:ind w:left="1134" w:hanging="567"/>
        <w:rPr>
          <w:bCs/>
          <w:noProof/>
          <w:color w:val="000000"/>
          <w:szCs w:val="22"/>
        </w:rPr>
      </w:pPr>
      <w:r>
        <w:rPr>
          <w:bCs/>
          <w:noProof/>
          <w:color w:val="000000"/>
          <w:szCs w:val="22"/>
        </w:rPr>
        <w:t>a)</w:t>
      </w:r>
      <w:r>
        <w:rPr>
          <w:bCs/>
          <w:noProof/>
          <w:color w:val="000000"/>
          <w:szCs w:val="22"/>
        </w:rPr>
        <w:tab/>
        <w:t>El Programa de Educación Intercultural Bilingüe que tiene como objetivo mejorar aprendizajes y fortalecer la autoestima de niñas y niños indígenas.</w:t>
      </w:r>
    </w:p>
    <w:p w:rsidR="00000000" w:rsidRDefault="00000000">
      <w:pPr>
        <w:spacing w:after="240"/>
        <w:ind w:left="1134" w:hanging="567"/>
        <w:rPr>
          <w:bCs/>
          <w:noProof/>
          <w:color w:val="000000"/>
          <w:szCs w:val="22"/>
        </w:rPr>
      </w:pPr>
      <w:r>
        <w:rPr>
          <w:bCs/>
          <w:noProof/>
          <w:color w:val="000000"/>
          <w:szCs w:val="22"/>
        </w:rPr>
        <w:t>b)</w:t>
      </w:r>
      <w:r>
        <w:rPr>
          <w:bCs/>
          <w:noProof/>
          <w:color w:val="000000"/>
          <w:szCs w:val="22"/>
        </w:rPr>
        <w:tab/>
        <w:t>La política de convivencia escolar, cuya elaboración convocó a diversos actores:  docentes, estudiantes, centros de padres, representantes de la Asociación Chilena de Municipalidades, Colegio de Profesores, sostenedores de establecimientos municipales y particulares y organismos internacionales promueve el respeto por la diversidad de cultura, de lengua, de cosmovisión, de etnia, autonomía y solidaridad.  Los principios rectores y orientadores de esta política son los siguientes:</w:t>
      </w:r>
    </w:p>
    <w:p w:rsidR="00000000" w:rsidRDefault="00000000">
      <w:pPr>
        <w:tabs>
          <w:tab w:val="left" w:pos="-3828"/>
          <w:tab w:val="left" w:pos="-3686"/>
        </w:tabs>
        <w:spacing w:after="240"/>
        <w:ind w:left="1491" w:hanging="357"/>
        <w:rPr>
          <w:bCs/>
          <w:noProof/>
          <w:color w:val="000000"/>
          <w:szCs w:val="22"/>
        </w:rPr>
      </w:pPr>
      <w:r>
        <w:rPr>
          <w:bCs/>
          <w:noProof/>
          <w:color w:val="000000"/>
          <w:szCs w:val="22"/>
        </w:rPr>
        <w:t>-</w:t>
      </w:r>
      <w:r>
        <w:rPr>
          <w:bCs/>
          <w:noProof/>
          <w:color w:val="000000"/>
          <w:szCs w:val="22"/>
        </w:rPr>
        <w:tab/>
        <w:t>Todos los actores de la comunidad educativa son sujetos de derechos;</w:t>
      </w:r>
    </w:p>
    <w:p w:rsidR="00000000" w:rsidRDefault="00000000">
      <w:pPr>
        <w:tabs>
          <w:tab w:val="left" w:pos="-3828"/>
          <w:tab w:val="left" w:pos="-3686"/>
        </w:tabs>
        <w:spacing w:after="240"/>
        <w:ind w:left="1491" w:hanging="357"/>
        <w:rPr>
          <w:bCs/>
          <w:noProof/>
          <w:color w:val="000000"/>
          <w:szCs w:val="22"/>
        </w:rPr>
      </w:pPr>
      <w:r>
        <w:rPr>
          <w:bCs/>
          <w:noProof/>
          <w:color w:val="000000"/>
          <w:szCs w:val="22"/>
        </w:rPr>
        <w:t>-</w:t>
      </w:r>
      <w:r>
        <w:rPr>
          <w:bCs/>
          <w:noProof/>
          <w:color w:val="000000"/>
          <w:szCs w:val="22"/>
        </w:rPr>
        <w:tab/>
        <w:t>Los niños y niñas son sujetos de derechos;</w:t>
      </w:r>
    </w:p>
    <w:p w:rsidR="00000000" w:rsidRDefault="00000000">
      <w:pPr>
        <w:tabs>
          <w:tab w:val="left" w:pos="-3828"/>
          <w:tab w:val="left" w:pos="-3686"/>
        </w:tabs>
        <w:spacing w:after="240"/>
        <w:ind w:left="1491" w:hanging="357"/>
        <w:rPr>
          <w:bCs/>
          <w:noProof/>
          <w:color w:val="000000"/>
          <w:szCs w:val="22"/>
        </w:rPr>
      </w:pPr>
      <w:r>
        <w:rPr>
          <w:bCs/>
          <w:noProof/>
          <w:color w:val="000000"/>
          <w:szCs w:val="22"/>
        </w:rPr>
        <w:t>-</w:t>
      </w:r>
      <w:r>
        <w:rPr>
          <w:bCs/>
          <w:noProof/>
          <w:color w:val="000000"/>
          <w:szCs w:val="22"/>
        </w:rPr>
        <w:tab/>
        <w:t>La educación como pleno desarrollo de la persona;</w:t>
      </w:r>
    </w:p>
    <w:p w:rsidR="00000000" w:rsidRDefault="00000000">
      <w:pPr>
        <w:tabs>
          <w:tab w:val="left" w:pos="-3828"/>
          <w:tab w:val="left" w:pos="-3686"/>
        </w:tabs>
        <w:spacing w:after="240"/>
        <w:ind w:left="1491" w:hanging="357"/>
        <w:rPr>
          <w:bCs/>
          <w:noProof/>
          <w:color w:val="000000"/>
          <w:szCs w:val="22"/>
        </w:rPr>
      </w:pPr>
      <w:r>
        <w:rPr>
          <w:bCs/>
          <w:noProof/>
          <w:color w:val="000000"/>
          <w:szCs w:val="22"/>
        </w:rPr>
        <w:t>-</w:t>
      </w:r>
      <w:r>
        <w:rPr>
          <w:bCs/>
          <w:noProof/>
          <w:color w:val="000000"/>
          <w:szCs w:val="22"/>
        </w:rPr>
        <w:tab/>
        <w:t>Convivencia democrática y construcción de ciudadanía en la institución escolar;</w:t>
      </w:r>
    </w:p>
    <w:p w:rsidR="00000000" w:rsidRDefault="00000000">
      <w:pPr>
        <w:tabs>
          <w:tab w:val="left" w:pos="-3828"/>
          <w:tab w:val="left" w:pos="-3686"/>
        </w:tabs>
        <w:spacing w:after="240"/>
        <w:ind w:left="1491" w:hanging="357"/>
        <w:rPr>
          <w:bCs/>
          <w:noProof/>
          <w:color w:val="000000"/>
          <w:szCs w:val="22"/>
        </w:rPr>
      </w:pPr>
      <w:r>
        <w:rPr>
          <w:bCs/>
          <w:noProof/>
          <w:color w:val="000000"/>
          <w:szCs w:val="22"/>
        </w:rPr>
        <w:t>-</w:t>
      </w:r>
      <w:r>
        <w:rPr>
          <w:bCs/>
          <w:noProof/>
          <w:color w:val="000000"/>
          <w:szCs w:val="22"/>
        </w:rPr>
        <w:tab/>
        <w:t>La convivencia escolar, un ámbito de consistencia ética;</w:t>
      </w:r>
    </w:p>
    <w:p w:rsidR="00000000" w:rsidRDefault="00000000">
      <w:pPr>
        <w:tabs>
          <w:tab w:val="left" w:pos="-3828"/>
          <w:tab w:val="left" w:pos="-3686"/>
        </w:tabs>
        <w:spacing w:after="240"/>
        <w:ind w:left="1491" w:hanging="357"/>
        <w:rPr>
          <w:bCs/>
          <w:noProof/>
          <w:color w:val="000000"/>
          <w:szCs w:val="22"/>
        </w:rPr>
      </w:pPr>
      <w:r>
        <w:rPr>
          <w:bCs/>
          <w:noProof/>
          <w:color w:val="000000"/>
          <w:szCs w:val="22"/>
        </w:rPr>
        <w:t>-</w:t>
      </w:r>
      <w:r>
        <w:rPr>
          <w:bCs/>
          <w:noProof/>
          <w:color w:val="000000"/>
          <w:szCs w:val="22"/>
        </w:rPr>
        <w:tab/>
        <w:t>Respeto y protección de la vida privada y pública y de la honra de la persona y su familia;</w:t>
      </w:r>
    </w:p>
    <w:p w:rsidR="00000000" w:rsidRDefault="00000000">
      <w:pPr>
        <w:tabs>
          <w:tab w:val="left" w:pos="-3828"/>
          <w:tab w:val="left" w:pos="-3686"/>
        </w:tabs>
        <w:spacing w:after="240"/>
        <w:ind w:left="1491" w:hanging="357"/>
        <w:rPr>
          <w:bCs/>
          <w:noProof/>
          <w:color w:val="000000"/>
          <w:szCs w:val="22"/>
        </w:rPr>
      </w:pPr>
      <w:r>
        <w:rPr>
          <w:bCs/>
          <w:noProof/>
          <w:color w:val="000000"/>
          <w:szCs w:val="22"/>
        </w:rPr>
        <w:t>-</w:t>
      </w:r>
      <w:r>
        <w:rPr>
          <w:bCs/>
          <w:noProof/>
          <w:color w:val="000000"/>
          <w:szCs w:val="22"/>
        </w:rPr>
        <w:tab/>
        <w:t>Igualdad de oportunidades para niños y niñas;</w:t>
      </w:r>
    </w:p>
    <w:p w:rsidR="00000000" w:rsidRDefault="00000000">
      <w:pPr>
        <w:tabs>
          <w:tab w:val="left" w:pos="-3828"/>
          <w:tab w:val="left" w:pos="-3686"/>
        </w:tabs>
        <w:spacing w:after="240"/>
        <w:ind w:left="1491" w:hanging="357"/>
        <w:rPr>
          <w:bCs/>
          <w:noProof/>
          <w:color w:val="000000"/>
          <w:szCs w:val="22"/>
        </w:rPr>
      </w:pPr>
      <w:r>
        <w:rPr>
          <w:bCs/>
          <w:noProof/>
          <w:color w:val="000000"/>
          <w:szCs w:val="22"/>
        </w:rPr>
        <w:t>-</w:t>
      </w:r>
      <w:r>
        <w:rPr>
          <w:bCs/>
          <w:noProof/>
          <w:color w:val="000000"/>
          <w:szCs w:val="22"/>
        </w:rPr>
        <w:tab/>
        <w:t>Las normas de convivencia:  un encuentro entre el derecho y la ética.</w:t>
      </w:r>
    </w:p>
    <w:p w:rsidR="00000000" w:rsidRDefault="00000000">
      <w:pPr>
        <w:spacing w:after="240"/>
        <w:ind w:left="1134" w:hanging="567"/>
        <w:rPr>
          <w:bCs/>
          <w:noProof/>
          <w:color w:val="000000"/>
          <w:szCs w:val="22"/>
        </w:rPr>
      </w:pPr>
      <w:r>
        <w:rPr>
          <w:bCs/>
          <w:noProof/>
          <w:color w:val="000000"/>
          <w:szCs w:val="22"/>
        </w:rPr>
        <w:t>c)</w:t>
      </w:r>
      <w:r>
        <w:rPr>
          <w:bCs/>
          <w:noProof/>
          <w:color w:val="000000"/>
          <w:szCs w:val="22"/>
        </w:rPr>
        <w:tab/>
        <w:t>Creación de la Unidad 600-MINEDUC, mencionada anteriormente, cuyo objetivo es entregar un servicio de información, de promoción y atención destinado a apoyar las comunidades escolares en la prevención y resolución de problemas relacionados con las condiciones básicas de la convivencia y vida escolar.</w:t>
      </w:r>
    </w:p>
    <w:p w:rsidR="00000000" w:rsidRDefault="00000000">
      <w:pPr>
        <w:spacing w:after="240"/>
        <w:ind w:left="1134" w:hanging="567"/>
        <w:rPr>
          <w:bCs/>
          <w:noProof/>
          <w:color w:val="000000"/>
          <w:szCs w:val="22"/>
        </w:rPr>
      </w:pPr>
      <w:r>
        <w:rPr>
          <w:bCs/>
          <w:noProof/>
          <w:color w:val="000000"/>
          <w:szCs w:val="22"/>
        </w:rPr>
        <w:t>d)</w:t>
      </w:r>
      <w:r>
        <w:rPr>
          <w:bCs/>
          <w:noProof/>
          <w:color w:val="000000"/>
          <w:szCs w:val="22"/>
        </w:rPr>
        <w:tab/>
        <w:t>El plan de escolaridad completa, que acompaña la promulgación de la reforma constitucional que extiende la obligatoriedad de la educación a 12 años, constituye otro ejemplo de los esfuerzos de la política educativa para reducir las desigualdades existentes.  Este plan promoverá la integración escolar de los grupos más pobres dotando de más recursos a los liceos más vulnerables y reforzando las acciones que se venían realizando para disminuir la deserción.  Dentro de este plan, tiene un rol central la subvención pro retención, que es un apoyo económico especial para los sostenedores de establecimientos municipales y particulares subvencionados que retengan en el liceo a alumnos de los sectores más pobres.  Esta asignación es un aporte adicional del Estado para reforzar el acceso y permanencia en escuelas y liceos de niños y niñas pertenecientes a familias de escasos recursos.  Esta subvención llega a 126.000 beneficiarios pertenecientes a 209.000 familias en situación de extrema pobreza.  Este beneficio es pagado a los sostenedores de establecimientos que acrediten haber matriculado y retenido a alumnos que cursan entre séptimo y cuarto medio y que pertenezcan a las familias de extrema pobreza.  En el 2003 el Gobierno invirtió 4.794.543 dólares de los EE.UU., en esta iniciativa.  Estos recursos se han incrementado gradualmente hasta llegar, en el 2006, a 22.494.106 dólares de los EE.UU., cuando estén participando todos los alumnos beneficiarios.</w:t>
      </w:r>
    </w:p>
    <w:p w:rsidR="00000000" w:rsidRDefault="00000000">
      <w:pPr>
        <w:widowControl w:val="0"/>
        <w:tabs>
          <w:tab w:val="left" w:pos="-3828"/>
          <w:tab w:val="left" w:pos="-3686"/>
        </w:tabs>
        <w:spacing w:after="240"/>
        <w:rPr>
          <w:bCs/>
          <w:noProof/>
          <w:color w:val="000000"/>
          <w:szCs w:val="22"/>
        </w:rPr>
      </w:pPr>
      <w:r>
        <w:rPr>
          <w:bCs/>
          <w:noProof/>
          <w:color w:val="000000"/>
          <w:szCs w:val="22"/>
        </w:rPr>
        <w:t>171.</w:t>
      </w:r>
      <w:r>
        <w:rPr>
          <w:bCs/>
          <w:noProof/>
          <w:color w:val="000000"/>
          <w:szCs w:val="22"/>
        </w:rPr>
        <w:tab/>
        <w:t>Como se señaló en el segundo informe, en 1994 el Ministerio de Hacienda tradujo la prioridad asignada por el Gobierno a la educación en una meta concreta:  elevar la inversión del país en educación desde un 4,9% del PIB, a un 7% del PIB en un plazo no superior a los ocho años, compartiendo dicha expansión en partes iguales los sectores público y privado.  Para el sector público esto significó elevar su gasto en educación desde un 2,8% del PIB en 1994, a un 4% del PIB a más tardar en el año 2002.  Como se verá en el cuadro siguiente dicha meta se alcanzó el año 1999, y al año 2001 la inversión en educación representa el 4,4% del PIB.</w:t>
      </w:r>
    </w:p>
    <w:p w:rsidR="00000000" w:rsidRDefault="00000000">
      <w:pPr>
        <w:widowControl w:val="0"/>
        <w:tabs>
          <w:tab w:val="left" w:pos="-3828"/>
          <w:tab w:val="left" w:pos="-3686"/>
        </w:tabs>
        <w:spacing w:after="240"/>
        <w:rPr>
          <w:bCs/>
          <w:noProof/>
          <w:color w:val="000000"/>
          <w:szCs w:val="22"/>
        </w:rPr>
      </w:pPr>
      <w:r>
        <w:rPr>
          <w:bCs/>
          <w:noProof/>
          <w:color w:val="000000"/>
          <w:szCs w:val="22"/>
        </w:rPr>
        <w:t>172.</w:t>
      </w:r>
      <w:r>
        <w:rPr>
          <w:bCs/>
          <w:noProof/>
          <w:color w:val="000000"/>
          <w:szCs w:val="22"/>
        </w:rPr>
        <w:tab/>
        <w:t>Durante el año 2001, del gasto total ejecutado por el Ministerio de Educación, un 51% se destinó a enseñanza básica, un 20% a enseñanza media, un 14,4% a educación superior y el restante 13,9% se distribuyó entre enseñanza parvularia, adultos, especial, y cultura.  El gasto anual por alumno en educación regular es de 648,4 dólares de los EE.UU., en enseñanza básica y media, y de 852 dólares de los EE.UU., en enseñanza superior.</w:t>
      </w:r>
    </w:p>
    <w:p w:rsidR="00000000" w:rsidRDefault="00000000">
      <w:pPr>
        <w:tabs>
          <w:tab w:val="left" w:pos="-3828"/>
          <w:tab w:val="left" w:pos="-3686"/>
        </w:tabs>
        <w:spacing w:after="240"/>
        <w:rPr>
          <w:bCs/>
          <w:noProof/>
          <w:szCs w:val="22"/>
        </w:rPr>
      </w:pPr>
      <w:r>
        <w:rPr>
          <w:bCs/>
          <w:noProof/>
          <w:color w:val="000000"/>
          <w:szCs w:val="22"/>
        </w:rPr>
        <w:t>173.</w:t>
      </w:r>
      <w:r>
        <w:rPr>
          <w:bCs/>
          <w:noProof/>
          <w:color w:val="000000"/>
          <w:szCs w:val="22"/>
        </w:rPr>
        <w:tab/>
        <w:t>En cuanto a la ayuda estudiantil y las becas entregadas por el Gobierno a través del Ministerio de Educación durante el año 2001, se distribuyó un total de 187.739.980 dólares de los EE.UU., de los cuales un 41% benefició a alumnos de enseñanza básica</w:t>
      </w:r>
      <w:r>
        <w:rPr>
          <w:bCs/>
          <w:noProof/>
          <w:szCs w:val="22"/>
        </w:rPr>
        <w:t>, un 21% a alumnos de enseñanza media, un 19% a alumnos de enseñanza parvularia y un 9% a alumnos de enseñanza superior.</w:t>
      </w:r>
    </w:p>
    <w:p w:rsidR="00000000" w:rsidRDefault="00000000">
      <w:pPr>
        <w:widowControl w:val="0"/>
        <w:tabs>
          <w:tab w:val="left" w:pos="-3828"/>
          <w:tab w:val="left" w:pos="-3686"/>
        </w:tabs>
        <w:spacing w:after="240"/>
        <w:rPr>
          <w:bCs/>
          <w:noProof/>
          <w:color w:val="000000"/>
          <w:szCs w:val="22"/>
        </w:rPr>
      </w:pPr>
      <w:r>
        <w:rPr>
          <w:bCs/>
          <w:noProof/>
          <w:szCs w:val="22"/>
        </w:rPr>
        <w:t>174.</w:t>
      </w:r>
      <w:r>
        <w:rPr>
          <w:bCs/>
          <w:noProof/>
          <w:szCs w:val="22"/>
        </w:rPr>
        <w:tab/>
      </w:r>
      <w:r>
        <w:rPr>
          <w:bCs/>
          <w:noProof/>
          <w:color w:val="000000"/>
          <w:szCs w:val="22"/>
        </w:rPr>
        <w:t>Para dar apoyo a las familias, se han implementado un conjunto de programas específicos.  Se ha mantenido Programa de Becas Indígenas del Ministerio de Educación coordinado por el Programa de Educación Intercultural Bilingüe PEIB y la Corporación de Desarrollo Indígena CONADI.  Tanto el número de becas entregadas como el presupuesto del programa ha aumentado de manera considerable durante los últimos años.  Mientras en el año 1997 se entregaron 6.000 becas, estas aumentaron a 28.301 el año 2003.  Asimismo, el costo del programa aumentó de 1.469.171 dólares de los EE.UU., en el año 1997 a un monto de 6.997.779 dólares de los EE.UU., el año 2003.</w:t>
      </w:r>
    </w:p>
    <w:p w:rsidR="00000000" w:rsidRDefault="00000000">
      <w:pPr>
        <w:widowControl w:val="0"/>
        <w:tabs>
          <w:tab w:val="left" w:pos="-3828"/>
          <w:tab w:val="left" w:pos="-3686"/>
        </w:tabs>
        <w:spacing w:after="240"/>
        <w:rPr>
          <w:bCs/>
          <w:noProof/>
          <w:color w:val="000000"/>
          <w:szCs w:val="22"/>
        </w:rPr>
      </w:pPr>
      <w:r>
        <w:rPr>
          <w:bCs/>
          <w:noProof/>
          <w:color w:val="000000"/>
          <w:szCs w:val="22"/>
        </w:rPr>
        <w:t>175.</w:t>
      </w:r>
      <w:r>
        <w:rPr>
          <w:bCs/>
          <w:noProof/>
          <w:color w:val="000000"/>
          <w:szCs w:val="22"/>
        </w:rPr>
        <w:tab/>
        <w:t>Por otra parte, existe un aumento paulatino en la participación de las asignaciones a la Educación Básica y Media, en desmedro de las asignaciones realizadas a la Educación Superior.</w:t>
      </w:r>
    </w:p>
    <w:p w:rsidR="00000000" w:rsidRDefault="00000000">
      <w:pPr>
        <w:widowControl w:val="0"/>
        <w:tabs>
          <w:tab w:val="left" w:pos="-3828"/>
          <w:tab w:val="left" w:pos="-3686"/>
        </w:tabs>
        <w:spacing w:after="240"/>
        <w:rPr>
          <w:bCs/>
          <w:noProof/>
          <w:color w:val="000000"/>
          <w:szCs w:val="22"/>
        </w:rPr>
      </w:pPr>
      <w:r>
        <w:rPr>
          <w:bCs/>
          <w:noProof/>
          <w:color w:val="000000"/>
          <w:szCs w:val="22"/>
        </w:rPr>
        <w:t>176.</w:t>
      </w:r>
      <w:r>
        <w:rPr>
          <w:bCs/>
          <w:noProof/>
          <w:color w:val="000000"/>
          <w:szCs w:val="22"/>
        </w:rPr>
        <w:tab/>
        <w:t>La Junta Nacional de Auxilio Escolar y Becas, JUNAEB, tiene el propósito de llegar a los escolares de todo el país con una serie de programas asistenciales que estimulan su incorporación y permanencia en el sistema educacional, mejoran su rendimiento y evitan la deserción escolar hasta completar el ciclo de enseñanza correspondiente a su nivel.  Estos programas están focalizados fundamentalmente en sectores escolares de mayor vulnerabilidad socioeconómica de enseñanza municipal y particular subvencionada, de los distintos niveles educacionales.</w:t>
      </w:r>
    </w:p>
    <w:p w:rsidR="00000000" w:rsidRDefault="00000000">
      <w:pPr>
        <w:widowControl w:val="0"/>
        <w:tabs>
          <w:tab w:val="left" w:pos="-3828"/>
          <w:tab w:val="left" w:pos="-3686"/>
        </w:tabs>
        <w:spacing w:after="240"/>
        <w:rPr>
          <w:bCs/>
          <w:noProof/>
          <w:color w:val="000000"/>
          <w:szCs w:val="22"/>
        </w:rPr>
      </w:pPr>
      <w:r>
        <w:rPr>
          <w:bCs/>
          <w:noProof/>
          <w:color w:val="000000"/>
          <w:szCs w:val="22"/>
        </w:rPr>
        <w:t>177.</w:t>
      </w:r>
      <w:r>
        <w:rPr>
          <w:bCs/>
          <w:noProof/>
          <w:color w:val="000000"/>
          <w:szCs w:val="22"/>
        </w:rPr>
        <w:tab/>
      </w:r>
      <w:r>
        <w:rPr>
          <w:bCs/>
          <w:i/>
          <w:iCs/>
          <w:noProof/>
          <w:color w:val="000000"/>
          <w:szCs w:val="22"/>
        </w:rPr>
        <w:t>Programas de la JUNAEB</w:t>
      </w:r>
      <w:r>
        <w:rPr>
          <w:bCs/>
          <w:noProof/>
          <w:color w:val="000000"/>
          <w:szCs w:val="22"/>
        </w:rPr>
        <w:t>:</w:t>
      </w:r>
    </w:p>
    <w:p w:rsidR="00000000" w:rsidRDefault="00000000">
      <w:pPr>
        <w:widowControl w:val="0"/>
        <w:tabs>
          <w:tab w:val="left" w:pos="-3828"/>
          <w:tab w:val="left" w:pos="-3686"/>
        </w:tabs>
        <w:spacing w:after="240"/>
        <w:ind w:left="567"/>
        <w:rPr>
          <w:bCs/>
          <w:noProof/>
          <w:color w:val="000000"/>
          <w:szCs w:val="22"/>
        </w:rPr>
      </w:pPr>
      <w:r>
        <w:rPr>
          <w:bCs/>
          <w:i/>
          <w:noProof/>
          <w:color w:val="000000"/>
          <w:szCs w:val="22"/>
        </w:rPr>
        <w:t>Programa de Alimentación Escolar (PAE</w:t>
      </w:r>
      <w:r>
        <w:rPr>
          <w:bCs/>
          <w:noProof/>
          <w:color w:val="000000"/>
          <w:szCs w:val="22"/>
        </w:rPr>
        <w:t>).  Atiende a estudiantes de prebásica, básica y media, pertenecientes a establecimientos educacionales, municipales y particulares subvencionados.  Consiste en la entrega de una ración diaria de alimentación, desayuno y almuerzo, durante el año lectivo.  Proporciona raciones de aporte calórico diferenciado en relación a la situación de vulnerabilidad socioeconómica del alumno:  250, 700, 1.000 calorías según sea la necesidad.  Además, existe el programa de alimentación destinado a atender a alumnos en internados estudiantiles.  A estos últimos alumnos se les proporcionan cuatro servicios:  desayuno, almuerzo, once y cena, con un aporte de 2.400 calorías diarias.</w:t>
      </w:r>
    </w:p>
    <w:p w:rsidR="00000000" w:rsidRDefault="00000000">
      <w:pPr>
        <w:widowControl w:val="0"/>
        <w:tabs>
          <w:tab w:val="left" w:pos="-3828"/>
          <w:tab w:val="left" w:pos="-3686"/>
        </w:tabs>
        <w:spacing w:after="240"/>
        <w:ind w:left="567"/>
        <w:rPr>
          <w:bCs/>
          <w:noProof/>
          <w:color w:val="000000"/>
          <w:szCs w:val="22"/>
        </w:rPr>
      </w:pPr>
      <w:r>
        <w:rPr>
          <w:bCs/>
          <w:i/>
          <w:iCs/>
          <w:noProof/>
          <w:color w:val="000000"/>
          <w:szCs w:val="22"/>
        </w:rPr>
        <w:t>Programa Útiles Escolares</w:t>
      </w:r>
      <w:r>
        <w:rPr>
          <w:bCs/>
          <w:noProof/>
          <w:color w:val="000000"/>
          <w:szCs w:val="22"/>
        </w:rPr>
        <w:t xml:space="preserve">.  Atiende a todos los beneficiarios del Programa de Alimentación Escolar (PAE).  Entrega un set anual de materiales y útiles escolares consistente en cuadernos, lápices de colores, lápiz de pasta, lápiz grafito y goma de borrar.  Este set se entrega a comienzos del año lectivo.  </w:t>
      </w:r>
    </w:p>
    <w:p w:rsidR="00000000" w:rsidRDefault="00000000">
      <w:pPr>
        <w:widowControl w:val="0"/>
        <w:tabs>
          <w:tab w:val="left" w:pos="-3828"/>
          <w:tab w:val="left" w:pos="-3686"/>
        </w:tabs>
        <w:spacing w:after="240"/>
        <w:ind w:left="567"/>
        <w:rPr>
          <w:bCs/>
          <w:noProof/>
          <w:color w:val="000000"/>
          <w:szCs w:val="22"/>
        </w:rPr>
      </w:pPr>
      <w:r>
        <w:rPr>
          <w:bCs/>
          <w:i/>
          <w:iCs/>
          <w:noProof/>
          <w:color w:val="000000"/>
          <w:szCs w:val="22"/>
        </w:rPr>
        <w:t>Programa de Vivienda Estudiantil</w:t>
      </w:r>
      <w:r>
        <w:rPr>
          <w:bCs/>
          <w:noProof/>
          <w:color w:val="000000"/>
          <w:szCs w:val="22"/>
        </w:rPr>
        <w:t>.  Este programa, bajo las modalidades de Residencia Familiar, Hogares Estudiantiles JUNAEB y Becas de Internado, atiende a alumnos de 7º y 8º año básico y de enseñanza media, provenientes especialmente del sector rural que no cuentan con establecimientos educacionales en su lugar de residencia, para continuar con sus estudios.  Entrega alimentación diaria completa, alojamiento, apoyo pedagógico y formación integral, durante todo el año lectivo.  Adicionalmente, dentro del programa de vivienda estudiantil se incluye el programa Beca Primera Dama que atiende a alumnos de la V Región; Isla de Pascua y Juan Fernández, y de la XI Región, egresados de la enseñanza básica o media, que requieran continuar estudios de educación especial, diferencial, técnico profesional o universitaria, según corresponda.  Entrega aporte en dinero por concepto de traslado y mantención, durante todo el período de estudios.</w:t>
      </w:r>
    </w:p>
    <w:p w:rsidR="00000000" w:rsidRDefault="00000000">
      <w:pPr>
        <w:widowControl w:val="0"/>
        <w:tabs>
          <w:tab w:val="left" w:pos="-3828"/>
          <w:tab w:val="left" w:pos="-3686"/>
        </w:tabs>
        <w:spacing w:after="240"/>
        <w:ind w:left="567"/>
        <w:rPr>
          <w:bCs/>
          <w:noProof/>
          <w:color w:val="000000"/>
          <w:szCs w:val="22"/>
        </w:rPr>
      </w:pPr>
      <w:r>
        <w:rPr>
          <w:bCs/>
          <w:i/>
          <w:iCs/>
          <w:noProof/>
          <w:color w:val="000000"/>
          <w:szCs w:val="22"/>
        </w:rPr>
        <w:t>Programa de Salud Escolar</w:t>
      </w:r>
      <w:r>
        <w:rPr>
          <w:bCs/>
          <w:noProof/>
          <w:color w:val="000000"/>
          <w:szCs w:val="22"/>
        </w:rPr>
        <w:t>.  Atiende a estudiantes de establecimientos municipales y particulares subvencionados, matriculados desde 1º a 5º básico, entre 6 y 12 años de edad, que presenten problemas de visión, audición y posturales, detectados por el profesor y ratificados por los establecimientos de atención primaria de salud.  Se entrega atención gratuita en exámenes, medicamentos y elementos de tratamiento tales como lentes, audífonos y plantillas.  Se desarrolla de marzo a diciembre de cada año.  En su primera etapa correspondiente a la pesquisa de problemas de salud, se atiende al universo de alumnos de 1º básico de establecimientos municipales y particulares subvencionados.  Para atención de especialistas se otorgan cupos por comuna y según daños observados en años anteriores.  Al interior de la comuna se intenta seleccionar a los alumnos más dañados y con mayor vulnerabilidad socioeconómica.</w:t>
      </w:r>
    </w:p>
    <w:p w:rsidR="00000000" w:rsidRDefault="00000000">
      <w:pPr>
        <w:widowControl w:val="0"/>
        <w:tabs>
          <w:tab w:val="left" w:pos="-3828"/>
          <w:tab w:val="left" w:pos="-3686"/>
        </w:tabs>
        <w:spacing w:after="240"/>
        <w:ind w:left="567"/>
        <w:rPr>
          <w:bCs/>
          <w:noProof/>
          <w:color w:val="000000"/>
          <w:szCs w:val="22"/>
        </w:rPr>
      </w:pPr>
      <w:r>
        <w:rPr>
          <w:bCs/>
          <w:i/>
          <w:iCs/>
          <w:noProof/>
          <w:color w:val="000000"/>
          <w:szCs w:val="22"/>
        </w:rPr>
        <w:t>Programa de Salud Oral</w:t>
      </w:r>
      <w:r>
        <w:rPr>
          <w:bCs/>
          <w:noProof/>
          <w:color w:val="000000"/>
          <w:szCs w:val="22"/>
        </w:rPr>
        <w:t>.  Atiende a estudiantes que tienen entre 6 y 14 años de edad, de establecimientos municipales y particulares subvencionados, seleccionados por el módulo dental de la comuna.  Entrega atención dental integral gratuita y acciones de educación para la salud bucal y de prevención (aplicación gel y cepillado dental).  Se desarrolla entre marzo y diciembre de cada año.</w:t>
      </w:r>
    </w:p>
    <w:p w:rsidR="00000000" w:rsidRDefault="00000000">
      <w:pPr>
        <w:widowControl w:val="0"/>
        <w:tabs>
          <w:tab w:val="left" w:pos="-3828"/>
          <w:tab w:val="left" w:pos="-3686"/>
        </w:tabs>
        <w:spacing w:after="240"/>
        <w:rPr>
          <w:bCs/>
          <w:szCs w:val="22"/>
        </w:rPr>
      </w:pPr>
      <w:r>
        <w:rPr>
          <w:bCs/>
          <w:noProof/>
          <w:color w:val="000000"/>
          <w:szCs w:val="22"/>
        </w:rPr>
        <w:t>178.</w:t>
      </w:r>
      <w:r>
        <w:rPr>
          <w:bCs/>
          <w:noProof/>
          <w:color w:val="000000"/>
          <w:szCs w:val="22"/>
        </w:rPr>
        <w:tab/>
        <w:t>El 95% del presupuesto asignado a JUNAEB</w:t>
      </w:r>
      <w:r>
        <w:rPr>
          <w:bCs/>
          <w:szCs w:val="22"/>
        </w:rPr>
        <w:t xml:space="preserve"> se ha destinado al desarrollo de programas de apoyo a niños y niñas en condición de vulnerabilidad, insertos en el sistema educacional subvencionado por el Ministerio de Educación.</w:t>
      </w:r>
    </w:p>
    <w:p w:rsidR="00000000" w:rsidRDefault="00000000">
      <w:pPr>
        <w:widowControl w:val="0"/>
        <w:tabs>
          <w:tab w:val="left" w:pos="-3828"/>
          <w:tab w:val="left" w:pos="-3686"/>
        </w:tabs>
        <w:spacing w:after="240"/>
        <w:rPr>
          <w:bCs/>
          <w:noProof/>
          <w:color w:val="000000"/>
          <w:szCs w:val="22"/>
        </w:rPr>
      </w:pPr>
      <w:r>
        <w:rPr>
          <w:bCs/>
          <w:noProof/>
          <w:color w:val="000000"/>
          <w:szCs w:val="22"/>
        </w:rPr>
        <w:t>179.</w:t>
      </w:r>
      <w:r>
        <w:rPr>
          <w:bCs/>
          <w:noProof/>
          <w:color w:val="000000"/>
          <w:szCs w:val="22"/>
        </w:rPr>
        <w:tab/>
        <w:t>Se ha avanzado en el establecimiento de la educación intercultural bilingüe E.I.B., así como en la adopción de medidas que fomentan el mantenimiento y desarrollo de las culturas y lenguas indígenas.  Especialmente se ha avanzado en la generación y diseño de unidades programáticas de educación intercultural a aplicar en establecimientos educacionales de matrícula de escolares no indígenas, tendientes a la formación general en valores, actitudes y procedimientos basados en el reconocimiento de la diversidad cultural y el entendimiento entre miembros de distintas culturas.</w:t>
      </w:r>
    </w:p>
    <w:p w:rsidR="00000000" w:rsidRDefault="00000000">
      <w:pPr>
        <w:widowControl w:val="0"/>
        <w:tabs>
          <w:tab w:val="left" w:pos="-3828"/>
          <w:tab w:val="left" w:pos="-3686"/>
        </w:tabs>
        <w:spacing w:after="240"/>
        <w:rPr>
          <w:bCs/>
          <w:noProof/>
          <w:color w:val="000000"/>
          <w:szCs w:val="22"/>
        </w:rPr>
      </w:pPr>
      <w:r>
        <w:rPr>
          <w:bCs/>
          <w:noProof/>
          <w:color w:val="000000"/>
          <w:szCs w:val="22"/>
        </w:rPr>
        <w:t>180.</w:t>
      </w:r>
      <w:r>
        <w:rPr>
          <w:bCs/>
          <w:noProof/>
          <w:color w:val="000000"/>
          <w:szCs w:val="22"/>
        </w:rPr>
        <w:tab/>
        <w:t>El marco de la reforma educacional hace reconocimiento explícito de la necesidad de tomar en cuenta las características lingüísticas y culturales en el desarrollo del currículo escolar, como una mayor garantía para el logro efectivo de los aprendizajes.  Un primer camino de concreción de la educación intercultural consiste en las adecuaciones curriculares de los Planes y Programas de Estudio propuestos por el MINEDUC y aplicados en muchos de los establecimientos educacionales del país, mediante la elaboración de programaciones de aula por parte de los propios profesores en función de la realidad educativa y cultural que tienen los alumnos y alumnas.  Un segundo camino consiste en el diseño y organización de un currículo intercultural bilingüe basado en las disposiciones legales sobre educación en cuanto a que los establecimientos educacionales tienen libertad para fijar planes y programas de estudio en forma parcial o total respecto de los cursos o ciclos de enseñanza, considerando expresamente los Objetivos Fundamentales y Contenidos Mínimos Obligatorios del nivel de enseñanza correspondiente A partir de ello, se han logrado avances en lo siguiente:</w:t>
      </w:r>
    </w:p>
    <w:p w:rsidR="00000000" w:rsidRDefault="00000000">
      <w:pPr>
        <w:spacing w:after="240"/>
        <w:ind w:left="1134" w:hanging="567"/>
        <w:rPr>
          <w:bCs/>
          <w:noProof/>
          <w:color w:val="000000"/>
          <w:szCs w:val="22"/>
        </w:rPr>
      </w:pPr>
      <w:r>
        <w:rPr>
          <w:bCs/>
          <w:noProof/>
          <w:color w:val="000000"/>
          <w:szCs w:val="22"/>
        </w:rPr>
        <w:t>a)</w:t>
      </w:r>
      <w:r>
        <w:rPr>
          <w:bCs/>
          <w:noProof/>
          <w:color w:val="000000"/>
          <w:szCs w:val="22"/>
        </w:rPr>
        <w:tab/>
        <w:t>Desarrollo de proyectos curriculares interculturales y bilingües en los establecimientos educacionales del país.  Se han elaborado textos de sistematización de los contenidos culturales curriculares mapuche, del pueblo atacameño y unidades didácticas en EIB para educación prebásica y básica.</w:t>
      </w:r>
    </w:p>
    <w:p w:rsidR="00000000" w:rsidRDefault="00000000">
      <w:pPr>
        <w:spacing w:after="240"/>
        <w:ind w:left="1134" w:hanging="567"/>
        <w:rPr>
          <w:bCs/>
          <w:noProof/>
          <w:color w:val="000000"/>
          <w:szCs w:val="22"/>
        </w:rPr>
      </w:pPr>
      <w:r>
        <w:rPr>
          <w:bCs/>
          <w:noProof/>
          <w:color w:val="000000"/>
          <w:szCs w:val="22"/>
        </w:rPr>
        <w:t>b)</w:t>
      </w:r>
      <w:r>
        <w:rPr>
          <w:bCs/>
          <w:noProof/>
          <w:color w:val="000000"/>
          <w:szCs w:val="22"/>
        </w:rPr>
        <w:tab/>
        <w:t>Desarrollo de estrategias de participación comunitaria indígena en la gestión educativa institucional, para lo cual se han desarrollado 15 campañas para la sensibilización de la EIB.</w:t>
      </w:r>
    </w:p>
    <w:p w:rsidR="00000000" w:rsidRDefault="00000000">
      <w:pPr>
        <w:spacing w:after="240"/>
        <w:ind w:left="1134" w:hanging="567"/>
        <w:rPr>
          <w:bCs/>
          <w:noProof/>
          <w:color w:val="000000"/>
          <w:szCs w:val="22"/>
        </w:rPr>
      </w:pPr>
      <w:r>
        <w:rPr>
          <w:bCs/>
          <w:noProof/>
          <w:color w:val="000000"/>
          <w:szCs w:val="22"/>
        </w:rPr>
        <w:t>c)</w:t>
      </w:r>
      <w:r>
        <w:rPr>
          <w:bCs/>
          <w:noProof/>
          <w:color w:val="000000"/>
          <w:szCs w:val="22"/>
        </w:rPr>
        <w:tab/>
        <w:t>Desarrollo técnicopedagógico de la educación intercultural bilingüe mediante la elaboración de libros de texto, guías didácticas y materiales de enseñanza para la población escolar indígena de los pueblos con vitalidad etnolingüística (aymara, rapanui y mapuche).</w:t>
      </w:r>
    </w:p>
    <w:p w:rsidR="00000000" w:rsidRDefault="00000000">
      <w:pPr>
        <w:spacing w:after="240"/>
        <w:ind w:left="1134" w:hanging="567"/>
        <w:rPr>
          <w:bCs/>
          <w:noProof/>
          <w:color w:val="000000"/>
          <w:szCs w:val="22"/>
        </w:rPr>
      </w:pPr>
      <w:r>
        <w:rPr>
          <w:bCs/>
          <w:noProof/>
          <w:color w:val="000000"/>
          <w:szCs w:val="22"/>
        </w:rPr>
        <w:t>d)</w:t>
      </w:r>
      <w:r>
        <w:rPr>
          <w:bCs/>
          <w:noProof/>
          <w:color w:val="000000"/>
          <w:szCs w:val="22"/>
        </w:rPr>
        <w:tab/>
        <w:t>Mantenimiento y desarrollo de las lenguas indígenas consistente en la codificación, estandarización y modernización de las lenguas con vitalidad lingüística y de recuperación lingüística de las lenguas en proceso de extinción (kunza, kolla, yagán y kawashkar).  Para cumplir con este objetivo se han publicado libros, diccionarios, gramáticas, software educativos de diversas lenguas indígenas.</w:t>
      </w:r>
    </w:p>
    <w:p w:rsidR="00000000" w:rsidRDefault="00000000">
      <w:pPr>
        <w:spacing w:after="240"/>
        <w:ind w:left="1134" w:hanging="567"/>
        <w:rPr>
          <w:bCs/>
          <w:noProof/>
          <w:color w:val="000000"/>
          <w:szCs w:val="22"/>
        </w:rPr>
      </w:pPr>
      <w:r>
        <w:rPr>
          <w:bCs/>
          <w:noProof/>
          <w:color w:val="000000"/>
          <w:szCs w:val="22"/>
        </w:rPr>
        <w:t>e)</w:t>
      </w:r>
      <w:r>
        <w:rPr>
          <w:bCs/>
          <w:noProof/>
          <w:color w:val="000000"/>
          <w:szCs w:val="22"/>
        </w:rPr>
        <w:tab/>
        <w:t>Formación de los docentes en servicio en educación intercultural bilingüe.  Se han capacitado 265 docentes.</w:t>
      </w:r>
    </w:p>
    <w:p w:rsidR="00000000" w:rsidRDefault="00000000">
      <w:pPr>
        <w:widowControl w:val="0"/>
        <w:tabs>
          <w:tab w:val="left" w:pos="-3828"/>
          <w:tab w:val="left" w:pos="-3686"/>
        </w:tabs>
        <w:spacing w:after="240"/>
        <w:rPr>
          <w:bCs/>
          <w:noProof/>
          <w:color w:val="000000"/>
          <w:szCs w:val="22"/>
        </w:rPr>
      </w:pPr>
      <w:r>
        <w:rPr>
          <w:bCs/>
          <w:noProof/>
          <w:color w:val="000000"/>
          <w:szCs w:val="22"/>
        </w:rPr>
        <w:t>181.</w:t>
      </w:r>
      <w:r>
        <w:rPr>
          <w:bCs/>
          <w:noProof/>
          <w:color w:val="000000"/>
          <w:szCs w:val="22"/>
        </w:rPr>
        <w:tab/>
        <w:t>Mediante el programa de Educación Intercultural Bilingue (PEIB) se responde a la demanda que la Ley indígena N°19.253 plantea en relación con la construcción de una propuesta curricular pertinente a la diversidad cultural y lingüística de los niños y niñas del país, posible de ser incorporada en los programas de educación del MINEDUC.  La propuesta educativa considera:</w:t>
      </w:r>
    </w:p>
    <w:p w:rsidR="00000000" w:rsidRDefault="00000000">
      <w:pPr>
        <w:tabs>
          <w:tab w:val="left" w:pos="-3828"/>
          <w:tab w:val="left" w:pos="-3686"/>
        </w:tabs>
        <w:spacing w:after="240"/>
        <w:ind w:left="924" w:hanging="357"/>
        <w:rPr>
          <w:bCs/>
          <w:noProof/>
          <w:color w:val="000000"/>
          <w:szCs w:val="22"/>
        </w:rPr>
      </w:pPr>
      <w:r>
        <w:rPr>
          <w:bCs/>
          <w:noProof/>
          <w:color w:val="000000"/>
          <w:szCs w:val="22"/>
        </w:rPr>
        <w:t>-</w:t>
      </w:r>
      <w:r>
        <w:rPr>
          <w:bCs/>
          <w:noProof/>
          <w:color w:val="000000"/>
          <w:szCs w:val="22"/>
        </w:rPr>
        <w:tab/>
        <w:t>El desarrollo de estrategias de incorporación de la familia y la comunidad indígena en los procesos de enseñanza aprendizaje de la escuela;</w:t>
      </w:r>
    </w:p>
    <w:p w:rsidR="00000000" w:rsidRDefault="00000000">
      <w:pPr>
        <w:tabs>
          <w:tab w:val="left" w:pos="-3828"/>
          <w:tab w:val="left" w:pos="-3686"/>
        </w:tabs>
        <w:spacing w:after="240"/>
        <w:ind w:left="924" w:hanging="357"/>
        <w:rPr>
          <w:bCs/>
          <w:noProof/>
          <w:color w:val="000000"/>
          <w:szCs w:val="22"/>
        </w:rPr>
      </w:pPr>
      <w:r>
        <w:rPr>
          <w:bCs/>
          <w:noProof/>
          <w:color w:val="000000"/>
          <w:szCs w:val="22"/>
        </w:rPr>
        <w:t>-</w:t>
      </w:r>
      <w:r>
        <w:rPr>
          <w:bCs/>
          <w:noProof/>
          <w:color w:val="000000"/>
          <w:szCs w:val="22"/>
        </w:rPr>
        <w:tab/>
        <w:t>La elaboración participativa de proyectos educativos institucionales orientados a la interculturalidad y el bilingüismo;</w:t>
      </w:r>
    </w:p>
    <w:p w:rsidR="00000000" w:rsidRDefault="00000000">
      <w:pPr>
        <w:tabs>
          <w:tab w:val="left" w:pos="-3828"/>
          <w:tab w:val="left" w:pos="-3686"/>
        </w:tabs>
        <w:spacing w:after="240"/>
        <w:ind w:left="924" w:hanging="357"/>
        <w:rPr>
          <w:bCs/>
          <w:noProof/>
          <w:color w:val="000000"/>
          <w:szCs w:val="22"/>
        </w:rPr>
      </w:pPr>
      <w:r>
        <w:rPr>
          <w:bCs/>
          <w:noProof/>
          <w:color w:val="000000"/>
          <w:szCs w:val="22"/>
        </w:rPr>
        <w:t>-</w:t>
      </w:r>
      <w:r>
        <w:rPr>
          <w:bCs/>
          <w:noProof/>
          <w:color w:val="000000"/>
          <w:szCs w:val="22"/>
        </w:rPr>
        <w:tab/>
        <w:t>El desarrollo profesional y mejoramiento de las prácticas pedagógicas de los docentes que se desempeñan en contextos culturales;</w:t>
      </w:r>
    </w:p>
    <w:p w:rsidR="00000000" w:rsidRDefault="00000000">
      <w:pPr>
        <w:tabs>
          <w:tab w:val="left" w:pos="-3828"/>
          <w:tab w:val="left" w:pos="-3686"/>
        </w:tabs>
        <w:spacing w:after="240"/>
        <w:ind w:left="924" w:hanging="357"/>
        <w:rPr>
          <w:bCs/>
          <w:noProof/>
          <w:color w:val="000000"/>
          <w:szCs w:val="22"/>
        </w:rPr>
      </w:pPr>
      <w:r>
        <w:rPr>
          <w:bCs/>
          <w:noProof/>
          <w:color w:val="000000"/>
          <w:szCs w:val="22"/>
        </w:rPr>
        <w:t>-</w:t>
      </w:r>
      <w:r>
        <w:rPr>
          <w:bCs/>
          <w:noProof/>
          <w:color w:val="000000"/>
          <w:szCs w:val="22"/>
        </w:rPr>
        <w:tab/>
        <w:t>La adquisición, elaboración y distribución materiales pedagógicos adecuados al contexto sociocultural y lingüístico de las niñas y niños indígenas del país;</w:t>
      </w:r>
    </w:p>
    <w:p w:rsidR="00000000" w:rsidRDefault="00000000">
      <w:pPr>
        <w:tabs>
          <w:tab w:val="left" w:pos="-3828"/>
          <w:tab w:val="left" w:pos="-3686"/>
        </w:tabs>
        <w:spacing w:after="240"/>
        <w:ind w:left="924" w:hanging="357"/>
        <w:rPr>
          <w:bCs/>
          <w:noProof/>
          <w:color w:val="000000"/>
          <w:szCs w:val="22"/>
        </w:rPr>
      </w:pPr>
      <w:r>
        <w:rPr>
          <w:bCs/>
          <w:noProof/>
          <w:color w:val="000000"/>
          <w:szCs w:val="22"/>
        </w:rPr>
        <w:t>-</w:t>
      </w:r>
      <w:r>
        <w:rPr>
          <w:bCs/>
          <w:noProof/>
          <w:color w:val="000000"/>
          <w:szCs w:val="22"/>
        </w:rPr>
        <w:tab/>
        <w:t>El fomento al desarrollo de iniciativas locales que se encuentren orientadas a producir cambios en las prácticas pedagógicas y en los modelos participativos de gestión de las escuelas en el marco de la EIB;</w:t>
      </w:r>
    </w:p>
    <w:p w:rsidR="00000000" w:rsidRDefault="00000000">
      <w:pPr>
        <w:tabs>
          <w:tab w:val="left" w:pos="-3828"/>
          <w:tab w:val="left" w:pos="-3686"/>
        </w:tabs>
        <w:spacing w:after="240"/>
        <w:ind w:left="924" w:hanging="357"/>
        <w:rPr>
          <w:bCs/>
          <w:noProof/>
          <w:color w:val="000000"/>
          <w:szCs w:val="22"/>
        </w:rPr>
      </w:pPr>
      <w:r>
        <w:rPr>
          <w:bCs/>
          <w:noProof/>
          <w:color w:val="000000"/>
          <w:szCs w:val="22"/>
        </w:rPr>
        <w:t>-</w:t>
      </w:r>
      <w:r>
        <w:rPr>
          <w:bCs/>
          <w:noProof/>
          <w:color w:val="000000"/>
          <w:szCs w:val="22"/>
        </w:rPr>
        <w:tab/>
        <w:t>Los mecanismos desarrollados para garantizar el acceso de todos los niños y niñas, los niños con necesidades especiales y los niños en circunstancias especiales difíciles, a una educación idónea adaptada a su edad y madurez.</w:t>
      </w:r>
    </w:p>
    <w:p w:rsidR="00000000" w:rsidRDefault="00000000">
      <w:pPr>
        <w:widowControl w:val="0"/>
        <w:tabs>
          <w:tab w:val="left" w:pos="-3828"/>
          <w:tab w:val="left" w:pos="-3686"/>
        </w:tabs>
        <w:spacing w:after="220" w:line="238" w:lineRule="auto"/>
        <w:rPr>
          <w:bCs/>
          <w:noProof/>
          <w:color w:val="000000"/>
          <w:szCs w:val="22"/>
        </w:rPr>
      </w:pPr>
      <w:r>
        <w:rPr>
          <w:bCs/>
          <w:noProof/>
          <w:color w:val="000000"/>
          <w:szCs w:val="22"/>
        </w:rPr>
        <w:t>182.</w:t>
      </w:r>
      <w:r>
        <w:rPr>
          <w:bCs/>
          <w:noProof/>
          <w:color w:val="000000"/>
          <w:szCs w:val="22"/>
        </w:rPr>
        <w:tab/>
        <w:t>La Junta Nacional de Jardines Infantiles (JUNJI), organismo público especializado en materias de educación parvularia en Chile, creó a partir del año 1990, el Programa Jardín Infantil en Comunidades Indígenas, con un currículo específico para cada uno de los pueblos indígenas que existen en el país.  Fue diseñado con amplia participación de las comunidades, y enfatiza el rescate de los aspectos culturales específicos de estos pueblos.  Destaca el sentido de pertenencia y la lengua materna, considerando que los párvulos menores de 6 años están en una etapa propicia para la reafirmación de su propia identidad.  En la actualidad funciona un total de 69 jardines en esta modalidad donde se atiende un total de 1.293 niños y niñas, además la modalidad jardín infantil en comunidad itinerante atiende a los niños y niñas a través de una Técnica en Educación Parvularia que se desplaza hacia las comunidades en las que viven las familias y realiza actividades con los niños y niñas mapuches, pehuenches y huilliches en la sede social que cada comunidad tiene, o en sus hogares, dependiendo de la distancia y particulares realidades de las familias.  Se atiende a 205 niños y niñas.  La JUNJI, atiende aproximadamente 1.434 niños y niñas de diferentes comunidades indígenas del norte, centro y sur del país, lo que representa un costo anual de 586.056 dólares de los EE.UU.  La atención se efectúa mediante dos modalidades.</w:t>
      </w:r>
    </w:p>
    <w:p w:rsidR="00000000" w:rsidRDefault="00000000">
      <w:pPr>
        <w:widowControl w:val="0"/>
        <w:tabs>
          <w:tab w:val="left" w:pos="-3828"/>
          <w:tab w:val="left" w:pos="-3686"/>
        </w:tabs>
        <w:spacing w:after="220" w:line="238" w:lineRule="auto"/>
        <w:rPr>
          <w:bCs/>
          <w:noProof/>
          <w:color w:val="000000"/>
          <w:szCs w:val="22"/>
        </w:rPr>
      </w:pPr>
      <w:r>
        <w:rPr>
          <w:bCs/>
          <w:noProof/>
          <w:color w:val="000000"/>
          <w:szCs w:val="22"/>
        </w:rPr>
        <w:t>183.</w:t>
      </w:r>
      <w:r>
        <w:rPr>
          <w:bCs/>
          <w:noProof/>
          <w:color w:val="000000"/>
          <w:szCs w:val="22"/>
        </w:rPr>
        <w:tab/>
      </w:r>
      <w:r>
        <w:rPr>
          <w:bCs/>
          <w:i/>
          <w:iCs/>
          <w:noProof/>
          <w:color w:val="000000"/>
          <w:szCs w:val="22"/>
        </w:rPr>
        <w:t>Educación Especial.</w:t>
      </w:r>
      <w:r>
        <w:rPr>
          <w:bCs/>
          <w:noProof/>
          <w:color w:val="000000"/>
          <w:szCs w:val="22"/>
        </w:rPr>
        <w:t xml:space="preserve">  La educación especial como modalidad diferenciada de la educación general desarrolla su acción preferentemente en el sistema de educación regular proveyendo de recursos y servicios especializados a las personas con necesidades educativas especiales en todos los niveles y modalidades de la educación (parvularia, básica, media y superior).  A partir de la promulgación de la Ley sobre discapacidad de 1994, y el reglamento que estableció las normas para la plena integración de las personas con discapacidad, se ha continuado con el impulso al desarrollo de proyectos de integración educacional, lo que se ha traducido en un incremento sostenido de la cobertura para los alumnos con necesidades educativas especiales derivadas de una discapacidad.  Las modalidades de atención educativa para niños y niñas con necesidades educativas especiales son las siguientes:</w:t>
      </w:r>
    </w:p>
    <w:p w:rsidR="00000000" w:rsidRDefault="00000000">
      <w:pPr>
        <w:widowControl w:val="0"/>
        <w:tabs>
          <w:tab w:val="left" w:pos="-3828"/>
          <w:tab w:val="left" w:pos="-3686"/>
        </w:tabs>
        <w:spacing w:after="220" w:line="238" w:lineRule="auto"/>
        <w:ind w:left="567"/>
        <w:rPr>
          <w:bCs/>
          <w:noProof/>
          <w:color w:val="000000"/>
          <w:szCs w:val="22"/>
        </w:rPr>
      </w:pPr>
      <w:r>
        <w:rPr>
          <w:bCs/>
          <w:i/>
          <w:noProof/>
          <w:color w:val="000000"/>
          <w:szCs w:val="22"/>
        </w:rPr>
        <w:t>Integración</w:t>
      </w:r>
      <w:r>
        <w:rPr>
          <w:bCs/>
          <w:noProof/>
          <w:color w:val="000000"/>
          <w:szCs w:val="22"/>
        </w:rPr>
        <w:t>.  Las escuelas regulares atienden niños y niñas con necesidades educativas especiales de dos formas:  proyectos de integración escolar para aquellos alumnos y alumnas con necesidades educativas especiales asociadas a una discapacidad y grupos diferenciales para aquellos alumnos y alumnas con necesidades educativas especiales no asociados a una discapacidad.</w:t>
      </w:r>
    </w:p>
    <w:p w:rsidR="00000000" w:rsidRDefault="00000000">
      <w:pPr>
        <w:widowControl w:val="0"/>
        <w:tabs>
          <w:tab w:val="left" w:pos="-3828"/>
          <w:tab w:val="left" w:pos="-3686"/>
        </w:tabs>
        <w:spacing w:after="220" w:line="238" w:lineRule="auto"/>
        <w:ind w:left="567"/>
        <w:rPr>
          <w:bCs/>
          <w:noProof/>
          <w:color w:val="000000"/>
          <w:szCs w:val="22"/>
        </w:rPr>
      </w:pPr>
      <w:r>
        <w:rPr>
          <w:bCs/>
          <w:noProof/>
          <w:color w:val="000000"/>
          <w:szCs w:val="22"/>
        </w:rPr>
        <w:tab/>
        <w:t>Dado el aumento de cobertura aproximado al año 2005, la población con discapacidad atendida a través de los proyectos de integración representaría el 8% del total de la población con discapacidad estimada para el país (300.000 personas con discapacidad en edad escolar).</w:t>
      </w:r>
    </w:p>
    <w:p w:rsidR="00000000" w:rsidRDefault="00000000">
      <w:pPr>
        <w:widowControl w:val="0"/>
        <w:tabs>
          <w:tab w:val="left" w:pos="-3828"/>
          <w:tab w:val="left" w:pos="-3686"/>
        </w:tabs>
        <w:spacing w:after="220" w:line="238" w:lineRule="auto"/>
        <w:ind w:left="567"/>
        <w:rPr>
          <w:bCs/>
          <w:noProof/>
          <w:color w:val="000000"/>
          <w:szCs w:val="22"/>
        </w:rPr>
      </w:pPr>
      <w:r>
        <w:rPr>
          <w:bCs/>
          <w:i/>
          <w:iCs/>
          <w:noProof/>
          <w:color w:val="000000"/>
          <w:szCs w:val="22"/>
        </w:rPr>
        <w:t>Grupos diferenciales</w:t>
      </w:r>
      <w:r>
        <w:rPr>
          <w:bCs/>
          <w:noProof/>
          <w:color w:val="000000"/>
          <w:szCs w:val="22"/>
        </w:rPr>
        <w:t>.  Los alumnos que presentan necesidades educativas especiales no asociadas a discapacidad y que presentan dificultades de aprendizaje escolar son atendidos en escuelas de Educación General Básica, con apoyo pedagógico especializado, en forma complementaria en grupos diferenciales que funcionan en aulas de recursos, alcanzando un promedio de 67.170 alumnos, el año 2003.</w:t>
      </w:r>
    </w:p>
    <w:p w:rsidR="00000000" w:rsidRDefault="00000000">
      <w:pPr>
        <w:widowControl w:val="0"/>
        <w:tabs>
          <w:tab w:val="left" w:pos="-3828"/>
          <w:tab w:val="left" w:pos="-3686"/>
        </w:tabs>
        <w:spacing w:after="220" w:line="238" w:lineRule="auto"/>
        <w:ind w:left="567"/>
        <w:rPr>
          <w:bCs/>
          <w:noProof/>
          <w:color w:val="000000"/>
          <w:szCs w:val="22"/>
        </w:rPr>
      </w:pPr>
      <w:r>
        <w:rPr>
          <w:bCs/>
          <w:i/>
          <w:iCs/>
          <w:noProof/>
          <w:color w:val="000000"/>
          <w:szCs w:val="22"/>
        </w:rPr>
        <w:t>Escuelas especiales</w:t>
      </w:r>
      <w:r>
        <w:rPr>
          <w:bCs/>
          <w:noProof/>
          <w:color w:val="000000"/>
          <w:szCs w:val="22"/>
        </w:rPr>
        <w:t>.  Se agrupan en dos grandes tipos:  las aulas y escuelas hospitalarias y, aquellas que ofrecen servicios educativos para los alumnos y alumnas con discapacidad intelectual, auditiva, visual, motora; por graves alteraciones en la capacidad de relación y comunicación; y trastornos de la comunicación oral.</w:t>
      </w:r>
    </w:p>
    <w:p w:rsidR="00000000" w:rsidRDefault="00000000">
      <w:pPr>
        <w:widowControl w:val="0"/>
        <w:tabs>
          <w:tab w:val="left" w:pos="-3828"/>
          <w:tab w:val="left" w:pos="-3686"/>
        </w:tabs>
        <w:spacing w:after="220" w:line="238" w:lineRule="auto"/>
        <w:ind w:left="567"/>
        <w:rPr>
          <w:bCs/>
          <w:noProof/>
          <w:color w:val="000000"/>
          <w:szCs w:val="22"/>
        </w:rPr>
      </w:pPr>
      <w:r>
        <w:rPr>
          <w:bCs/>
          <w:i/>
          <w:iCs/>
          <w:noProof/>
          <w:color w:val="000000"/>
          <w:szCs w:val="22"/>
        </w:rPr>
        <w:t>Aulas y escuelas hospitalarias</w:t>
      </w:r>
      <w:r>
        <w:rPr>
          <w:bCs/>
          <w:noProof/>
          <w:color w:val="000000"/>
          <w:szCs w:val="22"/>
        </w:rPr>
        <w:t>.  Se trata de una modalidad creada el año 2001, que ofrece educación compensatoria a alumnos y alumnas del sistema regular y especial que, por problemas de salud, deben permanecer en centros hospitalarios o en tratamiento ambulatorio durante un período sostenido de tiempo.</w:t>
      </w:r>
    </w:p>
    <w:p w:rsidR="00000000" w:rsidRDefault="00000000">
      <w:pPr>
        <w:widowControl w:val="0"/>
        <w:tabs>
          <w:tab w:val="left" w:pos="-3828"/>
          <w:tab w:val="left" w:pos="-3686"/>
        </w:tabs>
        <w:spacing w:after="240"/>
        <w:rPr>
          <w:bCs/>
          <w:noProof/>
          <w:color w:val="000000"/>
          <w:szCs w:val="22"/>
        </w:rPr>
      </w:pPr>
      <w:r>
        <w:rPr>
          <w:bCs/>
          <w:noProof/>
          <w:color w:val="000000"/>
          <w:szCs w:val="22"/>
        </w:rPr>
        <w:t>184.</w:t>
      </w:r>
      <w:r>
        <w:rPr>
          <w:bCs/>
          <w:noProof/>
          <w:color w:val="000000"/>
          <w:szCs w:val="22"/>
        </w:rPr>
        <w:tab/>
        <w:t>En relación a la planta docente, el número efectivo de docentes que trabajan en el sistema escolar es de 146.918 de los cuáles un 70% son mujeres.  El 90,4% de los docentes posee el título profesional correspondiente.  Del total de docentes que se desempeña en el sistema escolar, 125.615 se desempeña como docente de aula.</w:t>
      </w:r>
    </w:p>
    <w:p w:rsidR="00000000" w:rsidRDefault="00000000">
      <w:pPr>
        <w:widowControl w:val="0"/>
        <w:tabs>
          <w:tab w:val="left" w:pos="-3828"/>
          <w:tab w:val="left" w:pos="-3686"/>
        </w:tabs>
        <w:spacing w:after="240"/>
        <w:rPr>
          <w:bCs/>
          <w:noProof/>
          <w:color w:val="000000"/>
          <w:szCs w:val="22"/>
        </w:rPr>
      </w:pPr>
      <w:r>
        <w:rPr>
          <w:bCs/>
          <w:noProof/>
          <w:color w:val="000000"/>
          <w:szCs w:val="22"/>
        </w:rPr>
        <w:t>185.</w:t>
      </w:r>
      <w:r>
        <w:rPr>
          <w:bCs/>
          <w:noProof/>
          <w:color w:val="000000"/>
          <w:szCs w:val="22"/>
        </w:rPr>
        <w:tab/>
        <w:t>La reforma educacional en curso ha tenido como uno de sus principales componentes el "fortalecimiento de la profesión docente", que puede describirse en los siguientes planos:</w:t>
      </w:r>
    </w:p>
    <w:p w:rsidR="00000000" w:rsidRDefault="00000000">
      <w:pPr>
        <w:spacing w:after="240"/>
        <w:ind w:left="1134" w:hanging="567"/>
        <w:rPr>
          <w:bCs/>
          <w:noProof/>
          <w:color w:val="000000"/>
          <w:szCs w:val="22"/>
        </w:rPr>
      </w:pPr>
      <w:r>
        <w:rPr>
          <w:bCs/>
          <w:noProof/>
          <w:color w:val="000000"/>
          <w:szCs w:val="22"/>
        </w:rPr>
        <w:t>a)</w:t>
      </w:r>
      <w:r>
        <w:rPr>
          <w:bCs/>
          <w:noProof/>
          <w:color w:val="000000"/>
          <w:szCs w:val="22"/>
        </w:rPr>
        <w:tab/>
      </w:r>
      <w:r>
        <w:rPr>
          <w:bCs/>
          <w:i/>
          <w:iCs/>
          <w:noProof/>
          <w:color w:val="000000"/>
          <w:szCs w:val="22"/>
        </w:rPr>
        <w:t>Regulación de las condiciones laborales y mejoramiento salarial de los docentes</w:t>
      </w:r>
      <w:r>
        <w:rPr>
          <w:bCs/>
          <w:noProof/>
          <w:color w:val="000000"/>
          <w:szCs w:val="22"/>
        </w:rPr>
        <w:t xml:space="preserve"> (ver antecedentes de las reformas en el segundo informe).  En el año 2001, la remuneración promedio de un docente del sector municipal con 30 horas semanales de contrato, fue de 677,60 dólares de los EE.UU., en tanto que la remuneración mínima para los docentes municipales y los privados subvencionados, con el mismo horario, fue de 420,67 dólares de los EE.UU.  En 1990, antes de la dictación del Estatuto Docente de 1991, estos mismos salarios eran de 271,18 dólares de los EE.UU., como promedio del sector municipal, 159,25 dólares de los EE.UU., como mínimo del mismo sector y 76,70 dólares de los EE.UU., como mínimo del sector privado subvencionado.  Se estableció un incentivo salarial por desempeño de excelencia individual para los docentes de aula que sean acreditados como tales.  En el año 2004 se convocó a postulación voluntaria y se presentaron 7.000 docentes para obtener esta asignación para la cual hay 3.200 cupos disponibles.  El monto promedio de la asignación de excelencia pedagógica equivale aproximadamente a un salario mensual.</w:t>
      </w:r>
    </w:p>
    <w:p w:rsidR="00000000" w:rsidRDefault="00000000">
      <w:pPr>
        <w:spacing w:after="240"/>
        <w:ind w:left="1134" w:hanging="567"/>
        <w:rPr>
          <w:bCs/>
          <w:noProof/>
          <w:color w:val="000000"/>
          <w:szCs w:val="22"/>
        </w:rPr>
      </w:pPr>
      <w:r>
        <w:rPr>
          <w:bCs/>
          <w:noProof/>
          <w:color w:val="000000"/>
          <w:szCs w:val="22"/>
        </w:rPr>
        <w:t>b)</w:t>
      </w:r>
      <w:r>
        <w:rPr>
          <w:bCs/>
          <w:noProof/>
          <w:color w:val="000000"/>
          <w:szCs w:val="22"/>
        </w:rPr>
        <w:tab/>
      </w:r>
      <w:r>
        <w:rPr>
          <w:bCs/>
          <w:i/>
          <w:iCs/>
          <w:noProof/>
          <w:color w:val="000000"/>
          <w:szCs w:val="22"/>
        </w:rPr>
        <w:t>Programa de Fortalecimiento de la Formación Inicial Docente (FFID)</w:t>
      </w:r>
      <w:r>
        <w:rPr>
          <w:bCs/>
          <w:noProof/>
          <w:color w:val="000000"/>
          <w:szCs w:val="22"/>
        </w:rPr>
        <w:t>.  Este Programa se desarrolla desde el año 1997 y tiene una duración de cinco años.  El Programa se estructuró sobre la base de un concurso de proyectos para acceder a fondos de alrededor de 30 millones de dólares, para ser ejecutados durante un período de cuatro años (1998-2000), recibiendo cada una de las universidades en promedio aproximado, 1.800.000 dólares.  Los proyectos se adjudicaron a 17 universidades que atienden el 78% de los estudiantes de pedagogía.  El Programa también comprende un fondo para otorgar becas de arancel y materiales de estudio a estudiantes con buenos antecedentes académicos provenientes de la educación media.</w:t>
      </w:r>
    </w:p>
    <w:p w:rsidR="00000000" w:rsidRDefault="00000000">
      <w:pPr>
        <w:spacing w:after="240"/>
        <w:ind w:left="1134" w:hanging="567"/>
        <w:rPr>
          <w:bCs/>
          <w:noProof/>
          <w:color w:val="000000"/>
          <w:szCs w:val="22"/>
        </w:rPr>
      </w:pPr>
      <w:r>
        <w:rPr>
          <w:bCs/>
          <w:noProof/>
          <w:color w:val="000000"/>
          <w:szCs w:val="22"/>
        </w:rPr>
        <w:t>c)</w:t>
      </w:r>
      <w:r>
        <w:rPr>
          <w:bCs/>
          <w:noProof/>
          <w:color w:val="000000"/>
          <w:szCs w:val="22"/>
        </w:rPr>
        <w:tab/>
      </w:r>
      <w:r>
        <w:rPr>
          <w:bCs/>
          <w:i/>
          <w:iCs/>
          <w:noProof/>
          <w:color w:val="000000"/>
          <w:szCs w:val="22"/>
        </w:rPr>
        <w:t>Nuevas oportunidades de desarrollo profesional</w:t>
      </w:r>
    </w:p>
    <w:p w:rsidR="00000000" w:rsidRDefault="00000000">
      <w:pPr>
        <w:tabs>
          <w:tab w:val="left" w:pos="-3828"/>
          <w:tab w:val="left" w:pos="-3686"/>
        </w:tabs>
        <w:spacing w:after="240"/>
        <w:ind w:left="1491" w:hanging="357"/>
        <w:rPr>
          <w:bCs/>
          <w:noProof/>
          <w:color w:val="000000"/>
          <w:szCs w:val="22"/>
        </w:rPr>
      </w:pPr>
      <w:r>
        <w:rPr>
          <w:bCs/>
          <w:noProof/>
          <w:color w:val="000000"/>
          <w:szCs w:val="22"/>
        </w:rPr>
        <w:t>-</w:t>
      </w:r>
      <w:r>
        <w:rPr>
          <w:bCs/>
          <w:noProof/>
          <w:color w:val="000000"/>
          <w:szCs w:val="22"/>
        </w:rPr>
        <w:tab/>
        <w:t xml:space="preserve">Desde el año 1996, se ha contado con el programa ministerial de "Perfeccionamiento en el Extranjero para Profesionales de la Educación".  Hasta el año 2000 el programa contemplaba dos modalidades:  las pasantías, de corta duración (entre 6 y 8 semanas) orientadas a la apropiación de experiencias pedagógicas exitosas realizadas por instituciones académicas de prestigio en el extranjero; y los diplomados, de 6 meses de duración y cuyo desarrollo contempla 3 meses en Chile y 3 en el extranjero.  A través de estas modalidades, hasta el 2000 inclusive, fueron beneficiados con becas de estudio 4.138 profesionales de la educación provenientes de todo del país y de todos los niveles del sistema.  </w:t>
      </w:r>
    </w:p>
    <w:p w:rsidR="00000000" w:rsidRDefault="00000000">
      <w:pPr>
        <w:tabs>
          <w:tab w:val="left" w:pos="-3828"/>
          <w:tab w:val="left" w:pos="-3686"/>
        </w:tabs>
        <w:spacing w:after="240"/>
        <w:ind w:left="1491" w:hanging="357"/>
        <w:rPr>
          <w:bCs/>
          <w:noProof/>
          <w:color w:val="000000"/>
          <w:szCs w:val="22"/>
        </w:rPr>
      </w:pPr>
      <w:r>
        <w:rPr>
          <w:bCs/>
          <w:noProof/>
          <w:color w:val="000000"/>
          <w:szCs w:val="22"/>
        </w:rPr>
        <w:t>-</w:t>
      </w:r>
      <w:r>
        <w:rPr>
          <w:bCs/>
          <w:noProof/>
          <w:color w:val="000000"/>
          <w:szCs w:val="22"/>
        </w:rPr>
        <w:tab/>
        <w:t>Otra línea fundamental en los últimos años ha sido el establecimiento del programa de "Asignación de Excelencia Pedagógica" en el año 2002, cuyo objetivo es lograr el fortalecimiento de la calidad de la educación a través del reconocimiento del mérito profesional de las y los docentes de aula.  Consiste en un beneficio económico que se percibe hasta por un máximo de diez años.</w:t>
      </w:r>
    </w:p>
    <w:p w:rsidR="00000000" w:rsidRDefault="00000000">
      <w:pPr>
        <w:tabs>
          <w:tab w:val="left" w:pos="-3828"/>
          <w:tab w:val="left" w:pos="-3686"/>
        </w:tabs>
        <w:spacing w:after="240"/>
        <w:ind w:left="1491" w:hanging="357"/>
        <w:rPr>
          <w:bCs/>
          <w:noProof/>
          <w:color w:val="000000"/>
          <w:szCs w:val="22"/>
        </w:rPr>
      </w:pPr>
      <w:r>
        <w:rPr>
          <w:bCs/>
          <w:noProof/>
          <w:color w:val="000000"/>
          <w:szCs w:val="22"/>
        </w:rPr>
        <w:t>-</w:t>
      </w:r>
      <w:r>
        <w:rPr>
          <w:bCs/>
          <w:noProof/>
          <w:color w:val="000000"/>
          <w:szCs w:val="22"/>
        </w:rPr>
        <w:tab/>
        <w:t>A partir del año 2003, se creó la "Red de Maestros de Maestros", formada por profesionales de la educación previamente acreditados como docentes de excelencia, los cuales se dedican a labores de apoyo profesional a otros docentes de aula en diversas líneas de acción.</w:t>
      </w:r>
    </w:p>
    <w:p w:rsidR="00000000" w:rsidRDefault="00000000">
      <w:pPr>
        <w:tabs>
          <w:tab w:val="left" w:pos="-3828"/>
          <w:tab w:val="left" w:pos="-3686"/>
        </w:tabs>
        <w:spacing w:after="240"/>
        <w:ind w:left="1491" w:hanging="357"/>
        <w:rPr>
          <w:bCs/>
          <w:noProof/>
          <w:color w:val="000000"/>
          <w:szCs w:val="22"/>
        </w:rPr>
      </w:pPr>
      <w:r>
        <w:rPr>
          <w:bCs/>
          <w:noProof/>
          <w:color w:val="000000"/>
          <w:szCs w:val="22"/>
        </w:rPr>
        <w:t>-</w:t>
      </w:r>
      <w:r>
        <w:rPr>
          <w:bCs/>
          <w:noProof/>
          <w:color w:val="000000"/>
          <w:szCs w:val="22"/>
        </w:rPr>
        <w:tab/>
        <w:t>Con el fin de garantizar la disponibilidad de docentes para la implementación del Programa Intercultural Bilingüe, dicho programa capacita a recursos humanos del sector público y privado en estrategias de enseñanza y formación basadas en la educación intercultural bilingüe.  Se forma tanto a profesores de las escuelas del programa (PEIB) como a funcionarios, dirigentes indígenas, líderes comunitarios y asistentes sociales encargadas de la Beca Indígena.</w:t>
      </w:r>
    </w:p>
    <w:p w:rsidR="00000000" w:rsidRDefault="00000000">
      <w:pPr>
        <w:widowControl w:val="0"/>
        <w:tabs>
          <w:tab w:val="left" w:pos="-3828"/>
          <w:tab w:val="left" w:pos="-3686"/>
        </w:tabs>
        <w:spacing w:after="240"/>
        <w:rPr>
          <w:bCs/>
          <w:noProof/>
          <w:color w:val="000000"/>
          <w:szCs w:val="22"/>
        </w:rPr>
      </w:pPr>
      <w:r>
        <w:rPr>
          <w:bCs/>
          <w:noProof/>
          <w:color w:val="000000"/>
          <w:szCs w:val="22"/>
        </w:rPr>
        <w:t>186.</w:t>
      </w:r>
      <w:r>
        <w:rPr>
          <w:bCs/>
          <w:noProof/>
          <w:color w:val="000000"/>
          <w:szCs w:val="22"/>
        </w:rPr>
        <w:tab/>
        <w:t>El Ministerio de Educación ha continuado con las políticas orientadas a proveer instalaciones educacionales adecuadas y accesibles.  La implementación de la Jornada Escolar Completa ha requerido la intervención en la infraestructura de los establecimientos, para hacer posible entregar el servicio educativo durante una jornada diaria de mayor duración</w:t>
      </w:r>
      <w:r>
        <w:rPr>
          <w:rStyle w:val="FootnoteReference"/>
          <w:bCs/>
          <w:noProof/>
          <w:color w:val="000000"/>
          <w:szCs w:val="22"/>
        </w:rPr>
        <w:footnoteReference w:id="11"/>
      </w:r>
      <w:r>
        <w:rPr>
          <w:bCs/>
          <w:noProof/>
          <w:color w:val="000000"/>
          <w:szCs w:val="22"/>
        </w:rPr>
        <w:t>.  Como se señaló en el informe anterior, la ampliación de la jornada escolar corresponde a una iniciativa que busca incrementar de manera significativa los tiempos pedagógicos con el propósito de desarrollar mejor el nuevo marco curricular.  La Jornada Escolar Completa (JEC) inició su implementación el año 1997, año en que más de 3.000 establecimientos ingresaron a la JEC.  Desde dicha fecha el crecimiento ha sido sostenido, de modo tal que a abril de 2003, se han incorporado 6.269 establecimientos, lo que representa una matrícula de 1.651.752 estudiantes.  El gran esfuerzo de inversión en infraestructura que supone la ampliación de la jornada escolar ha hecho necesario extender los plazos fijados originalmente, para el ingreso de la totalidad de establecimientos a la JEC.  El año 2007 es plazo para el ingreso de aquellos establecimientos considerados vulnerables</w:t>
      </w:r>
      <w:r>
        <w:rPr>
          <w:rStyle w:val="FootnoteReference"/>
          <w:bCs/>
          <w:noProof/>
          <w:color w:val="000000"/>
          <w:szCs w:val="22"/>
        </w:rPr>
        <w:footnoteReference w:id="12"/>
      </w:r>
      <w:r>
        <w:rPr>
          <w:bCs/>
          <w:noProof/>
          <w:color w:val="000000"/>
          <w:szCs w:val="22"/>
        </w:rPr>
        <w:t>; y el año 2010 para el resto de los establecimientos.</w:t>
      </w:r>
    </w:p>
    <w:p w:rsidR="00000000" w:rsidRDefault="00000000">
      <w:pPr>
        <w:widowControl w:val="0"/>
        <w:tabs>
          <w:tab w:val="left" w:pos="-3828"/>
          <w:tab w:val="left" w:pos="-3686"/>
        </w:tabs>
        <w:spacing w:after="240"/>
        <w:rPr>
          <w:bCs/>
          <w:noProof/>
          <w:color w:val="000000"/>
          <w:szCs w:val="22"/>
        </w:rPr>
      </w:pPr>
      <w:r>
        <w:rPr>
          <w:bCs/>
          <w:noProof/>
          <w:color w:val="000000"/>
          <w:szCs w:val="22"/>
        </w:rPr>
        <w:t>187.</w:t>
      </w:r>
      <w:r>
        <w:rPr>
          <w:bCs/>
          <w:noProof/>
          <w:color w:val="000000"/>
          <w:szCs w:val="22"/>
        </w:rPr>
        <w:tab/>
        <w:t>La inversión realizada en infraestructura ha permitido que entre el año 1997 y el año 2002 los establecimientos subvencionados incorporados pasaran de 3.413 iniciales a 6.001y que la matrícula en jornada escolar completa subiera de 289.808 a 1.200.637 niños y niñas.</w:t>
      </w:r>
    </w:p>
    <w:p w:rsidR="00000000" w:rsidRDefault="00000000">
      <w:pPr>
        <w:keepLines/>
        <w:widowControl w:val="0"/>
        <w:tabs>
          <w:tab w:val="left" w:pos="-3828"/>
          <w:tab w:val="left" w:pos="-3686"/>
        </w:tabs>
        <w:spacing w:after="240"/>
        <w:rPr>
          <w:bCs/>
          <w:noProof/>
          <w:color w:val="000000"/>
          <w:szCs w:val="22"/>
        </w:rPr>
      </w:pPr>
      <w:r>
        <w:rPr>
          <w:bCs/>
          <w:noProof/>
          <w:color w:val="000000"/>
          <w:szCs w:val="22"/>
        </w:rPr>
        <w:t>188.</w:t>
      </w:r>
      <w:r>
        <w:rPr>
          <w:bCs/>
          <w:noProof/>
          <w:color w:val="000000"/>
          <w:szCs w:val="22"/>
        </w:rPr>
        <w:tab/>
        <w:t>La cifra histórica de analfabetismo en Chile continúa bajando.  En 1996 representaba un 4,8% del total de la población mayor de 15 años y en el año 2001 la cifra descendió a un 3,8%.  Durante este período (1996-2001) se alfabetizaron 14.387 personas.</w:t>
      </w:r>
    </w:p>
    <w:p w:rsidR="00000000" w:rsidRDefault="00000000">
      <w:pPr>
        <w:widowControl w:val="0"/>
        <w:tabs>
          <w:tab w:val="left" w:pos="-3828"/>
          <w:tab w:val="left" w:pos="-3686"/>
        </w:tabs>
        <w:spacing w:after="240"/>
        <w:rPr>
          <w:bCs/>
          <w:noProof/>
          <w:color w:val="000000"/>
          <w:szCs w:val="22"/>
        </w:rPr>
      </w:pPr>
      <w:r>
        <w:rPr>
          <w:bCs/>
          <w:noProof/>
          <w:color w:val="000000"/>
          <w:szCs w:val="22"/>
        </w:rPr>
        <w:t>189.</w:t>
      </w:r>
      <w:r>
        <w:rPr>
          <w:bCs/>
          <w:noProof/>
          <w:color w:val="000000"/>
          <w:szCs w:val="22"/>
        </w:rPr>
        <w:tab/>
        <w:t>En el nivel de educación parvularia se ha continuado con la implementación de programas de educación no formal.</w:t>
      </w:r>
    </w:p>
    <w:p w:rsidR="00000000" w:rsidRDefault="00000000">
      <w:pPr>
        <w:tabs>
          <w:tab w:val="left" w:pos="-1985"/>
        </w:tabs>
        <w:spacing w:after="240"/>
        <w:ind w:left="1134" w:hanging="567"/>
        <w:rPr>
          <w:bCs/>
          <w:noProof/>
          <w:color w:val="000000"/>
          <w:szCs w:val="22"/>
        </w:rPr>
      </w:pPr>
      <w:r>
        <w:rPr>
          <w:bCs/>
          <w:noProof/>
          <w:color w:val="000000"/>
          <w:szCs w:val="22"/>
        </w:rPr>
        <w:t>a)</w:t>
      </w:r>
      <w:r>
        <w:rPr>
          <w:bCs/>
          <w:noProof/>
          <w:color w:val="000000"/>
          <w:szCs w:val="22"/>
        </w:rPr>
        <w:tab/>
      </w:r>
      <w:r>
        <w:rPr>
          <w:bCs/>
          <w:i/>
          <w:iCs/>
          <w:noProof/>
          <w:color w:val="000000"/>
          <w:szCs w:val="22"/>
        </w:rPr>
        <w:t>El programa educativo "Conozca a su Hijo"</w:t>
      </w:r>
      <w:r>
        <w:rPr>
          <w:bCs/>
          <w:noProof/>
          <w:color w:val="000000"/>
          <w:szCs w:val="22"/>
        </w:rPr>
        <w:t>.  Está dirigido a madres de niños y niñas menores de 6 años de sectores rurales de alta dispersión geográfica.  Es desarrollado por mujeres líderes de la comunidad capacitadas para ser monitoras y se aplica en reuniones semanales con aproximadamente 12 madres.  Las monitoras, para el trabajo con las madres cuentan con un set de materiales estructurados que contienen los temas a tratar.  Estos se relacionan fundamentalmente con las características del desarrollo y aprendizaje de los niños y niñas y la forma en que las madres y la familia pueden promoverlos.  Durante el año 2003 se encontraban funcionando 315 grupos en igual número de localidades, en 10 regiones del país.  La cobertura por tramo de edad se puede ver en el anexo.</w:t>
      </w:r>
    </w:p>
    <w:p w:rsidR="00000000" w:rsidRDefault="00000000">
      <w:pPr>
        <w:tabs>
          <w:tab w:val="left" w:pos="-1985"/>
        </w:tabs>
        <w:spacing w:after="240"/>
        <w:ind w:left="1134" w:hanging="567"/>
        <w:rPr>
          <w:bCs/>
          <w:noProof/>
          <w:color w:val="000000"/>
          <w:szCs w:val="22"/>
        </w:rPr>
      </w:pPr>
      <w:r>
        <w:rPr>
          <w:bCs/>
          <w:noProof/>
          <w:color w:val="000000"/>
          <w:szCs w:val="22"/>
        </w:rPr>
        <w:t>b)</w:t>
      </w:r>
      <w:r>
        <w:rPr>
          <w:bCs/>
          <w:i/>
          <w:iCs/>
          <w:noProof/>
          <w:color w:val="000000"/>
          <w:szCs w:val="22"/>
        </w:rPr>
        <w:tab/>
        <w:t>Programa Mejoramiento a la Infancia (PMI)</w:t>
      </w:r>
      <w:r>
        <w:rPr>
          <w:bCs/>
          <w:noProof/>
          <w:color w:val="000000"/>
          <w:szCs w:val="22"/>
        </w:rPr>
        <w:t>.  Es un programa educativo no formal de atención parvularia de ejecución comunitaria.  Congrega la participación de las familias de niños y niñas menores de 6 años que viven en condiciones de pobreza.</w:t>
      </w:r>
    </w:p>
    <w:p w:rsidR="00000000" w:rsidRDefault="00000000">
      <w:pPr>
        <w:widowControl w:val="0"/>
        <w:tabs>
          <w:tab w:val="left" w:pos="-3828"/>
          <w:tab w:val="left" w:pos="-3686"/>
        </w:tabs>
        <w:spacing w:after="240"/>
        <w:rPr>
          <w:bCs/>
          <w:noProof/>
          <w:color w:val="000000"/>
          <w:szCs w:val="22"/>
        </w:rPr>
      </w:pPr>
      <w:r>
        <w:rPr>
          <w:bCs/>
          <w:noProof/>
          <w:color w:val="000000"/>
          <w:szCs w:val="22"/>
        </w:rPr>
        <w:t>190.</w:t>
      </w:r>
      <w:r>
        <w:rPr>
          <w:bCs/>
          <w:noProof/>
          <w:color w:val="000000"/>
          <w:szCs w:val="22"/>
        </w:rPr>
        <w:tab/>
        <w:t>Entre los años 1996 y 2003 la cobertura de este nivel ha continuado incrementándose, no obstante persisten importantes diferencias según nivel socioeconómico, tal como se puede observar en información estadística de anexo.</w:t>
      </w:r>
    </w:p>
    <w:p w:rsidR="00000000" w:rsidRDefault="00000000">
      <w:pPr>
        <w:widowControl w:val="0"/>
        <w:tabs>
          <w:tab w:val="left" w:pos="-3828"/>
          <w:tab w:val="left" w:pos="-3686"/>
        </w:tabs>
        <w:spacing w:after="240"/>
        <w:rPr>
          <w:bCs/>
          <w:noProof/>
          <w:color w:val="000000"/>
          <w:szCs w:val="22"/>
        </w:rPr>
      </w:pPr>
      <w:r>
        <w:rPr>
          <w:bCs/>
          <w:noProof/>
          <w:color w:val="000000"/>
          <w:szCs w:val="22"/>
        </w:rPr>
        <w:t>191.</w:t>
      </w:r>
      <w:r>
        <w:rPr>
          <w:bCs/>
          <w:noProof/>
          <w:color w:val="000000"/>
          <w:szCs w:val="22"/>
        </w:rPr>
        <w:tab/>
        <w:t>Las prioridades de la política del Gobierno para este nivel son:</w:t>
      </w:r>
    </w:p>
    <w:p w:rsidR="00000000" w:rsidRDefault="00000000">
      <w:pPr>
        <w:tabs>
          <w:tab w:val="left" w:pos="-1985"/>
        </w:tabs>
        <w:spacing w:after="240"/>
        <w:ind w:left="1134" w:hanging="567"/>
        <w:rPr>
          <w:bCs/>
          <w:noProof/>
          <w:color w:val="000000"/>
          <w:szCs w:val="22"/>
        </w:rPr>
      </w:pPr>
      <w:r>
        <w:rPr>
          <w:bCs/>
          <w:noProof/>
          <w:color w:val="000000"/>
          <w:szCs w:val="22"/>
        </w:rPr>
        <w:t>a)</w:t>
      </w:r>
      <w:r>
        <w:rPr>
          <w:bCs/>
          <w:noProof/>
          <w:color w:val="000000"/>
          <w:szCs w:val="22"/>
        </w:rPr>
        <w:tab/>
        <w:t>Aumentar la cobertura de atención al sector, para favorecer la igualdad de oportunidades fortaleciendo su integralidad</w:t>
      </w:r>
    </w:p>
    <w:p w:rsidR="00000000" w:rsidRDefault="00000000">
      <w:pPr>
        <w:tabs>
          <w:tab w:val="left" w:pos="-1985"/>
        </w:tabs>
        <w:spacing w:after="240"/>
        <w:ind w:left="1134" w:firstLine="567"/>
        <w:rPr>
          <w:bCs/>
          <w:noProof/>
          <w:szCs w:val="22"/>
        </w:rPr>
      </w:pPr>
      <w:r>
        <w:rPr>
          <w:bCs/>
          <w:noProof/>
          <w:color w:val="000000"/>
          <w:szCs w:val="22"/>
        </w:rPr>
        <w:t>Con el fin de aumentar la cobertura se creó el Programa Ampliación de Cobertura Primer Nivel de Transición.  La meta al 2006 es incorporar 120.000 niños y niñas de 4 años a la educación parvularia.  Esta meta representa un hito importante en la ampliación de cobertura ya que se propone dar un salto desde el 32,4% de cobertura en el año 2000 al 41% para el año 2006.  De acuerdo a lo planificado, desde el año 2001 a la fecha se ha hecho una ampliación de cobertura de 47.500 nuevos cupos; se han incorporado 2.363 escuelas municipales y subvencionadas gratuitas al programa de ampliación de cobertura; se ha beneficiado, a 307 comunas de un total de 342 a nivel nacional.  El programa ha sido financiado con fondos del presupuesto nacional, mediante una subvención focalizada.  La subvención estatal para incorporar a 30.000 niños y niñas en el año 2001 alcanzó a una inversión de </w:t>
      </w:r>
      <w:r>
        <w:rPr>
          <w:bCs/>
          <w:noProof/>
          <w:szCs w:val="22"/>
        </w:rPr>
        <w:t xml:space="preserve">675.549 .  El año 2002 ingresaron 35.500 nuevos niños y niñas con una </w:t>
      </w:r>
      <w:r>
        <w:rPr>
          <w:bCs/>
          <w:noProof/>
          <w:color w:val="000000"/>
          <w:szCs w:val="22"/>
        </w:rPr>
        <w:t>inversión</w:t>
      </w:r>
      <w:r>
        <w:rPr>
          <w:bCs/>
          <w:noProof/>
          <w:szCs w:val="22"/>
        </w:rPr>
        <w:t xml:space="preserve"> de 11.808.708 dólares de los EE.UU.  Para el año 2003 se alcanza una cobertura de 47.500 niños y niñas con una inversión en subvención de 16.488.725 dólares de los E.UU.</w:t>
      </w:r>
    </w:p>
    <w:p w:rsidR="00000000" w:rsidRDefault="00000000">
      <w:pPr>
        <w:tabs>
          <w:tab w:val="left" w:pos="-1985"/>
        </w:tabs>
        <w:spacing w:after="240"/>
        <w:ind w:left="1134" w:firstLine="567"/>
        <w:rPr>
          <w:bCs/>
          <w:noProof/>
          <w:color w:val="000000"/>
          <w:szCs w:val="22"/>
        </w:rPr>
      </w:pPr>
      <w:r>
        <w:rPr>
          <w:bCs/>
          <w:noProof/>
          <w:color w:val="000000"/>
          <w:szCs w:val="22"/>
        </w:rPr>
        <w:t xml:space="preserve">Con el fin de mejorar las condiciones físicas de los espacios educativos y el equipamiento de las escuelas municipales con ampliación de cobertura, se puso en marcha un programa de inversión en infraestructura, que para el año 2001 alcanzó una inversión de 1.684.068.710 </w:t>
      </w:r>
      <w:r>
        <w:rPr>
          <w:bCs/>
          <w:noProof/>
          <w:szCs w:val="22"/>
        </w:rPr>
        <w:t>dólares de los EE.UU.</w:t>
      </w:r>
      <w:r>
        <w:rPr>
          <w:bCs/>
          <w:noProof/>
          <w:color w:val="000000"/>
          <w:szCs w:val="22"/>
        </w:rPr>
        <w:t>, más 505.221</w:t>
      </w:r>
      <w:r>
        <w:rPr>
          <w:bCs/>
          <w:noProof/>
          <w:szCs w:val="22"/>
        </w:rPr>
        <w:t xml:space="preserve"> dólares de los EE.UU.</w:t>
      </w:r>
      <w:r>
        <w:rPr>
          <w:bCs/>
          <w:noProof/>
          <w:color w:val="000000"/>
          <w:szCs w:val="22"/>
        </w:rPr>
        <w:t>para beneficiar a los nuevos establecimientos.  Junto con ello, se ha entregado material didáctico al 50% de las escuelas y se ha perfeccionado a 12.000 educadoras de párvulos.  Esta ampliación de cobertura se ha realizado mediante un esfuerzo coordinado de los tres organismos públicos que entregan educación parvularia en Chile, Ministerio de Educación, JUNJI y Fundación Integra.</w:t>
      </w:r>
    </w:p>
    <w:p w:rsidR="00000000" w:rsidRDefault="00000000">
      <w:pPr>
        <w:tabs>
          <w:tab w:val="left" w:pos="-1985"/>
        </w:tabs>
        <w:spacing w:after="240"/>
        <w:ind w:left="1134" w:hanging="567"/>
        <w:rPr>
          <w:bCs/>
          <w:noProof/>
          <w:color w:val="000000"/>
          <w:szCs w:val="22"/>
        </w:rPr>
      </w:pPr>
      <w:r>
        <w:rPr>
          <w:bCs/>
          <w:noProof/>
          <w:color w:val="000000"/>
          <w:szCs w:val="22"/>
        </w:rPr>
        <w:t>b)</w:t>
      </w:r>
      <w:r>
        <w:rPr>
          <w:bCs/>
          <w:noProof/>
          <w:color w:val="000000"/>
          <w:szCs w:val="22"/>
        </w:rPr>
        <w:tab/>
        <w:t>Favorecer el mejoramiento de la calidad de la atención a través de la reforma curricular del nivel, a partir de las Bases Curriculares de la Educación Parvularia</w:t>
      </w:r>
    </w:p>
    <w:p w:rsidR="00000000" w:rsidRDefault="00000000">
      <w:pPr>
        <w:widowControl w:val="0"/>
        <w:tabs>
          <w:tab w:val="left" w:pos="-3828"/>
          <w:tab w:val="left" w:pos="-3686"/>
        </w:tabs>
        <w:spacing w:after="240"/>
        <w:ind w:left="1134" w:firstLine="567"/>
        <w:rPr>
          <w:bCs/>
          <w:noProof/>
          <w:color w:val="000000"/>
          <w:szCs w:val="22"/>
        </w:rPr>
      </w:pPr>
      <w:r>
        <w:rPr>
          <w:bCs/>
          <w:noProof/>
          <w:color w:val="000000"/>
          <w:szCs w:val="22"/>
        </w:rPr>
        <w:t>En octubre de 2001 fueron aprobadas las nuevas Bases Curriculares para la Educación Parvularia, las que constituyen el marco orientador para la educación desde los primeros meses hasta el ingreso a la Educación Básica.  Ellas toman en cuenta las condiciones sociales y culturales que enmarcan y dan sentido al quehacer educativo, y han sido elaboradas teniendo como criterio fundante el derecho de la familia de ser la primera educadora de sus hijos e hijas.  En estas bases se ha replanteado el fin de la Educación Parvularia, señalando que esta debe:  "Favorecer una educación de calidad, oportuna y pertinente, que propicie aprendizajes relevantes y significativos en función al bienestar, el desarrollo pleno y la trascendencia de la niña y del niño como personas.  Ello, en estrecha relación y complementación con la labor educativa de la familia, propiciando a la vez su continuidad en el sistema educativo y su contribución a la sociedad, en un marco de valores nacionalmente compartidos y considerando los Derechos del Niño".</w:t>
      </w:r>
    </w:p>
    <w:p w:rsidR="00000000" w:rsidRDefault="00000000">
      <w:pPr>
        <w:widowControl w:val="0"/>
        <w:tabs>
          <w:tab w:val="left" w:pos="-3828"/>
          <w:tab w:val="left" w:pos="-3686"/>
        </w:tabs>
        <w:spacing w:after="240"/>
        <w:rPr>
          <w:bCs/>
          <w:noProof/>
          <w:szCs w:val="22"/>
        </w:rPr>
      </w:pPr>
      <w:r>
        <w:rPr>
          <w:bCs/>
          <w:noProof/>
          <w:color w:val="000000"/>
          <w:szCs w:val="22"/>
        </w:rPr>
        <w:t>192.</w:t>
      </w:r>
      <w:r>
        <w:rPr>
          <w:bCs/>
          <w:noProof/>
          <w:color w:val="000000"/>
          <w:szCs w:val="22"/>
        </w:rPr>
        <w:tab/>
      </w:r>
      <w:r>
        <w:rPr>
          <w:bCs/>
          <w:noProof/>
          <w:szCs w:val="22"/>
        </w:rPr>
        <w:t xml:space="preserve">Asimismo, desde 1999 se </w:t>
      </w:r>
      <w:r>
        <w:rPr>
          <w:bCs/>
          <w:noProof/>
          <w:color w:val="000000"/>
          <w:szCs w:val="22"/>
        </w:rPr>
        <w:t>incorpora</w:t>
      </w:r>
      <w:r>
        <w:rPr>
          <w:bCs/>
          <w:noProof/>
          <w:szCs w:val="22"/>
        </w:rPr>
        <w:t xml:space="preserve"> la Educación Parvularia explícitamente como nivel educacional en la Constitución Política del país, estableciéndose que "el Estado promoverá la Educación Parvularia".</w:t>
      </w:r>
    </w:p>
    <w:p w:rsidR="00000000" w:rsidRDefault="00000000">
      <w:pPr>
        <w:widowControl w:val="0"/>
        <w:tabs>
          <w:tab w:val="left" w:pos="-3828"/>
          <w:tab w:val="left" w:pos="-3686"/>
        </w:tabs>
        <w:spacing w:after="240"/>
        <w:rPr>
          <w:bCs/>
          <w:noProof/>
          <w:color w:val="000000"/>
          <w:szCs w:val="22"/>
        </w:rPr>
      </w:pPr>
      <w:r>
        <w:rPr>
          <w:bCs/>
          <w:noProof/>
          <w:color w:val="000000"/>
          <w:szCs w:val="22"/>
        </w:rPr>
        <w:t>193.</w:t>
      </w:r>
      <w:r>
        <w:rPr>
          <w:bCs/>
          <w:noProof/>
          <w:color w:val="000000"/>
          <w:szCs w:val="22"/>
        </w:rPr>
        <w:tab/>
        <w:t>La educación ha sido y seguirá siendo un objetivo público estratégico.  A comienzos de los noventa se inició una trascendental reforma educacional.  La equidad y la calidad han sido el gran objetivo de ella.  Los estudiantes cuentan ahora con un nuevo currículum, adecuado a las necesidades educativas del siglo XXI; tienen 3,5 veces más raciones alimenticias que en 1990; reciben textos escolares en todos los establecimientos subvencionados del país; el 90% de ellos tiene acceso a la informática educativa en escuelas y liceos; tienen entre 200 y 250 horas más de clases al año con la Jornada Escolar Completa; se ha aumentado la inversión en infraestructura educacional para que los niños, niñas y los profesores tengan mejores condiciones; los docentes han sido tratados con respeto y sus rentas se han más que duplicado desde 1990.  Los esfuerzos se encuentran dirigidos a asegurar la calidad de la educación.  El objetivo es asegurar el derecho de todos los niños y niñas a tener una educación de calidad, independientemente de su condición socioeconómica.  El Estado se encuentra impulsando la albabetización digital y un plan para mejorar el aprendizaje del inglés en el sistema escolar, denominado El Inglés Abre Puertas.</w:t>
      </w:r>
    </w:p>
    <w:p w:rsidR="00000000" w:rsidRDefault="00000000">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ind w:left="-4" w:firstLine="4"/>
        <w:rPr>
          <w:bCs/>
          <w:noProof/>
          <w:color w:val="000000"/>
          <w:szCs w:val="22"/>
        </w:rPr>
      </w:pPr>
      <w:r>
        <w:rPr>
          <w:bCs/>
          <w:noProof/>
          <w:color w:val="000000"/>
          <w:szCs w:val="22"/>
        </w:rPr>
        <w:t>194.</w:t>
      </w:r>
      <w:r>
        <w:rPr>
          <w:bCs/>
          <w:noProof/>
          <w:color w:val="000000"/>
          <w:szCs w:val="22"/>
        </w:rPr>
        <w:tab/>
      </w:r>
      <w:r>
        <w:rPr>
          <w:bCs/>
          <w:i/>
          <w:iCs/>
          <w:noProof/>
          <w:color w:val="000000"/>
          <w:szCs w:val="22"/>
        </w:rPr>
        <w:t>La reforma curricular de la educación básica</w:t>
      </w:r>
    </w:p>
    <w:p w:rsidR="00000000" w:rsidRDefault="00000000">
      <w:pPr>
        <w:keepNext/>
        <w:keepLines/>
        <w:widowControl w:val="0"/>
        <w:tabs>
          <w:tab w:val="left" w:pos="-3828"/>
          <w:tab w:val="left" w:pos="-3686"/>
        </w:tabs>
        <w:spacing w:after="240"/>
        <w:rPr>
          <w:bCs/>
          <w:noProof/>
          <w:color w:val="000000"/>
          <w:szCs w:val="22"/>
        </w:rPr>
      </w:pPr>
      <w:r>
        <w:rPr>
          <w:bCs/>
          <w:noProof/>
          <w:color w:val="000000"/>
          <w:szCs w:val="22"/>
        </w:rPr>
        <w:tab/>
        <w:t>Desde el año 2002, con el fin de mejorar la formación en lectura, escritura y matemáticas todas las políticas y programas de 1º a 4º básico se han centrado en apoyar a los establecimientos, a los profesores y a las familias para que puedan cumplir exitosamente su tarea de estimular a los alumnos y alumnas a aprender estas destrezas básicas.  Para respaldar el trabajo de los docentes, una de las acciones más importantes ha sido la modificación de los Objetivos Fundamentales y Contenidos Mínimos Obligatorios de los subsectores de aprendizaje:  lenguaje, comunicación y educación matemática, correspondientes al primer ciclo básico (1º a 4º año) de la Enseñanza Básica y la elaboración de nuevos programas de estudio para los seis subsectores del primer ciclo básico.</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ind w:left="-4" w:firstLine="4"/>
        <w:rPr>
          <w:bCs/>
          <w:noProof/>
          <w:color w:val="000000"/>
          <w:szCs w:val="22"/>
        </w:rPr>
      </w:pPr>
      <w:r>
        <w:rPr>
          <w:bCs/>
          <w:noProof/>
          <w:color w:val="000000"/>
          <w:szCs w:val="22"/>
        </w:rPr>
        <w:t>195.</w:t>
      </w:r>
      <w:r>
        <w:rPr>
          <w:bCs/>
          <w:noProof/>
          <w:color w:val="000000"/>
          <w:szCs w:val="22"/>
        </w:rPr>
        <w:tab/>
      </w:r>
      <w:r>
        <w:rPr>
          <w:bCs/>
          <w:i/>
          <w:iCs/>
          <w:noProof/>
          <w:color w:val="000000"/>
          <w:szCs w:val="22"/>
        </w:rPr>
        <w:t>La reforma curricular de la educación media</w:t>
      </w:r>
    </w:p>
    <w:p w:rsidR="00000000" w:rsidRDefault="00000000">
      <w:pPr>
        <w:widowControl w:val="0"/>
        <w:tabs>
          <w:tab w:val="left" w:pos="-3828"/>
          <w:tab w:val="left" w:pos="-3686"/>
        </w:tabs>
        <w:spacing w:after="240"/>
        <w:rPr>
          <w:bCs/>
          <w:noProof/>
          <w:color w:val="000000"/>
          <w:szCs w:val="22"/>
        </w:rPr>
      </w:pPr>
      <w:r>
        <w:rPr>
          <w:bCs/>
          <w:noProof/>
          <w:color w:val="000000"/>
          <w:szCs w:val="22"/>
        </w:rPr>
        <w:tab/>
        <w:t>A partir del año 1998 el Ministerio de Educación, ha elaborado los programas de estudio para los cuatro niveles de enseñanza comprendidos.  Esta elaboración fue completada el año 2002 con la aprobación de los programas de estudio para 4º año de enseñanza media con lo cual se completó la reforma curricular iniciada el año 1996.</w:t>
      </w:r>
    </w:p>
    <w:p w:rsidR="00000000" w:rsidRDefault="00000000">
      <w:pPr>
        <w:widowControl w:val="0"/>
        <w:tabs>
          <w:tab w:val="left" w:pos="-3828"/>
          <w:tab w:val="left" w:pos="-3686"/>
        </w:tabs>
        <w:spacing w:after="240"/>
        <w:rPr>
          <w:bCs/>
          <w:noProof/>
          <w:color w:val="000000"/>
          <w:szCs w:val="22"/>
        </w:rPr>
      </w:pPr>
      <w:r>
        <w:rPr>
          <w:bCs/>
          <w:noProof/>
          <w:color w:val="000000"/>
          <w:szCs w:val="22"/>
        </w:rPr>
        <w:t>196.</w:t>
      </w:r>
      <w:r>
        <w:rPr>
          <w:bCs/>
          <w:noProof/>
          <w:color w:val="000000"/>
          <w:szCs w:val="22"/>
        </w:rPr>
        <w:tab/>
        <w:t>Los planes y programas elaborados tanto para educación básica como para media, se han puesto a disposición de los diferentes establecimientos educacionales, los que pueden optar por aplicar dichos planes o elaborar sus propios programas, los que deben enmarcarse en el marco curricular.</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ind w:left="-4" w:firstLine="4"/>
        <w:rPr>
          <w:bCs/>
          <w:noProof/>
          <w:color w:val="000000"/>
          <w:szCs w:val="22"/>
        </w:rPr>
      </w:pPr>
      <w:r>
        <w:rPr>
          <w:bCs/>
          <w:noProof/>
          <w:color w:val="000000"/>
          <w:szCs w:val="22"/>
        </w:rPr>
        <w:t>197.</w:t>
      </w:r>
      <w:r>
        <w:rPr>
          <w:bCs/>
          <w:noProof/>
          <w:color w:val="000000"/>
          <w:szCs w:val="22"/>
        </w:rPr>
        <w:tab/>
      </w:r>
      <w:r>
        <w:rPr>
          <w:bCs/>
          <w:i/>
          <w:iCs/>
          <w:noProof/>
          <w:color w:val="000000"/>
          <w:szCs w:val="22"/>
        </w:rPr>
        <w:t>Otras acciones desarrolladas en el marco de la reforma educacional</w:t>
      </w:r>
    </w:p>
    <w:p w:rsidR="00000000" w:rsidRDefault="00000000">
      <w:pPr>
        <w:tabs>
          <w:tab w:val="left" w:pos="-3828"/>
          <w:tab w:val="left" w:pos="-3686"/>
        </w:tabs>
        <w:spacing w:after="240"/>
        <w:ind w:left="924" w:hanging="357"/>
        <w:rPr>
          <w:bCs/>
          <w:noProof/>
          <w:color w:val="000000"/>
          <w:szCs w:val="22"/>
        </w:rPr>
      </w:pPr>
      <w:r>
        <w:rPr>
          <w:bCs/>
          <w:noProof/>
          <w:color w:val="000000"/>
          <w:szCs w:val="22"/>
        </w:rPr>
        <w:t>-</w:t>
      </w:r>
      <w:r>
        <w:rPr>
          <w:bCs/>
          <w:noProof/>
          <w:color w:val="000000"/>
          <w:szCs w:val="22"/>
        </w:rPr>
        <w:tab/>
        <w:t>A nivel de educación básica el esfuerzo desarrollado en la década en esta materia ha permitido que el 100% de las escuelas con financiamiento público cuenten con textos de estudio y con un aumento considerable de títulos.  En el año 2003 se distribuyó un total de 8.286.039 textos, desde 1° a 8° básico.</w:t>
      </w:r>
    </w:p>
    <w:p w:rsidR="00000000" w:rsidRDefault="00000000">
      <w:pPr>
        <w:tabs>
          <w:tab w:val="left" w:pos="-3828"/>
          <w:tab w:val="left" w:pos="-3686"/>
        </w:tabs>
        <w:spacing w:after="240"/>
        <w:ind w:left="924" w:hanging="357"/>
        <w:rPr>
          <w:bCs/>
          <w:noProof/>
          <w:color w:val="000000"/>
          <w:szCs w:val="22"/>
        </w:rPr>
      </w:pPr>
      <w:r>
        <w:rPr>
          <w:bCs/>
          <w:noProof/>
          <w:color w:val="000000"/>
          <w:szCs w:val="22"/>
        </w:rPr>
        <w:t>-</w:t>
      </w:r>
      <w:r>
        <w:rPr>
          <w:bCs/>
          <w:noProof/>
          <w:color w:val="000000"/>
          <w:szCs w:val="22"/>
        </w:rPr>
        <w:tab/>
        <w:t>Se han financiado proyectos de mejoramiento educativo generados por las escuelas.  Estos proyectos tienen como propósito contribuir a producir capacidades de diseño e implementación autónomo de soluciones y mejoras educativas.  Entre los años 1998</w:t>
      </w:r>
      <w:r>
        <w:rPr>
          <w:bCs/>
          <w:noProof/>
          <w:color w:val="000000"/>
          <w:szCs w:val="22"/>
        </w:rPr>
        <w:noBreakHyphen/>
        <w:t>2001, se ha financiado en promedio 410 proyectos anuales, 340 aproximadamente en escuelas de enseñanza básica y 70 en microcentros rurales.</w:t>
      </w:r>
    </w:p>
    <w:p w:rsidR="00000000" w:rsidRDefault="00000000">
      <w:pPr>
        <w:tabs>
          <w:tab w:val="left" w:pos="-3828"/>
          <w:tab w:val="left" w:pos="-3686"/>
        </w:tabs>
        <w:spacing w:after="240"/>
        <w:ind w:left="924" w:hanging="357"/>
        <w:rPr>
          <w:bCs/>
          <w:noProof/>
          <w:color w:val="000000"/>
          <w:szCs w:val="22"/>
        </w:rPr>
      </w:pPr>
      <w:r>
        <w:rPr>
          <w:bCs/>
          <w:noProof/>
          <w:color w:val="000000"/>
          <w:szCs w:val="22"/>
        </w:rPr>
        <w:t>-</w:t>
      </w:r>
      <w:r>
        <w:rPr>
          <w:bCs/>
          <w:noProof/>
          <w:color w:val="000000"/>
          <w:szCs w:val="22"/>
        </w:rPr>
        <w:tab/>
        <w:t>Con el propósito de mejorar aprendizajes y asegurar la retención en el sistema de los alumnos de sectores más desfavorecidos, se ha mantenido la política de discriminación positiva implementada a inicios de los años noventa para las escuelas básicas, a través de sus programas focalizados:  el Programa de las 900 Escuelas y el Programa de Educación Básica Rural.  El primero es un programa de mejoramiento de la calidad, focalizado en escuelas ubicadas en sectores urbanos y rurales de mayor vulnerabilidad socioeducativa.  El segundo está dirigido a las escuelas rurales multigrado.</w:t>
      </w:r>
    </w:p>
    <w:p w:rsidR="00000000" w:rsidRDefault="00000000">
      <w:pPr>
        <w:keepLines/>
        <w:widowControl w:val="0"/>
        <w:tabs>
          <w:tab w:val="left" w:pos="-3828"/>
          <w:tab w:val="left" w:pos="-3686"/>
        </w:tabs>
        <w:spacing w:after="240"/>
        <w:rPr>
          <w:bCs/>
          <w:noProof/>
          <w:color w:val="000000"/>
          <w:szCs w:val="22"/>
        </w:rPr>
      </w:pPr>
      <w:r>
        <w:rPr>
          <w:bCs/>
          <w:noProof/>
          <w:color w:val="000000"/>
          <w:szCs w:val="22"/>
        </w:rPr>
        <w:t>198.</w:t>
      </w:r>
      <w:r>
        <w:rPr>
          <w:bCs/>
          <w:noProof/>
          <w:color w:val="000000"/>
          <w:szCs w:val="22"/>
        </w:rPr>
        <w:tab/>
      </w:r>
      <w:r>
        <w:rPr>
          <w:bCs/>
          <w:i/>
          <w:iCs/>
          <w:noProof/>
          <w:color w:val="000000"/>
          <w:szCs w:val="22"/>
        </w:rPr>
        <w:t>El Programa de las 900 Escuelas (P.900).</w:t>
      </w:r>
      <w:r>
        <w:rPr>
          <w:bCs/>
          <w:noProof/>
          <w:color w:val="000000"/>
          <w:szCs w:val="22"/>
        </w:rPr>
        <w:t xml:space="preserve">  Desde sus inicios ha apoyado a cerca de 2.400 establecimientos educacionales subvencionados, tanto municipales como particulares.  Aproximadamente la mitad de los establecimientos han sido rurales.  Hasta el año 1997, el programa P.900 atendía solamente el primer ciclo de educación básica.  A partir del año 1998 entrega también apoyo al segundo nivel de transición de educación parvularia y al segundo ciclo de educación básica.  Que va desde 5° a 8° básico.  Posteriormente, en el año 2001, se amplía la cobertura desde 900 escuelas aproximadamente a cerca de 1.400.</w:t>
      </w:r>
    </w:p>
    <w:p w:rsidR="00000000" w:rsidRDefault="00000000">
      <w:pPr>
        <w:widowControl w:val="0"/>
        <w:tabs>
          <w:tab w:val="left" w:pos="-3828"/>
          <w:tab w:val="left" w:pos="-3686"/>
        </w:tabs>
        <w:spacing w:after="240"/>
        <w:rPr>
          <w:bCs/>
          <w:noProof/>
          <w:color w:val="000000"/>
          <w:szCs w:val="22"/>
        </w:rPr>
      </w:pPr>
      <w:r>
        <w:rPr>
          <w:bCs/>
          <w:noProof/>
          <w:color w:val="000000"/>
          <w:szCs w:val="22"/>
        </w:rPr>
        <w:t>199.</w:t>
      </w:r>
      <w:r>
        <w:rPr>
          <w:bCs/>
          <w:noProof/>
          <w:color w:val="000000"/>
          <w:szCs w:val="22"/>
        </w:rPr>
        <w:tab/>
      </w:r>
      <w:r>
        <w:rPr>
          <w:bCs/>
          <w:i/>
          <w:iCs/>
          <w:noProof/>
          <w:color w:val="000000"/>
          <w:szCs w:val="22"/>
        </w:rPr>
        <w:t>El Programa de Educación Básica Rural</w:t>
      </w:r>
      <w:r>
        <w:rPr>
          <w:bCs/>
          <w:noProof/>
          <w:color w:val="000000"/>
          <w:szCs w:val="22"/>
        </w:rPr>
        <w:t>.  Se aplica desde sus inicios en las 13 regiones del país, en forma progresiva, a partir de las zonas de mayor complejidad y precariedad, lo que ha permitido una intervención más intensa y prolongada en las escuelas de mayor riesgo pedagógico.  La cobertura actual es de 3.487 escuelas y 120.000 alumnos.  Hasta el año 2000 la atención estuvo centrada en escuelas multigrado, de hasta tres profesores y en su gran mayoría incompletas.  Es un programa de discriminación positiva que atiende actualmente al 38% de los establecimientos escolares subvencionados y al 5% de la matrícula.  A partir del año 2001 se amplió la cobertura de este programa.  El aumento de cobertura significó incorporar escuelas completas con todos los niveles desde primer nivel de transición a octavo año básico.  A consecuencia de ellos se han diversificado las metodologías para escuelas multigrado y escuelas graduadas, y se han incorporado párvulos.</w:t>
      </w:r>
    </w:p>
    <w:p w:rsidR="00000000" w:rsidRDefault="00000000">
      <w:pPr>
        <w:widowControl w:val="0"/>
        <w:tabs>
          <w:tab w:val="left" w:pos="-3828"/>
          <w:tab w:val="left" w:pos="-3686"/>
        </w:tabs>
        <w:spacing w:after="240"/>
        <w:rPr>
          <w:bCs/>
          <w:szCs w:val="22"/>
        </w:rPr>
      </w:pPr>
      <w:r>
        <w:rPr>
          <w:bCs/>
          <w:noProof/>
          <w:color w:val="000000"/>
          <w:szCs w:val="22"/>
        </w:rPr>
        <w:t>200.</w:t>
      </w:r>
      <w:r>
        <w:rPr>
          <w:bCs/>
          <w:noProof/>
          <w:color w:val="000000"/>
          <w:szCs w:val="22"/>
        </w:rPr>
        <w:tab/>
        <w:t>La estrategia del Programa Básica Rural, se basa en la premisa de que el trabajo pedagógico colectivo de los profesores rurales puede generar mejores aprendizajes de los niños y niñas para la cual se organizan los microcentros rurales, agrupaciones de profesores de 7 a 8 escuelas multigrado, en donde se intercambian experiencias,</w:t>
      </w:r>
      <w:r>
        <w:rPr>
          <w:bCs/>
          <w:szCs w:val="22"/>
        </w:rPr>
        <w:t xml:space="preserve"> se planifica, evalúa y se desarrollan proyectos.  Asimismo, se define una propuesta pedagógica y didáctica pertinente para el contexto rural y adecuada a los cursos multigrado.  En esta estrategia se ha incorporado también el trabajo con la familia y la comunidad a través de una línea de acción.  </w:t>
      </w:r>
    </w:p>
    <w:p w:rsidR="00000000" w:rsidRDefault="00000000">
      <w:pPr>
        <w:widowControl w:val="0"/>
        <w:tabs>
          <w:tab w:val="left" w:pos="-3828"/>
          <w:tab w:val="left" w:pos="-3686"/>
        </w:tabs>
        <w:spacing w:after="240"/>
        <w:rPr>
          <w:bCs/>
          <w:noProof/>
          <w:color w:val="000000"/>
          <w:szCs w:val="22"/>
        </w:rPr>
      </w:pPr>
      <w:r>
        <w:rPr>
          <w:bCs/>
          <w:noProof/>
          <w:color w:val="000000"/>
          <w:szCs w:val="22"/>
        </w:rPr>
        <w:t>201.</w:t>
      </w:r>
      <w:r>
        <w:rPr>
          <w:bCs/>
          <w:noProof/>
          <w:color w:val="000000"/>
          <w:szCs w:val="22"/>
        </w:rPr>
        <w:tab/>
        <w:t>Con énfasis en el mejoramiento de la calidad educativa, en el año 2002 surgieron dos nuevas iniciativas importantes que buscan cubrir, de manera diferenciada, al conjunto de los establecimientos de educación básica subvencionada:  el Plan de Asistencia Técnica a 66 escuelas de la Región Metropolitana, atendido por instituciones técnicas externas, que se focaliza en pocas escuelas de muy bajos rendimientos y altos niveles de pobreza; y la campaña de lectura escritura y matemática (campaña LEM), como una iniciativa de llegada universal desde el 2º nivel de transición (</w:t>
      </w:r>
      <w:r>
        <w:rPr>
          <w:bCs/>
          <w:i/>
          <w:iCs/>
          <w:noProof/>
          <w:color w:val="000000"/>
          <w:szCs w:val="22"/>
        </w:rPr>
        <w:t>Kinder</w:t>
      </w:r>
      <w:r>
        <w:rPr>
          <w:bCs/>
          <w:noProof/>
          <w:color w:val="000000"/>
          <w:szCs w:val="22"/>
        </w:rPr>
        <w:t>) hasta primer ciclo básico (1° a 4° lo que representa cerca de 1.300.000 alumnos).</w:t>
      </w:r>
    </w:p>
    <w:p w:rsidR="00000000" w:rsidRDefault="00000000">
      <w:pPr>
        <w:widowControl w:val="0"/>
        <w:tabs>
          <w:tab w:val="left" w:pos="-3828"/>
          <w:tab w:val="left" w:pos="-3686"/>
        </w:tabs>
        <w:spacing w:after="240"/>
        <w:rPr>
          <w:bCs/>
          <w:noProof/>
          <w:color w:val="000000"/>
          <w:szCs w:val="22"/>
        </w:rPr>
      </w:pPr>
      <w:r>
        <w:rPr>
          <w:bCs/>
          <w:noProof/>
          <w:color w:val="000000"/>
          <w:szCs w:val="22"/>
        </w:rPr>
        <w:t>202.</w:t>
      </w:r>
      <w:r>
        <w:rPr>
          <w:bCs/>
          <w:noProof/>
          <w:color w:val="000000"/>
          <w:szCs w:val="22"/>
        </w:rPr>
        <w:tab/>
        <w:t>En los últimos años se ha podido observar un aumento creciente en la cantidad de niños y niñas insertos en el sistema educacional.  Ello se confirma si se analiza la evolución de la matrícula por región, o la cobertura de los distintos niveles educacionales según zona.  Ver información estadística en anexos.</w:t>
      </w:r>
    </w:p>
    <w:p w:rsidR="00000000" w:rsidRDefault="00000000">
      <w:pPr>
        <w:tabs>
          <w:tab w:val="left" w:pos="-3828"/>
          <w:tab w:val="left" w:pos="-3686"/>
        </w:tabs>
        <w:spacing w:after="240"/>
        <w:rPr>
          <w:b/>
          <w:noProof/>
          <w:color w:val="000000"/>
          <w:szCs w:val="22"/>
        </w:rPr>
      </w:pPr>
      <w:r>
        <w:rPr>
          <w:b/>
          <w:noProof/>
          <w:color w:val="000000"/>
          <w:szCs w:val="22"/>
        </w:rPr>
        <w:t>Párrafo 107.  Informes periódicos - CRC/C/58</w:t>
      </w:r>
    </w:p>
    <w:p w:rsidR="00000000" w:rsidRDefault="00000000">
      <w:pPr>
        <w:tabs>
          <w:tab w:val="left" w:pos="-3828"/>
          <w:tab w:val="left" w:pos="-3686"/>
        </w:tabs>
        <w:spacing w:after="240"/>
        <w:rPr>
          <w:bCs/>
          <w:noProof/>
          <w:color w:val="000000"/>
          <w:szCs w:val="22"/>
        </w:rPr>
      </w:pPr>
      <w:r>
        <w:rPr>
          <w:bCs/>
          <w:noProof/>
          <w:color w:val="000000"/>
          <w:szCs w:val="22"/>
        </w:rPr>
        <w:t>203.</w:t>
      </w:r>
      <w:r>
        <w:rPr>
          <w:bCs/>
          <w:noProof/>
          <w:color w:val="000000"/>
          <w:szCs w:val="22"/>
        </w:rPr>
        <w:tab/>
        <w:t>A continuación entregamos los datos acerca de las edades de ingreso en los distintos niveles, y modalidades de la educación en las cuales se han producido cambios que no fueron incluidos en el informe mencionado.  La educación parvularia comprende desde los 84 días de edad hasta el ingreso de la niña o niño a la educación general básica, sin ser obligatorios ninguno de sus niveles pedagógicos.  En términos administrativos la división por niveles, de la educación parvularia es la siguiente:  nivel sala cuna menor:  84 días a 1 año; nivel sala cuna mayor:  1 a 2 años; nivel medio menor:  2 a 3 años; nivel medio mayor:  3 a 4 años; primer nivel transición:  4 a 5 años; segundo nivel transición:  5 a 6 años.  En términos curriculares, la organización establecida por las Bases Curriculares de Educación Parvularia son:  primer ciclo 0 a 3 años y segundo ciclo 3 a 6 años.</w:t>
      </w:r>
    </w:p>
    <w:p w:rsidR="00000000" w:rsidRDefault="00000000">
      <w:pPr>
        <w:widowControl w:val="0"/>
        <w:tabs>
          <w:tab w:val="left" w:pos="-3828"/>
          <w:tab w:val="left" w:pos="-3686"/>
        </w:tabs>
        <w:spacing w:after="240"/>
        <w:rPr>
          <w:bCs/>
          <w:noProof/>
          <w:color w:val="000000"/>
          <w:szCs w:val="22"/>
        </w:rPr>
      </w:pPr>
      <w:r>
        <w:rPr>
          <w:bCs/>
          <w:szCs w:val="22"/>
        </w:rPr>
        <w:t>204.</w:t>
      </w:r>
      <w:r>
        <w:rPr>
          <w:bCs/>
          <w:szCs w:val="22"/>
        </w:rPr>
        <w:tab/>
        <w:t>Respecto a la educación media humanístico</w:t>
      </w:r>
      <w:r>
        <w:rPr>
          <w:bCs/>
          <w:szCs w:val="22"/>
        </w:rPr>
        <w:noBreakHyphen/>
        <w:t xml:space="preserve">científica y técnico profesional, con la reciente modificación de la Constitución descrita en puntos anteriores, la edad máxima quedó en 21 años.  Para ingresar a la enseñanza media se requiere </w:t>
      </w:r>
      <w:r>
        <w:rPr>
          <w:bCs/>
          <w:noProof/>
          <w:color w:val="000000"/>
          <w:szCs w:val="22"/>
        </w:rPr>
        <w:t xml:space="preserve">haber aprobado la enseñanza básica o tener estudios equivalentes.  Para la enseñanza básica de adultos la edad mínima de ingreso es de 15 años.  Respecto de indicadores educativos, el nivel de educación básica presentó una aprobación de 95,9% en tanto que la tasa de repitencia alcanzó un 2,8% y la de abandono un 1,3%.  </w:t>
      </w:r>
    </w:p>
    <w:p w:rsidR="00000000" w:rsidRDefault="00000000">
      <w:pPr>
        <w:widowControl w:val="0"/>
        <w:tabs>
          <w:tab w:val="left" w:pos="-3828"/>
          <w:tab w:val="left" w:pos="-3686"/>
        </w:tabs>
        <w:spacing w:after="240"/>
        <w:rPr>
          <w:bCs/>
          <w:noProof/>
          <w:color w:val="000000"/>
          <w:szCs w:val="22"/>
        </w:rPr>
      </w:pPr>
      <w:r>
        <w:rPr>
          <w:bCs/>
          <w:noProof/>
          <w:color w:val="000000"/>
          <w:szCs w:val="22"/>
        </w:rPr>
        <w:t>205.</w:t>
      </w:r>
      <w:r>
        <w:rPr>
          <w:bCs/>
          <w:noProof/>
          <w:color w:val="000000"/>
          <w:szCs w:val="22"/>
        </w:rPr>
        <w:tab/>
        <w:t xml:space="preserve">A la Ley de obligatoriedad escolar de 12 años y al plan de escolaridad completa señalados anteriormente, se agrega el desarrollo de un programa específico para promover la retención escolar en la enseñanza media.  Desde mediados del año 2000 opera el programa Liceo para todos, que tiene como objetivo disminuir la deserción escolar en aquellos liceos que presentan una mayor vulnerabilidad socioeducativa.  En particular, esta intervención se desarrolla en 424 liceos de todo el país, los que al año 2003 sumaban 255.000 alumnos, que corresponden a un tercio de todos los estudiantes de nuestro sistema educativo.  El apoyo que este programa entrega a los liceos se traduce en líneas de mejoramiento de internados, becas para alumnos en riesgo de deserción, desarrollo pedagógico, capacitación de docentes y directivos, estrategias de participación de la comunidad escolar y proyectos de atención psicoeducativa.  En estos liceos se han invertido más de 2.526.103 </w:t>
      </w:r>
      <w:r>
        <w:rPr>
          <w:bCs/>
          <w:noProof/>
          <w:szCs w:val="22"/>
        </w:rPr>
        <w:t xml:space="preserve">dólares de los EE.UU. </w:t>
      </w:r>
      <w:r>
        <w:rPr>
          <w:bCs/>
          <w:noProof/>
          <w:color w:val="000000"/>
          <w:szCs w:val="22"/>
        </w:rPr>
        <w:t>los que han sido transferidos a los propios establecimientos para la implementación de un plan de acción que busca evitar la deserción escolar.  El desarrollo pedagógico se efectúa a través de un proyecto de restitución de saberes para estudiantes de 1° medio, con el fin de nivelar el desfase en las capacidades con que los alumnos de los liceos más vulnerables llegan a la enseñanza media.  En esta iniciativa participaron el año 2003, unos 60.000 estudiantes de 1° año medio.</w:t>
      </w:r>
    </w:p>
    <w:p w:rsidR="00000000" w:rsidRDefault="00000000">
      <w:pPr>
        <w:widowControl w:val="0"/>
        <w:tabs>
          <w:tab w:val="left" w:pos="-3828"/>
          <w:tab w:val="left" w:pos="-3686"/>
        </w:tabs>
        <w:spacing w:after="240"/>
        <w:rPr>
          <w:bCs/>
          <w:noProof/>
          <w:color w:val="000000"/>
          <w:szCs w:val="22"/>
        </w:rPr>
      </w:pPr>
      <w:r>
        <w:rPr>
          <w:bCs/>
          <w:noProof/>
          <w:color w:val="000000"/>
          <w:szCs w:val="22"/>
        </w:rPr>
        <w:t>206.</w:t>
      </w:r>
      <w:r>
        <w:rPr>
          <w:bCs/>
          <w:noProof/>
          <w:color w:val="000000"/>
          <w:szCs w:val="22"/>
        </w:rPr>
        <w:tab/>
        <w:t xml:space="preserve">Una acción relevante de este programa es distribuir becas consistentes en </w:t>
      </w:r>
      <w:r>
        <w:rPr>
          <w:bCs/>
          <w:noProof/>
          <w:szCs w:val="22"/>
        </w:rPr>
        <w:t>249 dólares de los EE.UU. anuales, a alumnos</w:t>
      </w:r>
      <w:r>
        <w:rPr>
          <w:bCs/>
          <w:noProof/>
          <w:color w:val="000000"/>
          <w:szCs w:val="22"/>
        </w:rPr>
        <w:t xml:space="preserve"> que presentan bajas tasas de asistencia, bajas notas y sobre edad respecto a su grupo curso.  Por lo tanto, esta beca es distribuida a aquellos alumnos que presentan el mayor riesgo de deserción dentro de los establecimientos en que estudian.  La entrega del beneficio se hace directamente a cuentas personales de los alumnos sin que exista una mediación del liceo ni de la familia.  Los estudios de evaluación de la beca de retención muestran que ella tiene un impacto del 7% sobre la tasa de retiro en los liceos del programa y que, por otra parte, un 93% de los alumnos que reciben la beca finalizan el año escolar.  De esta manera, la beca se ha convertido en una de las principales herramientas que permiten la continuidad de estudios de niños y niñas en situación de precariedad.</w:t>
      </w:r>
    </w:p>
    <w:p w:rsidR="00000000" w:rsidRDefault="00000000">
      <w:pPr>
        <w:widowControl w:val="0"/>
        <w:tabs>
          <w:tab w:val="left" w:pos="-3828"/>
          <w:tab w:val="left" w:pos="-3686"/>
        </w:tabs>
        <w:spacing w:after="240"/>
        <w:rPr>
          <w:bCs/>
          <w:noProof/>
          <w:color w:val="000000"/>
          <w:szCs w:val="22"/>
        </w:rPr>
      </w:pPr>
      <w:r>
        <w:rPr>
          <w:bCs/>
          <w:szCs w:val="22"/>
        </w:rPr>
        <w:t>207.</w:t>
      </w:r>
      <w:r>
        <w:rPr>
          <w:bCs/>
          <w:szCs w:val="22"/>
        </w:rPr>
        <w:tab/>
        <w:t xml:space="preserve">El programa ha implementado una línea de mejoramiento de internados que tiene como foco mejorar la calidad de vida de los estudiantes que en ellos habitan.  De esta forma, se busca promover:  que los internados se constituyan en un espacio de acogida y atención al desarrollo psicosocial de los estudiantes; que fomenten el desarrollo académico de los jóvenes, a través de talleres de estudios, tutorías, grupos de investigación y de acción cultural; que promueven la organización de acciones recreativas y culturales, que permitan </w:t>
      </w:r>
      <w:r>
        <w:rPr>
          <w:bCs/>
          <w:noProof/>
          <w:color w:val="000000"/>
          <w:szCs w:val="22"/>
        </w:rPr>
        <w:t>el buen uso del tiempo libre y el desarrollo de habilidades de los jóvenes.  Al año 2003, el programa trabajaba en el mejoramiento de 166 internados, en su mayoría ubicados en las zonas rurales del país.</w:t>
      </w:r>
    </w:p>
    <w:p w:rsidR="00000000" w:rsidRDefault="00000000">
      <w:pPr>
        <w:widowControl w:val="0"/>
        <w:tabs>
          <w:tab w:val="left" w:pos="-3828"/>
          <w:tab w:val="left" w:pos="-3686"/>
        </w:tabs>
        <w:spacing w:after="240"/>
        <w:rPr>
          <w:bCs/>
          <w:noProof/>
          <w:color w:val="000000"/>
          <w:szCs w:val="22"/>
        </w:rPr>
      </w:pPr>
      <w:r>
        <w:rPr>
          <w:bCs/>
          <w:noProof/>
          <w:color w:val="000000"/>
          <w:szCs w:val="22"/>
        </w:rPr>
        <w:t>208.</w:t>
      </w:r>
      <w:r>
        <w:rPr>
          <w:bCs/>
          <w:noProof/>
          <w:color w:val="000000"/>
          <w:szCs w:val="22"/>
        </w:rPr>
        <w:tab/>
        <w:t xml:space="preserve">Entre las medidas concretas destinadas a fomentar el desarrollo de la educación secundaria, se encuentra el programa "Beca Presidente de la República".  Su objetivo básico es apoyar económicamente a alumnos de escasos recursos y rendimiento académico sobresaliente para que puedan continuar sus estudios de educación media y superior.  La beca consiste en un aporte económico mensual de libre disposición de 20,3 </w:t>
      </w:r>
      <w:r>
        <w:rPr>
          <w:bCs/>
          <w:noProof/>
          <w:szCs w:val="22"/>
        </w:rPr>
        <w:t>dólares de los EE.UU.</w:t>
      </w:r>
      <w:r>
        <w:rPr>
          <w:bCs/>
          <w:noProof/>
          <w:color w:val="000000"/>
          <w:szCs w:val="22"/>
        </w:rPr>
        <w:t>para estudiantes de educación media.</w:t>
      </w:r>
    </w:p>
    <w:p w:rsidR="00000000" w:rsidRDefault="00000000">
      <w:pPr>
        <w:widowControl w:val="0"/>
        <w:tabs>
          <w:tab w:val="left" w:pos="-3828"/>
          <w:tab w:val="left" w:pos="-3686"/>
        </w:tabs>
        <w:spacing w:after="240"/>
        <w:rPr>
          <w:bCs/>
          <w:noProof/>
          <w:color w:val="000000"/>
          <w:szCs w:val="22"/>
        </w:rPr>
      </w:pPr>
      <w:r>
        <w:rPr>
          <w:bCs/>
          <w:noProof/>
          <w:color w:val="000000"/>
          <w:szCs w:val="22"/>
        </w:rPr>
        <w:t>209.</w:t>
      </w:r>
      <w:r>
        <w:rPr>
          <w:bCs/>
          <w:noProof/>
          <w:color w:val="000000"/>
          <w:szCs w:val="22"/>
        </w:rPr>
        <w:tab/>
        <w:t>Por otra parte, desde mediados de 1998, un conjunto de 51 liceos de todo el país se encuentran desarrollando proyectos de innovación educativa y desarrollo institucional diseñados y gestionados por sus equipos de gestión y comunidades educativas, bajo el alero del proyecto Montegrande.  Sus beneficiarios directos son 43.300 estudiantes y 2.500 docentes.  El propósito de esta iniciativa es que el país cuente con una red de establecimientos secundarios de calidad para la atención de jóvenes provenientes de sectores de menores ingresos y un conjunto de modelos educativos validados que puedan ser replicados por establecimientos en contextos similares</w:t>
      </w:r>
      <w:r>
        <w:rPr>
          <w:rStyle w:val="FootnoteReference"/>
          <w:bCs/>
          <w:noProof/>
          <w:color w:val="000000"/>
          <w:szCs w:val="22"/>
        </w:rPr>
        <w:footnoteReference w:id="13"/>
      </w:r>
      <w:r>
        <w:rPr>
          <w:bCs/>
          <w:noProof/>
          <w:color w:val="000000"/>
          <w:szCs w:val="22"/>
        </w:rPr>
        <w:t>.</w:t>
      </w:r>
    </w:p>
    <w:p w:rsidR="00000000" w:rsidRDefault="00000000">
      <w:pPr>
        <w:widowControl w:val="0"/>
        <w:tabs>
          <w:tab w:val="left" w:pos="-3828"/>
          <w:tab w:val="left" w:pos="-3686"/>
        </w:tabs>
        <w:spacing w:after="240"/>
        <w:rPr>
          <w:bCs/>
          <w:noProof/>
          <w:color w:val="000000"/>
          <w:szCs w:val="22"/>
        </w:rPr>
      </w:pPr>
      <w:r>
        <w:rPr>
          <w:bCs/>
          <w:noProof/>
          <w:color w:val="000000"/>
          <w:szCs w:val="22"/>
        </w:rPr>
        <w:t>210.</w:t>
      </w:r>
      <w:r>
        <w:rPr>
          <w:bCs/>
          <w:noProof/>
          <w:color w:val="000000"/>
          <w:szCs w:val="22"/>
        </w:rPr>
        <w:tab/>
        <w:t>Se ha continuado con la implementación de los Proyectos de Mejoramiento Educativo (PME)</w:t>
      </w:r>
      <w:r>
        <w:rPr>
          <w:rStyle w:val="FootnoteReference"/>
          <w:bCs/>
          <w:noProof/>
          <w:color w:val="000000"/>
          <w:szCs w:val="22"/>
        </w:rPr>
        <w:footnoteReference w:id="14"/>
      </w:r>
      <w:r>
        <w:rPr>
          <w:bCs/>
          <w:noProof/>
          <w:color w:val="000000"/>
          <w:szCs w:val="22"/>
        </w:rPr>
        <w:t xml:space="preserve"> tanto en enseñanza básica como media, estos proyectos tienen como propósito lograr el mejoramiento de los resultados de aprendizaje de los alumnos.  En el período 1998 y 2002, los proyectos de mejoramiento educativo, PME, se han desarrollado en los establecimientos subvencionados por el Estado, tanto municipales como particulares, beneficiando a niños y niñas de los niveles de educación parvularia, básica y media, además de las modalidades de educación especial y educación de adultos logrando una cobertura de 1.225.676 alumnos.</w:t>
      </w:r>
    </w:p>
    <w:p w:rsidR="00000000" w:rsidRDefault="00000000">
      <w:pPr>
        <w:widowControl w:val="0"/>
        <w:tabs>
          <w:tab w:val="left" w:pos="-3828"/>
          <w:tab w:val="left" w:pos="-3686"/>
        </w:tabs>
        <w:spacing w:after="240"/>
        <w:rPr>
          <w:bCs/>
          <w:noProof/>
          <w:color w:val="000000"/>
          <w:szCs w:val="22"/>
        </w:rPr>
      </w:pPr>
      <w:r>
        <w:rPr>
          <w:bCs/>
          <w:noProof/>
          <w:color w:val="000000"/>
          <w:szCs w:val="22"/>
        </w:rPr>
        <w:t>211.</w:t>
      </w:r>
      <w:r>
        <w:rPr>
          <w:bCs/>
          <w:noProof/>
          <w:color w:val="000000"/>
          <w:szCs w:val="22"/>
        </w:rPr>
        <w:tab/>
        <w:t>El Ministerio de Educación ha desarrollado una política pública a través de un fondo de recursos concursables.  En cuanto a los logros de este fondo, se realizó un estudio de impacto de los PME constatando que existe una correlación entre escuelas con PME y mejoramiento de indicadores SIMCE (Sistema de Medición de la Calidad de la Educación), como también que el desarrollo de PME produce un efecto agregado -en términos de resultados SIMCE- a las escuelas atendidas por programas focalizados del Ministerio.  En el ámbito de la gestión institucional, han propiciado una mayor participación, creando instancias de decisión y facilitando el trabajo en equipo, involucrando a docentes directivos, docentes de aula e, incluso en algunos casos, a los padres y apoderados de los alumnos.</w:t>
      </w:r>
    </w:p>
    <w:p w:rsidR="00000000" w:rsidRDefault="00000000">
      <w:pPr>
        <w:widowControl w:val="0"/>
        <w:tabs>
          <w:tab w:val="left" w:pos="-3828"/>
          <w:tab w:val="left" w:pos="-3686"/>
        </w:tabs>
        <w:spacing w:after="240"/>
        <w:rPr>
          <w:bCs/>
          <w:noProof/>
          <w:color w:val="000000"/>
          <w:szCs w:val="22"/>
        </w:rPr>
      </w:pPr>
      <w:r>
        <w:rPr>
          <w:bCs/>
          <w:noProof/>
          <w:color w:val="000000"/>
          <w:szCs w:val="22"/>
        </w:rPr>
        <w:t>212.</w:t>
      </w:r>
      <w:r>
        <w:rPr>
          <w:bCs/>
          <w:noProof/>
          <w:color w:val="000000"/>
          <w:szCs w:val="22"/>
        </w:rPr>
        <w:tab/>
        <w:t>El acceso a la educación superior se ha incrementado en la última década.  En 1990 había 220.000 jóvenes cursando estudios superiores, en el año 2003 más de medio millón de jóvenes chilenos estudiaban programas de pre y postgrado en universidades, institutos profesionales y centros de formación técnica.  En el 2003, uno de cada tres jóvenes entre 18 y 24 años se encontraba cursando estudios en una institución de educación superior, lo que representa un 31,5% de cobertura en ese segmento etario.  No obstante, si bien el acceso ha aumentado para los jóvenes, dicho incremento no se ha distribuido de igual manera.</w:t>
      </w:r>
    </w:p>
    <w:p w:rsidR="00000000" w:rsidRDefault="00000000">
      <w:pPr>
        <w:widowControl w:val="0"/>
        <w:tabs>
          <w:tab w:val="left" w:pos="-3828"/>
          <w:tab w:val="left" w:pos="-3686"/>
        </w:tabs>
        <w:spacing w:after="240"/>
        <w:rPr>
          <w:bCs/>
          <w:noProof/>
          <w:color w:val="000000"/>
          <w:szCs w:val="22"/>
        </w:rPr>
      </w:pPr>
      <w:r>
        <w:rPr>
          <w:bCs/>
          <w:noProof/>
          <w:color w:val="000000"/>
          <w:szCs w:val="22"/>
        </w:rPr>
        <w:t>213.</w:t>
      </w:r>
      <w:r>
        <w:rPr>
          <w:bCs/>
          <w:noProof/>
          <w:color w:val="000000"/>
          <w:szCs w:val="22"/>
        </w:rPr>
        <w:tab/>
        <w:t>Para favorecer el acceso a la educación superior y facilitar que los jóvenes con buenos rendimientos académicos que egresan de la educación media no vean dificultada la continuidad de estudios por razones económicas, se ha dispuesto de un sistema de crédito y de diferentes programas de becas de arancel y de mantención, que se indican a continuación:</w:t>
      </w:r>
    </w:p>
    <w:p w:rsidR="00000000" w:rsidRDefault="00000000">
      <w:pPr>
        <w:tabs>
          <w:tab w:val="left" w:pos="-1985"/>
        </w:tabs>
        <w:spacing w:after="240"/>
        <w:ind w:left="1134" w:hanging="567"/>
        <w:rPr>
          <w:bCs/>
          <w:noProof/>
          <w:color w:val="000000"/>
          <w:szCs w:val="22"/>
        </w:rPr>
      </w:pPr>
      <w:r>
        <w:rPr>
          <w:bCs/>
          <w:noProof/>
          <w:color w:val="000000"/>
          <w:szCs w:val="22"/>
        </w:rPr>
        <w:t>a)</w:t>
      </w:r>
      <w:r>
        <w:rPr>
          <w:bCs/>
          <w:noProof/>
          <w:color w:val="000000"/>
          <w:szCs w:val="22"/>
        </w:rPr>
        <w:tab/>
      </w:r>
      <w:r>
        <w:rPr>
          <w:bCs/>
          <w:i/>
          <w:iCs/>
          <w:noProof/>
          <w:color w:val="000000"/>
          <w:szCs w:val="22"/>
        </w:rPr>
        <w:t>Fondo Solidario de Crédito Universitario</w:t>
      </w:r>
      <w:r>
        <w:rPr>
          <w:bCs/>
          <w:noProof/>
          <w:color w:val="000000"/>
          <w:szCs w:val="22"/>
        </w:rPr>
        <w:t xml:space="preserve">.  Se trata de un crédito que se otorga a alumnos y alumnas de las universidades que forman parte del Consejo de Rectores y que por su situación socioeconómica lo requieren.  Este crédito cubre una parte o el total de los aranceles de la carrera.  La devolución del crédito se hace exigible a partir de dos años después de haber egresado, debiendo cancelar un monto equivalente al 5% de su ingreso.  </w:t>
      </w:r>
    </w:p>
    <w:p w:rsidR="00000000" w:rsidRDefault="00000000">
      <w:pPr>
        <w:tabs>
          <w:tab w:val="left" w:pos="-1985"/>
        </w:tabs>
        <w:spacing w:after="240"/>
        <w:ind w:left="1134" w:hanging="567"/>
        <w:rPr>
          <w:bCs/>
          <w:noProof/>
          <w:color w:val="000000"/>
          <w:szCs w:val="22"/>
        </w:rPr>
      </w:pPr>
      <w:r>
        <w:rPr>
          <w:bCs/>
          <w:noProof/>
          <w:color w:val="000000"/>
          <w:szCs w:val="22"/>
        </w:rPr>
        <w:t>b)</w:t>
      </w:r>
      <w:r>
        <w:rPr>
          <w:bCs/>
          <w:noProof/>
          <w:color w:val="000000"/>
          <w:szCs w:val="22"/>
        </w:rPr>
        <w:tab/>
      </w:r>
      <w:r>
        <w:rPr>
          <w:bCs/>
          <w:i/>
          <w:iCs/>
          <w:noProof/>
          <w:color w:val="000000"/>
          <w:szCs w:val="22"/>
        </w:rPr>
        <w:t>Otras becas de educación superior:</w:t>
      </w:r>
    </w:p>
    <w:p w:rsidR="00000000" w:rsidRDefault="00000000">
      <w:pPr>
        <w:tabs>
          <w:tab w:val="left" w:pos="-1985"/>
        </w:tabs>
        <w:spacing w:after="240"/>
        <w:ind w:left="1491" w:hanging="357"/>
        <w:rPr>
          <w:bCs/>
          <w:noProof/>
          <w:color w:val="000000"/>
          <w:szCs w:val="22"/>
        </w:rPr>
      </w:pPr>
      <w:r>
        <w:rPr>
          <w:bCs/>
          <w:noProof/>
          <w:color w:val="000000"/>
          <w:szCs w:val="22"/>
        </w:rPr>
        <w:t>-</w:t>
      </w:r>
      <w:r>
        <w:rPr>
          <w:bCs/>
          <w:noProof/>
          <w:color w:val="000000"/>
          <w:szCs w:val="22"/>
        </w:rPr>
        <w:tab/>
        <w:t>Becas de mérito:  para estudiantes de bajos ingresos que demuestren una especial dedicación al estudio (Beca Juan Gómez Millas, Beca Bicentenario).</w:t>
      </w:r>
    </w:p>
    <w:p w:rsidR="00000000" w:rsidRDefault="00000000">
      <w:pPr>
        <w:tabs>
          <w:tab w:val="left" w:pos="-1985"/>
        </w:tabs>
        <w:spacing w:after="240"/>
        <w:ind w:left="1491" w:hanging="357"/>
        <w:rPr>
          <w:bCs/>
          <w:noProof/>
          <w:color w:val="000000"/>
          <w:szCs w:val="22"/>
        </w:rPr>
      </w:pPr>
      <w:r>
        <w:rPr>
          <w:bCs/>
          <w:noProof/>
          <w:color w:val="000000"/>
          <w:szCs w:val="22"/>
        </w:rPr>
        <w:t>-</w:t>
      </w:r>
      <w:r>
        <w:rPr>
          <w:bCs/>
          <w:noProof/>
          <w:color w:val="000000"/>
          <w:szCs w:val="22"/>
        </w:rPr>
        <w:tab/>
        <w:t>Becas asistenciales:  para jóvenes de bajos ingresos que reciban crédito y que requieran apoyo para su subsistencia (Beca Presidente de la República, Beca Primera Dama, Beca Indígena).</w:t>
      </w:r>
    </w:p>
    <w:p w:rsidR="00000000" w:rsidRDefault="00000000">
      <w:pPr>
        <w:tabs>
          <w:tab w:val="left" w:pos="-1985"/>
        </w:tabs>
        <w:spacing w:after="240"/>
        <w:ind w:left="1491" w:hanging="357"/>
        <w:rPr>
          <w:bCs/>
          <w:noProof/>
          <w:color w:val="000000"/>
          <w:szCs w:val="22"/>
        </w:rPr>
      </w:pPr>
      <w:r>
        <w:rPr>
          <w:bCs/>
          <w:noProof/>
          <w:color w:val="000000"/>
          <w:szCs w:val="22"/>
        </w:rPr>
        <w:t>-</w:t>
      </w:r>
      <w:r>
        <w:rPr>
          <w:bCs/>
          <w:noProof/>
          <w:color w:val="000000"/>
          <w:szCs w:val="22"/>
        </w:rPr>
        <w:tab/>
        <w:t>Becas de Fomento:  para el desarrollo de carreras y programas de especial interés nacional y regional (Beca para estudiantes que ingresan a pedagogías y Beca Nuevo Milenio para carreras técnicas).</w:t>
      </w:r>
    </w:p>
    <w:p w:rsidR="00000000" w:rsidRDefault="00000000">
      <w:pPr>
        <w:tabs>
          <w:tab w:val="left" w:pos="-1985"/>
        </w:tabs>
        <w:spacing w:after="240"/>
        <w:ind w:left="1134"/>
        <w:rPr>
          <w:bCs/>
          <w:noProof/>
          <w:color w:val="000000"/>
          <w:szCs w:val="22"/>
        </w:rPr>
      </w:pPr>
      <w:r>
        <w:rPr>
          <w:bCs/>
          <w:noProof/>
          <w:color w:val="000000"/>
          <w:szCs w:val="22"/>
        </w:rPr>
        <w:t>Los recursos fiscales destinados a ayudas estudiantiles mediante crédito universitario y becas de educación superior señalados anteriormente, se han incrementado en forma sostenida desde 1990 a la fecha.  En 1990 éste fue de 44.910 dólares de los EE.UU. y el año 2003 fue de 121.182 dólares de los EE.UU.  El total de recursos destinados a educación superior también ha tenido un crecimiento sostenido.  En 1990 dichos recursos fueron iguales a 203.391 dólares de los EE.UU. mientras que en el año 2003 éstos fueron 481.213 dólares de los EE.UU.</w:t>
      </w:r>
    </w:p>
    <w:p w:rsidR="00000000" w:rsidRDefault="00000000">
      <w:pPr>
        <w:tabs>
          <w:tab w:val="left" w:pos="-1985"/>
        </w:tabs>
        <w:spacing w:after="240"/>
        <w:ind w:left="1134" w:hanging="567"/>
        <w:rPr>
          <w:bCs/>
          <w:noProof/>
          <w:color w:val="000000"/>
          <w:szCs w:val="22"/>
        </w:rPr>
      </w:pPr>
      <w:r>
        <w:rPr>
          <w:bCs/>
          <w:noProof/>
          <w:color w:val="000000"/>
          <w:szCs w:val="22"/>
        </w:rPr>
        <w:t>c)</w:t>
      </w:r>
      <w:r>
        <w:rPr>
          <w:bCs/>
          <w:noProof/>
          <w:color w:val="000000"/>
          <w:szCs w:val="22"/>
        </w:rPr>
        <w:tab/>
      </w:r>
      <w:r>
        <w:rPr>
          <w:bCs/>
          <w:i/>
          <w:iCs/>
          <w:noProof/>
          <w:color w:val="000000"/>
          <w:szCs w:val="22"/>
        </w:rPr>
        <w:t>Sistema nacional de financiamiento estudiantil</w:t>
      </w:r>
    </w:p>
    <w:p w:rsidR="00000000" w:rsidRDefault="00000000">
      <w:pPr>
        <w:tabs>
          <w:tab w:val="left" w:pos="-1985"/>
        </w:tabs>
        <w:spacing w:after="240"/>
        <w:ind w:left="1134"/>
        <w:rPr>
          <w:bCs/>
          <w:noProof/>
          <w:color w:val="000000"/>
          <w:szCs w:val="22"/>
        </w:rPr>
      </w:pPr>
      <w:r>
        <w:rPr>
          <w:bCs/>
          <w:noProof/>
          <w:color w:val="000000"/>
          <w:szCs w:val="22"/>
        </w:rPr>
        <w:tab/>
        <w:t>Constituido por tres subsistemas que actúan coordinadamente y cuyo objetivo es garantizar a través de crédito y becas, el apoyo económico necesario para financiar total o parcialmente los aranceles de los jóvenes que lo necesitan además de entregar ayuda para cubrir los gastos esenciales de los más pobres.  Estos subsistemas son el Fondo Nacional de Becas, el Crédito Solidario para estudiantes de las universidades del Consejo de Rectores y el financiamiento de los estudios superiores en universidades, institutos profesionales y centros de formación técnica autónomos y acreditados.  Para mejorar este sistema se ha iniciado un proceso de perfeccionamiento mejorando los procesos de adjudicación y de cobranza.  Junto con ello se ha enviado al Congreso Nacional un proyecto de ley sobre financiamiento de la Educación Superior que entre otros aspectos permitirá el acceso al crédito y a becas a los estudiantes de universidades, institutos profesionales y centros de formación técnica autónomos y acreditados que en la actualidad no tienen acceso a estos beneficios.</w:t>
      </w:r>
    </w:p>
    <w:p w:rsidR="00000000" w:rsidRDefault="00000000">
      <w:pPr>
        <w:widowControl w:val="0"/>
        <w:tabs>
          <w:tab w:val="left" w:pos="-1985"/>
        </w:tabs>
        <w:spacing w:after="240" w:line="238" w:lineRule="auto"/>
        <w:ind w:left="1134" w:hanging="567"/>
        <w:rPr>
          <w:bCs/>
          <w:noProof/>
          <w:color w:val="000000"/>
          <w:szCs w:val="22"/>
        </w:rPr>
      </w:pPr>
      <w:r>
        <w:rPr>
          <w:bCs/>
          <w:noProof/>
          <w:color w:val="000000"/>
          <w:szCs w:val="22"/>
        </w:rPr>
        <w:t>d)</w:t>
      </w:r>
      <w:r>
        <w:rPr>
          <w:bCs/>
          <w:noProof/>
          <w:color w:val="000000"/>
          <w:szCs w:val="22"/>
        </w:rPr>
        <w:tab/>
      </w:r>
      <w:r>
        <w:rPr>
          <w:bCs/>
          <w:i/>
          <w:iCs/>
          <w:noProof/>
          <w:color w:val="000000"/>
          <w:szCs w:val="22"/>
        </w:rPr>
        <w:t>Sistema nacional de aseguramiento de la calidad de la educación superior</w:t>
      </w:r>
    </w:p>
    <w:p w:rsidR="00000000" w:rsidRDefault="00000000">
      <w:pPr>
        <w:tabs>
          <w:tab w:val="left" w:pos="-1985"/>
        </w:tabs>
        <w:spacing w:after="240" w:line="238" w:lineRule="auto"/>
        <w:ind w:left="1134"/>
        <w:rPr>
          <w:bCs/>
          <w:noProof/>
          <w:color w:val="000000"/>
          <w:szCs w:val="22"/>
        </w:rPr>
      </w:pPr>
      <w:r>
        <w:rPr>
          <w:bCs/>
          <w:noProof/>
          <w:szCs w:val="22"/>
        </w:rPr>
        <w:tab/>
        <w:t>Ingresó al Parlamento en abril del 2003 un</w:t>
      </w:r>
      <w:r>
        <w:rPr>
          <w:bCs/>
          <w:noProof/>
          <w:color w:val="FF0000"/>
          <w:szCs w:val="22"/>
        </w:rPr>
        <w:t xml:space="preserve"> </w:t>
      </w:r>
      <w:r>
        <w:rPr>
          <w:bCs/>
          <w:noProof/>
          <w:color w:val="000000"/>
          <w:szCs w:val="22"/>
        </w:rPr>
        <w:t>proyecto de ley que establece un sistema nacional de aseguramiento de la calidad de la educación superior, que establece un conjunto de normas para la formación de técnicos y profesionales del país.  El proyecto contempla la acreditación de carreras y programas de pregrado, acreditación de programas de posgrado, acreditación institucional, licenciamiento de nuevas instituciones y un sistema de información al público.</w:t>
      </w:r>
    </w:p>
    <w:p w:rsidR="00000000" w:rsidRDefault="00000000">
      <w:pPr>
        <w:tabs>
          <w:tab w:val="left" w:pos="-1985"/>
        </w:tabs>
        <w:spacing w:after="240" w:line="238" w:lineRule="auto"/>
        <w:ind w:left="1134" w:hanging="567"/>
        <w:rPr>
          <w:bCs/>
          <w:noProof/>
          <w:color w:val="000000"/>
          <w:szCs w:val="22"/>
        </w:rPr>
      </w:pPr>
      <w:r>
        <w:rPr>
          <w:bCs/>
          <w:noProof/>
          <w:color w:val="000000"/>
          <w:szCs w:val="22"/>
        </w:rPr>
        <w:t>e)</w:t>
      </w:r>
      <w:r>
        <w:rPr>
          <w:bCs/>
          <w:noProof/>
          <w:color w:val="000000"/>
          <w:szCs w:val="22"/>
        </w:rPr>
        <w:tab/>
      </w:r>
      <w:r>
        <w:rPr>
          <w:bCs/>
          <w:i/>
          <w:iCs/>
          <w:noProof/>
          <w:color w:val="000000"/>
          <w:szCs w:val="22"/>
        </w:rPr>
        <w:t>Fortalecimiento de las instituciones de educación superior</w:t>
      </w:r>
    </w:p>
    <w:p w:rsidR="00000000" w:rsidRDefault="00000000">
      <w:pPr>
        <w:tabs>
          <w:tab w:val="left" w:pos="-1985"/>
        </w:tabs>
        <w:spacing w:after="240" w:line="238" w:lineRule="auto"/>
        <w:ind w:left="1134"/>
        <w:rPr>
          <w:bCs/>
          <w:noProof/>
          <w:color w:val="000000"/>
          <w:szCs w:val="22"/>
        </w:rPr>
      </w:pPr>
      <w:r>
        <w:rPr>
          <w:bCs/>
          <w:noProof/>
          <w:color w:val="000000"/>
          <w:szCs w:val="22"/>
        </w:rPr>
        <w:tab/>
        <w:t>Considera nuevas formulas para el financiamiento de las universidades del Consejo de Rectores; la modernización de las universidades estatales, que implicará la puesta al día de su estructura legal, reglamentaria y administrativa; y la reforma del estatuto que regula el funcionamiento del Consejo de Rectores.</w:t>
      </w:r>
    </w:p>
    <w:p w:rsidR="00000000" w:rsidRDefault="00000000">
      <w:pPr>
        <w:spacing w:after="240" w:line="238" w:lineRule="auto"/>
        <w:rPr>
          <w:bCs/>
          <w:noProof/>
          <w:color w:val="000000"/>
          <w:szCs w:val="22"/>
        </w:rPr>
      </w:pPr>
      <w:r>
        <w:rPr>
          <w:bCs/>
          <w:noProof/>
          <w:color w:val="000000"/>
          <w:szCs w:val="22"/>
        </w:rPr>
        <w:t>214.</w:t>
      </w:r>
      <w:r>
        <w:rPr>
          <w:bCs/>
          <w:noProof/>
          <w:color w:val="000000"/>
          <w:szCs w:val="22"/>
        </w:rPr>
        <w:tab/>
        <w:t>En la respuesta al párrafo 106 del documento CRC/C/58, en este informe, se describió la creación de la Unidad 600</w:t>
      </w:r>
      <w:r>
        <w:rPr>
          <w:bCs/>
          <w:noProof/>
          <w:color w:val="000000"/>
          <w:szCs w:val="22"/>
        </w:rPr>
        <w:noBreakHyphen/>
        <w:t>Mineduc que fortaleció a las oficinas de información creadas en 1996.</w:t>
      </w:r>
    </w:p>
    <w:p w:rsidR="00000000" w:rsidRDefault="00000000">
      <w:pPr>
        <w:spacing w:after="240" w:line="238" w:lineRule="auto"/>
        <w:rPr>
          <w:bCs/>
          <w:noProof/>
          <w:color w:val="000000"/>
          <w:szCs w:val="22"/>
        </w:rPr>
      </w:pPr>
      <w:r>
        <w:rPr>
          <w:bCs/>
          <w:noProof/>
          <w:color w:val="000000"/>
          <w:szCs w:val="22"/>
        </w:rPr>
        <w:t>215.</w:t>
      </w:r>
      <w:r>
        <w:rPr>
          <w:bCs/>
          <w:noProof/>
          <w:color w:val="000000"/>
          <w:szCs w:val="22"/>
        </w:rPr>
        <w:tab/>
        <w:t>Fomento de la permanencia de los niños y niñas en la educación regular.  Para aquellos alumnos que se encuentran habitando en zonas alejadas de los establecimientos educacionales se han asumido estrategias específicas que se señalan a continuación:</w:t>
      </w:r>
    </w:p>
    <w:p w:rsidR="00000000" w:rsidRDefault="00000000">
      <w:pPr>
        <w:spacing w:after="240" w:line="238" w:lineRule="auto"/>
        <w:ind w:left="1134" w:hanging="567"/>
        <w:rPr>
          <w:bCs/>
          <w:noProof/>
          <w:color w:val="000000"/>
          <w:szCs w:val="22"/>
        </w:rPr>
      </w:pPr>
      <w:r>
        <w:rPr>
          <w:bCs/>
          <w:noProof/>
          <w:color w:val="000000"/>
          <w:szCs w:val="22"/>
        </w:rPr>
        <w:t>a)</w:t>
      </w:r>
      <w:r>
        <w:rPr>
          <w:bCs/>
          <w:noProof/>
          <w:color w:val="000000"/>
          <w:szCs w:val="22"/>
        </w:rPr>
        <w:tab/>
        <w:t>El año 2002 la comisión de internados del MINEDUC puso en marcha una versión piloto de un sistema de postulación a internados, residencias familiares y hogares de la JUNAEB.  Este sistema consiste en un sitio web donde los alumnos de octavo básico que requieren de vivienda estudiantil, para continuar su acceso a Educación Media, pueden conocer la oferta existente, sus características y postular a ella con información pertinente.  Esto ha permitido mejorar las estrategias de focalización del beneficio de internado.  Durante el año 2002, postularon 7.500 niños y niñas de las regiones IX y X.</w:t>
      </w:r>
    </w:p>
    <w:p w:rsidR="00000000" w:rsidRDefault="00000000">
      <w:pPr>
        <w:spacing w:after="240" w:line="238" w:lineRule="auto"/>
        <w:ind w:left="1134" w:hanging="567"/>
        <w:rPr>
          <w:bCs/>
          <w:noProof/>
          <w:color w:val="000000"/>
          <w:szCs w:val="22"/>
        </w:rPr>
      </w:pPr>
      <w:r>
        <w:rPr>
          <w:bCs/>
          <w:noProof/>
          <w:color w:val="000000"/>
          <w:szCs w:val="22"/>
        </w:rPr>
        <w:t>b)</w:t>
      </w:r>
      <w:r>
        <w:rPr>
          <w:bCs/>
          <w:noProof/>
          <w:color w:val="000000"/>
          <w:szCs w:val="22"/>
        </w:rPr>
        <w:tab/>
        <w:t>Adscrito a la JUNAEB, el concurso Darío Salas busca rescatar experiencias de escuelas que faciliten la mantención de los alumnos en el sistema escolar a través de la participación y apertura de la escuela a la comunidad.</w:t>
      </w:r>
    </w:p>
    <w:p w:rsidR="00000000" w:rsidRDefault="00000000">
      <w:pPr>
        <w:spacing w:after="240" w:line="238" w:lineRule="auto"/>
        <w:ind w:left="1134" w:hanging="567"/>
        <w:rPr>
          <w:bCs/>
          <w:noProof/>
          <w:color w:val="000000"/>
          <w:szCs w:val="22"/>
        </w:rPr>
      </w:pPr>
      <w:r>
        <w:rPr>
          <w:bCs/>
          <w:noProof/>
          <w:color w:val="000000"/>
          <w:szCs w:val="22"/>
        </w:rPr>
        <w:t>c)</w:t>
      </w:r>
      <w:r>
        <w:rPr>
          <w:bCs/>
          <w:noProof/>
          <w:color w:val="000000"/>
          <w:szCs w:val="22"/>
        </w:rPr>
        <w:tab/>
        <w:t>Por su parte el Programa de Alimentación Escolar (PAE) cuyos objetivos son la reducción de la deserción escolar, el descenso de los niveles de ausentismo y contribuir al buen estado nutricional de los escolares, ha demostrado -a través de una evaluación de impacto realizada en los años 2002 y 2003- que el programa efectivamente previene el ausentismo y la deserción escolar en 4 y 3% respectivamente.</w:t>
      </w:r>
    </w:p>
    <w:p w:rsidR="00000000" w:rsidRDefault="00000000">
      <w:pPr>
        <w:spacing w:after="240"/>
        <w:ind w:left="1134" w:hanging="567"/>
        <w:rPr>
          <w:bCs/>
          <w:noProof/>
          <w:color w:val="000000"/>
          <w:szCs w:val="22"/>
        </w:rPr>
      </w:pPr>
      <w:r>
        <w:rPr>
          <w:bCs/>
          <w:noProof/>
          <w:color w:val="000000"/>
          <w:szCs w:val="22"/>
        </w:rPr>
        <w:t>d)</w:t>
      </w:r>
      <w:r>
        <w:rPr>
          <w:bCs/>
          <w:noProof/>
          <w:color w:val="000000"/>
          <w:szCs w:val="22"/>
        </w:rPr>
        <w:tab/>
        <w:t>Para la población adscrita a programas de atención del SENAME, se han establecido convenios con el Ministerio de Educación</w:t>
      </w:r>
      <w:r>
        <w:rPr>
          <w:rStyle w:val="FootnoteReference"/>
          <w:bCs/>
          <w:noProof/>
          <w:color w:val="000000"/>
          <w:szCs w:val="22"/>
        </w:rPr>
        <w:footnoteReference w:id="15"/>
      </w:r>
      <w:r>
        <w:rPr>
          <w:bCs/>
          <w:noProof/>
          <w:color w:val="000000"/>
          <w:szCs w:val="22"/>
        </w:rPr>
        <w:t>, tanto para los centros de administración directa como para los programas que ejecutan las instituciones colaboradoras.  Estos convenios permiten nivelar los estudios básicos a los adolescentes de más de 15 años a través del programa Chile Califica.</w:t>
      </w:r>
    </w:p>
    <w:p w:rsidR="00000000" w:rsidRDefault="00000000">
      <w:pPr>
        <w:spacing w:after="240"/>
        <w:ind w:left="1134" w:hanging="567"/>
        <w:rPr>
          <w:bCs/>
          <w:noProof/>
          <w:color w:val="000000"/>
          <w:szCs w:val="22"/>
        </w:rPr>
      </w:pPr>
      <w:r>
        <w:rPr>
          <w:bCs/>
          <w:noProof/>
          <w:color w:val="000000"/>
          <w:szCs w:val="22"/>
        </w:rPr>
        <w:t>e)</w:t>
      </w:r>
      <w:r>
        <w:rPr>
          <w:bCs/>
          <w:noProof/>
          <w:color w:val="000000"/>
          <w:szCs w:val="22"/>
        </w:rPr>
        <w:tab/>
        <w:t>También se han establecido convenios, desde el año 2002, entre el SENAME y el Servicio Nacional de Capacitación y el Empleo, para que los adolescentes puedan acceder a cursos de capacitación laboral y becas de capacitación.</w:t>
      </w:r>
    </w:p>
    <w:p w:rsidR="00000000" w:rsidRDefault="00000000">
      <w:pPr>
        <w:spacing w:after="240"/>
        <w:rPr>
          <w:b/>
          <w:iCs/>
          <w:noProof/>
          <w:color w:val="000000"/>
          <w:szCs w:val="22"/>
        </w:rPr>
      </w:pPr>
      <w:r>
        <w:rPr>
          <w:b/>
          <w:iCs/>
          <w:noProof/>
          <w:color w:val="000000"/>
          <w:szCs w:val="22"/>
        </w:rPr>
        <w:t>Párrafo 108.  Informes periódicos - CRC/C/58</w:t>
      </w:r>
    </w:p>
    <w:p w:rsidR="00000000" w:rsidRDefault="00000000">
      <w:pPr>
        <w:spacing w:after="240"/>
        <w:rPr>
          <w:bCs/>
          <w:noProof/>
          <w:color w:val="000000"/>
          <w:szCs w:val="22"/>
        </w:rPr>
      </w:pPr>
      <w:r>
        <w:rPr>
          <w:bCs/>
          <w:noProof/>
          <w:color w:val="000000"/>
          <w:szCs w:val="22"/>
        </w:rPr>
        <w:t>216.</w:t>
      </w:r>
      <w:r>
        <w:rPr>
          <w:bCs/>
          <w:noProof/>
          <w:color w:val="000000"/>
          <w:szCs w:val="22"/>
        </w:rPr>
        <w:tab/>
        <w:t xml:space="preserve">La Constitución política de la República de Chile, establece que el Estado asegura el acceso a la educación de toda la población.  La reciente reforma constitucional que declaró a la educación media como obligatoria y gratuita, y que ha sido descrita en acápites anteriores, es un ejemplo de que la educación es asumida como un derecho y no como un privilegio.  En Chile no existe categoría alguna de niño o niña que no goce del derecho a la educación.  Sin embargo según </w:t>
      </w:r>
      <w:r>
        <w:rPr>
          <w:bCs/>
          <w:noProof/>
          <w:szCs w:val="22"/>
        </w:rPr>
        <w:t>datos de la Encuesta CASEN del año 2003, el 33,3% de las personas de 24 años y menos no están incorporadas al sistema educacional chileno:</w:t>
      </w:r>
    </w:p>
    <w:p w:rsidR="00000000" w:rsidRDefault="00000000">
      <w:pPr>
        <w:spacing w:after="240"/>
        <w:ind w:left="924" w:hanging="357"/>
        <w:rPr>
          <w:bCs/>
          <w:noProof/>
          <w:szCs w:val="22"/>
        </w:rPr>
      </w:pPr>
      <w:r>
        <w:rPr>
          <w:bCs/>
          <w:noProof/>
          <w:color w:val="000000"/>
          <w:szCs w:val="22"/>
        </w:rPr>
        <w:t>-</w:t>
      </w:r>
      <w:r>
        <w:rPr>
          <w:bCs/>
          <w:noProof/>
          <w:color w:val="000000"/>
          <w:szCs w:val="22"/>
        </w:rPr>
        <w:tab/>
      </w:r>
      <w:r>
        <w:rPr>
          <w:bCs/>
          <w:noProof/>
          <w:szCs w:val="22"/>
        </w:rPr>
        <w:t xml:space="preserve">En el tramo de 0 a 5 años el 69,3% de los niños y niñas </w:t>
      </w:r>
      <w:r>
        <w:rPr>
          <w:bCs/>
          <w:noProof/>
          <w:color w:val="000000"/>
          <w:szCs w:val="22"/>
        </w:rPr>
        <w:t>no</w:t>
      </w:r>
      <w:r>
        <w:rPr>
          <w:bCs/>
          <w:noProof/>
          <w:szCs w:val="22"/>
        </w:rPr>
        <w:t xml:space="preserve"> están incorporados al sistema educacional.</w:t>
      </w:r>
    </w:p>
    <w:p w:rsidR="00000000" w:rsidRDefault="00000000">
      <w:pPr>
        <w:spacing w:after="240"/>
        <w:ind w:left="924" w:hanging="357"/>
        <w:rPr>
          <w:bCs/>
          <w:noProof/>
          <w:szCs w:val="22"/>
        </w:rPr>
      </w:pPr>
      <w:r>
        <w:rPr>
          <w:bCs/>
          <w:noProof/>
          <w:szCs w:val="22"/>
        </w:rPr>
        <w:t>-</w:t>
      </w:r>
      <w:r>
        <w:rPr>
          <w:bCs/>
          <w:noProof/>
          <w:color w:val="FF0000"/>
          <w:szCs w:val="22"/>
        </w:rPr>
        <w:tab/>
      </w:r>
      <w:r>
        <w:rPr>
          <w:bCs/>
          <w:noProof/>
          <w:szCs w:val="22"/>
        </w:rPr>
        <w:t>En el tramo de 6 a 13 años el 1, 0% de los niños y niñas no están incorporados al sistema educacional.</w:t>
      </w:r>
    </w:p>
    <w:p w:rsidR="00000000" w:rsidRDefault="00000000">
      <w:pPr>
        <w:spacing w:after="240"/>
        <w:ind w:left="924" w:hanging="357"/>
        <w:rPr>
          <w:bCs/>
          <w:noProof/>
          <w:szCs w:val="22"/>
        </w:rPr>
      </w:pPr>
      <w:r>
        <w:rPr>
          <w:bCs/>
          <w:noProof/>
          <w:szCs w:val="22"/>
        </w:rPr>
        <w:t>-</w:t>
      </w:r>
      <w:r>
        <w:rPr>
          <w:bCs/>
          <w:noProof/>
          <w:szCs w:val="22"/>
        </w:rPr>
        <w:tab/>
        <w:t xml:space="preserve">En el tramo de 14 a 17 años el 7,2% no están incorporados al </w:t>
      </w:r>
      <w:r>
        <w:rPr>
          <w:bCs/>
          <w:noProof/>
          <w:color w:val="000000"/>
          <w:szCs w:val="22"/>
        </w:rPr>
        <w:t>sistema</w:t>
      </w:r>
      <w:r>
        <w:rPr>
          <w:bCs/>
          <w:noProof/>
          <w:szCs w:val="22"/>
        </w:rPr>
        <w:t xml:space="preserve"> educacional.</w:t>
      </w:r>
    </w:p>
    <w:p w:rsidR="00000000" w:rsidRDefault="00000000">
      <w:pPr>
        <w:spacing w:after="240"/>
        <w:rPr>
          <w:bCs/>
          <w:noProof/>
          <w:color w:val="000000"/>
          <w:szCs w:val="22"/>
        </w:rPr>
      </w:pPr>
      <w:r>
        <w:rPr>
          <w:bCs/>
          <w:noProof/>
          <w:szCs w:val="22"/>
        </w:rPr>
        <w:t>217.</w:t>
      </w:r>
      <w:r>
        <w:rPr>
          <w:bCs/>
          <w:noProof/>
          <w:szCs w:val="22"/>
        </w:rPr>
        <w:tab/>
        <w:t>Las principales razones declaradas por el tramo de edad de 14 a 17 años, son diferentes para los niños</w:t>
      </w:r>
      <w:r>
        <w:rPr>
          <w:bCs/>
          <w:noProof/>
          <w:color w:val="000000"/>
          <w:szCs w:val="22"/>
        </w:rPr>
        <w:t xml:space="preserve"> y las niñas.  Para ellas las principales razones son:  maternidad (25,9%), embarazo (12,7%) y dificultad económica (11,4%).  Mientras que para ellos son:  trabaja o busca trabajo (20,4%), no le interesa (19,0%), dificultad económica (18,7%), y problemas de rendimiento (15,5%).  Las desigualdades socioeconómicas y de localización geográfica repercuten en que la población de menores ingresos sea la más afectada por la no asistencia a un establecimiento educacional.  Mientras que el 34,8% de la población menor de 24 años del primer quintil (que corresponde al de menor ingreso del país) no asisten a un establecimiento educacional, en el quintil de mayores ingresos no asiste el 21,9%.</w:t>
      </w:r>
    </w:p>
    <w:p w:rsidR="00000000" w:rsidRDefault="00000000">
      <w:pPr>
        <w:spacing w:after="240"/>
        <w:rPr>
          <w:bCs/>
          <w:noProof/>
          <w:color w:val="000000"/>
          <w:szCs w:val="22"/>
        </w:rPr>
      </w:pPr>
      <w:r>
        <w:rPr>
          <w:bCs/>
          <w:noProof/>
          <w:color w:val="000000"/>
          <w:szCs w:val="22"/>
        </w:rPr>
        <w:t>218.</w:t>
      </w:r>
      <w:r>
        <w:rPr>
          <w:bCs/>
          <w:noProof/>
          <w:color w:val="000000"/>
          <w:szCs w:val="22"/>
        </w:rPr>
        <w:tab/>
        <w:t xml:space="preserve">Los niños y niñas que presentan alguna dificultad (discapacidad física, enfermedad, etc.) han podido acceder al sistema escolar producto de la coordinación establecida entre FONADIS y MINEDUC, instancias que permiten, respectivamente, que obtengan apoyo en implementos médicos y facilitar su acceso a las escuelas de educación especial.  </w:t>
      </w:r>
    </w:p>
    <w:p w:rsidR="00000000" w:rsidRDefault="00000000">
      <w:pPr>
        <w:keepNext/>
        <w:spacing w:after="240"/>
        <w:rPr>
          <w:b/>
          <w:iCs/>
          <w:noProof/>
          <w:color w:val="000000"/>
          <w:szCs w:val="22"/>
        </w:rPr>
      </w:pPr>
      <w:r>
        <w:rPr>
          <w:b/>
          <w:iCs/>
          <w:noProof/>
          <w:color w:val="000000"/>
          <w:szCs w:val="22"/>
        </w:rPr>
        <w:t>Párrafo 109.  Informes periódicos - CRC/C/58</w:t>
      </w:r>
    </w:p>
    <w:p w:rsidR="00000000" w:rsidRDefault="00000000">
      <w:pPr>
        <w:keepNext/>
        <w:spacing w:after="240"/>
        <w:rPr>
          <w:bCs/>
          <w:noProof/>
          <w:color w:val="000000"/>
          <w:szCs w:val="22"/>
        </w:rPr>
      </w:pPr>
      <w:r>
        <w:rPr>
          <w:bCs/>
          <w:noProof/>
          <w:color w:val="000000"/>
          <w:szCs w:val="22"/>
        </w:rPr>
        <w:t>219.</w:t>
      </w:r>
      <w:r>
        <w:rPr>
          <w:bCs/>
          <w:noProof/>
          <w:color w:val="000000"/>
          <w:szCs w:val="22"/>
        </w:rPr>
        <w:tab/>
        <w:t>El Ministerio de Educación ha fomentado y desarrollado diversas estrategias de trabajo que tienen como fin la reevaluación de la disciplina escolar.  Con la participación de actores e instituciones que representan a establecimientos educacionales públicos y privados, se estableció una política de convivencia escolar que explicita criterios, orientaciones e indicadores de calidad de la interacción pedagógica; procedimientos y herramientas de control que no vulneren la dignidad; y mecanismos de control que garanticen un debido proceso para el estudiante frente a una falta.  Esta política norma acerca de formas de convivencia basadas en el respeto, la no discriminación y sobre formas adecuadas de resolución de conflictos.  El énfasis de la política de convivencia es que niños y niñas son sujetos de derechos, promoviendo una amplia participación de los estudiantes en todos los asuntos que le involucran.  Para facilitar su implementación, se está capacitando a docentes y a estudiantes sobre el manejo e incorporación en la cultura escolar de técnicas como:  negociación y mediación entre pares.</w:t>
      </w:r>
    </w:p>
    <w:p w:rsidR="00000000" w:rsidRDefault="00000000">
      <w:pPr>
        <w:spacing w:after="240"/>
        <w:rPr>
          <w:bCs/>
          <w:i/>
          <w:noProof/>
          <w:color w:val="000000"/>
          <w:szCs w:val="22"/>
        </w:rPr>
      </w:pPr>
      <w:r>
        <w:rPr>
          <w:bCs/>
          <w:noProof/>
          <w:color w:val="000000"/>
          <w:szCs w:val="22"/>
        </w:rPr>
        <w:t>220.</w:t>
      </w:r>
      <w:r>
        <w:rPr>
          <w:bCs/>
          <w:noProof/>
          <w:color w:val="000000"/>
          <w:szCs w:val="22"/>
        </w:rPr>
        <w:tab/>
        <w:t>Como se describió en puntos anteriores, el Ministerio de Educación creó oficinas de denuncias, reclamos e informaciones en los 52 departamentos provinciales de educación, en donde la opinión y palabra del niño o niña tiene igual relevancia que la de un adulto.</w:t>
      </w:r>
    </w:p>
    <w:p w:rsidR="00000000" w:rsidRDefault="00000000">
      <w:pPr>
        <w:spacing w:after="240"/>
        <w:rPr>
          <w:bCs/>
          <w:noProof/>
          <w:color w:val="000000"/>
          <w:szCs w:val="22"/>
        </w:rPr>
      </w:pPr>
      <w:r>
        <w:rPr>
          <w:bCs/>
          <w:noProof/>
          <w:color w:val="000000"/>
          <w:szCs w:val="22"/>
        </w:rPr>
        <w:t>221.</w:t>
      </w:r>
      <w:r>
        <w:rPr>
          <w:bCs/>
          <w:noProof/>
          <w:color w:val="000000"/>
          <w:szCs w:val="22"/>
        </w:rPr>
        <w:tab/>
        <w:t>La expulsión como sanción aún existe en el sistema escolar.  En el actual marco de descentralización pedagógica existente en el país, el Ministerio de Educación establece que la aplicación de dicha sanción sea sólo frente a una falta grave que pone en peligro la integridad física o psicológica de terceros en la comunidad escolar y con posterioridad a un debido proceso en donde la voz del estudiante sea escuchada.  Dada la relevancia que las actuales políticas educativas le asignan al derecho a la educación, el Ministerio de Educación, tiene el rol permanente de resguardar este derecho cautelando la presencia del niño o niña en el sistema escolar.</w:t>
      </w:r>
    </w:p>
    <w:p w:rsidR="00000000" w:rsidRDefault="00000000">
      <w:pPr>
        <w:spacing w:after="240"/>
        <w:rPr>
          <w:b/>
          <w:iCs/>
          <w:noProof/>
          <w:color w:val="000000"/>
          <w:szCs w:val="22"/>
        </w:rPr>
      </w:pPr>
      <w:r>
        <w:rPr>
          <w:b/>
          <w:iCs/>
          <w:noProof/>
          <w:color w:val="000000"/>
          <w:szCs w:val="22"/>
        </w:rPr>
        <w:t>Párrafo 110.  Informes periódicos - CRC/C/58</w:t>
      </w:r>
    </w:p>
    <w:p w:rsidR="00000000" w:rsidRDefault="00000000">
      <w:pPr>
        <w:spacing w:after="240"/>
        <w:rPr>
          <w:bCs/>
          <w:noProof/>
          <w:color w:val="000000"/>
          <w:szCs w:val="22"/>
        </w:rPr>
      </w:pPr>
      <w:r>
        <w:rPr>
          <w:bCs/>
          <w:noProof/>
          <w:color w:val="000000"/>
          <w:szCs w:val="22"/>
        </w:rPr>
        <w:t>222.</w:t>
      </w:r>
      <w:r>
        <w:rPr>
          <w:bCs/>
          <w:noProof/>
          <w:color w:val="000000"/>
          <w:szCs w:val="22"/>
        </w:rPr>
        <w:tab/>
        <w:t>El año 2001 el Ministerio de Educación suscribió un acuerdo de cooperación con el Banco Interamericano de Desarrollo, BID, a través del cual el programa de Educación Intercultural Bilingüe, PEIB, amplía y diversifica su campo de acción y cobertura.</w:t>
      </w:r>
    </w:p>
    <w:p w:rsidR="00000000" w:rsidRDefault="00000000">
      <w:pPr>
        <w:spacing w:after="240"/>
        <w:jc w:val="center"/>
        <w:rPr>
          <w:b/>
          <w:noProof/>
          <w:color w:val="000000"/>
          <w:szCs w:val="22"/>
        </w:rPr>
      </w:pPr>
      <w:r>
        <w:rPr>
          <w:b/>
          <w:noProof/>
          <w:color w:val="000000"/>
          <w:szCs w:val="22"/>
        </w:rPr>
        <w:t>B.  Los objetivos de la educación</w:t>
      </w:r>
    </w:p>
    <w:p w:rsidR="00000000" w:rsidRDefault="00000000">
      <w:pPr>
        <w:spacing w:after="240"/>
        <w:rPr>
          <w:b/>
          <w:noProof/>
          <w:color w:val="000000"/>
          <w:szCs w:val="22"/>
        </w:rPr>
      </w:pPr>
      <w:r>
        <w:rPr>
          <w:b/>
          <w:noProof/>
          <w:color w:val="000000"/>
          <w:szCs w:val="22"/>
        </w:rPr>
        <w:t>Párrafo 112.  Informes periódicos - CRC/C/58</w:t>
      </w:r>
    </w:p>
    <w:p w:rsidR="00000000" w:rsidRDefault="00000000">
      <w:pPr>
        <w:spacing w:after="240"/>
        <w:rPr>
          <w:bCs/>
          <w:noProof/>
          <w:color w:val="000000"/>
          <w:szCs w:val="22"/>
        </w:rPr>
      </w:pPr>
      <w:r>
        <w:rPr>
          <w:bCs/>
          <w:noProof/>
          <w:color w:val="000000"/>
          <w:szCs w:val="22"/>
        </w:rPr>
        <w:t>223.</w:t>
      </w:r>
      <w:r>
        <w:rPr>
          <w:bCs/>
          <w:noProof/>
          <w:color w:val="000000"/>
          <w:szCs w:val="22"/>
        </w:rPr>
        <w:tab/>
        <w:t>La reforma curricular en su concepción valórica se basa en los principios de la Constitución Política, en la Ley orgánica constitucional de enseñanza y en el ordenamiento jurídico de la nación, así como en la Declaración Universal de los Derechos Humanos y en las grandes tradiciones espirituales del país.  Se parte de la convicción fundamental que los seres humanos nacen libres e iguales en dignidad y derechos.</w:t>
      </w:r>
    </w:p>
    <w:p w:rsidR="00000000" w:rsidRDefault="00000000">
      <w:pPr>
        <w:spacing w:after="240"/>
        <w:rPr>
          <w:bCs/>
          <w:noProof/>
          <w:color w:val="000000"/>
          <w:szCs w:val="22"/>
        </w:rPr>
      </w:pPr>
      <w:r>
        <w:rPr>
          <w:bCs/>
          <w:noProof/>
          <w:color w:val="000000"/>
          <w:szCs w:val="22"/>
        </w:rPr>
        <w:t>224.</w:t>
      </w:r>
      <w:r>
        <w:rPr>
          <w:bCs/>
          <w:noProof/>
          <w:color w:val="000000"/>
          <w:szCs w:val="22"/>
        </w:rPr>
        <w:tab/>
        <w:t>La Comisión Nacional para la Modernización de la Educación coincidió en la necesidad de que la formación general recoja un conjunto de principios de carácter ético.  Estos principios deben abrir a todos los niños y niñas, la posibilidad de desarrollarse como personas libres, con conciencia de su propia dignidad y como sujetos de derechos.  Asimismo, deben contribuir a forjar en ellos el carácter moral regido por el amor, la solidaridad, la tolerancia, la verdad, la justicia, la belleza, el sentido de nacionalidad y el afán de trascendencia personal.  El reconocimiento de la libertad, igualdad y dignidad de las personas impone al Estado el deber de garantizar una educación de calidad para todos que, sin excepciones, contribuya a que cada niño o niña se desarrollen como personas libres y socialmente responsables.</w:t>
      </w:r>
    </w:p>
    <w:p w:rsidR="00000000" w:rsidRDefault="00000000">
      <w:pPr>
        <w:spacing w:after="240"/>
        <w:rPr>
          <w:bCs/>
          <w:szCs w:val="22"/>
        </w:rPr>
      </w:pPr>
      <w:r>
        <w:rPr>
          <w:bCs/>
          <w:szCs w:val="22"/>
        </w:rPr>
        <w:t>225.</w:t>
      </w:r>
      <w:r>
        <w:rPr>
          <w:bCs/>
          <w:szCs w:val="22"/>
        </w:rPr>
        <w:tab/>
        <w:t xml:space="preserve">La reforma curricular de la educación básica y media, iniciada el año 1996, enfatiza la formación sistemática de los estudiantes en los conocimientos, habilidades y valores que les permitan ejercer sus derechos como </w:t>
      </w:r>
      <w:r>
        <w:rPr>
          <w:bCs/>
          <w:noProof/>
          <w:color w:val="000000"/>
          <w:szCs w:val="22"/>
        </w:rPr>
        <w:t>ciudadanos</w:t>
      </w:r>
      <w:r>
        <w:rPr>
          <w:bCs/>
          <w:szCs w:val="22"/>
        </w:rPr>
        <w:t xml:space="preserve"> y participar activa y críticamente en la construcción de la sociedad en base a principios de solidaridad, cuidado del medio ambiente, pluralismo, bien común, valoración de la identidad nacional y de la democracia.  En relación a las temáticas de derechos de la infancia, derechos humanos y ciudadanía, se definen objetivos fundamentales transversales específicos.  Su propósito es, por una parte impregnar y potenciar en los distintos subsectores de aprendizajes aquellos contenidos mínimos relacionados con el tema, y por otra favorecer que éstos se desarrollen también a través de los distintos espacios de la cultura escolar.  Éstos son:  el c</w:t>
      </w:r>
      <w:r>
        <w:rPr>
          <w:bCs/>
          <w:noProof/>
          <w:color w:val="000000"/>
          <w:szCs w:val="22"/>
        </w:rPr>
        <w:t>l</w:t>
      </w:r>
      <w:r>
        <w:rPr>
          <w:bCs/>
          <w:szCs w:val="22"/>
        </w:rPr>
        <w:t>ima escolar, el proyecto educativo, las normativas y disciplina, los espacios de participación, entre otros.</w:t>
      </w:r>
    </w:p>
    <w:p w:rsidR="00000000" w:rsidRDefault="00000000">
      <w:pPr>
        <w:spacing w:after="240"/>
        <w:rPr>
          <w:bCs/>
          <w:noProof/>
          <w:color w:val="000000"/>
          <w:szCs w:val="22"/>
        </w:rPr>
      </w:pPr>
      <w:r>
        <w:rPr>
          <w:bCs/>
          <w:noProof/>
          <w:color w:val="000000"/>
          <w:szCs w:val="22"/>
        </w:rPr>
        <w:t>226.</w:t>
      </w:r>
      <w:r>
        <w:rPr>
          <w:bCs/>
          <w:noProof/>
          <w:color w:val="000000"/>
          <w:szCs w:val="22"/>
        </w:rPr>
        <w:tab/>
        <w:t>Se han desarrollado políticas -que se indican a continuación- que promueven la colaboración y participación de los padres y madres en la tarea educativa, entregando información y otorgando oportunidades para nivelar estudios a aquellos que no han completado su escolaridad primaria o secundaria:</w:t>
      </w:r>
    </w:p>
    <w:p w:rsidR="00000000" w:rsidRDefault="00000000">
      <w:pPr>
        <w:tabs>
          <w:tab w:val="left" w:pos="-2127"/>
          <w:tab w:val="left" w:pos="-1985"/>
          <w:tab w:val="left" w:pos="-1843"/>
        </w:tabs>
        <w:spacing w:after="240"/>
        <w:ind w:left="1134" w:hanging="567"/>
        <w:rPr>
          <w:bCs/>
          <w:noProof/>
          <w:color w:val="000000"/>
          <w:szCs w:val="22"/>
        </w:rPr>
      </w:pPr>
      <w:r>
        <w:rPr>
          <w:bCs/>
          <w:noProof/>
          <w:color w:val="000000"/>
          <w:szCs w:val="22"/>
        </w:rPr>
        <w:t>a)</w:t>
      </w:r>
      <w:r>
        <w:rPr>
          <w:bCs/>
          <w:noProof/>
          <w:color w:val="000000"/>
          <w:szCs w:val="22"/>
        </w:rPr>
        <w:tab/>
        <w:t>La campaña de lectura, escritura y matemática (LEM), considera que las familias son un actor clave en el acercamiento de los niños y niñas al aprendizaje.  Por ello, a través de la elaboración y distribución de material sobre el aprendizaje de los niños y niñas se apoya a los padres y madres para ayudar a estimular estos aprendizajes.</w:t>
      </w:r>
    </w:p>
    <w:p w:rsidR="00000000" w:rsidRDefault="00000000">
      <w:pPr>
        <w:tabs>
          <w:tab w:val="left" w:pos="-2127"/>
          <w:tab w:val="left" w:pos="-1985"/>
          <w:tab w:val="left" w:pos="-1843"/>
        </w:tabs>
        <w:spacing w:after="240"/>
        <w:ind w:left="1134" w:hanging="567"/>
        <w:rPr>
          <w:bCs/>
          <w:noProof/>
          <w:color w:val="000000"/>
          <w:szCs w:val="22"/>
        </w:rPr>
      </w:pPr>
      <w:r>
        <w:rPr>
          <w:bCs/>
          <w:noProof/>
          <w:color w:val="000000"/>
          <w:szCs w:val="22"/>
        </w:rPr>
        <w:t>b)</w:t>
      </w:r>
      <w:r>
        <w:rPr>
          <w:bCs/>
          <w:noProof/>
          <w:color w:val="000000"/>
          <w:szCs w:val="22"/>
        </w:rPr>
        <w:tab/>
        <w:t xml:space="preserve">Los programas focalizados del nivel de básica contemplan líneas de acción en este aspecto.  Programas como el P.900 y el de Básica Rural, propician el encuentro entre familia, escuela y comunidad, buscando generar y desarrollar conocimientos y estrategias de acción que favorezcan la alianza entre el grupo familiar y la escuela.  Se promueven los llamados encuentros familia-escuela en los cuales los docentes y apoderados acuerdan acciones conjuntas para el mejoramiento de los aprendizajes y la formación de los niños y niñas.  </w:t>
      </w:r>
    </w:p>
    <w:p w:rsidR="00000000" w:rsidRDefault="00000000">
      <w:pPr>
        <w:tabs>
          <w:tab w:val="left" w:pos="-2127"/>
          <w:tab w:val="left" w:pos="-1985"/>
          <w:tab w:val="left" w:pos="-1843"/>
        </w:tabs>
        <w:spacing w:after="240"/>
        <w:ind w:left="1134" w:hanging="567"/>
        <w:rPr>
          <w:bCs/>
          <w:noProof/>
          <w:color w:val="000000"/>
          <w:szCs w:val="22"/>
        </w:rPr>
      </w:pPr>
      <w:r>
        <w:rPr>
          <w:bCs/>
          <w:noProof/>
          <w:color w:val="000000"/>
          <w:szCs w:val="22"/>
        </w:rPr>
        <w:t>c)</w:t>
      </w:r>
      <w:r>
        <w:rPr>
          <w:bCs/>
          <w:noProof/>
          <w:color w:val="000000"/>
          <w:szCs w:val="22"/>
        </w:rPr>
        <w:tab/>
        <w:t>Dentro de las orientaciones y acciones del programa de educación intercultural bilingüe (PEIB), se da gran relevancia al trabajo con las comunidades indígenas, incorporando a padres, madres y otros miembros de la comunidad.  Se trabaja desde el año 1998 con asesores culturales en la IX Región de La Araucanía.  A partir del 2003, ello se ha extendido a todas las regiones focalizadas por el programa PEIB.  Los asesores culturales son miembros de la comunidad nombrados por ella y tienen la misión de transmitir, enseñar y fortalecer los conocimientos de su cultura.</w:t>
      </w:r>
    </w:p>
    <w:p w:rsidR="00000000" w:rsidRDefault="00000000">
      <w:pPr>
        <w:spacing w:after="240"/>
        <w:rPr>
          <w:bCs/>
          <w:szCs w:val="22"/>
        </w:rPr>
      </w:pPr>
      <w:r>
        <w:rPr>
          <w:bCs/>
          <w:szCs w:val="22"/>
        </w:rPr>
        <w:t>227.</w:t>
      </w:r>
      <w:r>
        <w:rPr>
          <w:bCs/>
          <w:szCs w:val="22"/>
        </w:rPr>
        <w:tab/>
        <w:t xml:space="preserve">El Ministerio de Educación ha continuado desarrollando el programa de educación ambiental, del cual se informó en el segundo informe.  En este ámbito se ha desarrollado una estrategia de intervención, llamada </w:t>
      </w:r>
      <w:r>
        <w:rPr>
          <w:bCs/>
          <w:noProof/>
          <w:color w:val="000000"/>
          <w:szCs w:val="22"/>
        </w:rPr>
        <w:t>Sistema</w:t>
      </w:r>
      <w:r>
        <w:rPr>
          <w:bCs/>
          <w:szCs w:val="22"/>
        </w:rPr>
        <w:t xml:space="preserve"> Nacional de Certificación Ambiental de Establecimientos Educativos (SNCAE); la cual ha sido asumida en forma conjunta por el Ministerio de Educación, la Comisión Nacional del Medio Ambiente, la Corporación Nacional Forestal, UNESCO y la Asociación Chilena de Municipalidades.  A través de ella se desarrollan líneas de acción complementarias para fortalecer la educación ambiental, el cuidado y protección del medio ambiente y la generación de redes asociativas para la gestión ambiental local.</w:t>
      </w:r>
    </w:p>
    <w:p w:rsidR="00000000" w:rsidRDefault="00000000">
      <w:pPr>
        <w:spacing w:after="240"/>
        <w:rPr>
          <w:b/>
          <w:iCs/>
          <w:noProof/>
          <w:color w:val="000000"/>
          <w:szCs w:val="22"/>
        </w:rPr>
      </w:pPr>
      <w:r>
        <w:rPr>
          <w:b/>
          <w:iCs/>
          <w:noProof/>
          <w:color w:val="000000"/>
          <w:szCs w:val="22"/>
        </w:rPr>
        <w:t>Párrafo 114.  Informes periódicos - CRC/C/58</w:t>
      </w:r>
    </w:p>
    <w:p w:rsidR="00000000" w:rsidRDefault="00000000">
      <w:pPr>
        <w:spacing w:after="240"/>
        <w:rPr>
          <w:bCs/>
          <w:noProof/>
          <w:color w:val="000000"/>
          <w:szCs w:val="22"/>
        </w:rPr>
      </w:pPr>
      <w:r>
        <w:rPr>
          <w:bCs/>
          <w:noProof/>
          <w:color w:val="000000"/>
          <w:szCs w:val="22"/>
        </w:rPr>
        <w:t>228.</w:t>
      </w:r>
      <w:r>
        <w:rPr>
          <w:bCs/>
          <w:noProof/>
          <w:color w:val="000000"/>
          <w:szCs w:val="22"/>
        </w:rPr>
        <w:tab/>
        <w:t>Como se señaló en el segundo informe, la Constitución establece que la libertad de enseñanza incluye el derecho de abrir, organizar y mantener establecimientos educacionales (a toda persona natural o jurídica) sin ninguna limitación más que las impuestas por la moral, las buenas costumbres, el orden público y la seguridad nacional.</w:t>
      </w:r>
    </w:p>
    <w:p w:rsidR="00000000" w:rsidRDefault="00000000">
      <w:pPr>
        <w:keepNext/>
        <w:keepLines/>
        <w:spacing w:after="240"/>
        <w:rPr>
          <w:b/>
          <w:iCs/>
          <w:noProof/>
          <w:color w:val="000000"/>
          <w:szCs w:val="22"/>
        </w:rPr>
      </w:pPr>
      <w:r>
        <w:rPr>
          <w:b/>
          <w:iCs/>
          <w:noProof/>
          <w:color w:val="000000"/>
          <w:szCs w:val="22"/>
        </w:rPr>
        <w:t>Párrafo 115.  Informes periódicos - CRC/C/58</w:t>
      </w:r>
    </w:p>
    <w:p w:rsidR="00000000" w:rsidRDefault="00000000">
      <w:pPr>
        <w:widowControl w:val="0"/>
        <w:spacing w:after="240"/>
        <w:rPr>
          <w:bCs/>
          <w:noProof/>
          <w:color w:val="000000"/>
          <w:szCs w:val="22"/>
        </w:rPr>
      </w:pPr>
      <w:r>
        <w:rPr>
          <w:bCs/>
          <w:noProof/>
          <w:color w:val="000000"/>
          <w:szCs w:val="22"/>
        </w:rPr>
        <w:t>229.</w:t>
      </w:r>
      <w:r>
        <w:rPr>
          <w:bCs/>
          <w:noProof/>
          <w:color w:val="000000"/>
          <w:szCs w:val="22"/>
        </w:rPr>
        <w:tab/>
        <w:t>El Gobierno a través del Ministerio de Educación realiza una supervisión permanente a través de las Secretarías Regionales y las Direcciones Provinciales de Educación.</w:t>
      </w:r>
    </w:p>
    <w:p w:rsidR="00000000" w:rsidRDefault="00000000">
      <w:pPr>
        <w:widowControl w:val="0"/>
        <w:spacing w:after="240"/>
        <w:jc w:val="center"/>
        <w:rPr>
          <w:bCs/>
          <w:noProof/>
          <w:color w:val="000000"/>
          <w:szCs w:val="22"/>
        </w:rPr>
      </w:pPr>
      <w:r>
        <w:rPr>
          <w:b/>
          <w:noProof/>
          <w:color w:val="000000"/>
          <w:szCs w:val="22"/>
        </w:rPr>
        <w:t>C.  El descanso, el esparcimiento y las actividades culturales</w:t>
      </w:r>
    </w:p>
    <w:p w:rsidR="00000000" w:rsidRDefault="00000000">
      <w:pPr>
        <w:widowControl w:val="0"/>
        <w:spacing w:after="240"/>
        <w:rPr>
          <w:b/>
          <w:iCs/>
          <w:noProof/>
          <w:color w:val="000000"/>
          <w:szCs w:val="22"/>
        </w:rPr>
      </w:pPr>
      <w:r>
        <w:rPr>
          <w:b/>
          <w:iCs/>
          <w:noProof/>
          <w:color w:val="000000"/>
          <w:szCs w:val="22"/>
        </w:rPr>
        <w:t>Párrafo 117.  Informes periódicos - CRC/C/58</w:t>
      </w:r>
    </w:p>
    <w:p w:rsidR="00000000" w:rsidRDefault="00000000">
      <w:pPr>
        <w:widowControl w:val="0"/>
        <w:spacing w:after="240"/>
        <w:rPr>
          <w:bCs/>
          <w:noProof/>
          <w:color w:val="000000"/>
          <w:szCs w:val="22"/>
        </w:rPr>
      </w:pPr>
      <w:r>
        <w:rPr>
          <w:bCs/>
          <w:noProof/>
          <w:color w:val="000000"/>
          <w:szCs w:val="22"/>
        </w:rPr>
        <w:t>230.</w:t>
      </w:r>
      <w:r>
        <w:rPr>
          <w:bCs/>
          <w:noProof/>
          <w:color w:val="000000"/>
          <w:szCs w:val="22"/>
        </w:rPr>
        <w:tab/>
        <w:t xml:space="preserve">Los objetivos de la política del deporte del Gobierno han estado dirigidos a posicionar los valores y beneficios que tiene la práctica deportiva en la población a través de:  la ampliación de la cobertura, fortalecimiento de programas y calidad de las actividades físicas y deportivas en la comunidad nacional; y el desarrollo y mejoramiento del nivel y posición del deporte de alto rendimiento nacional en competencias internacionales.  Para la participación de niños y niñas entre 6 y 17 años, la institución pública en materia de deportes, Chiledeportes, configura proyectos tales como:  caminatas, cicletadas, juegos predeportivos autóctonos, natación básica, y verano recreativo, dirigidos por profesionales especializados.  Esta entidad realiza convenios con otras instituciones que propicien proyectos innovadores con el objeto de habilitar espacios alternativos, como calles, parques, plazas y estacionamientos, entre otros, donde la población pueda acudir a realizar sus actividades físicas, deportivas y recreativas.  Asimismo fomenta la práctica sistemática y permanente de actividades deportivas para niños y niñas, en edad escolar, de 4 a 18 años pertenecientes a familias con mayores carencias para contar con una adecuada formación para el deporte.  Se han realizado proyectos deportivos destinados a la psicomotricidad de niños y niñas de 4 a 7 años, talleres de párvulos y de formación motora, así como actividades motrices en contacto con la naturaleza.  Para la población adolescente se han realizado competencias deportivas cuyo componente principal son los campeonatos deportivos que benefician a niños y niñas entre 10 y 16 años de edad en todo el territorio nacional, adscritos o no al sistema educacional, pertenecientes a organizaciones deportivas constituidas legalmente.  </w:t>
      </w:r>
    </w:p>
    <w:p w:rsidR="00000000" w:rsidRDefault="00000000">
      <w:pPr>
        <w:widowControl w:val="0"/>
        <w:spacing w:after="240"/>
        <w:rPr>
          <w:bCs/>
          <w:noProof/>
          <w:color w:val="000000"/>
          <w:szCs w:val="22"/>
        </w:rPr>
      </w:pPr>
      <w:r>
        <w:rPr>
          <w:bCs/>
          <w:noProof/>
          <w:color w:val="000000"/>
          <w:szCs w:val="22"/>
        </w:rPr>
        <w:t>231.</w:t>
      </w:r>
      <w:r>
        <w:rPr>
          <w:bCs/>
          <w:noProof/>
          <w:color w:val="000000"/>
          <w:szCs w:val="22"/>
        </w:rPr>
        <w:tab/>
        <w:t>En cuanto a procurar el esparcimiento a la población de menores recursos, el Gobierno organiza Campamentos Escolares</w:t>
      </w:r>
      <w:r>
        <w:rPr>
          <w:rStyle w:val="FootnoteReference"/>
          <w:bCs/>
          <w:noProof/>
          <w:color w:val="000000"/>
          <w:szCs w:val="22"/>
        </w:rPr>
        <w:footnoteReference w:id="16"/>
      </w:r>
      <w:r>
        <w:rPr>
          <w:bCs/>
          <w:noProof/>
          <w:color w:val="000000"/>
          <w:szCs w:val="22"/>
        </w:rPr>
        <w:t>.  Para la población adscrita a programas de protección, desde el año 2001 existe un convenio de cooperación con Chiledeportes que permite desarrollar actividades deportivas, recreativas y culturales con todos los niños y niñas de la red de atención de SENAME.  Por su parte, en los centros privativos de libertad de administración directa del SENAME, y los programas de las instituciones colaboradoras que atienden a los adolescentes infractores de ley existen talleres de ocupación del tiempo libre, talleres deportivos, de promoción de derechos, de desarrollo personal, así como actividades culturales.</w:t>
      </w:r>
    </w:p>
    <w:p w:rsidR="00000000" w:rsidRDefault="00000000">
      <w:pPr>
        <w:widowControl w:val="0"/>
        <w:spacing w:after="240"/>
        <w:rPr>
          <w:bCs/>
          <w:noProof/>
          <w:color w:val="000000"/>
          <w:szCs w:val="22"/>
        </w:rPr>
      </w:pPr>
      <w:r>
        <w:rPr>
          <w:bCs/>
          <w:noProof/>
          <w:color w:val="000000"/>
          <w:szCs w:val="22"/>
        </w:rPr>
        <w:t>232.</w:t>
      </w:r>
      <w:r>
        <w:rPr>
          <w:bCs/>
          <w:noProof/>
          <w:color w:val="000000"/>
          <w:szCs w:val="22"/>
        </w:rPr>
        <w:tab/>
        <w:t>El Consejo Nacional del Libro y la Lectura en los 2.500 proyectos aprobados mediante concurso, desde su creación en 1993 y hasta el 2003, ha otorgado aproximadamente 1.010.441 dólares de los EE.UU. a más de 400 iniciativas específicamente dirigidas a niños y niñas entre 0 y 18 años en los campos de implementación de bibliotecas infantiles, dotación de colecciones, habilitación de salas y mobiliario.  También se han implementado rincones infantiles múltiples y iniciativas de carácter móvil como cajas viajeras, triciclos, carros, carteros, bibliomotos, bibliolanchas del libro.  Entre otras iniciativas del Consejo Nacional de Libro están:</w:t>
      </w:r>
    </w:p>
    <w:p w:rsidR="00000000" w:rsidRDefault="00000000">
      <w:pPr>
        <w:spacing w:after="240"/>
        <w:ind w:left="924" w:hanging="357"/>
        <w:rPr>
          <w:bCs/>
          <w:noProof/>
          <w:color w:val="000000"/>
          <w:szCs w:val="22"/>
        </w:rPr>
      </w:pPr>
      <w:r>
        <w:rPr>
          <w:bCs/>
          <w:noProof/>
          <w:color w:val="000000"/>
          <w:szCs w:val="22"/>
        </w:rPr>
        <w:t>-</w:t>
      </w:r>
      <w:r>
        <w:rPr>
          <w:bCs/>
          <w:noProof/>
          <w:color w:val="000000"/>
          <w:szCs w:val="22"/>
        </w:rPr>
        <w:tab/>
      </w:r>
      <w:r>
        <w:rPr>
          <w:bCs/>
          <w:i/>
          <w:iCs/>
          <w:noProof/>
          <w:color w:val="000000"/>
          <w:szCs w:val="22"/>
        </w:rPr>
        <w:t>El concurso de proyectos de fomento del libro y la lectura</w:t>
      </w:r>
      <w:r>
        <w:rPr>
          <w:bCs/>
          <w:noProof/>
          <w:color w:val="000000"/>
          <w:szCs w:val="22"/>
        </w:rPr>
        <w:t>:  tiene por objeto contribuir al desarrollo de iniciativas de fomento bibliotecario y de la lectura, eventos, capacitación, apoyo a la edición, promoción y exportación de libros chilenos.  Es un concurso para todo público, pero siempre ha privilegiado de modo importante los proyectos que beneficien con alto impacto a niños y niñas.</w:t>
      </w:r>
    </w:p>
    <w:p w:rsidR="00000000" w:rsidRDefault="00000000">
      <w:pPr>
        <w:spacing w:after="240"/>
        <w:ind w:left="924" w:hanging="357"/>
        <w:rPr>
          <w:bCs/>
          <w:noProof/>
          <w:color w:val="000000"/>
          <w:szCs w:val="22"/>
        </w:rPr>
      </w:pPr>
      <w:r>
        <w:rPr>
          <w:bCs/>
          <w:noProof/>
          <w:color w:val="000000"/>
          <w:szCs w:val="22"/>
        </w:rPr>
        <w:t>-</w:t>
      </w:r>
      <w:r>
        <w:rPr>
          <w:bCs/>
          <w:noProof/>
          <w:color w:val="000000"/>
          <w:szCs w:val="22"/>
        </w:rPr>
        <w:tab/>
      </w:r>
      <w:r>
        <w:rPr>
          <w:bCs/>
          <w:i/>
          <w:iCs/>
          <w:noProof/>
          <w:color w:val="000000"/>
          <w:szCs w:val="22"/>
        </w:rPr>
        <w:t>El concurso de literatura infantil, categoría inédita</w:t>
      </w:r>
      <w:r>
        <w:rPr>
          <w:bCs/>
          <w:noProof/>
          <w:color w:val="000000"/>
          <w:szCs w:val="22"/>
        </w:rPr>
        <w:t>:  como un estímulo a la imaginación y creatividad de niños y niñas hasta 12 años, desde 1995 se realiza bianualmente este concurso en el cual participan escritores que buscan perfilarse como narradores especialistas en literatura para niños y niñas en los géneros de cuento y novela.  En sus versiones 1999 y 2001 ha premiado 6 obras por un monto de 30.313 dólares de los EE.UU.</w:t>
      </w:r>
    </w:p>
    <w:p w:rsidR="00000000" w:rsidRDefault="00000000">
      <w:pPr>
        <w:spacing w:after="240"/>
        <w:ind w:left="924" w:hanging="357"/>
        <w:rPr>
          <w:bCs/>
          <w:noProof/>
          <w:color w:val="000000"/>
          <w:szCs w:val="22"/>
        </w:rPr>
      </w:pPr>
      <w:r>
        <w:rPr>
          <w:bCs/>
          <w:noProof/>
          <w:color w:val="000000"/>
          <w:szCs w:val="22"/>
        </w:rPr>
        <w:t>-</w:t>
      </w:r>
      <w:r>
        <w:rPr>
          <w:bCs/>
          <w:noProof/>
          <w:color w:val="000000"/>
          <w:szCs w:val="22"/>
        </w:rPr>
        <w:tab/>
      </w:r>
      <w:r>
        <w:rPr>
          <w:bCs/>
          <w:i/>
          <w:iCs/>
          <w:noProof/>
          <w:color w:val="000000"/>
          <w:szCs w:val="22"/>
        </w:rPr>
        <w:t>El concurso premio al mejor lector "María Luisa Bombal"</w:t>
      </w:r>
      <w:r>
        <w:rPr>
          <w:bCs/>
          <w:noProof/>
          <w:color w:val="000000"/>
          <w:szCs w:val="22"/>
        </w:rPr>
        <w:t>:  en el año 2002 se creó este concurso con el objetivo de premiar a los mejores alumnos lectores de enseñanza básica y media en cada una de las regiones del país.  El premio consiste en 674 dólares de los EE.UU. y una colección de libros para su establecimiento educacional.  El año pasado se entregaron 30 premios:  26 correspondientes a regiones y 6 a la Región Metropolitana.</w:t>
      </w:r>
    </w:p>
    <w:p w:rsidR="00000000" w:rsidRDefault="00000000">
      <w:pPr>
        <w:spacing w:after="240"/>
        <w:ind w:left="924" w:hanging="357"/>
        <w:rPr>
          <w:bCs/>
          <w:noProof/>
          <w:color w:val="000000"/>
          <w:szCs w:val="22"/>
        </w:rPr>
      </w:pPr>
      <w:r>
        <w:rPr>
          <w:bCs/>
          <w:noProof/>
          <w:color w:val="000000"/>
          <w:szCs w:val="22"/>
        </w:rPr>
        <w:t>-</w:t>
      </w:r>
      <w:r>
        <w:rPr>
          <w:bCs/>
          <w:noProof/>
          <w:color w:val="000000"/>
          <w:szCs w:val="22"/>
        </w:rPr>
        <w:tab/>
      </w:r>
      <w:r>
        <w:rPr>
          <w:bCs/>
          <w:i/>
          <w:iCs/>
          <w:noProof/>
          <w:color w:val="000000"/>
          <w:szCs w:val="22"/>
        </w:rPr>
        <w:t>La campaña "El libro cambia tu vida"</w:t>
      </w:r>
      <w:r>
        <w:rPr>
          <w:bCs/>
          <w:noProof/>
          <w:color w:val="000000"/>
          <w:szCs w:val="22"/>
        </w:rPr>
        <w:t>:  durante los meses de octubre y noviembre de 2002, se llevó a cabo una campaña de carácter nacional orientada a niños y niñas, la cual tuvo como objetivo principal posicionar el tema de la importancia del libro y de un comportamiento lector positivo en ese público.  Para esta campaña se invirtieron 168.407 dólares de los EE.UU.</w:t>
      </w:r>
    </w:p>
    <w:p w:rsidR="00000000" w:rsidRDefault="00000000">
      <w:pPr>
        <w:widowControl w:val="0"/>
        <w:spacing w:after="240"/>
        <w:rPr>
          <w:bCs/>
          <w:szCs w:val="22"/>
        </w:rPr>
      </w:pPr>
      <w:r>
        <w:rPr>
          <w:bCs/>
          <w:szCs w:val="22"/>
        </w:rPr>
        <w:t>233.</w:t>
      </w:r>
      <w:r>
        <w:rPr>
          <w:bCs/>
          <w:szCs w:val="22"/>
        </w:rPr>
        <w:tab/>
        <w:t xml:space="preserve">En otro plano, a través de la </w:t>
      </w:r>
      <w:r>
        <w:rPr>
          <w:bCs/>
          <w:noProof/>
          <w:color w:val="000000"/>
          <w:szCs w:val="22"/>
        </w:rPr>
        <w:t>Dirección</w:t>
      </w:r>
      <w:r>
        <w:rPr>
          <w:bCs/>
          <w:szCs w:val="22"/>
        </w:rPr>
        <w:t xml:space="preserve"> de Bibliotecas, Archivos y Museos (DIBAM), se han implementado diversos programas que vinculan a los jóvenes al patrimonio cultural, con énfasis en la creación plástica y literaria, con talleres de cuenta cuentos y concursos plásticos que se realizaron en todas las regiones con ocasión de la semana del niño entre los años 2000 a 2002.  Las bibliotecas públicas se han habilitado y mejorado, se han implementado los rincones infantiles y se crearon servicios móviles en el año 2000, que se han </w:t>
      </w:r>
      <w:r>
        <w:rPr>
          <w:bCs/>
          <w:noProof/>
          <w:color w:val="000000"/>
          <w:szCs w:val="22"/>
        </w:rPr>
        <w:t>incrementado</w:t>
      </w:r>
      <w:r>
        <w:rPr>
          <w:bCs/>
          <w:szCs w:val="22"/>
        </w:rPr>
        <w:t xml:space="preserve"> en el 2001 y 2002.  El presupuesto asignado para la compra de libros de los rincones infantiles ha sido de 60.000 </w:t>
      </w:r>
      <w:r>
        <w:rPr>
          <w:bCs/>
          <w:noProof/>
          <w:color w:val="000000"/>
          <w:szCs w:val="22"/>
        </w:rPr>
        <w:t xml:space="preserve">dólares de los EE.UU. </w:t>
      </w:r>
      <w:r>
        <w:rPr>
          <w:bCs/>
          <w:szCs w:val="22"/>
        </w:rPr>
        <w:t xml:space="preserve">para el año 2001 y de 62.000 </w:t>
      </w:r>
      <w:r>
        <w:rPr>
          <w:bCs/>
          <w:noProof/>
          <w:color w:val="000000"/>
          <w:szCs w:val="22"/>
        </w:rPr>
        <w:t xml:space="preserve">dólares de los EE.UU. </w:t>
      </w:r>
      <w:r>
        <w:rPr>
          <w:bCs/>
          <w:szCs w:val="22"/>
        </w:rPr>
        <w:t>para el 2002.  Existen bibliobuses que recorren la comunidad y una ruta con más de 20 localidades fijas, visitadas quincenalmente, en los cuales ofrecen libros, música, vídeos, exposiciones y actividades.  Estos fueron inaugurados en el año 2002 y abarcan sectores urbanos y rurales.  En el Metro de Santiago se implementaron en los últimos años 7 puntos de préstamo de libros dentro de algunas de las estaciones del ferrocarril metropolitano de Santiago, los cuales incorporan literatura destinada al público infantil y adolescente.  Se han creado bibliotecas en hospitales públicos, con especial atención a los niños y niñas.</w:t>
      </w:r>
    </w:p>
    <w:p w:rsidR="00000000" w:rsidRDefault="00000000">
      <w:pPr>
        <w:widowControl w:val="0"/>
        <w:spacing w:after="240"/>
        <w:rPr>
          <w:bCs/>
          <w:noProof/>
          <w:color w:val="000000"/>
          <w:szCs w:val="22"/>
        </w:rPr>
      </w:pPr>
      <w:r>
        <w:rPr>
          <w:bCs/>
          <w:noProof/>
          <w:color w:val="000000"/>
          <w:szCs w:val="22"/>
        </w:rPr>
        <w:t>234.</w:t>
      </w:r>
      <w:r>
        <w:rPr>
          <w:bCs/>
          <w:noProof/>
          <w:color w:val="000000"/>
          <w:szCs w:val="22"/>
        </w:rPr>
        <w:tab/>
        <w:t>Desde el año 2000 al 2002, se ha realizado una renovación de los edificios y de las muestras museográficas:  Museo de Historia Natural de Concepción, con una multisala, talleres, acceso a Internet y salas didácticas; Museo Nacional de Historia Natural donde se han instalado juegos interactivos y multimediales para niños y niñas, de acuerdo con las exposiciones.  Se han realizado una gran cantidad de exposiciones en museos nacionales y regionales con asistencia preferente de niños y niñas estudiantes.  Las visitas anuales superan 1.200.000, en términos totales.</w:t>
      </w:r>
    </w:p>
    <w:p w:rsidR="00000000" w:rsidRDefault="00000000">
      <w:pPr>
        <w:widowControl w:val="0"/>
        <w:spacing w:after="240"/>
        <w:rPr>
          <w:bCs/>
          <w:noProof/>
          <w:color w:val="000000"/>
          <w:szCs w:val="22"/>
        </w:rPr>
      </w:pPr>
      <w:r>
        <w:rPr>
          <w:bCs/>
          <w:noProof/>
          <w:color w:val="000000"/>
          <w:szCs w:val="22"/>
        </w:rPr>
        <w:t>235.</w:t>
      </w:r>
      <w:r>
        <w:rPr>
          <w:bCs/>
          <w:noProof/>
          <w:color w:val="000000"/>
          <w:szCs w:val="22"/>
        </w:rPr>
        <w:tab/>
        <w:t>El proyecto "Podemos leer y escribir" en conjunto el Centro Regional de Fomento del Libro para América Latina y el Caribe (CERLALC) y la Secretaría de Educación Pública de México, se inició en el año 2001.  Este proyecto promueve y estimula el fomento de la lectura en niños y niñas en edad escolar con énfasis en la literatura recreativa.  El proyecto se está ejecutando en las regiones II, III, IX, X y XI.</w:t>
      </w:r>
    </w:p>
    <w:p w:rsidR="00000000" w:rsidRDefault="00000000">
      <w:pPr>
        <w:widowControl w:val="0"/>
        <w:spacing w:after="240"/>
        <w:jc w:val="center"/>
        <w:rPr>
          <w:b/>
          <w:noProof/>
          <w:color w:val="000000"/>
          <w:szCs w:val="22"/>
        </w:rPr>
      </w:pPr>
      <w:r>
        <w:rPr>
          <w:b/>
          <w:noProof/>
          <w:color w:val="000000"/>
          <w:szCs w:val="22"/>
        </w:rPr>
        <w:t>VIII.  MEDIDAS ESPECIALES DE PROTECCIÓN (ARTÍCULOS 22, 38, 39, 40,</w:t>
      </w:r>
      <w:r>
        <w:rPr>
          <w:b/>
          <w:noProof/>
          <w:color w:val="000000"/>
          <w:szCs w:val="22"/>
        </w:rPr>
        <w:br/>
        <w:t>APARTADOS b) A d) DEL ARTÍCULO 37 Y ARTÍCULOS 32 A 36)</w:t>
      </w:r>
    </w:p>
    <w:p w:rsidR="00000000" w:rsidRDefault="00000000">
      <w:pPr>
        <w:widowControl w:val="0"/>
        <w:spacing w:after="240"/>
        <w:jc w:val="center"/>
        <w:rPr>
          <w:b/>
          <w:noProof/>
          <w:color w:val="000000"/>
          <w:szCs w:val="22"/>
        </w:rPr>
      </w:pPr>
      <w:r>
        <w:rPr>
          <w:b/>
          <w:noProof/>
          <w:color w:val="000000"/>
          <w:szCs w:val="22"/>
        </w:rPr>
        <w:t>B.  Los niños que tienen conflictos con la justicia</w:t>
      </w:r>
    </w:p>
    <w:p w:rsidR="00000000" w:rsidRDefault="00000000">
      <w:pPr>
        <w:widowControl w:val="0"/>
        <w:spacing w:after="240"/>
        <w:rPr>
          <w:bCs/>
          <w:noProof/>
          <w:color w:val="000000"/>
          <w:szCs w:val="22"/>
        </w:rPr>
      </w:pPr>
      <w:r>
        <w:rPr>
          <w:b/>
          <w:noProof/>
          <w:color w:val="000000"/>
          <w:szCs w:val="22"/>
        </w:rPr>
        <w:t>1.</w:t>
      </w:r>
      <w:r>
        <w:rPr>
          <w:b/>
          <w:noProof/>
          <w:color w:val="000000"/>
          <w:szCs w:val="22"/>
        </w:rPr>
        <w:tab/>
        <w:t>La administración de justicia de menores</w:t>
      </w:r>
    </w:p>
    <w:p w:rsidR="00000000" w:rsidRDefault="00000000">
      <w:pPr>
        <w:widowControl w:val="0"/>
        <w:spacing w:after="240"/>
        <w:outlineLvl w:val="0"/>
        <w:rPr>
          <w:b/>
          <w:i/>
          <w:noProof/>
          <w:color w:val="000000"/>
          <w:szCs w:val="22"/>
        </w:rPr>
      </w:pPr>
      <w:r>
        <w:rPr>
          <w:b/>
          <w:iCs/>
          <w:noProof/>
          <w:color w:val="000000"/>
          <w:szCs w:val="22"/>
        </w:rPr>
        <w:t>Párrafo 132.  Informes</w:t>
      </w:r>
      <w:r>
        <w:rPr>
          <w:b/>
          <w:noProof/>
          <w:color w:val="000000"/>
          <w:szCs w:val="22"/>
        </w:rPr>
        <w:t xml:space="preserve"> periódicos - CRC/C/58</w:t>
      </w:r>
    </w:p>
    <w:p w:rsidR="00000000" w:rsidRDefault="00000000">
      <w:pPr>
        <w:widowControl w:val="0"/>
        <w:spacing w:after="240"/>
        <w:rPr>
          <w:bCs/>
          <w:noProof/>
          <w:color w:val="000000"/>
          <w:szCs w:val="22"/>
        </w:rPr>
      </w:pPr>
      <w:r>
        <w:rPr>
          <w:bCs/>
          <w:noProof/>
          <w:color w:val="000000"/>
          <w:szCs w:val="22"/>
        </w:rPr>
        <w:t>236.</w:t>
      </w:r>
      <w:r>
        <w:rPr>
          <w:bCs/>
          <w:noProof/>
          <w:color w:val="000000"/>
          <w:szCs w:val="22"/>
        </w:rPr>
        <w:tab/>
        <w:t>En Chile rigen normas que garantizan un debido proceso judicial a todas las personas, y por ende también a los menores de edad.  En lo referido a los avances legislativos de los últimos años de los adolescentes que han infringido la Ley penal, se sugiere ver la respuesta al párrafo 12 del documento CRC/C/58 en este mismo informe relativo a la Ley que establece un sistema de responsabilidad de los adolescentes por infracciones a la Ley penal, y la aprobación el 31 de mayo del 2003 de la Ley N°19.806, que introduce normas adecuatorias a la reforma procesal penal y modifica, entre otros cuerpos legales, la Ley de menores N°16.618.</w:t>
      </w:r>
    </w:p>
    <w:p w:rsidR="00000000" w:rsidRDefault="00000000">
      <w:pPr>
        <w:widowControl w:val="0"/>
        <w:spacing w:after="240"/>
        <w:rPr>
          <w:bCs/>
          <w:noProof/>
          <w:color w:val="000000"/>
          <w:szCs w:val="22"/>
        </w:rPr>
      </w:pPr>
      <w:r>
        <w:rPr>
          <w:bCs/>
          <w:noProof/>
          <w:color w:val="000000"/>
          <w:szCs w:val="22"/>
        </w:rPr>
        <w:t>237.</w:t>
      </w:r>
      <w:r>
        <w:rPr>
          <w:bCs/>
          <w:noProof/>
          <w:color w:val="000000"/>
          <w:szCs w:val="22"/>
        </w:rPr>
        <w:tab/>
        <w:t>En la actualidad el impulso de la reforma procesal penal de adultos y la introducción de normas adecuatorias, ha permitido una mayor supervisión y control de las condiciones en que viven los adolescentes en los centros privativos de libertad, a través de la presencia de los jueces de garantía y de los defensores, como asimismo de las visitas que realizan los magistrados de las Cortes de Apelaciones quienes han incluido dentro de sus informes los establecimientos y centros que albergan adolescentes, como las "secciones de menores" y los "centros de diagnóstico y derivación".  Además, desde el año 2002 se aplica un reglamento especial para las "secciones de menores" de los establecimientos penitenciarios, que permite mayores garantías para los adolescentes y el desarrollo de actividades psicosociales con la presencia y apoyo de programas externos al establecimiento.</w:t>
      </w:r>
    </w:p>
    <w:p w:rsidR="00000000" w:rsidRDefault="00000000">
      <w:pPr>
        <w:widowControl w:val="0"/>
        <w:spacing w:after="240"/>
        <w:rPr>
          <w:bCs/>
          <w:noProof/>
          <w:color w:val="000000"/>
          <w:szCs w:val="22"/>
        </w:rPr>
      </w:pPr>
      <w:r>
        <w:rPr>
          <w:bCs/>
          <w:noProof/>
          <w:color w:val="000000"/>
          <w:szCs w:val="22"/>
        </w:rPr>
        <w:t>238.</w:t>
      </w:r>
      <w:r>
        <w:rPr>
          <w:bCs/>
          <w:noProof/>
          <w:color w:val="000000"/>
          <w:szCs w:val="22"/>
        </w:rPr>
        <w:tab/>
        <w:t xml:space="preserve">Entre los avances programáticos, se pueden señalar los siguientes:  a) Plan nacional de construcción y equipamiento del sistema mixto de Centros de Rehabilitación Conductual (CERECO) y de Observación y Diagnóstico (COD) programado desde el año 1995 hasta el año 2002; y  b) Proyectos de apoyo jurídico y psicosocial para infractores de ley, implementados por el SENAME, a través de los cuales se pretende implementar una defensa especializada, gratuita y oportuna a los adolescentes imputados de haber cometido una infracción a la Ley penal.  Estos proyectos tienen una cobertura cercana al 100% de los infractores.  </w:t>
      </w:r>
    </w:p>
    <w:p w:rsidR="00000000" w:rsidRDefault="00000000">
      <w:pPr>
        <w:widowControl w:val="0"/>
        <w:spacing w:after="240"/>
        <w:rPr>
          <w:bCs/>
          <w:noProof/>
          <w:color w:val="000000"/>
          <w:szCs w:val="22"/>
        </w:rPr>
      </w:pPr>
      <w:r>
        <w:rPr>
          <w:bCs/>
          <w:noProof/>
          <w:color w:val="000000"/>
          <w:szCs w:val="22"/>
        </w:rPr>
        <w:t>239.</w:t>
      </w:r>
      <w:r>
        <w:rPr>
          <w:bCs/>
          <w:noProof/>
          <w:color w:val="000000"/>
          <w:szCs w:val="22"/>
        </w:rPr>
        <w:tab/>
        <w:t>En el caso de los Centros de Administración Directa, el SENAME ha realizado una inversión importante en lograr que cada región cuente con una oferta especializada, específicamente para los casos de adolescentes infractores de ley (véase en anexo información estadística).</w:t>
      </w:r>
    </w:p>
    <w:p w:rsidR="00000000" w:rsidRDefault="00000000">
      <w:pPr>
        <w:widowControl w:val="0"/>
        <w:spacing w:after="240"/>
        <w:outlineLvl w:val="0"/>
        <w:rPr>
          <w:b/>
          <w:iCs/>
          <w:noProof/>
          <w:color w:val="000000"/>
          <w:szCs w:val="22"/>
        </w:rPr>
      </w:pPr>
      <w:r>
        <w:rPr>
          <w:b/>
          <w:iCs/>
          <w:noProof/>
          <w:color w:val="000000"/>
          <w:szCs w:val="22"/>
        </w:rPr>
        <w:t>Párrafo 134.  Informes periódicos - CRC/C/58</w:t>
      </w:r>
    </w:p>
    <w:p w:rsidR="00000000" w:rsidRDefault="00000000">
      <w:pPr>
        <w:widowControl w:val="0"/>
        <w:spacing w:after="240"/>
        <w:rPr>
          <w:bCs/>
          <w:noProof/>
          <w:color w:val="000000"/>
          <w:szCs w:val="22"/>
        </w:rPr>
      </w:pPr>
      <w:r>
        <w:rPr>
          <w:bCs/>
          <w:noProof/>
          <w:color w:val="000000"/>
          <w:szCs w:val="22"/>
        </w:rPr>
        <w:t>240.</w:t>
      </w:r>
      <w:r>
        <w:rPr>
          <w:bCs/>
          <w:noProof/>
          <w:color w:val="000000"/>
          <w:szCs w:val="22"/>
        </w:rPr>
        <w:tab/>
        <w:t>La Ley que establece un sistema de responsabilidad de los adolescentes por infracciones a la Ley penal pronta a publicarse, expuesta en párrafos anteriores, considera como límite los 14 años para establecer responsabilidad penal.  Los niños y niñas que estén debajo de esta edad límite se les considerará inimputables penalmente.  Para estos últimos se han establecido programas de apoyo psicosocial, que enfatizan el trabajo con la familia y las políticas sociales.</w:t>
      </w:r>
    </w:p>
    <w:p w:rsidR="00000000" w:rsidRDefault="00000000">
      <w:pPr>
        <w:widowControl w:val="0"/>
        <w:spacing w:after="240"/>
        <w:rPr>
          <w:b/>
          <w:iCs/>
          <w:noProof/>
          <w:color w:val="000000"/>
          <w:szCs w:val="22"/>
        </w:rPr>
      </w:pPr>
      <w:r>
        <w:rPr>
          <w:b/>
          <w:iCs/>
          <w:noProof/>
          <w:color w:val="000000"/>
          <w:szCs w:val="22"/>
        </w:rPr>
        <w:t>Párrafo 135.  Informes periódicos - CRC/C/58</w:t>
      </w:r>
    </w:p>
    <w:p w:rsidR="00000000" w:rsidRDefault="00000000">
      <w:pPr>
        <w:widowControl w:val="0"/>
        <w:spacing w:after="240"/>
        <w:rPr>
          <w:bCs/>
          <w:noProof/>
          <w:color w:val="000000"/>
          <w:szCs w:val="22"/>
        </w:rPr>
      </w:pPr>
      <w:r>
        <w:rPr>
          <w:bCs/>
          <w:noProof/>
          <w:color w:val="000000"/>
          <w:szCs w:val="22"/>
        </w:rPr>
        <w:t>241.</w:t>
      </w:r>
      <w:r>
        <w:rPr>
          <w:bCs/>
          <w:noProof/>
          <w:color w:val="000000"/>
          <w:szCs w:val="22"/>
        </w:rPr>
        <w:tab/>
        <w:t>El proceso de reforma del SENAME, mediante el cual se separan las vías, con un tratamiento diferenciado para los niños y niñas que requieren que sus derechos sean protegidos, y para los adolescentes que han sido acusados de infringir la Ley penal, ha generado las condiciones para implementar los cambios de organización administrativa que serán necesarios cuando se implementen las leyes de responsabilidad penal de los adolescentes y la Ley de protección de derechos de la infancia y la adolescencia.  Los programas de atención para los adolescentes infractores de la Ley penal incorporan las nuevas concepciones fundadas en la Convención sobre los Derechos del Niño; son coherentes con las recomendaciones del Comité de los Derechos del Niño de Naciones Unidas; y proyectan incorporar otras medidas en la misma dirección.  Desde el año 2000 en adelante, las orientaciones técnicas para la aplicación de programas hacia adolescentes acusados de infringir la Ley penal, tienen como finalidad no sólo garantizar los derechos en el procedimiento judicial, sino fomentar la reinserción social a través de redes familiares, institucionales y comunitarias.</w:t>
      </w:r>
    </w:p>
    <w:p w:rsidR="00000000" w:rsidRDefault="00000000">
      <w:pPr>
        <w:widowControl w:val="0"/>
        <w:spacing w:after="240"/>
        <w:rPr>
          <w:bCs/>
          <w:noProof/>
          <w:color w:val="000000"/>
          <w:szCs w:val="22"/>
        </w:rPr>
      </w:pPr>
      <w:r>
        <w:rPr>
          <w:bCs/>
          <w:noProof/>
          <w:color w:val="000000"/>
          <w:szCs w:val="22"/>
        </w:rPr>
        <w:t>242.</w:t>
      </w:r>
      <w:r>
        <w:rPr>
          <w:bCs/>
          <w:noProof/>
          <w:color w:val="000000"/>
          <w:szCs w:val="22"/>
        </w:rPr>
        <w:tab/>
        <w:t>Se han construido centros privativos de libertad que responden a estándares técnicos considerados en los tratados internacionales, en cuanto a condiciones de higiene, seguridad, contacto con familia, control en el régimen interno (visitas, rutina, reclamaciones), número de funcionarios y sistema de capacitación, presencia de la comunidad y contacto con redes externas.  En el 2004 se inició la construcción de dos centros en las regiones XI y XII, quedando todas las regiones del país con centros privativos de libertad especializados.  Las orientaciones técnicas para los centros privativos de libertad de administración directa, consideran que los informes de diagnóstico deben ser emitidos en un plazo máximo de un mes, y la intervención a jóvenes en los Centros de Rehabilitación Conductual (CERECOS) no debe exceder del año, salvo que la decisión del Juez de Menores competente exprese otro plazo de permanencia.</w:t>
      </w:r>
    </w:p>
    <w:p w:rsidR="00000000" w:rsidRDefault="00000000">
      <w:pPr>
        <w:widowControl w:val="0"/>
        <w:spacing w:after="240"/>
        <w:rPr>
          <w:bCs/>
          <w:noProof/>
          <w:color w:val="000000"/>
          <w:szCs w:val="22"/>
        </w:rPr>
      </w:pPr>
      <w:r>
        <w:rPr>
          <w:bCs/>
          <w:noProof/>
          <w:color w:val="000000"/>
          <w:szCs w:val="22"/>
        </w:rPr>
        <w:t>243.</w:t>
      </w:r>
      <w:r>
        <w:rPr>
          <w:bCs/>
          <w:noProof/>
          <w:color w:val="000000"/>
          <w:szCs w:val="22"/>
        </w:rPr>
        <w:tab/>
        <w:t>Los programas ambulatorios han logrado mayor fortaleza en el trabajo con la comunidad y las redes preexistentes.  Los delegados de libertad vigilada han focalizado su acción con la familia y las alternativas comunitarias locales.  Se ha concluido el proceso de reconversión de los distintos programas no privativos de libertad bajo nuevas orientaciones técnicas.  Bajo la denominación "Programas de Intervención Ambulatoria, modalidad de Rehabilitación Conductual Diurna", se intenta que generen las condiciones para ser la medida de libertad asistida cuando empiece a operar la Ley de responsabilidad penal de los adolescentes.  En estos programas sólo pueden ser incorporados adolescentes inculpados de infringir la Ley penal, por decisión de un tribunal competente.</w:t>
      </w:r>
    </w:p>
    <w:p w:rsidR="00000000" w:rsidRDefault="00000000">
      <w:pPr>
        <w:widowControl w:val="0"/>
        <w:spacing w:after="240"/>
        <w:rPr>
          <w:bCs/>
          <w:noProof/>
          <w:color w:val="000000"/>
          <w:szCs w:val="22"/>
        </w:rPr>
      </w:pPr>
      <w:r>
        <w:rPr>
          <w:bCs/>
          <w:noProof/>
          <w:color w:val="000000"/>
          <w:szCs w:val="22"/>
        </w:rPr>
        <w:t>244.</w:t>
      </w:r>
      <w:r>
        <w:rPr>
          <w:bCs/>
          <w:noProof/>
          <w:color w:val="000000"/>
          <w:szCs w:val="22"/>
        </w:rPr>
        <w:tab/>
        <w:t>Se ha iniciado la implementación de programas de medidas de reparación a la víctima y de trabajo en beneficio de la comunidad debido a la puesta en marcha de la reforma procesal penal de adultos.  Cabe señalar que esta medida está incluida como una sanción en el proyecto de ley de responsabilidad penal de los adolescentes.</w:t>
      </w:r>
    </w:p>
    <w:p w:rsidR="00000000" w:rsidRDefault="00000000">
      <w:pPr>
        <w:spacing w:after="240"/>
        <w:outlineLvl w:val="0"/>
        <w:rPr>
          <w:b/>
          <w:iCs/>
          <w:noProof/>
          <w:color w:val="000000"/>
          <w:szCs w:val="22"/>
        </w:rPr>
      </w:pPr>
      <w:r>
        <w:rPr>
          <w:b/>
          <w:iCs/>
          <w:noProof/>
          <w:color w:val="000000"/>
          <w:szCs w:val="22"/>
        </w:rPr>
        <w:t>Párrafo 136.  Informes periódicos - CRC/C/58</w:t>
      </w:r>
    </w:p>
    <w:p w:rsidR="00000000" w:rsidRDefault="00000000">
      <w:pPr>
        <w:spacing w:after="240"/>
        <w:rPr>
          <w:bCs/>
          <w:i/>
          <w:noProof/>
          <w:color w:val="000000"/>
          <w:szCs w:val="22"/>
        </w:rPr>
      </w:pPr>
      <w:r>
        <w:rPr>
          <w:bCs/>
          <w:noProof/>
          <w:color w:val="000000"/>
          <w:szCs w:val="22"/>
        </w:rPr>
        <w:t>245.</w:t>
      </w:r>
      <w:r>
        <w:rPr>
          <w:bCs/>
          <w:noProof/>
          <w:color w:val="000000"/>
          <w:szCs w:val="22"/>
        </w:rPr>
        <w:tab/>
        <w:t>Desde que se inicó en el año 2000, la reforma integral al sistema de protección de derechos y justicia de la infancia y adolescencia, el Ministerio de Justicia ha organizado y participado en distintos eventos de formación y capacitación donde se difunden las orientaciones y contenidos de los tratados internacionales que ha suscrito nuestro país, que están ligados a derechos y garantías de la infancia y adolescencia.</w:t>
      </w:r>
    </w:p>
    <w:p w:rsidR="00000000" w:rsidRDefault="00000000">
      <w:pPr>
        <w:widowControl w:val="0"/>
        <w:spacing w:after="240"/>
        <w:rPr>
          <w:b/>
          <w:iCs/>
          <w:noProof/>
          <w:color w:val="000000"/>
          <w:szCs w:val="22"/>
        </w:rPr>
      </w:pPr>
      <w:r>
        <w:rPr>
          <w:b/>
          <w:iCs/>
          <w:noProof/>
          <w:color w:val="000000"/>
          <w:szCs w:val="22"/>
        </w:rPr>
        <w:t>Párrafo 137.  Informes periódicos - CRC/C/58</w:t>
      </w:r>
    </w:p>
    <w:p w:rsidR="00000000" w:rsidRDefault="00000000">
      <w:pPr>
        <w:widowControl w:val="0"/>
        <w:spacing w:after="240"/>
        <w:rPr>
          <w:bCs/>
          <w:noProof/>
          <w:color w:val="000000"/>
          <w:szCs w:val="22"/>
        </w:rPr>
      </w:pPr>
      <w:r>
        <w:rPr>
          <w:bCs/>
          <w:noProof/>
          <w:color w:val="000000"/>
          <w:szCs w:val="22"/>
        </w:rPr>
        <w:t>246.</w:t>
      </w:r>
      <w:r>
        <w:rPr>
          <w:bCs/>
          <w:noProof/>
          <w:color w:val="000000"/>
          <w:szCs w:val="22"/>
        </w:rPr>
        <w:tab/>
        <w:t>La reforma procesal penal, las normas adecuatorias a esta reforma, las modificaciones normativas y las nuevas orientaciones técnicas y administrativas de los servicios dependientes del Ministerio de Justicia, han permitido avanzar en el respeto de los derechos de los adolescentes que han sido imputados de cometer algún delito.  En esta perspectiva se destaca:  la presencia de programas de apoyo jurídico especializado a los adolescentes que han sido acusados de infringir la Ley penal; la asesoría de la Defensoría Penal Pública para adolescentes imputados dentro del nuevo sistema penal; la aplicación de un reglamento especial para adolescentes que se encuentran en establecimientos penitenciarios; la presencia de los magistrados, jueces de garantía y defensores en recintos privativos de libertad, donde los adolescentes expresan sus inquietudes y reclamaciones.</w:t>
      </w:r>
    </w:p>
    <w:p w:rsidR="00000000" w:rsidRDefault="00000000">
      <w:pPr>
        <w:widowControl w:val="0"/>
        <w:spacing w:after="240"/>
        <w:rPr>
          <w:b/>
          <w:noProof/>
          <w:color w:val="000000"/>
          <w:szCs w:val="22"/>
        </w:rPr>
      </w:pPr>
      <w:r>
        <w:rPr>
          <w:b/>
          <w:noProof/>
          <w:color w:val="000000"/>
          <w:szCs w:val="22"/>
        </w:rPr>
        <w:t>2.</w:t>
      </w:r>
      <w:r>
        <w:rPr>
          <w:b/>
          <w:noProof/>
          <w:color w:val="000000"/>
          <w:szCs w:val="22"/>
        </w:rPr>
        <w:tab/>
        <w:t>Los niños privados de libertad, incluida toda forma de detención, encarcelamiento o internamiento en un establecimiento bajo custodia</w:t>
      </w:r>
    </w:p>
    <w:p w:rsidR="00000000" w:rsidRDefault="00000000">
      <w:pPr>
        <w:widowControl w:val="0"/>
        <w:spacing w:after="240"/>
        <w:outlineLvl w:val="0"/>
        <w:rPr>
          <w:b/>
          <w:iCs/>
          <w:noProof/>
          <w:color w:val="000000"/>
          <w:szCs w:val="22"/>
        </w:rPr>
      </w:pPr>
      <w:r>
        <w:rPr>
          <w:b/>
          <w:iCs/>
          <w:noProof/>
          <w:color w:val="000000"/>
          <w:szCs w:val="22"/>
        </w:rPr>
        <w:t>Párrafo 138.  Informes periódicos - CRC/C/58</w:t>
      </w:r>
    </w:p>
    <w:p w:rsidR="00000000" w:rsidRDefault="00000000">
      <w:pPr>
        <w:widowControl w:val="0"/>
        <w:spacing w:after="240"/>
        <w:rPr>
          <w:bCs/>
          <w:noProof/>
          <w:color w:val="000000"/>
          <w:szCs w:val="22"/>
        </w:rPr>
      </w:pPr>
      <w:r>
        <w:rPr>
          <w:bCs/>
          <w:noProof/>
          <w:color w:val="000000"/>
          <w:szCs w:val="22"/>
        </w:rPr>
        <w:t>247.</w:t>
      </w:r>
      <w:r>
        <w:rPr>
          <w:bCs/>
          <w:noProof/>
          <w:color w:val="000000"/>
          <w:szCs w:val="22"/>
        </w:rPr>
        <w:tab/>
        <w:t>Las principales medidas legislativas son la reforma procesal penal y la presentación de proyectos de ley destinados a la infancia y la adolescencia, desde el año 2000 en adelante</w:t>
      </w:r>
      <w:r>
        <w:rPr>
          <w:rStyle w:val="FootnoteReference"/>
          <w:bCs/>
          <w:noProof/>
          <w:color w:val="000000"/>
          <w:szCs w:val="22"/>
        </w:rPr>
        <w:footnoteReference w:id="17"/>
      </w:r>
      <w:r>
        <w:rPr>
          <w:bCs/>
          <w:noProof/>
          <w:color w:val="000000"/>
          <w:szCs w:val="22"/>
        </w:rPr>
        <w:t>.  Junto a ello se han aplicado políticas, programas y proyectos que fomentan los derechos de los niños y niñas, en especial en el circuito de la administración de justicia, que incluye a la policía, los tribunales, los abogados defensores, los centros privativos de libertad y las iniciativas de apoyo psicosocial hacia los adolescentes que cumplen condena o las medidas adoptadas en el sistema de privación de libertad o en el medio libre.  No obstante lo anterior, prevalecen algunos problemas en la población de adolescentes declarada con discernimiento y privada de libertad en centros penitenciarios de adultos (como las malas condiciones de habitabilidad).  Esta situación se resolverá definitivamente con la ley que establece un sistema de responsabilidad de los adolescentes por infracciones a la Ley penal, puesto que desaparece la figura de adolescentes procesados como adultos.</w:t>
      </w:r>
    </w:p>
    <w:p w:rsidR="00000000" w:rsidRDefault="00000000">
      <w:pPr>
        <w:widowControl w:val="0"/>
        <w:spacing w:after="240"/>
        <w:outlineLvl w:val="0"/>
        <w:rPr>
          <w:b/>
          <w:iCs/>
          <w:noProof/>
          <w:color w:val="000000"/>
          <w:szCs w:val="22"/>
        </w:rPr>
      </w:pPr>
      <w:r>
        <w:rPr>
          <w:b/>
          <w:iCs/>
          <w:noProof/>
          <w:color w:val="000000"/>
          <w:szCs w:val="22"/>
        </w:rPr>
        <w:t>Párrafo 139.  Informes periódicos - CRC/C/58</w:t>
      </w:r>
    </w:p>
    <w:p w:rsidR="00000000" w:rsidRDefault="00000000">
      <w:pPr>
        <w:widowControl w:val="0"/>
        <w:spacing w:after="240"/>
        <w:rPr>
          <w:bCs/>
          <w:noProof/>
          <w:color w:val="000000"/>
          <w:szCs w:val="22"/>
        </w:rPr>
      </w:pPr>
      <w:r>
        <w:rPr>
          <w:bCs/>
          <w:noProof/>
          <w:color w:val="000000"/>
          <w:szCs w:val="22"/>
        </w:rPr>
        <w:t>248.</w:t>
      </w:r>
      <w:r>
        <w:rPr>
          <w:bCs/>
          <w:noProof/>
          <w:color w:val="000000"/>
          <w:szCs w:val="22"/>
        </w:rPr>
        <w:tab/>
        <w:t>Las medidas sustitutorias a la privación de libertad, se constituyen a través de los programas de intervención ambulatoria, en un número de 55 programas distribuidos en todo el territorio nacional con un total de 4.523 plazas.  Esta oferta se ajusta a la actual Ley N°16.618, que permite a los jueces confiar al niño o niña a los establecimientos especiales de tránsito o rehabilitación que la misma ley señala.  Además, existen siete programas de medidas reparatorias que consisten en implementar la mediación penal y servicios en beneficio de la comunidad.</w:t>
      </w:r>
    </w:p>
    <w:p w:rsidR="00000000" w:rsidRDefault="00000000">
      <w:pPr>
        <w:widowControl w:val="0"/>
        <w:spacing w:after="240"/>
        <w:outlineLvl w:val="0"/>
        <w:rPr>
          <w:b/>
          <w:iCs/>
          <w:noProof/>
          <w:color w:val="000000"/>
          <w:szCs w:val="22"/>
        </w:rPr>
      </w:pPr>
      <w:r>
        <w:rPr>
          <w:b/>
          <w:iCs/>
          <w:noProof/>
          <w:color w:val="000000"/>
          <w:szCs w:val="22"/>
        </w:rPr>
        <w:t>Párrafo 140.  Informes periódicos - CRC/C/58</w:t>
      </w:r>
    </w:p>
    <w:p w:rsidR="00000000" w:rsidRDefault="00000000">
      <w:pPr>
        <w:widowControl w:val="0"/>
        <w:spacing w:after="240"/>
        <w:rPr>
          <w:bCs/>
          <w:noProof/>
          <w:color w:val="000000"/>
          <w:szCs w:val="22"/>
        </w:rPr>
      </w:pPr>
      <w:r>
        <w:rPr>
          <w:bCs/>
          <w:noProof/>
          <w:color w:val="000000"/>
          <w:szCs w:val="22"/>
        </w:rPr>
        <w:t>249.</w:t>
      </w:r>
      <w:r>
        <w:rPr>
          <w:bCs/>
          <w:noProof/>
          <w:color w:val="000000"/>
          <w:szCs w:val="22"/>
        </w:rPr>
        <w:tab/>
        <w:t>El Servicio Nacional de Menores, a partir del año 2000, ha contemplado en sus programas y proyectos, el apoyo jurídico a los adolescentes que han sido imputados de cometer un delito.  Esto ha permitido la utilización más racional de la privación de libertad evitándola o reduciendo los tiempos de permanencia cuando sea pertinente.  No obstante lo anterior, persisten importantes dificultades, debidas en gran parte a la vigencia de la Ley de menores Nº 16.618 como la indeterminación en la duración de las sanciones cuando los adolescentes son declarados sin discernimiento.  Por la vía administrativa, el SENAME ha diseñado orientaciones técnicas que establecen plazos para los sistemas de rehabilitación, de manera de limitar las sanciones, pero no existen aún las salvaguardas legales necesarias.</w:t>
      </w:r>
    </w:p>
    <w:p w:rsidR="00000000" w:rsidRDefault="00000000">
      <w:pPr>
        <w:spacing w:after="240"/>
        <w:outlineLvl w:val="0"/>
        <w:rPr>
          <w:b/>
          <w:iCs/>
          <w:noProof/>
          <w:color w:val="000000"/>
          <w:szCs w:val="22"/>
        </w:rPr>
      </w:pPr>
      <w:r>
        <w:rPr>
          <w:b/>
          <w:iCs/>
          <w:noProof/>
          <w:color w:val="000000"/>
          <w:szCs w:val="22"/>
        </w:rPr>
        <w:t>Párrafo 141 Informes periódicos - CRC/C/58</w:t>
      </w:r>
    </w:p>
    <w:p w:rsidR="00000000" w:rsidRDefault="00000000">
      <w:pPr>
        <w:spacing w:after="240"/>
        <w:rPr>
          <w:bCs/>
          <w:noProof/>
          <w:color w:val="000000"/>
          <w:szCs w:val="22"/>
        </w:rPr>
      </w:pPr>
      <w:r>
        <w:rPr>
          <w:bCs/>
          <w:noProof/>
          <w:color w:val="000000"/>
          <w:szCs w:val="22"/>
        </w:rPr>
        <w:t>250.</w:t>
      </w:r>
      <w:r>
        <w:rPr>
          <w:bCs/>
          <w:noProof/>
          <w:color w:val="000000"/>
          <w:szCs w:val="22"/>
        </w:rPr>
        <w:tab/>
        <w:t>No hay niños o niñas privados de libertad en forma ilegal, ya que los procedimientos están de acuerdo con la Ley de menores actualmente vigente.</w:t>
      </w:r>
    </w:p>
    <w:p w:rsidR="00000000" w:rsidRDefault="00000000">
      <w:pPr>
        <w:widowControl w:val="0"/>
        <w:spacing w:after="240"/>
        <w:outlineLvl w:val="0"/>
        <w:rPr>
          <w:b/>
          <w:iCs/>
          <w:noProof/>
          <w:color w:val="000000"/>
          <w:szCs w:val="22"/>
        </w:rPr>
      </w:pPr>
      <w:r>
        <w:rPr>
          <w:b/>
          <w:iCs/>
          <w:noProof/>
          <w:color w:val="000000"/>
          <w:szCs w:val="22"/>
        </w:rPr>
        <w:t>Párrafo 142.  Informes periódicos - CRC/C/58</w:t>
      </w:r>
    </w:p>
    <w:p w:rsidR="00000000" w:rsidRDefault="00000000">
      <w:pPr>
        <w:widowControl w:val="0"/>
        <w:spacing w:after="240"/>
        <w:rPr>
          <w:bCs/>
          <w:noProof/>
          <w:color w:val="000000"/>
          <w:szCs w:val="22"/>
        </w:rPr>
      </w:pPr>
      <w:r>
        <w:rPr>
          <w:bCs/>
          <w:noProof/>
          <w:color w:val="000000"/>
          <w:szCs w:val="22"/>
        </w:rPr>
        <w:t>251.</w:t>
      </w:r>
      <w:r>
        <w:rPr>
          <w:bCs/>
          <w:noProof/>
          <w:color w:val="000000"/>
          <w:szCs w:val="22"/>
        </w:rPr>
        <w:tab/>
        <w:t>Se aprobó el año 2002 el nuevo reglamento de las secciones de menores de establecimientos penitenciarios de adultos, que promueve las garantías de los adolescentes privados de libertad, en calidad de procesados, imputados y condenados.  En esta normativa se releva el papel de las instancias técnicas para el diseño, ejecución y seguimiento de planes de acción dirigidos a los adolescentes, que contempla actividades de reinserción social.  Además se dicta el Decreto N° 730 que regula las condiciones en que se encuentran los adolescentes en los Centros de Rehabilitación Conductual (CERECO) y de Observación y Diagnóstico (COD).  Este decreto estipula que cada seis meses los jueces deben visitar dichos centros y también las secciones de menores de las cárceles de adultos, para controlar las condiciones en que se encuentran los adolescentes procesados y condenados.</w:t>
      </w:r>
    </w:p>
    <w:p w:rsidR="00000000" w:rsidRDefault="00000000">
      <w:pPr>
        <w:widowControl w:val="0"/>
        <w:spacing w:after="240"/>
        <w:outlineLvl w:val="0"/>
        <w:rPr>
          <w:b/>
          <w:iCs/>
          <w:noProof/>
          <w:color w:val="000000"/>
          <w:szCs w:val="22"/>
        </w:rPr>
      </w:pPr>
      <w:r>
        <w:rPr>
          <w:b/>
          <w:iCs/>
          <w:noProof/>
          <w:color w:val="000000"/>
          <w:szCs w:val="22"/>
        </w:rPr>
        <w:t>Párrafo 143.  Informes periódicos - CRC/C/58</w:t>
      </w:r>
    </w:p>
    <w:p w:rsidR="00000000" w:rsidRDefault="00000000">
      <w:pPr>
        <w:widowControl w:val="0"/>
        <w:spacing w:after="240"/>
        <w:rPr>
          <w:bCs/>
          <w:noProof/>
          <w:color w:val="000000"/>
          <w:szCs w:val="22"/>
        </w:rPr>
      </w:pPr>
      <w:r>
        <w:rPr>
          <w:bCs/>
          <w:noProof/>
          <w:color w:val="000000"/>
          <w:szCs w:val="22"/>
        </w:rPr>
        <w:t>252.</w:t>
      </w:r>
      <w:r>
        <w:rPr>
          <w:bCs/>
          <w:noProof/>
          <w:color w:val="000000"/>
          <w:szCs w:val="22"/>
        </w:rPr>
        <w:tab/>
        <w:t>La construcción de nuevos centros especiales para adolescentes privados de libertad ha permitido cumplir cabalmente:  la separación de los adultos; fortalecer el contacto con las familias; la supervisión y control de los recintos por instancias superiores e independientes; la disposición de mecanismos de denuncias; y la participación directa en los programas y rutina de profesionales, técnicos y monitores calificados.  Las condiciones en los establecimientos son supervisadas por SENAME.  Existe además la instancia de supervisión por parte de los jueces de menores y de ministros de las Cortes de Apelaciones.</w:t>
      </w:r>
    </w:p>
    <w:p w:rsidR="00000000" w:rsidRDefault="00000000">
      <w:pPr>
        <w:spacing w:after="240"/>
        <w:outlineLvl w:val="0"/>
        <w:rPr>
          <w:b/>
          <w:iCs/>
          <w:noProof/>
          <w:color w:val="000000"/>
          <w:szCs w:val="22"/>
        </w:rPr>
      </w:pPr>
      <w:r>
        <w:rPr>
          <w:b/>
          <w:iCs/>
          <w:noProof/>
          <w:color w:val="000000"/>
          <w:szCs w:val="22"/>
        </w:rPr>
        <w:t>Párrafo 144.  Informes periódicos - CRC/C/58</w:t>
      </w:r>
    </w:p>
    <w:p w:rsidR="00000000" w:rsidRDefault="00000000">
      <w:pPr>
        <w:spacing w:after="240"/>
        <w:rPr>
          <w:bCs/>
          <w:noProof/>
          <w:color w:val="000000"/>
          <w:szCs w:val="22"/>
        </w:rPr>
      </w:pPr>
      <w:r>
        <w:rPr>
          <w:bCs/>
          <w:noProof/>
          <w:color w:val="000000"/>
          <w:szCs w:val="22"/>
        </w:rPr>
        <w:t>253.</w:t>
      </w:r>
      <w:r>
        <w:rPr>
          <w:bCs/>
          <w:noProof/>
          <w:color w:val="000000"/>
          <w:szCs w:val="22"/>
        </w:rPr>
        <w:tab/>
        <w:t>El fortalecimiento de programas de apoyo jurídico subvencionados por el SENAME ha permitido agilizar los procedimientos judiciales, logrando trámites más breves, excarcelaciones más expeditas, eficiencia en la aplicación de informes técnicos y aplicación de medidas acordes con el desarrollo y características de los adolescentes.  En los centros privativos de libertad estos programas a cargo de instituciones colaboradoras de SENAME, tienen presencia permanente, brindando asesoría jurídica a los detenidos (ver en anexo de información estadística).</w:t>
      </w:r>
    </w:p>
    <w:p w:rsidR="00000000" w:rsidRDefault="00000000">
      <w:pPr>
        <w:widowControl w:val="0"/>
        <w:spacing w:after="240"/>
        <w:outlineLvl w:val="0"/>
        <w:rPr>
          <w:b/>
          <w:iCs/>
          <w:noProof/>
          <w:color w:val="000000"/>
          <w:szCs w:val="22"/>
        </w:rPr>
      </w:pPr>
      <w:r>
        <w:rPr>
          <w:b/>
          <w:iCs/>
          <w:noProof/>
          <w:color w:val="000000"/>
          <w:szCs w:val="22"/>
        </w:rPr>
        <w:t>Párrafo 146.  Informes periódicos - CRC/C/58</w:t>
      </w:r>
    </w:p>
    <w:p w:rsidR="00000000" w:rsidRDefault="00000000">
      <w:pPr>
        <w:widowControl w:val="0"/>
        <w:spacing w:after="240"/>
        <w:rPr>
          <w:bCs/>
          <w:noProof/>
          <w:color w:val="000000"/>
          <w:szCs w:val="22"/>
        </w:rPr>
      </w:pPr>
      <w:r>
        <w:rPr>
          <w:bCs/>
          <w:noProof/>
          <w:color w:val="000000"/>
          <w:szCs w:val="22"/>
        </w:rPr>
        <w:t>254.</w:t>
      </w:r>
      <w:r>
        <w:rPr>
          <w:bCs/>
          <w:noProof/>
          <w:color w:val="000000"/>
          <w:szCs w:val="22"/>
        </w:rPr>
        <w:tab/>
        <w:t>Las medidas administrativas y técnicas tomadas por el SENAME, la reconversión y fortalecimiento de programas, la inversión en infraestructura y el trabajo intersectorial con la judicatura han permitido avanzar de manera importante en el respeto de los derechos y garantías de los adolescentes acusados de cometer un delito.  La dificultad más importante es que no se ha logrado hasta la fecha avanzar en las iniciativas legales que consagren un sistema de protección de derechos de los niños y niñas.</w:t>
      </w:r>
    </w:p>
    <w:p w:rsidR="00000000" w:rsidRDefault="00000000">
      <w:pPr>
        <w:spacing w:after="240"/>
        <w:rPr>
          <w:b/>
          <w:noProof/>
          <w:color w:val="000000"/>
          <w:szCs w:val="22"/>
        </w:rPr>
      </w:pPr>
      <w:r>
        <w:rPr>
          <w:b/>
          <w:noProof/>
          <w:color w:val="000000"/>
          <w:szCs w:val="22"/>
        </w:rPr>
        <w:t>3.</w:t>
      </w:r>
      <w:r>
        <w:rPr>
          <w:b/>
          <w:noProof/>
          <w:color w:val="000000"/>
          <w:szCs w:val="22"/>
        </w:rPr>
        <w:tab/>
        <w:t>La imposición de penas a los niños, en particular la prohibición la pena capital y la de prisión perpetua</w:t>
      </w:r>
    </w:p>
    <w:p w:rsidR="00000000" w:rsidRDefault="00000000">
      <w:pPr>
        <w:spacing w:after="240"/>
        <w:outlineLvl w:val="0"/>
        <w:rPr>
          <w:b/>
          <w:iCs/>
          <w:noProof/>
          <w:color w:val="000000"/>
          <w:szCs w:val="22"/>
        </w:rPr>
      </w:pPr>
      <w:r>
        <w:rPr>
          <w:b/>
          <w:iCs/>
          <w:noProof/>
          <w:color w:val="000000"/>
          <w:szCs w:val="22"/>
        </w:rPr>
        <w:t>Párrafo 147.  Informes periódicos - CRC/C/58</w:t>
      </w:r>
    </w:p>
    <w:p w:rsidR="00000000" w:rsidRDefault="00000000">
      <w:pPr>
        <w:spacing w:after="240"/>
        <w:outlineLvl w:val="0"/>
        <w:rPr>
          <w:bCs/>
          <w:noProof/>
          <w:color w:val="000000"/>
          <w:szCs w:val="22"/>
        </w:rPr>
      </w:pPr>
      <w:r>
        <w:rPr>
          <w:bCs/>
          <w:noProof/>
          <w:color w:val="000000"/>
          <w:szCs w:val="22"/>
        </w:rPr>
        <w:t>255.</w:t>
      </w:r>
      <w:r>
        <w:rPr>
          <w:bCs/>
          <w:noProof/>
          <w:color w:val="000000"/>
          <w:szCs w:val="22"/>
        </w:rPr>
        <w:tab/>
        <w:t>En términos estrictos la Ley de menores no habla de penas.  Lo más cercano a la pena privativa de libertad es el internamiento indefinido que se ve limitado hasta los 18 años.</w:t>
      </w:r>
    </w:p>
    <w:p w:rsidR="00000000" w:rsidRDefault="00000000">
      <w:pPr>
        <w:widowControl w:val="0"/>
        <w:spacing w:after="240"/>
        <w:outlineLvl w:val="0"/>
        <w:rPr>
          <w:bCs/>
          <w:noProof/>
          <w:szCs w:val="22"/>
        </w:rPr>
      </w:pPr>
      <w:r>
        <w:rPr>
          <w:b/>
          <w:noProof/>
          <w:szCs w:val="22"/>
        </w:rPr>
        <w:t>4.</w:t>
      </w:r>
      <w:r>
        <w:rPr>
          <w:b/>
          <w:noProof/>
          <w:szCs w:val="22"/>
        </w:rPr>
        <w:tab/>
        <w:t>La recuperación física y psicológica y la reintegración social del niño</w:t>
      </w:r>
    </w:p>
    <w:p w:rsidR="00000000" w:rsidRDefault="00000000">
      <w:pPr>
        <w:widowControl w:val="0"/>
        <w:spacing w:after="240"/>
        <w:outlineLvl w:val="0"/>
        <w:rPr>
          <w:b/>
          <w:iCs/>
          <w:noProof/>
          <w:color w:val="000000"/>
          <w:szCs w:val="22"/>
        </w:rPr>
      </w:pPr>
      <w:r>
        <w:rPr>
          <w:b/>
          <w:iCs/>
          <w:noProof/>
          <w:color w:val="000000"/>
          <w:szCs w:val="22"/>
        </w:rPr>
        <w:t>Párrafo 149.  Informes periódicos - CRC/C/58</w:t>
      </w:r>
    </w:p>
    <w:p w:rsidR="00000000" w:rsidRDefault="00000000">
      <w:pPr>
        <w:widowControl w:val="0"/>
        <w:spacing w:after="240"/>
        <w:rPr>
          <w:bCs/>
          <w:noProof/>
          <w:color w:val="000000"/>
          <w:szCs w:val="22"/>
        </w:rPr>
      </w:pPr>
      <w:r>
        <w:rPr>
          <w:bCs/>
          <w:noProof/>
          <w:color w:val="000000"/>
          <w:szCs w:val="22"/>
        </w:rPr>
        <w:t>256.</w:t>
      </w:r>
      <w:r>
        <w:rPr>
          <w:bCs/>
          <w:noProof/>
          <w:color w:val="000000"/>
          <w:szCs w:val="22"/>
        </w:rPr>
        <w:tab/>
        <w:t>Respecto a los adolescentes que permanecen en recintos privados de libertad, las medidas administrativas para resguardar su atención, protección o tratamiento de su salud física y mental, establecen que se le someta a un examen periódico de dicho tratamiento.  Las demás circunstancias propias de su intervención son asumidas por el personal del Centro, que cuenta con enfermería para situaciones de menor magnitud y a través de convenios con centros médicos asistenciales próximos a los establecimientos.  El trabajo con las familias de los adolescentes es un soporte fundamental para favorecer el proceso de reinserción social de los adolescentes.  En este sentido se trabaja para fortalecer la vinculación de las familias con las redes locales, buscando potenciar su capital social, trabajo que es asumido por los distintos profesionales de los programas dedicados a los adolescentes infractores de la Ley penal.</w:t>
      </w:r>
    </w:p>
    <w:p w:rsidR="00000000" w:rsidRDefault="00000000">
      <w:pPr>
        <w:widowControl w:val="0"/>
        <w:spacing w:after="240"/>
        <w:jc w:val="center"/>
        <w:rPr>
          <w:b/>
          <w:noProof/>
          <w:szCs w:val="22"/>
        </w:rPr>
      </w:pPr>
      <w:r>
        <w:rPr>
          <w:b/>
          <w:noProof/>
          <w:szCs w:val="22"/>
        </w:rPr>
        <w:t>C.  Los niños sometidos a explotación incluida su recuperación física</w:t>
      </w:r>
      <w:r>
        <w:rPr>
          <w:b/>
          <w:noProof/>
          <w:szCs w:val="22"/>
        </w:rPr>
        <w:br/>
        <w:t>psicológica y su reintegración social</w:t>
      </w:r>
    </w:p>
    <w:p w:rsidR="00000000" w:rsidRDefault="00000000">
      <w:pPr>
        <w:widowControl w:val="0"/>
        <w:spacing w:after="240"/>
        <w:rPr>
          <w:b/>
          <w:noProof/>
          <w:color w:val="000000"/>
          <w:szCs w:val="22"/>
        </w:rPr>
      </w:pPr>
      <w:r>
        <w:rPr>
          <w:b/>
          <w:noProof/>
          <w:color w:val="000000"/>
          <w:szCs w:val="22"/>
        </w:rPr>
        <w:t>1.</w:t>
      </w:r>
      <w:r>
        <w:rPr>
          <w:b/>
          <w:noProof/>
          <w:color w:val="000000"/>
          <w:szCs w:val="22"/>
        </w:rPr>
        <w:tab/>
        <w:t>La explotación económica de los niños, incluido el trabajo infantil (artículo 32)</w:t>
      </w:r>
    </w:p>
    <w:p w:rsidR="00000000" w:rsidRDefault="00000000">
      <w:pPr>
        <w:widowControl w:val="0"/>
        <w:spacing w:after="240"/>
        <w:outlineLvl w:val="0"/>
        <w:rPr>
          <w:bCs/>
          <w:iCs/>
          <w:noProof/>
          <w:color w:val="000000"/>
          <w:szCs w:val="22"/>
        </w:rPr>
      </w:pPr>
      <w:r>
        <w:rPr>
          <w:b/>
          <w:iCs/>
          <w:noProof/>
          <w:color w:val="000000"/>
          <w:szCs w:val="22"/>
        </w:rPr>
        <w:t>Párrafo 151.  Informes periódicos - CRC/C/58</w:t>
      </w:r>
    </w:p>
    <w:p w:rsidR="00000000" w:rsidRDefault="00000000">
      <w:pPr>
        <w:pStyle w:val="BodyTextIndent"/>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pacing w:after="240" w:line="240" w:lineRule="auto"/>
        <w:ind w:left="0" w:firstLine="0"/>
        <w:jc w:val="left"/>
        <w:rPr>
          <w:rFonts w:ascii="Times New Roman" w:hAnsi="Times New Roman"/>
          <w:bCs/>
          <w:szCs w:val="22"/>
          <w:lang w:val="es-ES"/>
        </w:rPr>
      </w:pPr>
      <w:r>
        <w:rPr>
          <w:rFonts w:ascii="Times New Roman" w:hAnsi="Times New Roman"/>
          <w:bCs/>
          <w:szCs w:val="22"/>
          <w:lang w:val="es-ES"/>
        </w:rPr>
        <w:t>257.</w:t>
      </w:r>
      <w:r>
        <w:rPr>
          <w:rFonts w:ascii="Times New Roman" w:hAnsi="Times New Roman"/>
          <w:bCs/>
          <w:szCs w:val="22"/>
          <w:lang w:val="es-ES"/>
        </w:rPr>
        <w:tab/>
        <w:t>Corresponde a la Dirección del Trabajo de Chile, velar por el cumplimiento de las normas relativas a la protección legal contra la explotación económica y desempeño de trabajos que puedan ser peligrosos o entorpecer la salud, desarrollo y educación del niño o niña, contenidas en el Código del Trabajo.  Sin embargo, frente a la fiscalización del trabajo de niños y niñas, no se aplican normas especiales.  La fiscalización puede activarse vía oficio por la misma inspección o a petición de parte, tanto por los niños y niñas afectados, como por cualquier persona que tomando conocimiento de la prestación de servicios de menores de edad, estima que existen irregularidades (ver en anexo de información estadística).</w:t>
      </w:r>
    </w:p>
    <w:p w:rsidR="00000000" w:rsidRDefault="00000000">
      <w:pPr>
        <w:widowControl w:val="0"/>
        <w:spacing w:after="240"/>
        <w:outlineLvl w:val="0"/>
        <w:rPr>
          <w:b/>
          <w:iCs/>
          <w:noProof/>
          <w:color w:val="000000"/>
          <w:szCs w:val="22"/>
        </w:rPr>
      </w:pPr>
      <w:r>
        <w:rPr>
          <w:b/>
          <w:iCs/>
          <w:noProof/>
          <w:color w:val="000000"/>
          <w:szCs w:val="22"/>
        </w:rPr>
        <w:t>Párrafo 152.  Informes periódicos - CRC/C/58</w:t>
      </w:r>
    </w:p>
    <w:p w:rsidR="00000000" w:rsidRDefault="00000000">
      <w:pPr>
        <w:widowControl w:val="0"/>
        <w:spacing w:after="240"/>
        <w:rPr>
          <w:bCs/>
          <w:noProof/>
          <w:color w:val="000000"/>
          <w:szCs w:val="22"/>
        </w:rPr>
      </w:pPr>
      <w:r>
        <w:rPr>
          <w:bCs/>
          <w:noProof/>
          <w:color w:val="000000"/>
          <w:szCs w:val="22"/>
        </w:rPr>
        <w:t>258.</w:t>
      </w:r>
      <w:r>
        <w:rPr>
          <w:bCs/>
          <w:noProof/>
          <w:color w:val="000000"/>
          <w:szCs w:val="22"/>
        </w:rPr>
        <w:tab/>
        <w:t>En febrero de 1999, nuestro país ratificó en Convenio N°138 de la OIT, mediante el cual los Estados se comprometen a seguir una política nacional para asegurar la abolición efectiva del trabajo infantil y elevar progresivamente la edad mínima de admisión del empleo.</w:t>
      </w:r>
    </w:p>
    <w:p w:rsidR="00000000" w:rsidRDefault="00000000">
      <w:pPr>
        <w:spacing w:after="240"/>
        <w:rPr>
          <w:bCs/>
          <w:noProof/>
          <w:color w:val="000000"/>
          <w:szCs w:val="22"/>
        </w:rPr>
      </w:pPr>
      <w:r>
        <w:rPr>
          <w:bCs/>
          <w:noProof/>
          <w:color w:val="000000"/>
          <w:szCs w:val="22"/>
        </w:rPr>
        <w:t>-</w:t>
      </w:r>
      <w:r>
        <w:rPr>
          <w:bCs/>
          <w:noProof/>
          <w:color w:val="000000"/>
          <w:szCs w:val="22"/>
        </w:rPr>
        <w:tab/>
        <w:t>Con fecha 2 de mayo 2000, fue ratificado el Convenio N°182 de la OIT, sobre las peores formas del trabajo infantil.  Éste plantea la necesidad para cada país de establecer un catálogo de peores formas de trabajo infantil.  Desde 2002, el Ministerio del Trabajo con el apoyo de la OIT está implementando el proyecto "Diagnóstico Nacional de Trabajo Infantil y sus Peores Formas", y la creación del referido catálogo.  A través de este instrumento Chile cuenta con una definición exhaustiva de las peores formas de trabajo infantil que se presentan en nuestro país, lo que permite:  realizar un seguimiento al fenómeno; la coordinación de las entidades que tienen contacto con estos casos (Carabineros, Investigaciones, Dirección del Trabajo y SENAME); mejorar el tratamiento y derivación efectiva; mejorar el diseño de mejores políticas de reparación y reinserción escolar asociadas a este problema.</w:t>
      </w:r>
    </w:p>
    <w:p w:rsidR="00000000" w:rsidRDefault="00000000">
      <w:pPr>
        <w:widowControl w:val="0"/>
        <w:spacing w:after="240"/>
        <w:rPr>
          <w:bCs/>
          <w:noProof/>
          <w:color w:val="000000"/>
          <w:szCs w:val="22"/>
        </w:rPr>
      </w:pPr>
      <w:r>
        <w:rPr>
          <w:bCs/>
          <w:noProof/>
          <w:color w:val="000000"/>
          <w:szCs w:val="22"/>
        </w:rPr>
        <w:t>259.</w:t>
      </w:r>
      <w:r>
        <w:rPr>
          <w:bCs/>
          <w:noProof/>
          <w:color w:val="000000"/>
          <w:szCs w:val="22"/>
        </w:rPr>
        <w:tab/>
        <w:t>Respecto a las medidas correctivas, desde el año 2001 el Ministerio del Trabajo y Previsión Social, en conjunto con el Ministerio de Educación y UNICEF, vienen desarrollando una campaña anual de prevención del trabajo infantil agrícola de temporada en los liceos con mayor índice de deserción escolar a lo largo del país, con especial énfasis en las zonas rurales.</w:t>
      </w:r>
    </w:p>
    <w:p w:rsidR="00000000" w:rsidRDefault="00000000">
      <w:pPr>
        <w:widowControl w:val="0"/>
        <w:spacing w:after="240"/>
        <w:rPr>
          <w:b/>
          <w:iCs/>
          <w:noProof/>
          <w:color w:val="000000"/>
          <w:szCs w:val="22"/>
        </w:rPr>
      </w:pPr>
      <w:r>
        <w:rPr>
          <w:b/>
          <w:iCs/>
          <w:noProof/>
          <w:color w:val="000000"/>
          <w:szCs w:val="22"/>
        </w:rPr>
        <w:t>Párrafo 153.  Informes periódicos - CRC/C/58</w:t>
      </w:r>
    </w:p>
    <w:p w:rsidR="00000000" w:rsidRDefault="00000000">
      <w:pPr>
        <w:widowControl w:val="0"/>
        <w:spacing w:after="240"/>
        <w:rPr>
          <w:bCs/>
          <w:noProof/>
          <w:color w:val="000000"/>
          <w:szCs w:val="22"/>
        </w:rPr>
      </w:pPr>
      <w:r>
        <w:rPr>
          <w:bCs/>
          <w:noProof/>
          <w:color w:val="000000"/>
          <w:szCs w:val="22"/>
        </w:rPr>
        <w:t>260.</w:t>
      </w:r>
      <w:r>
        <w:rPr>
          <w:bCs/>
          <w:noProof/>
          <w:color w:val="000000"/>
          <w:szCs w:val="22"/>
        </w:rPr>
        <w:tab/>
        <w:t>En concordancia con los estándares del Convenio Nº 138 de la OIT, en el mes de junio de 2000 fue aprobada por el Senado la Ley N°19.684 que modifica el Código del Trabajo, elevando la edad mínima de admisión al empleo de 14 a 15 años.</w:t>
      </w:r>
    </w:p>
    <w:p w:rsidR="00000000" w:rsidRDefault="00000000">
      <w:pPr>
        <w:keepNext/>
        <w:keepLines/>
        <w:widowControl w:val="0"/>
        <w:spacing w:after="240"/>
        <w:rPr>
          <w:b/>
          <w:iCs/>
          <w:noProof/>
          <w:color w:val="000000"/>
          <w:szCs w:val="22"/>
        </w:rPr>
      </w:pPr>
      <w:r>
        <w:rPr>
          <w:b/>
          <w:iCs/>
          <w:noProof/>
          <w:color w:val="000000"/>
          <w:szCs w:val="22"/>
        </w:rPr>
        <w:t>Párrafo 154.  Informes periódicos - CRC/C/58</w:t>
      </w:r>
    </w:p>
    <w:p w:rsidR="00000000" w:rsidRDefault="00000000">
      <w:pPr>
        <w:keepNext/>
        <w:keepLines/>
        <w:widowControl w:val="0"/>
        <w:spacing w:after="240"/>
        <w:rPr>
          <w:bCs/>
          <w:noProof/>
          <w:color w:val="000000"/>
          <w:szCs w:val="22"/>
        </w:rPr>
      </w:pPr>
      <w:r>
        <w:rPr>
          <w:bCs/>
          <w:noProof/>
          <w:color w:val="000000"/>
          <w:szCs w:val="22"/>
        </w:rPr>
        <w:t>261.</w:t>
      </w:r>
      <w:r>
        <w:rPr>
          <w:bCs/>
          <w:noProof/>
          <w:color w:val="000000"/>
          <w:szCs w:val="22"/>
        </w:rPr>
        <w:tab/>
        <w:t>Desde el 15 de noviembre de 2001, está en vigor la Política y Plan Nacional de Prevención y Erradicación Progresiva del Trabajo Infantil y Adolescente.  En la elaboración de la iniciativa participaron instituciones estatales, organismos internacionales, organizaciones y redes sociales y asociaciones de trabajadores y empresarios, integrados en el Comité Nacional Asesor para la Prevención y Erradicación Progresiva del Trabajo Infantil coordinado por el Ministerio del Trabajo y Previsión Social.  El Plan constituye un marco orientador y un instrumento de acción pública, cuyo propósito es integrar la infancia al proceso de desarrollo económico y social de forma consistente con los principios de equidad, igualdad de oportunidades y la promoción de la justicia social y erradicación de la pobreza.</w:t>
      </w:r>
    </w:p>
    <w:p w:rsidR="00000000" w:rsidRDefault="00000000">
      <w:pPr>
        <w:widowControl w:val="0"/>
        <w:spacing w:after="240"/>
        <w:rPr>
          <w:bCs/>
          <w:noProof/>
          <w:color w:val="000000"/>
          <w:szCs w:val="22"/>
        </w:rPr>
      </w:pPr>
      <w:r>
        <w:rPr>
          <w:bCs/>
          <w:noProof/>
          <w:color w:val="000000"/>
          <w:szCs w:val="22"/>
        </w:rPr>
        <w:t>262.</w:t>
      </w:r>
      <w:r>
        <w:rPr>
          <w:bCs/>
          <w:noProof/>
          <w:color w:val="000000"/>
          <w:szCs w:val="22"/>
        </w:rPr>
        <w:tab/>
        <w:t>El Plan incluye cinco áreas estratégicas de intervención como ejes orientadores de acciones:  sensibilización de la comunidad nacional sobre la vulneración de los derechos de los niños y niñas; la producción de datos para incrementar el conocimiento empírico sobre el asunto; normas y fiscalización para promover reformas legales tendientes a la progresiva erradicación del trabajo infantil; grupos de edad, con el fin de diferenciar las acciones necesarias para los distintos segmentos etareos de niños y niñas; seguimiento y evaluación del desarrollo de este Plan.</w:t>
      </w:r>
    </w:p>
    <w:p w:rsidR="00000000" w:rsidRDefault="00000000">
      <w:pPr>
        <w:widowControl w:val="0"/>
        <w:spacing w:after="240"/>
        <w:rPr>
          <w:bCs/>
          <w:noProof/>
          <w:color w:val="000000"/>
          <w:szCs w:val="22"/>
        </w:rPr>
      </w:pPr>
      <w:r>
        <w:rPr>
          <w:bCs/>
          <w:noProof/>
          <w:color w:val="000000"/>
          <w:szCs w:val="22"/>
        </w:rPr>
        <w:t>263.</w:t>
      </w:r>
      <w:r>
        <w:rPr>
          <w:bCs/>
          <w:noProof/>
          <w:color w:val="000000"/>
          <w:szCs w:val="22"/>
        </w:rPr>
        <w:tab/>
        <w:t xml:space="preserve">A partir de junio del 2002 se puso en marcha el programa "Diagnóstico del trabajo infantil y sus peores formas" del Ministerio del Trabajo con apoyo de la OIT, con el fin de realizar la primera encuesta nacional con metodología específica para medir el trabajo infantil.  </w:t>
      </w:r>
      <w:r>
        <w:rPr>
          <w:bCs/>
          <w:noProof/>
          <w:szCs w:val="22"/>
        </w:rPr>
        <w:t xml:space="preserve">Esta encuesta se levantó entre los </w:t>
      </w:r>
      <w:r>
        <w:rPr>
          <w:bCs/>
          <w:noProof/>
          <w:color w:val="000000"/>
          <w:szCs w:val="22"/>
        </w:rPr>
        <w:t>meses</w:t>
      </w:r>
      <w:r>
        <w:rPr>
          <w:bCs/>
          <w:noProof/>
          <w:szCs w:val="22"/>
        </w:rPr>
        <w:t xml:space="preserve"> de febrero y abril del 2003, en todas las regiones del país.  </w:t>
      </w:r>
      <w:r>
        <w:rPr>
          <w:bCs/>
          <w:noProof/>
          <w:color w:val="000000"/>
          <w:szCs w:val="22"/>
        </w:rPr>
        <w:t>También se instaló un registro de las peores formas de trabajo infantil.  Estas acciones las llevaron a cabo el Instituto Nacional de Estadísticas y el Servicio Nacional de Menores.</w:t>
      </w:r>
    </w:p>
    <w:p w:rsidR="00000000" w:rsidRDefault="00000000">
      <w:pPr>
        <w:widowControl w:val="0"/>
        <w:spacing w:after="240"/>
        <w:rPr>
          <w:b/>
          <w:bCs/>
          <w:i/>
          <w:szCs w:val="22"/>
        </w:rPr>
      </w:pPr>
      <w:r>
        <w:rPr>
          <w:bCs/>
          <w:noProof/>
          <w:color w:val="000000"/>
          <w:szCs w:val="22"/>
        </w:rPr>
        <w:t>264.</w:t>
      </w:r>
      <w:r>
        <w:rPr>
          <w:bCs/>
          <w:noProof/>
          <w:color w:val="000000"/>
          <w:szCs w:val="22"/>
        </w:rPr>
        <w:tab/>
        <w:t>Los resultados de la encuesta señalan</w:t>
      </w:r>
      <w:r>
        <w:rPr>
          <w:bCs/>
          <w:szCs w:val="22"/>
        </w:rPr>
        <w:t xml:space="preserve"> que un 94,6% de los niños y niñas no trabajan y dedican su tiempo principalmente a estudiar y realizar actividades propias de su edad.  Un 5,4% de los niños y niñas de 5 a 17 </w:t>
      </w:r>
      <w:r>
        <w:rPr>
          <w:bCs/>
          <w:noProof/>
          <w:color w:val="000000"/>
          <w:szCs w:val="22"/>
        </w:rPr>
        <w:t>años</w:t>
      </w:r>
      <w:r>
        <w:rPr>
          <w:bCs/>
          <w:szCs w:val="22"/>
        </w:rPr>
        <w:t xml:space="preserve"> trabajó al menos una hora en la semana, lo que representa a un total 196.104 niños trabajadores.  De estos un 3% se desempeña en lo que se ha denominado como actividades "</w:t>
      </w:r>
      <w:r>
        <w:rPr>
          <w:bCs/>
          <w:noProof/>
          <w:color w:val="000000"/>
          <w:szCs w:val="22"/>
        </w:rPr>
        <w:t>inaceptables"</w:t>
      </w:r>
      <w:r>
        <w:rPr>
          <w:rStyle w:val="FootnoteReference"/>
          <w:bCs/>
          <w:noProof/>
          <w:color w:val="000000"/>
          <w:szCs w:val="22"/>
        </w:rPr>
        <w:footnoteReference w:id="18"/>
      </w:r>
      <w:r>
        <w:rPr>
          <w:bCs/>
          <w:szCs w:val="22"/>
        </w:rPr>
        <w:t xml:space="preserve"> y un 2,4% en actividades "aceptables".</w:t>
      </w:r>
    </w:p>
    <w:p w:rsidR="00000000" w:rsidRDefault="00000000">
      <w:pPr>
        <w:pStyle w:val="BodyText2"/>
        <w:spacing w:after="240"/>
        <w:jc w:val="left"/>
        <w:rPr>
          <w:rFonts w:ascii="Times New Roman" w:eastAsia="Arial Unicode MS" w:hAnsi="Times New Roman"/>
          <w:b w:val="0"/>
          <w:bCs/>
          <w:i w:val="0"/>
          <w:color w:val="auto"/>
          <w:sz w:val="24"/>
          <w:szCs w:val="22"/>
          <w:lang w:val="es-ES"/>
        </w:rPr>
      </w:pPr>
      <w:r>
        <w:rPr>
          <w:rFonts w:ascii="Times New Roman" w:hAnsi="Times New Roman"/>
          <w:b w:val="0"/>
          <w:bCs/>
          <w:i w:val="0"/>
          <w:color w:val="000000"/>
          <w:sz w:val="24"/>
          <w:szCs w:val="22"/>
          <w:lang w:val="es-ES"/>
        </w:rPr>
        <w:t>265.</w:t>
      </w:r>
      <w:r>
        <w:rPr>
          <w:rFonts w:ascii="Times New Roman" w:hAnsi="Times New Roman"/>
          <w:b w:val="0"/>
          <w:bCs/>
          <w:i w:val="0"/>
          <w:color w:val="000000"/>
          <w:sz w:val="24"/>
          <w:szCs w:val="22"/>
          <w:lang w:val="es-ES"/>
        </w:rPr>
        <w:tab/>
      </w:r>
      <w:r>
        <w:rPr>
          <w:rFonts w:ascii="Times New Roman" w:hAnsi="Times New Roman"/>
          <w:b w:val="0"/>
          <w:bCs/>
          <w:i w:val="0"/>
          <w:color w:val="auto"/>
          <w:sz w:val="24"/>
          <w:szCs w:val="22"/>
          <w:lang w:val="es-ES"/>
        </w:rPr>
        <w:t xml:space="preserve">Asimismo, el estudio señala que </w:t>
      </w:r>
      <w:r>
        <w:rPr>
          <w:rFonts w:ascii="Times New Roman" w:hAnsi="Times New Roman"/>
          <w:b w:val="0"/>
          <w:bCs/>
          <w:i w:val="0"/>
          <w:snapToGrid/>
          <w:color w:val="000000"/>
          <w:sz w:val="24"/>
          <w:szCs w:val="22"/>
          <w:lang w:val="es-ES"/>
        </w:rPr>
        <w:t>existen 42.083 niños y niñas que realizan quehaceres del propio hogar, dedicando más de media</w:t>
      </w:r>
      <w:r>
        <w:rPr>
          <w:rFonts w:ascii="Times New Roman" w:hAnsi="Times New Roman"/>
          <w:b w:val="0"/>
          <w:bCs/>
          <w:i w:val="0"/>
          <w:color w:val="auto"/>
          <w:sz w:val="24"/>
          <w:szCs w:val="22"/>
          <w:lang w:val="es-ES"/>
        </w:rPr>
        <w:t xml:space="preserve"> jornada a actividades domésticas.  Esta forma de desplazamiento del rol social productivo de los adultos en los niños y niñas, incorpora patrones culturales de los sexos donde las mujeres asumen tareas domésticas y los hombres buscan aportar ingresos y genera graves consecuencias en términos de deserción y retraso escolar.</w:t>
      </w:r>
    </w:p>
    <w:p w:rsidR="00000000" w:rsidRDefault="00000000">
      <w:pPr>
        <w:pStyle w:val="BodyText2"/>
        <w:keepNext/>
        <w:keepLines/>
        <w:spacing w:after="240"/>
        <w:jc w:val="left"/>
        <w:rPr>
          <w:rFonts w:ascii="Times New Roman" w:hAnsi="Times New Roman"/>
          <w:i w:val="0"/>
          <w:color w:val="000000"/>
          <w:sz w:val="24"/>
          <w:szCs w:val="22"/>
          <w:lang w:val="es-ES"/>
        </w:rPr>
      </w:pPr>
      <w:r>
        <w:rPr>
          <w:rFonts w:ascii="Times New Roman" w:hAnsi="Times New Roman"/>
          <w:i w:val="0"/>
          <w:color w:val="auto"/>
          <w:sz w:val="24"/>
          <w:szCs w:val="22"/>
          <w:lang w:val="es-ES"/>
        </w:rPr>
        <w:t>2.</w:t>
      </w:r>
      <w:r>
        <w:rPr>
          <w:rFonts w:ascii="Times New Roman" w:hAnsi="Times New Roman"/>
          <w:i w:val="0"/>
          <w:color w:val="auto"/>
          <w:sz w:val="24"/>
          <w:szCs w:val="22"/>
          <w:lang w:val="es-ES"/>
        </w:rPr>
        <w:tab/>
        <w:t>El uso indebido de estupefacientes</w:t>
      </w:r>
    </w:p>
    <w:p w:rsidR="00000000" w:rsidRDefault="00000000">
      <w:pPr>
        <w:keepNext/>
        <w:keepLines/>
        <w:widowControl w:val="0"/>
        <w:spacing w:after="240"/>
        <w:rPr>
          <w:bCs/>
          <w:i/>
          <w:noProof/>
          <w:color w:val="000000"/>
          <w:szCs w:val="22"/>
        </w:rPr>
      </w:pPr>
      <w:r>
        <w:rPr>
          <w:b/>
          <w:noProof/>
          <w:color w:val="000000"/>
          <w:szCs w:val="22"/>
        </w:rPr>
        <w:t>Párrafo 155 Informes periódicos - CRC/C/58</w:t>
      </w:r>
    </w:p>
    <w:p w:rsidR="00000000" w:rsidRDefault="00000000">
      <w:pPr>
        <w:keepNext/>
        <w:keepLines/>
        <w:widowControl w:val="0"/>
        <w:spacing w:after="240"/>
        <w:rPr>
          <w:bCs/>
          <w:noProof/>
          <w:color w:val="000000"/>
          <w:szCs w:val="22"/>
        </w:rPr>
      </w:pPr>
      <w:r>
        <w:rPr>
          <w:bCs/>
          <w:noProof/>
          <w:color w:val="000000"/>
          <w:szCs w:val="22"/>
        </w:rPr>
        <w:t>266.</w:t>
      </w:r>
      <w:r>
        <w:rPr>
          <w:bCs/>
          <w:noProof/>
          <w:color w:val="000000"/>
          <w:szCs w:val="22"/>
        </w:rPr>
        <w:tab/>
      </w:r>
      <w:r>
        <w:rPr>
          <w:bCs/>
          <w:noProof/>
          <w:szCs w:val="22"/>
        </w:rPr>
        <w:t>El Quinto Estudio Nacional de Drogas en la Población General de Chile, realizado por el Consejo Nacional de Control de Estupefacientes (CONACE), en</w:t>
      </w:r>
      <w:r>
        <w:rPr>
          <w:bCs/>
          <w:noProof/>
          <w:color w:val="000000"/>
          <w:szCs w:val="22"/>
        </w:rPr>
        <w:t xml:space="preserve"> el año 2003; da cuenta de las prevalencias en porcentajes de consumo de drogas en población escolar de 8º básico a 4º año medio (ver en anexo de información estadística).</w:t>
      </w:r>
    </w:p>
    <w:p w:rsidR="00000000" w:rsidRDefault="00000000">
      <w:pPr>
        <w:widowControl w:val="0"/>
        <w:spacing w:after="240"/>
        <w:rPr>
          <w:bCs/>
          <w:noProof/>
          <w:color w:val="000000"/>
          <w:szCs w:val="22"/>
        </w:rPr>
      </w:pPr>
      <w:r>
        <w:rPr>
          <w:bCs/>
          <w:noProof/>
          <w:color w:val="000000"/>
          <w:szCs w:val="22"/>
        </w:rPr>
        <w:t>267.</w:t>
      </w:r>
      <w:r>
        <w:rPr>
          <w:bCs/>
          <w:noProof/>
          <w:color w:val="000000"/>
          <w:szCs w:val="22"/>
        </w:rPr>
        <w:tab/>
        <w:t xml:space="preserve">Entre los años 2000 y 2003 CONACE, en conjunto con el Ministerio de Educación (MINEDUC) diseñó e implementó un conjunto de programas de prevención del consumo de drogas para ser aplicados en el </w:t>
      </w:r>
      <w:r>
        <w:rPr>
          <w:bCs/>
          <w:noProof/>
          <w:szCs w:val="22"/>
        </w:rPr>
        <w:t>sistema</w:t>
      </w:r>
      <w:r>
        <w:rPr>
          <w:bCs/>
          <w:noProof/>
          <w:color w:val="000000"/>
          <w:szCs w:val="22"/>
        </w:rPr>
        <w:t xml:space="preserve"> escolar.  Se trata de programas que abarcan todo el período de enseñanza escolar (preescolar, enseñanza básica y enseñanza media) han sido ofertados a todos los establecimientos educacionales del país.</w:t>
      </w:r>
    </w:p>
    <w:p w:rsidR="00000000" w:rsidRDefault="00000000">
      <w:pPr>
        <w:widowControl w:val="0"/>
        <w:spacing w:after="240"/>
        <w:rPr>
          <w:bCs/>
          <w:noProof/>
          <w:color w:val="000000"/>
          <w:szCs w:val="22"/>
        </w:rPr>
      </w:pPr>
      <w:r>
        <w:rPr>
          <w:bCs/>
          <w:noProof/>
          <w:color w:val="000000"/>
          <w:szCs w:val="22"/>
        </w:rPr>
        <w:t>268.</w:t>
      </w:r>
      <w:r>
        <w:rPr>
          <w:bCs/>
          <w:noProof/>
          <w:color w:val="000000"/>
          <w:szCs w:val="22"/>
        </w:rPr>
        <w:tab/>
        <w:t xml:space="preserve">A partir del 2003, se pone en marcha un nuevo programa de CONACE orientado a la población infantoadolescente en condiciones de alta vulnerabilidad social (en situación de calle, desescolarizada o en alto riesgo de deserción).  Cumplido un año de la intervención desarrollada a través de 19 proyectos (13 de fortalecimiento a nivel </w:t>
      </w:r>
      <w:r>
        <w:rPr>
          <w:bCs/>
          <w:noProof/>
          <w:szCs w:val="22"/>
        </w:rPr>
        <w:t>regional</w:t>
      </w:r>
      <w:r>
        <w:rPr>
          <w:bCs/>
          <w:noProof/>
          <w:color w:val="000000"/>
          <w:szCs w:val="22"/>
        </w:rPr>
        <w:t xml:space="preserve"> y 5 pilotos a nivel nacional), la cobertura alcanzada asciende a más de 1.300 niños y niñas intervenidos en prevención de drogas y reintegración escolar y social.</w:t>
      </w:r>
    </w:p>
    <w:p w:rsidR="00000000" w:rsidRDefault="00000000">
      <w:pPr>
        <w:widowControl w:val="0"/>
        <w:spacing w:after="240"/>
        <w:rPr>
          <w:bCs/>
          <w:noProof/>
          <w:color w:val="000000"/>
          <w:szCs w:val="22"/>
        </w:rPr>
      </w:pPr>
      <w:r>
        <w:rPr>
          <w:bCs/>
          <w:noProof/>
          <w:color w:val="000000"/>
          <w:szCs w:val="22"/>
        </w:rPr>
        <w:t>269.</w:t>
      </w:r>
      <w:r>
        <w:rPr>
          <w:bCs/>
          <w:noProof/>
          <w:color w:val="000000"/>
          <w:szCs w:val="22"/>
        </w:rPr>
        <w:tab/>
        <w:t xml:space="preserve">A partir del segundo semestre del 2003, en el marco del convenio de colaboración entre SENAME y CONACE, este último comenzó un proceso nacional de capacitación dirigido a profesionales y técnicos que se desempeñan en la red SENAME.  La coordinación se ha expresado en mesas de trabajo conjuntas, un </w:t>
      </w:r>
      <w:r>
        <w:rPr>
          <w:bCs/>
          <w:noProof/>
          <w:szCs w:val="22"/>
        </w:rPr>
        <w:t>proyecto</w:t>
      </w:r>
      <w:r>
        <w:rPr>
          <w:bCs/>
          <w:noProof/>
          <w:color w:val="000000"/>
          <w:szCs w:val="22"/>
        </w:rPr>
        <w:t xml:space="preserve"> dirigido a un grupo ("caleta") de niños y niñas de la calle; así como el respaldo conjunto, tanto en lo financiero como en lo técnico, en desintoxicación en niños y niñas con consumo adictivo de la Región Metropolitana.</w:t>
      </w:r>
    </w:p>
    <w:p w:rsidR="00000000" w:rsidRDefault="00000000">
      <w:pPr>
        <w:widowControl w:val="0"/>
        <w:spacing w:after="240"/>
        <w:rPr>
          <w:bCs/>
          <w:noProof/>
          <w:color w:val="000000"/>
          <w:szCs w:val="22"/>
        </w:rPr>
      </w:pPr>
      <w:r>
        <w:rPr>
          <w:bCs/>
          <w:noProof/>
          <w:color w:val="000000"/>
          <w:szCs w:val="22"/>
        </w:rPr>
        <w:t>270.</w:t>
      </w:r>
      <w:r>
        <w:rPr>
          <w:bCs/>
          <w:noProof/>
          <w:color w:val="000000"/>
          <w:szCs w:val="22"/>
        </w:rPr>
        <w:tab/>
        <w:t>Existe el programa de prevención del consumo de drogas desde el ámbito familiar, denominado "Prevenir en familia", destinado a familias con mayores índices de vulnerabilidad social, con niños y niñas de 12 a 18 años.  Para implementar este programa se ha capacitado a un total de 11.123 monitores.  La cobertura esperada de este programa, a nivel nacional, en su primera aplicación es de 55.615 familias.  Por su parte, el SENAME ha implementado a nivel nacional 22 proyectos especializados en materia de reparación en consumo de drogas, logrando atender una cobertura de 936 niños y niñas.</w:t>
      </w:r>
    </w:p>
    <w:p w:rsidR="00000000" w:rsidRDefault="00000000">
      <w:pPr>
        <w:widowControl w:val="0"/>
        <w:spacing w:after="240"/>
        <w:rPr>
          <w:b/>
          <w:noProof/>
          <w:color w:val="000000"/>
          <w:szCs w:val="22"/>
        </w:rPr>
      </w:pPr>
      <w:r>
        <w:rPr>
          <w:b/>
          <w:noProof/>
          <w:color w:val="000000"/>
          <w:szCs w:val="22"/>
        </w:rPr>
        <w:t>3.</w:t>
      </w:r>
      <w:r>
        <w:rPr>
          <w:b/>
          <w:noProof/>
          <w:color w:val="000000"/>
          <w:szCs w:val="22"/>
        </w:rPr>
        <w:tab/>
        <w:t xml:space="preserve">La explotación y el abuso </w:t>
      </w:r>
      <w:r>
        <w:rPr>
          <w:b/>
          <w:noProof/>
          <w:szCs w:val="22"/>
        </w:rPr>
        <w:t>sexual</w:t>
      </w:r>
    </w:p>
    <w:p w:rsidR="00000000" w:rsidRDefault="00000000">
      <w:pPr>
        <w:widowControl w:val="0"/>
        <w:spacing w:after="240"/>
        <w:rPr>
          <w:bCs/>
          <w:i/>
          <w:noProof/>
          <w:color w:val="000000"/>
          <w:szCs w:val="22"/>
        </w:rPr>
      </w:pPr>
      <w:r>
        <w:rPr>
          <w:b/>
          <w:iCs/>
          <w:noProof/>
          <w:color w:val="000000"/>
          <w:szCs w:val="22"/>
        </w:rPr>
        <w:t>Párrafo 159.  Informes</w:t>
      </w:r>
      <w:r>
        <w:rPr>
          <w:b/>
          <w:noProof/>
          <w:color w:val="000000"/>
          <w:szCs w:val="22"/>
        </w:rPr>
        <w:t xml:space="preserve"> </w:t>
      </w:r>
      <w:r>
        <w:rPr>
          <w:b/>
          <w:noProof/>
          <w:szCs w:val="22"/>
        </w:rPr>
        <w:t>periódicos</w:t>
      </w:r>
      <w:r>
        <w:rPr>
          <w:b/>
          <w:noProof/>
          <w:color w:val="000000"/>
          <w:szCs w:val="22"/>
        </w:rPr>
        <w:t xml:space="preserve"> - CRC/C/58</w:t>
      </w:r>
    </w:p>
    <w:p w:rsidR="00000000" w:rsidRDefault="00000000">
      <w:pPr>
        <w:widowControl w:val="0"/>
        <w:spacing w:after="240"/>
        <w:rPr>
          <w:bCs/>
          <w:noProof/>
          <w:color w:val="000000"/>
          <w:szCs w:val="22"/>
        </w:rPr>
      </w:pPr>
      <w:r>
        <w:rPr>
          <w:bCs/>
          <w:noProof/>
          <w:color w:val="000000"/>
          <w:szCs w:val="22"/>
        </w:rPr>
        <w:t>271.</w:t>
      </w:r>
      <w:r>
        <w:rPr>
          <w:bCs/>
          <w:noProof/>
          <w:color w:val="000000"/>
          <w:szCs w:val="22"/>
        </w:rPr>
        <w:tab/>
        <w:t xml:space="preserve">En el año 1996, el Gobierno de Chile aprobó la Declaración Final y el Plan de Acción del Primer Congreso Mundial contra la Explotación Sexual de Niños con fines Comerciales (Estocolmo, 1996) y se comprometió a implementar un Plan Nacional en la materia con plazo hasta el año 2000.  En el año 1999 aprobó la declaración final del seminario regional "Violencia y explotación sexual comercial contra niños y niñas en América Latina y el Caribe", organizado por el Instituto Interamericano del Niño.  El </w:t>
      </w:r>
      <w:r>
        <w:rPr>
          <w:bCs/>
          <w:noProof/>
          <w:szCs w:val="22"/>
        </w:rPr>
        <w:t>mismo</w:t>
      </w:r>
      <w:r>
        <w:rPr>
          <w:bCs/>
          <w:noProof/>
          <w:color w:val="000000"/>
          <w:szCs w:val="22"/>
        </w:rPr>
        <w:t xml:space="preserve"> año 1999 el Estado de Chile ratificó el Convenio 182 de la OIT sobre "Peores formas de trabajo infantil".  En el año 2002 se ratificó por el Congreso Nacional el "Protocolo Facultativo de la Convención sobre los Derechos del Niño, relativo a la venta de niños, la prostitución infantil y la utilización de los niños en la Pornografía".</w:t>
      </w:r>
    </w:p>
    <w:p w:rsidR="00000000" w:rsidRDefault="00000000">
      <w:pPr>
        <w:widowControl w:val="0"/>
        <w:spacing w:after="240"/>
        <w:rPr>
          <w:bCs/>
          <w:noProof/>
          <w:color w:val="000000"/>
          <w:szCs w:val="22"/>
        </w:rPr>
      </w:pPr>
      <w:r>
        <w:rPr>
          <w:bCs/>
          <w:noProof/>
          <w:color w:val="000000"/>
          <w:szCs w:val="22"/>
        </w:rPr>
        <w:t>272.</w:t>
      </w:r>
      <w:r>
        <w:rPr>
          <w:bCs/>
          <w:noProof/>
          <w:color w:val="000000"/>
          <w:szCs w:val="22"/>
        </w:rPr>
        <w:tab/>
        <w:t xml:space="preserve">Algunos avances legislativos son la publicación en el año 1999 de la Ley de delitos sexuales Nº 19.617, la que ha sido </w:t>
      </w:r>
      <w:r>
        <w:rPr>
          <w:bCs/>
          <w:noProof/>
          <w:szCs w:val="22"/>
        </w:rPr>
        <w:t>recientemente</w:t>
      </w:r>
      <w:r>
        <w:rPr>
          <w:bCs/>
          <w:noProof/>
          <w:color w:val="000000"/>
          <w:szCs w:val="22"/>
        </w:rPr>
        <w:t xml:space="preserve"> modificada por la Ley Nº 19.927, promulgada el 8 de enero del año 2004.  Se tipifican los siguientes delitos:</w:t>
      </w:r>
    </w:p>
    <w:p w:rsidR="00000000" w:rsidRDefault="00000000">
      <w:pPr>
        <w:spacing w:after="240"/>
        <w:rPr>
          <w:bCs/>
          <w:iCs/>
          <w:noProof/>
          <w:color w:val="000000"/>
          <w:szCs w:val="22"/>
        </w:rPr>
      </w:pPr>
      <w:r>
        <w:rPr>
          <w:bCs/>
          <w:noProof/>
          <w:color w:val="000000"/>
          <w:szCs w:val="22"/>
        </w:rPr>
        <w:t>a)</w:t>
      </w:r>
      <w:r>
        <w:rPr>
          <w:bCs/>
          <w:noProof/>
          <w:color w:val="000000"/>
          <w:szCs w:val="22"/>
        </w:rPr>
        <w:tab/>
      </w:r>
      <w:r>
        <w:rPr>
          <w:bCs/>
          <w:iCs/>
          <w:noProof/>
          <w:color w:val="000000"/>
          <w:szCs w:val="22"/>
        </w:rPr>
        <w:t>Facilitamiento o promoción de la prostitución de menores de 18 años de edad;</w:t>
      </w:r>
    </w:p>
    <w:p w:rsidR="00000000" w:rsidRDefault="00000000">
      <w:pPr>
        <w:spacing w:after="240"/>
        <w:rPr>
          <w:bCs/>
          <w:iCs/>
          <w:noProof/>
          <w:color w:val="000000"/>
          <w:szCs w:val="22"/>
        </w:rPr>
      </w:pPr>
      <w:r>
        <w:rPr>
          <w:bCs/>
          <w:iCs/>
          <w:noProof/>
          <w:color w:val="000000"/>
          <w:szCs w:val="22"/>
        </w:rPr>
        <w:t>b)</w:t>
      </w:r>
      <w:r>
        <w:rPr>
          <w:bCs/>
          <w:iCs/>
          <w:noProof/>
          <w:color w:val="000000"/>
          <w:szCs w:val="22"/>
        </w:rPr>
        <w:tab/>
        <w:t xml:space="preserve">Cliente de prostitución infantil (entendida </w:t>
      </w:r>
      <w:r>
        <w:rPr>
          <w:bCs/>
          <w:iCs/>
          <w:noProof/>
          <w:szCs w:val="22"/>
        </w:rPr>
        <w:t>como</w:t>
      </w:r>
      <w:r>
        <w:rPr>
          <w:bCs/>
          <w:iCs/>
          <w:noProof/>
          <w:color w:val="000000"/>
          <w:szCs w:val="22"/>
        </w:rPr>
        <w:t xml:space="preserve"> mayores de 14 años y menores de 18 años de edad);</w:t>
      </w:r>
    </w:p>
    <w:p w:rsidR="00000000" w:rsidRDefault="00000000">
      <w:pPr>
        <w:spacing w:after="240"/>
        <w:rPr>
          <w:bCs/>
          <w:noProof/>
          <w:color w:val="000000"/>
          <w:szCs w:val="22"/>
        </w:rPr>
      </w:pPr>
      <w:r>
        <w:rPr>
          <w:bCs/>
          <w:iCs/>
          <w:noProof/>
          <w:color w:val="000000"/>
          <w:szCs w:val="22"/>
        </w:rPr>
        <w:t>c)</w:t>
      </w:r>
      <w:r>
        <w:rPr>
          <w:bCs/>
          <w:iCs/>
          <w:noProof/>
          <w:color w:val="000000"/>
          <w:szCs w:val="22"/>
        </w:rPr>
        <w:tab/>
        <w:t xml:space="preserve">Facilitamiento de entrada y salida del país de </w:t>
      </w:r>
      <w:r>
        <w:rPr>
          <w:bCs/>
          <w:iCs/>
          <w:noProof/>
          <w:szCs w:val="22"/>
        </w:rPr>
        <w:t>quienes</w:t>
      </w:r>
      <w:r>
        <w:rPr>
          <w:bCs/>
          <w:iCs/>
          <w:noProof/>
          <w:color w:val="000000"/>
          <w:szCs w:val="22"/>
        </w:rPr>
        <w:t xml:space="preserve"> ejerzan la prostitución;</w:t>
      </w:r>
    </w:p>
    <w:p w:rsidR="00000000" w:rsidRDefault="00000000">
      <w:pPr>
        <w:spacing w:after="240"/>
        <w:rPr>
          <w:bCs/>
          <w:noProof/>
          <w:color w:val="000000"/>
          <w:szCs w:val="22"/>
        </w:rPr>
      </w:pPr>
      <w:r>
        <w:rPr>
          <w:bCs/>
          <w:noProof/>
          <w:color w:val="000000"/>
          <w:szCs w:val="22"/>
        </w:rPr>
        <w:t>d)</w:t>
      </w:r>
      <w:r>
        <w:rPr>
          <w:bCs/>
          <w:noProof/>
          <w:color w:val="000000"/>
          <w:szCs w:val="22"/>
        </w:rPr>
        <w:tab/>
        <w:t xml:space="preserve">Utilización de menores de 18 años de edad en </w:t>
      </w:r>
      <w:r>
        <w:rPr>
          <w:bCs/>
          <w:noProof/>
          <w:szCs w:val="22"/>
        </w:rPr>
        <w:t>la</w:t>
      </w:r>
      <w:r>
        <w:rPr>
          <w:bCs/>
          <w:noProof/>
          <w:color w:val="000000"/>
          <w:szCs w:val="22"/>
        </w:rPr>
        <w:t xml:space="preserve"> producción de material pornográfico.</w:t>
      </w:r>
    </w:p>
    <w:p w:rsidR="00000000" w:rsidRDefault="00000000">
      <w:pPr>
        <w:widowControl w:val="0"/>
        <w:spacing w:after="240"/>
        <w:rPr>
          <w:bCs/>
          <w:noProof/>
          <w:color w:val="000000"/>
          <w:szCs w:val="22"/>
        </w:rPr>
      </w:pPr>
      <w:r>
        <w:rPr>
          <w:bCs/>
          <w:noProof/>
          <w:color w:val="000000"/>
          <w:szCs w:val="22"/>
        </w:rPr>
        <w:t>273.</w:t>
      </w:r>
      <w:r>
        <w:rPr>
          <w:bCs/>
          <w:noProof/>
          <w:color w:val="000000"/>
          <w:szCs w:val="22"/>
        </w:rPr>
        <w:tab/>
        <w:t>La Ley Nº 19.927 eleva la edad hasta la cual se presume de derecho la incapacidad para consentir sexualmente, desde los 12 a los 14 años, protegiéndose de esta manera la indemnidad, desarrollo e integridad sexual de los menores de 14 años.  Dicha modificación afecta a cada uno de los delitos sexuales.  Además la ley aumenta las penas para la mayoría de los delitos sexuales actualmente tipificados.  Junto con ello, se crean nuevos tipos penales, como el delito especial que sanciona a quien "obtiene servicios sexuales" de un menor de edad a cambio de dinero u otras prestaciones.  Con dicha figura penal, por primera vez en nuestro país, el ordenamiento jurídico sanciona al cliente.</w:t>
      </w:r>
    </w:p>
    <w:p w:rsidR="00000000" w:rsidRDefault="00000000">
      <w:pPr>
        <w:widowControl w:val="0"/>
        <w:spacing w:after="240"/>
        <w:rPr>
          <w:bCs/>
          <w:noProof/>
          <w:color w:val="000000"/>
          <w:szCs w:val="22"/>
        </w:rPr>
      </w:pPr>
      <w:r>
        <w:rPr>
          <w:bCs/>
          <w:noProof/>
          <w:color w:val="000000"/>
          <w:szCs w:val="22"/>
        </w:rPr>
        <w:t>274.</w:t>
      </w:r>
      <w:r>
        <w:rPr>
          <w:bCs/>
          <w:noProof/>
          <w:color w:val="000000"/>
          <w:szCs w:val="22"/>
        </w:rPr>
        <w:tab/>
        <w:t xml:space="preserve">Una verdadera protección a los derechos de los niños y niñas que son objeto de explotación sexual comercial, lo constituye la ampliación del delito de favorecimiento de la prostitución de menores de 18 años, para </w:t>
      </w:r>
      <w:r>
        <w:rPr>
          <w:bCs/>
          <w:noProof/>
          <w:szCs w:val="22"/>
        </w:rPr>
        <w:t>castigar</w:t>
      </w:r>
      <w:r>
        <w:rPr>
          <w:bCs/>
          <w:noProof/>
          <w:color w:val="000000"/>
          <w:szCs w:val="22"/>
        </w:rPr>
        <w:t xml:space="preserve"> a quien la promueva o facilite, sin que sea necesario que lo haga con habitualidad, abuso de autoridad o de confianza, como ocurría con la tipificación anterior, aplicándose en dicho caso una pena menor a la prevista anteriormente.  También se amplían los delitos vinculados a pornografía infantil, introduciéndose las figuras de distribución y comercialización de pornografía infantil, almacenamiento y adquisición de material pornográfico infantil.</w:t>
      </w:r>
    </w:p>
    <w:p w:rsidR="00000000" w:rsidRDefault="00000000">
      <w:pPr>
        <w:widowControl w:val="0"/>
        <w:spacing w:after="240"/>
        <w:rPr>
          <w:bCs/>
          <w:noProof/>
          <w:color w:val="000000"/>
          <w:szCs w:val="22"/>
        </w:rPr>
      </w:pPr>
      <w:r>
        <w:rPr>
          <w:bCs/>
          <w:noProof/>
          <w:color w:val="000000"/>
          <w:szCs w:val="22"/>
        </w:rPr>
        <w:t>275.</w:t>
      </w:r>
      <w:r>
        <w:rPr>
          <w:bCs/>
          <w:noProof/>
          <w:color w:val="000000"/>
          <w:szCs w:val="22"/>
        </w:rPr>
        <w:tab/>
        <w:t xml:space="preserve">Se establece una nueva pena de </w:t>
      </w:r>
      <w:r>
        <w:rPr>
          <w:bCs/>
          <w:noProof/>
          <w:szCs w:val="22"/>
        </w:rPr>
        <w:t>inhabilitación</w:t>
      </w:r>
      <w:r>
        <w:rPr>
          <w:bCs/>
          <w:noProof/>
          <w:color w:val="000000"/>
          <w:szCs w:val="22"/>
        </w:rPr>
        <w:t xml:space="preserve"> absoluta temporal para cargos, empleos, oficios o profesiones ejercidos en ámbitos educacionales o que involucren una relación directa y habitual con menores de edad.</w:t>
      </w:r>
    </w:p>
    <w:p w:rsidR="00000000" w:rsidRDefault="00000000">
      <w:pPr>
        <w:widowControl w:val="0"/>
        <w:spacing w:after="240"/>
        <w:rPr>
          <w:bCs/>
          <w:noProof/>
          <w:color w:val="000000"/>
          <w:szCs w:val="22"/>
        </w:rPr>
      </w:pPr>
      <w:r>
        <w:rPr>
          <w:bCs/>
          <w:noProof/>
          <w:color w:val="000000"/>
          <w:szCs w:val="22"/>
        </w:rPr>
        <w:t>276.</w:t>
      </w:r>
      <w:r>
        <w:rPr>
          <w:bCs/>
          <w:noProof/>
          <w:color w:val="000000"/>
          <w:szCs w:val="22"/>
        </w:rPr>
        <w:tab/>
        <w:t xml:space="preserve">Finalmente, se faculta a los tribunales nacionales para conocer de determinados delitos cometidos fuera del territorio de la República, </w:t>
      </w:r>
      <w:r>
        <w:rPr>
          <w:bCs/>
          <w:noProof/>
          <w:szCs w:val="22"/>
        </w:rPr>
        <w:t>siempre</w:t>
      </w:r>
      <w:r>
        <w:rPr>
          <w:bCs/>
          <w:noProof/>
          <w:color w:val="000000"/>
          <w:szCs w:val="22"/>
        </w:rPr>
        <w:t xml:space="preserve"> que se cumplieren ciertos presupuestos.  Asimismo, se admiten medidas de investigación tales como interceptación o grabación de las telecomunicaciones, la fotografía, filmación u otros medios de reproducción de imágenes conducentes al esclarecimiento de los hechos y grabación de comunicaciones, como asimismo, la intervención de agentes encubiertos.</w:t>
      </w:r>
    </w:p>
    <w:p w:rsidR="00000000" w:rsidRDefault="00000000">
      <w:pPr>
        <w:keepLines/>
        <w:widowControl w:val="0"/>
        <w:spacing w:after="240"/>
        <w:rPr>
          <w:bCs/>
          <w:noProof/>
          <w:color w:val="000000"/>
          <w:szCs w:val="22"/>
        </w:rPr>
      </w:pPr>
      <w:r>
        <w:rPr>
          <w:bCs/>
          <w:noProof/>
          <w:color w:val="000000"/>
          <w:szCs w:val="22"/>
        </w:rPr>
        <w:t>277.</w:t>
      </w:r>
      <w:r>
        <w:rPr>
          <w:bCs/>
          <w:noProof/>
          <w:color w:val="000000"/>
          <w:szCs w:val="22"/>
        </w:rPr>
        <w:tab/>
        <w:t xml:space="preserve">En cuanto a los avances programáticos, en el año 1999, se realizó en Chile la Primera Conferencia Nacional en materia de explotación y abuso sexual del niño.  En ella se logró como primer paso, la sensibilización en torno a la </w:t>
      </w:r>
      <w:r>
        <w:rPr>
          <w:bCs/>
          <w:noProof/>
          <w:szCs w:val="22"/>
        </w:rPr>
        <w:t>problemática</w:t>
      </w:r>
      <w:r>
        <w:rPr>
          <w:bCs/>
          <w:noProof/>
          <w:color w:val="000000"/>
          <w:szCs w:val="22"/>
        </w:rPr>
        <w:t xml:space="preserve"> de la explotación sexual comercial de niños y niñas.  Culminó con una declaración final y compromiso que, recogiendo los acuerdos de Estocolmo y Montevideo, sentó las bases para diseñar un Plan de Acción Nacional en la materia.</w:t>
      </w:r>
    </w:p>
    <w:p w:rsidR="00000000" w:rsidRDefault="00000000">
      <w:pPr>
        <w:widowControl w:val="0"/>
        <w:spacing w:after="240"/>
        <w:rPr>
          <w:bCs/>
          <w:noProof/>
          <w:color w:val="000000"/>
          <w:szCs w:val="22"/>
        </w:rPr>
      </w:pPr>
      <w:r>
        <w:rPr>
          <w:bCs/>
          <w:noProof/>
          <w:color w:val="000000"/>
          <w:szCs w:val="22"/>
        </w:rPr>
        <w:t>278.</w:t>
      </w:r>
      <w:r>
        <w:rPr>
          <w:bCs/>
          <w:noProof/>
          <w:color w:val="000000"/>
          <w:szCs w:val="22"/>
        </w:rPr>
        <w:tab/>
        <w:t>Entre los años 1999 y 2000, se elaboró el "Marco para la Acción contra la Explotación Sexual Comercial de Niñas, Niños y Adolescentes".  Constituye un importante instrumento de trabajo para avanzar en el diseño de políticas y acciones coordinadas en la materia.  Sus principales líneas de acción incluyen los ámbitos de la investigación, intervención, reformas a las políticas sociales y reformas normativas.</w:t>
      </w:r>
    </w:p>
    <w:p w:rsidR="00000000" w:rsidRDefault="00000000">
      <w:pPr>
        <w:widowControl w:val="0"/>
        <w:spacing w:after="240"/>
        <w:rPr>
          <w:bCs/>
          <w:szCs w:val="22"/>
        </w:rPr>
      </w:pPr>
      <w:r>
        <w:rPr>
          <w:bCs/>
          <w:szCs w:val="22"/>
        </w:rPr>
        <w:t>279.</w:t>
      </w:r>
      <w:r>
        <w:rPr>
          <w:bCs/>
          <w:szCs w:val="22"/>
        </w:rPr>
        <w:tab/>
        <w:t xml:space="preserve">En el año 2004 se realizó la Segunda Conferencia Nacional, en la que se acordó constituir una mesa de trabajo permanente en la materia, </w:t>
      </w:r>
      <w:r>
        <w:rPr>
          <w:bCs/>
          <w:noProof/>
          <w:szCs w:val="22"/>
        </w:rPr>
        <w:t>coordinada</w:t>
      </w:r>
      <w:r>
        <w:rPr>
          <w:bCs/>
          <w:szCs w:val="22"/>
        </w:rPr>
        <w:t xml:space="preserve"> por el Ministerio de Justicia y SENAME, en donde estén representados todos los sectores involucrados en los temas.  Este grupo de trabajo deberá realizar el seguimiento a las acciones propuestas en el "Marco para la Acción contra la Explotación Sexual Comercial de Niños, Niñas y Adolescentes".</w:t>
      </w:r>
    </w:p>
    <w:p w:rsidR="00000000" w:rsidRDefault="00000000">
      <w:pPr>
        <w:widowControl w:val="0"/>
        <w:spacing w:after="240"/>
        <w:rPr>
          <w:bCs/>
          <w:noProof/>
          <w:color w:val="000000"/>
          <w:szCs w:val="22"/>
        </w:rPr>
      </w:pPr>
      <w:r>
        <w:rPr>
          <w:bCs/>
          <w:noProof/>
          <w:color w:val="000000"/>
          <w:szCs w:val="22"/>
        </w:rPr>
        <w:t>280.</w:t>
      </w:r>
      <w:r>
        <w:rPr>
          <w:bCs/>
          <w:noProof/>
          <w:color w:val="000000"/>
          <w:szCs w:val="22"/>
        </w:rPr>
        <w:tab/>
        <w:t xml:space="preserve">En el ámbito de la investigación, y con el apoyo financiero de la OIT-IPEC, el SENAME llevó a cabo, durante el año 2003, un diagnóstico cuantitativo y cualitativo que da cuenta de la magnitud y características actuales de la explotación sexual comercial de niños y niñas en el país, específicamente su utilización para la </w:t>
      </w:r>
      <w:r>
        <w:rPr>
          <w:bCs/>
          <w:noProof/>
          <w:szCs w:val="22"/>
        </w:rPr>
        <w:t>prostitución</w:t>
      </w:r>
      <w:r>
        <w:rPr>
          <w:bCs/>
          <w:noProof/>
          <w:color w:val="000000"/>
          <w:szCs w:val="22"/>
        </w:rPr>
        <w:t>.  Este diagnóstico constituye un avance importante porque no se realizaba desde el año 1992 en nuestro país.  Los resultados de esta investigación señalan que el número estimado de niños y niñas en explotación sexual comercial a escala nacional, es de 3.719.</w:t>
      </w:r>
    </w:p>
    <w:p w:rsidR="00000000" w:rsidRDefault="00000000">
      <w:pPr>
        <w:spacing w:after="240"/>
        <w:rPr>
          <w:bCs/>
          <w:noProof/>
          <w:color w:val="000000"/>
          <w:szCs w:val="22"/>
        </w:rPr>
      </w:pPr>
      <w:r>
        <w:rPr>
          <w:bCs/>
          <w:noProof/>
          <w:color w:val="000000"/>
          <w:szCs w:val="22"/>
        </w:rPr>
        <w:t>-</w:t>
      </w:r>
      <w:r>
        <w:rPr>
          <w:bCs/>
          <w:noProof/>
          <w:color w:val="000000"/>
          <w:szCs w:val="22"/>
        </w:rPr>
        <w:tab/>
        <w:t>El SENAME ha desarrollado entre los años 2001 y 2003 dos proyectos de reparación de explotación sexual comercial infantil (uno financiado por SENAME y otro por IPEC).  Esta acción tiene como objetivo reparar el daño físico y psicológico producido por la explotación sexual a que han sido sometidos los niños y niñas.</w:t>
      </w:r>
    </w:p>
    <w:p w:rsidR="00000000" w:rsidRDefault="00000000">
      <w:pPr>
        <w:spacing w:after="240"/>
        <w:rPr>
          <w:bCs/>
          <w:noProof/>
          <w:szCs w:val="22"/>
        </w:rPr>
      </w:pPr>
      <w:r>
        <w:rPr>
          <w:bCs/>
          <w:noProof/>
          <w:color w:val="000000"/>
          <w:szCs w:val="22"/>
        </w:rPr>
        <w:t>-</w:t>
      </w:r>
      <w:r>
        <w:rPr>
          <w:bCs/>
          <w:noProof/>
          <w:color w:val="000000"/>
          <w:szCs w:val="22"/>
        </w:rPr>
        <w:tab/>
        <w:t xml:space="preserve">Considerando la gravedad de las consecuencias que genera en el niño o niña el ser víctima de explotación sexual y contando con un diagnóstico actualizado de la problemática en el ámbito nacional, se sumaron a los anteriores, durante el año 2004, seis proyectos más, con una inversión total, por parte del SENAME de alrededor </w:t>
      </w:r>
      <w:r>
        <w:rPr>
          <w:bCs/>
          <w:noProof/>
          <w:szCs w:val="22"/>
        </w:rPr>
        <w:t>de 1.044.123 dólares de los Estados Unidos.</w:t>
      </w:r>
    </w:p>
    <w:p w:rsidR="00000000" w:rsidRDefault="00000000">
      <w:pPr>
        <w:widowControl w:val="0"/>
        <w:spacing w:after="240"/>
        <w:rPr>
          <w:b/>
          <w:noProof/>
          <w:color w:val="000000"/>
          <w:szCs w:val="22"/>
        </w:rPr>
      </w:pPr>
      <w:r>
        <w:rPr>
          <w:b/>
          <w:noProof/>
          <w:color w:val="000000"/>
          <w:szCs w:val="22"/>
        </w:rPr>
        <w:t>5.</w:t>
      </w:r>
      <w:r>
        <w:rPr>
          <w:b/>
          <w:noProof/>
          <w:color w:val="000000"/>
          <w:szCs w:val="22"/>
        </w:rPr>
        <w:tab/>
        <w:t>Otras formas de explotación</w:t>
      </w:r>
    </w:p>
    <w:p w:rsidR="00000000" w:rsidRDefault="00000000">
      <w:pPr>
        <w:widowControl w:val="0"/>
        <w:spacing w:after="240"/>
        <w:rPr>
          <w:bCs/>
          <w:noProof/>
          <w:color w:val="000000"/>
          <w:szCs w:val="22"/>
        </w:rPr>
      </w:pPr>
      <w:r>
        <w:rPr>
          <w:b/>
          <w:noProof/>
          <w:color w:val="000000"/>
          <w:szCs w:val="22"/>
        </w:rPr>
        <w:t>Párrafo 163.  Informes periódicos - CRC/C/58</w:t>
      </w:r>
    </w:p>
    <w:p w:rsidR="00000000" w:rsidRDefault="00000000">
      <w:pPr>
        <w:widowControl w:val="0"/>
        <w:spacing w:after="240"/>
        <w:rPr>
          <w:bCs/>
          <w:noProof/>
          <w:color w:val="000000"/>
          <w:szCs w:val="22"/>
        </w:rPr>
      </w:pPr>
      <w:r>
        <w:rPr>
          <w:bCs/>
          <w:noProof/>
          <w:color w:val="000000"/>
          <w:szCs w:val="22"/>
        </w:rPr>
        <w:t>281.</w:t>
      </w:r>
      <w:r>
        <w:rPr>
          <w:bCs/>
          <w:noProof/>
          <w:color w:val="000000"/>
          <w:szCs w:val="22"/>
        </w:rPr>
        <w:tab/>
        <w:t>El "Sistema de Registro Único de Peores Formas de Trabajo infantil", instrumento que permite identificar las formas de vulneración de derechos que afectan al bienestar y desarrollo integral de los niños y niñas, incluye la categoría "Dimensión de Trabajos Peligrosos", que corresponde a todas las actividades laborales nocivas por naturaleza o por las condiciones en que se realizan.  Al respecto ver respuesta al párrafo 88 del documento CRC/C/58, en este informe.</w:t>
      </w:r>
    </w:p>
    <w:p w:rsidR="00000000" w:rsidRDefault="00000000">
      <w:pPr>
        <w:keepNext/>
        <w:widowControl w:val="0"/>
        <w:spacing w:after="240"/>
        <w:jc w:val="center"/>
        <w:rPr>
          <w:bCs/>
          <w:noProof/>
          <w:color w:val="000000"/>
          <w:szCs w:val="22"/>
        </w:rPr>
      </w:pPr>
      <w:r>
        <w:rPr>
          <w:b/>
          <w:noProof/>
          <w:color w:val="000000"/>
          <w:szCs w:val="22"/>
        </w:rPr>
        <w:t>D.  Los niños pertenecientes a minorías o a grupos indígenas</w:t>
      </w:r>
    </w:p>
    <w:p w:rsidR="00000000" w:rsidRDefault="00000000">
      <w:pPr>
        <w:keepNext/>
        <w:widowControl w:val="0"/>
        <w:spacing w:after="240"/>
        <w:rPr>
          <w:b/>
          <w:iCs/>
          <w:noProof/>
          <w:color w:val="000000"/>
          <w:szCs w:val="22"/>
        </w:rPr>
      </w:pPr>
      <w:r>
        <w:rPr>
          <w:b/>
          <w:iCs/>
          <w:noProof/>
          <w:color w:val="000000"/>
          <w:szCs w:val="22"/>
        </w:rPr>
        <w:t>Párrafo 165.  Informes periódicos - CRC/C/58</w:t>
      </w:r>
    </w:p>
    <w:p w:rsidR="00000000" w:rsidRDefault="00000000">
      <w:pPr>
        <w:widowControl w:val="0"/>
        <w:spacing w:after="240"/>
        <w:rPr>
          <w:bCs/>
          <w:noProof/>
          <w:color w:val="000000"/>
          <w:szCs w:val="22"/>
        </w:rPr>
      </w:pPr>
      <w:r>
        <w:rPr>
          <w:bCs/>
          <w:noProof/>
          <w:color w:val="000000"/>
          <w:szCs w:val="22"/>
        </w:rPr>
        <w:t>282.</w:t>
      </w:r>
      <w:r>
        <w:rPr>
          <w:bCs/>
          <w:noProof/>
          <w:color w:val="000000"/>
          <w:szCs w:val="22"/>
        </w:rPr>
        <w:tab/>
        <w:t>Al respecto remítase a la respuesta al párrafo 27 y 106 del documento CRC/C/58 en el presente informe.</w:t>
      </w:r>
    </w:p>
    <w:p w:rsidR="00000000" w:rsidRDefault="00000000">
      <w:pPr>
        <w:widowControl w:val="0"/>
        <w:spacing w:after="360"/>
        <w:jc w:val="center"/>
        <w:rPr>
          <w:b/>
          <w:noProof/>
          <w:color w:val="000000"/>
          <w:szCs w:val="22"/>
        </w:rPr>
      </w:pPr>
      <w:r>
        <w:rPr>
          <w:bCs/>
          <w:noProof/>
          <w:color w:val="000000"/>
          <w:szCs w:val="22"/>
        </w:rPr>
        <w:br w:type="page"/>
      </w:r>
      <w:r>
        <w:rPr>
          <w:b/>
          <w:noProof/>
          <w:color w:val="000000"/>
          <w:szCs w:val="22"/>
        </w:rPr>
        <w:t>Anexo</w:t>
      </w:r>
    </w:p>
    <w:p w:rsidR="00000000" w:rsidRDefault="00000000">
      <w:pPr>
        <w:widowControl w:val="0"/>
        <w:spacing w:after="240"/>
        <w:ind w:left="-4" w:firstLine="4"/>
        <w:jc w:val="center"/>
        <w:rPr>
          <w:b/>
          <w:szCs w:val="22"/>
        </w:rPr>
      </w:pPr>
      <w:r>
        <w:rPr>
          <w:b/>
          <w:szCs w:val="22"/>
        </w:rPr>
        <w:t>ABREVIATURAS Y SIGLAS</w:t>
      </w:r>
    </w:p>
    <w:tbl>
      <w:tblPr>
        <w:tblW w:w="4963" w:type="pct"/>
        <w:tblInd w:w="70" w:type="dxa"/>
        <w:tblCellMar>
          <w:left w:w="70" w:type="dxa"/>
          <w:right w:w="70" w:type="dxa"/>
        </w:tblCellMar>
        <w:tblLook w:val="0000" w:firstRow="0" w:lastRow="0" w:firstColumn="0" w:lastColumn="0" w:noHBand="0" w:noVBand="0"/>
      </w:tblPr>
      <w:tblGrid>
        <w:gridCol w:w="7199"/>
        <w:gridCol w:w="2226"/>
      </w:tblGrid>
      <w:tr w:rsidR="00000000">
        <w:tblPrEx>
          <w:tblCellMar>
            <w:top w:w="0" w:type="dxa"/>
            <w:bottom w:w="0" w:type="dxa"/>
          </w:tblCellMar>
        </w:tblPrEx>
        <w:tc>
          <w:tcPr>
            <w:tcW w:w="3819" w:type="pct"/>
          </w:tcPr>
          <w:p w:rsidR="00000000" w:rsidRDefault="00000000">
            <w:pPr>
              <w:spacing w:after="240"/>
              <w:rPr>
                <w:bCs/>
              </w:rPr>
            </w:pPr>
            <w:r>
              <w:rPr>
                <w:bCs/>
              </w:rPr>
              <w:t>Acceso Universal a acciones de salud con Garantías Explícitas</w:t>
            </w:r>
          </w:p>
        </w:tc>
        <w:tc>
          <w:tcPr>
            <w:tcW w:w="1181" w:type="pct"/>
          </w:tcPr>
          <w:p w:rsidR="00000000" w:rsidRDefault="00000000">
            <w:pPr>
              <w:spacing w:after="240"/>
              <w:rPr>
                <w:bCs/>
              </w:rPr>
            </w:pPr>
            <w:r>
              <w:rPr>
                <w:bCs/>
              </w:rPr>
              <w:t>AUGE</w:t>
            </w:r>
          </w:p>
        </w:tc>
      </w:tr>
      <w:tr w:rsidR="00000000">
        <w:tblPrEx>
          <w:tblCellMar>
            <w:top w:w="0" w:type="dxa"/>
            <w:bottom w:w="0" w:type="dxa"/>
          </w:tblCellMar>
        </w:tblPrEx>
        <w:tc>
          <w:tcPr>
            <w:tcW w:w="3819" w:type="pct"/>
          </w:tcPr>
          <w:p w:rsidR="00000000" w:rsidRDefault="00000000">
            <w:pPr>
              <w:spacing w:after="240"/>
              <w:rPr>
                <w:bCs/>
              </w:rPr>
            </w:pPr>
            <w:r>
              <w:rPr>
                <w:bCs/>
              </w:rPr>
              <w:t xml:space="preserve">Banco Interamericano de Desarrollo </w:t>
            </w:r>
          </w:p>
        </w:tc>
        <w:tc>
          <w:tcPr>
            <w:tcW w:w="1181" w:type="pct"/>
          </w:tcPr>
          <w:p w:rsidR="00000000" w:rsidRDefault="00000000">
            <w:pPr>
              <w:spacing w:after="240"/>
              <w:rPr>
                <w:bCs/>
              </w:rPr>
            </w:pPr>
            <w:r>
              <w:rPr>
                <w:bCs/>
              </w:rPr>
              <w:t>BID</w:t>
            </w:r>
          </w:p>
        </w:tc>
      </w:tr>
      <w:tr w:rsidR="00000000">
        <w:tblPrEx>
          <w:tblCellMar>
            <w:top w:w="0" w:type="dxa"/>
            <w:bottom w:w="0" w:type="dxa"/>
          </w:tblCellMar>
        </w:tblPrEx>
        <w:tc>
          <w:tcPr>
            <w:tcW w:w="3819" w:type="pct"/>
          </w:tcPr>
          <w:p w:rsidR="00000000" w:rsidRDefault="00000000">
            <w:pPr>
              <w:spacing w:after="240"/>
              <w:rPr>
                <w:bCs/>
              </w:rPr>
            </w:pPr>
            <w:r>
              <w:rPr>
                <w:bCs/>
              </w:rPr>
              <w:t>Campaña de Lectura, Escritura y Matemáticas</w:t>
            </w:r>
          </w:p>
        </w:tc>
        <w:tc>
          <w:tcPr>
            <w:tcW w:w="1181" w:type="pct"/>
          </w:tcPr>
          <w:p w:rsidR="00000000" w:rsidRDefault="00000000">
            <w:pPr>
              <w:spacing w:after="240"/>
              <w:rPr>
                <w:bCs/>
              </w:rPr>
            </w:pPr>
            <w:r>
              <w:rPr>
                <w:bCs/>
              </w:rPr>
              <w:t>Campaña LEM</w:t>
            </w:r>
          </w:p>
        </w:tc>
      </w:tr>
      <w:tr w:rsidR="00000000">
        <w:tblPrEx>
          <w:tblCellMar>
            <w:top w:w="0" w:type="dxa"/>
            <w:bottom w:w="0" w:type="dxa"/>
          </w:tblCellMar>
        </w:tblPrEx>
        <w:tc>
          <w:tcPr>
            <w:tcW w:w="3819" w:type="pct"/>
          </w:tcPr>
          <w:p w:rsidR="00000000" w:rsidRDefault="00000000">
            <w:pPr>
              <w:spacing w:after="240"/>
              <w:rPr>
                <w:bCs/>
              </w:rPr>
            </w:pPr>
            <w:r>
              <w:rPr>
                <w:bCs/>
              </w:rPr>
              <w:t>Centro de Asistencia a Víctimas de Atentados Sexuales</w:t>
            </w:r>
          </w:p>
        </w:tc>
        <w:tc>
          <w:tcPr>
            <w:tcW w:w="1181" w:type="pct"/>
          </w:tcPr>
          <w:p w:rsidR="00000000" w:rsidRDefault="00000000">
            <w:pPr>
              <w:spacing w:after="240"/>
              <w:rPr>
                <w:bCs/>
              </w:rPr>
            </w:pPr>
            <w:r>
              <w:rPr>
                <w:bCs/>
              </w:rPr>
              <w:t>CAVAS</w:t>
            </w:r>
          </w:p>
        </w:tc>
      </w:tr>
      <w:tr w:rsidR="00000000">
        <w:tblPrEx>
          <w:tblCellMar>
            <w:top w:w="0" w:type="dxa"/>
            <w:bottom w:w="0" w:type="dxa"/>
          </w:tblCellMar>
        </w:tblPrEx>
        <w:tc>
          <w:tcPr>
            <w:tcW w:w="3819" w:type="pct"/>
          </w:tcPr>
          <w:p w:rsidR="00000000" w:rsidRDefault="00000000">
            <w:pPr>
              <w:spacing w:after="240"/>
              <w:rPr>
                <w:bCs/>
              </w:rPr>
            </w:pPr>
            <w:r>
              <w:rPr>
                <w:bCs/>
              </w:rPr>
              <w:t>Centro de Observación y Diagnóstico</w:t>
            </w:r>
          </w:p>
        </w:tc>
        <w:tc>
          <w:tcPr>
            <w:tcW w:w="1181" w:type="pct"/>
          </w:tcPr>
          <w:p w:rsidR="00000000" w:rsidRDefault="00000000">
            <w:pPr>
              <w:spacing w:after="240"/>
              <w:rPr>
                <w:bCs/>
              </w:rPr>
            </w:pPr>
            <w:r>
              <w:rPr>
                <w:bCs/>
              </w:rPr>
              <w:t>COD</w:t>
            </w:r>
          </w:p>
        </w:tc>
      </w:tr>
      <w:tr w:rsidR="00000000">
        <w:tblPrEx>
          <w:tblCellMar>
            <w:top w:w="0" w:type="dxa"/>
            <w:bottom w:w="0" w:type="dxa"/>
          </w:tblCellMar>
        </w:tblPrEx>
        <w:tc>
          <w:tcPr>
            <w:tcW w:w="3819" w:type="pct"/>
          </w:tcPr>
          <w:p w:rsidR="00000000" w:rsidRDefault="00000000">
            <w:pPr>
              <w:spacing w:after="240"/>
              <w:rPr>
                <w:bCs/>
              </w:rPr>
            </w:pPr>
            <w:r>
              <w:rPr>
                <w:bCs/>
              </w:rPr>
              <w:t>Centro de Salud Mental Familiar</w:t>
            </w:r>
          </w:p>
        </w:tc>
        <w:tc>
          <w:tcPr>
            <w:tcW w:w="1181" w:type="pct"/>
          </w:tcPr>
          <w:p w:rsidR="00000000" w:rsidRDefault="00000000">
            <w:pPr>
              <w:spacing w:after="240"/>
              <w:rPr>
                <w:bCs/>
              </w:rPr>
            </w:pPr>
            <w:r>
              <w:rPr>
                <w:bCs/>
              </w:rPr>
              <w:t>COSAM</w:t>
            </w:r>
          </w:p>
        </w:tc>
      </w:tr>
      <w:tr w:rsidR="00000000">
        <w:tblPrEx>
          <w:tblCellMar>
            <w:top w:w="0" w:type="dxa"/>
            <w:bottom w:w="0" w:type="dxa"/>
          </w:tblCellMar>
        </w:tblPrEx>
        <w:tc>
          <w:tcPr>
            <w:tcW w:w="3819" w:type="pct"/>
          </w:tcPr>
          <w:p w:rsidR="00000000" w:rsidRDefault="00000000">
            <w:pPr>
              <w:spacing w:after="240"/>
              <w:rPr>
                <w:bCs/>
              </w:rPr>
            </w:pPr>
            <w:r>
              <w:rPr>
                <w:bCs/>
              </w:rPr>
              <w:t>Centros Infanto Juveniles</w:t>
            </w:r>
          </w:p>
        </w:tc>
        <w:tc>
          <w:tcPr>
            <w:tcW w:w="1181" w:type="pct"/>
          </w:tcPr>
          <w:p w:rsidR="00000000" w:rsidRDefault="00000000">
            <w:pPr>
              <w:spacing w:after="240"/>
              <w:rPr>
                <w:bCs/>
              </w:rPr>
            </w:pPr>
            <w:r>
              <w:rPr>
                <w:bCs/>
              </w:rPr>
              <w:t>CIJ</w:t>
            </w:r>
          </w:p>
        </w:tc>
      </w:tr>
      <w:tr w:rsidR="00000000">
        <w:tblPrEx>
          <w:tblCellMar>
            <w:top w:w="0" w:type="dxa"/>
            <w:bottom w:w="0" w:type="dxa"/>
          </w:tblCellMar>
        </w:tblPrEx>
        <w:tc>
          <w:tcPr>
            <w:tcW w:w="3819" w:type="pct"/>
          </w:tcPr>
          <w:p w:rsidR="00000000" w:rsidRDefault="00000000">
            <w:pPr>
              <w:spacing w:after="240"/>
              <w:rPr>
                <w:bCs/>
              </w:rPr>
            </w:pPr>
            <w:r>
              <w:rPr>
                <w:bCs/>
              </w:rPr>
              <w:t>Centros de Rehabilitación Conductual</w:t>
            </w:r>
          </w:p>
        </w:tc>
        <w:tc>
          <w:tcPr>
            <w:tcW w:w="1181" w:type="pct"/>
          </w:tcPr>
          <w:p w:rsidR="00000000" w:rsidRDefault="00000000">
            <w:pPr>
              <w:spacing w:after="240"/>
              <w:rPr>
                <w:bCs/>
              </w:rPr>
            </w:pPr>
            <w:r>
              <w:rPr>
                <w:bCs/>
              </w:rPr>
              <w:t>CERECO</w:t>
            </w:r>
          </w:p>
        </w:tc>
      </w:tr>
      <w:tr w:rsidR="00000000">
        <w:tblPrEx>
          <w:tblCellMar>
            <w:top w:w="0" w:type="dxa"/>
            <w:bottom w:w="0" w:type="dxa"/>
          </w:tblCellMar>
        </w:tblPrEx>
        <w:tc>
          <w:tcPr>
            <w:tcW w:w="3819" w:type="pct"/>
          </w:tcPr>
          <w:p w:rsidR="00000000" w:rsidRDefault="00000000">
            <w:pPr>
              <w:spacing w:after="240"/>
              <w:rPr>
                <w:bCs/>
              </w:rPr>
            </w:pPr>
            <w:r>
              <w:rPr>
                <w:bCs/>
              </w:rPr>
              <w:t>Centros de Tránsito y Distribución</w:t>
            </w:r>
          </w:p>
        </w:tc>
        <w:tc>
          <w:tcPr>
            <w:tcW w:w="1181" w:type="pct"/>
          </w:tcPr>
          <w:p w:rsidR="00000000" w:rsidRDefault="00000000">
            <w:pPr>
              <w:spacing w:after="240"/>
              <w:rPr>
                <w:bCs/>
              </w:rPr>
            </w:pPr>
            <w:r>
              <w:rPr>
                <w:bCs/>
              </w:rPr>
              <w:t>CTD</w:t>
            </w:r>
          </w:p>
        </w:tc>
      </w:tr>
      <w:tr w:rsidR="00000000">
        <w:tblPrEx>
          <w:tblCellMar>
            <w:top w:w="0" w:type="dxa"/>
            <w:bottom w:w="0" w:type="dxa"/>
          </w:tblCellMar>
        </w:tblPrEx>
        <w:tc>
          <w:tcPr>
            <w:tcW w:w="3819" w:type="pct"/>
          </w:tcPr>
          <w:p w:rsidR="00000000" w:rsidRDefault="00000000">
            <w:pPr>
              <w:spacing w:after="240"/>
              <w:rPr>
                <w:bCs/>
              </w:rPr>
            </w:pPr>
            <w:r>
              <w:rPr>
                <w:bCs/>
              </w:rPr>
              <w:t xml:space="preserve">Código Procesal Penal </w:t>
            </w:r>
          </w:p>
        </w:tc>
        <w:tc>
          <w:tcPr>
            <w:tcW w:w="1181" w:type="pct"/>
          </w:tcPr>
          <w:p w:rsidR="00000000" w:rsidRDefault="00000000">
            <w:pPr>
              <w:spacing w:after="240"/>
              <w:rPr>
                <w:bCs/>
              </w:rPr>
            </w:pPr>
            <w:r>
              <w:rPr>
                <w:bCs/>
              </w:rPr>
              <w:t>CPP</w:t>
            </w:r>
          </w:p>
        </w:tc>
      </w:tr>
      <w:tr w:rsidR="00000000">
        <w:tblPrEx>
          <w:tblCellMar>
            <w:top w:w="0" w:type="dxa"/>
            <w:bottom w:w="0" w:type="dxa"/>
          </w:tblCellMar>
        </w:tblPrEx>
        <w:tc>
          <w:tcPr>
            <w:tcW w:w="3819" w:type="pct"/>
          </w:tcPr>
          <w:p w:rsidR="00000000" w:rsidRDefault="00000000">
            <w:pPr>
              <w:spacing w:after="240"/>
              <w:rPr>
                <w:bCs/>
              </w:rPr>
            </w:pPr>
            <w:r>
              <w:rPr>
                <w:bCs/>
              </w:rPr>
              <w:t xml:space="preserve">Comisión Nacional del SIDA </w:t>
            </w:r>
          </w:p>
        </w:tc>
        <w:tc>
          <w:tcPr>
            <w:tcW w:w="1181" w:type="pct"/>
          </w:tcPr>
          <w:p w:rsidR="00000000" w:rsidRDefault="00000000">
            <w:pPr>
              <w:spacing w:after="240"/>
              <w:rPr>
                <w:bCs/>
              </w:rPr>
            </w:pPr>
            <w:r>
              <w:rPr>
                <w:bCs/>
              </w:rPr>
              <w:t>CONASIDA</w:t>
            </w:r>
          </w:p>
        </w:tc>
      </w:tr>
      <w:tr w:rsidR="00000000">
        <w:tblPrEx>
          <w:tblCellMar>
            <w:top w:w="0" w:type="dxa"/>
            <w:bottom w:w="0" w:type="dxa"/>
          </w:tblCellMar>
        </w:tblPrEx>
        <w:tc>
          <w:tcPr>
            <w:tcW w:w="3819" w:type="pct"/>
          </w:tcPr>
          <w:p w:rsidR="00000000" w:rsidRDefault="00000000">
            <w:pPr>
              <w:spacing w:after="240"/>
              <w:rPr>
                <w:bCs/>
              </w:rPr>
            </w:pPr>
            <w:r>
              <w:rPr>
                <w:bCs/>
              </w:rPr>
              <w:t>Convención por los Derechos del Niño</w:t>
            </w:r>
          </w:p>
        </w:tc>
        <w:tc>
          <w:tcPr>
            <w:tcW w:w="1181" w:type="pct"/>
          </w:tcPr>
          <w:p w:rsidR="00000000" w:rsidRDefault="00000000">
            <w:pPr>
              <w:spacing w:after="240"/>
              <w:rPr>
                <w:bCs/>
              </w:rPr>
            </w:pPr>
            <w:r>
              <w:rPr>
                <w:bCs/>
              </w:rPr>
              <w:t>CDN</w:t>
            </w:r>
          </w:p>
        </w:tc>
      </w:tr>
      <w:tr w:rsidR="00000000">
        <w:tblPrEx>
          <w:tblCellMar>
            <w:top w:w="0" w:type="dxa"/>
            <w:bottom w:w="0" w:type="dxa"/>
          </w:tblCellMar>
        </w:tblPrEx>
        <w:tc>
          <w:tcPr>
            <w:tcW w:w="3819" w:type="pct"/>
          </w:tcPr>
          <w:p w:rsidR="00000000" w:rsidRDefault="00000000">
            <w:pPr>
              <w:spacing w:after="240"/>
              <w:rPr>
                <w:bCs/>
              </w:rPr>
            </w:pPr>
            <w:r>
              <w:rPr>
                <w:bCs/>
              </w:rPr>
              <w:t xml:space="preserve">Corporación de Desarrollo Indígena </w:t>
            </w:r>
          </w:p>
        </w:tc>
        <w:tc>
          <w:tcPr>
            <w:tcW w:w="1181" w:type="pct"/>
          </w:tcPr>
          <w:p w:rsidR="00000000" w:rsidRDefault="00000000">
            <w:pPr>
              <w:spacing w:after="240"/>
              <w:rPr>
                <w:bCs/>
              </w:rPr>
            </w:pPr>
            <w:r>
              <w:rPr>
                <w:bCs/>
              </w:rPr>
              <w:t>CONADI</w:t>
            </w:r>
          </w:p>
        </w:tc>
      </w:tr>
      <w:tr w:rsidR="00000000">
        <w:tblPrEx>
          <w:tblCellMar>
            <w:top w:w="0" w:type="dxa"/>
            <w:bottom w:w="0" w:type="dxa"/>
          </w:tblCellMar>
        </w:tblPrEx>
        <w:tc>
          <w:tcPr>
            <w:tcW w:w="3819" w:type="pct"/>
          </w:tcPr>
          <w:p w:rsidR="00000000" w:rsidRDefault="00000000">
            <w:pPr>
              <w:spacing w:after="240"/>
              <w:rPr>
                <w:bCs/>
              </w:rPr>
            </w:pPr>
            <w:r>
              <w:rPr>
                <w:bCs/>
              </w:rPr>
              <w:t xml:space="preserve">Corporación Nacional de Control de Estupefacientes </w:t>
            </w:r>
          </w:p>
        </w:tc>
        <w:tc>
          <w:tcPr>
            <w:tcW w:w="1181" w:type="pct"/>
          </w:tcPr>
          <w:p w:rsidR="00000000" w:rsidRDefault="00000000">
            <w:pPr>
              <w:spacing w:after="240"/>
              <w:rPr>
                <w:bCs/>
              </w:rPr>
            </w:pPr>
            <w:r>
              <w:rPr>
                <w:bCs/>
              </w:rPr>
              <w:t>CONACE</w:t>
            </w:r>
          </w:p>
        </w:tc>
      </w:tr>
      <w:tr w:rsidR="00000000">
        <w:tblPrEx>
          <w:tblCellMar>
            <w:top w:w="0" w:type="dxa"/>
            <w:bottom w:w="0" w:type="dxa"/>
          </w:tblCellMar>
        </w:tblPrEx>
        <w:tc>
          <w:tcPr>
            <w:tcW w:w="3819" w:type="pct"/>
          </w:tcPr>
          <w:p w:rsidR="00000000" w:rsidRDefault="00000000">
            <w:pPr>
              <w:spacing w:after="240"/>
              <w:rPr>
                <w:bCs/>
              </w:rPr>
            </w:pPr>
            <w:r>
              <w:rPr>
                <w:bCs/>
              </w:rPr>
              <w:t xml:space="preserve">Dirección de Bibliotecas, Archivos y Museos </w:t>
            </w:r>
          </w:p>
        </w:tc>
        <w:tc>
          <w:tcPr>
            <w:tcW w:w="1181" w:type="pct"/>
          </w:tcPr>
          <w:p w:rsidR="00000000" w:rsidRDefault="00000000">
            <w:pPr>
              <w:spacing w:after="240"/>
              <w:rPr>
                <w:bCs/>
              </w:rPr>
            </w:pPr>
            <w:r>
              <w:rPr>
                <w:bCs/>
              </w:rPr>
              <w:t>DIBAM</w:t>
            </w:r>
          </w:p>
        </w:tc>
      </w:tr>
      <w:tr w:rsidR="00000000">
        <w:tblPrEx>
          <w:tblCellMar>
            <w:top w:w="0" w:type="dxa"/>
            <w:bottom w:w="0" w:type="dxa"/>
          </w:tblCellMar>
        </w:tblPrEx>
        <w:tc>
          <w:tcPr>
            <w:tcW w:w="3819" w:type="pct"/>
          </w:tcPr>
          <w:p w:rsidR="00000000" w:rsidRDefault="00000000">
            <w:pPr>
              <w:spacing w:after="240"/>
              <w:rPr>
                <w:bCs/>
              </w:rPr>
            </w:pPr>
            <w:r>
              <w:rPr>
                <w:bCs/>
              </w:rPr>
              <w:t>Educación Intercultural Bilingüe</w:t>
            </w:r>
          </w:p>
        </w:tc>
        <w:tc>
          <w:tcPr>
            <w:tcW w:w="1181" w:type="pct"/>
          </w:tcPr>
          <w:p w:rsidR="00000000" w:rsidRDefault="00000000">
            <w:pPr>
              <w:spacing w:after="240"/>
              <w:rPr>
                <w:bCs/>
              </w:rPr>
            </w:pPr>
            <w:r>
              <w:rPr>
                <w:bCs/>
              </w:rPr>
              <w:t>EIB</w:t>
            </w:r>
          </w:p>
        </w:tc>
      </w:tr>
      <w:tr w:rsidR="00000000">
        <w:tblPrEx>
          <w:tblCellMar>
            <w:top w:w="0" w:type="dxa"/>
            <w:bottom w:w="0" w:type="dxa"/>
          </w:tblCellMar>
        </w:tblPrEx>
        <w:tc>
          <w:tcPr>
            <w:tcW w:w="3819" w:type="pct"/>
          </w:tcPr>
          <w:p w:rsidR="00000000" w:rsidRDefault="00000000">
            <w:pPr>
              <w:spacing w:after="240"/>
              <w:rPr>
                <w:bCs/>
              </w:rPr>
            </w:pPr>
            <w:r>
              <w:rPr>
                <w:bCs/>
              </w:rPr>
              <w:t>Encuesta de Caracterización Socioeconómica Nacional</w:t>
            </w:r>
          </w:p>
        </w:tc>
        <w:tc>
          <w:tcPr>
            <w:tcW w:w="1181" w:type="pct"/>
          </w:tcPr>
          <w:p w:rsidR="00000000" w:rsidRDefault="00000000">
            <w:pPr>
              <w:spacing w:after="240"/>
              <w:rPr>
                <w:bCs/>
              </w:rPr>
            </w:pPr>
            <w:r>
              <w:rPr>
                <w:bCs/>
              </w:rPr>
              <w:t>CASEN</w:t>
            </w:r>
          </w:p>
        </w:tc>
      </w:tr>
      <w:tr w:rsidR="00000000">
        <w:tblPrEx>
          <w:tblCellMar>
            <w:top w:w="0" w:type="dxa"/>
            <w:bottom w:w="0" w:type="dxa"/>
          </w:tblCellMar>
        </w:tblPrEx>
        <w:tc>
          <w:tcPr>
            <w:tcW w:w="3819" w:type="pct"/>
          </w:tcPr>
          <w:p w:rsidR="00000000" w:rsidRDefault="00000000">
            <w:pPr>
              <w:spacing w:after="240"/>
              <w:rPr>
                <w:bCs/>
              </w:rPr>
            </w:pPr>
            <w:r>
              <w:rPr>
                <w:bCs/>
              </w:rPr>
              <w:t>Enfermedades de Transmisión Sexual</w:t>
            </w:r>
          </w:p>
        </w:tc>
        <w:tc>
          <w:tcPr>
            <w:tcW w:w="1181" w:type="pct"/>
          </w:tcPr>
          <w:p w:rsidR="00000000" w:rsidRDefault="00000000">
            <w:pPr>
              <w:spacing w:after="240"/>
              <w:rPr>
                <w:bCs/>
              </w:rPr>
            </w:pPr>
            <w:r>
              <w:rPr>
                <w:bCs/>
              </w:rPr>
              <w:t>ETS</w:t>
            </w:r>
          </w:p>
        </w:tc>
      </w:tr>
      <w:tr w:rsidR="00000000">
        <w:tblPrEx>
          <w:tblCellMar>
            <w:top w:w="0" w:type="dxa"/>
            <w:bottom w:w="0" w:type="dxa"/>
          </w:tblCellMar>
        </w:tblPrEx>
        <w:tc>
          <w:tcPr>
            <w:tcW w:w="3819" w:type="pct"/>
          </w:tcPr>
          <w:p w:rsidR="00000000" w:rsidRDefault="00000000">
            <w:pPr>
              <w:spacing w:after="240"/>
              <w:rPr>
                <w:bCs/>
              </w:rPr>
            </w:pPr>
            <w:r>
              <w:rPr>
                <w:bCs/>
              </w:rPr>
              <w:t xml:space="preserve">Fondo de Solidaridad e Inversión Social </w:t>
            </w:r>
          </w:p>
        </w:tc>
        <w:tc>
          <w:tcPr>
            <w:tcW w:w="1181" w:type="pct"/>
          </w:tcPr>
          <w:p w:rsidR="00000000" w:rsidRDefault="00000000">
            <w:pPr>
              <w:spacing w:after="240"/>
              <w:rPr>
                <w:bCs/>
              </w:rPr>
            </w:pPr>
            <w:r>
              <w:rPr>
                <w:bCs/>
              </w:rPr>
              <w:t>FOSIS</w:t>
            </w:r>
          </w:p>
        </w:tc>
      </w:tr>
      <w:tr w:rsidR="00000000">
        <w:tblPrEx>
          <w:tblCellMar>
            <w:top w:w="0" w:type="dxa"/>
            <w:bottom w:w="0" w:type="dxa"/>
          </w:tblCellMar>
        </w:tblPrEx>
        <w:tc>
          <w:tcPr>
            <w:tcW w:w="3819" w:type="pct"/>
          </w:tcPr>
          <w:p w:rsidR="00000000" w:rsidRDefault="00000000">
            <w:pPr>
              <w:spacing w:after="240"/>
              <w:rPr>
                <w:bCs/>
              </w:rPr>
            </w:pPr>
            <w:r>
              <w:rPr>
                <w:bCs/>
              </w:rPr>
              <w:t>Fondo Nacional de la Discapacidad</w:t>
            </w:r>
          </w:p>
        </w:tc>
        <w:tc>
          <w:tcPr>
            <w:tcW w:w="1181" w:type="pct"/>
          </w:tcPr>
          <w:p w:rsidR="00000000" w:rsidRDefault="00000000">
            <w:pPr>
              <w:spacing w:after="240"/>
              <w:rPr>
                <w:bCs/>
              </w:rPr>
            </w:pPr>
            <w:r>
              <w:rPr>
                <w:bCs/>
              </w:rPr>
              <w:t>FONADIS</w:t>
            </w:r>
          </w:p>
        </w:tc>
      </w:tr>
      <w:tr w:rsidR="00000000">
        <w:tblPrEx>
          <w:tblCellMar>
            <w:top w:w="0" w:type="dxa"/>
            <w:bottom w:w="0" w:type="dxa"/>
          </w:tblCellMar>
        </w:tblPrEx>
        <w:tc>
          <w:tcPr>
            <w:tcW w:w="3819" w:type="pct"/>
          </w:tcPr>
          <w:p w:rsidR="00000000" w:rsidRDefault="00000000">
            <w:pPr>
              <w:spacing w:after="240"/>
              <w:rPr>
                <w:bCs/>
              </w:rPr>
            </w:pPr>
            <w:r>
              <w:rPr>
                <w:bCs/>
              </w:rPr>
              <w:t xml:space="preserve">Infecciones Respiratorias Agudas </w:t>
            </w:r>
          </w:p>
        </w:tc>
        <w:tc>
          <w:tcPr>
            <w:tcW w:w="1181" w:type="pct"/>
          </w:tcPr>
          <w:p w:rsidR="00000000" w:rsidRDefault="00000000">
            <w:pPr>
              <w:spacing w:after="240"/>
              <w:rPr>
                <w:bCs/>
              </w:rPr>
            </w:pPr>
            <w:r>
              <w:rPr>
                <w:bCs/>
              </w:rPr>
              <w:t>IRA</w:t>
            </w:r>
          </w:p>
        </w:tc>
      </w:tr>
      <w:tr w:rsidR="00000000">
        <w:tblPrEx>
          <w:tblCellMar>
            <w:top w:w="0" w:type="dxa"/>
            <w:bottom w:w="0" w:type="dxa"/>
          </w:tblCellMar>
        </w:tblPrEx>
        <w:tc>
          <w:tcPr>
            <w:tcW w:w="3819" w:type="pct"/>
          </w:tcPr>
          <w:p w:rsidR="00000000" w:rsidRDefault="00000000">
            <w:pPr>
              <w:spacing w:after="240"/>
              <w:rPr>
                <w:bCs/>
              </w:rPr>
            </w:pPr>
            <w:r>
              <w:rPr>
                <w:bCs/>
              </w:rPr>
              <w:t>Jornadas de Conversación de Afectividad y Sexualidad</w:t>
            </w:r>
          </w:p>
        </w:tc>
        <w:tc>
          <w:tcPr>
            <w:tcW w:w="1181" w:type="pct"/>
          </w:tcPr>
          <w:p w:rsidR="00000000" w:rsidRDefault="00000000">
            <w:pPr>
              <w:spacing w:after="240"/>
              <w:rPr>
                <w:bCs/>
              </w:rPr>
            </w:pPr>
            <w:r>
              <w:rPr>
                <w:bCs/>
              </w:rPr>
              <w:t>JOCAS</w:t>
            </w:r>
          </w:p>
        </w:tc>
      </w:tr>
      <w:tr w:rsidR="00000000">
        <w:tblPrEx>
          <w:tblCellMar>
            <w:top w:w="0" w:type="dxa"/>
            <w:bottom w:w="0" w:type="dxa"/>
          </w:tblCellMar>
        </w:tblPrEx>
        <w:tc>
          <w:tcPr>
            <w:tcW w:w="3819" w:type="pct"/>
          </w:tcPr>
          <w:p w:rsidR="00000000" w:rsidRDefault="00000000">
            <w:pPr>
              <w:spacing w:after="240"/>
              <w:rPr>
                <w:bCs/>
              </w:rPr>
            </w:pPr>
            <w:r>
              <w:rPr>
                <w:bCs/>
              </w:rPr>
              <w:t xml:space="preserve">Jornada Escolar Completa </w:t>
            </w:r>
          </w:p>
        </w:tc>
        <w:tc>
          <w:tcPr>
            <w:tcW w:w="1181" w:type="pct"/>
          </w:tcPr>
          <w:p w:rsidR="00000000" w:rsidRDefault="00000000">
            <w:pPr>
              <w:spacing w:after="240"/>
              <w:rPr>
                <w:bCs/>
              </w:rPr>
            </w:pPr>
            <w:r>
              <w:rPr>
                <w:bCs/>
              </w:rPr>
              <w:t>JEC</w:t>
            </w:r>
          </w:p>
        </w:tc>
      </w:tr>
      <w:tr w:rsidR="00000000">
        <w:tblPrEx>
          <w:tblCellMar>
            <w:top w:w="0" w:type="dxa"/>
            <w:bottom w:w="0" w:type="dxa"/>
          </w:tblCellMar>
        </w:tblPrEx>
        <w:tc>
          <w:tcPr>
            <w:tcW w:w="3819" w:type="pct"/>
          </w:tcPr>
          <w:p w:rsidR="00000000" w:rsidRDefault="00000000">
            <w:pPr>
              <w:spacing w:after="240"/>
              <w:rPr>
                <w:bCs/>
              </w:rPr>
            </w:pPr>
            <w:r>
              <w:rPr>
                <w:bCs/>
              </w:rPr>
              <w:t>Junta Nacional de Auxilio Escolar y Becas</w:t>
            </w:r>
          </w:p>
        </w:tc>
        <w:tc>
          <w:tcPr>
            <w:tcW w:w="1181" w:type="pct"/>
          </w:tcPr>
          <w:p w:rsidR="00000000" w:rsidRDefault="00000000">
            <w:pPr>
              <w:spacing w:after="240"/>
              <w:rPr>
                <w:bCs/>
              </w:rPr>
            </w:pPr>
            <w:r>
              <w:rPr>
                <w:bCs/>
              </w:rPr>
              <w:t>JUNAEB</w:t>
            </w:r>
          </w:p>
        </w:tc>
      </w:tr>
      <w:tr w:rsidR="00000000">
        <w:tblPrEx>
          <w:tblCellMar>
            <w:top w:w="0" w:type="dxa"/>
            <w:bottom w:w="0" w:type="dxa"/>
          </w:tblCellMar>
        </w:tblPrEx>
        <w:tc>
          <w:tcPr>
            <w:tcW w:w="3819" w:type="pct"/>
          </w:tcPr>
          <w:p w:rsidR="00000000" w:rsidRDefault="00000000">
            <w:pPr>
              <w:spacing w:after="240"/>
              <w:rPr>
                <w:bCs/>
              </w:rPr>
            </w:pPr>
            <w:r>
              <w:rPr>
                <w:bCs/>
              </w:rPr>
              <w:t>Junta Nacional de Jardines Infantiles</w:t>
            </w:r>
          </w:p>
        </w:tc>
        <w:tc>
          <w:tcPr>
            <w:tcW w:w="1181" w:type="pct"/>
          </w:tcPr>
          <w:p w:rsidR="00000000" w:rsidRDefault="00000000">
            <w:pPr>
              <w:spacing w:after="240"/>
              <w:rPr>
                <w:bCs/>
              </w:rPr>
            </w:pPr>
            <w:r>
              <w:rPr>
                <w:bCs/>
              </w:rPr>
              <w:t>JUNJI</w:t>
            </w:r>
          </w:p>
        </w:tc>
      </w:tr>
      <w:tr w:rsidR="00000000">
        <w:tblPrEx>
          <w:tblCellMar>
            <w:top w:w="0" w:type="dxa"/>
            <w:bottom w:w="0" w:type="dxa"/>
          </w:tblCellMar>
        </w:tblPrEx>
        <w:tc>
          <w:tcPr>
            <w:tcW w:w="3819" w:type="pct"/>
          </w:tcPr>
          <w:p w:rsidR="00000000" w:rsidRDefault="00000000">
            <w:pPr>
              <w:spacing w:after="240"/>
              <w:rPr>
                <w:bCs/>
              </w:rPr>
            </w:pPr>
            <w:r>
              <w:rPr>
                <w:bCs/>
              </w:rPr>
              <w:t>Ley Orgánica Constitucional de Enseñanza</w:t>
            </w:r>
          </w:p>
        </w:tc>
        <w:tc>
          <w:tcPr>
            <w:tcW w:w="1181" w:type="pct"/>
          </w:tcPr>
          <w:p w:rsidR="00000000" w:rsidRDefault="00000000">
            <w:pPr>
              <w:spacing w:after="240"/>
              <w:rPr>
                <w:bCs/>
              </w:rPr>
            </w:pPr>
            <w:r>
              <w:rPr>
                <w:bCs/>
              </w:rPr>
              <w:t>LOCE</w:t>
            </w:r>
          </w:p>
        </w:tc>
      </w:tr>
      <w:tr w:rsidR="00000000">
        <w:tblPrEx>
          <w:tblCellMar>
            <w:top w:w="0" w:type="dxa"/>
            <w:bottom w:w="0" w:type="dxa"/>
          </w:tblCellMar>
        </w:tblPrEx>
        <w:tc>
          <w:tcPr>
            <w:tcW w:w="3819" w:type="pct"/>
          </w:tcPr>
          <w:p w:rsidR="00000000" w:rsidRDefault="00000000">
            <w:pPr>
              <w:spacing w:after="240"/>
              <w:rPr>
                <w:bCs/>
              </w:rPr>
            </w:pPr>
            <w:r>
              <w:rPr>
                <w:bCs/>
              </w:rPr>
              <w:t xml:space="preserve">Ministerio de Educación </w:t>
            </w:r>
          </w:p>
        </w:tc>
        <w:tc>
          <w:tcPr>
            <w:tcW w:w="1181" w:type="pct"/>
          </w:tcPr>
          <w:p w:rsidR="00000000" w:rsidRDefault="00000000">
            <w:pPr>
              <w:spacing w:after="240"/>
              <w:rPr>
                <w:bCs/>
              </w:rPr>
            </w:pPr>
            <w:r>
              <w:rPr>
                <w:bCs/>
              </w:rPr>
              <w:t xml:space="preserve">MINEDUC </w:t>
            </w:r>
          </w:p>
        </w:tc>
      </w:tr>
      <w:tr w:rsidR="00000000">
        <w:tblPrEx>
          <w:tblCellMar>
            <w:top w:w="0" w:type="dxa"/>
            <w:bottom w:w="0" w:type="dxa"/>
          </w:tblCellMar>
        </w:tblPrEx>
        <w:tc>
          <w:tcPr>
            <w:tcW w:w="3819" w:type="pct"/>
          </w:tcPr>
          <w:p w:rsidR="00000000" w:rsidRDefault="00000000">
            <w:pPr>
              <w:spacing w:after="240"/>
              <w:rPr>
                <w:bCs/>
              </w:rPr>
            </w:pPr>
            <w:r>
              <w:rPr>
                <w:bCs/>
              </w:rPr>
              <w:t>Ministerio de Salud</w:t>
            </w:r>
          </w:p>
        </w:tc>
        <w:tc>
          <w:tcPr>
            <w:tcW w:w="1181" w:type="pct"/>
          </w:tcPr>
          <w:p w:rsidR="00000000" w:rsidRDefault="00000000">
            <w:pPr>
              <w:spacing w:after="240"/>
              <w:rPr>
                <w:bCs/>
              </w:rPr>
            </w:pPr>
            <w:r>
              <w:rPr>
                <w:bCs/>
              </w:rPr>
              <w:t>MINSAL</w:t>
            </w:r>
          </w:p>
        </w:tc>
      </w:tr>
      <w:tr w:rsidR="00000000">
        <w:tblPrEx>
          <w:tblCellMar>
            <w:top w:w="0" w:type="dxa"/>
            <w:bottom w:w="0" w:type="dxa"/>
          </w:tblCellMar>
        </w:tblPrEx>
        <w:tc>
          <w:tcPr>
            <w:tcW w:w="3819" w:type="pct"/>
          </w:tcPr>
          <w:p w:rsidR="00000000" w:rsidRDefault="00000000">
            <w:pPr>
              <w:spacing w:after="240"/>
              <w:rPr>
                <w:bCs/>
              </w:rPr>
            </w:pPr>
            <w:r>
              <w:rPr>
                <w:bCs/>
              </w:rPr>
              <w:t>Mujeres en Edad Fértil</w:t>
            </w:r>
          </w:p>
        </w:tc>
        <w:tc>
          <w:tcPr>
            <w:tcW w:w="1181" w:type="pct"/>
          </w:tcPr>
          <w:p w:rsidR="00000000" w:rsidRDefault="00000000">
            <w:pPr>
              <w:spacing w:after="240"/>
              <w:rPr>
                <w:bCs/>
              </w:rPr>
            </w:pPr>
            <w:r>
              <w:rPr>
                <w:bCs/>
              </w:rPr>
              <w:t>MEF</w:t>
            </w:r>
          </w:p>
        </w:tc>
      </w:tr>
      <w:tr w:rsidR="00000000">
        <w:tblPrEx>
          <w:tblCellMar>
            <w:top w:w="0" w:type="dxa"/>
            <w:bottom w:w="0" w:type="dxa"/>
          </w:tblCellMar>
        </w:tblPrEx>
        <w:tc>
          <w:tcPr>
            <w:tcW w:w="3819" w:type="pct"/>
          </w:tcPr>
          <w:p w:rsidR="00000000" w:rsidRDefault="00000000">
            <w:pPr>
              <w:spacing w:after="240"/>
              <w:rPr>
                <w:bCs/>
              </w:rPr>
            </w:pPr>
            <w:r>
              <w:rPr>
                <w:bCs/>
              </w:rPr>
              <w:t>Oficinas de Protección de Derechos</w:t>
            </w:r>
          </w:p>
        </w:tc>
        <w:tc>
          <w:tcPr>
            <w:tcW w:w="1181" w:type="pct"/>
          </w:tcPr>
          <w:p w:rsidR="00000000" w:rsidRDefault="00000000">
            <w:pPr>
              <w:spacing w:after="240"/>
              <w:rPr>
                <w:bCs/>
              </w:rPr>
            </w:pPr>
            <w:r>
              <w:rPr>
                <w:bCs/>
              </w:rPr>
              <w:t>OPD</w:t>
            </w:r>
          </w:p>
        </w:tc>
      </w:tr>
      <w:tr w:rsidR="00000000">
        <w:tblPrEx>
          <w:tblCellMar>
            <w:top w:w="0" w:type="dxa"/>
            <w:bottom w:w="0" w:type="dxa"/>
          </w:tblCellMar>
        </w:tblPrEx>
        <w:tc>
          <w:tcPr>
            <w:tcW w:w="3819" w:type="pct"/>
          </w:tcPr>
          <w:p w:rsidR="00000000" w:rsidRDefault="00000000">
            <w:pPr>
              <w:spacing w:after="240"/>
              <w:rPr>
                <w:bCs/>
              </w:rPr>
            </w:pPr>
            <w:r>
              <w:rPr>
                <w:bCs/>
              </w:rPr>
              <w:t xml:space="preserve">Organización Internacional del Trabajo </w:t>
            </w:r>
          </w:p>
        </w:tc>
        <w:tc>
          <w:tcPr>
            <w:tcW w:w="1181" w:type="pct"/>
          </w:tcPr>
          <w:p w:rsidR="00000000" w:rsidRDefault="00000000">
            <w:pPr>
              <w:spacing w:after="240"/>
              <w:rPr>
                <w:bCs/>
              </w:rPr>
            </w:pPr>
            <w:r>
              <w:rPr>
                <w:bCs/>
              </w:rPr>
              <w:t>OIT</w:t>
            </w:r>
          </w:p>
        </w:tc>
      </w:tr>
      <w:tr w:rsidR="00000000">
        <w:tblPrEx>
          <w:tblCellMar>
            <w:top w:w="0" w:type="dxa"/>
            <w:bottom w:w="0" w:type="dxa"/>
          </w:tblCellMar>
        </w:tblPrEx>
        <w:tc>
          <w:tcPr>
            <w:tcW w:w="3819" w:type="pct"/>
          </w:tcPr>
          <w:p w:rsidR="00000000" w:rsidRDefault="00000000">
            <w:pPr>
              <w:spacing w:after="240"/>
              <w:rPr>
                <w:bCs/>
              </w:rPr>
            </w:pPr>
            <w:r>
              <w:rPr>
                <w:bCs/>
              </w:rPr>
              <w:t>Organización no gubernamental</w:t>
            </w:r>
          </w:p>
        </w:tc>
        <w:tc>
          <w:tcPr>
            <w:tcW w:w="1181" w:type="pct"/>
          </w:tcPr>
          <w:p w:rsidR="00000000" w:rsidRDefault="00000000">
            <w:pPr>
              <w:spacing w:after="240"/>
              <w:rPr>
                <w:bCs/>
              </w:rPr>
            </w:pPr>
            <w:r>
              <w:rPr>
                <w:bCs/>
              </w:rPr>
              <w:t>ONG</w:t>
            </w:r>
          </w:p>
        </w:tc>
      </w:tr>
      <w:tr w:rsidR="00000000">
        <w:tblPrEx>
          <w:tblCellMar>
            <w:top w:w="0" w:type="dxa"/>
            <w:bottom w:w="0" w:type="dxa"/>
          </w:tblCellMar>
        </w:tblPrEx>
        <w:tc>
          <w:tcPr>
            <w:tcW w:w="3819" w:type="pct"/>
          </w:tcPr>
          <w:p w:rsidR="00000000" w:rsidRDefault="00000000">
            <w:pPr>
              <w:spacing w:after="240"/>
              <w:rPr>
                <w:bCs/>
              </w:rPr>
            </w:pPr>
            <w:r>
              <w:rPr>
                <w:bCs/>
              </w:rPr>
              <w:t>Pensión Asistencial de Invalidez</w:t>
            </w:r>
          </w:p>
        </w:tc>
        <w:tc>
          <w:tcPr>
            <w:tcW w:w="1181" w:type="pct"/>
          </w:tcPr>
          <w:p w:rsidR="00000000" w:rsidRDefault="00000000">
            <w:pPr>
              <w:spacing w:after="240"/>
              <w:rPr>
                <w:bCs/>
              </w:rPr>
            </w:pPr>
            <w:r>
              <w:rPr>
                <w:bCs/>
              </w:rPr>
              <w:t>PASIS</w:t>
            </w:r>
          </w:p>
        </w:tc>
      </w:tr>
      <w:tr w:rsidR="00000000">
        <w:tblPrEx>
          <w:tblCellMar>
            <w:top w:w="0" w:type="dxa"/>
            <w:bottom w:w="0" w:type="dxa"/>
          </w:tblCellMar>
        </w:tblPrEx>
        <w:tc>
          <w:tcPr>
            <w:tcW w:w="3819" w:type="pct"/>
          </w:tcPr>
          <w:p w:rsidR="00000000" w:rsidRDefault="00000000">
            <w:pPr>
              <w:spacing w:after="240"/>
              <w:rPr>
                <w:bCs/>
              </w:rPr>
            </w:pPr>
            <w:r>
              <w:rPr>
                <w:bCs/>
              </w:rPr>
              <w:t>Personas que viven con VIH</w:t>
            </w:r>
          </w:p>
        </w:tc>
        <w:tc>
          <w:tcPr>
            <w:tcW w:w="1181" w:type="pct"/>
          </w:tcPr>
          <w:p w:rsidR="00000000" w:rsidRDefault="00000000">
            <w:pPr>
              <w:spacing w:after="240"/>
              <w:rPr>
                <w:bCs/>
              </w:rPr>
            </w:pPr>
            <w:r>
              <w:rPr>
                <w:bCs/>
              </w:rPr>
              <w:t>PVVIH</w:t>
            </w:r>
          </w:p>
        </w:tc>
      </w:tr>
      <w:tr w:rsidR="00000000">
        <w:tblPrEx>
          <w:tblCellMar>
            <w:top w:w="0" w:type="dxa"/>
            <w:bottom w:w="0" w:type="dxa"/>
          </w:tblCellMar>
        </w:tblPrEx>
        <w:tc>
          <w:tcPr>
            <w:tcW w:w="3819" w:type="pct"/>
          </w:tcPr>
          <w:p w:rsidR="00000000" w:rsidRDefault="00000000">
            <w:pPr>
              <w:spacing w:after="240"/>
              <w:rPr>
                <w:bCs/>
              </w:rPr>
            </w:pPr>
            <w:r>
              <w:rPr>
                <w:bCs/>
              </w:rPr>
              <w:t>Producto Interno Bruto</w:t>
            </w:r>
          </w:p>
        </w:tc>
        <w:tc>
          <w:tcPr>
            <w:tcW w:w="1181" w:type="pct"/>
          </w:tcPr>
          <w:p w:rsidR="00000000" w:rsidRDefault="00000000">
            <w:pPr>
              <w:spacing w:after="240"/>
              <w:rPr>
                <w:bCs/>
              </w:rPr>
            </w:pPr>
            <w:r>
              <w:rPr>
                <w:bCs/>
              </w:rPr>
              <w:t xml:space="preserve">PIB </w:t>
            </w:r>
          </w:p>
        </w:tc>
      </w:tr>
      <w:tr w:rsidR="00000000">
        <w:tblPrEx>
          <w:tblCellMar>
            <w:top w:w="0" w:type="dxa"/>
            <w:bottom w:w="0" w:type="dxa"/>
          </w:tblCellMar>
        </w:tblPrEx>
        <w:tc>
          <w:tcPr>
            <w:tcW w:w="3819" w:type="pct"/>
          </w:tcPr>
          <w:p w:rsidR="00000000" w:rsidRDefault="00000000">
            <w:pPr>
              <w:spacing w:after="240"/>
              <w:rPr>
                <w:bCs/>
              </w:rPr>
            </w:pPr>
            <w:r>
              <w:rPr>
                <w:bCs/>
              </w:rPr>
              <w:t>Pensión Asistencial de Vejez</w:t>
            </w:r>
          </w:p>
        </w:tc>
        <w:tc>
          <w:tcPr>
            <w:tcW w:w="1181" w:type="pct"/>
          </w:tcPr>
          <w:p w:rsidR="00000000" w:rsidRDefault="00000000">
            <w:pPr>
              <w:spacing w:after="240"/>
              <w:rPr>
                <w:bCs/>
              </w:rPr>
            </w:pPr>
            <w:r>
              <w:rPr>
                <w:bCs/>
              </w:rPr>
              <w:t>PASIS</w:t>
            </w:r>
          </w:p>
        </w:tc>
      </w:tr>
      <w:tr w:rsidR="00000000">
        <w:tblPrEx>
          <w:tblCellMar>
            <w:top w:w="0" w:type="dxa"/>
            <w:bottom w:w="0" w:type="dxa"/>
          </w:tblCellMar>
        </w:tblPrEx>
        <w:tc>
          <w:tcPr>
            <w:tcW w:w="3819" w:type="pct"/>
          </w:tcPr>
          <w:p w:rsidR="00000000" w:rsidRDefault="00000000">
            <w:pPr>
              <w:spacing w:after="240"/>
              <w:rPr>
                <w:bCs/>
              </w:rPr>
            </w:pPr>
            <w:r>
              <w:rPr>
                <w:bCs/>
              </w:rPr>
              <w:t xml:space="preserve">Programa de Alimentación Escolar </w:t>
            </w:r>
          </w:p>
        </w:tc>
        <w:tc>
          <w:tcPr>
            <w:tcW w:w="1181" w:type="pct"/>
          </w:tcPr>
          <w:p w:rsidR="00000000" w:rsidRDefault="00000000">
            <w:pPr>
              <w:spacing w:after="240"/>
              <w:rPr>
                <w:bCs/>
              </w:rPr>
            </w:pPr>
            <w:r>
              <w:rPr>
                <w:bCs/>
              </w:rPr>
              <w:t>PAE</w:t>
            </w:r>
          </w:p>
        </w:tc>
      </w:tr>
      <w:tr w:rsidR="00000000">
        <w:tblPrEx>
          <w:tblCellMar>
            <w:top w:w="0" w:type="dxa"/>
            <w:bottom w:w="0" w:type="dxa"/>
          </w:tblCellMar>
        </w:tblPrEx>
        <w:tc>
          <w:tcPr>
            <w:tcW w:w="3819" w:type="pct"/>
          </w:tcPr>
          <w:p w:rsidR="00000000" w:rsidRDefault="00000000">
            <w:pPr>
              <w:spacing w:after="240"/>
              <w:rPr>
                <w:bCs/>
              </w:rPr>
            </w:pPr>
            <w:r>
              <w:rPr>
                <w:bCs/>
              </w:rPr>
              <w:t>Programa de Educación Intercultural Bilingüe</w:t>
            </w:r>
          </w:p>
        </w:tc>
        <w:tc>
          <w:tcPr>
            <w:tcW w:w="1181" w:type="pct"/>
          </w:tcPr>
          <w:p w:rsidR="00000000" w:rsidRDefault="00000000">
            <w:pPr>
              <w:spacing w:after="240"/>
              <w:rPr>
                <w:bCs/>
              </w:rPr>
            </w:pPr>
            <w:r>
              <w:rPr>
                <w:bCs/>
              </w:rPr>
              <w:t>PEIB</w:t>
            </w:r>
          </w:p>
        </w:tc>
      </w:tr>
      <w:tr w:rsidR="00000000">
        <w:tblPrEx>
          <w:tblCellMar>
            <w:top w:w="0" w:type="dxa"/>
            <w:bottom w:w="0" w:type="dxa"/>
          </w:tblCellMar>
        </w:tblPrEx>
        <w:tc>
          <w:tcPr>
            <w:tcW w:w="3819" w:type="pct"/>
          </w:tcPr>
          <w:p w:rsidR="00000000" w:rsidRDefault="00000000">
            <w:pPr>
              <w:spacing w:after="240"/>
              <w:rPr>
                <w:bCs/>
              </w:rPr>
            </w:pPr>
            <w:r>
              <w:rPr>
                <w:bCs/>
              </w:rPr>
              <w:t>Programa de Fortalecimiento de la Formación Inicial Docente</w:t>
            </w:r>
          </w:p>
        </w:tc>
        <w:tc>
          <w:tcPr>
            <w:tcW w:w="1181" w:type="pct"/>
          </w:tcPr>
          <w:p w:rsidR="00000000" w:rsidRDefault="00000000">
            <w:pPr>
              <w:spacing w:after="240"/>
              <w:rPr>
                <w:bCs/>
              </w:rPr>
            </w:pPr>
            <w:r>
              <w:rPr>
                <w:bCs/>
              </w:rPr>
              <w:t>FDI</w:t>
            </w:r>
          </w:p>
        </w:tc>
      </w:tr>
      <w:tr w:rsidR="00000000">
        <w:tblPrEx>
          <w:tblCellMar>
            <w:top w:w="0" w:type="dxa"/>
            <w:bottom w:w="0" w:type="dxa"/>
          </w:tblCellMar>
        </w:tblPrEx>
        <w:tc>
          <w:tcPr>
            <w:tcW w:w="3819" w:type="pct"/>
          </w:tcPr>
          <w:p w:rsidR="00000000" w:rsidRDefault="00000000">
            <w:pPr>
              <w:spacing w:after="240"/>
              <w:rPr>
                <w:bCs/>
              </w:rPr>
            </w:pPr>
            <w:r>
              <w:rPr>
                <w:bCs/>
              </w:rPr>
              <w:t>Programa de las 900 Escuelas</w:t>
            </w:r>
          </w:p>
        </w:tc>
        <w:tc>
          <w:tcPr>
            <w:tcW w:w="1181" w:type="pct"/>
          </w:tcPr>
          <w:p w:rsidR="00000000" w:rsidRDefault="00000000">
            <w:pPr>
              <w:spacing w:after="240"/>
              <w:rPr>
                <w:bCs/>
              </w:rPr>
            </w:pPr>
            <w:r>
              <w:rPr>
                <w:bCs/>
              </w:rPr>
              <w:t>P. 900</w:t>
            </w:r>
          </w:p>
        </w:tc>
      </w:tr>
      <w:tr w:rsidR="00000000">
        <w:tblPrEx>
          <w:tblCellMar>
            <w:top w:w="0" w:type="dxa"/>
            <w:bottom w:w="0" w:type="dxa"/>
          </w:tblCellMar>
        </w:tblPrEx>
        <w:tc>
          <w:tcPr>
            <w:tcW w:w="3819" w:type="pct"/>
          </w:tcPr>
          <w:p w:rsidR="00000000" w:rsidRDefault="00000000">
            <w:pPr>
              <w:spacing w:after="240"/>
              <w:rPr>
                <w:bCs/>
              </w:rPr>
            </w:pPr>
            <w:r>
              <w:rPr>
                <w:bCs/>
              </w:rPr>
              <w:t xml:space="preserve">Programa de Mejoramiento de la Gestión </w:t>
            </w:r>
          </w:p>
        </w:tc>
        <w:tc>
          <w:tcPr>
            <w:tcW w:w="1181" w:type="pct"/>
          </w:tcPr>
          <w:p w:rsidR="00000000" w:rsidRDefault="00000000">
            <w:pPr>
              <w:spacing w:after="240"/>
              <w:rPr>
                <w:bCs/>
              </w:rPr>
            </w:pPr>
            <w:r>
              <w:rPr>
                <w:bCs/>
              </w:rPr>
              <w:t>PMG</w:t>
            </w:r>
          </w:p>
        </w:tc>
      </w:tr>
      <w:tr w:rsidR="00000000">
        <w:tblPrEx>
          <w:tblCellMar>
            <w:top w:w="0" w:type="dxa"/>
            <w:bottom w:w="0" w:type="dxa"/>
          </w:tblCellMar>
        </w:tblPrEx>
        <w:tc>
          <w:tcPr>
            <w:tcW w:w="3819" w:type="pct"/>
          </w:tcPr>
          <w:p w:rsidR="00000000" w:rsidRDefault="00000000">
            <w:pPr>
              <w:spacing w:after="240"/>
              <w:rPr>
                <w:bCs/>
              </w:rPr>
            </w:pPr>
            <w:r>
              <w:rPr>
                <w:bCs/>
              </w:rPr>
              <w:t xml:space="preserve">Proyectos de Mejoramiento Educativo </w:t>
            </w:r>
          </w:p>
        </w:tc>
        <w:tc>
          <w:tcPr>
            <w:tcW w:w="1181" w:type="pct"/>
          </w:tcPr>
          <w:p w:rsidR="00000000" w:rsidRDefault="00000000">
            <w:pPr>
              <w:spacing w:after="240"/>
              <w:rPr>
                <w:bCs/>
              </w:rPr>
            </w:pPr>
            <w:r>
              <w:rPr>
                <w:bCs/>
              </w:rPr>
              <w:t>PME</w:t>
            </w:r>
          </w:p>
        </w:tc>
      </w:tr>
      <w:tr w:rsidR="00000000">
        <w:tblPrEx>
          <w:tblCellMar>
            <w:top w:w="0" w:type="dxa"/>
            <w:bottom w:w="0" w:type="dxa"/>
          </w:tblCellMar>
        </w:tblPrEx>
        <w:tc>
          <w:tcPr>
            <w:tcW w:w="3819" w:type="pct"/>
          </w:tcPr>
          <w:p w:rsidR="00000000" w:rsidRDefault="00000000">
            <w:pPr>
              <w:spacing w:after="240"/>
              <w:rPr>
                <w:bCs/>
              </w:rPr>
            </w:pPr>
            <w:r>
              <w:rPr>
                <w:bCs/>
              </w:rPr>
              <w:t>Programa Mejoramiento a la Infancia</w:t>
            </w:r>
          </w:p>
        </w:tc>
        <w:tc>
          <w:tcPr>
            <w:tcW w:w="1181" w:type="pct"/>
          </w:tcPr>
          <w:p w:rsidR="00000000" w:rsidRDefault="00000000">
            <w:pPr>
              <w:spacing w:after="240"/>
              <w:rPr>
                <w:bCs/>
              </w:rPr>
            </w:pPr>
            <w:r>
              <w:rPr>
                <w:bCs/>
              </w:rPr>
              <w:t>PMI</w:t>
            </w:r>
          </w:p>
        </w:tc>
      </w:tr>
      <w:tr w:rsidR="00000000">
        <w:tblPrEx>
          <w:tblCellMar>
            <w:top w:w="0" w:type="dxa"/>
            <w:bottom w:w="0" w:type="dxa"/>
          </w:tblCellMar>
        </w:tblPrEx>
        <w:tc>
          <w:tcPr>
            <w:tcW w:w="3819" w:type="pct"/>
          </w:tcPr>
          <w:p w:rsidR="00000000" w:rsidRDefault="00000000">
            <w:pPr>
              <w:spacing w:after="240"/>
              <w:rPr>
                <w:bCs/>
              </w:rPr>
            </w:pPr>
            <w:r>
              <w:rPr>
                <w:bCs/>
              </w:rPr>
              <w:t>Programa Nacional de Alimentación Complementaria</w:t>
            </w:r>
          </w:p>
        </w:tc>
        <w:tc>
          <w:tcPr>
            <w:tcW w:w="1181" w:type="pct"/>
          </w:tcPr>
          <w:p w:rsidR="00000000" w:rsidRDefault="00000000">
            <w:pPr>
              <w:spacing w:after="240"/>
              <w:rPr>
                <w:bCs/>
              </w:rPr>
            </w:pPr>
            <w:r>
              <w:rPr>
                <w:bCs/>
              </w:rPr>
              <w:t>PNAC</w:t>
            </w:r>
          </w:p>
        </w:tc>
      </w:tr>
      <w:tr w:rsidR="00000000">
        <w:tblPrEx>
          <w:tblCellMar>
            <w:top w:w="0" w:type="dxa"/>
            <w:bottom w:w="0" w:type="dxa"/>
          </w:tblCellMar>
        </w:tblPrEx>
        <w:tc>
          <w:tcPr>
            <w:tcW w:w="3819" w:type="pct"/>
          </w:tcPr>
          <w:p w:rsidR="00000000" w:rsidRDefault="00000000">
            <w:pPr>
              <w:spacing w:after="240"/>
              <w:rPr>
                <w:bCs/>
              </w:rPr>
            </w:pPr>
            <w:r>
              <w:rPr>
                <w:bCs/>
              </w:rPr>
              <w:t>Rehabilitación Basada en la Comunidad</w:t>
            </w:r>
          </w:p>
        </w:tc>
        <w:tc>
          <w:tcPr>
            <w:tcW w:w="1181" w:type="pct"/>
          </w:tcPr>
          <w:p w:rsidR="00000000" w:rsidRDefault="00000000">
            <w:pPr>
              <w:spacing w:after="240"/>
              <w:rPr>
                <w:bCs/>
                <w:lang w:val="en-GB"/>
              </w:rPr>
            </w:pPr>
            <w:r>
              <w:rPr>
                <w:bCs/>
                <w:lang w:val="en-GB"/>
              </w:rPr>
              <w:t>R.B.C</w:t>
            </w:r>
          </w:p>
        </w:tc>
      </w:tr>
      <w:tr w:rsidR="00000000">
        <w:tblPrEx>
          <w:tblCellMar>
            <w:top w:w="0" w:type="dxa"/>
            <w:bottom w:w="0" w:type="dxa"/>
          </w:tblCellMar>
        </w:tblPrEx>
        <w:tc>
          <w:tcPr>
            <w:tcW w:w="3819" w:type="pct"/>
          </w:tcPr>
          <w:p w:rsidR="00000000" w:rsidRDefault="00000000">
            <w:pPr>
              <w:spacing w:after="240"/>
              <w:rPr>
                <w:bCs/>
              </w:rPr>
            </w:pPr>
            <w:r>
              <w:rPr>
                <w:bCs/>
              </w:rPr>
              <w:t>Servicios de Atención Primaria de Urgencia</w:t>
            </w:r>
          </w:p>
        </w:tc>
        <w:tc>
          <w:tcPr>
            <w:tcW w:w="1181" w:type="pct"/>
          </w:tcPr>
          <w:p w:rsidR="00000000" w:rsidRDefault="00000000">
            <w:pPr>
              <w:spacing w:after="240"/>
              <w:rPr>
                <w:bCs/>
              </w:rPr>
            </w:pPr>
            <w:r>
              <w:rPr>
                <w:bCs/>
              </w:rPr>
              <w:t>SAPU</w:t>
            </w:r>
          </w:p>
        </w:tc>
      </w:tr>
      <w:tr w:rsidR="00000000">
        <w:tblPrEx>
          <w:tblCellMar>
            <w:top w:w="0" w:type="dxa"/>
            <w:bottom w:w="0" w:type="dxa"/>
          </w:tblCellMar>
        </w:tblPrEx>
        <w:tc>
          <w:tcPr>
            <w:tcW w:w="3819" w:type="pct"/>
          </w:tcPr>
          <w:p w:rsidR="00000000" w:rsidRDefault="00000000">
            <w:pPr>
              <w:spacing w:after="240"/>
              <w:rPr>
                <w:bCs/>
              </w:rPr>
            </w:pPr>
            <w:r>
              <w:rPr>
                <w:bCs/>
              </w:rPr>
              <w:t xml:space="preserve">Servicio Nacional de la Mujer </w:t>
            </w:r>
          </w:p>
        </w:tc>
        <w:tc>
          <w:tcPr>
            <w:tcW w:w="1181" w:type="pct"/>
          </w:tcPr>
          <w:p w:rsidR="00000000" w:rsidRDefault="00000000">
            <w:pPr>
              <w:spacing w:after="240"/>
              <w:rPr>
                <w:bCs/>
              </w:rPr>
            </w:pPr>
            <w:r>
              <w:rPr>
                <w:bCs/>
              </w:rPr>
              <w:t>SERNAM</w:t>
            </w:r>
          </w:p>
        </w:tc>
      </w:tr>
      <w:tr w:rsidR="00000000">
        <w:tblPrEx>
          <w:tblCellMar>
            <w:top w:w="0" w:type="dxa"/>
            <w:bottom w:w="0" w:type="dxa"/>
          </w:tblCellMar>
        </w:tblPrEx>
        <w:tc>
          <w:tcPr>
            <w:tcW w:w="3819" w:type="pct"/>
          </w:tcPr>
          <w:p w:rsidR="00000000" w:rsidRDefault="00000000">
            <w:pPr>
              <w:spacing w:after="240"/>
              <w:rPr>
                <w:bCs/>
              </w:rPr>
            </w:pPr>
            <w:r>
              <w:rPr>
                <w:bCs/>
              </w:rPr>
              <w:t xml:space="preserve">Servicio Nacional de Menores </w:t>
            </w:r>
          </w:p>
        </w:tc>
        <w:tc>
          <w:tcPr>
            <w:tcW w:w="1181" w:type="pct"/>
          </w:tcPr>
          <w:p w:rsidR="00000000" w:rsidRDefault="00000000">
            <w:pPr>
              <w:spacing w:after="240"/>
              <w:rPr>
                <w:bCs/>
              </w:rPr>
            </w:pPr>
            <w:r>
              <w:rPr>
                <w:bCs/>
              </w:rPr>
              <w:t>SENAME</w:t>
            </w:r>
          </w:p>
        </w:tc>
      </w:tr>
      <w:tr w:rsidR="00000000">
        <w:tblPrEx>
          <w:tblCellMar>
            <w:top w:w="0" w:type="dxa"/>
            <w:bottom w:w="0" w:type="dxa"/>
          </w:tblCellMar>
        </w:tblPrEx>
        <w:tc>
          <w:tcPr>
            <w:tcW w:w="3819" w:type="pct"/>
          </w:tcPr>
          <w:p w:rsidR="00000000" w:rsidRDefault="00000000">
            <w:pPr>
              <w:spacing w:after="240"/>
              <w:rPr>
                <w:bCs/>
              </w:rPr>
            </w:pPr>
            <w:r>
              <w:rPr>
                <w:bCs/>
              </w:rPr>
              <w:t>Subsidio de Agua Potable</w:t>
            </w:r>
          </w:p>
        </w:tc>
        <w:tc>
          <w:tcPr>
            <w:tcW w:w="1181" w:type="pct"/>
          </w:tcPr>
          <w:p w:rsidR="00000000" w:rsidRDefault="00000000">
            <w:pPr>
              <w:spacing w:after="240"/>
              <w:rPr>
                <w:bCs/>
              </w:rPr>
            </w:pPr>
            <w:r>
              <w:rPr>
                <w:bCs/>
              </w:rPr>
              <w:t>SAP</w:t>
            </w:r>
          </w:p>
        </w:tc>
      </w:tr>
      <w:tr w:rsidR="00000000">
        <w:tblPrEx>
          <w:tblCellMar>
            <w:top w:w="0" w:type="dxa"/>
            <w:bottom w:w="0" w:type="dxa"/>
          </w:tblCellMar>
        </w:tblPrEx>
        <w:tc>
          <w:tcPr>
            <w:tcW w:w="3819" w:type="pct"/>
          </w:tcPr>
          <w:p w:rsidR="00000000" w:rsidRDefault="00000000">
            <w:pPr>
              <w:spacing w:after="240"/>
              <w:rPr>
                <w:bCs/>
              </w:rPr>
            </w:pPr>
            <w:r>
              <w:rPr>
                <w:bCs/>
              </w:rPr>
              <w:t>Subsidio Único Familiar</w:t>
            </w:r>
          </w:p>
        </w:tc>
        <w:tc>
          <w:tcPr>
            <w:tcW w:w="1181" w:type="pct"/>
          </w:tcPr>
          <w:p w:rsidR="00000000" w:rsidRDefault="00000000">
            <w:pPr>
              <w:spacing w:after="240"/>
              <w:rPr>
                <w:bCs/>
              </w:rPr>
            </w:pPr>
            <w:r>
              <w:rPr>
                <w:bCs/>
              </w:rPr>
              <w:t>SUF</w:t>
            </w:r>
          </w:p>
        </w:tc>
      </w:tr>
      <w:tr w:rsidR="00000000">
        <w:tblPrEx>
          <w:tblCellMar>
            <w:top w:w="0" w:type="dxa"/>
            <w:bottom w:w="0" w:type="dxa"/>
          </w:tblCellMar>
        </w:tblPrEx>
        <w:tc>
          <w:tcPr>
            <w:tcW w:w="3819" w:type="pct"/>
          </w:tcPr>
          <w:p w:rsidR="00000000" w:rsidRDefault="00000000">
            <w:pPr>
              <w:spacing w:after="240"/>
              <w:rPr>
                <w:bCs/>
              </w:rPr>
            </w:pPr>
            <w:r>
              <w:rPr>
                <w:bCs/>
              </w:rPr>
              <w:t>Sistema de Medición de la Calidad de la Educación</w:t>
            </w:r>
          </w:p>
        </w:tc>
        <w:tc>
          <w:tcPr>
            <w:tcW w:w="1181" w:type="pct"/>
          </w:tcPr>
          <w:p w:rsidR="00000000" w:rsidRDefault="00000000">
            <w:pPr>
              <w:spacing w:after="240"/>
              <w:rPr>
                <w:bCs/>
              </w:rPr>
            </w:pPr>
            <w:r>
              <w:rPr>
                <w:bCs/>
              </w:rPr>
              <w:t>SIMCE</w:t>
            </w:r>
          </w:p>
        </w:tc>
      </w:tr>
      <w:tr w:rsidR="00000000">
        <w:tblPrEx>
          <w:tblCellMar>
            <w:top w:w="0" w:type="dxa"/>
            <w:bottom w:w="0" w:type="dxa"/>
          </w:tblCellMar>
        </w:tblPrEx>
        <w:tc>
          <w:tcPr>
            <w:tcW w:w="3819" w:type="pct"/>
          </w:tcPr>
          <w:p w:rsidR="00000000" w:rsidRDefault="00000000">
            <w:pPr>
              <w:spacing w:after="240"/>
              <w:rPr>
                <w:bCs/>
              </w:rPr>
            </w:pPr>
            <w:r>
              <w:rPr>
                <w:bCs/>
              </w:rPr>
              <w:t>Sistema Nacional de Certificación Ambiental de Establecimientos Educativos</w:t>
            </w:r>
          </w:p>
        </w:tc>
        <w:tc>
          <w:tcPr>
            <w:tcW w:w="1181" w:type="pct"/>
          </w:tcPr>
          <w:p w:rsidR="00000000" w:rsidRDefault="00000000">
            <w:pPr>
              <w:spacing w:after="240"/>
              <w:rPr>
                <w:bCs/>
              </w:rPr>
            </w:pPr>
            <w:r>
              <w:rPr>
                <w:bCs/>
              </w:rPr>
              <w:t>SNCAE</w:t>
            </w:r>
          </w:p>
        </w:tc>
      </w:tr>
    </w:tbl>
    <w:p w:rsidR="00000000" w:rsidRDefault="00000000">
      <w:pPr>
        <w:rPr>
          <w:bCs/>
        </w:rPr>
      </w:pPr>
    </w:p>
    <w:p w:rsidR="00000000" w:rsidRDefault="00000000">
      <w:pPr>
        <w:rPr>
          <w:bCs/>
          <w:noProof/>
          <w:color w:val="000000"/>
          <w:szCs w:val="22"/>
        </w:rPr>
      </w:pPr>
    </w:p>
    <w:p w:rsidR="00000000" w:rsidRDefault="00000000">
      <w:pPr>
        <w:tabs>
          <w:tab w:val="center" w:pos="4680"/>
        </w:tabs>
        <w:spacing w:after="360"/>
        <w:jc w:val="center"/>
        <w:outlineLvl w:val="0"/>
        <w:rPr>
          <w:b/>
          <w:szCs w:val="22"/>
        </w:rPr>
      </w:pPr>
      <w:r>
        <w:rPr>
          <w:bCs/>
          <w:noProof/>
          <w:color w:val="000000"/>
          <w:szCs w:val="22"/>
        </w:rPr>
        <w:br w:type="page"/>
      </w:r>
      <w:r>
        <w:rPr>
          <w:b/>
          <w:noProof/>
          <w:color w:val="000000"/>
          <w:szCs w:val="22"/>
        </w:rPr>
        <w:t>CUADROS</w:t>
      </w:r>
      <w:r>
        <w:rPr>
          <w:b/>
          <w:szCs w:val="22"/>
        </w:rPr>
        <w:t xml:space="preserve"> ESTADÍSTICOS</w:t>
      </w:r>
    </w:p>
    <w:tbl>
      <w:tblPr>
        <w:tblW w:w="0" w:type="auto"/>
        <w:tblInd w:w="70" w:type="dxa"/>
        <w:tblCellMar>
          <w:left w:w="70" w:type="dxa"/>
          <w:right w:w="70" w:type="dxa"/>
        </w:tblCellMar>
        <w:tblLook w:val="0000" w:firstRow="0" w:lastRow="0" w:firstColumn="0" w:lastColumn="0" w:noHBand="0" w:noVBand="0"/>
      </w:tblPr>
      <w:tblGrid>
        <w:gridCol w:w="1440"/>
        <w:gridCol w:w="7985"/>
      </w:tblGrid>
      <w:tr w:rsidR="00000000">
        <w:tblPrEx>
          <w:tblCellMar>
            <w:top w:w="0" w:type="dxa"/>
            <w:bottom w:w="0" w:type="dxa"/>
          </w:tblCellMar>
        </w:tblPrEx>
        <w:tc>
          <w:tcPr>
            <w:tcW w:w="1440" w:type="dxa"/>
          </w:tcPr>
          <w:p w:rsidR="00000000" w:rsidRDefault="00000000">
            <w:pPr>
              <w:widowControl w:val="0"/>
              <w:tabs>
                <w:tab w:val="center" w:pos="4680"/>
              </w:tabs>
              <w:spacing w:after="240"/>
              <w:outlineLvl w:val="0"/>
              <w:rPr>
                <w:bCs/>
                <w:noProof/>
                <w:color w:val="000000"/>
              </w:rPr>
            </w:pPr>
            <w:r>
              <w:rPr>
                <w:bCs/>
                <w:noProof/>
                <w:color w:val="000000"/>
              </w:rPr>
              <w:t>Cuadro 1:</w:t>
            </w:r>
          </w:p>
        </w:tc>
        <w:tc>
          <w:tcPr>
            <w:tcW w:w="7985" w:type="dxa"/>
          </w:tcPr>
          <w:p w:rsidR="00000000" w:rsidRDefault="00000000">
            <w:pPr>
              <w:widowControl w:val="0"/>
              <w:tabs>
                <w:tab w:val="center" w:pos="4680"/>
              </w:tabs>
              <w:spacing w:after="240"/>
              <w:outlineLvl w:val="0"/>
              <w:rPr>
                <w:bCs/>
                <w:noProof/>
                <w:color w:val="000000"/>
              </w:rPr>
            </w:pPr>
            <w:r>
              <w:rPr>
                <w:bCs/>
                <w:noProof/>
                <w:color w:val="000000"/>
              </w:rPr>
              <w:t>Raciones de alimentación entregadas PAE, 1998-2002</w:t>
            </w:r>
          </w:p>
        </w:tc>
      </w:tr>
      <w:tr w:rsidR="00000000">
        <w:tblPrEx>
          <w:tblCellMar>
            <w:top w:w="0" w:type="dxa"/>
            <w:bottom w:w="0" w:type="dxa"/>
          </w:tblCellMar>
        </w:tblPrEx>
        <w:tc>
          <w:tcPr>
            <w:tcW w:w="1440" w:type="dxa"/>
          </w:tcPr>
          <w:p w:rsidR="00000000" w:rsidRDefault="00000000">
            <w:pPr>
              <w:widowControl w:val="0"/>
              <w:tabs>
                <w:tab w:val="center" w:pos="4680"/>
              </w:tabs>
              <w:spacing w:after="240"/>
              <w:rPr>
                <w:bCs/>
                <w:noProof/>
                <w:color w:val="000000"/>
              </w:rPr>
            </w:pPr>
            <w:r>
              <w:rPr>
                <w:bCs/>
                <w:noProof/>
                <w:color w:val="000000"/>
              </w:rPr>
              <w:t>Cuadro 2:</w:t>
            </w:r>
          </w:p>
        </w:tc>
        <w:tc>
          <w:tcPr>
            <w:tcW w:w="7985" w:type="dxa"/>
          </w:tcPr>
          <w:p w:rsidR="00000000" w:rsidRDefault="00000000">
            <w:pPr>
              <w:pStyle w:val="Heading1"/>
              <w:keepNext w:val="0"/>
              <w:spacing w:after="240" w:line="240" w:lineRule="auto"/>
              <w:jc w:val="left"/>
              <w:rPr>
                <w:bCs/>
                <w:noProof/>
                <w:color w:val="000000"/>
                <w:u w:val="none"/>
                <w:lang w:val="es-MX"/>
              </w:rPr>
            </w:pPr>
            <w:r>
              <w:rPr>
                <w:bCs/>
                <w:u w:val="none"/>
                <w:lang w:val="es-MX"/>
              </w:rPr>
              <w:t xml:space="preserve">Beneficiarios, programas del área de salud de JUNAEB, </w:t>
            </w:r>
            <w:r>
              <w:rPr>
                <w:bCs/>
                <w:noProof/>
                <w:color w:val="000000"/>
                <w:u w:val="none"/>
                <w:lang w:val="es-MX"/>
              </w:rPr>
              <w:t>1998-2002</w:t>
            </w:r>
          </w:p>
        </w:tc>
      </w:tr>
      <w:tr w:rsidR="00000000">
        <w:tblPrEx>
          <w:tblCellMar>
            <w:top w:w="0" w:type="dxa"/>
            <w:bottom w:w="0" w:type="dxa"/>
          </w:tblCellMar>
        </w:tblPrEx>
        <w:tc>
          <w:tcPr>
            <w:tcW w:w="1440" w:type="dxa"/>
          </w:tcPr>
          <w:p w:rsidR="00000000" w:rsidRDefault="00000000">
            <w:pPr>
              <w:widowControl w:val="0"/>
              <w:tabs>
                <w:tab w:val="center" w:pos="4680"/>
              </w:tabs>
              <w:spacing w:after="220"/>
              <w:rPr>
                <w:bCs/>
                <w:noProof/>
                <w:color w:val="000000"/>
              </w:rPr>
            </w:pPr>
            <w:r>
              <w:rPr>
                <w:bCs/>
                <w:noProof/>
                <w:color w:val="000000"/>
              </w:rPr>
              <w:t>Cuadro 3:</w:t>
            </w:r>
          </w:p>
        </w:tc>
        <w:tc>
          <w:tcPr>
            <w:tcW w:w="7985" w:type="dxa"/>
          </w:tcPr>
          <w:p w:rsidR="00000000" w:rsidRDefault="00000000">
            <w:pPr>
              <w:widowControl w:val="0"/>
              <w:spacing w:after="220"/>
              <w:rPr>
                <w:bCs/>
                <w:noProof/>
                <w:color w:val="000000"/>
              </w:rPr>
            </w:pPr>
            <w:r>
              <w:rPr>
                <w:bCs/>
                <w:noProof/>
                <w:color w:val="000000"/>
              </w:rPr>
              <w:t>Defunciones según sexo y grupos de edad, 1998-2000</w:t>
            </w:r>
          </w:p>
        </w:tc>
      </w:tr>
      <w:tr w:rsidR="00000000">
        <w:tblPrEx>
          <w:tblCellMar>
            <w:top w:w="0" w:type="dxa"/>
            <w:bottom w:w="0" w:type="dxa"/>
          </w:tblCellMar>
        </w:tblPrEx>
        <w:tc>
          <w:tcPr>
            <w:tcW w:w="1440" w:type="dxa"/>
          </w:tcPr>
          <w:p w:rsidR="00000000" w:rsidRDefault="00000000">
            <w:pPr>
              <w:widowControl w:val="0"/>
              <w:spacing w:after="220"/>
              <w:rPr>
                <w:bCs/>
                <w:noProof/>
                <w:color w:val="000000"/>
              </w:rPr>
            </w:pPr>
            <w:r>
              <w:rPr>
                <w:bCs/>
                <w:noProof/>
                <w:color w:val="000000"/>
              </w:rPr>
              <w:t>Cuadro 4:</w:t>
            </w:r>
          </w:p>
        </w:tc>
        <w:tc>
          <w:tcPr>
            <w:tcW w:w="7985" w:type="dxa"/>
          </w:tcPr>
          <w:p w:rsidR="00000000" w:rsidRDefault="00000000">
            <w:pPr>
              <w:widowControl w:val="0"/>
              <w:spacing w:after="220"/>
              <w:rPr>
                <w:bCs/>
                <w:noProof/>
                <w:color w:val="000000"/>
              </w:rPr>
            </w:pPr>
            <w:r>
              <w:rPr>
                <w:bCs/>
                <w:noProof/>
                <w:color w:val="000000"/>
              </w:rPr>
              <w:t>Defunciones por suicidio y lesiones autoinflingidas intencionalmente, según sexo y grupos de edad, 1998-2000</w:t>
            </w:r>
          </w:p>
        </w:tc>
      </w:tr>
      <w:tr w:rsidR="00000000">
        <w:tblPrEx>
          <w:tblCellMar>
            <w:top w:w="0" w:type="dxa"/>
            <w:bottom w:w="0" w:type="dxa"/>
          </w:tblCellMar>
        </w:tblPrEx>
        <w:tc>
          <w:tcPr>
            <w:tcW w:w="1440" w:type="dxa"/>
          </w:tcPr>
          <w:p w:rsidR="00000000" w:rsidRDefault="00000000">
            <w:pPr>
              <w:widowControl w:val="0"/>
              <w:spacing w:after="240"/>
              <w:outlineLvl w:val="0"/>
              <w:rPr>
                <w:bCs/>
                <w:noProof/>
                <w:color w:val="000000"/>
              </w:rPr>
            </w:pPr>
            <w:r>
              <w:rPr>
                <w:bCs/>
                <w:noProof/>
                <w:color w:val="000000"/>
              </w:rPr>
              <w:t>Cuadro 5:</w:t>
            </w:r>
          </w:p>
        </w:tc>
        <w:tc>
          <w:tcPr>
            <w:tcW w:w="7985" w:type="dxa"/>
          </w:tcPr>
          <w:p w:rsidR="00000000" w:rsidRDefault="00000000">
            <w:pPr>
              <w:widowControl w:val="0"/>
              <w:spacing w:after="240"/>
              <w:rPr>
                <w:bCs/>
                <w:noProof/>
                <w:color w:val="000000"/>
              </w:rPr>
            </w:pPr>
            <w:r>
              <w:rPr>
                <w:bCs/>
                <w:noProof/>
                <w:color w:val="000000"/>
              </w:rPr>
              <w:t>Niños y niñas vigentes en SENAME al 31 de diciembre, 2000-2003</w:t>
            </w:r>
          </w:p>
        </w:tc>
      </w:tr>
      <w:tr w:rsidR="00000000">
        <w:tblPrEx>
          <w:tblCellMar>
            <w:top w:w="0" w:type="dxa"/>
            <w:bottom w:w="0" w:type="dxa"/>
          </w:tblCellMar>
        </w:tblPrEx>
        <w:tc>
          <w:tcPr>
            <w:tcW w:w="1440" w:type="dxa"/>
          </w:tcPr>
          <w:p w:rsidR="00000000" w:rsidRDefault="00000000">
            <w:pPr>
              <w:widowControl w:val="0"/>
              <w:spacing w:after="120"/>
              <w:rPr>
                <w:bCs/>
                <w:noProof/>
                <w:color w:val="000000"/>
              </w:rPr>
            </w:pPr>
            <w:r>
              <w:rPr>
                <w:bCs/>
                <w:noProof/>
                <w:color w:val="000000"/>
              </w:rPr>
              <w:t>Cuadro 6:</w:t>
            </w:r>
          </w:p>
        </w:tc>
        <w:tc>
          <w:tcPr>
            <w:tcW w:w="7985" w:type="dxa"/>
          </w:tcPr>
          <w:p w:rsidR="00000000" w:rsidRDefault="00000000">
            <w:pPr>
              <w:widowControl w:val="0"/>
              <w:spacing w:after="120"/>
              <w:rPr>
                <w:bCs/>
                <w:noProof/>
                <w:color w:val="000000"/>
              </w:rPr>
            </w:pPr>
            <w:r>
              <w:rPr>
                <w:bCs/>
                <w:noProof/>
                <w:color w:val="000000"/>
              </w:rPr>
              <w:t>Número de Niños, Niñas y Adolescentes Vigentes por área de intervención</w:t>
            </w:r>
          </w:p>
        </w:tc>
      </w:tr>
      <w:tr w:rsidR="00000000">
        <w:tblPrEx>
          <w:tblCellMar>
            <w:top w:w="0" w:type="dxa"/>
            <w:bottom w:w="0" w:type="dxa"/>
          </w:tblCellMar>
        </w:tblPrEx>
        <w:tc>
          <w:tcPr>
            <w:tcW w:w="1440" w:type="dxa"/>
          </w:tcPr>
          <w:p w:rsidR="00000000" w:rsidRDefault="00000000">
            <w:pPr>
              <w:widowControl w:val="0"/>
              <w:spacing w:after="240"/>
              <w:outlineLvl w:val="0"/>
              <w:rPr>
                <w:bCs/>
                <w:noProof/>
                <w:color w:val="000000"/>
              </w:rPr>
            </w:pPr>
            <w:r>
              <w:rPr>
                <w:bCs/>
                <w:noProof/>
                <w:color w:val="000000"/>
              </w:rPr>
              <w:t>Cuadro 7:</w:t>
            </w:r>
          </w:p>
        </w:tc>
        <w:tc>
          <w:tcPr>
            <w:tcW w:w="7985" w:type="dxa"/>
          </w:tcPr>
          <w:p w:rsidR="00000000" w:rsidRDefault="00000000">
            <w:pPr>
              <w:widowControl w:val="0"/>
              <w:spacing w:after="240"/>
              <w:rPr>
                <w:bCs/>
                <w:noProof/>
                <w:color w:val="000000"/>
              </w:rPr>
            </w:pPr>
            <w:r>
              <w:rPr>
                <w:bCs/>
                <w:noProof/>
                <w:color w:val="000000"/>
              </w:rPr>
              <w:t>Evolución de las adopciones nacionales e internacionales, 1995-2004</w:t>
            </w:r>
          </w:p>
        </w:tc>
      </w:tr>
      <w:tr w:rsidR="00000000">
        <w:tblPrEx>
          <w:tblCellMar>
            <w:top w:w="0" w:type="dxa"/>
            <w:bottom w:w="0" w:type="dxa"/>
          </w:tblCellMar>
        </w:tblPrEx>
        <w:tc>
          <w:tcPr>
            <w:tcW w:w="1440" w:type="dxa"/>
          </w:tcPr>
          <w:p w:rsidR="00000000" w:rsidRDefault="00000000">
            <w:pPr>
              <w:widowControl w:val="0"/>
              <w:spacing w:after="240"/>
              <w:outlineLvl w:val="0"/>
              <w:rPr>
                <w:bCs/>
                <w:noProof/>
                <w:color w:val="000000"/>
              </w:rPr>
            </w:pPr>
            <w:r>
              <w:rPr>
                <w:bCs/>
                <w:noProof/>
                <w:color w:val="000000"/>
              </w:rPr>
              <w:t>Cuadro 8:</w:t>
            </w:r>
          </w:p>
        </w:tc>
        <w:tc>
          <w:tcPr>
            <w:tcW w:w="7985" w:type="dxa"/>
          </w:tcPr>
          <w:p w:rsidR="00000000" w:rsidRDefault="00000000">
            <w:pPr>
              <w:widowControl w:val="0"/>
              <w:spacing w:after="240"/>
              <w:outlineLvl w:val="0"/>
              <w:rPr>
                <w:bCs/>
                <w:noProof/>
                <w:color w:val="000000"/>
              </w:rPr>
            </w:pPr>
            <w:r>
              <w:rPr>
                <w:bCs/>
                <w:noProof/>
                <w:color w:val="000000"/>
              </w:rPr>
              <w:t>Niños y niñas enlazados con matrimonios extranjeros, por país de residencia de los adoptantes, 1999 a 2003</w:t>
            </w:r>
          </w:p>
        </w:tc>
      </w:tr>
      <w:tr w:rsidR="00000000">
        <w:tblPrEx>
          <w:tblCellMar>
            <w:top w:w="0" w:type="dxa"/>
            <w:bottom w:w="0" w:type="dxa"/>
          </w:tblCellMar>
        </w:tblPrEx>
        <w:tc>
          <w:tcPr>
            <w:tcW w:w="1440" w:type="dxa"/>
          </w:tcPr>
          <w:p w:rsidR="00000000" w:rsidRDefault="00000000">
            <w:pPr>
              <w:widowControl w:val="0"/>
              <w:spacing w:after="240"/>
              <w:outlineLvl w:val="0"/>
              <w:rPr>
                <w:bCs/>
              </w:rPr>
            </w:pPr>
            <w:r>
              <w:rPr>
                <w:bCs/>
                <w:color w:val="000000"/>
              </w:rPr>
              <w:t xml:space="preserve">Cuadro </w:t>
            </w:r>
            <w:r>
              <w:rPr>
                <w:bCs/>
              </w:rPr>
              <w:t>9:</w:t>
            </w:r>
          </w:p>
        </w:tc>
        <w:tc>
          <w:tcPr>
            <w:tcW w:w="7985" w:type="dxa"/>
          </w:tcPr>
          <w:p w:rsidR="00000000" w:rsidRDefault="00000000">
            <w:pPr>
              <w:pStyle w:val="Heading1"/>
              <w:keepNext w:val="0"/>
              <w:tabs>
                <w:tab w:val="clear" w:pos="4873"/>
              </w:tabs>
              <w:spacing w:after="240" w:line="240" w:lineRule="auto"/>
              <w:jc w:val="left"/>
              <w:rPr>
                <w:bCs/>
                <w:noProof/>
                <w:color w:val="000000"/>
                <w:u w:val="none"/>
                <w:lang w:val="es-ES"/>
              </w:rPr>
            </w:pPr>
            <w:r>
              <w:rPr>
                <w:bCs/>
                <w:u w:val="none"/>
                <w:lang w:val="es-ES"/>
              </w:rPr>
              <w:t xml:space="preserve">Niños y niñas enlazados con matrimonios extranjeros, </w:t>
            </w:r>
            <w:r>
              <w:rPr>
                <w:bCs/>
                <w:noProof/>
                <w:color w:val="000000"/>
                <w:u w:val="none"/>
                <w:lang w:val="es-ES"/>
              </w:rPr>
              <w:t>1999-2003, por sexo</w:t>
            </w:r>
          </w:p>
        </w:tc>
      </w:tr>
      <w:tr w:rsidR="00000000">
        <w:tblPrEx>
          <w:tblCellMar>
            <w:top w:w="0" w:type="dxa"/>
            <w:bottom w:w="0" w:type="dxa"/>
          </w:tblCellMar>
        </w:tblPrEx>
        <w:tc>
          <w:tcPr>
            <w:tcW w:w="1440" w:type="dxa"/>
          </w:tcPr>
          <w:p w:rsidR="00000000" w:rsidRDefault="00000000">
            <w:pPr>
              <w:pStyle w:val="Heading1"/>
              <w:keepNext w:val="0"/>
              <w:tabs>
                <w:tab w:val="clear" w:pos="4873"/>
              </w:tabs>
              <w:spacing w:after="240" w:line="240" w:lineRule="auto"/>
              <w:jc w:val="left"/>
              <w:rPr>
                <w:bCs/>
                <w:u w:val="none"/>
                <w:lang w:val="es-ES"/>
              </w:rPr>
            </w:pPr>
            <w:r>
              <w:rPr>
                <w:bCs/>
                <w:u w:val="none"/>
                <w:lang w:val="es-ES"/>
              </w:rPr>
              <w:t>Cuadro 10:</w:t>
            </w:r>
          </w:p>
        </w:tc>
        <w:tc>
          <w:tcPr>
            <w:tcW w:w="7985" w:type="dxa"/>
          </w:tcPr>
          <w:p w:rsidR="00000000" w:rsidRDefault="00000000">
            <w:pPr>
              <w:widowControl w:val="0"/>
              <w:spacing w:after="240"/>
              <w:outlineLvl w:val="0"/>
              <w:rPr>
                <w:bCs/>
                <w:noProof/>
                <w:color w:val="000000"/>
              </w:rPr>
            </w:pPr>
            <w:r>
              <w:rPr>
                <w:bCs/>
              </w:rPr>
              <w:t xml:space="preserve">Niños y niñas enlazados con matrimonios extranjeros, </w:t>
            </w:r>
            <w:r>
              <w:rPr>
                <w:bCs/>
                <w:noProof/>
                <w:color w:val="000000"/>
              </w:rPr>
              <w:t>1999-2003, por tramos de edad</w:t>
            </w:r>
          </w:p>
        </w:tc>
      </w:tr>
      <w:tr w:rsidR="00000000">
        <w:tblPrEx>
          <w:tblCellMar>
            <w:top w:w="0" w:type="dxa"/>
            <w:bottom w:w="0" w:type="dxa"/>
          </w:tblCellMar>
        </w:tblPrEx>
        <w:tc>
          <w:tcPr>
            <w:tcW w:w="1440" w:type="dxa"/>
          </w:tcPr>
          <w:p w:rsidR="00000000" w:rsidRDefault="00000000">
            <w:pPr>
              <w:pStyle w:val="Heading1"/>
              <w:keepNext w:val="0"/>
              <w:tabs>
                <w:tab w:val="clear" w:pos="4873"/>
              </w:tabs>
              <w:spacing w:after="240" w:line="240" w:lineRule="auto"/>
              <w:jc w:val="left"/>
              <w:rPr>
                <w:bCs/>
                <w:u w:val="none"/>
                <w:lang w:val="es-ES"/>
              </w:rPr>
            </w:pPr>
            <w:r>
              <w:rPr>
                <w:bCs/>
                <w:u w:val="none"/>
                <w:lang w:val="es-ES"/>
              </w:rPr>
              <w:t>Cuadro 11:</w:t>
            </w:r>
          </w:p>
        </w:tc>
        <w:tc>
          <w:tcPr>
            <w:tcW w:w="7985" w:type="dxa"/>
          </w:tcPr>
          <w:p w:rsidR="00000000" w:rsidRDefault="00000000">
            <w:pPr>
              <w:widowControl w:val="0"/>
              <w:spacing w:after="240"/>
              <w:rPr>
                <w:bCs/>
                <w:noProof/>
                <w:color w:val="000000"/>
              </w:rPr>
            </w:pPr>
            <w:r>
              <w:rPr>
                <w:bCs/>
                <w:noProof/>
                <w:color w:val="000000"/>
              </w:rPr>
              <w:t>Proyección a seis años proyectos reparación maltrato grave</w:t>
            </w:r>
          </w:p>
        </w:tc>
      </w:tr>
      <w:tr w:rsidR="00000000">
        <w:tblPrEx>
          <w:tblCellMar>
            <w:top w:w="0" w:type="dxa"/>
            <w:bottom w:w="0" w:type="dxa"/>
          </w:tblCellMar>
        </w:tblPrEx>
        <w:tc>
          <w:tcPr>
            <w:tcW w:w="1440" w:type="dxa"/>
          </w:tcPr>
          <w:p w:rsidR="00000000" w:rsidRDefault="00000000">
            <w:pPr>
              <w:widowControl w:val="0"/>
              <w:spacing w:after="240"/>
              <w:outlineLvl w:val="0"/>
              <w:rPr>
                <w:bCs/>
                <w:noProof/>
                <w:color w:val="000000"/>
              </w:rPr>
            </w:pPr>
            <w:r>
              <w:rPr>
                <w:bCs/>
                <w:noProof/>
                <w:color w:val="000000"/>
              </w:rPr>
              <w:t>Cuadro 12:</w:t>
            </w:r>
          </w:p>
        </w:tc>
        <w:tc>
          <w:tcPr>
            <w:tcW w:w="7985" w:type="dxa"/>
          </w:tcPr>
          <w:p w:rsidR="00000000" w:rsidRDefault="00000000">
            <w:pPr>
              <w:widowControl w:val="0"/>
              <w:spacing w:after="240"/>
              <w:outlineLvl w:val="0"/>
              <w:rPr>
                <w:bCs/>
                <w:i/>
                <w:iCs/>
                <w:noProof/>
                <w:color w:val="000000"/>
              </w:rPr>
            </w:pPr>
            <w:r>
              <w:rPr>
                <w:bCs/>
              </w:rPr>
              <w:t xml:space="preserve">Número de proyectos del </w:t>
            </w:r>
            <w:r>
              <w:rPr>
                <w:bCs/>
                <w:noProof/>
                <w:color w:val="000000"/>
              </w:rPr>
              <w:t>Fondo</w:t>
            </w:r>
            <w:r>
              <w:rPr>
                <w:bCs/>
              </w:rPr>
              <w:t xml:space="preserve"> Nacional de la Discapacidad </w:t>
            </w:r>
            <w:r>
              <w:rPr>
                <w:bCs/>
                <w:noProof/>
                <w:color w:val="000000"/>
              </w:rPr>
              <w:t>destinados a niños y niñas</w:t>
            </w:r>
          </w:p>
        </w:tc>
      </w:tr>
      <w:tr w:rsidR="00000000">
        <w:tblPrEx>
          <w:tblCellMar>
            <w:top w:w="0" w:type="dxa"/>
            <w:bottom w:w="0" w:type="dxa"/>
          </w:tblCellMar>
        </w:tblPrEx>
        <w:tc>
          <w:tcPr>
            <w:tcW w:w="1440" w:type="dxa"/>
          </w:tcPr>
          <w:p w:rsidR="00000000" w:rsidRDefault="00000000">
            <w:pPr>
              <w:pStyle w:val="Heading1"/>
              <w:keepNext w:val="0"/>
              <w:tabs>
                <w:tab w:val="center" w:pos="4680"/>
                <w:tab w:val="left" w:pos="4956"/>
                <w:tab w:val="left" w:pos="5664"/>
                <w:tab w:val="left" w:pos="6372"/>
                <w:tab w:val="left" w:pos="7080"/>
                <w:tab w:val="left" w:pos="7788"/>
                <w:tab w:val="left" w:pos="8496"/>
              </w:tabs>
              <w:spacing w:after="240" w:line="240" w:lineRule="auto"/>
              <w:jc w:val="left"/>
              <w:rPr>
                <w:bCs/>
                <w:u w:val="none"/>
                <w:lang w:val="es-ES"/>
              </w:rPr>
            </w:pPr>
            <w:r>
              <w:rPr>
                <w:bCs/>
                <w:u w:val="none"/>
                <w:lang w:val="es-ES"/>
              </w:rPr>
              <w:t>Cuadro 13:</w:t>
            </w:r>
          </w:p>
        </w:tc>
        <w:tc>
          <w:tcPr>
            <w:tcW w:w="7985" w:type="dxa"/>
          </w:tcPr>
          <w:p w:rsidR="00000000" w:rsidRDefault="00000000">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outlineLvl w:val="0"/>
              <w:rPr>
                <w:bCs/>
                <w:noProof/>
                <w:color w:val="000000"/>
              </w:rPr>
            </w:pPr>
            <w:r>
              <w:rPr>
                <w:bCs/>
                <w:noProof/>
                <w:color w:val="000000"/>
              </w:rPr>
              <w:t>Aporte a personas con discapacidad entre 0 y 17 años realizados a través del programa de ayuda técnicas de FONADIS</w:t>
            </w:r>
          </w:p>
        </w:tc>
      </w:tr>
      <w:tr w:rsidR="00000000">
        <w:tblPrEx>
          <w:tblCellMar>
            <w:top w:w="0" w:type="dxa"/>
            <w:bottom w:w="0" w:type="dxa"/>
          </w:tblCellMar>
        </w:tblPrEx>
        <w:tc>
          <w:tcPr>
            <w:tcW w:w="1440" w:type="dxa"/>
          </w:tcPr>
          <w:p w:rsidR="00000000" w:rsidRDefault="00000000">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outlineLvl w:val="0"/>
              <w:rPr>
                <w:bCs/>
                <w:noProof/>
                <w:color w:val="000000"/>
              </w:rPr>
            </w:pPr>
            <w:r>
              <w:rPr>
                <w:bCs/>
                <w:noProof/>
                <w:color w:val="000000"/>
              </w:rPr>
              <w:t>Cuadro 14:</w:t>
            </w:r>
          </w:p>
        </w:tc>
        <w:tc>
          <w:tcPr>
            <w:tcW w:w="7985" w:type="dxa"/>
          </w:tcPr>
          <w:p w:rsidR="00000000" w:rsidRDefault="00000000">
            <w:pPr>
              <w:pStyle w:val="Heading1"/>
              <w:keepNext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line="240" w:lineRule="auto"/>
              <w:jc w:val="left"/>
              <w:rPr>
                <w:bCs/>
                <w:noProof/>
                <w:lang w:val="es-ES"/>
              </w:rPr>
            </w:pPr>
            <w:r>
              <w:rPr>
                <w:bCs/>
                <w:u w:val="none"/>
                <w:lang w:val="es-ES"/>
              </w:rPr>
              <w:t xml:space="preserve">Niños y niñas  discapacitados </w:t>
            </w:r>
            <w:r>
              <w:rPr>
                <w:bCs/>
                <w:noProof/>
                <w:u w:val="none"/>
                <w:lang w:val="es-ES"/>
              </w:rPr>
              <w:t>atendidos por SENAME, según sexo, 1999-2003</w:t>
            </w:r>
          </w:p>
        </w:tc>
      </w:tr>
      <w:tr w:rsidR="00000000">
        <w:tblPrEx>
          <w:tblCellMar>
            <w:top w:w="0" w:type="dxa"/>
            <w:bottom w:w="0" w:type="dxa"/>
          </w:tblCellMar>
        </w:tblPrEx>
        <w:tc>
          <w:tcPr>
            <w:tcW w:w="1440" w:type="dxa"/>
          </w:tcPr>
          <w:p w:rsidR="00000000" w:rsidRDefault="00000000">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outlineLvl w:val="0"/>
              <w:rPr>
                <w:bCs/>
                <w:noProof/>
                <w:color w:val="000000"/>
                <w:lang w:val="es-MX"/>
              </w:rPr>
            </w:pPr>
            <w:r>
              <w:rPr>
                <w:bCs/>
                <w:noProof/>
                <w:color w:val="000000"/>
                <w:lang w:val="es-MX"/>
              </w:rPr>
              <w:t>Cuadro 15:</w:t>
            </w:r>
          </w:p>
        </w:tc>
        <w:tc>
          <w:tcPr>
            <w:tcW w:w="7985" w:type="dxa"/>
          </w:tcPr>
          <w:p w:rsidR="00000000" w:rsidRDefault="00000000">
            <w:pPr>
              <w:pStyle w:val="Heading1"/>
              <w:keepNext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line="240" w:lineRule="auto"/>
              <w:jc w:val="left"/>
              <w:rPr>
                <w:bCs/>
                <w:u w:val="none"/>
                <w:lang w:val="es-ES"/>
              </w:rPr>
            </w:pPr>
            <w:r>
              <w:rPr>
                <w:bCs/>
                <w:u w:val="none"/>
                <w:lang w:val="es-ES"/>
              </w:rPr>
              <w:t>Mortalidad infantil.  Chile 1980-2001</w:t>
            </w:r>
          </w:p>
        </w:tc>
      </w:tr>
      <w:tr w:rsidR="00000000">
        <w:tblPrEx>
          <w:tblCellMar>
            <w:top w:w="0" w:type="dxa"/>
            <w:bottom w:w="0" w:type="dxa"/>
          </w:tblCellMar>
        </w:tblPrEx>
        <w:tc>
          <w:tcPr>
            <w:tcW w:w="1440" w:type="dxa"/>
          </w:tcPr>
          <w:p w:rsidR="00000000" w:rsidRDefault="00000000">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outlineLvl w:val="0"/>
              <w:rPr>
                <w:bCs/>
                <w:noProof/>
                <w:color w:val="000000"/>
              </w:rPr>
            </w:pPr>
            <w:r>
              <w:rPr>
                <w:bCs/>
                <w:noProof/>
                <w:color w:val="000000"/>
                <w:lang w:val="es-MX"/>
              </w:rPr>
              <w:t>Cuadro</w:t>
            </w:r>
            <w:r>
              <w:rPr>
                <w:bCs/>
                <w:noProof/>
                <w:color w:val="000000"/>
              </w:rPr>
              <w:t xml:space="preserve"> 16:</w:t>
            </w:r>
          </w:p>
        </w:tc>
        <w:tc>
          <w:tcPr>
            <w:tcW w:w="7985" w:type="dxa"/>
          </w:tcPr>
          <w:p w:rsidR="00000000" w:rsidRDefault="00000000">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outlineLvl w:val="0"/>
              <w:rPr>
                <w:bCs/>
                <w:noProof/>
                <w:color w:val="000000"/>
              </w:rPr>
            </w:pPr>
            <w:r>
              <w:rPr>
                <w:bCs/>
                <w:noProof/>
                <w:color w:val="000000"/>
                <w:lang w:val="es-MX"/>
              </w:rPr>
              <w:t>Coberturas</w:t>
            </w:r>
            <w:r>
              <w:rPr>
                <w:bCs/>
              </w:rPr>
              <w:t xml:space="preserve"> de </w:t>
            </w:r>
            <w:r>
              <w:rPr>
                <w:bCs/>
                <w:noProof/>
                <w:color w:val="000000"/>
              </w:rPr>
              <w:t xml:space="preserve">vacunación.  </w:t>
            </w:r>
            <w:r>
              <w:rPr>
                <w:bCs/>
                <w:noProof/>
                <w:color w:val="000000"/>
                <w:lang w:val="es-MX"/>
              </w:rPr>
              <w:t>Programa</w:t>
            </w:r>
            <w:r>
              <w:rPr>
                <w:bCs/>
              </w:rPr>
              <w:t xml:space="preserve"> ampliado de </w:t>
            </w:r>
            <w:r>
              <w:rPr>
                <w:bCs/>
                <w:noProof/>
                <w:color w:val="000000"/>
              </w:rPr>
              <w:t>inmunizaciones</w:t>
            </w:r>
            <w:r>
              <w:rPr>
                <w:bCs/>
              </w:rPr>
              <w:t>, 1997-2002</w:t>
            </w:r>
          </w:p>
        </w:tc>
      </w:tr>
      <w:tr w:rsidR="00000000">
        <w:tblPrEx>
          <w:tblCellMar>
            <w:top w:w="0" w:type="dxa"/>
            <w:bottom w:w="0" w:type="dxa"/>
          </w:tblCellMar>
        </w:tblPrEx>
        <w:tc>
          <w:tcPr>
            <w:tcW w:w="1440" w:type="dxa"/>
          </w:tcPr>
          <w:p w:rsidR="00000000" w:rsidRDefault="00000000">
            <w:pPr>
              <w:pStyle w:val="Heading1"/>
              <w:keepNext w:val="0"/>
              <w:tabs>
                <w:tab w:val="clear" w:pos="4873"/>
              </w:tabs>
              <w:spacing w:after="200" w:line="256" w:lineRule="exact"/>
              <w:jc w:val="left"/>
              <w:rPr>
                <w:bCs/>
                <w:u w:val="none"/>
                <w:lang w:val="es-ES"/>
              </w:rPr>
            </w:pPr>
            <w:r>
              <w:rPr>
                <w:bCs/>
                <w:u w:val="none"/>
                <w:lang w:val="es-ES"/>
              </w:rPr>
              <w:t>Cuadro 17:</w:t>
            </w:r>
          </w:p>
        </w:tc>
        <w:tc>
          <w:tcPr>
            <w:tcW w:w="7985" w:type="dxa"/>
          </w:tcPr>
          <w:p w:rsidR="00000000" w:rsidRDefault="00000000">
            <w:pPr>
              <w:widowControl w:val="0"/>
              <w:spacing w:after="240" w:line="256" w:lineRule="exact"/>
              <w:rPr>
                <w:bCs/>
                <w:noProof/>
                <w:color w:val="000000"/>
              </w:rPr>
            </w:pPr>
            <w:r>
              <w:rPr>
                <w:bCs/>
                <w:noProof/>
                <w:color w:val="000000"/>
              </w:rPr>
              <w:t>Reducción del número de embarazadas con déficit nutricional</w:t>
            </w:r>
          </w:p>
        </w:tc>
      </w:tr>
      <w:tr w:rsidR="00000000">
        <w:tblPrEx>
          <w:tblCellMar>
            <w:top w:w="0" w:type="dxa"/>
            <w:bottom w:w="0" w:type="dxa"/>
          </w:tblCellMar>
        </w:tblPrEx>
        <w:tc>
          <w:tcPr>
            <w:tcW w:w="1440" w:type="dxa"/>
          </w:tcPr>
          <w:p w:rsidR="00000000" w:rsidRDefault="00000000">
            <w:pPr>
              <w:widowControl w:val="0"/>
              <w:spacing w:after="200" w:line="256" w:lineRule="exact"/>
              <w:outlineLvl w:val="0"/>
              <w:rPr>
                <w:bCs/>
                <w:noProof/>
                <w:color w:val="000000"/>
              </w:rPr>
            </w:pPr>
            <w:r>
              <w:rPr>
                <w:bCs/>
                <w:noProof/>
                <w:color w:val="000000"/>
              </w:rPr>
              <w:t>Cuadro 18:</w:t>
            </w:r>
          </w:p>
        </w:tc>
        <w:tc>
          <w:tcPr>
            <w:tcW w:w="7985" w:type="dxa"/>
          </w:tcPr>
          <w:p w:rsidR="00000000" w:rsidRDefault="00000000">
            <w:pPr>
              <w:widowControl w:val="0"/>
              <w:spacing w:after="240" w:line="256" w:lineRule="exact"/>
              <w:outlineLvl w:val="0"/>
              <w:rPr>
                <w:bCs/>
                <w:noProof/>
                <w:color w:val="000000"/>
              </w:rPr>
            </w:pPr>
            <w:r>
              <w:rPr>
                <w:bCs/>
                <w:noProof/>
                <w:color w:val="000000"/>
              </w:rPr>
              <w:t>Causas de mortalidad materna, 2001</w:t>
            </w:r>
          </w:p>
        </w:tc>
      </w:tr>
      <w:tr w:rsidR="00000000">
        <w:tblPrEx>
          <w:tblCellMar>
            <w:top w:w="0" w:type="dxa"/>
            <w:bottom w:w="0" w:type="dxa"/>
          </w:tblCellMar>
        </w:tblPrEx>
        <w:tc>
          <w:tcPr>
            <w:tcW w:w="1440" w:type="dxa"/>
          </w:tcPr>
          <w:p w:rsidR="00000000" w:rsidRDefault="00000000">
            <w:pPr>
              <w:widowControl w:val="0"/>
              <w:spacing w:after="200" w:line="256" w:lineRule="exact"/>
              <w:rPr>
                <w:bCs/>
                <w:noProof/>
                <w:color w:val="000000"/>
              </w:rPr>
            </w:pPr>
            <w:r>
              <w:rPr>
                <w:bCs/>
                <w:noProof/>
                <w:color w:val="000000"/>
              </w:rPr>
              <w:t>Cuadro 19:</w:t>
            </w:r>
          </w:p>
        </w:tc>
        <w:tc>
          <w:tcPr>
            <w:tcW w:w="7985" w:type="dxa"/>
          </w:tcPr>
          <w:p w:rsidR="00000000" w:rsidRDefault="00000000">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00" w:line="256" w:lineRule="exact"/>
              <w:rPr>
                <w:bCs/>
                <w:noProof/>
                <w:color w:val="000000"/>
              </w:rPr>
            </w:pPr>
            <w:r>
              <w:rPr>
                <w:bCs/>
                <w:noProof/>
                <w:color w:val="000000"/>
              </w:rPr>
              <w:t>Indicadores de salud materna y perinatal.  Chile 1990-2001</w:t>
            </w:r>
          </w:p>
        </w:tc>
      </w:tr>
      <w:tr w:rsidR="00000000">
        <w:tblPrEx>
          <w:tblCellMar>
            <w:top w:w="0" w:type="dxa"/>
            <w:bottom w:w="0" w:type="dxa"/>
          </w:tblCellMar>
        </w:tblPrEx>
        <w:tc>
          <w:tcPr>
            <w:tcW w:w="1440" w:type="dxa"/>
          </w:tcPr>
          <w:p w:rsidR="00000000" w:rsidRDefault="00000000">
            <w:pPr>
              <w:widowControl w:val="0"/>
              <w:spacing w:after="240"/>
              <w:rPr>
                <w:bCs/>
                <w:lang w:val="es-MX"/>
              </w:rPr>
            </w:pPr>
            <w:r>
              <w:rPr>
                <w:bCs/>
                <w:lang w:val="es-MX"/>
              </w:rPr>
              <w:t>Cuadro 20:</w:t>
            </w:r>
          </w:p>
        </w:tc>
        <w:tc>
          <w:tcPr>
            <w:tcW w:w="7985" w:type="dxa"/>
          </w:tcPr>
          <w:p w:rsidR="00000000" w:rsidRDefault="00000000">
            <w:pPr>
              <w:widowControl w:val="0"/>
              <w:spacing w:after="240"/>
              <w:rPr>
                <w:bCs/>
              </w:rPr>
            </w:pPr>
            <w:r>
              <w:rPr>
                <w:bCs/>
                <w:lang w:val="es-MX"/>
              </w:rPr>
              <w:t>Vigilancia epidemiológica del VIH/SIDA en Chile</w:t>
            </w:r>
          </w:p>
        </w:tc>
      </w:tr>
      <w:tr w:rsidR="00000000">
        <w:tblPrEx>
          <w:tblCellMar>
            <w:top w:w="0" w:type="dxa"/>
            <w:bottom w:w="0" w:type="dxa"/>
          </w:tblCellMar>
        </w:tblPrEx>
        <w:tc>
          <w:tcPr>
            <w:tcW w:w="1440" w:type="dxa"/>
          </w:tcPr>
          <w:p w:rsidR="00000000" w:rsidRDefault="00000000">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outlineLvl w:val="0"/>
              <w:rPr>
                <w:bCs/>
                <w:noProof/>
                <w:color w:val="000000"/>
                <w:lang w:val="es-MX"/>
              </w:rPr>
            </w:pPr>
            <w:r>
              <w:rPr>
                <w:bCs/>
                <w:noProof/>
                <w:color w:val="000000"/>
                <w:lang w:val="es-MX"/>
              </w:rPr>
              <w:t>Cuadro 21:</w:t>
            </w:r>
          </w:p>
        </w:tc>
        <w:tc>
          <w:tcPr>
            <w:tcW w:w="7985" w:type="dxa"/>
          </w:tcPr>
          <w:p w:rsidR="00000000" w:rsidRDefault="00000000">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rPr>
                <w:bCs/>
                <w:noProof/>
                <w:color w:val="000000"/>
                <w:lang w:val="es-MX"/>
              </w:rPr>
            </w:pPr>
            <w:r>
              <w:rPr>
                <w:bCs/>
                <w:noProof/>
                <w:color w:val="000000"/>
                <w:lang w:val="es-MX"/>
              </w:rPr>
              <w:t>Pensiones de Orfandad.  Número promedio de beneficiarios, según fuente legal</w:t>
            </w:r>
          </w:p>
        </w:tc>
      </w:tr>
      <w:tr w:rsidR="00000000">
        <w:tblPrEx>
          <w:tblCellMar>
            <w:top w:w="0" w:type="dxa"/>
            <w:bottom w:w="0" w:type="dxa"/>
          </w:tblCellMar>
        </w:tblPrEx>
        <w:tc>
          <w:tcPr>
            <w:tcW w:w="1440" w:type="dxa"/>
          </w:tcPr>
          <w:p w:rsidR="00000000" w:rsidRDefault="00000000">
            <w:pPr>
              <w:keepNext/>
              <w:keepLines/>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outlineLvl w:val="0"/>
              <w:rPr>
                <w:bCs/>
                <w:noProof/>
                <w:color w:val="000000"/>
                <w:lang w:val="es-MX"/>
              </w:rPr>
            </w:pPr>
            <w:r>
              <w:rPr>
                <w:bCs/>
                <w:noProof/>
                <w:color w:val="000000"/>
                <w:lang w:val="es-MX"/>
              </w:rPr>
              <w:t>Cuadro 22:</w:t>
            </w:r>
          </w:p>
        </w:tc>
        <w:tc>
          <w:tcPr>
            <w:tcW w:w="7985" w:type="dxa"/>
          </w:tcPr>
          <w:p w:rsidR="00000000" w:rsidRDefault="00000000">
            <w:pPr>
              <w:keepNext/>
              <w:keepLines/>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rPr>
                <w:bCs/>
                <w:noProof/>
                <w:color w:val="000000"/>
                <w:lang w:val="es-MX"/>
              </w:rPr>
            </w:pPr>
            <w:r>
              <w:rPr>
                <w:bCs/>
                <w:noProof/>
                <w:color w:val="000000"/>
                <w:lang w:val="es-MX"/>
              </w:rPr>
              <w:t>Asignaciones familiares.  Resumen número promedio mensual de causantes y beneficiarios y monto anual pagado</w:t>
            </w:r>
          </w:p>
        </w:tc>
      </w:tr>
      <w:tr w:rsidR="00000000">
        <w:tblPrEx>
          <w:tblCellMar>
            <w:top w:w="0" w:type="dxa"/>
            <w:bottom w:w="0" w:type="dxa"/>
          </w:tblCellMar>
        </w:tblPrEx>
        <w:tc>
          <w:tcPr>
            <w:tcW w:w="1440" w:type="dxa"/>
          </w:tcPr>
          <w:p w:rsidR="00000000" w:rsidRDefault="00000000">
            <w:pPr>
              <w:widowControl w:val="0"/>
              <w:spacing w:after="200"/>
              <w:outlineLvl w:val="0"/>
              <w:rPr>
                <w:bCs/>
                <w:noProof/>
                <w:color w:val="000000"/>
                <w:lang w:val="es-MX"/>
              </w:rPr>
            </w:pPr>
            <w:r>
              <w:rPr>
                <w:bCs/>
                <w:noProof/>
                <w:color w:val="000000"/>
                <w:lang w:val="es-MX"/>
              </w:rPr>
              <w:t>Cuadro 23:</w:t>
            </w:r>
          </w:p>
        </w:tc>
        <w:tc>
          <w:tcPr>
            <w:tcW w:w="7985" w:type="dxa"/>
          </w:tcPr>
          <w:p w:rsidR="00000000" w:rsidRDefault="00000000">
            <w:pPr>
              <w:widowControl w:val="0"/>
              <w:spacing w:after="200"/>
            </w:pPr>
            <w:r>
              <w:rPr>
                <w:noProof/>
                <w:color w:val="000000"/>
                <w:lang w:val="es-MX"/>
              </w:rPr>
              <w:t xml:space="preserve">Subsidios Únicos Familiares (SUF).  </w:t>
            </w:r>
            <w:r>
              <w:t>Resumen del promedio mensual de causantes y monto pagado</w:t>
            </w:r>
          </w:p>
        </w:tc>
      </w:tr>
      <w:tr w:rsidR="00000000">
        <w:tblPrEx>
          <w:tblCellMar>
            <w:top w:w="0" w:type="dxa"/>
            <w:bottom w:w="0" w:type="dxa"/>
          </w:tblCellMar>
        </w:tblPrEx>
        <w:tc>
          <w:tcPr>
            <w:tcW w:w="1440" w:type="dxa"/>
          </w:tcPr>
          <w:p w:rsidR="00000000" w:rsidRDefault="00000000">
            <w:pPr>
              <w:widowControl w:val="0"/>
              <w:spacing w:after="240"/>
              <w:outlineLvl w:val="0"/>
              <w:rPr>
                <w:bCs/>
                <w:noProof/>
                <w:color w:val="000000"/>
              </w:rPr>
            </w:pPr>
            <w:r>
              <w:rPr>
                <w:bCs/>
                <w:noProof/>
                <w:color w:val="000000"/>
              </w:rPr>
              <w:t>Cuadro 24:</w:t>
            </w:r>
          </w:p>
        </w:tc>
        <w:tc>
          <w:tcPr>
            <w:tcW w:w="7985" w:type="dxa"/>
          </w:tcPr>
          <w:p w:rsidR="00000000" w:rsidRDefault="00000000">
            <w:pPr>
              <w:widowControl w:val="0"/>
              <w:spacing w:after="240"/>
              <w:rPr>
                <w:bCs/>
                <w:noProof/>
                <w:color w:val="000000"/>
              </w:rPr>
            </w:pPr>
            <w:r>
              <w:rPr>
                <w:bCs/>
                <w:noProof/>
                <w:color w:val="000000"/>
              </w:rPr>
              <w:t>Gasto público en educación, 1995-2001</w:t>
            </w:r>
          </w:p>
        </w:tc>
      </w:tr>
      <w:tr w:rsidR="00000000">
        <w:tblPrEx>
          <w:tblCellMar>
            <w:top w:w="0" w:type="dxa"/>
            <w:bottom w:w="0" w:type="dxa"/>
          </w:tblCellMar>
        </w:tblPrEx>
        <w:tc>
          <w:tcPr>
            <w:tcW w:w="1440" w:type="dxa"/>
          </w:tcPr>
          <w:p w:rsidR="00000000" w:rsidRDefault="00000000">
            <w:pPr>
              <w:widowControl w:val="0"/>
              <w:spacing w:before="120" w:after="240"/>
              <w:outlineLvl w:val="0"/>
              <w:rPr>
                <w:bCs/>
                <w:noProof/>
                <w:color w:val="000000"/>
              </w:rPr>
            </w:pPr>
            <w:r>
              <w:rPr>
                <w:bCs/>
                <w:noProof/>
                <w:color w:val="000000"/>
              </w:rPr>
              <w:t>Cuadro 25:</w:t>
            </w:r>
          </w:p>
        </w:tc>
        <w:tc>
          <w:tcPr>
            <w:tcW w:w="7985" w:type="dxa"/>
          </w:tcPr>
          <w:p w:rsidR="00000000" w:rsidRDefault="00000000">
            <w:pPr>
              <w:widowControl w:val="0"/>
              <w:spacing w:after="240"/>
              <w:rPr>
                <w:bCs/>
                <w:noProof/>
                <w:color w:val="000000"/>
              </w:rPr>
            </w:pPr>
            <w:r>
              <w:rPr>
                <w:bCs/>
                <w:noProof/>
                <w:color w:val="000000"/>
              </w:rPr>
              <w:t>Incrementos anuales en el número de becas indígenas según nivel educacional, 1997-2003</w:t>
            </w:r>
          </w:p>
        </w:tc>
      </w:tr>
      <w:tr w:rsidR="00000000">
        <w:tblPrEx>
          <w:tblCellMar>
            <w:top w:w="0" w:type="dxa"/>
            <w:bottom w:w="0" w:type="dxa"/>
          </w:tblCellMar>
        </w:tblPrEx>
        <w:tc>
          <w:tcPr>
            <w:tcW w:w="1440" w:type="dxa"/>
          </w:tcPr>
          <w:p w:rsidR="00000000" w:rsidRDefault="00000000">
            <w:pPr>
              <w:widowControl w:val="0"/>
              <w:spacing w:after="240"/>
              <w:outlineLvl w:val="0"/>
              <w:rPr>
                <w:bCs/>
                <w:noProof/>
                <w:color w:val="000000"/>
              </w:rPr>
            </w:pPr>
            <w:r>
              <w:rPr>
                <w:bCs/>
                <w:noProof/>
                <w:color w:val="000000"/>
              </w:rPr>
              <w:t>Cuadro 26:</w:t>
            </w:r>
          </w:p>
        </w:tc>
        <w:tc>
          <w:tcPr>
            <w:tcW w:w="7985" w:type="dxa"/>
          </w:tcPr>
          <w:p w:rsidR="00000000" w:rsidRDefault="00000000">
            <w:pPr>
              <w:widowControl w:val="0"/>
              <w:spacing w:after="240"/>
              <w:rPr>
                <w:bCs/>
                <w:noProof/>
                <w:color w:val="000000"/>
              </w:rPr>
            </w:pPr>
            <w:r>
              <w:rPr>
                <w:bCs/>
                <w:noProof/>
                <w:color w:val="000000"/>
              </w:rPr>
              <w:t>Beneficiarios de los programas de apoyo integral</w:t>
            </w:r>
          </w:p>
        </w:tc>
      </w:tr>
      <w:tr w:rsidR="00000000">
        <w:tblPrEx>
          <w:tblCellMar>
            <w:top w:w="0" w:type="dxa"/>
            <w:bottom w:w="0" w:type="dxa"/>
          </w:tblCellMar>
        </w:tblPrEx>
        <w:tc>
          <w:tcPr>
            <w:tcW w:w="1440" w:type="dxa"/>
          </w:tcPr>
          <w:p w:rsidR="00000000" w:rsidRDefault="00000000">
            <w:pPr>
              <w:widowControl w:val="0"/>
              <w:spacing w:after="240"/>
              <w:outlineLvl w:val="0"/>
              <w:rPr>
                <w:bCs/>
                <w:noProof/>
                <w:color w:val="000000"/>
              </w:rPr>
            </w:pPr>
            <w:r>
              <w:rPr>
                <w:bCs/>
                <w:noProof/>
                <w:color w:val="000000"/>
              </w:rPr>
              <w:t>Cuadro 27:</w:t>
            </w:r>
          </w:p>
        </w:tc>
        <w:tc>
          <w:tcPr>
            <w:tcW w:w="7985" w:type="dxa"/>
          </w:tcPr>
          <w:p w:rsidR="00000000" w:rsidRDefault="00000000">
            <w:pPr>
              <w:widowControl w:val="0"/>
              <w:spacing w:after="360"/>
              <w:rPr>
                <w:bCs/>
                <w:noProof/>
                <w:color w:val="000000"/>
              </w:rPr>
            </w:pPr>
            <w:r>
              <w:rPr>
                <w:bCs/>
                <w:noProof/>
                <w:color w:val="000000"/>
              </w:rPr>
              <w:t>Gráfico Beneficiarios.  Productos de Apoyo Integral</w:t>
            </w:r>
          </w:p>
        </w:tc>
      </w:tr>
      <w:tr w:rsidR="00000000">
        <w:tblPrEx>
          <w:tblCellMar>
            <w:top w:w="0" w:type="dxa"/>
            <w:bottom w:w="0" w:type="dxa"/>
          </w:tblCellMar>
        </w:tblPrEx>
        <w:tc>
          <w:tcPr>
            <w:tcW w:w="1440" w:type="dxa"/>
          </w:tcPr>
          <w:p w:rsidR="00000000" w:rsidRDefault="00000000">
            <w:pPr>
              <w:widowControl w:val="0"/>
              <w:spacing w:after="240"/>
              <w:outlineLvl w:val="0"/>
              <w:rPr>
                <w:bCs/>
                <w:noProof/>
                <w:color w:val="000000"/>
              </w:rPr>
            </w:pPr>
            <w:r>
              <w:rPr>
                <w:bCs/>
                <w:noProof/>
                <w:color w:val="000000"/>
              </w:rPr>
              <w:t>Cuadro 28:</w:t>
            </w:r>
          </w:p>
        </w:tc>
        <w:tc>
          <w:tcPr>
            <w:tcW w:w="7985" w:type="dxa"/>
          </w:tcPr>
          <w:p w:rsidR="00000000" w:rsidRDefault="00000000">
            <w:pPr>
              <w:widowControl w:val="0"/>
              <w:spacing w:after="240"/>
              <w:rPr>
                <w:bCs/>
                <w:noProof/>
                <w:color w:val="000000"/>
              </w:rPr>
            </w:pPr>
            <w:r>
              <w:rPr>
                <w:bCs/>
                <w:noProof/>
                <w:color w:val="000000"/>
              </w:rPr>
              <w:t>Evolución de presupuesto JUNAEB</w:t>
            </w:r>
          </w:p>
        </w:tc>
      </w:tr>
      <w:tr w:rsidR="00000000">
        <w:tblPrEx>
          <w:tblCellMar>
            <w:top w:w="0" w:type="dxa"/>
            <w:bottom w:w="0" w:type="dxa"/>
          </w:tblCellMar>
        </w:tblPrEx>
        <w:tc>
          <w:tcPr>
            <w:tcW w:w="1440" w:type="dxa"/>
          </w:tcPr>
          <w:p w:rsidR="00000000" w:rsidRDefault="00000000">
            <w:pPr>
              <w:widowControl w:val="0"/>
              <w:spacing w:after="240"/>
              <w:rPr>
                <w:bCs/>
                <w:noProof/>
                <w:color w:val="000000"/>
              </w:rPr>
            </w:pPr>
            <w:r>
              <w:rPr>
                <w:bCs/>
                <w:noProof/>
                <w:color w:val="000000"/>
              </w:rPr>
              <w:t>Cuadro 29:</w:t>
            </w:r>
          </w:p>
        </w:tc>
        <w:tc>
          <w:tcPr>
            <w:tcW w:w="7985" w:type="dxa"/>
          </w:tcPr>
          <w:p w:rsidR="00000000" w:rsidRDefault="00000000">
            <w:pPr>
              <w:widowControl w:val="0"/>
              <w:spacing w:after="240"/>
              <w:rPr>
                <w:bCs/>
                <w:noProof/>
                <w:color w:val="000000"/>
              </w:rPr>
            </w:pPr>
            <w:r>
              <w:rPr>
                <w:bCs/>
                <w:noProof/>
                <w:color w:val="000000"/>
              </w:rPr>
              <w:t>Establecimientos programa jardín infantil étnico presencial</w:t>
            </w:r>
            <w:r>
              <w:rPr>
                <w:bCs/>
                <w:noProof/>
                <w:color w:val="000000"/>
              </w:rPr>
              <w:br/>
              <w:t>por comuna.  Julio de 2003</w:t>
            </w:r>
          </w:p>
        </w:tc>
      </w:tr>
      <w:tr w:rsidR="00000000">
        <w:tblPrEx>
          <w:tblCellMar>
            <w:top w:w="0" w:type="dxa"/>
            <w:bottom w:w="0" w:type="dxa"/>
          </w:tblCellMar>
        </w:tblPrEx>
        <w:tc>
          <w:tcPr>
            <w:tcW w:w="1440" w:type="dxa"/>
          </w:tcPr>
          <w:p w:rsidR="00000000" w:rsidRDefault="00000000">
            <w:pPr>
              <w:widowControl w:val="0"/>
              <w:spacing w:after="240"/>
              <w:outlineLvl w:val="0"/>
              <w:rPr>
                <w:bCs/>
                <w:noProof/>
                <w:color w:val="000000"/>
              </w:rPr>
            </w:pPr>
            <w:r>
              <w:rPr>
                <w:bCs/>
                <w:noProof/>
                <w:color w:val="000000"/>
              </w:rPr>
              <w:t>Cuadro 30:</w:t>
            </w:r>
          </w:p>
        </w:tc>
        <w:tc>
          <w:tcPr>
            <w:tcW w:w="7985" w:type="dxa"/>
          </w:tcPr>
          <w:p w:rsidR="00000000" w:rsidRDefault="00000000">
            <w:pPr>
              <w:pStyle w:val="Heading2"/>
              <w:keepNext w:val="0"/>
              <w:widowControl w:val="0"/>
              <w:spacing w:after="240"/>
              <w:jc w:val="left"/>
              <w:rPr>
                <w:b w:val="0"/>
                <w:bCs/>
                <w:lang w:val="es-ES"/>
              </w:rPr>
            </w:pPr>
            <w:r>
              <w:rPr>
                <w:b w:val="0"/>
                <w:bCs/>
                <w:caps w:val="0"/>
                <w:lang w:val="es-ES"/>
              </w:rPr>
              <w:t>Matrícula de proyectos de integración escolar</w:t>
            </w:r>
          </w:p>
        </w:tc>
      </w:tr>
      <w:tr w:rsidR="00000000">
        <w:tblPrEx>
          <w:tblCellMar>
            <w:top w:w="0" w:type="dxa"/>
            <w:bottom w:w="0" w:type="dxa"/>
          </w:tblCellMar>
        </w:tblPrEx>
        <w:tc>
          <w:tcPr>
            <w:tcW w:w="1440" w:type="dxa"/>
          </w:tcPr>
          <w:p w:rsidR="00000000" w:rsidRDefault="00000000">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outlineLvl w:val="0"/>
              <w:rPr>
                <w:bCs/>
                <w:noProof/>
                <w:color w:val="000000"/>
              </w:rPr>
            </w:pPr>
            <w:r>
              <w:rPr>
                <w:bCs/>
                <w:noProof/>
                <w:color w:val="000000"/>
              </w:rPr>
              <w:t>Cuadro 31:</w:t>
            </w:r>
          </w:p>
        </w:tc>
        <w:tc>
          <w:tcPr>
            <w:tcW w:w="7985" w:type="dxa"/>
          </w:tcPr>
          <w:p w:rsidR="00000000" w:rsidRDefault="00000000">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rPr>
                <w:bCs/>
                <w:noProof/>
                <w:color w:val="000000"/>
              </w:rPr>
            </w:pPr>
            <w:r>
              <w:rPr>
                <w:bCs/>
                <w:noProof/>
                <w:color w:val="000000"/>
              </w:rPr>
              <w:t>Matrícula en escuelas y aulas hospitalarias</w:t>
            </w:r>
          </w:p>
        </w:tc>
      </w:tr>
      <w:tr w:rsidR="00000000">
        <w:tblPrEx>
          <w:tblCellMar>
            <w:top w:w="0" w:type="dxa"/>
            <w:bottom w:w="0" w:type="dxa"/>
          </w:tblCellMar>
        </w:tblPrEx>
        <w:tc>
          <w:tcPr>
            <w:tcW w:w="1440" w:type="dxa"/>
          </w:tcPr>
          <w:p w:rsidR="00000000" w:rsidRDefault="00000000">
            <w:pPr>
              <w:widowControl w:val="0"/>
              <w:spacing w:after="240"/>
              <w:outlineLvl w:val="0"/>
              <w:rPr>
                <w:bCs/>
                <w:noProof/>
                <w:color w:val="000000"/>
              </w:rPr>
            </w:pPr>
            <w:r>
              <w:rPr>
                <w:bCs/>
                <w:noProof/>
                <w:color w:val="000000"/>
              </w:rPr>
              <w:t>Cuadro 32:</w:t>
            </w:r>
          </w:p>
        </w:tc>
        <w:tc>
          <w:tcPr>
            <w:tcW w:w="7985" w:type="dxa"/>
          </w:tcPr>
          <w:p w:rsidR="00000000" w:rsidRDefault="00000000">
            <w:pPr>
              <w:widowControl w:val="0"/>
              <w:spacing w:after="240"/>
              <w:outlineLvl w:val="0"/>
              <w:rPr>
                <w:bCs/>
                <w:noProof/>
                <w:color w:val="000000"/>
              </w:rPr>
            </w:pPr>
            <w:r>
              <w:rPr>
                <w:bCs/>
                <w:noProof/>
                <w:color w:val="000000"/>
              </w:rPr>
              <w:t>Escuelas especiales</w:t>
            </w:r>
          </w:p>
        </w:tc>
      </w:tr>
      <w:tr w:rsidR="00000000">
        <w:tblPrEx>
          <w:tblCellMar>
            <w:top w:w="0" w:type="dxa"/>
            <w:bottom w:w="0" w:type="dxa"/>
          </w:tblCellMar>
        </w:tblPrEx>
        <w:tc>
          <w:tcPr>
            <w:tcW w:w="1440" w:type="dxa"/>
          </w:tcPr>
          <w:p w:rsidR="00000000" w:rsidRDefault="00000000">
            <w:pPr>
              <w:widowControl w:val="0"/>
              <w:spacing w:after="240"/>
              <w:outlineLvl w:val="0"/>
              <w:rPr>
                <w:bCs/>
                <w:noProof/>
                <w:color w:val="000000"/>
              </w:rPr>
            </w:pPr>
            <w:r>
              <w:rPr>
                <w:bCs/>
                <w:noProof/>
                <w:color w:val="000000"/>
              </w:rPr>
              <w:t>Cuadro 33:</w:t>
            </w:r>
          </w:p>
        </w:tc>
        <w:tc>
          <w:tcPr>
            <w:tcW w:w="7985" w:type="dxa"/>
          </w:tcPr>
          <w:p w:rsidR="00000000" w:rsidRDefault="00000000">
            <w:pPr>
              <w:widowControl w:val="0"/>
              <w:spacing w:after="240"/>
              <w:rPr>
                <w:bCs/>
                <w:noProof/>
                <w:color w:val="000000"/>
              </w:rPr>
            </w:pPr>
            <w:r>
              <w:rPr>
                <w:bCs/>
                <w:noProof/>
                <w:color w:val="000000"/>
              </w:rPr>
              <w:t>Docentes de aula según nivel de enseñanza</w:t>
            </w:r>
          </w:p>
        </w:tc>
      </w:tr>
      <w:tr w:rsidR="00000000">
        <w:tblPrEx>
          <w:tblCellMar>
            <w:top w:w="0" w:type="dxa"/>
            <w:bottom w:w="0" w:type="dxa"/>
          </w:tblCellMar>
        </w:tblPrEx>
        <w:tc>
          <w:tcPr>
            <w:tcW w:w="1440" w:type="dxa"/>
          </w:tcPr>
          <w:p w:rsidR="00000000" w:rsidRDefault="00000000">
            <w:pPr>
              <w:widowControl w:val="0"/>
              <w:spacing w:after="240"/>
              <w:outlineLvl w:val="0"/>
              <w:rPr>
                <w:bCs/>
                <w:noProof/>
                <w:color w:val="000000"/>
              </w:rPr>
            </w:pPr>
            <w:r>
              <w:rPr>
                <w:bCs/>
                <w:noProof/>
                <w:color w:val="000000"/>
              </w:rPr>
              <w:t>Cuadro 34:</w:t>
            </w:r>
          </w:p>
        </w:tc>
        <w:tc>
          <w:tcPr>
            <w:tcW w:w="7985" w:type="dxa"/>
          </w:tcPr>
          <w:p w:rsidR="00000000" w:rsidRDefault="00000000">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rPr>
                <w:bCs/>
                <w:noProof/>
                <w:color w:val="000000"/>
              </w:rPr>
            </w:pPr>
            <w:r>
              <w:rPr>
                <w:bCs/>
                <w:noProof/>
                <w:color w:val="000000"/>
              </w:rPr>
              <w:t>Inversión en infraestructura para jornada escolar completa</w:t>
            </w:r>
          </w:p>
        </w:tc>
      </w:tr>
      <w:tr w:rsidR="00000000">
        <w:tblPrEx>
          <w:tblCellMar>
            <w:top w:w="0" w:type="dxa"/>
            <w:bottom w:w="0" w:type="dxa"/>
          </w:tblCellMar>
        </w:tblPrEx>
        <w:tc>
          <w:tcPr>
            <w:tcW w:w="1440" w:type="dxa"/>
          </w:tcPr>
          <w:p w:rsidR="00000000" w:rsidRDefault="00000000">
            <w:pPr>
              <w:widowControl w:val="0"/>
              <w:spacing w:after="240"/>
              <w:outlineLvl w:val="0"/>
              <w:rPr>
                <w:bCs/>
                <w:noProof/>
                <w:color w:val="000000"/>
              </w:rPr>
            </w:pPr>
            <w:r>
              <w:rPr>
                <w:bCs/>
                <w:noProof/>
                <w:color w:val="000000"/>
              </w:rPr>
              <w:t>Cuadro 35:</w:t>
            </w:r>
          </w:p>
        </w:tc>
        <w:tc>
          <w:tcPr>
            <w:tcW w:w="7985" w:type="dxa"/>
          </w:tcPr>
          <w:p w:rsidR="00000000" w:rsidRDefault="00000000">
            <w:pPr>
              <w:widowControl w:val="0"/>
              <w:spacing w:after="240"/>
              <w:rPr>
                <w:bCs/>
                <w:noProof/>
                <w:color w:val="000000"/>
              </w:rPr>
            </w:pPr>
            <w:r>
              <w:rPr>
                <w:bCs/>
                <w:noProof/>
                <w:color w:val="000000"/>
              </w:rPr>
              <w:t>Serie histórica de matrícula y establecimientos subvencionados incorporados a jornada escolar completa</w:t>
            </w:r>
          </w:p>
        </w:tc>
      </w:tr>
      <w:tr w:rsidR="00000000">
        <w:tblPrEx>
          <w:tblCellMar>
            <w:top w:w="0" w:type="dxa"/>
            <w:bottom w:w="0" w:type="dxa"/>
          </w:tblCellMar>
        </w:tblPrEx>
        <w:tc>
          <w:tcPr>
            <w:tcW w:w="1440" w:type="dxa"/>
          </w:tcPr>
          <w:p w:rsidR="00000000" w:rsidRDefault="00000000">
            <w:pPr>
              <w:widowControl w:val="0"/>
              <w:spacing w:after="240"/>
              <w:outlineLvl w:val="0"/>
              <w:rPr>
                <w:bCs/>
                <w:noProof/>
              </w:rPr>
            </w:pPr>
            <w:r>
              <w:rPr>
                <w:bCs/>
                <w:noProof/>
              </w:rPr>
              <w:t>Cuadro 36:</w:t>
            </w:r>
          </w:p>
        </w:tc>
        <w:tc>
          <w:tcPr>
            <w:tcW w:w="7985" w:type="dxa"/>
          </w:tcPr>
          <w:p w:rsidR="00000000" w:rsidRDefault="00000000">
            <w:pPr>
              <w:widowControl w:val="0"/>
              <w:spacing w:after="240"/>
              <w:rPr>
                <w:bCs/>
                <w:noProof/>
              </w:rPr>
            </w:pPr>
            <w:r>
              <w:rPr>
                <w:bCs/>
                <w:noProof/>
              </w:rPr>
              <w:t>Índice de analfabetismo, 1996-2001</w:t>
            </w:r>
          </w:p>
        </w:tc>
      </w:tr>
      <w:tr w:rsidR="00000000">
        <w:tblPrEx>
          <w:tblCellMar>
            <w:top w:w="0" w:type="dxa"/>
            <w:bottom w:w="0" w:type="dxa"/>
          </w:tblCellMar>
        </w:tblPrEx>
        <w:tc>
          <w:tcPr>
            <w:tcW w:w="1440" w:type="dxa"/>
          </w:tcPr>
          <w:p w:rsidR="00000000" w:rsidRDefault="00000000">
            <w:pPr>
              <w:widowControl w:val="0"/>
              <w:spacing w:after="240"/>
              <w:outlineLvl w:val="0"/>
              <w:rPr>
                <w:bCs/>
                <w:noProof/>
              </w:rPr>
            </w:pPr>
            <w:r>
              <w:rPr>
                <w:bCs/>
                <w:noProof/>
              </w:rPr>
              <w:t>Cuadro 37:</w:t>
            </w:r>
          </w:p>
        </w:tc>
        <w:tc>
          <w:tcPr>
            <w:tcW w:w="7985" w:type="dxa"/>
          </w:tcPr>
          <w:p w:rsidR="00000000" w:rsidRDefault="00000000">
            <w:pPr>
              <w:widowControl w:val="0"/>
              <w:spacing w:after="240"/>
              <w:outlineLvl w:val="0"/>
              <w:rPr>
                <w:bCs/>
                <w:noProof/>
              </w:rPr>
            </w:pPr>
            <w:r>
              <w:rPr>
                <w:bCs/>
                <w:noProof/>
              </w:rPr>
              <w:t>Analfabetismo por zona y región, 2003</w:t>
            </w:r>
          </w:p>
        </w:tc>
      </w:tr>
      <w:tr w:rsidR="00000000">
        <w:tblPrEx>
          <w:tblCellMar>
            <w:top w:w="0" w:type="dxa"/>
            <w:bottom w:w="0" w:type="dxa"/>
          </w:tblCellMar>
        </w:tblPrEx>
        <w:tc>
          <w:tcPr>
            <w:tcW w:w="1440" w:type="dxa"/>
          </w:tcPr>
          <w:p w:rsidR="00000000" w:rsidRDefault="00000000">
            <w:pPr>
              <w:widowControl w:val="0"/>
              <w:spacing w:after="240"/>
              <w:outlineLvl w:val="0"/>
              <w:rPr>
                <w:bCs/>
                <w:noProof/>
              </w:rPr>
            </w:pPr>
            <w:r>
              <w:rPr>
                <w:bCs/>
                <w:noProof/>
              </w:rPr>
              <w:t>Cuadro 38:</w:t>
            </w:r>
          </w:p>
        </w:tc>
        <w:tc>
          <w:tcPr>
            <w:tcW w:w="7985" w:type="dxa"/>
          </w:tcPr>
          <w:p w:rsidR="00000000" w:rsidRDefault="00000000">
            <w:pPr>
              <w:widowControl w:val="0"/>
              <w:spacing w:after="240"/>
              <w:rPr>
                <w:bCs/>
                <w:noProof/>
              </w:rPr>
            </w:pPr>
            <w:r>
              <w:rPr>
                <w:bCs/>
                <w:noProof/>
              </w:rPr>
              <w:t>Escolaridad promedio de la población económicamente activa, 1996-2001</w:t>
            </w:r>
          </w:p>
        </w:tc>
      </w:tr>
      <w:tr w:rsidR="00000000">
        <w:tblPrEx>
          <w:tblCellMar>
            <w:top w:w="0" w:type="dxa"/>
            <w:bottom w:w="0" w:type="dxa"/>
          </w:tblCellMar>
        </w:tblPrEx>
        <w:tc>
          <w:tcPr>
            <w:tcW w:w="1440" w:type="dxa"/>
          </w:tcPr>
          <w:p w:rsidR="00000000" w:rsidRDefault="00000000">
            <w:pPr>
              <w:widowControl w:val="0"/>
              <w:spacing w:after="240"/>
              <w:outlineLvl w:val="0"/>
              <w:rPr>
                <w:bCs/>
                <w:noProof/>
              </w:rPr>
            </w:pPr>
            <w:r>
              <w:rPr>
                <w:bCs/>
                <w:noProof/>
              </w:rPr>
              <w:t>Cuadro 39:</w:t>
            </w:r>
          </w:p>
        </w:tc>
        <w:tc>
          <w:tcPr>
            <w:tcW w:w="7985" w:type="dxa"/>
          </w:tcPr>
          <w:p w:rsidR="00000000" w:rsidRDefault="00000000">
            <w:pPr>
              <w:widowControl w:val="0"/>
              <w:spacing w:after="240"/>
              <w:rPr>
                <w:bCs/>
                <w:noProof/>
              </w:rPr>
            </w:pPr>
            <w:r>
              <w:rPr>
                <w:bCs/>
                <w:noProof/>
              </w:rPr>
              <w:t>Escolaridad Promedio de la Población de 15 años y más según sexo, 1996-2003</w:t>
            </w:r>
          </w:p>
        </w:tc>
      </w:tr>
      <w:tr w:rsidR="00000000">
        <w:tblPrEx>
          <w:tblCellMar>
            <w:top w:w="0" w:type="dxa"/>
            <w:bottom w:w="0" w:type="dxa"/>
          </w:tblCellMar>
        </w:tblPrEx>
        <w:tc>
          <w:tcPr>
            <w:tcW w:w="1440" w:type="dxa"/>
          </w:tcPr>
          <w:p w:rsidR="00000000" w:rsidRDefault="00000000">
            <w:pPr>
              <w:widowControl w:val="0"/>
              <w:spacing w:after="240"/>
              <w:outlineLvl w:val="0"/>
              <w:rPr>
                <w:bCs/>
                <w:noProof/>
              </w:rPr>
            </w:pPr>
            <w:r>
              <w:rPr>
                <w:bCs/>
                <w:noProof/>
              </w:rPr>
              <w:t>Cuadro 40:</w:t>
            </w:r>
          </w:p>
        </w:tc>
        <w:tc>
          <w:tcPr>
            <w:tcW w:w="7985" w:type="dxa"/>
          </w:tcPr>
          <w:p w:rsidR="00000000" w:rsidRDefault="00000000">
            <w:pPr>
              <w:widowControl w:val="0"/>
              <w:spacing w:after="240"/>
              <w:rPr>
                <w:bCs/>
                <w:noProof/>
              </w:rPr>
            </w:pPr>
            <w:r>
              <w:rPr>
                <w:bCs/>
                <w:noProof/>
              </w:rPr>
              <w:t>Escolaridad promedio de la población de 15 años y más por zona, 1996-2000</w:t>
            </w:r>
          </w:p>
        </w:tc>
      </w:tr>
      <w:tr w:rsidR="00000000">
        <w:tblPrEx>
          <w:tblCellMar>
            <w:top w:w="0" w:type="dxa"/>
            <w:bottom w:w="0" w:type="dxa"/>
          </w:tblCellMar>
        </w:tblPrEx>
        <w:tc>
          <w:tcPr>
            <w:tcW w:w="1440" w:type="dxa"/>
          </w:tcPr>
          <w:p w:rsidR="00000000" w:rsidRDefault="00000000">
            <w:pPr>
              <w:widowControl w:val="0"/>
              <w:spacing w:after="240"/>
              <w:outlineLvl w:val="0"/>
              <w:rPr>
                <w:bCs/>
                <w:noProof/>
                <w:color w:val="000000"/>
              </w:rPr>
            </w:pPr>
            <w:r>
              <w:rPr>
                <w:bCs/>
                <w:noProof/>
                <w:color w:val="000000"/>
              </w:rPr>
              <w:t>Cuadro 41:</w:t>
            </w:r>
          </w:p>
        </w:tc>
        <w:tc>
          <w:tcPr>
            <w:tcW w:w="7985" w:type="dxa"/>
          </w:tcPr>
          <w:p w:rsidR="00000000" w:rsidRDefault="00000000">
            <w:pPr>
              <w:pStyle w:val="Heading2"/>
              <w:keepNext w:val="0"/>
              <w:widowControl w:val="0"/>
              <w:spacing w:after="240"/>
              <w:jc w:val="left"/>
              <w:rPr>
                <w:b w:val="0"/>
                <w:bCs/>
                <w:lang w:val="es-ES"/>
              </w:rPr>
            </w:pPr>
            <w:r>
              <w:rPr>
                <w:b w:val="0"/>
                <w:bCs/>
                <w:caps w:val="0"/>
                <w:lang w:val="es-ES"/>
              </w:rPr>
              <w:t>Cobertura 2000-2003.  Programa conozca a su hijo (niños y niñas)</w:t>
            </w:r>
          </w:p>
        </w:tc>
      </w:tr>
      <w:tr w:rsidR="00000000">
        <w:tblPrEx>
          <w:tblCellMar>
            <w:top w:w="0" w:type="dxa"/>
            <w:bottom w:w="0" w:type="dxa"/>
          </w:tblCellMar>
        </w:tblPrEx>
        <w:tc>
          <w:tcPr>
            <w:tcW w:w="1440" w:type="dxa"/>
          </w:tcPr>
          <w:p w:rsidR="00000000" w:rsidRDefault="00000000">
            <w:pPr>
              <w:widowControl w:val="0"/>
              <w:spacing w:after="240"/>
              <w:outlineLvl w:val="0"/>
              <w:rPr>
                <w:bCs/>
                <w:noProof/>
                <w:color w:val="000000"/>
              </w:rPr>
            </w:pPr>
            <w:r>
              <w:rPr>
                <w:bCs/>
                <w:noProof/>
                <w:color w:val="000000"/>
              </w:rPr>
              <w:t>Cuadro 42:</w:t>
            </w:r>
          </w:p>
        </w:tc>
        <w:tc>
          <w:tcPr>
            <w:tcW w:w="7985" w:type="dxa"/>
          </w:tcPr>
          <w:p w:rsidR="00000000" w:rsidRDefault="00000000">
            <w:pPr>
              <w:widowControl w:val="0"/>
              <w:spacing w:after="240"/>
              <w:rPr>
                <w:bCs/>
                <w:noProof/>
                <w:color w:val="000000"/>
              </w:rPr>
            </w:pPr>
            <w:r>
              <w:rPr>
                <w:bCs/>
                <w:noProof/>
                <w:color w:val="000000"/>
              </w:rPr>
              <w:t>Cobertura 1998</w:t>
            </w:r>
            <w:r>
              <w:rPr>
                <w:bCs/>
                <w:noProof/>
                <w:color w:val="000000"/>
              </w:rPr>
              <w:noBreakHyphen/>
              <w:t>2003 PMI</w:t>
            </w:r>
          </w:p>
        </w:tc>
      </w:tr>
      <w:tr w:rsidR="00000000">
        <w:tblPrEx>
          <w:tblCellMar>
            <w:top w:w="0" w:type="dxa"/>
            <w:bottom w:w="0" w:type="dxa"/>
          </w:tblCellMar>
        </w:tblPrEx>
        <w:tc>
          <w:tcPr>
            <w:tcW w:w="1440" w:type="dxa"/>
          </w:tcPr>
          <w:p w:rsidR="00000000" w:rsidRDefault="00000000">
            <w:pPr>
              <w:widowControl w:val="0"/>
              <w:spacing w:after="240"/>
              <w:outlineLvl w:val="0"/>
              <w:rPr>
                <w:bCs/>
                <w:noProof/>
              </w:rPr>
            </w:pPr>
            <w:r>
              <w:rPr>
                <w:bCs/>
                <w:noProof/>
              </w:rPr>
              <w:t>Cuadro 43:</w:t>
            </w:r>
          </w:p>
        </w:tc>
        <w:tc>
          <w:tcPr>
            <w:tcW w:w="7985" w:type="dxa"/>
          </w:tcPr>
          <w:p w:rsidR="00000000" w:rsidRDefault="00000000">
            <w:pPr>
              <w:widowControl w:val="0"/>
              <w:spacing w:after="240"/>
              <w:rPr>
                <w:bCs/>
                <w:noProof/>
                <w:lang w:val="es-MX"/>
              </w:rPr>
            </w:pPr>
            <w:r>
              <w:rPr>
                <w:bCs/>
                <w:noProof/>
              </w:rPr>
              <w:t xml:space="preserve">Cobertura de educación preescolar.  Según quintil de ingreso, </w:t>
            </w:r>
            <w:r>
              <w:rPr>
                <w:bCs/>
                <w:noProof/>
                <w:lang w:val="es-MX"/>
              </w:rPr>
              <w:t>1996-2000</w:t>
            </w:r>
          </w:p>
        </w:tc>
      </w:tr>
      <w:tr w:rsidR="00000000">
        <w:tblPrEx>
          <w:tblCellMar>
            <w:top w:w="0" w:type="dxa"/>
            <w:bottom w:w="0" w:type="dxa"/>
          </w:tblCellMar>
        </w:tblPrEx>
        <w:tc>
          <w:tcPr>
            <w:tcW w:w="1440" w:type="dxa"/>
          </w:tcPr>
          <w:p w:rsidR="00000000" w:rsidRDefault="00000000">
            <w:pPr>
              <w:widowControl w:val="0"/>
              <w:spacing w:after="240"/>
              <w:outlineLvl w:val="0"/>
              <w:rPr>
                <w:bCs/>
                <w:noProof/>
                <w:color w:val="000000"/>
              </w:rPr>
            </w:pPr>
            <w:r>
              <w:rPr>
                <w:bCs/>
                <w:noProof/>
                <w:color w:val="000000"/>
              </w:rPr>
              <w:t>Cuadro 44:</w:t>
            </w:r>
          </w:p>
        </w:tc>
        <w:tc>
          <w:tcPr>
            <w:tcW w:w="7985" w:type="dxa"/>
          </w:tcPr>
          <w:p w:rsidR="00000000" w:rsidRDefault="00000000">
            <w:pPr>
              <w:pStyle w:val="Heading2"/>
              <w:keepNext w:val="0"/>
              <w:widowControl w:val="0"/>
              <w:spacing w:after="240"/>
              <w:jc w:val="left"/>
              <w:rPr>
                <w:b w:val="0"/>
                <w:bCs/>
                <w:noProof/>
                <w:color w:val="000000"/>
                <w:lang w:val="es-ES"/>
              </w:rPr>
            </w:pPr>
            <w:r>
              <w:rPr>
                <w:b w:val="0"/>
                <w:bCs/>
                <w:caps w:val="0"/>
                <w:lang w:val="es-ES"/>
              </w:rPr>
              <w:t xml:space="preserve">Cobertura del programa P.900, </w:t>
            </w:r>
            <w:r>
              <w:rPr>
                <w:b w:val="0"/>
                <w:bCs/>
                <w:caps w:val="0"/>
                <w:noProof/>
                <w:color w:val="000000"/>
                <w:lang w:val="es-ES"/>
              </w:rPr>
              <w:t>1998-2002</w:t>
            </w:r>
          </w:p>
        </w:tc>
      </w:tr>
      <w:tr w:rsidR="00000000">
        <w:tblPrEx>
          <w:tblCellMar>
            <w:top w:w="0" w:type="dxa"/>
            <w:bottom w:w="0" w:type="dxa"/>
          </w:tblCellMar>
        </w:tblPrEx>
        <w:tc>
          <w:tcPr>
            <w:tcW w:w="1440" w:type="dxa"/>
          </w:tcPr>
          <w:p w:rsidR="00000000" w:rsidRDefault="00000000">
            <w:pPr>
              <w:widowControl w:val="0"/>
              <w:spacing w:after="200"/>
              <w:outlineLvl w:val="0"/>
              <w:rPr>
                <w:bCs/>
                <w:noProof/>
                <w:color w:val="000000"/>
              </w:rPr>
            </w:pPr>
            <w:r>
              <w:rPr>
                <w:bCs/>
                <w:noProof/>
                <w:color w:val="000000"/>
              </w:rPr>
              <w:t>Cuadro 45:</w:t>
            </w:r>
          </w:p>
        </w:tc>
        <w:tc>
          <w:tcPr>
            <w:tcW w:w="7985" w:type="dxa"/>
          </w:tcPr>
          <w:p w:rsidR="00000000" w:rsidRDefault="00000000">
            <w:pPr>
              <w:widowControl w:val="0"/>
              <w:spacing w:after="200"/>
              <w:rPr>
                <w:bCs/>
                <w:noProof/>
                <w:color w:val="000000"/>
              </w:rPr>
            </w:pPr>
            <w:r>
              <w:rPr>
                <w:bCs/>
                <w:noProof/>
                <w:color w:val="000000"/>
              </w:rPr>
              <w:t>Cobertura del programa básica rural, 1998-2002</w:t>
            </w:r>
          </w:p>
        </w:tc>
      </w:tr>
      <w:tr w:rsidR="00000000">
        <w:tblPrEx>
          <w:tblCellMar>
            <w:top w:w="0" w:type="dxa"/>
            <w:bottom w:w="0" w:type="dxa"/>
          </w:tblCellMar>
        </w:tblPrEx>
        <w:tc>
          <w:tcPr>
            <w:tcW w:w="1440" w:type="dxa"/>
          </w:tcPr>
          <w:p w:rsidR="00000000" w:rsidRDefault="00000000">
            <w:pPr>
              <w:widowControl w:val="0"/>
              <w:spacing w:after="200"/>
              <w:outlineLvl w:val="0"/>
              <w:rPr>
                <w:bCs/>
                <w:noProof/>
              </w:rPr>
            </w:pPr>
            <w:r>
              <w:rPr>
                <w:bCs/>
                <w:noProof/>
              </w:rPr>
              <w:t>Cuadro 46:</w:t>
            </w:r>
          </w:p>
        </w:tc>
        <w:tc>
          <w:tcPr>
            <w:tcW w:w="7985" w:type="dxa"/>
          </w:tcPr>
          <w:p w:rsidR="00000000" w:rsidRDefault="00000000">
            <w:pPr>
              <w:pStyle w:val="Heading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pacing w:after="200"/>
              <w:ind w:left="0" w:firstLine="0"/>
              <w:jc w:val="left"/>
              <w:rPr>
                <w:rFonts w:ascii="Times New Roman" w:hAnsi="Times New Roman"/>
                <w:b w:val="0"/>
                <w:bCs/>
                <w:lang w:val="es-ES"/>
              </w:rPr>
            </w:pPr>
            <w:r>
              <w:rPr>
                <w:rFonts w:ascii="Times New Roman" w:hAnsi="Times New Roman"/>
                <w:b w:val="0"/>
                <w:bCs/>
                <w:lang w:val="es-ES"/>
              </w:rPr>
              <w:t>Matrícula total 1997-2003 por año y región</w:t>
            </w:r>
          </w:p>
        </w:tc>
      </w:tr>
      <w:tr w:rsidR="00000000">
        <w:tblPrEx>
          <w:tblCellMar>
            <w:top w:w="0" w:type="dxa"/>
            <w:bottom w:w="0" w:type="dxa"/>
          </w:tblCellMar>
        </w:tblPrEx>
        <w:tc>
          <w:tcPr>
            <w:tcW w:w="1440" w:type="dxa"/>
          </w:tcPr>
          <w:p w:rsidR="00000000" w:rsidRDefault="00000000">
            <w:pPr>
              <w:widowControl w:val="0"/>
              <w:spacing w:after="240"/>
              <w:outlineLvl w:val="0"/>
              <w:rPr>
                <w:bCs/>
                <w:noProof/>
              </w:rPr>
            </w:pPr>
            <w:r>
              <w:rPr>
                <w:bCs/>
                <w:noProof/>
              </w:rPr>
              <w:t>Cuadro 47:</w:t>
            </w:r>
          </w:p>
        </w:tc>
        <w:tc>
          <w:tcPr>
            <w:tcW w:w="7985" w:type="dxa"/>
          </w:tcPr>
          <w:p w:rsidR="00000000" w:rsidRDefault="00000000">
            <w:pPr>
              <w:widowControl w:val="0"/>
              <w:spacing w:after="240"/>
              <w:rPr>
                <w:bCs/>
                <w:noProof/>
              </w:rPr>
            </w:pPr>
            <w:r>
              <w:rPr>
                <w:bCs/>
                <w:noProof/>
              </w:rPr>
              <w:t>Cobertura de educación por nivel de enseñanza según zona</w:t>
            </w:r>
          </w:p>
        </w:tc>
      </w:tr>
      <w:tr w:rsidR="00000000">
        <w:tblPrEx>
          <w:tblCellMar>
            <w:top w:w="0" w:type="dxa"/>
            <w:bottom w:w="0" w:type="dxa"/>
          </w:tblCellMar>
        </w:tblPrEx>
        <w:tc>
          <w:tcPr>
            <w:tcW w:w="1440" w:type="dxa"/>
          </w:tcPr>
          <w:p w:rsidR="00000000" w:rsidRDefault="00000000">
            <w:pPr>
              <w:widowControl w:val="0"/>
              <w:spacing w:after="200"/>
              <w:outlineLvl w:val="0"/>
              <w:rPr>
                <w:bCs/>
                <w:noProof/>
              </w:rPr>
            </w:pPr>
            <w:r>
              <w:rPr>
                <w:bCs/>
                <w:noProof/>
              </w:rPr>
              <w:t>Cuadro 48:</w:t>
            </w:r>
          </w:p>
        </w:tc>
        <w:tc>
          <w:tcPr>
            <w:tcW w:w="7985" w:type="dxa"/>
          </w:tcPr>
          <w:p w:rsidR="00000000" w:rsidRDefault="00000000">
            <w:pPr>
              <w:widowControl w:val="0"/>
              <w:spacing w:after="240"/>
              <w:outlineLvl w:val="0"/>
              <w:rPr>
                <w:bCs/>
                <w:noProof/>
              </w:rPr>
            </w:pPr>
            <w:r>
              <w:rPr>
                <w:bCs/>
                <w:noProof/>
              </w:rPr>
              <w:t>Matrícula de enseñanza básica según tasa de aprobación, reprobación y</w:t>
            </w:r>
            <w:r>
              <w:rPr>
                <w:bCs/>
                <w:noProof/>
              </w:rPr>
              <w:br/>
              <w:t>abandono</w:t>
            </w:r>
          </w:p>
        </w:tc>
      </w:tr>
      <w:tr w:rsidR="00000000">
        <w:tblPrEx>
          <w:tblCellMar>
            <w:top w:w="0" w:type="dxa"/>
            <w:bottom w:w="0" w:type="dxa"/>
          </w:tblCellMar>
        </w:tblPrEx>
        <w:tc>
          <w:tcPr>
            <w:tcW w:w="1440" w:type="dxa"/>
          </w:tcPr>
          <w:p w:rsidR="00000000" w:rsidRDefault="00000000">
            <w:pPr>
              <w:widowControl w:val="0"/>
              <w:spacing w:after="200"/>
              <w:outlineLvl w:val="0"/>
              <w:rPr>
                <w:bCs/>
                <w:noProof/>
                <w:color w:val="000000"/>
              </w:rPr>
            </w:pPr>
            <w:r>
              <w:rPr>
                <w:bCs/>
                <w:noProof/>
                <w:color w:val="000000"/>
              </w:rPr>
              <w:t>Cuadro 49:</w:t>
            </w:r>
          </w:p>
        </w:tc>
        <w:tc>
          <w:tcPr>
            <w:tcW w:w="7985" w:type="dxa"/>
          </w:tcPr>
          <w:p w:rsidR="00000000" w:rsidRDefault="00000000">
            <w:pPr>
              <w:widowControl w:val="0"/>
              <w:spacing w:after="200"/>
              <w:rPr>
                <w:bCs/>
                <w:noProof/>
                <w:color w:val="000000"/>
              </w:rPr>
            </w:pPr>
            <w:r>
              <w:rPr>
                <w:bCs/>
                <w:noProof/>
                <w:color w:val="000000"/>
              </w:rPr>
              <w:t>Becas de apoyo a la retención escolar</w:t>
            </w:r>
          </w:p>
        </w:tc>
      </w:tr>
      <w:tr w:rsidR="00000000">
        <w:tblPrEx>
          <w:tblCellMar>
            <w:top w:w="0" w:type="dxa"/>
            <w:bottom w:w="0" w:type="dxa"/>
          </w:tblCellMar>
        </w:tblPrEx>
        <w:tc>
          <w:tcPr>
            <w:tcW w:w="1440" w:type="dxa"/>
          </w:tcPr>
          <w:p w:rsidR="00000000" w:rsidRDefault="00000000">
            <w:pPr>
              <w:widowControl w:val="0"/>
              <w:tabs>
                <w:tab w:val="center" w:pos="4680"/>
                <w:tab w:val="left" w:pos="4956"/>
                <w:tab w:val="left" w:pos="5664"/>
                <w:tab w:val="left" w:pos="6372"/>
                <w:tab w:val="left" w:pos="7080"/>
                <w:tab w:val="left" w:pos="7788"/>
                <w:tab w:val="left" w:pos="8496"/>
              </w:tabs>
              <w:spacing w:after="200"/>
              <w:outlineLvl w:val="0"/>
              <w:rPr>
                <w:bCs/>
                <w:noProof/>
                <w:color w:val="000000"/>
              </w:rPr>
            </w:pPr>
            <w:r>
              <w:rPr>
                <w:bCs/>
                <w:noProof/>
                <w:color w:val="000000"/>
              </w:rPr>
              <w:t>Cuadro 50:</w:t>
            </w:r>
          </w:p>
        </w:tc>
        <w:tc>
          <w:tcPr>
            <w:tcW w:w="7985" w:type="dxa"/>
          </w:tcPr>
          <w:p w:rsidR="00000000" w:rsidRDefault="00000000">
            <w:pPr>
              <w:widowControl w:val="0"/>
              <w:tabs>
                <w:tab w:val="center" w:pos="4680"/>
                <w:tab w:val="left" w:pos="4956"/>
                <w:tab w:val="left" w:pos="5664"/>
                <w:tab w:val="left" w:pos="6372"/>
                <w:tab w:val="left" w:pos="7080"/>
                <w:tab w:val="left" w:pos="7788"/>
                <w:tab w:val="left" w:pos="8496"/>
              </w:tabs>
              <w:spacing w:after="200"/>
              <w:outlineLvl w:val="0"/>
              <w:rPr>
                <w:bCs/>
                <w:noProof/>
                <w:color w:val="000000"/>
              </w:rPr>
            </w:pPr>
            <w:r>
              <w:rPr>
                <w:bCs/>
                <w:noProof/>
                <w:color w:val="000000"/>
              </w:rPr>
              <w:t>Número de becas a alumnos de enseñanza media</w:t>
            </w:r>
          </w:p>
        </w:tc>
      </w:tr>
      <w:tr w:rsidR="00000000">
        <w:tblPrEx>
          <w:tblCellMar>
            <w:top w:w="0" w:type="dxa"/>
            <w:bottom w:w="0" w:type="dxa"/>
          </w:tblCellMar>
        </w:tblPrEx>
        <w:tc>
          <w:tcPr>
            <w:tcW w:w="1440" w:type="dxa"/>
          </w:tcPr>
          <w:p w:rsidR="00000000" w:rsidRDefault="00000000">
            <w:pPr>
              <w:widowControl w:val="0"/>
              <w:spacing w:after="240"/>
              <w:outlineLvl w:val="0"/>
              <w:rPr>
                <w:bCs/>
                <w:noProof/>
              </w:rPr>
            </w:pPr>
            <w:r>
              <w:rPr>
                <w:bCs/>
                <w:noProof/>
              </w:rPr>
              <w:t>Cuadro 51:</w:t>
            </w:r>
          </w:p>
        </w:tc>
        <w:tc>
          <w:tcPr>
            <w:tcW w:w="7985" w:type="dxa"/>
          </w:tcPr>
          <w:p w:rsidR="00000000" w:rsidRDefault="00000000">
            <w:pPr>
              <w:widowControl w:val="0"/>
              <w:spacing w:after="240"/>
              <w:rPr>
                <w:bCs/>
                <w:noProof/>
              </w:rPr>
            </w:pPr>
            <w:r>
              <w:rPr>
                <w:bCs/>
                <w:noProof/>
              </w:rPr>
              <w:t>Evolución de la cobertura de la educación superior por quintil de ingreso autónomo per cápita nacional del hogar</w:t>
            </w:r>
          </w:p>
        </w:tc>
      </w:tr>
      <w:tr w:rsidR="00000000">
        <w:tblPrEx>
          <w:tblCellMar>
            <w:top w:w="0" w:type="dxa"/>
            <w:bottom w:w="0" w:type="dxa"/>
          </w:tblCellMar>
        </w:tblPrEx>
        <w:tc>
          <w:tcPr>
            <w:tcW w:w="1440" w:type="dxa"/>
          </w:tcPr>
          <w:p w:rsidR="00000000" w:rsidRDefault="00000000">
            <w:pPr>
              <w:widowControl w:val="0"/>
              <w:spacing w:after="240"/>
              <w:rPr>
                <w:bCs/>
                <w:noProof/>
                <w:color w:val="000000"/>
              </w:rPr>
            </w:pPr>
            <w:r>
              <w:rPr>
                <w:bCs/>
                <w:noProof/>
                <w:color w:val="000000"/>
              </w:rPr>
              <w:t>Cuadro 52:</w:t>
            </w:r>
          </w:p>
        </w:tc>
        <w:tc>
          <w:tcPr>
            <w:tcW w:w="7985" w:type="dxa"/>
          </w:tcPr>
          <w:p w:rsidR="00000000" w:rsidRDefault="00000000">
            <w:pPr>
              <w:widowControl w:val="0"/>
              <w:spacing w:after="240"/>
              <w:rPr>
                <w:bCs/>
                <w:noProof/>
                <w:color w:val="000000"/>
              </w:rPr>
            </w:pPr>
            <w:r>
              <w:rPr>
                <w:bCs/>
                <w:noProof/>
                <w:color w:val="000000"/>
              </w:rPr>
              <w:t>Centros de administración directa del Servicio Nacional de Menores</w:t>
            </w:r>
          </w:p>
        </w:tc>
      </w:tr>
      <w:tr w:rsidR="00000000">
        <w:tblPrEx>
          <w:tblCellMar>
            <w:top w:w="0" w:type="dxa"/>
            <w:bottom w:w="0" w:type="dxa"/>
          </w:tblCellMar>
        </w:tblPrEx>
        <w:tc>
          <w:tcPr>
            <w:tcW w:w="1440" w:type="dxa"/>
          </w:tcPr>
          <w:p w:rsidR="00000000" w:rsidRDefault="00000000">
            <w:pPr>
              <w:widowControl w:val="0"/>
              <w:spacing w:after="180"/>
              <w:rPr>
                <w:bCs/>
                <w:noProof/>
                <w:color w:val="000000"/>
              </w:rPr>
            </w:pPr>
            <w:r>
              <w:rPr>
                <w:bCs/>
                <w:noProof/>
                <w:color w:val="000000"/>
              </w:rPr>
              <w:t>Cuadro 53:</w:t>
            </w:r>
          </w:p>
        </w:tc>
        <w:tc>
          <w:tcPr>
            <w:tcW w:w="7985" w:type="dxa"/>
          </w:tcPr>
          <w:p w:rsidR="00000000" w:rsidRDefault="00000000">
            <w:pPr>
              <w:widowControl w:val="0"/>
              <w:spacing w:after="180"/>
              <w:rPr>
                <w:bCs/>
              </w:rPr>
            </w:pPr>
            <w:r>
              <w:rPr>
                <w:bCs/>
                <w:noProof/>
              </w:rPr>
              <w:t xml:space="preserve">Niños y niñas del área de responsabilidad juvenil, según sexo, </w:t>
            </w:r>
            <w:r>
              <w:rPr>
                <w:bCs/>
              </w:rPr>
              <w:t>2000-2003</w:t>
            </w:r>
          </w:p>
        </w:tc>
      </w:tr>
      <w:tr w:rsidR="00000000">
        <w:tblPrEx>
          <w:tblCellMar>
            <w:top w:w="0" w:type="dxa"/>
            <w:bottom w:w="0" w:type="dxa"/>
          </w:tblCellMar>
        </w:tblPrEx>
        <w:tc>
          <w:tcPr>
            <w:tcW w:w="1440" w:type="dxa"/>
          </w:tcPr>
          <w:p w:rsidR="00000000" w:rsidRDefault="00000000">
            <w:pPr>
              <w:widowControl w:val="0"/>
              <w:spacing w:after="240"/>
              <w:outlineLvl w:val="0"/>
              <w:rPr>
                <w:bCs/>
                <w:noProof/>
                <w:color w:val="000000"/>
              </w:rPr>
            </w:pPr>
            <w:r>
              <w:rPr>
                <w:bCs/>
                <w:noProof/>
                <w:color w:val="000000"/>
              </w:rPr>
              <w:t>Cuadro 54:</w:t>
            </w:r>
          </w:p>
        </w:tc>
        <w:tc>
          <w:tcPr>
            <w:tcW w:w="7985" w:type="dxa"/>
          </w:tcPr>
          <w:p w:rsidR="00000000" w:rsidRDefault="00000000">
            <w:pPr>
              <w:widowControl w:val="0"/>
              <w:spacing w:after="240"/>
              <w:rPr>
                <w:bCs/>
                <w:noProof/>
                <w:color w:val="000000"/>
              </w:rPr>
            </w:pPr>
            <w:r>
              <w:rPr>
                <w:bCs/>
                <w:noProof/>
                <w:color w:val="000000"/>
              </w:rPr>
              <w:t>Niños, niñas y adolescentes del área de responsabilidad juvenil, según edad, 2001-2002</w:t>
            </w:r>
          </w:p>
        </w:tc>
      </w:tr>
      <w:tr w:rsidR="00000000">
        <w:tblPrEx>
          <w:tblCellMar>
            <w:top w:w="0" w:type="dxa"/>
            <w:bottom w:w="0" w:type="dxa"/>
          </w:tblCellMar>
        </w:tblPrEx>
        <w:tc>
          <w:tcPr>
            <w:tcW w:w="1440" w:type="dxa"/>
          </w:tcPr>
          <w:p w:rsidR="00000000" w:rsidRDefault="00000000">
            <w:pPr>
              <w:widowControl w:val="0"/>
              <w:spacing w:after="240"/>
              <w:outlineLvl w:val="0"/>
              <w:rPr>
                <w:bCs/>
                <w:noProof/>
                <w:color w:val="000000"/>
              </w:rPr>
            </w:pPr>
            <w:r>
              <w:rPr>
                <w:bCs/>
                <w:noProof/>
                <w:color w:val="000000"/>
              </w:rPr>
              <w:t>Cuadro 55:</w:t>
            </w:r>
          </w:p>
        </w:tc>
        <w:tc>
          <w:tcPr>
            <w:tcW w:w="7985" w:type="dxa"/>
          </w:tcPr>
          <w:p w:rsidR="00000000" w:rsidRDefault="00000000">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rPr>
                <w:bCs/>
                <w:noProof/>
                <w:color w:val="000000"/>
              </w:rPr>
            </w:pPr>
            <w:r>
              <w:rPr>
                <w:bCs/>
                <w:noProof/>
                <w:color w:val="000000"/>
              </w:rPr>
              <w:t>Niños, niñas y adolescentes del área de responsabilidad juvenil, según</w:t>
            </w:r>
            <w:r>
              <w:rPr>
                <w:bCs/>
                <w:noProof/>
                <w:color w:val="000000"/>
              </w:rPr>
              <w:br/>
              <w:t>edad, 2003</w:t>
            </w:r>
          </w:p>
        </w:tc>
      </w:tr>
      <w:tr w:rsidR="00000000">
        <w:tblPrEx>
          <w:tblCellMar>
            <w:top w:w="0" w:type="dxa"/>
            <w:bottom w:w="0" w:type="dxa"/>
          </w:tblCellMar>
        </w:tblPrEx>
        <w:tc>
          <w:tcPr>
            <w:tcW w:w="1440" w:type="dxa"/>
          </w:tcPr>
          <w:p w:rsidR="00000000" w:rsidRDefault="00000000">
            <w:pPr>
              <w:widowControl w:val="0"/>
              <w:spacing w:after="240"/>
              <w:outlineLvl w:val="0"/>
              <w:rPr>
                <w:bCs/>
                <w:noProof/>
                <w:color w:val="000000"/>
              </w:rPr>
            </w:pPr>
            <w:r>
              <w:rPr>
                <w:bCs/>
                <w:noProof/>
                <w:color w:val="000000"/>
              </w:rPr>
              <w:t>Cuadro 56:</w:t>
            </w:r>
          </w:p>
        </w:tc>
        <w:tc>
          <w:tcPr>
            <w:tcW w:w="7985" w:type="dxa"/>
          </w:tcPr>
          <w:p w:rsidR="00000000" w:rsidRDefault="00000000">
            <w:pPr>
              <w:widowControl w:val="0"/>
              <w:spacing w:after="240"/>
              <w:rPr>
                <w:bCs/>
                <w:noProof/>
                <w:color w:val="000000"/>
              </w:rPr>
            </w:pPr>
            <w:r>
              <w:rPr>
                <w:bCs/>
                <w:noProof/>
                <w:color w:val="000000"/>
              </w:rPr>
              <w:t>Niños, niñas y adolescentes del área de responsabilidad juvenil, según región, 2001-2003</w:t>
            </w:r>
          </w:p>
        </w:tc>
      </w:tr>
      <w:tr w:rsidR="00000000">
        <w:tblPrEx>
          <w:tblCellMar>
            <w:top w:w="0" w:type="dxa"/>
            <w:bottom w:w="0" w:type="dxa"/>
          </w:tblCellMar>
        </w:tblPrEx>
        <w:tc>
          <w:tcPr>
            <w:tcW w:w="1440" w:type="dxa"/>
          </w:tcPr>
          <w:p w:rsidR="00000000" w:rsidRDefault="00000000">
            <w:pPr>
              <w:widowControl w:val="0"/>
              <w:spacing w:after="240"/>
              <w:rPr>
                <w:bCs/>
                <w:noProof/>
                <w:color w:val="000000"/>
              </w:rPr>
            </w:pPr>
            <w:r>
              <w:rPr>
                <w:bCs/>
                <w:noProof/>
                <w:color w:val="000000"/>
              </w:rPr>
              <w:t>Cuadro 57:</w:t>
            </w:r>
          </w:p>
        </w:tc>
        <w:tc>
          <w:tcPr>
            <w:tcW w:w="7985" w:type="dxa"/>
          </w:tcPr>
          <w:p w:rsidR="00000000" w:rsidRDefault="00000000">
            <w:pPr>
              <w:widowControl w:val="0"/>
              <w:spacing w:after="240"/>
              <w:rPr>
                <w:bCs/>
                <w:noProof/>
                <w:color w:val="000000"/>
              </w:rPr>
            </w:pPr>
            <w:r>
              <w:rPr>
                <w:bCs/>
                <w:noProof/>
                <w:color w:val="000000"/>
              </w:rPr>
              <w:t>Número de adolescentes ingresados a proyectos de defensa entre el 1º de enero y el 31 de mayo del año 2003</w:t>
            </w:r>
          </w:p>
        </w:tc>
      </w:tr>
      <w:tr w:rsidR="00000000">
        <w:tblPrEx>
          <w:tblCellMar>
            <w:top w:w="0" w:type="dxa"/>
            <w:bottom w:w="0" w:type="dxa"/>
          </w:tblCellMar>
        </w:tblPrEx>
        <w:tc>
          <w:tcPr>
            <w:tcW w:w="1440" w:type="dxa"/>
          </w:tcPr>
          <w:p w:rsidR="00000000" w:rsidRDefault="00000000">
            <w:pPr>
              <w:widowControl w:val="0"/>
              <w:spacing w:after="240"/>
              <w:outlineLvl w:val="0"/>
              <w:rPr>
                <w:bCs/>
                <w:noProof/>
                <w:color w:val="000000"/>
              </w:rPr>
            </w:pPr>
            <w:r>
              <w:rPr>
                <w:bCs/>
                <w:noProof/>
                <w:color w:val="000000"/>
              </w:rPr>
              <w:t>Cuadro 58:</w:t>
            </w:r>
          </w:p>
        </w:tc>
        <w:tc>
          <w:tcPr>
            <w:tcW w:w="7985" w:type="dxa"/>
          </w:tcPr>
          <w:p w:rsidR="00000000" w:rsidRDefault="00000000">
            <w:pPr>
              <w:widowControl w:val="0"/>
              <w:spacing w:after="240"/>
              <w:rPr>
                <w:bCs/>
                <w:noProof/>
                <w:color w:val="000000"/>
              </w:rPr>
            </w:pPr>
            <w:r>
              <w:rPr>
                <w:bCs/>
                <w:noProof/>
                <w:color w:val="000000"/>
              </w:rPr>
              <w:t>Distribución urbana rural de los casos fiscalizados de trabajo infantil</w:t>
            </w:r>
          </w:p>
        </w:tc>
      </w:tr>
      <w:tr w:rsidR="00000000">
        <w:tblPrEx>
          <w:tblCellMar>
            <w:top w:w="0" w:type="dxa"/>
            <w:bottom w:w="0" w:type="dxa"/>
          </w:tblCellMar>
        </w:tblPrEx>
        <w:tc>
          <w:tcPr>
            <w:tcW w:w="1440" w:type="dxa"/>
          </w:tcPr>
          <w:p w:rsidR="00000000" w:rsidRDefault="00000000">
            <w:pPr>
              <w:pStyle w:val="BodyText2"/>
              <w:spacing w:after="240"/>
              <w:jc w:val="left"/>
              <w:rPr>
                <w:rFonts w:ascii="Times New Roman" w:hAnsi="Times New Roman"/>
                <w:b w:val="0"/>
                <w:bCs/>
                <w:i w:val="0"/>
                <w:color w:val="auto"/>
                <w:sz w:val="24"/>
                <w:lang w:val="es-ES"/>
              </w:rPr>
            </w:pPr>
            <w:r>
              <w:rPr>
                <w:rFonts w:ascii="Times New Roman" w:hAnsi="Times New Roman"/>
                <w:b w:val="0"/>
                <w:bCs/>
                <w:i w:val="0"/>
                <w:color w:val="auto"/>
                <w:sz w:val="24"/>
                <w:lang w:val="es-ES"/>
              </w:rPr>
              <w:t>Cuadro 59:</w:t>
            </w:r>
          </w:p>
        </w:tc>
        <w:tc>
          <w:tcPr>
            <w:tcW w:w="7985" w:type="dxa"/>
          </w:tcPr>
          <w:p w:rsidR="00000000" w:rsidRDefault="00000000">
            <w:pPr>
              <w:pStyle w:val="BodyText2"/>
              <w:spacing w:after="240"/>
              <w:jc w:val="left"/>
              <w:rPr>
                <w:rFonts w:ascii="Times New Roman" w:hAnsi="Times New Roman"/>
                <w:b w:val="0"/>
                <w:bCs/>
                <w:i w:val="0"/>
                <w:color w:val="auto"/>
                <w:sz w:val="24"/>
                <w:lang w:val="es-ES"/>
              </w:rPr>
            </w:pPr>
            <w:r>
              <w:rPr>
                <w:rFonts w:ascii="Times New Roman" w:hAnsi="Times New Roman"/>
                <w:b w:val="0"/>
                <w:bCs/>
                <w:i w:val="0"/>
                <w:color w:val="auto"/>
                <w:sz w:val="24"/>
                <w:lang w:val="es-ES"/>
              </w:rPr>
              <w:t>Niños y niñas en trabajos inaceptables</w:t>
            </w:r>
          </w:p>
        </w:tc>
      </w:tr>
      <w:tr w:rsidR="00000000">
        <w:tblPrEx>
          <w:tblCellMar>
            <w:top w:w="0" w:type="dxa"/>
            <w:bottom w:w="0" w:type="dxa"/>
          </w:tblCellMar>
        </w:tblPrEx>
        <w:tc>
          <w:tcPr>
            <w:tcW w:w="1440" w:type="dxa"/>
          </w:tcPr>
          <w:p w:rsidR="00000000" w:rsidRDefault="00000000">
            <w:pPr>
              <w:pStyle w:val="BodyText2"/>
              <w:spacing w:after="240"/>
              <w:jc w:val="left"/>
              <w:rPr>
                <w:rFonts w:ascii="Times New Roman" w:hAnsi="Times New Roman"/>
                <w:b w:val="0"/>
                <w:bCs/>
                <w:i w:val="0"/>
                <w:color w:val="auto"/>
                <w:sz w:val="24"/>
                <w:lang w:val="es-ES"/>
              </w:rPr>
            </w:pPr>
            <w:r>
              <w:rPr>
                <w:rFonts w:ascii="Times New Roman" w:hAnsi="Times New Roman"/>
                <w:b w:val="0"/>
                <w:bCs/>
                <w:i w:val="0"/>
                <w:color w:val="auto"/>
                <w:sz w:val="24"/>
                <w:lang w:val="es-ES"/>
              </w:rPr>
              <w:t>Cuadro 60:</w:t>
            </w:r>
          </w:p>
        </w:tc>
        <w:tc>
          <w:tcPr>
            <w:tcW w:w="7985" w:type="dxa"/>
          </w:tcPr>
          <w:p w:rsidR="00000000" w:rsidRDefault="00000000">
            <w:pPr>
              <w:pStyle w:val="BodyText2"/>
              <w:spacing w:after="240"/>
              <w:jc w:val="left"/>
              <w:rPr>
                <w:rFonts w:ascii="Times New Roman" w:hAnsi="Times New Roman"/>
                <w:b w:val="0"/>
                <w:bCs/>
                <w:i w:val="0"/>
                <w:color w:val="auto"/>
                <w:sz w:val="24"/>
                <w:lang w:val="es-ES"/>
              </w:rPr>
            </w:pPr>
            <w:r>
              <w:rPr>
                <w:rFonts w:ascii="Times New Roman" w:hAnsi="Times New Roman"/>
                <w:b w:val="0"/>
                <w:bCs/>
                <w:i w:val="0"/>
                <w:color w:val="auto"/>
                <w:sz w:val="24"/>
                <w:lang w:val="es-ES"/>
              </w:rPr>
              <w:t>Niños y niñas en quehaceres del propio hogar</w:t>
            </w:r>
          </w:p>
        </w:tc>
      </w:tr>
      <w:tr w:rsidR="00000000">
        <w:tblPrEx>
          <w:tblCellMar>
            <w:top w:w="0" w:type="dxa"/>
            <w:bottom w:w="0" w:type="dxa"/>
          </w:tblCellMar>
        </w:tblPrEx>
        <w:tc>
          <w:tcPr>
            <w:tcW w:w="1440" w:type="dxa"/>
          </w:tcPr>
          <w:p w:rsidR="00000000" w:rsidRDefault="00000000">
            <w:pPr>
              <w:widowControl w:val="0"/>
              <w:spacing w:after="240"/>
              <w:outlineLvl w:val="0"/>
              <w:rPr>
                <w:bCs/>
                <w:noProof/>
              </w:rPr>
            </w:pPr>
            <w:r>
              <w:rPr>
                <w:bCs/>
                <w:noProof/>
              </w:rPr>
              <w:t>Cuadro 61:</w:t>
            </w:r>
          </w:p>
        </w:tc>
        <w:tc>
          <w:tcPr>
            <w:tcW w:w="7985" w:type="dxa"/>
          </w:tcPr>
          <w:p w:rsidR="00000000" w:rsidRDefault="00000000">
            <w:pPr>
              <w:widowControl w:val="0"/>
              <w:spacing w:after="240"/>
              <w:rPr>
                <w:bCs/>
                <w:noProof/>
              </w:rPr>
            </w:pPr>
            <w:r>
              <w:rPr>
                <w:bCs/>
                <w:noProof/>
              </w:rPr>
              <w:t>Prevalencia del consumo de drogas en la población escolar, año 2003</w:t>
            </w:r>
          </w:p>
        </w:tc>
      </w:tr>
      <w:tr w:rsidR="00000000">
        <w:tblPrEx>
          <w:tblCellMar>
            <w:top w:w="0" w:type="dxa"/>
            <w:bottom w:w="0" w:type="dxa"/>
          </w:tblCellMar>
        </w:tblPrEx>
        <w:tc>
          <w:tcPr>
            <w:tcW w:w="1440" w:type="dxa"/>
          </w:tcPr>
          <w:p w:rsidR="00000000" w:rsidRDefault="00000000">
            <w:pPr>
              <w:widowControl w:val="0"/>
              <w:spacing w:after="240"/>
              <w:outlineLvl w:val="0"/>
              <w:rPr>
                <w:bCs/>
                <w:noProof/>
                <w:color w:val="000000"/>
              </w:rPr>
            </w:pPr>
            <w:r>
              <w:rPr>
                <w:bCs/>
                <w:noProof/>
                <w:color w:val="000000"/>
              </w:rPr>
              <w:t>Cuadro 62:</w:t>
            </w:r>
          </w:p>
        </w:tc>
        <w:tc>
          <w:tcPr>
            <w:tcW w:w="7985" w:type="dxa"/>
          </w:tcPr>
          <w:p w:rsidR="00000000" w:rsidRDefault="00000000">
            <w:pPr>
              <w:widowControl w:val="0"/>
              <w:spacing w:after="240"/>
              <w:outlineLvl w:val="0"/>
              <w:rPr>
                <w:bCs/>
                <w:noProof/>
              </w:rPr>
            </w:pPr>
            <w:r>
              <w:rPr>
                <w:bCs/>
                <w:noProof/>
              </w:rPr>
              <w:t>Programas de Prevención del consumo de drogas en establecimientos educacionales, año 2003</w:t>
            </w:r>
          </w:p>
        </w:tc>
      </w:tr>
      <w:tr w:rsidR="00000000">
        <w:tblPrEx>
          <w:tblCellMar>
            <w:top w:w="0" w:type="dxa"/>
            <w:bottom w:w="0" w:type="dxa"/>
          </w:tblCellMar>
        </w:tblPrEx>
        <w:tc>
          <w:tcPr>
            <w:tcW w:w="1440" w:type="dxa"/>
          </w:tcPr>
          <w:p w:rsidR="00000000" w:rsidRDefault="00000000">
            <w:pPr>
              <w:widowControl w:val="0"/>
              <w:spacing w:after="240"/>
              <w:outlineLvl w:val="0"/>
              <w:rPr>
                <w:bCs/>
                <w:noProof/>
              </w:rPr>
            </w:pPr>
            <w:r>
              <w:rPr>
                <w:bCs/>
                <w:noProof/>
              </w:rPr>
              <w:t>Cuadro 63:</w:t>
            </w:r>
          </w:p>
        </w:tc>
        <w:tc>
          <w:tcPr>
            <w:tcW w:w="7985" w:type="dxa"/>
          </w:tcPr>
          <w:p w:rsidR="00000000" w:rsidRDefault="00000000">
            <w:pPr>
              <w:widowControl w:val="0"/>
              <w:spacing w:after="240"/>
              <w:rPr>
                <w:bCs/>
              </w:rPr>
            </w:pPr>
            <w:r>
              <w:rPr>
                <w:bCs/>
                <w:noProof/>
              </w:rPr>
              <w:t>Estadística de estudiantes con ascendencia i</w:t>
            </w:r>
            <w:r>
              <w:rPr>
                <w:bCs/>
              </w:rPr>
              <w:t>ndígena aymara y mapuche</w:t>
            </w:r>
          </w:p>
        </w:tc>
      </w:tr>
    </w:tbl>
    <w:p w:rsidR="00000000" w:rsidRDefault="00000000">
      <w:pPr>
        <w:tabs>
          <w:tab w:val="center" w:pos="4680"/>
        </w:tabs>
        <w:spacing w:after="360"/>
        <w:outlineLvl w:val="0"/>
        <w:rPr>
          <w:bCs/>
          <w:szCs w:val="22"/>
        </w:rPr>
      </w:pPr>
    </w:p>
    <w:p w:rsidR="00000000" w:rsidRDefault="00000000">
      <w:pPr>
        <w:tabs>
          <w:tab w:val="center" w:pos="4680"/>
        </w:tabs>
        <w:spacing w:after="240"/>
        <w:outlineLvl w:val="0"/>
        <w:rPr>
          <w:bCs/>
          <w:noProof/>
          <w:color w:val="000000"/>
        </w:rPr>
      </w:pPr>
    </w:p>
    <w:p w:rsidR="00000000" w:rsidRDefault="00000000">
      <w:pPr>
        <w:tabs>
          <w:tab w:val="center" w:pos="4680"/>
        </w:tabs>
        <w:spacing w:after="240"/>
        <w:jc w:val="center"/>
        <w:outlineLvl w:val="0"/>
        <w:rPr>
          <w:b/>
          <w:noProof/>
          <w:color w:val="000000"/>
        </w:rPr>
      </w:pPr>
      <w:r>
        <w:rPr>
          <w:bCs/>
          <w:noProof/>
          <w:color w:val="000000"/>
        </w:rPr>
        <w:br w:type="page"/>
      </w:r>
      <w:r>
        <w:rPr>
          <w:b/>
          <w:noProof/>
          <w:color w:val="000000"/>
        </w:rPr>
        <w:t>Cuadro 1</w:t>
      </w:r>
    </w:p>
    <w:p w:rsidR="00000000" w:rsidRDefault="00000000">
      <w:pPr>
        <w:tabs>
          <w:tab w:val="center" w:pos="4680"/>
        </w:tabs>
        <w:spacing w:after="240"/>
        <w:jc w:val="center"/>
        <w:outlineLvl w:val="0"/>
        <w:rPr>
          <w:b/>
          <w:noProof/>
          <w:color w:val="000000"/>
        </w:rPr>
      </w:pPr>
      <w:r>
        <w:rPr>
          <w:b/>
          <w:noProof/>
          <w:color w:val="000000"/>
        </w:rPr>
        <w:t>Raciones de alimentación entregadas PAE, 1998-2002</w:t>
      </w:r>
    </w:p>
    <w:tbl>
      <w:tblPr>
        <w:tblW w:w="0" w:type="auto"/>
        <w:jc w:val="center"/>
        <w:tblBorders>
          <w:top w:val="single" w:sz="4" w:space="0" w:color="auto"/>
          <w:left w:val="single" w:sz="4" w:space="0" w:color="auto"/>
          <w:bottom w:val="single" w:sz="4" w:space="0" w:color="auto"/>
          <w:right w:val="single" w:sz="4" w:space="0" w:color="auto"/>
          <w:insideH w:val="single" w:sz="8" w:space="0" w:color="000000"/>
          <w:insideV w:val="single" w:sz="8" w:space="0" w:color="000000"/>
        </w:tblBorders>
        <w:tblLayout w:type="fixed"/>
        <w:tblCellMar>
          <w:left w:w="56" w:type="dxa"/>
          <w:right w:w="56" w:type="dxa"/>
        </w:tblCellMar>
        <w:tblLook w:val="0000" w:firstRow="0" w:lastRow="0" w:firstColumn="0" w:lastColumn="0" w:noHBand="0" w:noVBand="0"/>
      </w:tblPr>
      <w:tblGrid>
        <w:gridCol w:w="2073"/>
        <w:gridCol w:w="1455"/>
        <w:gridCol w:w="1455"/>
        <w:gridCol w:w="1455"/>
        <w:gridCol w:w="1455"/>
        <w:gridCol w:w="1464"/>
      </w:tblGrid>
      <w:tr w:rsidR="00000000">
        <w:tblPrEx>
          <w:tblCellMar>
            <w:top w:w="0" w:type="dxa"/>
            <w:bottom w:w="0" w:type="dxa"/>
          </w:tblCellMar>
        </w:tblPrEx>
        <w:trPr>
          <w:jc w:val="center"/>
        </w:trPr>
        <w:tc>
          <w:tcPr>
            <w:tcW w:w="2073" w:type="dxa"/>
          </w:tcPr>
          <w:p w:rsidR="00000000" w:rsidRDefault="00000000">
            <w:pPr>
              <w:jc w:val="center"/>
              <w:rPr>
                <w:b/>
                <w:noProof/>
                <w:color w:val="000000"/>
              </w:rPr>
            </w:pPr>
            <w:r>
              <w:rPr>
                <w:b/>
                <w:noProof/>
                <w:color w:val="000000"/>
              </w:rPr>
              <w:t>Nivel educacional</w:t>
            </w:r>
          </w:p>
        </w:tc>
        <w:tc>
          <w:tcPr>
            <w:tcW w:w="1455" w:type="dxa"/>
          </w:tcPr>
          <w:p w:rsidR="00000000" w:rsidRDefault="00000000">
            <w:pPr>
              <w:jc w:val="center"/>
              <w:rPr>
                <w:b/>
                <w:noProof/>
                <w:color w:val="000000"/>
              </w:rPr>
            </w:pPr>
            <w:r>
              <w:rPr>
                <w:b/>
                <w:noProof/>
                <w:color w:val="000000"/>
              </w:rPr>
              <w:t>1998</w:t>
            </w:r>
          </w:p>
        </w:tc>
        <w:tc>
          <w:tcPr>
            <w:tcW w:w="1455" w:type="dxa"/>
          </w:tcPr>
          <w:p w:rsidR="00000000" w:rsidRDefault="00000000">
            <w:pPr>
              <w:jc w:val="center"/>
              <w:rPr>
                <w:b/>
                <w:noProof/>
                <w:color w:val="000000"/>
              </w:rPr>
            </w:pPr>
            <w:r>
              <w:rPr>
                <w:b/>
                <w:noProof/>
                <w:color w:val="000000"/>
              </w:rPr>
              <w:t>1999</w:t>
            </w:r>
          </w:p>
        </w:tc>
        <w:tc>
          <w:tcPr>
            <w:tcW w:w="1455" w:type="dxa"/>
          </w:tcPr>
          <w:p w:rsidR="00000000" w:rsidRDefault="00000000">
            <w:pPr>
              <w:jc w:val="center"/>
              <w:rPr>
                <w:b/>
                <w:noProof/>
                <w:color w:val="000000"/>
              </w:rPr>
            </w:pPr>
            <w:r>
              <w:rPr>
                <w:b/>
                <w:noProof/>
                <w:color w:val="000000"/>
              </w:rPr>
              <w:t>2000</w:t>
            </w:r>
          </w:p>
        </w:tc>
        <w:tc>
          <w:tcPr>
            <w:tcW w:w="1455" w:type="dxa"/>
          </w:tcPr>
          <w:p w:rsidR="00000000" w:rsidRDefault="00000000">
            <w:pPr>
              <w:jc w:val="center"/>
              <w:rPr>
                <w:b/>
                <w:noProof/>
                <w:color w:val="000000"/>
              </w:rPr>
            </w:pPr>
            <w:r>
              <w:rPr>
                <w:b/>
                <w:noProof/>
                <w:color w:val="000000"/>
              </w:rPr>
              <w:t>2001</w:t>
            </w:r>
          </w:p>
        </w:tc>
        <w:tc>
          <w:tcPr>
            <w:tcW w:w="1464" w:type="dxa"/>
          </w:tcPr>
          <w:p w:rsidR="00000000" w:rsidRDefault="00000000">
            <w:pPr>
              <w:jc w:val="center"/>
              <w:rPr>
                <w:b/>
                <w:noProof/>
                <w:color w:val="000000"/>
              </w:rPr>
            </w:pPr>
            <w:r>
              <w:rPr>
                <w:b/>
                <w:noProof/>
                <w:color w:val="000000"/>
              </w:rPr>
              <w:t>2002</w:t>
            </w:r>
          </w:p>
        </w:tc>
      </w:tr>
      <w:tr w:rsidR="00000000">
        <w:tblPrEx>
          <w:tblCellMar>
            <w:top w:w="0" w:type="dxa"/>
            <w:bottom w:w="0" w:type="dxa"/>
          </w:tblCellMar>
        </w:tblPrEx>
        <w:trPr>
          <w:jc w:val="center"/>
        </w:trPr>
        <w:tc>
          <w:tcPr>
            <w:tcW w:w="2073" w:type="dxa"/>
          </w:tcPr>
          <w:p w:rsidR="00000000" w:rsidRDefault="00000000">
            <w:pPr>
              <w:rPr>
                <w:bCs/>
                <w:noProof/>
                <w:color w:val="000000"/>
              </w:rPr>
            </w:pPr>
            <w:r>
              <w:rPr>
                <w:bCs/>
                <w:noProof/>
                <w:color w:val="000000"/>
              </w:rPr>
              <w:t>PAE Pre Kinder</w:t>
            </w:r>
          </w:p>
        </w:tc>
        <w:tc>
          <w:tcPr>
            <w:tcW w:w="1455" w:type="dxa"/>
          </w:tcPr>
          <w:p w:rsidR="00000000" w:rsidRDefault="00000000">
            <w:pPr>
              <w:tabs>
                <w:tab w:val="decimal" w:pos="1064"/>
              </w:tabs>
              <w:rPr>
                <w:bCs/>
                <w:noProof/>
                <w:color w:val="000000"/>
              </w:rPr>
            </w:pPr>
            <w:r>
              <w:rPr>
                <w:bCs/>
                <w:noProof/>
                <w:color w:val="000000"/>
              </w:rPr>
              <w:t>-</w:t>
            </w:r>
          </w:p>
        </w:tc>
        <w:tc>
          <w:tcPr>
            <w:tcW w:w="1455" w:type="dxa"/>
          </w:tcPr>
          <w:p w:rsidR="00000000" w:rsidRDefault="00000000">
            <w:pPr>
              <w:tabs>
                <w:tab w:val="decimal" w:pos="1079"/>
              </w:tabs>
              <w:rPr>
                <w:bCs/>
                <w:noProof/>
                <w:color w:val="000000"/>
              </w:rPr>
            </w:pPr>
            <w:r>
              <w:rPr>
                <w:bCs/>
                <w:noProof/>
                <w:color w:val="000000"/>
              </w:rPr>
              <w:t>-</w:t>
            </w:r>
          </w:p>
        </w:tc>
        <w:tc>
          <w:tcPr>
            <w:tcW w:w="1455" w:type="dxa"/>
          </w:tcPr>
          <w:p w:rsidR="00000000" w:rsidRDefault="00000000">
            <w:pPr>
              <w:tabs>
                <w:tab w:val="decimal" w:pos="1079"/>
              </w:tabs>
              <w:rPr>
                <w:bCs/>
                <w:noProof/>
                <w:color w:val="000000"/>
              </w:rPr>
            </w:pPr>
            <w:r>
              <w:rPr>
                <w:bCs/>
                <w:noProof/>
                <w:color w:val="000000"/>
              </w:rPr>
              <w:t>-</w:t>
            </w:r>
          </w:p>
        </w:tc>
        <w:tc>
          <w:tcPr>
            <w:tcW w:w="1455" w:type="dxa"/>
          </w:tcPr>
          <w:p w:rsidR="00000000" w:rsidRDefault="00000000">
            <w:pPr>
              <w:tabs>
                <w:tab w:val="decimal" w:pos="1052"/>
              </w:tabs>
              <w:rPr>
                <w:bCs/>
                <w:noProof/>
                <w:color w:val="000000"/>
              </w:rPr>
            </w:pPr>
            <w:r>
              <w:rPr>
                <w:bCs/>
                <w:noProof/>
                <w:color w:val="000000"/>
              </w:rPr>
              <w:t>21.000</w:t>
            </w:r>
          </w:p>
        </w:tc>
        <w:tc>
          <w:tcPr>
            <w:tcW w:w="1464" w:type="dxa"/>
          </w:tcPr>
          <w:p w:rsidR="00000000" w:rsidRDefault="00000000">
            <w:pPr>
              <w:tabs>
                <w:tab w:val="decimal" w:pos="1025"/>
              </w:tabs>
              <w:rPr>
                <w:bCs/>
                <w:noProof/>
                <w:color w:val="000000"/>
              </w:rPr>
            </w:pPr>
            <w:r>
              <w:rPr>
                <w:bCs/>
                <w:noProof/>
                <w:color w:val="000000"/>
              </w:rPr>
              <w:t>27.000</w:t>
            </w:r>
          </w:p>
        </w:tc>
      </w:tr>
      <w:tr w:rsidR="00000000">
        <w:tblPrEx>
          <w:tblCellMar>
            <w:top w:w="0" w:type="dxa"/>
            <w:bottom w:w="0" w:type="dxa"/>
          </w:tblCellMar>
        </w:tblPrEx>
        <w:trPr>
          <w:jc w:val="center"/>
        </w:trPr>
        <w:tc>
          <w:tcPr>
            <w:tcW w:w="2073" w:type="dxa"/>
          </w:tcPr>
          <w:p w:rsidR="00000000" w:rsidRDefault="00000000">
            <w:pPr>
              <w:rPr>
                <w:bCs/>
                <w:noProof/>
                <w:color w:val="000000"/>
              </w:rPr>
            </w:pPr>
            <w:r>
              <w:rPr>
                <w:bCs/>
                <w:noProof/>
                <w:color w:val="000000"/>
              </w:rPr>
              <w:t>PAE Kinder</w:t>
            </w:r>
          </w:p>
        </w:tc>
        <w:tc>
          <w:tcPr>
            <w:tcW w:w="1455" w:type="dxa"/>
          </w:tcPr>
          <w:p w:rsidR="00000000" w:rsidRDefault="00000000">
            <w:pPr>
              <w:tabs>
                <w:tab w:val="decimal" w:pos="1064"/>
              </w:tabs>
              <w:rPr>
                <w:bCs/>
                <w:noProof/>
                <w:color w:val="000000"/>
              </w:rPr>
            </w:pPr>
            <w:r>
              <w:rPr>
                <w:bCs/>
                <w:noProof/>
                <w:color w:val="000000"/>
              </w:rPr>
              <w:t>29.107</w:t>
            </w:r>
          </w:p>
        </w:tc>
        <w:tc>
          <w:tcPr>
            <w:tcW w:w="1455" w:type="dxa"/>
          </w:tcPr>
          <w:p w:rsidR="00000000" w:rsidRDefault="00000000">
            <w:pPr>
              <w:tabs>
                <w:tab w:val="decimal" w:pos="1079"/>
              </w:tabs>
              <w:rPr>
                <w:bCs/>
                <w:noProof/>
                <w:color w:val="000000"/>
              </w:rPr>
            </w:pPr>
            <w:r>
              <w:rPr>
                <w:bCs/>
                <w:noProof/>
                <w:color w:val="000000"/>
              </w:rPr>
              <w:t>28.500</w:t>
            </w:r>
          </w:p>
        </w:tc>
        <w:tc>
          <w:tcPr>
            <w:tcW w:w="1455" w:type="dxa"/>
          </w:tcPr>
          <w:p w:rsidR="00000000" w:rsidRDefault="00000000">
            <w:pPr>
              <w:tabs>
                <w:tab w:val="decimal" w:pos="1079"/>
              </w:tabs>
              <w:rPr>
                <w:bCs/>
                <w:noProof/>
                <w:color w:val="000000"/>
              </w:rPr>
            </w:pPr>
            <w:r>
              <w:rPr>
                <w:bCs/>
                <w:noProof/>
                <w:color w:val="000000"/>
              </w:rPr>
              <w:t>29.000</w:t>
            </w:r>
          </w:p>
        </w:tc>
        <w:tc>
          <w:tcPr>
            <w:tcW w:w="1455" w:type="dxa"/>
          </w:tcPr>
          <w:p w:rsidR="00000000" w:rsidRDefault="00000000">
            <w:pPr>
              <w:tabs>
                <w:tab w:val="decimal" w:pos="1052"/>
              </w:tabs>
              <w:rPr>
                <w:bCs/>
                <w:noProof/>
                <w:color w:val="000000"/>
              </w:rPr>
            </w:pPr>
            <w:r>
              <w:rPr>
                <w:bCs/>
                <w:noProof/>
                <w:color w:val="000000"/>
              </w:rPr>
              <w:t>32.000</w:t>
            </w:r>
          </w:p>
        </w:tc>
        <w:tc>
          <w:tcPr>
            <w:tcW w:w="1464" w:type="dxa"/>
          </w:tcPr>
          <w:p w:rsidR="00000000" w:rsidRDefault="00000000">
            <w:pPr>
              <w:tabs>
                <w:tab w:val="decimal" w:pos="1025"/>
              </w:tabs>
              <w:rPr>
                <w:bCs/>
                <w:noProof/>
                <w:color w:val="000000"/>
              </w:rPr>
            </w:pPr>
            <w:r>
              <w:rPr>
                <w:bCs/>
                <w:noProof/>
                <w:color w:val="000000"/>
              </w:rPr>
              <w:t>55.000</w:t>
            </w:r>
          </w:p>
        </w:tc>
      </w:tr>
      <w:tr w:rsidR="00000000">
        <w:tblPrEx>
          <w:tblCellMar>
            <w:top w:w="0" w:type="dxa"/>
            <w:bottom w:w="0" w:type="dxa"/>
          </w:tblCellMar>
        </w:tblPrEx>
        <w:trPr>
          <w:jc w:val="center"/>
        </w:trPr>
        <w:tc>
          <w:tcPr>
            <w:tcW w:w="2073" w:type="dxa"/>
          </w:tcPr>
          <w:p w:rsidR="00000000" w:rsidRDefault="00000000">
            <w:pPr>
              <w:rPr>
                <w:bCs/>
                <w:noProof/>
                <w:color w:val="000000"/>
              </w:rPr>
            </w:pPr>
            <w:r>
              <w:rPr>
                <w:bCs/>
                <w:noProof/>
                <w:color w:val="000000"/>
              </w:rPr>
              <w:t xml:space="preserve">PAE Básica </w:t>
            </w:r>
          </w:p>
        </w:tc>
        <w:tc>
          <w:tcPr>
            <w:tcW w:w="1455" w:type="dxa"/>
          </w:tcPr>
          <w:p w:rsidR="00000000" w:rsidRDefault="00000000">
            <w:pPr>
              <w:tabs>
                <w:tab w:val="decimal" w:pos="1064"/>
              </w:tabs>
              <w:rPr>
                <w:bCs/>
                <w:noProof/>
                <w:color w:val="000000"/>
              </w:rPr>
            </w:pPr>
            <w:r>
              <w:rPr>
                <w:bCs/>
                <w:noProof/>
                <w:color w:val="000000"/>
              </w:rPr>
              <w:t>728.571</w:t>
            </w:r>
          </w:p>
        </w:tc>
        <w:tc>
          <w:tcPr>
            <w:tcW w:w="1455" w:type="dxa"/>
          </w:tcPr>
          <w:p w:rsidR="00000000" w:rsidRDefault="00000000">
            <w:pPr>
              <w:tabs>
                <w:tab w:val="decimal" w:pos="1079"/>
              </w:tabs>
              <w:rPr>
                <w:bCs/>
                <w:noProof/>
                <w:color w:val="000000"/>
              </w:rPr>
            </w:pPr>
            <w:r>
              <w:rPr>
                <w:bCs/>
                <w:noProof/>
                <w:color w:val="000000"/>
              </w:rPr>
              <w:t>755.000</w:t>
            </w:r>
          </w:p>
        </w:tc>
        <w:tc>
          <w:tcPr>
            <w:tcW w:w="1455" w:type="dxa"/>
          </w:tcPr>
          <w:p w:rsidR="00000000" w:rsidRDefault="00000000">
            <w:pPr>
              <w:tabs>
                <w:tab w:val="decimal" w:pos="1079"/>
              </w:tabs>
              <w:rPr>
                <w:bCs/>
                <w:noProof/>
                <w:color w:val="000000"/>
              </w:rPr>
            </w:pPr>
            <w:r>
              <w:rPr>
                <w:bCs/>
                <w:noProof/>
                <w:color w:val="000000"/>
              </w:rPr>
              <w:t>797.000</w:t>
            </w:r>
          </w:p>
        </w:tc>
        <w:tc>
          <w:tcPr>
            <w:tcW w:w="1455" w:type="dxa"/>
          </w:tcPr>
          <w:p w:rsidR="00000000" w:rsidRDefault="00000000">
            <w:pPr>
              <w:tabs>
                <w:tab w:val="decimal" w:pos="1052"/>
              </w:tabs>
              <w:rPr>
                <w:bCs/>
                <w:noProof/>
                <w:color w:val="000000"/>
              </w:rPr>
            </w:pPr>
            <w:r>
              <w:rPr>
                <w:bCs/>
                <w:noProof/>
                <w:color w:val="000000"/>
              </w:rPr>
              <w:t>831.000</w:t>
            </w:r>
          </w:p>
        </w:tc>
        <w:tc>
          <w:tcPr>
            <w:tcW w:w="1464" w:type="dxa"/>
          </w:tcPr>
          <w:p w:rsidR="00000000" w:rsidRDefault="00000000">
            <w:pPr>
              <w:tabs>
                <w:tab w:val="decimal" w:pos="1025"/>
              </w:tabs>
              <w:rPr>
                <w:bCs/>
                <w:noProof/>
                <w:color w:val="000000"/>
              </w:rPr>
            </w:pPr>
            <w:r>
              <w:rPr>
                <w:bCs/>
                <w:noProof/>
                <w:color w:val="000000"/>
              </w:rPr>
              <w:t>842.000</w:t>
            </w:r>
          </w:p>
        </w:tc>
      </w:tr>
      <w:tr w:rsidR="00000000">
        <w:tblPrEx>
          <w:tblCellMar>
            <w:top w:w="0" w:type="dxa"/>
            <w:bottom w:w="0" w:type="dxa"/>
          </w:tblCellMar>
        </w:tblPrEx>
        <w:trPr>
          <w:jc w:val="center"/>
        </w:trPr>
        <w:tc>
          <w:tcPr>
            <w:tcW w:w="2073" w:type="dxa"/>
          </w:tcPr>
          <w:p w:rsidR="00000000" w:rsidRDefault="00000000">
            <w:pPr>
              <w:rPr>
                <w:bCs/>
                <w:noProof/>
                <w:color w:val="000000"/>
              </w:rPr>
            </w:pPr>
            <w:r>
              <w:rPr>
                <w:bCs/>
                <w:noProof/>
                <w:color w:val="000000"/>
              </w:rPr>
              <w:t>PAE Media</w:t>
            </w:r>
          </w:p>
        </w:tc>
        <w:tc>
          <w:tcPr>
            <w:tcW w:w="1455" w:type="dxa"/>
          </w:tcPr>
          <w:p w:rsidR="00000000" w:rsidRDefault="00000000">
            <w:pPr>
              <w:tabs>
                <w:tab w:val="decimal" w:pos="1064"/>
              </w:tabs>
              <w:rPr>
                <w:bCs/>
                <w:noProof/>
                <w:color w:val="000000"/>
              </w:rPr>
            </w:pPr>
            <w:r>
              <w:rPr>
                <w:bCs/>
                <w:noProof/>
                <w:color w:val="000000"/>
              </w:rPr>
              <w:t>140.347</w:t>
            </w:r>
          </w:p>
        </w:tc>
        <w:tc>
          <w:tcPr>
            <w:tcW w:w="1455" w:type="dxa"/>
          </w:tcPr>
          <w:p w:rsidR="00000000" w:rsidRDefault="00000000">
            <w:pPr>
              <w:tabs>
                <w:tab w:val="decimal" w:pos="1079"/>
              </w:tabs>
              <w:rPr>
                <w:bCs/>
                <w:noProof/>
                <w:color w:val="000000"/>
              </w:rPr>
            </w:pPr>
            <w:r>
              <w:rPr>
                <w:bCs/>
                <w:noProof/>
                <w:color w:val="000000"/>
              </w:rPr>
              <w:t>162.500</w:t>
            </w:r>
          </w:p>
        </w:tc>
        <w:tc>
          <w:tcPr>
            <w:tcW w:w="1455" w:type="dxa"/>
          </w:tcPr>
          <w:p w:rsidR="00000000" w:rsidRDefault="00000000">
            <w:pPr>
              <w:tabs>
                <w:tab w:val="decimal" w:pos="1079"/>
              </w:tabs>
              <w:rPr>
                <w:bCs/>
                <w:noProof/>
                <w:color w:val="000000"/>
              </w:rPr>
            </w:pPr>
            <w:r>
              <w:rPr>
                <w:bCs/>
                <w:noProof/>
                <w:color w:val="000000"/>
              </w:rPr>
              <w:t>182.500</w:t>
            </w:r>
          </w:p>
        </w:tc>
        <w:tc>
          <w:tcPr>
            <w:tcW w:w="1455" w:type="dxa"/>
          </w:tcPr>
          <w:p w:rsidR="00000000" w:rsidRDefault="00000000">
            <w:pPr>
              <w:tabs>
                <w:tab w:val="decimal" w:pos="1052"/>
              </w:tabs>
              <w:rPr>
                <w:bCs/>
                <w:noProof/>
                <w:color w:val="000000"/>
              </w:rPr>
            </w:pPr>
            <w:r>
              <w:rPr>
                <w:bCs/>
                <w:noProof/>
                <w:color w:val="000000"/>
              </w:rPr>
              <w:t>204.000</w:t>
            </w:r>
          </w:p>
        </w:tc>
        <w:tc>
          <w:tcPr>
            <w:tcW w:w="1464" w:type="dxa"/>
          </w:tcPr>
          <w:p w:rsidR="00000000" w:rsidRDefault="00000000">
            <w:pPr>
              <w:tabs>
                <w:tab w:val="decimal" w:pos="1025"/>
              </w:tabs>
              <w:rPr>
                <w:bCs/>
                <w:noProof/>
                <w:color w:val="000000"/>
              </w:rPr>
            </w:pPr>
            <w:r>
              <w:rPr>
                <w:bCs/>
                <w:noProof/>
                <w:color w:val="000000"/>
              </w:rPr>
              <w:t>210.000</w:t>
            </w:r>
          </w:p>
        </w:tc>
      </w:tr>
    </w:tbl>
    <w:p w:rsidR="00000000" w:rsidRDefault="00000000">
      <w:pPr>
        <w:tabs>
          <w:tab w:val="center" w:pos="4680"/>
        </w:tabs>
        <w:spacing w:before="240" w:after="480"/>
        <w:rPr>
          <w:bCs/>
          <w:noProof/>
          <w:color w:val="000000"/>
        </w:rPr>
      </w:pPr>
      <w:r>
        <w:rPr>
          <w:bCs/>
          <w:i/>
          <w:iCs/>
          <w:noProof/>
          <w:color w:val="000000"/>
        </w:rPr>
        <w:t>Fuente</w:t>
      </w:r>
      <w:r>
        <w:rPr>
          <w:bCs/>
          <w:noProof/>
          <w:color w:val="000000"/>
        </w:rPr>
        <w:t>:  JUNAEB, 2003.</w:t>
      </w:r>
    </w:p>
    <w:p w:rsidR="00000000" w:rsidRDefault="00000000">
      <w:pPr>
        <w:widowControl w:val="0"/>
        <w:tabs>
          <w:tab w:val="center" w:pos="4680"/>
        </w:tabs>
        <w:spacing w:after="240"/>
        <w:jc w:val="center"/>
        <w:rPr>
          <w:b/>
          <w:noProof/>
          <w:color w:val="000000"/>
        </w:rPr>
      </w:pPr>
      <w:r>
        <w:rPr>
          <w:b/>
          <w:noProof/>
          <w:color w:val="000000"/>
        </w:rPr>
        <w:t>Cuadro 2</w:t>
      </w:r>
    </w:p>
    <w:p w:rsidR="00000000" w:rsidRDefault="00000000">
      <w:pPr>
        <w:pStyle w:val="Heading1"/>
        <w:keepNext w:val="0"/>
        <w:spacing w:after="240" w:line="240" w:lineRule="auto"/>
        <w:rPr>
          <w:b/>
          <w:bCs/>
          <w:noProof/>
          <w:color w:val="000000"/>
          <w:u w:val="none"/>
          <w:lang w:val="es-MX"/>
        </w:rPr>
      </w:pPr>
      <w:r>
        <w:rPr>
          <w:b/>
          <w:bCs/>
          <w:u w:val="none"/>
          <w:lang w:val="es-MX"/>
        </w:rPr>
        <w:t xml:space="preserve">Beneficiarios, programas del área de salud de JUNAEB, </w:t>
      </w:r>
      <w:r>
        <w:rPr>
          <w:b/>
          <w:bCs/>
          <w:noProof/>
          <w:color w:val="000000"/>
          <w:u w:val="none"/>
          <w:lang w:val="es-MX"/>
        </w:rPr>
        <w:t>1998</w:t>
      </w:r>
      <w:r>
        <w:rPr>
          <w:b/>
          <w:bCs/>
          <w:noProof/>
          <w:color w:val="000000"/>
          <w:u w:val="none"/>
          <w:lang w:val="es-MX"/>
        </w:rPr>
        <w:noBreakHyphen/>
        <w:t>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834"/>
        <w:gridCol w:w="1245"/>
        <w:gridCol w:w="1317"/>
        <w:gridCol w:w="1317"/>
        <w:gridCol w:w="1317"/>
        <w:gridCol w:w="1327"/>
      </w:tblGrid>
      <w:tr w:rsidR="00000000">
        <w:tblPrEx>
          <w:tblCellMar>
            <w:top w:w="0" w:type="dxa"/>
            <w:bottom w:w="0" w:type="dxa"/>
          </w:tblCellMar>
        </w:tblPrEx>
        <w:trPr>
          <w:jc w:val="center"/>
        </w:trPr>
        <w:tc>
          <w:tcPr>
            <w:tcW w:w="2834" w:type="dxa"/>
          </w:tcPr>
          <w:p w:rsidR="00000000" w:rsidRDefault="00000000">
            <w:pPr>
              <w:widowControl w:val="0"/>
              <w:jc w:val="center"/>
              <w:rPr>
                <w:b/>
                <w:noProof/>
                <w:color w:val="000000"/>
              </w:rPr>
            </w:pPr>
            <w:r>
              <w:rPr>
                <w:b/>
                <w:noProof/>
                <w:color w:val="000000"/>
              </w:rPr>
              <w:t>Subproductos</w:t>
            </w:r>
          </w:p>
        </w:tc>
        <w:tc>
          <w:tcPr>
            <w:tcW w:w="1245" w:type="dxa"/>
          </w:tcPr>
          <w:p w:rsidR="00000000" w:rsidRDefault="00000000">
            <w:pPr>
              <w:widowControl w:val="0"/>
              <w:jc w:val="center"/>
              <w:rPr>
                <w:b/>
                <w:noProof/>
                <w:color w:val="000000"/>
              </w:rPr>
            </w:pPr>
            <w:r>
              <w:rPr>
                <w:b/>
                <w:noProof/>
                <w:color w:val="000000"/>
              </w:rPr>
              <w:t>1998</w:t>
            </w:r>
          </w:p>
        </w:tc>
        <w:tc>
          <w:tcPr>
            <w:tcW w:w="1317" w:type="dxa"/>
          </w:tcPr>
          <w:p w:rsidR="00000000" w:rsidRDefault="00000000">
            <w:pPr>
              <w:widowControl w:val="0"/>
              <w:jc w:val="center"/>
              <w:rPr>
                <w:b/>
                <w:noProof/>
                <w:color w:val="000000"/>
              </w:rPr>
            </w:pPr>
            <w:r>
              <w:rPr>
                <w:b/>
                <w:noProof/>
                <w:color w:val="000000"/>
              </w:rPr>
              <w:t>1999</w:t>
            </w:r>
          </w:p>
        </w:tc>
        <w:tc>
          <w:tcPr>
            <w:tcW w:w="1317" w:type="dxa"/>
          </w:tcPr>
          <w:p w:rsidR="00000000" w:rsidRDefault="00000000">
            <w:pPr>
              <w:widowControl w:val="0"/>
              <w:jc w:val="center"/>
              <w:rPr>
                <w:b/>
                <w:noProof/>
                <w:color w:val="000000"/>
              </w:rPr>
            </w:pPr>
            <w:r>
              <w:rPr>
                <w:b/>
                <w:noProof/>
                <w:color w:val="000000"/>
              </w:rPr>
              <w:t>2000</w:t>
            </w:r>
          </w:p>
        </w:tc>
        <w:tc>
          <w:tcPr>
            <w:tcW w:w="1317" w:type="dxa"/>
          </w:tcPr>
          <w:p w:rsidR="00000000" w:rsidRDefault="00000000">
            <w:pPr>
              <w:widowControl w:val="0"/>
              <w:jc w:val="center"/>
              <w:rPr>
                <w:b/>
                <w:noProof/>
                <w:color w:val="000000"/>
              </w:rPr>
            </w:pPr>
            <w:r>
              <w:rPr>
                <w:b/>
                <w:noProof/>
                <w:color w:val="000000"/>
              </w:rPr>
              <w:t>2001</w:t>
            </w:r>
          </w:p>
        </w:tc>
        <w:tc>
          <w:tcPr>
            <w:tcW w:w="1327" w:type="dxa"/>
          </w:tcPr>
          <w:p w:rsidR="00000000" w:rsidRDefault="00000000">
            <w:pPr>
              <w:widowControl w:val="0"/>
              <w:jc w:val="center"/>
              <w:rPr>
                <w:b/>
                <w:noProof/>
                <w:color w:val="000000"/>
              </w:rPr>
            </w:pPr>
            <w:r>
              <w:rPr>
                <w:b/>
                <w:noProof/>
                <w:color w:val="000000"/>
              </w:rPr>
              <w:t>2002</w:t>
            </w:r>
          </w:p>
        </w:tc>
      </w:tr>
      <w:tr w:rsidR="00000000">
        <w:tblPrEx>
          <w:tblCellMar>
            <w:top w:w="0" w:type="dxa"/>
            <w:bottom w:w="0" w:type="dxa"/>
          </w:tblCellMar>
        </w:tblPrEx>
        <w:trPr>
          <w:jc w:val="center"/>
        </w:trPr>
        <w:tc>
          <w:tcPr>
            <w:tcW w:w="2834" w:type="dxa"/>
          </w:tcPr>
          <w:p w:rsidR="00000000" w:rsidRDefault="00000000">
            <w:pPr>
              <w:rPr>
                <w:bCs/>
                <w:noProof/>
                <w:color w:val="000000"/>
              </w:rPr>
            </w:pPr>
            <w:r>
              <w:rPr>
                <w:bCs/>
                <w:noProof/>
                <w:color w:val="000000"/>
              </w:rPr>
              <w:t>Salud escolar</w:t>
            </w:r>
          </w:p>
        </w:tc>
        <w:tc>
          <w:tcPr>
            <w:tcW w:w="1245" w:type="dxa"/>
          </w:tcPr>
          <w:p w:rsidR="00000000" w:rsidRDefault="00000000">
            <w:pPr>
              <w:tabs>
                <w:tab w:val="decimal" w:pos="951"/>
              </w:tabs>
              <w:rPr>
                <w:bCs/>
                <w:noProof/>
                <w:color w:val="000000"/>
              </w:rPr>
            </w:pPr>
            <w:r>
              <w:rPr>
                <w:bCs/>
                <w:noProof/>
                <w:color w:val="000000"/>
              </w:rPr>
              <w:t>138.770</w:t>
            </w:r>
          </w:p>
        </w:tc>
        <w:tc>
          <w:tcPr>
            <w:tcW w:w="1317" w:type="dxa"/>
          </w:tcPr>
          <w:p w:rsidR="00000000" w:rsidRDefault="00000000">
            <w:pPr>
              <w:tabs>
                <w:tab w:val="decimal" w:pos="976"/>
              </w:tabs>
              <w:rPr>
                <w:bCs/>
                <w:noProof/>
                <w:color w:val="000000"/>
              </w:rPr>
            </w:pPr>
            <w:r>
              <w:rPr>
                <w:bCs/>
                <w:noProof/>
                <w:color w:val="000000"/>
              </w:rPr>
              <w:t>162.298</w:t>
            </w:r>
          </w:p>
        </w:tc>
        <w:tc>
          <w:tcPr>
            <w:tcW w:w="1317" w:type="dxa"/>
          </w:tcPr>
          <w:p w:rsidR="00000000" w:rsidRDefault="00000000">
            <w:pPr>
              <w:tabs>
                <w:tab w:val="decimal" w:pos="988"/>
              </w:tabs>
              <w:rPr>
                <w:bCs/>
                <w:noProof/>
                <w:color w:val="000000"/>
              </w:rPr>
            </w:pPr>
            <w:r>
              <w:rPr>
                <w:bCs/>
                <w:noProof/>
                <w:color w:val="000000"/>
              </w:rPr>
              <w:t>180.575</w:t>
            </w:r>
          </w:p>
        </w:tc>
        <w:tc>
          <w:tcPr>
            <w:tcW w:w="1317" w:type="dxa"/>
          </w:tcPr>
          <w:p w:rsidR="00000000" w:rsidRDefault="00000000">
            <w:pPr>
              <w:tabs>
                <w:tab w:val="decimal" w:pos="987"/>
              </w:tabs>
              <w:rPr>
                <w:bCs/>
                <w:noProof/>
                <w:color w:val="000000"/>
              </w:rPr>
            </w:pPr>
            <w:r>
              <w:rPr>
                <w:bCs/>
                <w:noProof/>
                <w:color w:val="000000"/>
              </w:rPr>
              <w:t>193.958</w:t>
            </w:r>
          </w:p>
        </w:tc>
        <w:tc>
          <w:tcPr>
            <w:tcW w:w="1327" w:type="dxa"/>
          </w:tcPr>
          <w:p w:rsidR="00000000" w:rsidRDefault="00000000">
            <w:pPr>
              <w:tabs>
                <w:tab w:val="decimal" w:pos="958"/>
              </w:tabs>
              <w:rPr>
                <w:bCs/>
                <w:noProof/>
                <w:color w:val="000000"/>
              </w:rPr>
            </w:pPr>
            <w:r>
              <w:rPr>
                <w:bCs/>
                <w:noProof/>
                <w:color w:val="000000"/>
              </w:rPr>
              <w:t>190.075</w:t>
            </w:r>
          </w:p>
        </w:tc>
      </w:tr>
      <w:tr w:rsidR="00000000">
        <w:tblPrEx>
          <w:tblCellMar>
            <w:top w:w="0" w:type="dxa"/>
            <w:bottom w:w="0" w:type="dxa"/>
          </w:tblCellMar>
        </w:tblPrEx>
        <w:trPr>
          <w:jc w:val="center"/>
        </w:trPr>
        <w:tc>
          <w:tcPr>
            <w:tcW w:w="2834" w:type="dxa"/>
          </w:tcPr>
          <w:p w:rsidR="00000000" w:rsidRDefault="00000000">
            <w:pPr>
              <w:rPr>
                <w:bCs/>
                <w:noProof/>
                <w:color w:val="000000"/>
              </w:rPr>
            </w:pPr>
            <w:r>
              <w:rPr>
                <w:bCs/>
                <w:noProof/>
                <w:color w:val="000000"/>
              </w:rPr>
              <w:t>Salud bucal</w:t>
            </w:r>
          </w:p>
        </w:tc>
        <w:tc>
          <w:tcPr>
            <w:tcW w:w="1245" w:type="dxa"/>
          </w:tcPr>
          <w:p w:rsidR="00000000" w:rsidRDefault="00000000">
            <w:pPr>
              <w:tabs>
                <w:tab w:val="decimal" w:pos="951"/>
              </w:tabs>
              <w:rPr>
                <w:bCs/>
                <w:noProof/>
                <w:color w:val="000000"/>
              </w:rPr>
            </w:pPr>
            <w:r>
              <w:rPr>
                <w:bCs/>
                <w:noProof/>
                <w:color w:val="000000"/>
              </w:rPr>
              <w:t>245.400</w:t>
            </w:r>
          </w:p>
        </w:tc>
        <w:tc>
          <w:tcPr>
            <w:tcW w:w="1317" w:type="dxa"/>
          </w:tcPr>
          <w:p w:rsidR="00000000" w:rsidRDefault="00000000">
            <w:pPr>
              <w:tabs>
                <w:tab w:val="decimal" w:pos="976"/>
              </w:tabs>
              <w:rPr>
                <w:bCs/>
                <w:noProof/>
                <w:color w:val="000000"/>
              </w:rPr>
            </w:pPr>
            <w:r>
              <w:rPr>
                <w:bCs/>
                <w:noProof/>
                <w:color w:val="000000"/>
              </w:rPr>
              <w:t>128.700</w:t>
            </w:r>
          </w:p>
        </w:tc>
        <w:tc>
          <w:tcPr>
            <w:tcW w:w="1317" w:type="dxa"/>
          </w:tcPr>
          <w:p w:rsidR="00000000" w:rsidRDefault="00000000">
            <w:pPr>
              <w:tabs>
                <w:tab w:val="decimal" w:pos="988"/>
              </w:tabs>
              <w:rPr>
                <w:bCs/>
                <w:noProof/>
                <w:color w:val="000000"/>
              </w:rPr>
            </w:pPr>
            <w:r>
              <w:rPr>
                <w:bCs/>
                <w:noProof/>
                <w:color w:val="000000"/>
              </w:rPr>
              <w:t>131.440</w:t>
            </w:r>
          </w:p>
        </w:tc>
        <w:tc>
          <w:tcPr>
            <w:tcW w:w="1317" w:type="dxa"/>
          </w:tcPr>
          <w:p w:rsidR="00000000" w:rsidRDefault="00000000">
            <w:pPr>
              <w:tabs>
                <w:tab w:val="decimal" w:pos="987"/>
              </w:tabs>
              <w:rPr>
                <w:bCs/>
                <w:noProof/>
                <w:color w:val="000000"/>
              </w:rPr>
            </w:pPr>
            <w:r>
              <w:rPr>
                <w:bCs/>
                <w:noProof/>
                <w:color w:val="000000"/>
              </w:rPr>
              <w:t>166.238</w:t>
            </w:r>
          </w:p>
        </w:tc>
        <w:tc>
          <w:tcPr>
            <w:tcW w:w="1327" w:type="dxa"/>
          </w:tcPr>
          <w:p w:rsidR="00000000" w:rsidRDefault="00000000">
            <w:pPr>
              <w:tabs>
                <w:tab w:val="decimal" w:pos="958"/>
              </w:tabs>
              <w:rPr>
                <w:bCs/>
                <w:noProof/>
                <w:color w:val="000000"/>
              </w:rPr>
            </w:pPr>
            <w:r>
              <w:rPr>
                <w:bCs/>
                <w:noProof/>
                <w:color w:val="000000"/>
              </w:rPr>
              <w:t>161.430</w:t>
            </w:r>
          </w:p>
        </w:tc>
      </w:tr>
      <w:tr w:rsidR="00000000">
        <w:tblPrEx>
          <w:tblCellMar>
            <w:top w:w="0" w:type="dxa"/>
            <w:bottom w:w="0" w:type="dxa"/>
          </w:tblCellMar>
        </w:tblPrEx>
        <w:trPr>
          <w:jc w:val="center"/>
        </w:trPr>
        <w:tc>
          <w:tcPr>
            <w:tcW w:w="2834" w:type="dxa"/>
          </w:tcPr>
          <w:p w:rsidR="00000000" w:rsidRDefault="00000000">
            <w:pPr>
              <w:rPr>
                <w:bCs/>
                <w:noProof/>
                <w:color w:val="000000"/>
              </w:rPr>
            </w:pPr>
            <w:r>
              <w:rPr>
                <w:bCs/>
                <w:noProof/>
                <w:color w:val="000000"/>
              </w:rPr>
              <w:t xml:space="preserve">Habilidades para la vida </w:t>
            </w:r>
          </w:p>
        </w:tc>
        <w:tc>
          <w:tcPr>
            <w:tcW w:w="1245" w:type="dxa"/>
          </w:tcPr>
          <w:p w:rsidR="00000000" w:rsidRDefault="00000000">
            <w:pPr>
              <w:tabs>
                <w:tab w:val="decimal" w:pos="951"/>
              </w:tabs>
              <w:rPr>
                <w:bCs/>
                <w:noProof/>
                <w:color w:val="000000"/>
              </w:rPr>
            </w:pPr>
            <w:r>
              <w:rPr>
                <w:bCs/>
                <w:noProof/>
                <w:color w:val="000000"/>
              </w:rPr>
              <w:t>0</w:t>
            </w:r>
          </w:p>
        </w:tc>
        <w:tc>
          <w:tcPr>
            <w:tcW w:w="1317" w:type="dxa"/>
          </w:tcPr>
          <w:p w:rsidR="00000000" w:rsidRDefault="00000000">
            <w:pPr>
              <w:tabs>
                <w:tab w:val="decimal" w:pos="976"/>
              </w:tabs>
              <w:rPr>
                <w:bCs/>
                <w:noProof/>
                <w:color w:val="000000"/>
              </w:rPr>
            </w:pPr>
            <w:r>
              <w:rPr>
                <w:bCs/>
                <w:noProof/>
                <w:color w:val="000000"/>
              </w:rPr>
              <w:t>14.202</w:t>
            </w:r>
          </w:p>
        </w:tc>
        <w:tc>
          <w:tcPr>
            <w:tcW w:w="1317" w:type="dxa"/>
          </w:tcPr>
          <w:p w:rsidR="00000000" w:rsidRDefault="00000000">
            <w:pPr>
              <w:tabs>
                <w:tab w:val="decimal" w:pos="988"/>
              </w:tabs>
              <w:rPr>
                <w:bCs/>
                <w:noProof/>
                <w:color w:val="000000"/>
              </w:rPr>
            </w:pPr>
            <w:r>
              <w:rPr>
                <w:bCs/>
                <w:noProof/>
                <w:color w:val="000000"/>
              </w:rPr>
              <w:t>29.432</w:t>
            </w:r>
          </w:p>
        </w:tc>
        <w:tc>
          <w:tcPr>
            <w:tcW w:w="1317" w:type="dxa"/>
          </w:tcPr>
          <w:p w:rsidR="00000000" w:rsidRDefault="00000000">
            <w:pPr>
              <w:tabs>
                <w:tab w:val="decimal" w:pos="987"/>
              </w:tabs>
              <w:rPr>
                <w:bCs/>
                <w:noProof/>
                <w:color w:val="000000"/>
              </w:rPr>
            </w:pPr>
            <w:r>
              <w:rPr>
                <w:bCs/>
                <w:noProof/>
                <w:color w:val="000000"/>
              </w:rPr>
              <w:t>34.257</w:t>
            </w:r>
          </w:p>
        </w:tc>
        <w:tc>
          <w:tcPr>
            <w:tcW w:w="1327" w:type="dxa"/>
          </w:tcPr>
          <w:p w:rsidR="00000000" w:rsidRDefault="00000000">
            <w:pPr>
              <w:tabs>
                <w:tab w:val="decimal" w:pos="958"/>
              </w:tabs>
              <w:rPr>
                <w:bCs/>
                <w:noProof/>
                <w:color w:val="000000"/>
              </w:rPr>
            </w:pPr>
            <w:r>
              <w:rPr>
                <w:bCs/>
                <w:noProof/>
                <w:color w:val="000000"/>
              </w:rPr>
              <w:t>63.544</w:t>
            </w:r>
          </w:p>
        </w:tc>
      </w:tr>
    </w:tbl>
    <w:p w:rsidR="00000000" w:rsidRDefault="00000000">
      <w:pPr>
        <w:tabs>
          <w:tab w:val="center" w:pos="4680"/>
        </w:tabs>
        <w:spacing w:before="240" w:after="480"/>
        <w:rPr>
          <w:bCs/>
          <w:noProof/>
          <w:color w:val="000000"/>
        </w:rPr>
      </w:pPr>
      <w:r>
        <w:rPr>
          <w:bCs/>
          <w:i/>
          <w:iCs/>
          <w:noProof/>
          <w:color w:val="000000"/>
        </w:rPr>
        <w:t>Fuente</w:t>
      </w:r>
      <w:r>
        <w:rPr>
          <w:bCs/>
          <w:noProof/>
          <w:color w:val="000000"/>
        </w:rPr>
        <w:t>:  JUNAEB.</w:t>
      </w:r>
    </w:p>
    <w:p w:rsidR="00000000" w:rsidRDefault="00000000">
      <w:pPr>
        <w:tabs>
          <w:tab w:val="center" w:pos="4680"/>
        </w:tabs>
        <w:spacing w:after="220"/>
        <w:jc w:val="center"/>
        <w:rPr>
          <w:b/>
          <w:noProof/>
          <w:color w:val="000000"/>
          <w:sz w:val="20"/>
        </w:rPr>
      </w:pPr>
      <w:r>
        <w:rPr>
          <w:b/>
          <w:noProof/>
          <w:color w:val="000000"/>
          <w:sz w:val="20"/>
        </w:rPr>
        <w:t>Cuadro 3</w:t>
      </w:r>
    </w:p>
    <w:p w:rsidR="00000000" w:rsidRDefault="00000000">
      <w:pPr>
        <w:spacing w:after="220"/>
        <w:jc w:val="center"/>
        <w:rPr>
          <w:bCs/>
          <w:noProof/>
          <w:color w:val="000000"/>
          <w:sz w:val="20"/>
        </w:rPr>
      </w:pPr>
      <w:r>
        <w:rPr>
          <w:b/>
          <w:noProof/>
          <w:color w:val="000000"/>
          <w:sz w:val="20"/>
        </w:rPr>
        <w:t>Defunciones según sexo y grupos de edad, 1998-2000</w:t>
      </w:r>
    </w:p>
    <w:tbl>
      <w:tblPr>
        <w:tblW w:w="9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867"/>
        <w:gridCol w:w="930"/>
        <w:gridCol w:w="826"/>
        <w:gridCol w:w="854"/>
        <w:gridCol w:w="910"/>
        <w:gridCol w:w="839"/>
        <w:gridCol w:w="756"/>
        <w:gridCol w:w="966"/>
        <w:gridCol w:w="840"/>
        <w:gridCol w:w="700"/>
      </w:tblGrid>
      <w:tr w:rsidR="00000000">
        <w:tblPrEx>
          <w:tblCellMar>
            <w:top w:w="0" w:type="dxa"/>
            <w:bottom w:w="0" w:type="dxa"/>
          </w:tblCellMar>
        </w:tblPrEx>
        <w:trPr>
          <w:cantSplit/>
          <w:jc w:val="center"/>
        </w:trPr>
        <w:tc>
          <w:tcPr>
            <w:tcW w:w="1867" w:type="dxa"/>
            <w:vMerge w:val="restart"/>
          </w:tcPr>
          <w:p w:rsidR="00000000" w:rsidRDefault="00000000">
            <w:pPr>
              <w:rPr>
                <w:bCs/>
                <w:noProof/>
                <w:color w:val="000000"/>
                <w:sz w:val="20"/>
              </w:rPr>
            </w:pPr>
          </w:p>
        </w:tc>
        <w:tc>
          <w:tcPr>
            <w:tcW w:w="2610" w:type="dxa"/>
            <w:gridSpan w:val="3"/>
          </w:tcPr>
          <w:p w:rsidR="00000000" w:rsidRDefault="00000000">
            <w:pPr>
              <w:jc w:val="center"/>
              <w:rPr>
                <w:b/>
                <w:noProof/>
                <w:color w:val="000000"/>
                <w:sz w:val="20"/>
              </w:rPr>
            </w:pPr>
            <w:r>
              <w:rPr>
                <w:b/>
                <w:noProof/>
                <w:color w:val="000000"/>
                <w:sz w:val="20"/>
              </w:rPr>
              <w:t>1998</w:t>
            </w:r>
          </w:p>
        </w:tc>
        <w:tc>
          <w:tcPr>
            <w:tcW w:w="2505" w:type="dxa"/>
            <w:gridSpan w:val="3"/>
          </w:tcPr>
          <w:p w:rsidR="00000000" w:rsidRDefault="00000000">
            <w:pPr>
              <w:jc w:val="center"/>
              <w:rPr>
                <w:b/>
                <w:noProof/>
                <w:color w:val="000000"/>
                <w:sz w:val="20"/>
              </w:rPr>
            </w:pPr>
            <w:r>
              <w:rPr>
                <w:b/>
                <w:noProof/>
                <w:color w:val="000000"/>
                <w:sz w:val="20"/>
              </w:rPr>
              <w:t>1999</w:t>
            </w:r>
          </w:p>
        </w:tc>
        <w:tc>
          <w:tcPr>
            <w:tcW w:w="2506" w:type="dxa"/>
            <w:gridSpan w:val="3"/>
          </w:tcPr>
          <w:p w:rsidR="00000000" w:rsidRDefault="00000000">
            <w:pPr>
              <w:jc w:val="center"/>
              <w:rPr>
                <w:b/>
                <w:noProof/>
                <w:color w:val="000000"/>
                <w:sz w:val="20"/>
              </w:rPr>
            </w:pPr>
            <w:r>
              <w:rPr>
                <w:b/>
                <w:noProof/>
                <w:color w:val="000000"/>
                <w:sz w:val="20"/>
              </w:rPr>
              <w:t>2000</w:t>
            </w:r>
          </w:p>
        </w:tc>
      </w:tr>
      <w:tr w:rsidR="00000000">
        <w:tblPrEx>
          <w:tblCellMar>
            <w:top w:w="0" w:type="dxa"/>
            <w:bottom w:w="0" w:type="dxa"/>
          </w:tblCellMar>
        </w:tblPrEx>
        <w:trPr>
          <w:cantSplit/>
          <w:jc w:val="center"/>
        </w:trPr>
        <w:tc>
          <w:tcPr>
            <w:tcW w:w="1867" w:type="dxa"/>
            <w:vMerge/>
          </w:tcPr>
          <w:p w:rsidR="00000000" w:rsidRDefault="00000000">
            <w:pPr>
              <w:rPr>
                <w:bCs/>
                <w:noProof/>
                <w:color w:val="000000"/>
                <w:sz w:val="20"/>
              </w:rPr>
            </w:pPr>
          </w:p>
        </w:tc>
        <w:tc>
          <w:tcPr>
            <w:tcW w:w="930" w:type="dxa"/>
          </w:tcPr>
          <w:p w:rsidR="00000000" w:rsidRDefault="00000000">
            <w:pPr>
              <w:ind w:left="-146" w:right="-82" w:firstLine="146"/>
              <w:rPr>
                <w:b/>
                <w:noProof/>
                <w:color w:val="000000"/>
                <w:sz w:val="20"/>
              </w:rPr>
            </w:pPr>
            <w:r>
              <w:rPr>
                <w:b/>
                <w:noProof/>
                <w:color w:val="000000"/>
                <w:sz w:val="20"/>
              </w:rPr>
              <w:t>Hombres</w:t>
            </w:r>
          </w:p>
        </w:tc>
        <w:tc>
          <w:tcPr>
            <w:tcW w:w="826" w:type="dxa"/>
          </w:tcPr>
          <w:p w:rsidR="00000000" w:rsidRDefault="00000000">
            <w:pPr>
              <w:pStyle w:val="Heading5"/>
              <w:spacing w:after="0"/>
              <w:jc w:val="left"/>
              <w:rPr>
                <w:rFonts w:ascii="Times New Roman" w:hAnsi="Times New Roman"/>
                <w:lang w:val="es-ES"/>
              </w:rPr>
            </w:pPr>
            <w:r>
              <w:rPr>
                <w:rFonts w:ascii="Times New Roman" w:hAnsi="Times New Roman"/>
                <w:lang w:val="es-ES"/>
              </w:rPr>
              <w:t>Mujeres</w:t>
            </w:r>
          </w:p>
        </w:tc>
        <w:tc>
          <w:tcPr>
            <w:tcW w:w="854" w:type="dxa"/>
          </w:tcPr>
          <w:p w:rsidR="00000000" w:rsidRDefault="00000000">
            <w:pPr>
              <w:rPr>
                <w:b/>
                <w:noProof/>
                <w:color w:val="000000"/>
                <w:sz w:val="20"/>
              </w:rPr>
            </w:pPr>
            <w:r>
              <w:rPr>
                <w:b/>
                <w:noProof/>
                <w:color w:val="000000"/>
                <w:sz w:val="20"/>
              </w:rPr>
              <w:t>Total</w:t>
            </w:r>
          </w:p>
        </w:tc>
        <w:tc>
          <w:tcPr>
            <w:tcW w:w="910" w:type="dxa"/>
          </w:tcPr>
          <w:p w:rsidR="00000000" w:rsidRDefault="00000000">
            <w:pPr>
              <w:ind w:right="-59"/>
              <w:rPr>
                <w:b/>
                <w:noProof/>
                <w:color w:val="000000"/>
                <w:sz w:val="20"/>
              </w:rPr>
            </w:pPr>
            <w:r>
              <w:rPr>
                <w:b/>
                <w:noProof/>
                <w:color w:val="000000"/>
                <w:sz w:val="20"/>
              </w:rPr>
              <w:t>Hombres</w:t>
            </w:r>
          </w:p>
        </w:tc>
        <w:tc>
          <w:tcPr>
            <w:tcW w:w="839" w:type="dxa"/>
          </w:tcPr>
          <w:p w:rsidR="00000000" w:rsidRDefault="00000000">
            <w:pPr>
              <w:ind w:right="-138"/>
              <w:rPr>
                <w:b/>
                <w:noProof/>
                <w:color w:val="000000"/>
                <w:sz w:val="20"/>
              </w:rPr>
            </w:pPr>
            <w:r>
              <w:rPr>
                <w:b/>
                <w:noProof/>
                <w:color w:val="000000"/>
                <w:sz w:val="20"/>
              </w:rPr>
              <w:t>Mujeres</w:t>
            </w:r>
          </w:p>
        </w:tc>
        <w:tc>
          <w:tcPr>
            <w:tcW w:w="756" w:type="dxa"/>
          </w:tcPr>
          <w:p w:rsidR="00000000" w:rsidRDefault="00000000">
            <w:pPr>
              <w:rPr>
                <w:b/>
                <w:noProof/>
                <w:color w:val="000000"/>
                <w:sz w:val="20"/>
              </w:rPr>
            </w:pPr>
            <w:r>
              <w:rPr>
                <w:b/>
                <w:noProof/>
                <w:color w:val="000000"/>
                <w:sz w:val="20"/>
              </w:rPr>
              <w:t>Total</w:t>
            </w:r>
          </w:p>
        </w:tc>
        <w:tc>
          <w:tcPr>
            <w:tcW w:w="966" w:type="dxa"/>
          </w:tcPr>
          <w:p w:rsidR="00000000" w:rsidRDefault="00000000">
            <w:pPr>
              <w:rPr>
                <w:b/>
                <w:noProof/>
                <w:color w:val="000000"/>
                <w:sz w:val="20"/>
              </w:rPr>
            </w:pPr>
            <w:r>
              <w:rPr>
                <w:b/>
                <w:noProof/>
                <w:color w:val="000000"/>
                <w:sz w:val="20"/>
              </w:rPr>
              <w:t>Hombres</w:t>
            </w:r>
          </w:p>
        </w:tc>
        <w:tc>
          <w:tcPr>
            <w:tcW w:w="840" w:type="dxa"/>
          </w:tcPr>
          <w:p w:rsidR="00000000" w:rsidRDefault="00000000">
            <w:pPr>
              <w:ind w:right="-168"/>
              <w:rPr>
                <w:b/>
                <w:noProof/>
                <w:color w:val="000000"/>
                <w:sz w:val="20"/>
              </w:rPr>
            </w:pPr>
            <w:r>
              <w:rPr>
                <w:b/>
                <w:noProof/>
                <w:color w:val="000000"/>
                <w:sz w:val="20"/>
              </w:rPr>
              <w:t>Mujeres</w:t>
            </w:r>
          </w:p>
        </w:tc>
        <w:tc>
          <w:tcPr>
            <w:tcW w:w="700" w:type="dxa"/>
          </w:tcPr>
          <w:p w:rsidR="00000000" w:rsidRDefault="00000000">
            <w:pPr>
              <w:rPr>
                <w:b/>
                <w:noProof/>
                <w:color w:val="000000"/>
                <w:sz w:val="20"/>
              </w:rPr>
            </w:pPr>
            <w:r>
              <w:rPr>
                <w:b/>
                <w:noProof/>
                <w:color w:val="000000"/>
                <w:sz w:val="20"/>
              </w:rPr>
              <w:t>Total</w:t>
            </w:r>
          </w:p>
        </w:tc>
      </w:tr>
      <w:tr w:rsidR="00000000">
        <w:tblPrEx>
          <w:tblCellMar>
            <w:top w:w="0" w:type="dxa"/>
            <w:bottom w:w="0" w:type="dxa"/>
          </w:tblCellMar>
        </w:tblPrEx>
        <w:trPr>
          <w:jc w:val="center"/>
        </w:trPr>
        <w:tc>
          <w:tcPr>
            <w:tcW w:w="1867" w:type="dxa"/>
          </w:tcPr>
          <w:p w:rsidR="00000000" w:rsidRDefault="00000000">
            <w:pPr>
              <w:rPr>
                <w:bCs/>
                <w:noProof/>
                <w:color w:val="000000"/>
                <w:sz w:val="20"/>
              </w:rPr>
            </w:pPr>
            <w:r>
              <w:rPr>
                <w:bCs/>
                <w:noProof/>
                <w:color w:val="000000"/>
                <w:sz w:val="20"/>
              </w:rPr>
              <w:t>Menores de 1 año</w:t>
            </w:r>
          </w:p>
        </w:tc>
        <w:tc>
          <w:tcPr>
            <w:tcW w:w="930" w:type="dxa"/>
          </w:tcPr>
          <w:p w:rsidR="00000000" w:rsidRDefault="00000000">
            <w:pPr>
              <w:tabs>
                <w:tab w:val="decimal" w:pos="636"/>
              </w:tabs>
              <w:rPr>
                <w:bCs/>
                <w:noProof/>
                <w:color w:val="000000"/>
                <w:sz w:val="20"/>
              </w:rPr>
            </w:pPr>
            <w:r>
              <w:rPr>
                <w:bCs/>
                <w:noProof/>
                <w:color w:val="000000"/>
                <w:sz w:val="20"/>
              </w:rPr>
              <w:t>1.566</w:t>
            </w:r>
          </w:p>
        </w:tc>
        <w:tc>
          <w:tcPr>
            <w:tcW w:w="826" w:type="dxa"/>
          </w:tcPr>
          <w:p w:rsidR="00000000" w:rsidRDefault="00000000">
            <w:pPr>
              <w:tabs>
                <w:tab w:val="decimal" w:pos="574"/>
              </w:tabs>
              <w:rPr>
                <w:bCs/>
                <w:noProof/>
                <w:color w:val="000000"/>
                <w:sz w:val="20"/>
              </w:rPr>
            </w:pPr>
            <w:r>
              <w:rPr>
                <w:bCs/>
                <w:noProof/>
                <w:color w:val="000000"/>
                <w:sz w:val="20"/>
              </w:rPr>
              <w:t>1.227</w:t>
            </w:r>
          </w:p>
        </w:tc>
        <w:tc>
          <w:tcPr>
            <w:tcW w:w="854" w:type="dxa"/>
          </w:tcPr>
          <w:p w:rsidR="00000000" w:rsidRDefault="00000000">
            <w:pPr>
              <w:tabs>
                <w:tab w:val="decimal" w:pos="588"/>
              </w:tabs>
              <w:rPr>
                <w:bCs/>
                <w:noProof/>
                <w:color w:val="000000"/>
                <w:sz w:val="20"/>
              </w:rPr>
            </w:pPr>
            <w:r>
              <w:rPr>
                <w:bCs/>
                <w:noProof/>
                <w:color w:val="000000"/>
                <w:sz w:val="20"/>
              </w:rPr>
              <w:t>2.793</w:t>
            </w:r>
          </w:p>
        </w:tc>
        <w:tc>
          <w:tcPr>
            <w:tcW w:w="910" w:type="dxa"/>
          </w:tcPr>
          <w:p w:rsidR="00000000" w:rsidRDefault="00000000">
            <w:pPr>
              <w:tabs>
                <w:tab w:val="decimal" w:pos="616"/>
              </w:tabs>
              <w:rPr>
                <w:bCs/>
                <w:noProof/>
                <w:color w:val="000000"/>
                <w:sz w:val="20"/>
              </w:rPr>
            </w:pPr>
            <w:r>
              <w:rPr>
                <w:bCs/>
                <w:noProof/>
                <w:color w:val="000000"/>
                <w:sz w:val="20"/>
              </w:rPr>
              <w:t>1.486</w:t>
            </w:r>
          </w:p>
        </w:tc>
        <w:tc>
          <w:tcPr>
            <w:tcW w:w="839" w:type="dxa"/>
          </w:tcPr>
          <w:p w:rsidR="00000000" w:rsidRDefault="00000000">
            <w:pPr>
              <w:tabs>
                <w:tab w:val="decimal" w:pos="532"/>
              </w:tabs>
              <w:rPr>
                <w:bCs/>
                <w:noProof/>
                <w:color w:val="000000"/>
                <w:sz w:val="20"/>
              </w:rPr>
            </w:pPr>
            <w:r>
              <w:rPr>
                <w:bCs/>
                <w:noProof/>
                <w:color w:val="000000"/>
                <w:sz w:val="20"/>
              </w:rPr>
              <w:t>1.168</w:t>
            </w:r>
          </w:p>
        </w:tc>
        <w:tc>
          <w:tcPr>
            <w:tcW w:w="756" w:type="dxa"/>
          </w:tcPr>
          <w:p w:rsidR="00000000" w:rsidRDefault="00000000">
            <w:pPr>
              <w:tabs>
                <w:tab w:val="decimal" w:pos="532"/>
              </w:tabs>
              <w:rPr>
                <w:bCs/>
                <w:noProof/>
                <w:color w:val="000000"/>
                <w:sz w:val="20"/>
              </w:rPr>
            </w:pPr>
            <w:r>
              <w:rPr>
                <w:bCs/>
                <w:noProof/>
                <w:color w:val="000000"/>
                <w:sz w:val="20"/>
              </w:rPr>
              <w:t>2.654</w:t>
            </w:r>
          </w:p>
        </w:tc>
        <w:tc>
          <w:tcPr>
            <w:tcW w:w="966" w:type="dxa"/>
          </w:tcPr>
          <w:p w:rsidR="00000000" w:rsidRDefault="00000000">
            <w:pPr>
              <w:tabs>
                <w:tab w:val="decimal" w:pos="616"/>
              </w:tabs>
              <w:rPr>
                <w:bCs/>
                <w:noProof/>
                <w:color w:val="000000"/>
                <w:sz w:val="20"/>
              </w:rPr>
            </w:pPr>
            <w:r>
              <w:rPr>
                <w:bCs/>
                <w:noProof/>
                <w:color w:val="000000"/>
                <w:sz w:val="20"/>
              </w:rPr>
              <w:t>1.263</w:t>
            </w:r>
          </w:p>
        </w:tc>
        <w:tc>
          <w:tcPr>
            <w:tcW w:w="840" w:type="dxa"/>
          </w:tcPr>
          <w:p w:rsidR="00000000" w:rsidRDefault="00000000">
            <w:pPr>
              <w:tabs>
                <w:tab w:val="decimal" w:pos="560"/>
              </w:tabs>
              <w:rPr>
                <w:bCs/>
                <w:noProof/>
                <w:color w:val="000000"/>
                <w:sz w:val="20"/>
              </w:rPr>
            </w:pPr>
            <w:r>
              <w:rPr>
                <w:bCs/>
                <w:noProof/>
                <w:color w:val="000000"/>
                <w:sz w:val="20"/>
              </w:rPr>
              <w:t>1.073</w:t>
            </w:r>
          </w:p>
        </w:tc>
        <w:tc>
          <w:tcPr>
            <w:tcW w:w="700" w:type="dxa"/>
          </w:tcPr>
          <w:p w:rsidR="00000000" w:rsidRDefault="00000000">
            <w:pPr>
              <w:tabs>
                <w:tab w:val="decimal" w:pos="504"/>
              </w:tabs>
              <w:rPr>
                <w:bCs/>
                <w:noProof/>
                <w:color w:val="000000"/>
                <w:sz w:val="20"/>
              </w:rPr>
            </w:pPr>
            <w:r>
              <w:rPr>
                <w:bCs/>
                <w:noProof/>
                <w:color w:val="000000"/>
                <w:sz w:val="20"/>
              </w:rPr>
              <w:t>2.336</w:t>
            </w:r>
          </w:p>
        </w:tc>
      </w:tr>
      <w:tr w:rsidR="00000000">
        <w:tblPrEx>
          <w:tblCellMar>
            <w:top w:w="0" w:type="dxa"/>
            <w:bottom w:w="0" w:type="dxa"/>
          </w:tblCellMar>
        </w:tblPrEx>
        <w:trPr>
          <w:jc w:val="center"/>
        </w:trPr>
        <w:tc>
          <w:tcPr>
            <w:tcW w:w="1867" w:type="dxa"/>
          </w:tcPr>
          <w:p w:rsidR="00000000" w:rsidRDefault="00000000">
            <w:pPr>
              <w:rPr>
                <w:bCs/>
                <w:noProof/>
                <w:color w:val="000000"/>
                <w:sz w:val="20"/>
              </w:rPr>
            </w:pPr>
            <w:r>
              <w:rPr>
                <w:bCs/>
                <w:noProof/>
                <w:color w:val="000000"/>
                <w:sz w:val="20"/>
              </w:rPr>
              <w:t>1 año</w:t>
            </w:r>
          </w:p>
        </w:tc>
        <w:tc>
          <w:tcPr>
            <w:tcW w:w="930" w:type="dxa"/>
          </w:tcPr>
          <w:p w:rsidR="00000000" w:rsidRDefault="00000000">
            <w:pPr>
              <w:tabs>
                <w:tab w:val="decimal" w:pos="636"/>
              </w:tabs>
              <w:rPr>
                <w:bCs/>
                <w:noProof/>
                <w:color w:val="000000"/>
                <w:sz w:val="20"/>
              </w:rPr>
            </w:pPr>
            <w:r>
              <w:rPr>
                <w:bCs/>
                <w:noProof/>
                <w:color w:val="000000"/>
                <w:sz w:val="20"/>
              </w:rPr>
              <w:t>90</w:t>
            </w:r>
          </w:p>
        </w:tc>
        <w:tc>
          <w:tcPr>
            <w:tcW w:w="826" w:type="dxa"/>
          </w:tcPr>
          <w:p w:rsidR="00000000" w:rsidRDefault="00000000">
            <w:pPr>
              <w:tabs>
                <w:tab w:val="decimal" w:pos="574"/>
              </w:tabs>
              <w:rPr>
                <w:bCs/>
                <w:noProof/>
                <w:color w:val="000000"/>
                <w:sz w:val="20"/>
              </w:rPr>
            </w:pPr>
            <w:r>
              <w:rPr>
                <w:bCs/>
                <w:noProof/>
                <w:color w:val="000000"/>
                <w:sz w:val="20"/>
              </w:rPr>
              <w:t>56</w:t>
            </w:r>
          </w:p>
        </w:tc>
        <w:tc>
          <w:tcPr>
            <w:tcW w:w="854" w:type="dxa"/>
          </w:tcPr>
          <w:p w:rsidR="00000000" w:rsidRDefault="00000000">
            <w:pPr>
              <w:tabs>
                <w:tab w:val="decimal" w:pos="588"/>
              </w:tabs>
              <w:rPr>
                <w:bCs/>
                <w:noProof/>
                <w:color w:val="000000"/>
                <w:sz w:val="20"/>
              </w:rPr>
            </w:pPr>
            <w:r>
              <w:rPr>
                <w:bCs/>
                <w:noProof/>
                <w:color w:val="000000"/>
                <w:sz w:val="20"/>
              </w:rPr>
              <w:t>146</w:t>
            </w:r>
          </w:p>
        </w:tc>
        <w:tc>
          <w:tcPr>
            <w:tcW w:w="910" w:type="dxa"/>
          </w:tcPr>
          <w:p w:rsidR="00000000" w:rsidRDefault="00000000">
            <w:pPr>
              <w:tabs>
                <w:tab w:val="decimal" w:pos="616"/>
              </w:tabs>
              <w:rPr>
                <w:bCs/>
                <w:noProof/>
                <w:color w:val="000000"/>
                <w:sz w:val="20"/>
              </w:rPr>
            </w:pPr>
            <w:r>
              <w:rPr>
                <w:bCs/>
                <w:noProof/>
                <w:color w:val="000000"/>
                <w:sz w:val="20"/>
              </w:rPr>
              <w:t>55</w:t>
            </w:r>
          </w:p>
        </w:tc>
        <w:tc>
          <w:tcPr>
            <w:tcW w:w="839" w:type="dxa"/>
          </w:tcPr>
          <w:p w:rsidR="00000000" w:rsidRDefault="00000000">
            <w:pPr>
              <w:tabs>
                <w:tab w:val="decimal" w:pos="532"/>
              </w:tabs>
              <w:rPr>
                <w:bCs/>
                <w:noProof/>
                <w:color w:val="000000"/>
                <w:sz w:val="20"/>
              </w:rPr>
            </w:pPr>
            <w:r>
              <w:rPr>
                <w:bCs/>
                <w:noProof/>
                <w:color w:val="000000"/>
                <w:sz w:val="20"/>
              </w:rPr>
              <w:t>54</w:t>
            </w:r>
          </w:p>
        </w:tc>
        <w:tc>
          <w:tcPr>
            <w:tcW w:w="756" w:type="dxa"/>
          </w:tcPr>
          <w:p w:rsidR="00000000" w:rsidRDefault="00000000">
            <w:pPr>
              <w:tabs>
                <w:tab w:val="decimal" w:pos="532"/>
              </w:tabs>
              <w:rPr>
                <w:bCs/>
                <w:noProof/>
                <w:color w:val="000000"/>
                <w:sz w:val="20"/>
              </w:rPr>
            </w:pPr>
            <w:r>
              <w:rPr>
                <w:bCs/>
                <w:noProof/>
                <w:color w:val="000000"/>
                <w:sz w:val="20"/>
              </w:rPr>
              <w:t>109</w:t>
            </w:r>
          </w:p>
        </w:tc>
        <w:tc>
          <w:tcPr>
            <w:tcW w:w="966" w:type="dxa"/>
          </w:tcPr>
          <w:p w:rsidR="00000000" w:rsidRDefault="00000000">
            <w:pPr>
              <w:tabs>
                <w:tab w:val="decimal" w:pos="616"/>
              </w:tabs>
              <w:rPr>
                <w:bCs/>
                <w:noProof/>
                <w:color w:val="000000"/>
                <w:sz w:val="20"/>
              </w:rPr>
            </w:pPr>
            <w:r>
              <w:rPr>
                <w:bCs/>
                <w:noProof/>
                <w:color w:val="000000"/>
                <w:sz w:val="20"/>
              </w:rPr>
              <w:t>58</w:t>
            </w:r>
          </w:p>
        </w:tc>
        <w:tc>
          <w:tcPr>
            <w:tcW w:w="840" w:type="dxa"/>
          </w:tcPr>
          <w:p w:rsidR="00000000" w:rsidRDefault="00000000">
            <w:pPr>
              <w:tabs>
                <w:tab w:val="decimal" w:pos="560"/>
              </w:tabs>
              <w:rPr>
                <w:bCs/>
                <w:noProof/>
                <w:color w:val="000000"/>
                <w:sz w:val="20"/>
              </w:rPr>
            </w:pPr>
            <w:r>
              <w:rPr>
                <w:bCs/>
                <w:noProof/>
                <w:color w:val="000000"/>
                <w:sz w:val="20"/>
              </w:rPr>
              <w:t>47</w:t>
            </w:r>
          </w:p>
        </w:tc>
        <w:tc>
          <w:tcPr>
            <w:tcW w:w="700" w:type="dxa"/>
          </w:tcPr>
          <w:p w:rsidR="00000000" w:rsidRDefault="00000000">
            <w:pPr>
              <w:tabs>
                <w:tab w:val="decimal" w:pos="504"/>
              </w:tabs>
              <w:rPr>
                <w:bCs/>
                <w:noProof/>
                <w:color w:val="000000"/>
                <w:sz w:val="20"/>
              </w:rPr>
            </w:pPr>
            <w:r>
              <w:rPr>
                <w:bCs/>
                <w:noProof/>
                <w:color w:val="000000"/>
                <w:sz w:val="20"/>
              </w:rPr>
              <w:t>105</w:t>
            </w:r>
          </w:p>
        </w:tc>
      </w:tr>
      <w:tr w:rsidR="00000000">
        <w:tblPrEx>
          <w:tblCellMar>
            <w:top w:w="0" w:type="dxa"/>
            <w:bottom w:w="0" w:type="dxa"/>
          </w:tblCellMar>
        </w:tblPrEx>
        <w:trPr>
          <w:jc w:val="center"/>
        </w:trPr>
        <w:tc>
          <w:tcPr>
            <w:tcW w:w="1867" w:type="dxa"/>
          </w:tcPr>
          <w:p w:rsidR="00000000" w:rsidRDefault="00000000">
            <w:pPr>
              <w:rPr>
                <w:bCs/>
                <w:noProof/>
                <w:color w:val="000000"/>
                <w:sz w:val="20"/>
              </w:rPr>
            </w:pPr>
            <w:r>
              <w:rPr>
                <w:bCs/>
                <w:noProof/>
                <w:color w:val="000000"/>
                <w:sz w:val="20"/>
              </w:rPr>
              <w:t>2 años</w:t>
            </w:r>
          </w:p>
        </w:tc>
        <w:tc>
          <w:tcPr>
            <w:tcW w:w="930" w:type="dxa"/>
          </w:tcPr>
          <w:p w:rsidR="00000000" w:rsidRDefault="00000000">
            <w:pPr>
              <w:tabs>
                <w:tab w:val="decimal" w:pos="636"/>
              </w:tabs>
              <w:rPr>
                <w:bCs/>
                <w:noProof/>
                <w:color w:val="000000"/>
                <w:sz w:val="20"/>
              </w:rPr>
            </w:pPr>
            <w:r>
              <w:rPr>
                <w:bCs/>
                <w:noProof/>
                <w:color w:val="000000"/>
                <w:sz w:val="20"/>
              </w:rPr>
              <w:t>120</w:t>
            </w:r>
          </w:p>
        </w:tc>
        <w:tc>
          <w:tcPr>
            <w:tcW w:w="826" w:type="dxa"/>
          </w:tcPr>
          <w:p w:rsidR="00000000" w:rsidRDefault="00000000">
            <w:pPr>
              <w:tabs>
                <w:tab w:val="decimal" w:pos="574"/>
              </w:tabs>
              <w:rPr>
                <w:bCs/>
                <w:noProof/>
                <w:color w:val="000000"/>
                <w:sz w:val="20"/>
              </w:rPr>
            </w:pPr>
            <w:r>
              <w:rPr>
                <w:bCs/>
                <w:noProof/>
                <w:color w:val="000000"/>
                <w:sz w:val="20"/>
              </w:rPr>
              <w:t>108</w:t>
            </w:r>
          </w:p>
        </w:tc>
        <w:tc>
          <w:tcPr>
            <w:tcW w:w="854" w:type="dxa"/>
          </w:tcPr>
          <w:p w:rsidR="00000000" w:rsidRDefault="00000000">
            <w:pPr>
              <w:tabs>
                <w:tab w:val="decimal" w:pos="588"/>
              </w:tabs>
              <w:rPr>
                <w:bCs/>
                <w:noProof/>
                <w:color w:val="000000"/>
                <w:sz w:val="20"/>
              </w:rPr>
            </w:pPr>
            <w:r>
              <w:rPr>
                <w:bCs/>
                <w:noProof/>
                <w:color w:val="000000"/>
                <w:sz w:val="20"/>
              </w:rPr>
              <w:t>228</w:t>
            </w:r>
          </w:p>
        </w:tc>
        <w:tc>
          <w:tcPr>
            <w:tcW w:w="910" w:type="dxa"/>
          </w:tcPr>
          <w:p w:rsidR="00000000" w:rsidRDefault="00000000">
            <w:pPr>
              <w:tabs>
                <w:tab w:val="decimal" w:pos="616"/>
              </w:tabs>
              <w:rPr>
                <w:bCs/>
                <w:noProof/>
                <w:color w:val="000000"/>
                <w:sz w:val="20"/>
              </w:rPr>
            </w:pPr>
            <w:r>
              <w:rPr>
                <w:bCs/>
                <w:noProof/>
                <w:color w:val="000000"/>
                <w:sz w:val="20"/>
              </w:rPr>
              <w:t>82</w:t>
            </w:r>
          </w:p>
        </w:tc>
        <w:tc>
          <w:tcPr>
            <w:tcW w:w="839" w:type="dxa"/>
          </w:tcPr>
          <w:p w:rsidR="00000000" w:rsidRDefault="00000000">
            <w:pPr>
              <w:tabs>
                <w:tab w:val="decimal" w:pos="532"/>
              </w:tabs>
              <w:rPr>
                <w:bCs/>
                <w:noProof/>
                <w:color w:val="000000"/>
                <w:sz w:val="20"/>
              </w:rPr>
            </w:pPr>
            <w:r>
              <w:rPr>
                <w:bCs/>
                <w:noProof/>
                <w:color w:val="000000"/>
                <w:sz w:val="20"/>
              </w:rPr>
              <w:t>94</w:t>
            </w:r>
          </w:p>
        </w:tc>
        <w:tc>
          <w:tcPr>
            <w:tcW w:w="756" w:type="dxa"/>
          </w:tcPr>
          <w:p w:rsidR="00000000" w:rsidRDefault="00000000">
            <w:pPr>
              <w:tabs>
                <w:tab w:val="decimal" w:pos="532"/>
              </w:tabs>
              <w:rPr>
                <w:bCs/>
                <w:noProof/>
                <w:color w:val="000000"/>
                <w:sz w:val="20"/>
              </w:rPr>
            </w:pPr>
            <w:r>
              <w:rPr>
                <w:bCs/>
                <w:noProof/>
                <w:color w:val="000000"/>
                <w:sz w:val="20"/>
              </w:rPr>
              <w:t>176</w:t>
            </w:r>
          </w:p>
        </w:tc>
        <w:tc>
          <w:tcPr>
            <w:tcW w:w="966" w:type="dxa"/>
          </w:tcPr>
          <w:p w:rsidR="00000000" w:rsidRDefault="00000000">
            <w:pPr>
              <w:tabs>
                <w:tab w:val="decimal" w:pos="616"/>
              </w:tabs>
              <w:rPr>
                <w:bCs/>
                <w:noProof/>
                <w:color w:val="000000"/>
                <w:sz w:val="20"/>
              </w:rPr>
            </w:pPr>
            <w:r>
              <w:rPr>
                <w:bCs/>
                <w:noProof/>
                <w:color w:val="000000"/>
                <w:sz w:val="20"/>
              </w:rPr>
              <w:t>99</w:t>
            </w:r>
          </w:p>
        </w:tc>
        <w:tc>
          <w:tcPr>
            <w:tcW w:w="840" w:type="dxa"/>
          </w:tcPr>
          <w:p w:rsidR="00000000" w:rsidRDefault="00000000">
            <w:pPr>
              <w:tabs>
                <w:tab w:val="decimal" w:pos="560"/>
              </w:tabs>
              <w:rPr>
                <w:bCs/>
                <w:noProof/>
                <w:color w:val="000000"/>
                <w:sz w:val="20"/>
              </w:rPr>
            </w:pPr>
            <w:r>
              <w:rPr>
                <w:bCs/>
                <w:noProof/>
                <w:color w:val="000000"/>
                <w:sz w:val="20"/>
              </w:rPr>
              <w:t>68</w:t>
            </w:r>
          </w:p>
        </w:tc>
        <w:tc>
          <w:tcPr>
            <w:tcW w:w="700" w:type="dxa"/>
          </w:tcPr>
          <w:p w:rsidR="00000000" w:rsidRDefault="00000000">
            <w:pPr>
              <w:tabs>
                <w:tab w:val="decimal" w:pos="504"/>
              </w:tabs>
              <w:rPr>
                <w:bCs/>
                <w:noProof/>
                <w:color w:val="000000"/>
                <w:sz w:val="20"/>
              </w:rPr>
            </w:pPr>
            <w:r>
              <w:rPr>
                <w:bCs/>
                <w:noProof/>
                <w:color w:val="000000"/>
                <w:sz w:val="20"/>
              </w:rPr>
              <w:t>167</w:t>
            </w:r>
          </w:p>
        </w:tc>
      </w:tr>
      <w:tr w:rsidR="00000000">
        <w:tblPrEx>
          <w:tblCellMar>
            <w:top w:w="0" w:type="dxa"/>
            <w:bottom w:w="0" w:type="dxa"/>
          </w:tblCellMar>
        </w:tblPrEx>
        <w:trPr>
          <w:jc w:val="center"/>
        </w:trPr>
        <w:tc>
          <w:tcPr>
            <w:tcW w:w="1867" w:type="dxa"/>
          </w:tcPr>
          <w:p w:rsidR="00000000" w:rsidRDefault="00000000">
            <w:pPr>
              <w:rPr>
                <w:bCs/>
                <w:noProof/>
                <w:color w:val="000000"/>
                <w:sz w:val="20"/>
              </w:rPr>
            </w:pPr>
            <w:r>
              <w:rPr>
                <w:bCs/>
                <w:noProof/>
                <w:color w:val="000000"/>
                <w:sz w:val="20"/>
              </w:rPr>
              <w:t>3 años</w:t>
            </w:r>
          </w:p>
        </w:tc>
        <w:tc>
          <w:tcPr>
            <w:tcW w:w="930" w:type="dxa"/>
          </w:tcPr>
          <w:p w:rsidR="00000000" w:rsidRDefault="00000000">
            <w:pPr>
              <w:tabs>
                <w:tab w:val="decimal" w:pos="636"/>
              </w:tabs>
              <w:rPr>
                <w:bCs/>
                <w:noProof/>
                <w:color w:val="000000"/>
                <w:sz w:val="20"/>
              </w:rPr>
            </w:pPr>
            <w:r>
              <w:rPr>
                <w:bCs/>
                <w:noProof/>
                <w:color w:val="000000"/>
                <w:sz w:val="20"/>
              </w:rPr>
              <w:t>70</w:t>
            </w:r>
          </w:p>
        </w:tc>
        <w:tc>
          <w:tcPr>
            <w:tcW w:w="826" w:type="dxa"/>
          </w:tcPr>
          <w:p w:rsidR="00000000" w:rsidRDefault="00000000">
            <w:pPr>
              <w:tabs>
                <w:tab w:val="decimal" w:pos="574"/>
              </w:tabs>
              <w:rPr>
                <w:bCs/>
                <w:noProof/>
                <w:color w:val="000000"/>
                <w:sz w:val="20"/>
              </w:rPr>
            </w:pPr>
            <w:r>
              <w:rPr>
                <w:bCs/>
                <w:noProof/>
                <w:color w:val="000000"/>
                <w:sz w:val="20"/>
              </w:rPr>
              <w:t>50</w:t>
            </w:r>
          </w:p>
        </w:tc>
        <w:tc>
          <w:tcPr>
            <w:tcW w:w="854" w:type="dxa"/>
          </w:tcPr>
          <w:p w:rsidR="00000000" w:rsidRDefault="00000000">
            <w:pPr>
              <w:tabs>
                <w:tab w:val="decimal" w:pos="588"/>
              </w:tabs>
              <w:rPr>
                <w:bCs/>
                <w:noProof/>
                <w:color w:val="000000"/>
                <w:sz w:val="20"/>
              </w:rPr>
            </w:pPr>
            <w:r>
              <w:rPr>
                <w:bCs/>
                <w:noProof/>
                <w:color w:val="000000"/>
                <w:sz w:val="20"/>
              </w:rPr>
              <w:t>120</w:t>
            </w:r>
          </w:p>
        </w:tc>
        <w:tc>
          <w:tcPr>
            <w:tcW w:w="910" w:type="dxa"/>
          </w:tcPr>
          <w:p w:rsidR="00000000" w:rsidRDefault="00000000">
            <w:pPr>
              <w:tabs>
                <w:tab w:val="decimal" w:pos="616"/>
              </w:tabs>
              <w:rPr>
                <w:bCs/>
                <w:noProof/>
                <w:color w:val="000000"/>
                <w:sz w:val="20"/>
              </w:rPr>
            </w:pPr>
            <w:r>
              <w:rPr>
                <w:bCs/>
                <w:noProof/>
                <w:color w:val="000000"/>
                <w:sz w:val="20"/>
              </w:rPr>
              <w:t>55</w:t>
            </w:r>
          </w:p>
        </w:tc>
        <w:tc>
          <w:tcPr>
            <w:tcW w:w="839" w:type="dxa"/>
          </w:tcPr>
          <w:p w:rsidR="00000000" w:rsidRDefault="00000000">
            <w:pPr>
              <w:tabs>
                <w:tab w:val="decimal" w:pos="532"/>
              </w:tabs>
              <w:rPr>
                <w:bCs/>
                <w:noProof/>
                <w:color w:val="000000"/>
                <w:sz w:val="20"/>
              </w:rPr>
            </w:pPr>
            <w:r>
              <w:rPr>
                <w:bCs/>
                <w:noProof/>
                <w:color w:val="000000"/>
                <w:sz w:val="20"/>
              </w:rPr>
              <w:t>44</w:t>
            </w:r>
          </w:p>
        </w:tc>
        <w:tc>
          <w:tcPr>
            <w:tcW w:w="756" w:type="dxa"/>
          </w:tcPr>
          <w:p w:rsidR="00000000" w:rsidRDefault="00000000">
            <w:pPr>
              <w:tabs>
                <w:tab w:val="decimal" w:pos="532"/>
              </w:tabs>
              <w:rPr>
                <w:bCs/>
                <w:noProof/>
                <w:color w:val="000000"/>
                <w:sz w:val="20"/>
              </w:rPr>
            </w:pPr>
            <w:r>
              <w:rPr>
                <w:bCs/>
                <w:noProof/>
                <w:color w:val="000000"/>
                <w:sz w:val="20"/>
              </w:rPr>
              <w:t>99</w:t>
            </w:r>
          </w:p>
        </w:tc>
        <w:tc>
          <w:tcPr>
            <w:tcW w:w="966" w:type="dxa"/>
          </w:tcPr>
          <w:p w:rsidR="00000000" w:rsidRDefault="00000000">
            <w:pPr>
              <w:tabs>
                <w:tab w:val="decimal" w:pos="616"/>
              </w:tabs>
              <w:rPr>
                <w:bCs/>
                <w:noProof/>
                <w:color w:val="000000"/>
                <w:sz w:val="20"/>
              </w:rPr>
            </w:pPr>
            <w:r>
              <w:rPr>
                <w:bCs/>
                <w:noProof/>
                <w:color w:val="000000"/>
                <w:sz w:val="20"/>
              </w:rPr>
              <w:t>50</w:t>
            </w:r>
          </w:p>
        </w:tc>
        <w:tc>
          <w:tcPr>
            <w:tcW w:w="840" w:type="dxa"/>
          </w:tcPr>
          <w:p w:rsidR="00000000" w:rsidRDefault="00000000">
            <w:pPr>
              <w:tabs>
                <w:tab w:val="decimal" w:pos="560"/>
              </w:tabs>
              <w:rPr>
                <w:bCs/>
                <w:noProof/>
                <w:color w:val="000000"/>
                <w:sz w:val="20"/>
              </w:rPr>
            </w:pPr>
            <w:r>
              <w:rPr>
                <w:bCs/>
                <w:noProof/>
                <w:color w:val="000000"/>
                <w:sz w:val="20"/>
              </w:rPr>
              <w:t>30</w:t>
            </w:r>
          </w:p>
        </w:tc>
        <w:tc>
          <w:tcPr>
            <w:tcW w:w="700" w:type="dxa"/>
          </w:tcPr>
          <w:p w:rsidR="00000000" w:rsidRDefault="00000000">
            <w:pPr>
              <w:tabs>
                <w:tab w:val="decimal" w:pos="504"/>
              </w:tabs>
              <w:rPr>
                <w:bCs/>
                <w:noProof/>
                <w:color w:val="000000"/>
                <w:sz w:val="20"/>
              </w:rPr>
            </w:pPr>
            <w:r>
              <w:rPr>
                <w:bCs/>
                <w:noProof/>
                <w:color w:val="000000"/>
                <w:sz w:val="20"/>
              </w:rPr>
              <w:t>80</w:t>
            </w:r>
          </w:p>
        </w:tc>
      </w:tr>
      <w:tr w:rsidR="00000000">
        <w:tblPrEx>
          <w:tblCellMar>
            <w:top w:w="0" w:type="dxa"/>
            <w:bottom w:w="0" w:type="dxa"/>
          </w:tblCellMar>
        </w:tblPrEx>
        <w:trPr>
          <w:jc w:val="center"/>
        </w:trPr>
        <w:tc>
          <w:tcPr>
            <w:tcW w:w="1867" w:type="dxa"/>
          </w:tcPr>
          <w:p w:rsidR="00000000" w:rsidRDefault="00000000">
            <w:pPr>
              <w:rPr>
                <w:bCs/>
                <w:noProof/>
                <w:color w:val="000000"/>
                <w:sz w:val="20"/>
              </w:rPr>
            </w:pPr>
            <w:r>
              <w:rPr>
                <w:bCs/>
                <w:noProof/>
                <w:color w:val="000000"/>
                <w:sz w:val="20"/>
              </w:rPr>
              <w:t>4 años</w:t>
            </w:r>
          </w:p>
        </w:tc>
        <w:tc>
          <w:tcPr>
            <w:tcW w:w="930" w:type="dxa"/>
          </w:tcPr>
          <w:p w:rsidR="00000000" w:rsidRDefault="00000000">
            <w:pPr>
              <w:tabs>
                <w:tab w:val="decimal" w:pos="636"/>
              </w:tabs>
              <w:rPr>
                <w:bCs/>
                <w:noProof/>
                <w:color w:val="000000"/>
                <w:sz w:val="20"/>
              </w:rPr>
            </w:pPr>
            <w:r>
              <w:rPr>
                <w:bCs/>
                <w:noProof/>
                <w:color w:val="000000"/>
                <w:sz w:val="20"/>
              </w:rPr>
              <w:t>56</w:t>
            </w:r>
          </w:p>
        </w:tc>
        <w:tc>
          <w:tcPr>
            <w:tcW w:w="826" w:type="dxa"/>
          </w:tcPr>
          <w:p w:rsidR="00000000" w:rsidRDefault="00000000">
            <w:pPr>
              <w:tabs>
                <w:tab w:val="decimal" w:pos="574"/>
              </w:tabs>
              <w:rPr>
                <w:bCs/>
                <w:noProof/>
                <w:color w:val="000000"/>
                <w:sz w:val="20"/>
              </w:rPr>
            </w:pPr>
            <w:r>
              <w:rPr>
                <w:bCs/>
                <w:noProof/>
                <w:color w:val="000000"/>
                <w:sz w:val="20"/>
              </w:rPr>
              <w:t>39</w:t>
            </w:r>
          </w:p>
        </w:tc>
        <w:tc>
          <w:tcPr>
            <w:tcW w:w="854" w:type="dxa"/>
          </w:tcPr>
          <w:p w:rsidR="00000000" w:rsidRDefault="00000000">
            <w:pPr>
              <w:tabs>
                <w:tab w:val="decimal" w:pos="588"/>
              </w:tabs>
              <w:rPr>
                <w:bCs/>
                <w:noProof/>
                <w:color w:val="000000"/>
                <w:sz w:val="20"/>
              </w:rPr>
            </w:pPr>
            <w:r>
              <w:rPr>
                <w:bCs/>
                <w:noProof/>
                <w:color w:val="000000"/>
                <w:sz w:val="20"/>
              </w:rPr>
              <w:t>95</w:t>
            </w:r>
          </w:p>
        </w:tc>
        <w:tc>
          <w:tcPr>
            <w:tcW w:w="910" w:type="dxa"/>
          </w:tcPr>
          <w:p w:rsidR="00000000" w:rsidRDefault="00000000">
            <w:pPr>
              <w:tabs>
                <w:tab w:val="decimal" w:pos="616"/>
              </w:tabs>
              <w:rPr>
                <w:bCs/>
                <w:noProof/>
                <w:color w:val="000000"/>
                <w:sz w:val="20"/>
              </w:rPr>
            </w:pPr>
            <w:r>
              <w:rPr>
                <w:bCs/>
                <w:noProof/>
                <w:color w:val="000000"/>
                <w:sz w:val="20"/>
              </w:rPr>
              <w:t>46</w:t>
            </w:r>
          </w:p>
        </w:tc>
        <w:tc>
          <w:tcPr>
            <w:tcW w:w="839" w:type="dxa"/>
          </w:tcPr>
          <w:p w:rsidR="00000000" w:rsidRDefault="00000000">
            <w:pPr>
              <w:tabs>
                <w:tab w:val="decimal" w:pos="532"/>
              </w:tabs>
              <w:rPr>
                <w:bCs/>
                <w:noProof/>
                <w:color w:val="000000"/>
                <w:sz w:val="20"/>
              </w:rPr>
            </w:pPr>
            <w:r>
              <w:rPr>
                <w:bCs/>
                <w:noProof/>
                <w:color w:val="000000"/>
                <w:sz w:val="20"/>
              </w:rPr>
              <w:t>31</w:t>
            </w:r>
          </w:p>
        </w:tc>
        <w:tc>
          <w:tcPr>
            <w:tcW w:w="756" w:type="dxa"/>
          </w:tcPr>
          <w:p w:rsidR="00000000" w:rsidRDefault="00000000">
            <w:pPr>
              <w:tabs>
                <w:tab w:val="decimal" w:pos="532"/>
              </w:tabs>
              <w:rPr>
                <w:bCs/>
                <w:noProof/>
                <w:color w:val="000000"/>
                <w:sz w:val="20"/>
              </w:rPr>
            </w:pPr>
            <w:r>
              <w:rPr>
                <w:bCs/>
                <w:noProof/>
                <w:color w:val="000000"/>
                <w:sz w:val="20"/>
              </w:rPr>
              <w:t>77</w:t>
            </w:r>
          </w:p>
        </w:tc>
        <w:tc>
          <w:tcPr>
            <w:tcW w:w="966" w:type="dxa"/>
          </w:tcPr>
          <w:p w:rsidR="00000000" w:rsidRDefault="00000000">
            <w:pPr>
              <w:tabs>
                <w:tab w:val="decimal" w:pos="616"/>
              </w:tabs>
              <w:rPr>
                <w:bCs/>
                <w:noProof/>
                <w:color w:val="000000"/>
                <w:sz w:val="20"/>
              </w:rPr>
            </w:pPr>
            <w:r>
              <w:rPr>
                <w:bCs/>
                <w:noProof/>
                <w:color w:val="000000"/>
                <w:sz w:val="20"/>
              </w:rPr>
              <w:t>62</w:t>
            </w:r>
          </w:p>
        </w:tc>
        <w:tc>
          <w:tcPr>
            <w:tcW w:w="840" w:type="dxa"/>
          </w:tcPr>
          <w:p w:rsidR="00000000" w:rsidRDefault="00000000">
            <w:pPr>
              <w:tabs>
                <w:tab w:val="decimal" w:pos="560"/>
              </w:tabs>
              <w:rPr>
                <w:bCs/>
                <w:noProof/>
                <w:color w:val="000000"/>
                <w:sz w:val="20"/>
              </w:rPr>
            </w:pPr>
            <w:r>
              <w:rPr>
                <w:bCs/>
                <w:noProof/>
                <w:color w:val="000000"/>
                <w:sz w:val="20"/>
              </w:rPr>
              <w:t>27</w:t>
            </w:r>
          </w:p>
        </w:tc>
        <w:tc>
          <w:tcPr>
            <w:tcW w:w="700" w:type="dxa"/>
          </w:tcPr>
          <w:p w:rsidR="00000000" w:rsidRDefault="00000000">
            <w:pPr>
              <w:tabs>
                <w:tab w:val="decimal" w:pos="504"/>
              </w:tabs>
              <w:rPr>
                <w:bCs/>
                <w:noProof/>
                <w:color w:val="000000"/>
                <w:sz w:val="20"/>
              </w:rPr>
            </w:pPr>
            <w:r>
              <w:rPr>
                <w:bCs/>
                <w:noProof/>
                <w:color w:val="000000"/>
                <w:sz w:val="20"/>
              </w:rPr>
              <w:t>89</w:t>
            </w:r>
          </w:p>
        </w:tc>
      </w:tr>
      <w:tr w:rsidR="00000000">
        <w:tblPrEx>
          <w:tblCellMar>
            <w:top w:w="0" w:type="dxa"/>
            <w:bottom w:w="0" w:type="dxa"/>
          </w:tblCellMar>
        </w:tblPrEx>
        <w:trPr>
          <w:jc w:val="center"/>
        </w:trPr>
        <w:tc>
          <w:tcPr>
            <w:tcW w:w="1867" w:type="dxa"/>
          </w:tcPr>
          <w:p w:rsidR="00000000" w:rsidRDefault="00000000">
            <w:pPr>
              <w:rPr>
                <w:bCs/>
                <w:noProof/>
                <w:color w:val="000000"/>
                <w:sz w:val="20"/>
              </w:rPr>
            </w:pPr>
            <w:r>
              <w:rPr>
                <w:bCs/>
                <w:noProof/>
                <w:color w:val="000000"/>
                <w:sz w:val="20"/>
              </w:rPr>
              <w:t>5 a 9 años</w:t>
            </w:r>
          </w:p>
        </w:tc>
        <w:tc>
          <w:tcPr>
            <w:tcW w:w="930" w:type="dxa"/>
          </w:tcPr>
          <w:p w:rsidR="00000000" w:rsidRDefault="00000000">
            <w:pPr>
              <w:tabs>
                <w:tab w:val="decimal" w:pos="636"/>
              </w:tabs>
              <w:rPr>
                <w:bCs/>
                <w:noProof/>
                <w:color w:val="000000"/>
                <w:sz w:val="20"/>
              </w:rPr>
            </w:pPr>
            <w:r>
              <w:rPr>
                <w:bCs/>
                <w:noProof/>
                <w:color w:val="000000"/>
                <w:sz w:val="20"/>
              </w:rPr>
              <w:t>208</w:t>
            </w:r>
          </w:p>
        </w:tc>
        <w:tc>
          <w:tcPr>
            <w:tcW w:w="826" w:type="dxa"/>
          </w:tcPr>
          <w:p w:rsidR="00000000" w:rsidRDefault="00000000">
            <w:pPr>
              <w:tabs>
                <w:tab w:val="decimal" w:pos="574"/>
              </w:tabs>
              <w:rPr>
                <w:bCs/>
                <w:noProof/>
                <w:color w:val="000000"/>
                <w:sz w:val="20"/>
              </w:rPr>
            </w:pPr>
            <w:r>
              <w:rPr>
                <w:bCs/>
                <w:noProof/>
                <w:color w:val="000000"/>
                <w:sz w:val="20"/>
              </w:rPr>
              <w:t>143</w:t>
            </w:r>
          </w:p>
        </w:tc>
        <w:tc>
          <w:tcPr>
            <w:tcW w:w="854" w:type="dxa"/>
          </w:tcPr>
          <w:p w:rsidR="00000000" w:rsidRDefault="00000000">
            <w:pPr>
              <w:tabs>
                <w:tab w:val="decimal" w:pos="588"/>
              </w:tabs>
              <w:rPr>
                <w:bCs/>
                <w:noProof/>
                <w:color w:val="000000"/>
                <w:sz w:val="20"/>
              </w:rPr>
            </w:pPr>
            <w:r>
              <w:rPr>
                <w:bCs/>
                <w:noProof/>
                <w:color w:val="000000"/>
                <w:sz w:val="20"/>
              </w:rPr>
              <w:t>351</w:t>
            </w:r>
          </w:p>
        </w:tc>
        <w:tc>
          <w:tcPr>
            <w:tcW w:w="910" w:type="dxa"/>
          </w:tcPr>
          <w:p w:rsidR="00000000" w:rsidRDefault="00000000">
            <w:pPr>
              <w:tabs>
                <w:tab w:val="decimal" w:pos="616"/>
              </w:tabs>
              <w:rPr>
                <w:bCs/>
                <w:noProof/>
                <w:color w:val="000000"/>
                <w:sz w:val="20"/>
              </w:rPr>
            </w:pPr>
            <w:r>
              <w:rPr>
                <w:bCs/>
                <w:noProof/>
                <w:color w:val="000000"/>
                <w:sz w:val="20"/>
              </w:rPr>
              <w:t>182</w:t>
            </w:r>
          </w:p>
        </w:tc>
        <w:tc>
          <w:tcPr>
            <w:tcW w:w="839" w:type="dxa"/>
          </w:tcPr>
          <w:p w:rsidR="00000000" w:rsidRDefault="00000000">
            <w:pPr>
              <w:tabs>
                <w:tab w:val="decimal" w:pos="532"/>
              </w:tabs>
              <w:rPr>
                <w:bCs/>
                <w:noProof/>
                <w:color w:val="000000"/>
                <w:sz w:val="20"/>
              </w:rPr>
            </w:pPr>
            <w:r>
              <w:rPr>
                <w:bCs/>
                <w:noProof/>
                <w:color w:val="000000"/>
                <w:sz w:val="20"/>
              </w:rPr>
              <w:t>131</w:t>
            </w:r>
          </w:p>
        </w:tc>
        <w:tc>
          <w:tcPr>
            <w:tcW w:w="756" w:type="dxa"/>
          </w:tcPr>
          <w:p w:rsidR="00000000" w:rsidRDefault="00000000">
            <w:pPr>
              <w:tabs>
                <w:tab w:val="decimal" w:pos="532"/>
              </w:tabs>
              <w:rPr>
                <w:bCs/>
                <w:noProof/>
                <w:color w:val="000000"/>
                <w:sz w:val="20"/>
              </w:rPr>
            </w:pPr>
            <w:r>
              <w:rPr>
                <w:bCs/>
                <w:noProof/>
                <w:color w:val="000000"/>
                <w:sz w:val="20"/>
              </w:rPr>
              <w:t>313</w:t>
            </w:r>
          </w:p>
        </w:tc>
        <w:tc>
          <w:tcPr>
            <w:tcW w:w="966" w:type="dxa"/>
          </w:tcPr>
          <w:p w:rsidR="00000000" w:rsidRDefault="00000000">
            <w:pPr>
              <w:tabs>
                <w:tab w:val="decimal" w:pos="616"/>
              </w:tabs>
              <w:rPr>
                <w:bCs/>
                <w:noProof/>
                <w:color w:val="000000"/>
                <w:sz w:val="20"/>
              </w:rPr>
            </w:pPr>
            <w:r>
              <w:rPr>
                <w:bCs/>
                <w:noProof/>
                <w:color w:val="000000"/>
                <w:sz w:val="20"/>
              </w:rPr>
              <w:t>176</w:t>
            </w:r>
          </w:p>
        </w:tc>
        <w:tc>
          <w:tcPr>
            <w:tcW w:w="840" w:type="dxa"/>
          </w:tcPr>
          <w:p w:rsidR="00000000" w:rsidRDefault="00000000">
            <w:pPr>
              <w:tabs>
                <w:tab w:val="decimal" w:pos="560"/>
              </w:tabs>
              <w:rPr>
                <w:bCs/>
                <w:noProof/>
                <w:color w:val="000000"/>
                <w:sz w:val="20"/>
              </w:rPr>
            </w:pPr>
            <w:r>
              <w:rPr>
                <w:bCs/>
                <w:noProof/>
                <w:color w:val="000000"/>
                <w:sz w:val="20"/>
              </w:rPr>
              <w:t>129</w:t>
            </w:r>
          </w:p>
        </w:tc>
        <w:tc>
          <w:tcPr>
            <w:tcW w:w="700" w:type="dxa"/>
          </w:tcPr>
          <w:p w:rsidR="00000000" w:rsidRDefault="00000000">
            <w:pPr>
              <w:tabs>
                <w:tab w:val="decimal" w:pos="504"/>
              </w:tabs>
              <w:rPr>
                <w:bCs/>
                <w:noProof/>
                <w:color w:val="000000"/>
                <w:sz w:val="20"/>
              </w:rPr>
            </w:pPr>
            <w:r>
              <w:rPr>
                <w:bCs/>
                <w:noProof/>
                <w:color w:val="000000"/>
                <w:sz w:val="20"/>
              </w:rPr>
              <w:t>305</w:t>
            </w:r>
          </w:p>
        </w:tc>
      </w:tr>
      <w:tr w:rsidR="00000000">
        <w:tblPrEx>
          <w:tblCellMar>
            <w:top w:w="0" w:type="dxa"/>
            <w:bottom w:w="0" w:type="dxa"/>
          </w:tblCellMar>
        </w:tblPrEx>
        <w:trPr>
          <w:jc w:val="center"/>
        </w:trPr>
        <w:tc>
          <w:tcPr>
            <w:tcW w:w="1867" w:type="dxa"/>
          </w:tcPr>
          <w:p w:rsidR="00000000" w:rsidRDefault="00000000">
            <w:pPr>
              <w:rPr>
                <w:bCs/>
                <w:noProof/>
                <w:color w:val="000000"/>
                <w:sz w:val="20"/>
              </w:rPr>
            </w:pPr>
            <w:r>
              <w:rPr>
                <w:bCs/>
                <w:noProof/>
                <w:color w:val="000000"/>
                <w:sz w:val="20"/>
              </w:rPr>
              <w:t>10 a14 años</w:t>
            </w:r>
          </w:p>
        </w:tc>
        <w:tc>
          <w:tcPr>
            <w:tcW w:w="930" w:type="dxa"/>
          </w:tcPr>
          <w:p w:rsidR="00000000" w:rsidRDefault="00000000">
            <w:pPr>
              <w:tabs>
                <w:tab w:val="decimal" w:pos="636"/>
              </w:tabs>
              <w:rPr>
                <w:bCs/>
                <w:noProof/>
                <w:color w:val="000000"/>
                <w:sz w:val="20"/>
              </w:rPr>
            </w:pPr>
            <w:r>
              <w:rPr>
                <w:bCs/>
                <w:noProof/>
                <w:color w:val="000000"/>
                <w:sz w:val="20"/>
              </w:rPr>
              <w:t>188</w:t>
            </w:r>
          </w:p>
        </w:tc>
        <w:tc>
          <w:tcPr>
            <w:tcW w:w="826" w:type="dxa"/>
          </w:tcPr>
          <w:p w:rsidR="00000000" w:rsidRDefault="00000000">
            <w:pPr>
              <w:tabs>
                <w:tab w:val="decimal" w:pos="574"/>
              </w:tabs>
              <w:rPr>
                <w:bCs/>
                <w:noProof/>
                <w:color w:val="000000"/>
                <w:sz w:val="20"/>
              </w:rPr>
            </w:pPr>
            <w:r>
              <w:rPr>
                <w:bCs/>
                <w:noProof/>
                <w:color w:val="000000"/>
                <w:sz w:val="20"/>
              </w:rPr>
              <w:t>121</w:t>
            </w:r>
          </w:p>
        </w:tc>
        <w:tc>
          <w:tcPr>
            <w:tcW w:w="854" w:type="dxa"/>
          </w:tcPr>
          <w:p w:rsidR="00000000" w:rsidRDefault="00000000">
            <w:pPr>
              <w:tabs>
                <w:tab w:val="decimal" w:pos="588"/>
              </w:tabs>
              <w:rPr>
                <w:bCs/>
                <w:noProof/>
                <w:color w:val="000000"/>
                <w:sz w:val="20"/>
              </w:rPr>
            </w:pPr>
            <w:r>
              <w:rPr>
                <w:bCs/>
                <w:noProof/>
                <w:color w:val="000000"/>
                <w:sz w:val="20"/>
              </w:rPr>
              <w:t>309</w:t>
            </w:r>
          </w:p>
        </w:tc>
        <w:tc>
          <w:tcPr>
            <w:tcW w:w="910" w:type="dxa"/>
          </w:tcPr>
          <w:p w:rsidR="00000000" w:rsidRDefault="00000000">
            <w:pPr>
              <w:tabs>
                <w:tab w:val="decimal" w:pos="616"/>
              </w:tabs>
              <w:rPr>
                <w:bCs/>
                <w:noProof/>
                <w:color w:val="000000"/>
                <w:sz w:val="20"/>
              </w:rPr>
            </w:pPr>
            <w:r>
              <w:rPr>
                <w:bCs/>
                <w:noProof/>
                <w:color w:val="000000"/>
                <w:sz w:val="20"/>
              </w:rPr>
              <w:t>204</w:t>
            </w:r>
          </w:p>
        </w:tc>
        <w:tc>
          <w:tcPr>
            <w:tcW w:w="839" w:type="dxa"/>
          </w:tcPr>
          <w:p w:rsidR="00000000" w:rsidRDefault="00000000">
            <w:pPr>
              <w:tabs>
                <w:tab w:val="decimal" w:pos="532"/>
              </w:tabs>
              <w:rPr>
                <w:bCs/>
                <w:noProof/>
                <w:color w:val="000000"/>
                <w:sz w:val="20"/>
              </w:rPr>
            </w:pPr>
            <w:r>
              <w:rPr>
                <w:bCs/>
                <w:noProof/>
                <w:color w:val="000000"/>
                <w:sz w:val="20"/>
              </w:rPr>
              <w:t>103</w:t>
            </w:r>
          </w:p>
        </w:tc>
        <w:tc>
          <w:tcPr>
            <w:tcW w:w="756" w:type="dxa"/>
          </w:tcPr>
          <w:p w:rsidR="00000000" w:rsidRDefault="00000000">
            <w:pPr>
              <w:tabs>
                <w:tab w:val="decimal" w:pos="532"/>
              </w:tabs>
              <w:rPr>
                <w:bCs/>
                <w:noProof/>
                <w:color w:val="000000"/>
                <w:sz w:val="20"/>
              </w:rPr>
            </w:pPr>
            <w:r>
              <w:rPr>
                <w:bCs/>
                <w:noProof/>
                <w:color w:val="000000"/>
                <w:sz w:val="20"/>
              </w:rPr>
              <w:t>307</w:t>
            </w:r>
          </w:p>
        </w:tc>
        <w:tc>
          <w:tcPr>
            <w:tcW w:w="966" w:type="dxa"/>
          </w:tcPr>
          <w:p w:rsidR="00000000" w:rsidRDefault="00000000">
            <w:pPr>
              <w:tabs>
                <w:tab w:val="decimal" w:pos="616"/>
              </w:tabs>
              <w:rPr>
                <w:bCs/>
                <w:noProof/>
                <w:color w:val="000000"/>
                <w:sz w:val="20"/>
              </w:rPr>
            </w:pPr>
            <w:r>
              <w:rPr>
                <w:bCs/>
                <w:noProof/>
                <w:color w:val="000000"/>
                <w:sz w:val="20"/>
              </w:rPr>
              <w:t>180</w:t>
            </w:r>
          </w:p>
        </w:tc>
        <w:tc>
          <w:tcPr>
            <w:tcW w:w="840" w:type="dxa"/>
          </w:tcPr>
          <w:p w:rsidR="00000000" w:rsidRDefault="00000000">
            <w:pPr>
              <w:tabs>
                <w:tab w:val="decimal" w:pos="560"/>
              </w:tabs>
              <w:rPr>
                <w:bCs/>
                <w:noProof/>
                <w:color w:val="000000"/>
                <w:sz w:val="20"/>
              </w:rPr>
            </w:pPr>
            <w:r>
              <w:rPr>
                <w:bCs/>
                <w:noProof/>
                <w:color w:val="000000"/>
                <w:sz w:val="20"/>
              </w:rPr>
              <w:t>126</w:t>
            </w:r>
          </w:p>
        </w:tc>
        <w:tc>
          <w:tcPr>
            <w:tcW w:w="700" w:type="dxa"/>
          </w:tcPr>
          <w:p w:rsidR="00000000" w:rsidRDefault="00000000">
            <w:pPr>
              <w:tabs>
                <w:tab w:val="decimal" w:pos="504"/>
              </w:tabs>
              <w:rPr>
                <w:bCs/>
                <w:noProof/>
                <w:color w:val="000000"/>
                <w:sz w:val="20"/>
              </w:rPr>
            </w:pPr>
            <w:r>
              <w:rPr>
                <w:bCs/>
                <w:noProof/>
                <w:color w:val="000000"/>
                <w:sz w:val="20"/>
              </w:rPr>
              <w:t>306</w:t>
            </w:r>
          </w:p>
        </w:tc>
      </w:tr>
      <w:tr w:rsidR="00000000">
        <w:tblPrEx>
          <w:tblCellMar>
            <w:top w:w="0" w:type="dxa"/>
            <w:bottom w:w="0" w:type="dxa"/>
          </w:tblCellMar>
        </w:tblPrEx>
        <w:trPr>
          <w:jc w:val="center"/>
        </w:trPr>
        <w:tc>
          <w:tcPr>
            <w:tcW w:w="1867" w:type="dxa"/>
          </w:tcPr>
          <w:p w:rsidR="00000000" w:rsidRDefault="00000000">
            <w:pPr>
              <w:rPr>
                <w:bCs/>
                <w:noProof/>
                <w:color w:val="000000"/>
                <w:sz w:val="20"/>
              </w:rPr>
            </w:pPr>
            <w:r>
              <w:rPr>
                <w:bCs/>
                <w:noProof/>
                <w:color w:val="000000"/>
                <w:sz w:val="20"/>
              </w:rPr>
              <w:t>15 a19 años</w:t>
            </w:r>
          </w:p>
        </w:tc>
        <w:tc>
          <w:tcPr>
            <w:tcW w:w="930" w:type="dxa"/>
          </w:tcPr>
          <w:p w:rsidR="00000000" w:rsidRDefault="00000000">
            <w:pPr>
              <w:tabs>
                <w:tab w:val="decimal" w:pos="636"/>
              </w:tabs>
              <w:rPr>
                <w:bCs/>
                <w:noProof/>
                <w:color w:val="000000"/>
                <w:sz w:val="20"/>
              </w:rPr>
            </w:pPr>
            <w:r>
              <w:rPr>
                <w:bCs/>
                <w:noProof/>
                <w:color w:val="000000"/>
                <w:sz w:val="20"/>
              </w:rPr>
              <w:t>507</w:t>
            </w:r>
          </w:p>
        </w:tc>
        <w:tc>
          <w:tcPr>
            <w:tcW w:w="826" w:type="dxa"/>
          </w:tcPr>
          <w:p w:rsidR="00000000" w:rsidRDefault="00000000">
            <w:pPr>
              <w:tabs>
                <w:tab w:val="decimal" w:pos="574"/>
              </w:tabs>
              <w:rPr>
                <w:bCs/>
                <w:noProof/>
                <w:color w:val="000000"/>
                <w:sz w:val="20"/>
              </w:rPr>
            </w:pPr>
            <w:r>
              <w:rPr>
                <w:bCs/>
                <w:noProof/>
                <w:color w:val="000000"/>
                <w:sz w:val="20"/>
              </w:rPr>
              <w:t>192</w:t>
            </w:r>
          </w:p>
        </w:tc>
        <w:tc>
          <w:tcPr>
            <w:tcW w:w="854" w:type="dxa"/>
          </w:tcPr>
          <w:p w:rsidR="00000000" w:rsidRDefault="00000000">
            <w:pPr>
              <w:tabs>
                <w:tab w:val="decimal" w:pos="588"/>
              </w:tabs>
              <w:rPr>
                <w:bCs/>
                <w:noProof/>
                <w:color w:val="000000"/>
                <w:sz w:val="20"/>
              </w:rPr>
            </w:pPr>
            <w:r>
              <w:rPr>
                <w:bCs/>
                <w:noProof/>
                <w:color w:val="000000"/>
                <w:sz w:val="20"/>
              </w:rPr>
              <w:t>699</w:t>
            </w:r>
          </w:p>
        </w:tc>
        <w:tc>
          <w:tcPr>
            <w:tcW w:w="910" w:type="dxa"/>
          </w:tcPr>
          <w:p w:rsidR="00000000" w:rsidRDefault="00000000">
            <w:pPr>
              <w:tabs>
                <w:tab w:val="decimal" w:pos="616"/>
              </w:tabs>
              <w:rPr>
                <w:bCs/>
                <w:noProof/>
                <w:color w:val="000000"/>
                <w:sz w:val="20"/>
              </w:rPr>
            </w:pPr>
            <w:r>
              <w:rPr>
                <w:bCs/>
                <w:noProof/>
                <w:color w:val="000000"/>
                <w:sz w:val="20"/>
              </w:rPr>
              <w:t>475</w:t>
            </w:r>
          </w:p>
        </w:tc>
        <w:tc>
          <w:tcPr>
            <w:tcW w:w="839" w:type="dxa"/>
          </w:tcPr>
          <w:p w:rsidR="00000000" w:rsidRDefault="00000000">
            <w:pPr>
              <w:tabs>
                <w:tab w:val="decimal" w:pos="532"/>
              </w:tabs>
              <w:rPr>
                <w:bCs/>
                <w:noProof/>
                <w:color w:val="000000"/>
                <w:sz w:val="20"/>
              </w:rPr>
            </w:pPr>
            <w:r>
              <w:rPr>
                <w:bCs/>
                <w:noProof/>
                <w:color w:val="000000"/>
                <w:sz w:val="20"/>
              </w:rPr>
              <w:t>194</w:t>
            </w:r>
          </w:p>
        </w:tc>
        <w:tc>
          <w:tcPr>
            <w:tcW w:w="756" w:type="dxa"/>
          </w:tcPr>
          <w:p w:rsidR="00000000" w:rsidRDefault="00000000">
            <w:pPr>
              <w:tabs>
                <w:tab w:val="decimal" w:pos="532"/>
              </w:tabs>
              <w:rPr>
                <w:bCs/>
                <w:noProof/>
                <w:color w:val="000000"/>
                <w:sz w:val="20"/>
              </w:rPr>
            </w:pPr>
            <w:r>
              <w:rPr>
                <w:bCs/>
                <w:noProof/>
                <w:color w:val="000000"/>
                <w:sz w:val="20"/>
              </w:rPr>
              <w:t>669</w:t>
            </w:r>
          </w:p>
        </w:tc>
        <w:tc>
          <w:tcPr>
            <w:tcW w:w="966" w:type="dxa"/>
          </w:tcPr>
          <w:p w:rsidR="00000000" w:rsidRDefault="00000000">
            <w:pPr>
              <w:tabs>
                <w:tab w:val="decimal" w:pos="616"/>
              </w:tabs>
              <w:rPr>
                <w:bCs/>
                <w:noProof/>
                <w:color w:val="000000"/>
                <w:sz w:val="20"/>
              </w:rPr>
            </w:pPr>
            <w:r>
              <w:rPr>
                <w:bCs/>
                <w:noProof/>
                <w:color w:val="000000"/>
                <w:sz w:val="20"/>
              </w:rPr>
              <w:t>492</w:t>
            </w:r>
          </w:p>
        </w:tc>
        <w:tc>
          <w:tcPr>
            <w:tcW w:w="840" w:type="dxa"/>
          </w:tcPr>
          <w:p w:rsidR="00000000" w:rsidRDefault="00000000">
            <w:pPr>
              <w:tabs>
                <w:tab w:val="decimal" w:pos="560"/>
              </w:tabs>
              <w:rPr>
                <w:bCs/>
                <w:noProof/>
                <w:color w:val="000000"/>
                <w:sz w:val="20"/>
              </w:rPr>
            </w:pPr>
            <w:r>
              <w:rPr>
                <w:bCs/>
                <w:noProof/>
                <w:color w:val="000000"/>
                <w:sz w:val="20"/>
              </w:rPr>
              <w:t>189</w:t>
            </w:r>
          </w:p>
        </w:tc>
        <w:tc>
          <w:tcPr>
            <w:tcW w:w="700" w:type="dxa"/>
          </w:tcPr>
          <w:p w:rsidR="00000000" w:rsidRDefault="00000000">
            <w:pPr>
              <w:tabs>
                <w:tab w:val="decimal" w:pos="504"/>
              </w:tabs>
              <w:rPr>
                <w:bCs/>
                <w:noProof/>
                <w:color w:val="000000"/>
                <w:sz w:val="20"/>
              </w:rPr>
            </w:pPr>
            <w:r>
              <w:rPr>
                <w:bCs/>
                <w:noProof/>
                <w:color w:val="000000"/>
                <w:sz w:val="20"/>
              </w:rPr>
              <w:t>681</w:t>
            </w:r>
          </w:p>
        </w:tc>
      </w:tr>
      <w:tr w:rsidR="00000000">
        <w:tblPrEx>
          <w:tblCellMar>
            <w:top w:w="0" w:type="dxa"/>
            <w:bottom w:w="0" w:type="dxa"/>
          </w:tblCellMar>
        </w:tblPrEx>
        <w:trPr>
          <w:jc w:val="center"/>
        </w:trPr>
        <w:tc>
          <w:tcPr>
            <w:tcW w:w="1867" w:type="dxa"/>
          </w:tcPr>
          <w:p w:rsidR="00000000" w:rsidRDefault="00000000">
            <w:pPr>
              <w:rPr>
                <w:bCs/>
                <w:noProof/>
                <w:color w:val="000000"/>
                <w:sz w:val="20"/>
              </w:rPr>
            </w:pPr>
            <w:r>
              <w:rPr>
                <w:bCs/>
                <w:noProof/>
                <w:color w:val="000000"/>
                <w:sz w:val="20"/>
              </w:rPr>
              <w:t>Total</w:t>
            </w:r>
            <w:r>
              <w:rPr>
                <w:bCs/>
                <w:noProof/>
                <w:color w:val="000000"/>
                <w:sz w:val="20"/>
              </w:rPr>
              <w:br/>
              <w:t>0 a 19 años</w:t>
            </w:r>
          </w:p>
        </w:tc>
        <w:tc>
          <w:tcPr>
            <w:tcW w:w="930" w:type="dxa"/>
            <w:vAlign w:val="bottom"/>
          </w:tcPr>
          <w:p w:rsidR="00000000" w:rsidRDefault="00000000">
            <w:pPr>
              <w:tabs>
                <w:tab w:val="decimal" w:pos="636"/>
              </w:tabs>
              <w:rPr>
                <w:bCs/>
                <w:noProof/>
                <w:color w:val="000000"/>
                <w:sz w:val="20"/>
              </w:rPr>
            </w:pPr>
            <w:r>
              <w:rPr>
                <w:bCs/>
                <w:noProof/>
                <w:color w:val="000000"/>
                <w:sz w:val="20"/>
              </w:rPr>
              <w:t>2.805</w:t>
            </w:r>
          </w:p>
        </w:tc>
        <w:tc>
          <w:tcPr>
            <w:tcW w:w="826" w:type="dxa"/>
            <w:vAlign w:val="bottom"/>
          </w:tcPr>
          <w:p w:rsidR="00000000" w:rsidRDefault="00000000">
            <w:pPr>
              <w:tabs>
                <w:tab w:val="decimal" w:pos="574"/>
              </w:tabs>
              <w:rPr>
                <w:bCs/>
                <w:noProof/>
                <w:color w:val="000000"/>
                <w:sz w:val="20"/>
              </w:rPr>
            </w:pPr>
            <w:r>
              <w:rPr>
                <w:bCs/>
                <w:noProof/>
                <w:color w:val="000000"/>
                <w:sz w:val="20"/>
              </w:rPr>
              <w:t>1.936</w:t>
            </w:r>
          </w:p>
        </w:tc>
        <w:tc>
          <w:tcPr>
            <w:tcW w:w="854" w:type="dxa"/>
            <w:vAlign w:val="bottom"/>
          </w:tcPr>
          <w:p w:rsidR="00000000" w:rsidRDefault="00000000">
            <w:pPr>
              <w:tabs>
                <w:tab w:val="decimal" w:pos="588"/>
              </w:tabs>
              <w:rPr>
                <w:bCs/>
                <w:noProof/>
                <w:color w:val="000000"/>
                <w:sz w:val="20"/>
              </w:rPr>
            </w:pPr>
            <w:r>
              <w:rPr>
                <w:bCs/>
                <w:noProof/>
                <w:color w:val="000000"/>
                <w:sz w:val="20"/>
              </w:rPr>
              <w:t>4.741</w:t>
            </w:r>
          </w:p>
        </w:tc>
        <w:tc>
          <w:tcPr>
            <w:tcW w:w="910" w:type="dxa"/>
            <w:vAlign w:val="bottom"/>
          </w:tcPr>
          <w:p w:rsidR="00000000" w:rsidRDefault="00000000">
            <w:pPr>
              <w:tabs>
                <w:tab w:val="decimal" w:pos="616"/>
              </w:tabs>
              <w:rPr>
                <w:bCs/>
                <w:noProof/>
                <w:color w:val="000000"/>
                <w:sz w:val="20"/>
              </w:rPr>
            </w:pPr>
            <w:r>
              <w:rPr>
                <w:bCs/>
                <w:noProof/>
                <w:color w:val="000000"/>
                <w:sz w:val="20"/>
              </w:rPr>
              <w:t>2.585</w:t>
            </w:r>
          </w:p>
        </w:tc>
        <w:tc>
          <w:tcPr>
            <w:tcW w:w="839" w:type="dxa"/>
            <w:vAlign w:val="bottom"/>
          </w:tcPr>
          <w:p w:rsidR="00000000" w:rsidRDefault="00000000">
            <w:pPr>
              <w:tabs>
                <w:tab w:val="decimal" w:pos="532"/>
              </w:tabs>
              <w:rPr>
                <w:bCs/>
                <w:noProof/>
                <w:color w:val="000000"/>
                <w:sz w:val="20"/>
              </w:rPr>
            </w:pPr>
            <w:r>
              <w:rPr>
                <w:bCs/>
                <w:noProof/>
                <w:color w:val="000000"/>
                <w:sz w:val="20"/>
              </w:rPr>
              <w:t>1.819</w:t>
            </w:r>
          </w:p>
        </w:tc>
        <w:tc>
          <w:tcPr>
            <w:tcW w:w="756" w:type="dxa"/>
            <w:vAlign w:val="bottom"/>
          </w:tcPr>
          <w:p w:rsidR="00000000" w:rsidRDefault="00000000">
            <w:pPr>
              <w:tabs>
                <w:tab w:val="decimal" w:pos="532"/>
              </w:tabs>
              <w:rPr>
                <w:bCs/>
                <w:noProof/>
                <w:color w:val="000000"/>
                <w:sz w:val="20"/>
              </w:rPr>
            </w:pPr>
            <w:r>
              <w:rPr>
                <w:bCs/>
                <w:noProof/>
                <w:color w:val="000000"/>
                <w:sz w:val="20"/>
              </w:rPr>
              <w:t>4.404</w:t>
            </w:r>
          </w:p>
        </w:tc>
        <w:tc>
          <w:tcPr>
            <w:tcW w:w="966" w:type="dxa"/>
            <w:vAlign w:val="bottom"/>
          </w:tcPr>
          <w:p w:rsidR="00000000" w:rsidRDefault="00000000">
            <w:pPr>
              <w:tabs>
                <w:tab w:val="decimal" w:pos="616"/>
              </w:tabs>
              <w:rPr>
                <w:bCs/>
                <w:noProof/>
                <w:color w:val="000000"/>
                <w:sz w:val="20"/>
              </w:rPr>
            </w:pPr>
            <w:r>
              <w:rPr>
                <w:bCs/>
                <w:noProof/>
                <w:color w:val="000000"/>
                <w:sz w:val="20"/>
              </w:rPr>
              <w:t>2.380</w:t>
            </w:r>
          </w:p>
        </w:tc>
        <w:tc>
          <w:tcPr>
            <w:tcW w:w="840" w:type="dxa"/>
            <w:vAlign w:val="bottom"/>
          </w:tcPr>
          <w:p w:rsidR="00000000" w:rsidRDefault="00000000">
            <w:pPr>
              <w:tabs>
                <w:tab w:val="decimal" w:pos="560"/>
              </w:tabs>
              <w:rPr>
                <w:bCs/>
                <w:noProof/>
                <w:color w:val="000000"/>
                <w:sz w:val="20"/>
              </w:rPr>
            </w:pPr>
            <w:r>
              <w:rPr>
                <w:bCs/>
                <w:noProof/>
                <w:color w:val="000000"/>
                <w:sz w:val="20"/>
              </w:rPr>
              <w:t>1.689</w:t>
            </w:r>
          </w:p>
        </w:tc>
        <w:tc>
          <w:tcPr>
            <w:tcW w:w="700" w:type="dxa"/>
            <w:vAlign w:val="bottom"/>
          </w:tcPr>
          <w:p w:rsidR="00000000" w:rsidRDefault="00000000">
            <w:pPr>
              <w:tabs>
                <w:tab w:val="decimal" w:pos="504"/>
              </w:tabs>
              <w:rPr>
                <w:bCs/>
                <w:noProof/>
                <w:color w:val="000000"/>
                <w:sz w:val="20"/>
              </w:rPr>
            </w:pPr>
            <w:r>
              <w:rPr>
                <w:bCs/>
                <w:noProof/>
                <w:color w:val="000000"/>
                <w:sz w:val="20"/>
              </w:rPr>
              <w:t>4.069</w:t>
            </w:r>
          </w:p>
        </w:tc>
      </w:tr>
      <w:tr w:rsidR="00000000">
        <w:tblPrEx>
          <w:tblCellMar>
            <w:top w:w="0" w:type="dxa"/>
            <w:bottom w:w="0" w:type="dxa"/>
          </w:tblCellMar>
        </w:tblPrEx>
        <w:trPr>
          <w:jc w:val="center"/>
        </w:trPr>
        <w:tc>
          <w:tcPr>
            <w:tcW w:w="1867" w:type="dxa"/>
          </w:tcPr>
          <w:p w:rsidR="00000000" w:rsidRDefault="00000000">
            <w:pPr>
              <w:rPr>
                <w:bCs/>
                <w:noProof/>
                <w:color w:val="000000"/>
                <w:sz w:val="20"/>
              </w:rPr>
            </w:pPr>
            <w:r>
              <w:rPr>
                <w:bCs/>
                <w:noProof/>
                <w:color w:val="000000"/>
                <w:sz w:val="20"/>
              </w:rPr>
              <w:t>Todas las edades</w:t>
            </w:r>
          </w:p>
        </w:tc>
        <w:tc>
          <w:tcPr>
            <w:tcW w:w="930" w:type="dxa"/>
          </w:tcPr>
          <w:p w:rsidR="00000000" w:rsidRDefault="00000000">
            <w:pPr>
              <w:tabs>
                <w:tab w:val="decimal" w:pos="636"/>
              </w:tabs>
              <w:rPr>
                <w:bCs/>
                <w:noProof/>
                <w:color w:val="000000"/>
                <w:sz w:val="20"/>
              </w:rPr>
            </w:pPr>
            <w:r>
              <w:rPr>
                <w:bCs/>
                <w:noProof/>
                <w:color w:val="000000"/>
                <w:sz w:val="20"/>
              </w:rPr>
              <w:t>43.695</w:t>
            </w:r>
          </w:p>
        </w:tc>
        <w:tc>
          <w:tcPr>
            <w:tcW w:w="826" w:type="dxa"/>
          </w:tcPr>
          <w:p w:rsidR="00000000" w:rsidRDefault="00000000">
            <w:pPr>
              <w:tabs>
                <w:tab w:val="decimal" w:pos="574"/>
              </w:tabs>
              <w:rPr>
                <w:bCs/>
                <w:noProof/>
                <w:color w:val="000000"/>
                <w:sz w:val="20"/>
              </w:rPr>
            </w:pPr>
            <w:r>
              <w:rPr>
                <w:bCs/>
                <w:noProof/>
                <w:color w:val="000000"/>
                <w:sz w:val="20"/>
              </w:rPr>
              <w:t>36.562</w:t>
            </w:r>
          </w:p>
        </w:tc>
        <w:tc>
          <w:tcPr>
            <w:tcW w:w="854" w:type="dxa"/>
          </w:tcPr>
          <w:p w:rsidR="00000000" w:rsidRDefault="00000000">
            <w:pPr>
              <w:tabs>
                <w:tab w:val="decimal" w:pos="588"/>
              </w:tabs>
              <w:rPr>
                <w:bCs/>
                <w:noProof/>
                <w:color w:val="000000"/>
                <w:sz w:val="20"/>
              </w:rPr>
            </w:pPr>
            <w:r>
              <w:rPr>
                <w:bCs/>
                <w:noProof/>
                <w:color w:val="000000"/>
                <w:sz w:val="20"/>
              </w:rPr>
              <w:t>80.257</w:t>
            </w:r>
          </w:p>
        </w:tc>
        <w:tc>
          <w:tcPr>
            <w:tcW w:w="910" w:type="dxa"/>
          </w:tcPr>
          <w:p w:rsidR="00000000" w:rsidRDefault="00000000">
            <w:pPr>
              <w:tabs>
                <w:tab w:val="decimal" w:pos="616"/>
              </w:tabs>
              <w:rPr>
                <w:bCs/>
                <w:noProof/>
                <w:color w:val="000000"/>
                <w:sz w:val="20"/>
              </w:rPr>
            </w:pPr>
            <w:r>
              <w:rPr>
                <w:bCs/>
                <w:noProof/>
                <w:color w:val="000000"/>
                <w:sz w:val="20"/>
              </w:rPr>
              <w:t>44.424</w:t>
            </w:r>
          </w:p>
        </w:tc>
        <w:tc>
          <w:tcPr>
            <w:tcW w:w="839" w:type="dxa"/>
          </w:tcPr>
          <w:p w:rsidR="00000000" w:rsidRDefault="00000000">
            <w:pPr>
              <w:tabs>
                <w:tab w:val="decimal" w:pos="532"/>
              </w:tabs>
              <w:rPr>
                <w:bCs/>
                <w:noProof/>
                <w:color w:val="000000"/>
                <w:sz w:val="20"/>
              </w:rPr>
            </w:pPr>
            <w:r>
              <w:rPr>
                <w:bCs/>
                <w:noProof/>
                <w:color w:val="000000"/>
                <w:sz w:val="20"/>
              </w:rPr>
              <w:t>37.560</w:t>
            </w:r>
          </w:p>
        </w:tc>
        <w:tc>
          <w:tcPr>
            <w:tcW w:w="756" w:type="dxa"/>
          </w:tcPr>
          <w:p w:rsidR="00000000" w:rsidRDefault="00000000">
            <w:pPr>
              <w:tabs>
                <w:tab w:val="decimal" w:pos="532"/>
              </w:tabs>
              <w:rPr>
                <w:bCs/>
                <w:noProof/>
                <w:color w:val="000000"/>
                <w:sz w:val="20"/>
              </w:rPr>
            </w:pPr>
            <w:r>
              <w:rPr>
                <w:bCs/>
                <w:noProof/>
                <w:color w:val="000000"/>
                <w:sz w:val="20"/>
              </w:rPr>
              <w:t>81.984</w:t>
            </w:r>
          </w:p>
        </w:tc>
        <w:tc>
          <w:tcPr>
            <w:tcW w:w="966" w:type="dxa"/>
          </w:tcPr>
          <w:p w:rsidR="00000000" w:rsidRDefault="00000000">
            <w:pPr>
              <w:tabs>
                <w:tab w:val="decimal" w:pos="616"/>
              </w:tabs>
              <w:rPr>
                <w:bCs/>
                <w:noProof/>
                <w:color w:val="000000"/>
                <w:sz w:val="20"/>
              </w:rPr>
            </w:pPr>
            <w:r>
              <w:rPr>
                <w:bCs/>
                <w:noProof/>
                <w:color w:val="000000"/>
                <w:sz w:val="20"/>
              </w:rPr>
              <w:t>42.970</w:t>
            </w:r>
          </w:p>
        </w:tc>
        <w:tc>
          <w:tcPr>
            <w:tcW w:w="840" w:type="dxa"/>
          </w:tcPr>
          <w:p w:rsidR="00000000" w:rsidRDefault="00000000">
            <w:pPr>
              <w:tabs>
                <w:tab w:val="decimal" w:pos="560"/>
              </w:tabs>
              <w:rPr>
                <w:bCs/>
                <w:noProof/>
                <w:color w:val="000000"/>
                <w:sz w:val="20"/>
              </w:rPr>
            </w:pPr>
            <w:r>
              <w:rPr>
                <w:bCs/>
                <w:noProof/>
                <w:color w:val="000000"/>
                <w:sz w:val="20"/>
              </w:rPr>
              <w:t>35.844</w:t>
            </w:r>
          </w:p>
        </w:tc>
        <w:tc>
          <w:tcPr>
            <w:tcW w:w="700" w:type="dxa"/>
          </w:tcPr>
          <w:p w:rsidR="00000000" w:rsidRDefault="00000000">
            <w:pPr>
              <w:tabs>
                <w:tab w:val="decimal" w:pos="504"/>
              </w:tabs>
              <w:rPr>
                <w:bCs/>
                <w:noProof/>
                <w:color w:val="000000"/>
                <w:sz w:val="20"/>
              </w:rPr>
            </w:pPr>
            <w:r>
              <w:rPr>
                <w:bCs/>
                <w:noProof/>
                <w:color w:val="000000"/>
                <w:sz w:val="20"/>
              </w:rPr>
              <w:t>78.814</w:t>
            </w:r>
          </w:p>
        </w:tc>
      </w:tr>
    </w:tbl>
    <w:p w:rsidR="00000000" w:rsidRDefault="00000000">
      <w:pPr>
        <w:tabs>
          <w:tab w:val="center" w:pos="4680"/>
        </w:tabs>
        <w:spacing w:before="240" w:after="240"/>
        <w:rPr>
          <w:bCs/>
          <w:noProof/>
          <w:color w:val="000000"/>
          <w:sz w:val="22"/>
        </w:rPr>
      </w:pPr>
      <w:r>
        <w:rPr>
          <w:bCs/>
          <w:i/>
          <w:iCs/>
          <w:noProof/>
          <w:color w:val="000000"/>
          <w:sz w:val="20"/>
        </w:rPr>
        <w:t>Fuente</w:t>
      </w:r>
      <w:r>
        <w:rPr>
          <w:bCs/>
          <w:noProof/>
          <w:color w:val="000000"/>
          <w:sz w:val="20"/>
        </w:rPr>
        <w:t>:  INE, Compendio Estadístico, 2001, 2002, y 2003.</w:t>
      </w:r>
    </w:p>
    <w:p w:rsidR="00000000" w:rsidRDefault="00000000">
      <w:pPr>
        <w:spacing w:after="220"/>
        <w:jc w:val="center"/>
        <w:rPr>
          <w:b/>
          <w:noProof/>
          <w:color w:val="000000"/>
          <w:sz w:val="22"/>
        </w:rPr>
      </w:pPr>
      <w:r>
        <w:rPr>
          <w:bCs/>
        </w:rPr>
        <w:br w:type="page"/>
      </w:r>
      <w:r>
        <w:rPr>
          <w:b/>
          <w:noProof/>
          <w:color w:val="000000"/>
          <w:sz w:val="22"/>
        </w:rPr>
        <w:t>Cuadro 4</w:t>
      </w:r>
    </w:p>
    <w:p w:rsidR="00000000" w:rsidRDefault="00000000">
      <w:pPr>
        <w:spacing w:after="220"/>
        <w:jc w:val="center"/>
        <w:rPr>
          <w:bCs/>
          <w:noProof/>
          <w:color w:val="000000"/>
          <w:sz w:val="22"/>
        </w:rPr>
      </w:pPr>
      <w:r>
        <w:rPr>
          <w:b/>
          <w:noProof/>
          <w:color w:val="000000"/>
          <w:sz w:val="22"/>
        </w:rPr>
        <w:t>Defunciones por suicidio y lesiones autoinflingidas intencionalmente,</w:t>
      </w:r>
      <w:r>
        <w:rPr>
          <w:b/>
          <w:noProof/>
          <w:color w:val="000000"/>
          <w:sz w:val="22"/>
        </w:rPr>
        <w:br/>
        <w:t>según sexo y grupos de edad, 1998-2000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825"/>
        <w:gridCol w:w="1044"/>
        <w:gridCol w:w="934"/>
        <w:gridCol w:w="934"/>
        <w:gridCol w:w="1081"/>
        <w:gridCol w:w="992"/>
        <w:gridCol w:w="675"/>
        <w:gridCol w:w="1018"/>
        <w:gridCol w:w="1000"/>
        <w:gridCol w:w="852"/>
      </w:tblGrid>
      <w:tr w:rsidR="00000000">
        <w:tblPrEx>
          <w:tblCellMar>
            <w:top w:w="0" w:type="dxa"/>
            <w:bottom w:w="0" w:type="dxa"/>
          </w:tblCellMar>
        </w:tblPrEx>
        <w:trPr>
          <w:cantSplit/>
          <w:jc w:val="center"/>
        </w:trPr>
        <w:tc>
          <w:tcPr>
            <w:tcW w:w="825" w:type="dxa"/>
            <w:vMerge w:val="restart"/>
            <w:vAlign w:val="center"/>
          </w:tcPr>
          <w:p w:rsidR="00000000" w:rsidRDefault="00000000">
            <w:pPr>
              <w:jc w:val="center"/>
              <w:rPr>
                <w:b/>
                <w:noProof/>
                <w:color w:val="000000"/>
                <w:sz w:val="22"/>
              </w:rPr>
            </w:pPr>
            <w:r>
              <w:rPr>
                <w:b/>
                <w:noProof/>
                <w:color w:val="000000"/>
                <w:sz w:val="22"/>
              </w:rPr>
              <w:t>Año</w:t>
            </w:r>
          </w:p>
        </w:tc>
        <w:tc>
          <w:tcPr>
            <w:tcW w:w="2912" w:type="dxa"/>
            <w:gridSpan w:val="3"/>
          </w:tcPr>
          <w:p w:rsidR="00000000" w:rsidRDefault="00000000">
            <w:pPr>
              <w:jc w:val="center"/>
              <w:rPr>
                <w:b/>
                <w:noProof/>
                <w:color w:val="000000"/>
                <w:sz w:val="22"/>
              </w:rPr>
            </w:pPr>
            <w:r>
              <w:rPr>
                <w:b/>
                <w:noProof/>
                <w:color w:val="000000"/>
                <w:sz w:val="22"/>
              </w:rPr>
              <w:t>Total población país</w:t>
            </w:r>
          </w:p>
        </w:tc>
        <w:tc>
          <w:tcPr>
            <w:tcW w:w="2748" w:type="dxa"/>
            <w:gridSpan w:val="3"/>
          </w:tcPr>
          <w:p w:rsidR="00000000" w:rsidRDefault="00000000">
            <w:pPr>
              <w:jc w:val="center"/>
              <w:rPr>
                <w:b/>
                <w:noProof/>
                <w:color w:val="000000"/>
                <w:sz w:val="22"/>
              </w:rPr>
            </w:pPr>
            <w:r>
              <w:rPr>
                <w:b/>
                <w:noProof/>
                <w:color w:val="000000"/>
                <w:sz w:val="22"/>
              </w:rPr>
              <w:t>10 a 14 años</w:t>
            </w:r>
          </w:p>
        </w:tc>
        <w:tc>
          <w:tcPr>
            <w:tcW w:w="2870" w:type="dxa"/>
            <w:gridSpan w:val="3"/>
          </w:tcPr>
          <w:p w:rsidR="00000000" w:rsidRDefault="00000000">
            <w:pPr>
              <w:jc w:val="center"/>
              <w:rPr>
                <w:b/>
                <w:noProof/>
                <w:color w:val="000000"/>
                <w:sz w:val="22"/>
              </w:rPr>
            </w:pPr>
            <w:r>
              <w:rPr>
                <w:b/>
                <w:noProof/>
                <w:color w:val="000000"/>
                <w:sz w:val="22"/>
              </w:rPr>
              <w:t>15 a 19 años</w:t>
            </w:r>
          </w:p>
        </w:tc>
      </w:tr>
      <w:tr w:rsidR="00000000">
        <w:tblPrEx>
          <w:tblCellMar>
            <w:top w:w="0" w:type="dxa"/>
            <w:bottom w:w="0" w:type="dxa"/>
          </w:tblCellMar>
        </w:tblPrEx>
        <w:trPr>
          <w:cantSplit/>
          <w:jc w:val="center"/>
        </w:trPr>
        <w:tc>
          <w:tcPr>
            <w:tcW w:w="825" w:type="dxa"/>
            <w:vMerge/>
          </w:tcPr>
          <w:p w:rsidR="00000000" w:rsidRDefault="00000000">
            <w:pPr>
              <w:jc w:val="center"/>
              <w:rPr>
                <w:b/>
                <w:noProof/>
                <w:color w:val="000000"/>
                <w:sz w:val="22"/>
              </w:rPr>
            </w:pPr>
          </w:p>
        </w:tc>
        <w:tc>
          <w:tcPr>
            <w:tcW w:w="1044" w:type="dxa"/>
          </w:tcPr>
          <w:p w:rsidR="00000000" w:rsidRDefault="00000000">
            <w:pPr>
              <w:jc w:val="center"/>
              <w:rPr>
                <w:b/>
                <w:noProof/>
                <w:color w:val="000000"/>
                <w:sz w:val="22"/>
              </w:rPr>
            </w:pPr>
            <w:r>
              <w:rPr>
                <w:b/>
                <w:noProof/>
                <w:color w:val="000000"/>
                <w:sz w:val="22"/>
              </w:rPr>
              <w:t>Hombres</w:t>
            </w:r>
          </w:p>
        </w:tc>
        <w:tc>
          <w:tcPr>
            <w:tcW w:w="934" w:type="dxa"/>
          </w:tcPr>
          <w:p w:rsidR="00000000" w:rsidRDefault="00000000">
            <w:pPr>
              <w:jc w:val="center"/>
              <w:rPr>
                <w:b/>
                <w:noProof/>
                <w:color w:val="000000"/>
                <w:sz w:val="22"/>
              </w:rPr>
            </w:pPr>
            <w:r>
              <w:rPr>
                <w:b/>
                <w:noProof/>
                <w:color w:val="000000"/>
                <w:sz w:val="22"/>
              </w:rPr>
              <w:t>Mujeres</w:t>
            </w:r>
          </w:p>
        </w:tc>
        <w:tc>
          <w:tcPr>
            <w:tcW w:w="934" w:type="dxa"/>
          </w:tcPr>
          <w:p w:rsidR="00000000" w:rsidRDefault="00000000">
            <w:pPr>
              <w:jc w:val="center"/>
              <w:rPr>
                <w:b/>
                <w:noProof/>
                <w:color w:val="000000"/>
                <w:sz w:val="22"/>
              </w:rPr>
            </w:pPr>
            <w:r>
              <w:rPr>
                <w:b/>
                <w:noProof/>
                <w:color w:val="000000"/>
                <w:sz w:val="22"/>
              </w:rPr>
              <w:t>Total</w:t>
            </w:r>
          </w:p>
        </w:tc>
        <w:tc>
          <w:tcPr>
            <w:tcW w:w="1081" w:type="dxa"/>
          </w:tcPr>
          <w:p w:rsidR="00000000" w:rsidRDefault="00000000">
            <w:pPr>
              <w:jc w:val="center"/>
              <w:rPr>
                <w:b/>
                <w:noProof/>
                <w:color w:val="000000"/>
                <w:sz w:val="22"/>
              </w:rPr>
            </w:pPr>
            <w:r>
              <w:rPr>
                <w:b/>
                <w:noProof/>
                <w:color w:val="000000"/>
                <w:sz w:val="22"/>
              </w:rPr>
              <w:t>Hombres</w:t>
            </w:r>
          </w:p>
        </w:tc>
        <w:tc>
          <w:tcPr>
            <w:tcW w:w="992" w:type="dxa"/>
          </w:tcPr>
          <w:p w:rsidR="00000000" w:rsidRDefault="00000000">
            <w:pPr>
              <w:jc w:val="center"/>
              <w:rPr>
                <w:b/>
                <w:noProof/>
                <w:color w:val="000000"/>
                <w:sz w:val="22"/>
              </w:rPr>
            </w:pPr>
            <w:r>
              <w:rPr>
                <w:b/>
                <w:noProof/>
                <w:color w:val="000000"/>
                <w:sz w:val="22"/>
              </w:rPr>
              <w:t>Mujeres</w:t>
            </w:r>
          </w:p>
        </w:tc>
        <w:tc>
          <w:tcPr>
            <w:tcW w:w="675" w:type="dxa"/>
          </w:tcPr>
          <w:p w:rsidR="00000000" w:rsidRDefault="00000000">
            <w:pPr>
              <w:jc w:val="center"/>
              <w:rPr>
                <w:b/>
                <w:noProof/>
                <w:color w:val="000000"/>
                <w:sz w:val="22"/>
              </w:rPr>
            </w:pPr>
            <w:r>
              <w:rPr>
                <w:b/>
                <w:noProof/>
                <w:color w:val="000000"/>
                <w:sz w:val="22"/>
              </w:rPr>
              <w:t>Total</w:t>
            </w:r>
          </w:p>
        </w:tc>
        <w:tc>
          <w:tcPr>
            <w:tcW w:w="1018" w:type="dxa"/>
          </w:tcPr>
          <w:p w:rsidR="00000000" w:rsidRDefault="00000000">
            <w:pPr>
              <w:jc w:val="center"/>
              <w:rPr>
                <w:b/>
                <w:noProof/>
                <w:color w:val="000000"/>
                <w:sz w:val="22"/>
              </w:rPr>
            </w:pPr>
            <w:r>
              <w:rPr>
                <w:b/>
                <w:noProof/>
                <w:color w:val="000000"/>
                <w:sz w:val="22"/>
              </w:rPr>
              <w:t>Hombres</w:t>
            </w:r>
          </w:p>
        </w:tc>
        <w:tc>
          <w:tcPr>
            <w:tcW w:w="1000" w:type="dxa"/>
          </w:tcPr>
          <w:p w:rsidR="00000000" w:rsidRDefault="00000000">
            <w:pPr>
              <w:jc w:val="center"/>
              <w:rPr>
                <w:b/>
                <w:noProof/>
                <w:color w:val="000000"/>
                <w:sz w:val="22"/>
              </w:rPr>
            </w:pPr>
            <w:r>
              <w:rPr>
                <w:b/>
                <w:noProof/>
                <w:color w:val="000000"/>
                <w:sz w:val="22"/>
              </w:rPr>
              <w:t>Mujeres</w:t>
            </w:r>
          </w:p>
        </w:tc>
        <w:tc>
          <w:tcPr>
            <w:tcW w:w="852" w:type="dxa"/>
          </w:tcPr>
          <w:p w:rsidR="00000000" w:rsidRDefault="00000000">
            <w:pPr>
              <w:jc w:val="center"/>
              <w:rPr>
                <w:b/>
                <w:noProof/>
                <w:color w:val="000000"/>
                <w:sz w:val="22"/>
              </w:rPr>
            </w:pPr>
            <w:r>
              <w:rPr>
                <w:b/>
                <w:noProof/>
                <w:color w:val="000000"/>
                <w:sz w:val="22"/>
              </w:rPr>
              <w:t>Total</w:t>
            </w:r>
          </w:p>
        </w:tc>
      </w:tr>
      <w:tr w:rsidR="00000000">
        <w:tblPrEx>
          <w:tblCellMar>
            <w:top w:w="0" w:type="dxa"/>
            <w:bottom w:w="0" w:type="dxa"/>
          </w:tblCellMar>
        </w:tblPrEx>
        <w:trPr>
          <w:jc w:val="center"/>
        </w:trPr>
        <w:tc>
          <w:tcPr>
            <w:tcW w:w="825" w:type="dxa"/>
          </w:tcPr>
          <w:p w:rsidR="00000000" w:rsidRDefault="00000000">
            <w:pPr>
              <w:jc w:val="center"/>
              <w:rPr>
                <w:bCs/>
                <w:noProof/>
                <w:color w:val="000000"/>
                <w:sz w:val="22"/>
              </w:rPr>
            </w:pPr>
            <w:r>
              <w:rPr>
                <w:bCs/>
                <w:noProof/>
                <w:color w:val="000000"/>
                <w:sz w:val="22"/>
              </w:rPr>
              <w:t>1998</w:t>
            </w:r>
          </w:p>
        </w:tc>
        <w:tc>
          <w:tcPr>
            <w:tcW w:w="1044" w:type="dxa"/>
          </w:tcPr>
          <w:p w:rsidR="00000000" w:rsidRDefault="00000000">
            <w:pPr>
              <w:tabs>
                <w:tab w:val="decimal" w:pos="703"/>
              </w:tabs>
              <w:rPr>
                <w:bCs/>
                <w:noProof/>
                <w:color w:val="000000"/>
                <w:sz w:val="22"/>
              </w:rPr>
            </w:pPr>
            <w:r>
              <w:rPr>
                <w:bCs/>
                <w:noProof/>
                <w:color w:val="000000"/>
                <w:sz w:val="22"/>
              </w:rPr>
              <w:t>899</w:t>
            </w:r>
          </w:p>
        </w:tc>
        <w:tc>
          <w:tcPr>
            <w:tcW w:w="934" w:type="dxa"/>
          </w:tcPr>
          <w:p w:rsidR="00000000" w:rsidRDefault="00000000">
            <w:pPr>
              <w:tabs>
                <w:tab w:val="decimal" w:pos="555"/>
              </w:tabs>
              <w:rPr>
                <w:bCs/>
                <w:noProof/>
                <w:color w:val="000000"/>
                <w:sz w:val="22"/>
              </w:rPr>
            </w:pPr>
            <w:r>
              <w:rPr>
                <w:bCs/>
                <w:noProof/>
                <w:color w:val="000000"/>
                <w:sz w:val="22"/>
              </w:rPr>
              <w:t>132</w:t>
            </w:r>
          </w:p>
        </w:tc>
        <w:tc>
          <w:tcPr>
            <w:tcW w:w="934" w:type="dxa"/>
          </w:tcPr>
          <w:p w:rsidR="00000000" w:rsidRDefault="00000000">
            <w:pPr>
              <w:tabs>
                <w:tab w:val="decimal" w:pos="609"/>
              </w:tabs>
              <w:rPr>
                <w:bCs/>
                <w:noProof/>
                <w:color w:val="000000"/>
                <w:sz w:val="22"/>
              </w:rPr>
            </w:pPr>
            <w:r>
              <w:rPr>
                <w:bCs/>
                <w:noProof/>
                <w:color w:val="000000"/>
                <w:sz w:val="22"/>
              </w:rPr>
              <w:t>1.031</w:t>
            </w:r>
          </w:p>
        </w:tc>
        <w:tc>
          <w:tcPr>
            <w:tcW w:w="1081" w:type="dxa"/>
          </w:tcPr>
          <w:p w:rsidR="00000000" w:rsidRDefault="00000000">
            <w:pPr>
              <w:tabs>
                <w:tab w:val="decimal" w:pos="521"/>
              </w:tabs>
              <w:rPr>
                <w:bCs/>
                <w:noProof/>
                <w:color w:val="000000"/>
                <w:sz w:val="22"/>
              </w:rPr>
            </w:pPr>
            <w:r>
              <w:rPr>
                <w:bCs/>
                <w:noProof/>
                <w:color w:val="000000"/>
                <w:sz w:val="22"/>
              </w:rPr>
              <w:t>4</w:t>
            </w:r>
          </w:p>
        </w:tc>
        <w:tc>
          <w:tcPr>
            <w:tcW w:w="992" w:type="dxa"/>
          </w:tcPr>
          <w:p w:rsidR="00000000" w:rsidRDefault="00000000">
            <w:pPr>
              <w:tabs>
                <w:tab w:val="decimal" w:pos="476"/>
              </w:tabs>
              <w:rPr>
                <w:bCs/>
                <w:noProof/>
                <w:color w:val="000000"/>
                <w:sz w:val="22"/>
              </w:rPr>
            </w:pPr>
            <w:r>
              <w:rPr>
                <w:bCs/>
                <w:noProof/>
                <w:color w:val="000000"/>
                <w:sz w:val="22"/>
              </w:rPr>
              <w:t>4</w:t>
            </w:r>
          </w:p>
        </w:tc>
        <w:tc>
          <w:tcPr>
            <w:tcW w:w="675" w:type="dxa"/>
          </w:tcPr>
          <w:p w:rsidR="00000000" w:rsidRDefault="00000000">
            <w:pPr>
              <w:tabs>
                <w:tab w:val="decimal" w:pos="362"/>
              </w:tabs>
              <w:rPr>
                <w:bCs/>
                <w:noProof/>
                <w:color w:val="000000"/>
                <w:sz w:val="22"/>
              </w:rPr>
            </w:pPr>
            <w:r>
              <w:rPr>
                <w:bCs/>
                <w:noProof/>
                <w:color w:val="000000"/>
                <w:sz w:val="22"/>
              </w:rPr>
              <w:t>8</w:t>
            </w:r>
          </w:p>
        </w:tc>
        <w:tc>
          <w:tcPr>
            <w:tcW w:w="1018" w:type="dxa"/>
          </w:tcPr>
          <w:p w:rsidR="00000000" w:rsidRDefault="00000000">
            <w:pPr>
              <w:tabs>
                <w:tab w:val="decimal" w:pos="530"/>
              </w:tabs>
              <w:rPr>
                <w:bCs/>
                <w:noProof/>
                <w:color w:val="000000"/>
                <w:sz w:val="22"/>
              </w:rPr>
            </w:pPr>
            <w:r>
              <w:rPr>
                <w:bCs/>
                <w:noProof/>
                <w:color w:val="000000"/>
                <w:sz w:val="22"/>
              </w:rPr>
              <w:t>49</w:t>
            </w:r>
          </w:p>
        </w:tc>
        <w:tc>
          <w:tcPr>
            <w:tcW w:w="1000" w:type="dxa"/>
          </w:tcPr>
          <w:p w:rsidR="00000000" w:rsidRDefault="00000000">
            <w:pPr>
              <w:tabs>
                <w:tab w:val="decimal" w:pos="520"/>
              </w:tabs>
              <w:rPr>
                <w:bCs/>
                <w:noProof/>
                <w:color w:val="000000"/>
                <w:sz w:val="22"/>
              </w:rPr>
            </w:pPr>
            <w:r>
              <w:rPr>
                <w:bCs/>
                <w:noProof/>
                <w:color w:val="000000"/>
                <w:sz w:val="22"/>
              </w:rPr>
              <w:t>14</w:t>
            </w:r>
          </w:p>
        </w:tc>
        <w:tc>
          <w:tcPr>
            <w:tcW w:w="852" w:type="dxa"/>
          </w:tcPr>
          <w:p w:rsidR="00000000" w:rsidRDefault="00000000">
            <w:pPr>
              <w:tabs>
                <w:tab w:val="decimal" w:pos="486"/>
              </w:tabs>
              <w:rPr>
                <w:bCs/>
                <w:noProof/>
                <w:color w:val="000000"/>
                <w:sz w:val="22"/>
              </w:rPr>
            </w:pPr>
            <w:r>
              <w:rPr>
                <w:bCs/>
                <w:noProof/>
                <w:color w:val="000000"/>
                <w:sz w:val="22"/>
              </w:rPr>
              <w:t>63</w:t>
            </w:r>
          </w:p>
        </w:tc>
      </w:tr>
      <w:tr w:rsidR="00000000">
        <w:tblPrEx>
          <w:tblCellMar>
            <w:top w:w="0" w:type="dxa"/>
            <w:bottom w:w="0" w:type="dxa"/>
          </w:tblCellMar>
        </w:tblPrEx>
        <w:trPr>
          <w:jc w:val="center"/>
        </w:trPr>
        <w:tc>
          <w:tcPr>
            <w:tcW w:w="825" w:type="dxa"/>
          </w:tcPr>
          <w:p w:rsidR="00000000" w:rsidRDefault="00000000">
            <w:pPr>
              <w:jc w:val="center"/>
              <w:rPr>
                <w:bCs/>
                <w:noProof/>
                <w:color w:val="000000"/>
                <w:sz w:val="22"/>
              </w:rPr>
            </w:pPr>
            <w:r>
              <w:rPr>
                <w:bCs/>
                <w:noProof/>
                <w:color w:val="000000"/>
                <w:sz w:val="22"/>
              </w:rPr>
              <w:t>1999</w:t>
            </w:r>
          </w:p>
        </w:tc>
        <w:tc>
          <w:tcPr>
            <w:tcW w:w="1044" w:type="dxa"/>
          </w:tcPr>
          <w:p w:rsidR="00000000" w:rsidRDefault="00000000">
            <w:pPr>
              <w:tabs>
                <w:tab w:val="decimal" w:pos="703"/>
              </w:tabs>
              <w:rPr>
                <w:bCs/>
                <w:noProof/>
                <w:color w:val="000000"/>
                <w:sz w:val="22"/>
              </w:rPr>
            </w:pPr>
            <w:r>
              <w:rPr>
                <w:bCs/>
                <w:noProof/>
                <w:color w:val="000000"/>
                <w:sz w:val="22"/>
              </w:rPr>
              <w:t>903</w:t>
            </w:r>
          </w:p>
        </w:tc>
        <w:tc>
          <w:tcPr>
            <w:tcW w:w="934" w:type="dxa"/>
          </w:tcPr>
          <w:p w:rsidR="00000000" w:rsidRDefault="00000000">
            <w:pPr>
              <w:tabs>
                <w:tab w:val="decimal" w:pos="555"/>
              </w:tabs>
              <w:rPr>
                <w:bCs/>
                <w:noProof/>
                <w:color w:val="000000"/>
                <w:sz w:val="22"/>
              </w:rPr>
            </w:pPr>
            <w:r>
              <w:rPr>
                <w:bCs/>
                <w:noProof/>
                <w:color w:val="000000"/>
                <w:sz w:val="22"/>
              </w:rPr>
              <w:t>138</w:t>
            </w:r>
          </w:p>
        </w:tc>
        <w:tc>
          <w:tcPr>
            <w:tcW w:w="934" w:type="dxa"/>
          </w:tcPr>
          <w:p w:rsidR="00000000" w:rsidRDefault="00000000">
            <w:pPr>
              <w:tabs>
                <w:tab w:val="decimal" w:pos="609"/>
              </w:tabs>
              <w:rPr>
                <w:bCs/>
                <w:noProof/>
                <w:color w:val="000000"/>
                <w:sz w:val="22"/>
              </w:rPr>
            </w:pPr>
            <w:r>
              <w:rPr>
                <w:bCs/>
                <w:noProof/>
                <w:color w:val="000000"/>
                <w:sz w:val="22"/>
              </w:rPr>
              <w:t>1.041</w:t>
            </w:r>
          </w:p>
        </w:tc>
        <w:tc>
          <w:tcPr>
            <w:tcW w:w="1081" w:type="dxa"/>
          </w:tcPr>
          <w:p w:rsidR="00000000" w:rsidRDefault="00000000">
            <w:pPr>
              <w:tabs>
                <w:tab w:val="decimal" w:pos="521"/>
              </w:tabs>
              <w:rPr>
                <w:bCs/>
                <w:noProof/>
                <w:color w:val="000000"/>
                <w:sz w:val="22"/>
              </w:rPr>
            </w:pPr>
            <w:r>
              <w:rPr>
                <w:bCs/>
                <w:noProof/>
                <w:color w:val="000000"/>
                <w:sz w:val="22"/>
              </w:rPr>
              <w:t>3</w:t>
            </w:r>
          </w:p>
        </w:tc>
        <w:tc>
          <w:tcPr>
            <w:tcW w:w="992" w:type="dxa"/>
          </w:tcPr>
          <w:p w:rsidR="00000000" w:rsidRDefault="00000000">
            <w:pPr>
              <w:tabs>
                <w:tab w:val="decimal" w:pos="476"/>
              </w:tabs>
              <w:rPr>
                <w:bCs/>
                <w:noProof/>
                <w:color w:val="000000"/>
                <w:sz w:val="22"/>
              </w:rPr>
            </w:pPr>
            <w:r>
              <w:rPr>
                <w:bCs/>
                <w:noProof/>
                <w:color w:val="000000"/>
                <w:sz w:val="22"/>
              </w:rPr>
              <w:t>1</w:t>
            </w:r>
          </w:p>
        </w:tc>
        <w:tc>
          <w:tcPr>
            <w:tcW w:w="675" w:type="dxa"/>
          </w:tcPr>
          <w:p w:rsidR="00000000" w:rsidRDefault="00000000">
            <w:pPr>
              <w:tabs>
                <w:tab w:val="decimal" w:pos="362"/>
              </w:tabs>
              <w:rPr>
                <w:bCs/>
                <w:noProof/>
                <w:color w:val="000000"/>
                <w:sz w:val="22"/>
              </w:rPr>
            </w:pPr>
            <w:r>
              <w:rPr>
                <w:bCs/>
                <w:noProof/>
                <w:color w:val="000000"/>
                <w:sz w:val="22"/>
              </w:rPr>
              <w:t>4</w:t>
            </w:r>
          </w:p>
        </w:tc>
        <w:tc>
          <w:tcPr>
            <w:tcW w:w="1018" w:type="dxa"/>
          </w:tcPr>
          <w:p w:rsidR="00000000" w:rsidRDefault="00000000">
            <w:pPr>
              <w:tabs>
                <w:tab w:val="decimal" w:pos="530"/>
              </w:tabs>
              <w:rPr>
                <w:bCs/>
                <w:noProof/>
                <w:color w:val="000000"/>
                <w:sz w:val="22"/>
              </w:rPr>
            </w:pPr>
            <w:r>
              <w:rPr>
                <w:bCs/>
                <w:noProof/>
                <w:color w:val="000000"/>
                <w:sz w:val="22"/>
              </w:rPr>
              <w:t>42</w:t>
            </w:r>
          </w:p>
        </w:tc>
        <w:tc>
          <w:tcPr>
            <w:tcW w:w="1000" w:type="dxa"/>
          </w:tcPr>
          <w:p w:rsidR="00000000" w:rsidRDefault="00000000">
            <w:pPr>
              <w:tabs>
                <w:tab w:val="decimal" w:pos="520"/>
              </w:tabs>
              <w:rPr>
                <w:bCs/>
                <w:noProof/>
                <w:color w:val="000000"/>
                <w:sz w:val="22"/>
              </w:rPr>
            </w:pPr>
            <w:r>
              <w:rPr>
                <w:bCs/>
                <w:noProof/>
                <w:color w:val="000000"/>
                <w:sz w:val="22"/>
              </w:rPr>
              <w:t>19</w:t>
            </w:r>
          </w:p>
        </w:tc>
        <w:tc>
          <w:tcPr>
            <w:tcW w:w="852" w:type="dxa"/>
          </w:tcPr>
          <w:p w:rsidR="00000000" w:rsidRDefault="00000000">
            <w:pPr>
              <w:tabs>
                <w:tab w:val="decimal" w:pos="486"/>
              </w:tabs>
              <w:rPr>
                <w:bCs/>
                <w:noProof/>
                <w:color w:val="000000"/>
                <w:sz w:val="22"/>
              </w:rPr>
            </w:pPr>
            <w:r>
              <w:rPr>
                <w:bCs/>
                <w:noProof/>
                <w:color w:val="000000"/>
                <w:sz w:val="22"/>
              </w:rPr>
              <w:t>61</w:t>
            </w:r>
          </w:p>
        </w:tc>
      </w:tr>
      <w:tr w:rsidR="00000000">
        <w:tblPrEx>
          <w:tblCellMar>
            <w:top w:w="0" w:type="dxa"/>
            <w:bottom w:w="0" w:type="dxa"/>
          </w:tblCellMar>
        </w:tblPrEx>
        <w:trPr>
          <w:jc w:val="center"/>
        </w:trPr>
        <w:tc>
          <w:tcPr>
            <w:tcW w:w="825" w:type="dxa"/>
          </w:tcPr>
          <w:p w:rsidR="00000000" w:rsidRDefault="00000000">
            <w:pPr>
              <w:jc w:val="center"/>
              <w:rPr>
                <w:bCs/>
                <w:noProof/>
                <w:color w:val="000000"/>
                <w:sz w:val="22"/>
              </w:rPr>
            </w:pPr>
            <w:r>
              <w:rPr>
                <w:bCs/>
                <w:noProof/>
                <w:color w:val="000000"/>
                <w:sz w:val="22"/>
              </w:rPr>
              <w:t>2000</w:t>
            </w:r>
          </w:p>
        </w:tc>
        <w:tc>
          <w:tcPr>
            <w:tcW w:w="1044" w:type="dxa"/>
          </w:tcPr>
          <w:p w:rsidR="00000000" w:rsidRDefault="00000000">
            <w:pPr>
              <w:tabs>
                <w:tab w:val="decimal" w:pos="703"/>
              </w:tabs>
              <w:rPr>
                <w:bCs/>
                <w:noProof/>
                <w:color w:val="000000"/>
                <w:sz w:val="22"/>
              </w:rPr>
            </w:pPr>
            <w:r>
              <w:rPr>
                <w:bCs/>
                <w:noProof/>
                <w:color w:val="000000"/>
                <w:sz w:val="22"/>
              </w:rPr>
              <w:t>1.266</w:t>
            </w:r>
          </w:p>
        </w:tc>
        <w:tc>
          <w:tcPr>
            <w:tcW w:w="934" w:type="dxa"/>
          </w:tcPr>
          <w:p w:rsidR="00000000" w:rsidRDefault="00000000">
            <w:pPr>
              <w:tabs>
                <w:tab w:val="decimal" w:pos="555"/>
              </w:tabs>
              <w:rPr>
                <w:bCs/>
                <w:noProof/>
                <w:color w:val="000000"/>
                <w:sz w:val="22"/>
              </w:rPr>
            </w:pPr>
            <w:r>
              <w:rPr>
                <w:bCs/>
                <w:noProof/>
                <w:color w:val="000000"/>
                <w:sz w:val="22"/>
              </w:rPr>
              <w:t>207</w:t>
            </w:r>
          </w:p>
        </w:tc>
        <w:tc>
          <w:tcPr>
            <w:tcW w:w="934" w:type="dxa"/>
          </w:tcPr>
          <w:p w:rsidR="00000000" w:rsidRDefault="00000000">
            <w:pPr>
              <w:jc w:val="center"/>
              <w:rPr>
                <w:bCs/>
                <w:noProof/>
                <w:color w:val="000000"/>
                <w:sz w:val="22"/>
              </w:rPr>
            </w:pPr>
            <w:r>
              <w:rPr>
                <w:bCs/>
                <w:noProof/>
                <w:color w:val="000000"/>
                <w:sz w:val="22"/>
              </w:rPr>
              <w:t>1.473</w:t>
            </w:r>
          </w:p>
        </w:tc>
        <w:tc>
          <w:tcPr>
            <w:tcW w:w="1081" w:type="dxa"/>
          </w:tcPr>
          <w:p w:rsidR="00000000" w:rsidRDefault="00000000">
            <w:pPr>
              <w:tabs>
                <w:tab w:val="decimal" w:pos="521"/>
              </w:tabs>
              <w:rPr>
                <w:bCs/>
                <w:noProof/>
                <w:color w:val="000000"/>
                <w:sz w:val="22"/>
              </w:rPr>
            </w:pPr>
            <w:r>
              <w:rPr>
                <w:bCs/>
                <w:noProof/>
                <w:color w:val="000000"/>
                <w:sz w:val="22"/>
              </w:rPr>
              <w:t>8</w:t>
            </w:r>
          </w:p>
        </w:tc>
        <w:tc>
          <w:tcPr>
            <w:tcW w:w="992" w:type="dxa"/>
          </w:tcPr>
          <w:p w:rsidR="00000000" w:rsidRDefault="00000000">
            <w:pPr>
              <w:jc w:val="center"/>
              <w:rPr>
                <w:bCs/>
                <w:noProof/>
                <w:color w:val="000000"/>
                <w:sz w:val="22"/>
              </w:rPr>
            </w:pPr>
            <w:r>
              <w:rPr>
                <w:bCs/>
                <w:noProof/>
                <w:color w:val="000000"/>
                <w:sz w:val="22"/>
              </w:rPr>
              <w:t>6</w:t>
            </w:r>
          </w:p>
        </w:tc>
        <w:tc>
          <w:tcPr>
            <w:tcW w:w="675" w:type="dxa"/>
          </w:tcPr>
          <w:p w:rsidR="00000000" w:rsidRDefault="00000000">
            <w:pPr>
              <w:tabs>
                <w:tab w:val="decimal" w:pos="362"/>
              </w:tabs>
              <w:rPr>
                <w:bCs/>
                <w:noProof/>
                <w:color w:val="000000"/>
                <w:sz w:val="22"/>
              </w:rPr>
            </w:pPr>
            <w:r>
              <w:rPr>
                <w:bCs/>
                <w:noProof/>
                <w:color w:val="000000"/>
                <w:sz w:val="22"/>
              </w:rPr>
              <w:t>14</w:t>
            </w:r>
          </w:p>
        </w:tc>
        <w:tc>
          <w:tcPr>
            <w:tcW w:w="1018" w:type="dxa"/>
          </w:tcPr>
          <w:p w:rsidR="00000000" w:rsidRDefault="00000000">
            <w:pPr>
              <w:tabs>
                <w:tab w:val="decimal" w:pos="530"/>
              </w:tabs>
              <w:rPr>
                <w:bCs/>
                <w:noProof/>
                <w:color w:val="000000"/>
                <w:sz w:val="22"/>
              </w:rPr>
            </w:pPr>
            <w:r>
              <w:rPr>
                <w:bCs/>
                <w:noProof/>
                <w:color w:val="000000"/>
                <w:sz w:val="22"/>
              </w:rPr>
              <w:t>84</w:t>
            </w:r>
          </w:p>
        </w:tc>
        <w:tc>
          <w:tcPr>
            <w:tcW w:w="1000" w:type="dxa"/>
          </w:tcPr>
          <w:p w:rsidR="00000000" w:rsidRDefault="00000000">
            <w:pPr>
              <w:tabs>
                <w:tab w:val="decimal" w:pos="520"/>
              </w:tabs>
              <w:rPr>
                <w:bCs/>
                <w:noProof/>
                <w:color w:val="000000"/>
                <w:sz w:val="22"/>
              </w:rPr>
            </w:pPr>
            <w:r>
              <w:rPr>
                <w:bCs/>
                <w:noProof/>
                <w:color w:val="000000"/>
                <w:sz w:val="22"/>
              </w:rPr>
              <w:t>30</w:t>
            </w:r>
          </w:p>
        </w:tc>
        <w:tc>
          <w:tcPr>
            <w:tcW w:w="852" w:type="dxa"/>
          </w:tcPr>
          <w:p w:rsidR="00000000" w:rsidRDefault="00000000">
            <w:pPr>
              <w:tabs>
                <w:tab w:val="decimal" w:pos="486"/>
              </w:tabs>
              <w:rPr>
                <w:bCs/>
                <w:noProof/>
                <w:color w:val="000000"/>
                <w:sz w:val="22"/>
              </w:rPr>
            </w:pPr>
            <w:r>
              <w:rPr>
                <w:bCs/>
                <w:noProof/>
                <w:color w:val="000000"/>
                <w:sz w:val="22"/>
              </w:rPr>
              <w:t>114</w:t>
            </w:r>
          </w:p>
        </w:tc>
      </w:tr>
    </w:tbl>
    <w:p w:rsidR="00000000" w:rsidRDefault="00000000">
      <w:pPr>
        <w:tabs>
          <w:tab w:val="center" w:pos="4680"/>
        </w:tabs>
        <w:spacing w:before="200" w:after="240"/>
        <w:rPr>
          <w:bCs/>
          <w:noProof/>
          <w:color w:val="000000"/>
          <w:sz w:val="22"/>
        </w:rPr>
      </w:pPr>
      <w:r>
        <w:rPr>
          <w:bCs/>
          <w:i/>
          <w:iCs/>
          <w:noProof/>
          <w:color w:val="000000"/>
          <w:sz w:val="22"/>
        </w:rPr>
        <w:t>Fuente</w:t>
      </w:r>
      <w:r>
        <w:rPr>
          <w:bCs/>
          <w:noProof/>
          <w:color w:val="000000"/>
          <w:sz w:val="22"/>
        </w:rPr>
        <w:t>:  INE, Compendio Estadístico, años 2001, 2002, y 2003.</w:t>
      </w:r>
    </w:p>
    <w:p w:rsidR="00000000" w:rsidRDefault="00000000">
      <w:pPr>
        <w:spacing w:after="240"/>
        <w:jc w:val="center"/>
        <w:outlineLvl w:val="0"/>
        <w:rPr>
          <w:b/>
          <w:noProof/>
          <w:color w:val="000000"/>
        </w:rPr>
      </w:pPr>
      <w:r>
        <w:rPr>
          <w:b/>
          <w:noProof/>
          <w:color w:val="000000"/>
        </w:rPr>
        <w:t>Cuadro 5</w:t>
      </w:r>
    </w:p>
    <w:p w:rsidR="00000000" w:rsidRDefault="00000000">
      <w:pPr>
        <w:spacing w:after="240"/>
        <w:jc w:val="center"/>
        <w:rPr>
          <w:b/>
          <w:noProof/>
          <w:color w:val="000000"/>
        </w:rPr>
      </w:pPr>
      <w:r>
        <w:rPr>
          <w:b/>
          <w:noProof/>
          <w:color w:val="000000"/>
        </w:rPr>
        <w:t>Niños y niñas vigentes en SENAME al 31 de diciembre, 2000 a 2003</w:t>
      </w:r>
    </w:p>
    <w:tbl>
      <w:tblPr>
        <w:tblW w:w="0" w:type="auto"/>
        <w:tblInd w:w="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800"/>
        <w:gridCol w:w="2040"/>
        <w:gridCol w:w="1983"/>
        <w:gridCol w:w="2340"/>
      </w:tblGrid>
      <w:tr w:rsidR="00000000">
        <w:tblPrEx>
          <w:tblCellMar>
            <w:top w:w="0" w:type="dxa"/>
            <w:bottom w:w="0" w:type="dxa"/>
          </w:tblCellMar>
        </w:tblPrEx>
        <w:tc>
          <w:tcPr>
            <w:tcW w:w="1800" w:type="dxa"/>
            <w:vAlign w:val="center"/>
          </w:tcPr>
          <w:p w:rsidR="00000000" w:rsidRDefault="00000000">
            <w:pPr>
              <w:jc w:val="center"/>
              <w:rPr>
                <w:b/>
                <w:noProof/>
                <w:color w:val="000000"/>
              </w:rPr>
            </w:pPr>
            <w:r>
              <w:rPr>
                <w:b/>
                <w:noProof/>
                <w:color w:val="000000"/>
              </w:rPr>
              <w:t>Años</w:t>
            </w:r>
          </w:p>
        </w:tc>
        <w:tc>
          <w:tcPr>
            <w:tcW w:w="2040" w:type="dxa"/>
            <w:vAlign w:val="center"/>
          </w:tcPr>
          <w:p w:rsidR="00000000" w:rsidRDefault="00000000">
            <w:pPr>
              <w:jc w:val="center"/>
              <w:rPr>
                <w:b/>
                <w:noProof/>
                <w:color w:val="000000"/>
              </w:rPr>
            </w:pPr>
            <w:r>
              <w:rPr>
                <w:b/>
                <w:noProof/>
                <w:color w:val="000000"/>
              </w:rPr>
              <w:t>Total</w:t>
            </w:r>
          </w:p>
        </w:tc>
        <w:tc>
          <w:tcPr>
            <w:tcW w:w="1983" w:type="dxa"/>
            <w:vAlign w:val="center"/>
          </w:tcPr>
          <w:p w:rsidR="00000000" w:rsidRDefault="00000000">
            <w:pPr>
              <w:jc w:val="center"/>
              <w:rPr>
                <w:b/>
                <w:noProof/>
                <w:color w:val="000000"/>
              </w:rPr>
            </w:pPr>
            <w:r>
              <w:rPr>
                <w:b/>
                <w:noProof/>
                <w:color w:val="000000"/>
              </w:rPr>
              <w:t>Protección</w:t>
            </w:r>
          </w:p>
        </w:tc>
        <w:tc>
          <w:tcPr>
            <w:tcW w:w="2340" w:type="dxa"/>
          </w:tcPr>
          <w:p w:rsidR="00000000" w:rsidRDefault="00000000">
            <w:pPr>
              <w:jc w:val="center"/>
              <w:rPr>
                <w:b/>
                <w:noProof/>
                <w:color w:val="000000"/>
              </w:rPr>
            </w:pPr>
            <w:r>
              <w:rPr>
                <w:b/>
                <w:noProof/>
                <w:color w:val="000000"/>
              </w:rPr>
              <w:t>Responsabilidad juvenil</w:t>
            </w:r>
          </w:p>
        </w:tc>
      </w:tr>
      <w:tr w:rsidR="00000000">
        <w:tblPrEx>
          <w:tblCellMar>
            <w:top w:w="0" w:type="dxa"/>
            <w:bottom w:w="0" w:type="dxa"/>
          </w:tblCellMar>
        </w:tblPrEx>
        <w:tc>
          <w:tcPr>
            <w:tcW w:w="1800" w:type="dxa"/>
          </w:tcPr>
          <w:p w:rsidR="00000000" w:rsidRDefault="00000000">
            <w:pPr>
              <w:jc w:val="center"/>
              <w:rPr>
                <w:bCs/>
                <w:noProof/>
                <w:color w:val="000000"/>
              </w:rPr>
            </w:pPr>
            <w:r>
              <w:rPr>
                <w:bCs/>
                <w:noProof/>
                <w:color w:val="000000"/>
              </w:rPr>
              <w:t>2000</w:t>
            </w:r>
          </w:p>
        </w:tc>
        <w:tc>
          <w:tcPr>
            <w:tcW w:w="2040" w:type="dxa"/>
          </w:tcPr>
          <w:p w:rsidR="00000000" w:rsidRDefault="00000000">
            <w:pPr>
              <w:jc w:val="center"/>
              <w:rPr>
                <w:bCs/>
                <w:noProof/>
                <w:color w:val="000000"/>
              </w:rPr>
            </w:pPr>
            <w:r>
              <w:rPr>
                <w:bCs/>
                <w:noProof/>
                <w:color w:val="000000"/>
              </w:rPr>
              <w:t>59.549</w:t>
            </w:r>
          </w:p>
        </w:tc>
        <w:tc>
          <w:tcPr>
            <w:tcW w:w="1983" w:type="dxa"/>
          </w:tcPr>
          <w:p w:rsidR="00000000" w:rsidRDefault="00000000">
            <w:pPr>
              <w:jc w:val="center"/>
              <w:rPr>
                <w:bCs/>
                <w:noProof/>
                <w:color w:val="000000"/>
              </w:rPr>
            </w:pPr>
            <w:r>
              <w:rPr>
                <w:bCs/>
                <w:noProof/>
                <w:color w:val="000000"/>
              </w:rPr>
              <w:t>52.566</w:t>
            </w:r>
          </w:p>
        </w:tc>
        <w:tc>
          <w:tcPr>
            <w:tcW w:w="2340" w:type="dxa"/>
          </w:tcPr>
          <w:p w:rsidR="00000000" w:rsidRDefault="00000000">
            <w:pPr>
              <w:jc w:val="center"/>
              <w:rPr>
                <w:bCs/>
                <w:noProof/>
                <w:color w:val="000000"/>
              </w:rPr>
            </w:pPr>
            <w:r>
              <w:rPr>
                <w:bCs/>
                <w:noProof/>
                <w:color w:val="000000"/>
              </w:rPr>
              <w:t>6.953</w:t>
            </w:r>
          </w:p>
        </w:tc>
      </w:tr>
      <w:tr w:rsidR="00000000">
        <w:tblPrEx>
          <w:tblCellMar>
            <w:top w:w="0" w:type="dxa"/>
            <w:bottom w:w="0" w:type="dxa"/>
          </w:tblCellMar>
        </w:tblPrEx>
        <w:tc>
          <w:tcPr>
            <w:tcW w:w="1800" w:type="dxa"/>
          </w:tcPr>
          <w:p w:rsidR="00000000" w:rsidRDefault="00000000">
            <w:pPr>
              <w:jc w:val="center"/>
              <w:rPr>
                <w:bCs/>
                <w:noProof/>
                <w:color w:val="000000"/>
              </w:rPr>
            </w:pPr>
            <w:r>
              <w:rPr>
                <w:bCs/>
                <w:noProof/>
                <w:color w:val="000000"/>
              </w:rPr>
              <w:t>2001</w:t>
            </w:r>
          </w:p>
        </w:tc>
        <w:tc>
          <w:tcPr>
            <w:tcW w:w="2040" w:type="dxa"/>
          </w:tcPr>
          <w:p w:rsidR="00000000" w:rsidRDefault="00000000">
            <w:pPr>
              <w:jc w:val="center"/>
              <w:rPr>
                <w:bCs/>
                <w:noProof/>
                <w:color w:val="000000"/>
              </w:rPr>
            </w:pPr>
            <w:r>
              <w:rPr>
                <w:bCs/>
                <w:noProof/>
                <w:color w:val="000000"/>
              </w:rPr>
              <w:t>56.893</w:t>
            </w:r>
          </w:p>
        </w:tc>
        <w:tc>
          <w:tcPr>
            <w:tcW w:w="1983" w:type="dxa"/>
          </w:tcPr>
          <w:p w:rsidR="00000000" w:rsidRDefault="00000000">
            <w:pPr>
              <w:jc w:val="center"/>
              <w:rPr>
                <w:bCs/>
                <w:noProof/>
                <w:color w:val="000000"/>
              </w:rPr>
            </w:pPr>
            <w:r>
              <w:rPr>
                <w:bCs/>
                <w:noProof/>
                <w:color w:val="000000"/>
              </w:rPr>
              <w:t>50.214</w:t>
            </w:r>
          </w:p>
        </w:tc>
        <w:tc>
          <w:tcPr>
            <w:tcW w:w="2340" w:type="dxa"/>
          </w:tcPr>
          <w:p w:rsidR="00000000" w:rsidRDefault="00000000">
            <w:pPr>
              <w:jc w:val="center"/>
              <w:rPr>
                <w:bCs/>
                <w:noProof/>
                <w:color w:val="000000"/>
              </w:rPr>
            </w:pPr>
            <w:r>
              <w:rPr>
                <w:bCs/>
                <w:noProof/>
                <w:color w:val="000000"/>
              </w:rPr>
              <w:t>6.679</w:t>
            </w:r>
          </w:p>
        </w:tc>
      </w:tr>
      <w:tr w:rsidR="00000000">
        <w:tblPrEx>
          <w:tblCellMar>
            <w:top w:w="0" w:type="dxa"/>
            <w:bottom w:w="0" w:type="dxa"/>
          </w:tblCellMar>
        </w:tblPrEx>
        <w:tc>
          <w:tcPr>
            <w:tcW w:w="1800" w:type="dxa"/>
          </w:tcPr>
          <w:p w:rsidR="00000000" w:rsidRDefault="00000000">
            <w:pPr>
              <w:jc w:val="center"/>
              <w:rPr>
                <w:bCs/>
                <w:noProof/>
                <w:color w:val="000000"/>
              </w:rPr>
            </w:pPr>
            <w:r>
              <w:rPr>
                <w:bCs/>
                <w:noProof/>
                <w:color w:val="000000"/>
              </w:rPr>
              <w:t>2002</w:t>
            </w:r>
          </w:p>
        </w:tc>
        <w:tc>
          <w:tcPr>
            <w:tcW w:w="2040" w:type="dxa"/>
          </w:tcPr>
          <w:p w:rsidR="00000000" w:rsidRDefault="00000000">
            <w:pPr>
              <w:jc w:val="center"/>
              <w:rPr>
                <w:bCs/>
                <w:noProof/>
                <w:color w:val="000000"/>
              </w:rPr>
            </w:pPr>
            <w:r>
              <w:rPr>
                <w:bCs/>
                <w:noProof/>
                <w:color w:val="000000"/>
              </w:rPr>
              <w:t>60.171</w:t>
            </w:r>
          </w:p>
        </w:tc>
        <w:tc>
          <w:tcPr>
            <w:tcW w:w="1983" w:type="dxa"/>
          </w:tcPr>
          <w:p w:rsidR="00000000" w:rsidRDefault="00000000">
            <w:pPr>
              <w:jc w:val="center"/>
              <w:rPr>
                <w:bCs/>
                <w:noProof/>
                <w:color w:val="000000"/>
              </w:rPr>
            </w:pPr>
            <w:r>
              <w:rPr>
                <w:bCs/>
                <w:noProof/>
                <w:color w:val="000000"/>
              </w:rPr>
              <w:t>54.709</w:t>
            </w:r>
          </w:p>
        </w:tc>
        <w:tc>
          <w:tcPr>
            <w:tcW w:w="2340" w:type="dxa"/>
          </w:tcPr>
          <w:p w:rsidR="00000000" w:rsidRDefault="00000000">
            <w:pPr>
              <w:jc w:val="center"/>
              <w:rPr>
                <w:bCs/>
                <w:noProof/>
                <w:color w:val="000000"/>
              </w:rPr>
            </w:pPr>
            <w:r>
              <w:rPr>
                <w:bCs/>
                <w:noProof/>
                <w:color w:val="000000"/>
              </w:rPr>
              <w:t>5.462</w:t>
            </w:r>
          </w:p>
        </w:tc>
      </w:tr>
      <w:tr w:rsidR="00000000">
        <w:tblPrEx>
          <w:tblCellMar>
            <w:top w:w="0" w:type="dxa"/>
            <w:bottom w:w="0" w:type="dxa"/>
          </w:tblCellMar>
        </w:tblPrEx>
        <w:tc>
          <w:tcPr>
            <w:tcW w:w="1800" w:type="dxa"/>
          </w:tcPr>
          <w:p w:rsidR="00000000" w:rsidRDefault="00000000">
            <w:pPr>
              <w:jc w:val="center"/>
              <w:rPr>
                <w:bCs/>
                <w:noProof/>
                <w:color w:val="000000"/>
              </w:rPr>
            </w:pPr>
            <w:r>
              <w:rPr>
                <w:bCs/>
                <w:noProof/>
                <w:color w:val="000000"/>
              </w:rPr>
              <w:t>2003</w:t>
            </w:r>
          </w:p>
        </w:tc>
        <w:tc>
          <w:tcPr>
            <w:tcW w:w="2040" w:type="dxa"/>
          </w:tcPr>
          <w:p w:rsidR="00000000" w:rsidRDefault="00000000">
            <w:pPr>
              <w:jc w:val="center"/>
              <w:rPr>
                <w:bCs/>
                <w:noProof/>
                <w:color w:val="000000"/>
              </w:rPr>
            </w:pPr>
            <w:r>
              <w:rPr>
                <w:bCs/>
                <w:noProof/>
                <w:color w:val="000000"/>
              </w:rPr>
              <w:t>65.559</w:t>
            </w:r>
          </w:p>
        </w:tc>
        <w:tc>
          <w:tcPr>
            <w:tcW w:w="1983" w:type="dxa"/>
          </w:tcPr>
          <w:p w:rsidR="00000000" w:rsidRDefault="00000000">
            <w:pPr>
              <w:jc w:val="center"/>
              <w:rPr>
                <w:bCs/>
                <w:noProof/>
                <w:color w:val="000000"/>
              </w:rPr>
            </w:pPr>
            <w:r>
              <w:rPr>
                <w:bCs/>
                <w:noProof/>
                <w:color w:val="000000"/>
              </w:rPr>
              <w:t>60.331</w:t>
            </w:r>
          </w:p>
        </w:tc>
        <w:tc>
          <w:tcPr>
            <w:tcW w:w="2340" w:type="dxa"/>
          </w:tcPr>
          <w:p w:rsidR="00000000" w:rsidRDefault="00000000">
            <w:pPr>
              <w:jc w:val="center"/>
              <w:rPr>
                <w:bCs/>
                <w:noProof/>
                <w:color w:val="000000"/>
              </w:rPr>
            </w:pPr>
            <w:r>
              <w:rPr>
                <w:bCs/>
                <w:noProof/>
                <w:color w:val="000000"/>
              </w:rPr>
              <w:t>5.228</w:t>
            </w:r>
          </w:p>
        </w:tc>
      </w:tr>
    </w:tbl>
    <w:p w:rsidR="00000000" w:rsidRDefault="00000000">
      <w:pPr>
        <w:spacing w:before="240" w:after="360"/>
        <w:ind w:left="454"/>
        <w:rPr>
          <w:bCs/>
          <w:noProof/>
          <w:color w:val="000000"/>
        </w:rPr>
      </w:pPr>
      <w:r>
        <w:rPr>
          <w:bCs/>
          <w:i/>
          <w:iCs/>
          <w:noProof/>
          <w:color w:val="000000"/>
        </w:rPr>
        <w:t>Fuente</w:t>
      </w:r>
      <w:r>
        <w:rPr>
          <w:bCs/>
          <w:noProof/>
          <w:color w:val="000000"/>
        </w:rPr>
        <w:t>:  Base de datos SENAME, 2004.</w:t>
      </w:r>
    </w:p>
    <w:p w:rsidR="00000000" w:rsidRDefault="00000000">
      <w:pPr>
        <w:spacing w:after="120"/>
        <w:jc w:val="center"/>
        <w:rPr>
          <w:b/>
          <w:noProof/>
          <w:color w:val="000000"/>
        </w:rPr>
      </w:pPr>
      <w:r>
        <w:rPr>
          <w:b/>
          <w:noProof/>
          <w:color w:val="000000"/>
        </w:rPr>
        <w:t>Cuadro 6</w:t>
      </w:r>
    </w:p>
    <w:bookmarkStart w:id="0" w:name="_MON_1149089143"/>
    <w:bookmarkStart w:id="1" w:name="_MON_1149314778"/>
    <w:bookmarkStart w:id="2" w:name="_MON_1149315313"/>
    <w:bookmarkStart w:id="3" w:name="_MON_1149315328"/>
    <w:bookmarkStart w:id="4" w:name="_MON_1149315353"/>
    <w:bookmarkStart w:id="5" w:name="_MON_1149320656"/>
    <w:bookmarkStart w:id="6" w:name="_MON_1149320729"/>
    <w:bookmarkStart w:id="7" w:name="_MON_1149320766"/>
    <w:bookmarkStart w:id="8" w:name="_MON_1149320849"/>
    <w:bookmarkStart w:id="9" w:name="_MON_1149320963"/>
    <w:bookmarkStart w:id="10" w:name="_MON_1149321098"/>
    <w:bookmarkStart w:id="11" w:name="_MON_1182326655"/>
    <w:bookmarkStart w:id="12" w:name="_MON_1182326791"/>
    <w:bookmarkStart w:id="13" w:name="_MON_1182326840"/>
    <w:bookmarkStart w:id="14" w:name="_MON_1198933718"/>
    <w:bookmarkEnd w:id="0"/>
    <w:bookmarkEnd w:id="1"/>
    <w:bookmarkEnd w:id="2"/>
    <w:bookmarkEnd w:id="3"/>
    <w:bookmarkEnd w:id="4"/>
    <w:bookmarkEnd w:id="5"/>
    <w:bookmarkEnd w:id="6"/>
    <w:bookmarkEnd w:id="7"/>
    <w:bookmarkEnd w:id="8"/>
    <w:bookmarkEnd w:id="9"/>
    <w:bookmarkEnd w:id="10"/>
    <w:bookmarkEnd w:id="11"/>
    <w:bookmarkEnd w:id="12"/>
    <w:bookmarkEnd w:id="13"/>
    <w:bookmarkEnd w:id="14"/>
    <w:p w:rsidR="00000000" w:rsidRDefault="00000000">
      <w:pPr>
        <w:spacing w:after="240"/>
        <w:jc w:val="center"/>
        <w:rPr>
          <w:bCs/>
        </w:rPr>
      </w:pPr>
      <w:r>
        <w:rPr>
          <w:bCs/>
        </w:rPr>
        <w:object w:dxaOrig="6701" w:dyaOrig="5280">
          <v:shape id="_x0000_i1025" type="#_x0000_t75" style="width:335.25pt;height:264pt" o:ole="" fillcolor="window">
            <v:imagedata r:id="rId11" o:title=""/>
          </v:shape>
          <o:OLEObject Type="Embed" ProgID="Excel.Chart.8" ShapeID="_x0000_i1025" DrawAspect="Content" ObjectID="_1394720791" r:id="rId12">
            <o:FieldCodes>\s</o:FieldCodes>
          </o:OLEObject>
        </w:object>
      </w:r>
    </w:p>
    <w:p w:rsidR="00000000" w:rsidRDefault="00000000">
      <w:pPr>
        <w:spacing w:after="240"/>
        <w:ind w:left="1418"/>
        <w:rPr>
          <w:bCs/>
          <w:noProof/>
          <w:color w:val="000000"/>
        </w:rPr>
      </w:pPr>
      <w:r>
        <w:rPr>
          <w:bCs/>
          <w:i/>
          <w:iCs/>
          <w:noProof/>
          <w:color w:val="000000"/>
        </w:rPr>
        <w:t>Fuente</w:t>
      </w:r>
      <w:r>
        <w:rPr>
          <w:bCs/>
          <w:noProof/>
          <w:color w:val="000000"/>
        </w:rPr>
        <w:t>:  Base de datos SENAME, 2004.</w:t>
      </w:r>
    </w:p>
    <w:p w:rsidR="00000000" w:rsidRDefault="00000000">
      <w:pPr>
        <w:spacing w:after="240"/>
        <w:jc w:val="center"/>
        <w:outlineLvl w:val="0"/>
        <w:rPr>
          <w:b/>
          <w:noProof/>
          <w:color w:val="000000"/>
        </w:rPr>
      </w:pPr>
      <w:r>
        <w:rPr>
          <w:b/>
          <w:noProof/>
          <w:color w:val="000000"/>
        </w:rPr>
        <w:t>Cuadro 7</w:t>
      </w:r>
    </w:p>
    <w:p w:rsidR="00000000" w:rsidRDefault="00000000">
      <w:pPr>
        <w:spacing w:after="240"/>
        <w:jc w:val="center"/>
        <w:rPr>
          <w:bCs/>
          <w:noProof/>
          <w:color w:val="000000"/>
        </w:rPr>
      </w:pPr>
      <w:r>
        <w:rPr>
          <w:b/>
          <w:noProof/>
          <w:color w:val="000000"/>
        </w:rPr>
        <w:t>Evolución de las adopciones nacionales e internacionales, 1995–2004</w:t>
      </w:r>
    </w:p>
    <w:tbl>
      <w:tblPr>
        <w:tblW w:w="0" w:type="auto"/>
        <w:jc w:val="center"/>
        <w:tblInd w:w="-3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558"/>
        <w:gridCol w:w="2160"/>
        <w:gridCol w:w="2553"/>
      </w:tblGrid>
      <w:tr w:rsidR="00000000">
        <w:tblPrEx>
          <w:tblCellMar>
            <w:top w:w="0" w:type="dxa"/>
            <w:bottom w:w="0" w:type="dxa"/>
          </w:tblCellMar>
        </w:tblPrEx>
        <w:trPr>
          <w:trHeight w:val="284"/>
          <w:jc w:val="center"/>
        </w:trPr>
        <w:tc>
          <w:tcPr>
            <w:tcW w:w="2558" w:type="dxa"/>
            <w:vAlign w:val="center"/>
          </w:tcPr>
          <w:p w:rsidR="00000000" w:rsidRDefault="00000000">
            <w:pPr>
              <w:jc w:val="center"/>
              <w:rPr>
                <w:b/>
                <w:noProof/>
                <w:color w:val="000000"/>
              </w:rPr>
            </w:pPr>
            <w:r>
              <w:rPr>
                <w:b/>
                <w:noProof/>
                <w:color w:val="000000"/>
              </w:rPr>
              <w:t>Año</w:t>
            </w:r>
          </w:p>
        </w:tc>
        <w:tc>
          <w:tcPr>
            <w:tcW w:w="2160" w:type="dxa"/>
            <w:vAlign w:val="center"/>
          </w:tcPr>
          <w:p w:rsidR="00000000" w:rsidRDefault="00000000">
            <w:pPr>
              <w:jc w:val="center"/>
              <w:rPr>
                <w:b/>
                <w:noProof/>
                <w:color w:val="000000"/>
              </w:rPr>
            </w:pPr>
            <w:r>
              <w:rPr>
                <w:b/>
                <w:noProof/>
                <w:color w:val="000000"/>
              </w:rPr>
              <w:t>Adopción nacional</w:t>
            </w:r>
          </w:p>
        </w:tc>
        <w:tc>
          <w:tcPr>
            <w:tcW w:w="2553" w:type="dxa"/>
            <w:vAlign w:val="center"/>
          </w:tcPr>
          <w:p w:rsidR="00000000" w:rsidRDefault="00000000">
            <w:pPr>
              <w:jc w:val="center"/>
              <w:rPr>
                <w:b/>
                <w:noProof/>
                <w:color w:val="000000"/>
              </w:rPr>
            </w:pPr>
            <w:r>
              <w:rPr>
                <w:b/>
                <w:noProof/>
                <w:color w:val="000000"/>
              </w:rPr>
              <w:t>Adopción internacional</w:t>
            </w:r>
          </w:p>
        </w:tc>
      </w:tr>
      <w:tr w:rsidR="00000000">
        <w:tblPrEx>
          <w:tblCellMar>
            <w:top w:w="0" w:type="dxa"/>
            <w:bottom w:w="0" w:type="dxa"/>
          </w:tblCellMar>
        </w:tblPrEx>
        <w:trPr>
          <w:trHeight w:val="284"/>
          <w:jc w:val="center"/>
        </w:trPr>
        <w:tc>
          <w:tcPr>
            <w:tcW w:w="2558" w:type="dxa"/>
          </w:tcPr>
          <w:p w:rsidR="00000000" w:rsidRDefault="00000000">
            <w:pPr>
              <w:rPr>
                <w:bCs/>
                <w:noProof/>
                <w:color w:val="000000"/>
              </w:rPr>
            </w:pPr>
            <w:r>
              <w:rPr>
                <w:bCs/>
                <w:noProof/>
                <w:color w:val="000000"/>
              </w:rPr>
              <w:t>1995</w:t>
            </w:r>
          </w:p>
        </w:tc>
        <w:tc>
          <w:tcPr>
            <w:tcW w:w="2160" w:type="dxa"/>
          </w:tcPr>
          <w:p w:rsidR="00000000" w:rsidRDefault="00000000">
            <w:pPr>
              <w:tabs>
                <w:tab w:val="decimal" w:pos="1202"/>
              </w:tabs>
              <w:rPr>
                <w:bCs/>
                <w:noProof/>
                <w:color w:val="000000"/>
              </w:rPr>
            </w:pPr>
            <w:r>
              <w:rPr>
                <w:bCs/>
                <w:noProof/>
                <w:color w:val="000000"/>
              </w:rPr>
              <w:t>153</w:t>
            </w:r>
          </w:p>
        </w:tc>
        <w:tc>
          <w:tcPr>
            <w:tcW w:w="2553" w:type="dxa"/>
          </w:tcPr>
          <w:p w:rsidR="00000000" w:rsidRDefault="00000000">
            <w:pPr>
              <w:tabs>
                <w:tab w:val="decimal" w:pos="1384"/>
              </w:tabs>
              <w:rPr>
                <w:bCs/>
                <w:noProof/>
                <w:color w:val="000000"/>
              </w:rPr>
            </w:pPr>
            <w:r>
              <w:rPr>
                <w:bCs/>
                <w:noProof/>
                <w:color w:val="000000"/>
              </w:rPr>
              <w:t>238</w:t>
            </w:r>
          </w:p>
        </w:tc>
      </w:tr>
      <w:tr w:rsidR="00000000">
        <w:tblPrEx>
          <w:tblCellMar>
            <w:top w:w="0" w:type="dxa"/>
            <w:bottom w:w="0" w:type="dxa"/>
          </w:tblCellMar>
        </w:tblPrEx>
        <w:trPr>
          <w:trHeight w:val="284"/>
          <w:jc w:val="center"/>
        </w:trPr>
        <w:tc>
          <w:tcPr>
            <w:tcW w:w="2558" w:type="dxa"/>
          </w:tcPr>
          <w:p w:rsidR="00000000" w:rsidRDefault="00000000">
            <w:pPr>
              <w:rPr>
                <w:bCs/>
                <w:noProof/>
                <w:color w:val="000000"/>
              </w:rPr>
            </w:pPr>
            <w:r>
              <w:rPr>
                <w:bCs/>
                <w:noProof/>
                <w:color w:val="000000"/>
              </w:rPr>
              <w:t>1996</w:t>
            </w:r>
          </w:p>
        </w:tc>
        <w:tc>
          <w:tcPr>
            <w:tcW w:w="2160" w:type="dxa"/>
          </w:tcPr>
          <w:p w:rsidR="00000000" w:rsidRDefault="00000000">
            <w:pPr>
              <w:tabs>
                <w:tab w:val="decimal" w:pos="1202"/>
              </w:tabs>
              <w:rPr>
                <w:bCs/>
                <w:noProof/>
                <w:color w:val="000000"/>
              </w:rPr>
            </w:pPr>
            <w:r>
              <w:rPr>
                <w:bCs/>
                <w:noProof/>
                <w:color w:val="000000"/>
              </w:rPr>
              <w:t>110</w:t>
            </w:r>
          </w:p>
        </w:tc>
        <w:tc>
          <w:tcPr>
            <w:tcW w:w="2553" w:type="dxa"/>
          </w:tcPr>
          <w:p w:rsidR="00000000" w:rsidRDefault="00000000">
            <w:pPr>
              <w:tabs>
                <w:tab w:val="decimal" w:pos="1384"/>
              </w:tabs>
              <w:rPr>
                <w:bCs/>
                <w:noProof/>
                <w:color w:val="000000"/>
              </w:rPr>
            </w:pPr>
            <w:r>
              <w:rPr>
                <w:bCs/>
                <w:noProof/>
                <w:color w:val="000000"/>
              </w:rPr>
              <w:t>195</w:t>
            </w:r>
          </w:p>
        </w:tc>
      </w:tr>
      <w:tr w:rsidR="00000000">
        <w:tblPrEx>
          <w:tblCellMar>
            <w:top w:w="0" w:type="dxa"/>
            <w:bottom w:w="0" w:type="dxa"/>
          </w:tblCellMar>
        </w:tblPrEx>
        <w:trPr>
          <w:trHeight w:val="284"/>
          <w:jc w:val="center"/>
        </w:trPr>
        <w:tc>
          <w:tcPr>
            <w:tcW w:w="2558" w:type="dxa"/>
          </w:tcPr>
          <w:p w:rsidR="00000000" w:rsidRDefault="00000000">
            <w:pPr>
              <w:rPr>
                <w:bCs/>
                <w:noProof/>
                <w:color w:val="000000"/>
              </w:rPr>
            </w:pPr>
            <w:r>
              <w:rPr>
                <w:bCs/>
                <w:noProof/>
                <w:color w:val="000000"/>
              </w:rPr>
              <w:t>1997</w:t>
            </w:r>
          </w:p>
        </w:tc>
        <w:tc>
          <w:tcPr>
            <w:tcW w:w="2160" w:type="dxa"/>
          </w:tcPr>
          <w:p w:rsidR="00000000" w:rsidRDefault="00000000">
            <w:pPr>
              <w:tabs>
                <w:tab w:val="decimal" w:pos="1202"/>
              </w:tabs>
              <w:rPr>
                <w:bCs/>
                <w:noProof/>
                <w:color w:val="000000"/>
              </w:rPr>
            </w:pPr>
            <w:r>
              <w:rPr>
                <w:bCs/>
                <w:noProof/>
                <w:color w:val="000000"/>
              </w:rPr>
              <w:t>124</w:t>
            </w:r>
          </w:p>
        </w:tc>
        <w:tc>
          <w:tcPr>
            <w:tcW w:w="2553" w:type="dxa"/>
          </w:tcPr>
          <w:p w:rsidR="00000000" w:rsidRDefault="00000000">
            <w:pPr>
              <w:tabs>
                <w:tab w:val="decimal" w:pos="1384"/>
              </w:tabs>
              <w:rPr>
                <w:bCs/>
                <w:noProof/>
                <w:color w:val="000000"/>
              </w:rPr>
            </w:pPr>
            <w:r>
              <w:rPr>
                <w:bCs/>
                <w:noProof/>
                <w:color w:val="000000"/>
              </w:rPr>
              <w:t>127</w:t>
            </w:r>
          </w:p>
        </w:tc>
      </w:tr>
      <w:tr w:rsidR="00000000">
        <w:tblPrEx>
          <w:tblCellMar>
            <w:top w:w="0" w:type="dxa"/>
            <w:bottom w:w="0" w:type="dxa"/>
          </w:tblCellMar>
        </w:tblPrEx>
        <w:trPr>
          <w:trHeight w:val="284"/>
          <w:jc w:val="center"/>
        </w:trPr>
        <w:tc>
          <w:tcPr>
            <w:tcW w:w="2558" w:type="dxa"/>
          </w:tcPr>
          <w:p w:rsidR="00000000" w:rsidRDefault="00000000">
            <w:pPr>
              <w:rPr>
                <w:bCs/>
                <w:noProof/>
                <w:color w:val="000000"/>
              </w:rPr>
            </w:pPr>
            <w:r>
              <w:rPr>
                <w:bCs/>
                <w:noProof/>
                <w:color w:val="000000"/>
              </w:rPr>
              <w:t>1998</w:t>
            </w:r>
          </w:p>
        </w:tc>
        <w:tc>
          <w:tcPr>
            <w:tcW w:w="2160" w:type="dxa"/>
          </w:tcPr>
          <w:p w:rsidR="00000000" w:rsidRDefault="00000000">
            <w:pPr>
              <w:tabs>
                <w:tab w:val="decimal" w:pos="1202"/>
              </w:tabs>
              <w:rPr>
                <w:bCs/>
                <w:noProof/>
                <w:color w:val="000000"/>
              </w:rPr>
            </w:pPr>
            <w:r>
              <w:rPr>
                <w:bCs/>
                <w:noProof/>
                <w:color w:val="000000"/>
              </w:rPr>
              <w:t>202</w:t>
            </w:r>
          </w:p>
        </w:tc>
        <w:tc>
          <w:tcPr>
            <w:tcW w:w="2553" w:type="dxa"/>
          </w:tcPr>
          <w:p w:rsidR="00000000" w:rsidRDefault="00000000">
            <w:pPr>
              <w:tabs>
                <w:tab w:val="decimal" w:pos="1384"/>
              </w:tabs>
              <w:rPr>
                <w:bCs/>
                <w:noProof/>
                <w:color w:val="000000"/>
              </w:rPr>
            </w:pPr>
            <w:r>
              <w:rPr>
                <w:bCs/>
                <w:noProof/>
                <w:color w:val="000000"/>
              </w:rPr>
              <w:t>142</w:t>
            </w:r>
          </w:p>
        </w:tc>
      </w:tr>
      <w:tr w:rsidR="00000000">
        <w:tblPrEx>
          <w:tblCellMar>
            <w:top w:w="0" w:type="dxa"/>
            <w:bottom w:w="0" w:type="dxa"/>
          </w:tblCellMar>
        </w:tblPrEx>
        <w:trPr>
          <w:trHeight w:val="284"/>
          <w:jc w:val="center"/>
        </w:trPr>
        <w:tc>
          <w:tcPr>
            <w:tcW w:w="2558" w:type="dxa"/>
          </w:tcPr>
          <w:p w:rsidR="00000000" w:rsidRDefault="00000000">
            <w:pPr>
              <w:rPr>
                <w:bCs/>
                <w:noProof/>
                <w:color w:val="000000"/>
              </w:rPr>
            </w:pPr>
            <w:r>
              <w:rPr>
                <w:bCs/>
                <w:noProof/>
                <w:color w:val="000000"/>
              </w:rPr>
              <w:t>1999</w:t>
            </w:r>
          </w:p>
        </w:tc>
        <w:tc>
          <w:tcPr>
            <w:tcW w:w="2160" w:type="dxa"/>
          </w:tcPr>
          <w:p w:rsidR="00000000" w:rsidRDefault="00000000">
            <w:pPr>
              <w:tabs>
                <w:tab w:val="decimal" w:pos="1202"/>
              </w:tabs>
              <w:rPr>
                <w:bCs/>
                <w:noProof/>
                <w:color w:val="000000"/>
              </w:rPr>
            </w:pPr>
            <w:r>
              <w:rPr>
                <w:bCs/>
                <w:noProof/>
                <w:color w:val="000000"/>
              </w:rPr>
              <w:t>245</w:t>
            </w:r>
          </w:p>
        </w:tc>
        <w:tc>
          <w:tcPr>
            <w:tcW w:w="2553" w:type="dxa"/>
          </w:tcPr>
          <w:p w:rsidR="00000000" w:rsidRDefault="00000000">
            <w:pPr>
              <w:tabs>
                <w:tab w:val="decimal" w:pos="1384"/>
              </w:tabs>
              <w:rPr>
                <w:bCs/>
                <w:noProof/>
                <w:color w:val="000000"/>
              </w:rPr>
            </w:pPr>
            <w:r>
              <w:rPr>
                <w:bCs/>
                <w:noProof/>
                <w:color w:val="000000"/>
              </w:rPr>
              <w:t>123</w:t>
            </w:r>
          </w:p>
        </w:tc>
      </w:tr>
      <w:tr w:rsidR="00000000">
        <w:tblPrEx>
          <w:tblCellMar>
            <w:top w:w="0" w:type="dxa"/>
            <w:bottom w:w="0" w:type="dxa"/>
          </w:tblCellMar>
        </w:tblPrEx>
        <w:trPr>
          <w:trHeight w:val="284"/>
          <w:jc w:val="center"/>
        </w:trPr>
        <w:tc>
          <w:tcPr>
            <w:tcW w:w="2558" w:type="dxa"/>
          </w:tcPr>
          <w:p w:rsidR="00000000" w:rsidRDefault="00000000">
            <w:pPr>
              <w:rPr>
                <w:bCs/>
                <w:noProof/>
                <w:color w:val="000000"/>
              </w:rPr>
            </w:pPr>
            <w:r>
              <w:rPr>
                <w:bCs/>
                <w:noProof/>
                <w:color w:val="000000"/>
              </w:rPr>
              <w:t>2000</w:t>
            </w:r>
          </w:p>
        </w:tc>
        <w:tc>
          <w:tcPr>
            <w:tcW w:w="2160" w:type="dxa"/>
          </w:tcPr>
          <w:p w:rsidR="00000000" w:rsidRDefault="00000000">
            <w:pPr>
              <w:tabs>
                <w:tab w:val="decimal" w:pos="1202"/>
              </w:tabs>
              <w:rPr>
                <w:bCs/>
                <w:noProof/>
                <w:color w:val="000000"/>
              </w:rPr>
            </w:pPr>
            <w:r>
              <w:rPr>
                <w:bCs/>
                <w:noProof/>
                <w:color w:val="000000"/>
              </w:rPr>
              <w:t>357</w:t>
            </w:r>
          </w:p>
        </w:tc>
        <w:tc>
          <w:tcPr>
            <w:tcW w:w="2553" w:type="dxa"/>
          </w:tcPr>
          <w:p w:rsidR="00000000" w:rsidRDefault="00000000">
            <w:pPr>
              <w:tabs>
                <w:tab w:val="decimal" w:pos="1384"/>
              </w:tabs>
              <w:rPr>
                <w:bCs/>
                <w:noProof/>
                <w:color w:val="000000"/>
              </w:rPr>
            </w:pPr>
            <w:r>
              <w:rPr>
                <w:bCs/>
                <w:noProof/>
                <w:color w:val="000000"/>
              </w:rPr>
              <w:t>59</w:t>
            </w:r>
          </w:p>
        </w:tc>
      </w:tr>
      <w:tr w:rsidR="00000000">
        <w:tblPrEx>
          <w:tblCellMar>
            <w:top w:w="0" w:type="dxa"/>
            <w:bottom w:w="0" w:type="dxa"/>
          </w:tblCellMar>
        </w:tblPrEx>
        <w:trPr>
          <w:trHeight w:val="284"/>
          <w:jc w:val="center"/>
        </w:trPr>
        <w:tc>
          <w:tcPr>
            <w:tcW w:w="2558" w:type="dxa"/>
          </w:tcPr>
          <w:p w:rsidR="00000000" w:rsidRDefault="00000000">
            <w:pPr>
              <w:rPr>
                <w:bCs/>
                <w:noProof/>
                <w:color w:val="000000"/>
              </w:rPr>
            </w:pPr>
            <w:r>
              <w:rPr>
                <w:bCs/>
                <w:noProof/>
                <w:color w:val="000000"/>
              </w:rPr>
              <w:t>2001</w:t>
            </w:r>
          </w:p>
        </w:tc>
        <w:tc>
          <w:tcPr>
            <w:tcW w:w="2160" w:type="dxa"/>
          </w:tcPr>
          <w:p w:rsidR="00000000" w:rsidRDefault="00000000">
            <w:pPr>
              <w:tabs>
                <w:tab w:val="decimal" w:pos="1202"/>
              </w:tabs>
              <w:rPr>
                <w:bCs/>
                <w:noProof/>
                <w:color w:val="000000"/>
              </w:rPr>
            </w:pPr>
            <w:r>
              <w:rPr>
                <w:bCs/>
                <w:noProof/>
                <w:color w:val="000000"/>
              </w:rPr>
              <w:t>474</w:t>
            </w:r>
          </w:p>
        </w:tc>
        <w:tc>
          <w:tcPr>
            <w:tcW w:w="2553" w:type="dxa"/>
          </w:tcPr>
          <w:p w:rsidR="00000000" w:rsidRDefault="00000000">
            <w:pPr>
              <w:tabs>
                <w:tab w:val="decimal" w:pos="1384"/>
              </w:tabs>
              <w:rPr>
                <w:bCs/>
                <w:noProof/>
                <w:color w:val="000000"/>
              </w:rPr>
            </w:pPr>
            <w:r>
              <w:rPr>
                <w:bCs/>
                <w:noProof/>
                <w:color w:val="000000"/>
              </w:rPr>
              <w:t>87</w:t>
            </w:r>
          </w:p>
        </w:tc>
      </w:tr>
      <w:tr w:rsidR="00000000">
        <w:tblPrEx>
          <w:tblCellMar>
            <w:top w:w="0" w:type="dxa"/>
            <w:bottom w:w="0" w:type="dxa"/>
          </w:tblCellMar>
        </w:tblPrEx>
        <w:trPr>
          <w:trHeight w:val="284"/>
          <w:jc w:val="center"/>
        </w:trPr>
        <w:tc>
          <w:tcPr>
            <w:tcW w:w="2558" w:type="dxa"/>
          </w:tcPr>
          <w:p w:rsidR="00000000" w:rsidRDefault="00000000">
            <w:pPr>
              <w:rPr>
                <w:bCs/>
                <w:noProof/>
                <w:color w:val="000000"/>
              </w:rPr>
            </w:pPr>
            <w:r>
              <w:rPr>
                <w:bCs/>
                <w:noProof/>
                <w:color w:val="000000"/>
              </w:rPr>
              <w:t>2002</w:t>
            </w:r>
          </w:p>
        </w:tc>
        <w:tc>
          <w:tcPr>
            <w:tcW w:w="2160" w:type="dxa"/>
          </w:tcPr>
          <w:p w:rsidR="00000000" w:rsidRDefault="00000000">
            <w:pPr>
              <w:tabs>
                <w:tab w:val="decimal" w:pos="1202"/>
              </w:tabs>
              <w:rPr>
                <w:bCs/>
                <w:noProof/>
                <w:color w:val="000000"/>
              </w:rPr>
            </w:pPr>
            <w:r>
              <w:rPr>
                <w:bCs/>
                <w:noProof/>
                <w:color w:val="000000"/>
              </w:rPr>
              <w:t>412</w:t>
            </w:r>
          </w:p>
        </w:tc>
        <w:tc>
          <w:tcPr>
            <w:tcW w:w="2553" w:type="dxa"/>
          </w:tcPr>
          <w:p w:rsidR="00000000" w:rsidRDefault="00000000">
            <w:pPr>
              <w:tabs>
                <w:tab w:val="decimal" w:pos="1384"/>
              </w:tabs>
              <w:rPr>
                <w:bCs/>
                <w:noProof/>
                <w:color w:val="000000"/>
              </w:rPr>
            </w:pPr>
            <w:r>
              <w:rPr>
                <w:bCs/>
                <w:noProof/>
                <w:color w:val="000000"/>
              </w:rPr>
              <w:t>70</w:t>
            </w:r>
          </w:p>
        </w:tc>
      </w:tr>
      <w:tr w:rsidR="00000000">
        <w:tblPrEx>
          <w:tblCellMar>
            <w:top w:w="0" w:type="dxa"/>
            <w:bottom w:w="0" w:type="dxa"/>
          </w:tblCellMar>
        </w:tblPrEx>
        <w:trPr>
          <w:trHeight w:val="284"/>
          <w:jc w:val="center"/>
        </w:trPr>
        <w:tc>
          <w:tcPr>
            <w:tcW w:w="2558" w:type="dxa"/>
          </w:tcPr>
          <w:p w:rsidR="00000000" w:rsidRDefault="00000000">
            <w:pPr>
              <w:rPr>
                <w:bCs/>
                <w:noProof/>
                <w:color w:val="000000"/>
              </w:rPr>
            </w:pPr>
            <w:r>
              <w:rPr>
                <w:bCs/>
                <w:noProof/>
                <w:color w:val="000000"/>
              </w:rPr>
              <w:t>2003</w:t>
            </w:r>
          </w:p>
        </w:tc>
        <w:tc>
          <w:tcPr>
            <w:tcW w:w="2160" w:type="dxa"/>
          </w:tcPr>
          <w:p w:rsidR="00000000" w:rsidRDefault="00000000">
            <w:pPr>
              <w:tabs>
                <w:tab w:val="decimal" w:pos="1202"/>
              </w:tabs>
              <w:rPr>
                <w:bCs/>
                <w:noProof/>
                <w:color w:val="000000"/>
              </w:rPr>
            </w:pPr>
            <w:r>
              <w:rPr>
                <w:bCs/>
                <w:noProof/>
                <w:color w:val="000000"/>
              </w:rPr>
              <w:t>425</w:t>
            </w:r>
          </w:p>
        </w:tc>
        <w:tc>
          <w:tcPr>
            <w:tcW w:w="2553" w:type="dxa"/>
          </w:tcPr>
          <w:p w:rsidR="00000000" w:rsidRDefault="00000000">
            <w:pPr>
              <w:tabs>
                <w:tab w:val="decimal" w:pos="1384"/>
              </w:tabs>
              <w:rPr>
                <w:bCs/>
                <w:noProof/>
                <w:color w:val="000000"/>
              </w:rPr>
            </w:pPr>
            <w:r>
              <w:rPr>
                <w:bCs/>
                <w:noProof/>
                <w:color w:val="000000"/>
              </w:rPr>
              <w:t>90</w:t>
            </w:r>
          </w:p>
        </w:tc>
      </w:tr>
      <w:tr w:rsidR="00000000">
        <w:tblPrEx>
          <w:tblCellMar>
            <w:top w:w="0" w:type="dxa"/>
            <w:bottom w:w="0" w:type="dxa"/>
          </w:tblCellMar>
        </w:tblPrEx>
        <w:trPr>
          <w:trHeight w:val="284"/>
          <w:jc w:val="center"/>
        </w:trPr>
        <w:tc>
          <w:tcPr>
            <w:tcW w:w="2558" w:type="dxa"/>
          </w:tcPr>
          <w:p w:rsidR="00000000" w:rsidRDefault="00000000">
            <w:pPr>
              <w:rPr>
                <w:bCs/>
                <w:noProof/>
                <w:color w:val="000000"/>
              </w:rPr>
            </w:pPr>
            <w:r>
              <w:rPr>
                <w:bCs/>
                <w:noProof/>
                <w:color w:val="000000"/>
              </w:rPr>
              <w:t>2004 primer cuatrimestre</w:t>
            </w:r>
          </w:p>
        </w:tc>
        <w:tc>
          <w:tcPr>
            <w:tcW w:w="2160" w:type="dxa"/>
          </w:tcPr>
          <w:p w:rsidR="00000000" w:rsidRDefault="00000000">
            <w:pPr>
              <w:tabs>
                <w:tab w:val="decimal" w:pos="1202"/>
              </w:tabs>
              <w:rPr>
                <w:bCs/>
                <w:noProof/>
                <w:color w:val="000000"/>
              </w:rPr>
            </w:pPr>
            <w:r>
              <w:rPr>
                <w:bCs/>
                <w:noProof/>
                <w:color w:val="000000"/>
              </w:rPr>
              <w:t>90</w:t>
            </w:r>
          </w:p>
        </w:tc>
        <w:tc>
          <w:tcPr>
            <w:tcW w:w="2553" w:type="dxa"/>
          </w:tcPr>
          <w:p w:rsidR="00000000" w:rsidRDefault="00000000">
            <w:pPr>
              <w:tabs>
                <w:tab w:val="decimal" w:pos="1384"/>
              </w:tabs>
              <w:rPr>
                <w:bCs/>
                <w:noProof/>
                <w:color w:val="000000"/>
              </w:rPr>
            </w:pPr>
            <w:r>
              <w:rPr>
                <w:bCs/>
                <w:noProof/>
                <w:color w:val="000000"/>
              </w:rPr>
              <w:t>26</w:t>
            </w:r>
          </w:p>
        </w:tc>
      </w:tr>
    </w:tbl>
    <w:p w:rsidR="00000000" w:rsidRDefault="00000000">
      <w:pPr>
        <w:tabs>
          <w:tab w:val="center" w:pos="-2127"/>
        </w:tabs>
        <w:spacing w:before="240" w:after="480"/>
        <w:ind w:firstLine="1078"/>
        <w:rPr>
          <w:bCs/>
          <w:noProof/>
          <w:color w:val="000000"/>
        </w:rPr>
      </w:pPr>
      <w:r>
        <w:rPr>
          <w:bCs/>
          <w:i/>
          <w:iCs/>
          <w:noProof/>
          <w:color w:val="000000"/>
        </w:rPr>
        <w:t>Fuente</w:t>
      </w:r>
      <w:r>
        <w:rPr>
          <w:bCs/>
          <w:noProof/>
          <w:color w:val="000000"/>
        </w:rPr>
        <w:t>:  SENAME, 2004.</w:t>
      </w:r>
    </w:p>
    <w:p w:rsidR="00000000" w:rsidRDefault="00000000">
      <w:pPr>
        <w:spacing w:after="240"/>
        <w:jc w:val="center"/>
        <w:outlineLvl w:val="0"/>
        <w:rPr>
          <w:b/>
          <w:noProof/>
          <w:color w:val="000000"/>
        </w:rPr>
      </w:pPr>
      <w:r>
        <w:rPr>
          <w:b/>
          <w:noProof/>
          <w:color w:val="000000"/>
        </w:rPr>
        <w:t>Cuadro 8</w:t>
      </w:r>
    </w:p>
    <w:p w:rsidR="00000000" w:rsidRDefault="00000000">
      <w:pPr>
        <w:spacing w:after="240"/>
        <w:jc w:val="center"/>
        <w:outlineLvl w:val="0"/>
        <w:rPr>
          <w:bCs/>
          <w:noProof/>
          <w:color w:val="000000"/>
        </w:rPr>
      </w:pPr>
      <w:r>
        <w:rPr>
          <w:b/>
          <w:noProof/>
          <w:color w:val="000000"/>
        </w:rPr>
        <w:t>Niños y niñas enlazados con matrimonios extranjeros, por país de</w:t>
      </w:r>
      <w:r>
        <w:rPr>
          <w:b/>
          <w:noProof/>
          <w:color w:val="000000"/>
        </w:rPr>
        <w:br/>
        <w:t>residencia de los adoptantes, 1999-2003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212"/>
        <w:gridCol w:w="1428"/>
        <w:gridCol w:w="1428"/>
        <w:gridCol w:w="1428"/>
        <w:gridCol w:w="1428"/>
        <w:gridCol w:w="1435"/>
      </w:tblGrid>
      <w:tr w:rsidR="00000000">
        <w:tblPrEx>
          <w:tblCellMar>
            <w:top w:w="0" w:type="dxa"/>
            <w:bottom w:w="0" w:type="dxa"/>
          </w:tblCellMar>
        </w:tblPrEx>
        <w:trPr>
          <w:jc w:val="center"/>
        </w:trPr>
        <w:tc>
          <w:tcPr>
            <w:tcW w:w="2212" w:type="dxa"/>
          </w:tcPr>
          <w:p w:rsidR="00000000" w:rsidRDefault="00000000">
            <w:pPr>
              <w:jc w:val="center"/>
              <w:rPr>
                <w:b/>
                <w:noProof/>
                <w:color w:val="000000"/>
              </w:rPr>
            </w:pPr>
            <w:r>
              <w:rPr>
                <w:b/>
                <w:noProof/>
                <w:color w:val="000000"/>
              </w:rPr>
              <w:t>País/años</w:t>
            </w:r>
          </w:p>
        </w:tc>
        <w:tc>
          <w:tcPr>
            <w:tcW w:w="1428" w:type="dxa"/>
          </w:tcPr>
          <w:p w:rsidR="00000000" w:rsidRDefault="00000000">
            <w:pPr>
              <w:jc w:val="center"/>
              <w:rPr>
                <w:b/>
                <w:noProof/>
                <w:color w:val="000000"/>
              </w:rPr>
            </w:pPr>
            <w:r>
              <w:rPr>
                <w:b/>
                <w:noProof/>
                <w:color w:val="000000"/>
              </w:rPr>
              <w:t>1999</w:t>
            </w:r>
          </w:p>
        </w:tc>
        <w:tc>
          <w:tcPr>
            <w:tcW w:w="1428" w:type="dxa"/>
          </w:tcPr>
          <w:p w:rsidR="00000000" w:rsidRDefault="00000000">
            <w:pPr>
              <w:jc w:val="center"/>
              <w:rPr>
                <w:b/>
                <w:noProof/>
                <w:color w:val="000000"/>
              </w:rPr>
            </w:pPr>
            <w:r>
              <w:rPr>
                <w:b/>
                <w:noProof/>
                <w:color w:val="000000"/>
              </w:rPr>
              <w:t>2000</w:t>
            </w:r>
          </w:p>
        </w:tc>
        <w:tc>
          <w:tcPr>
            <w:tcW w:w="1428" w:type="dxa"/>
          </w:tcPr>
          <w:p w:rsidR="00000000" w:rsidRDefault="00000000">
            <w:pPr>
              <w:jc w:val="center"/>
              <w:rPr>
                <w:b/>
                <w:noProof/>
                <w:color w:val="000000"/>
              </w:rPr>
            </w:pPr>
            <w:r>
              <w:rPr>
                <w:b/>
                <w:noProof/>
                <w:color w:val="000000"/>
              </w:rPr>
              <w:t>2001</w:t>
            </w:r>
          </w:p>
        </w:tc>
        <w:tc>
          <w:tcPr>
            <w:tcW w:w="1428" w:type="dxa"/>
          </w:tcPr>
          <w:p w:rsidR="00000000" w:rsidRDefault="00000000">
            <w:pPr>
              <w:jc w:val="center"/>
              <w:rPr>
                <w:b/>
                <w:noProof/>
                <w:color w:val="000000"/>
              </w:rPr>
            </w:pPr>
            <w:r>
              <w:rPr>
                <w:b/>
                <w:noProof/>
                <w:color w:val="000000"/>
              </w:rPr>
              <w:t>2002</w:t>
            </w:r>
          </w:p>
        </w:tc>
        <w:tc>
          <w:tcPr>
            <w:tcW w:w="1435" w:type="dxa"/>
          </w:tcPr>
          <w:p w:rsidR="00000000" w:rsidRDefault="00000000">
            <w:pPr>
              <w:jc w:val="center"/>
              <w:rPr>
                <w:b/>
                <w:noProof/>
                <w:color w:val="000000"/>
              </w:rPr>
            </w:pPr>
            <w:r>
              <w:rPr>
                <w:b/>
                <w:noProof/>
                <w:color w:val="000000"/>
              </w:rPr>
              <w:t>2003</w:t>
            </w:r>
          </w:p>
        </w:tc>
      </w:tr>
      <w:tr w:rsidR="00000000">
        <w:tblPrEx>
          <w:tblCellMar>
            <w:top w:w="0" w:type="dxa"/>
            <w:bottom w:w="0" w:type="dxa"/>
          </w:tblCellMar>
        </w:tblPrEx>
        <w:trPr>
          <w:jc w:val="center"/>
        </w:trPr>
        <w:tc>
          <w:tcPr>
            <w:tcW w:w="2212" w:type="dxa"/>
          </w:tcPr>
          <w:p w:rsidR="00000000" w:rsidRDefault="00000000">
            <w:pPr>
              <w:rPr>
                <w:bCs/>
                <w:noProof/>
                <w:color w:val="000000"/>
              </w:rPr>
            </w:pPr>
            <w:r>
              <w:rPr>
                <w:bCs/>
                <w:noProof/>
                <w:color w:val="000000"/>
              </w:rPr>
              <w:t>Italia</w:t>
            </w:r>
          </w:p>
        </w:tc>
        <w:tc>
          <w:tcPr>
            <w:tcW w:w="1428" w:type="dxa"/>
          </w:tcPr>
          <w:p w:rsidR="00000000" w:rsidRDefault="00000000">
            <w:pPr>
              <w:tabs>
                <w:tab w:val="decimal" w:pos="814"/>
              </w:tabs>
              <w:rPr>
                <w:bCs/>
                <w:noProof/>
                <w:color w:val="000000"/>
              </w:rPr>
            </w:pPr>
            <w:r>
              <w:rPr>
                <w:bCs/>
                <w:noProof/>
                <w:color w:val="000000"/>
              </w:rPr>
              <w:t>30</w:t>
            </w:r>
          </w:p>
        </w:tc>
        <w:tc>
          <w:tcPr>
            <w:tcW w:w="1428" w:type="dxa"/>
          </w:tcPr>
          <w:p w:rsidR="00000000" w:rsidRDefault="00000000">
            <w:pPr>
              <w:tabs>
                <w:tab w:val="decimal" w:pos="758"/>
              </w:tabs>
              <w:rPr>
                <w:bCs/>
                <w:noProof/>
                <w:color w:val="000000"/>
              </w:rPr>
            </w:pPr>
            <w:r>
              <w:rPr>
                <w:bCs/>
                <w:noProof/>
                <w:color w:val="000000"/>
              </w:rPr>
              <w:t>17</w:t>
            </w:r>
          </w:p>
        </w:tc>
        <w:tc>
          <w:tcPr>
            <w:tcW w:w="1428" w:type="dxa"/>
          </w:tcPr>
          <w:p w:rsidR="00000000" w:rsidRDefault="00000000">
            <w:pPr>
              <w:tabs>
                <w:tab w:val="decimal" w:pos="785"/>
              </w:tabs>
              <w:rPr>
                <w:bCs/>
                <w:noProof/>
                <w:color w:val="000000"/>
              </w:rPr>
            </w:pPr>
            <w:r>
              <w:rPr>
                <w:bCs/>
                <w:noProof/>
                <w:color w:val="000000"/>
              </w:rPr>
              <w:t>37</w:t>
            </w:r>
          </w:p>
        </w:tc>
        <w:tc>
          <w:tcPr>
            <w:tcW w:w="1428" w:type="dxa"/>
          </w:tcPr>
          <w:p w:rsidR="00000000" w:rsidRDefault="00000000">
            <w:pPr>
              <w:tabs>
                <w:tab w:val="decimal" w:pos="770"/>
              </w:tabs>
              <w:rPr>
                <w:bCs/>
                <w:noProof/>
                <w:color w:val="000000"/>
              </w:rPr>
            </w:pPr>
            <w:r>
              <w:rPr>
                <w:bCs/>
                <w:noProof/>
                <w:color w:val="000000"/>
              </w:rPr>
              <w:t>28</w:t>
            </w:r>
          </w:p>
        </w:tc>
        <w:tc>
          <w:tcPr>
            <w:tcW w:w="1435" w:type="dxa"/>
          </w:tcPr>
          <w:p w:rsidR="00000000" w:rsidRDefault="00000000">
            <w:pPr>
              <w:tabs>
                <w:tab w:val="decimal" w:pos="715"/>
              </w:tabs>
              <w:rPr>
                <w:bCs/>
                <w:noProof/>
                <w:color w:val="000000"/>
              </w:rPr>
            </w:pPr>
            <w:r>
              <w:rPr>
                <w:bCs/>
                <w:noProof/>
                <w:color w:val="000000"/>
              </w:rPr>
              <w:t>38</w:t>
            </w:r>
          </w:p>
        </w:tc>
      </w:tr>
      <w:tr w:rsidR="00000000">
        <w:tblPrEx>
          <w:tblCellMar>
            <w:top w:w="0" w:type="dxa"/>
            <w:bottom w:w="0" w:type="dxa"/>
          </w:tblCellMar>
        </w:tblPrEx>
        <w:trPr>
          <w:jc w:val="center"/>
        </w:trPr>
        <w:tc>
          <w:tcPr>
            <w:tcW w:w="2212" w:type="dxa"/>
          </w:tcPr>
          <w:p w:rsidR="00000000" w:rsidRDefault="00000000">
            <w:pPr>
              <w:rPr>
                <w:bCs/>
                <w:noProof/>
                <w:color w:val="000000"/>
              </w:rPr>
            </w:pPr>
            <w:r>
              <w:rPr>
                <w:bCs/>
                <w:noProof/>
                <w:color w:val="000000"/>
              </w:rPr>
              <w:t>Noruega</w:t>
            </w:r>
          </w:p>
        </w:tc>
        <w:tc>
          <w:tcPr>
            <w:tcW w:w="1428" w:type="dxa"/>
          </w:tcPr>
          <w:p w:rsidR="00000000" w:rsidRDefault="00000000">
            <w:pPr>
              <w:tabs>
                <w:tab w:val="decimal" w:pos="814"/>
              </w:tabs>
              <w:rPr>
                <w:bCs/>
                <w:noProof/>
                <w:color w:val="000000"/>
              </w:rPr>
            </w:pPr>
            <w:r>
              <w:rPr>
                <w:bCs/>
                <w:noProof/>
                <w:color w:val="000000"/>
              </w:rPr>
              <w:t>6</w:t>
            </w:r>
          </w:p>
        </w:tc>
        <w:tc>
          <w:tcPr>
            <w:tcW w:w="1428" w:type="dxa"/>
          </w:tcPr>
          <w:p w:rsidR="00000000" w:rsidRDefault="00000000">
            <w:pPr>
              <w:tabs>
                <w:tab w:val="decimal" w:pos="758"/>
              </w:tabs>
              <w:rPr>
                <w:bCs/>
                <w:noProof/>
                <w:color w:val="000000"/>
              </w:rPr>
            </w:pPr>
            <w:r>
              <w:rPr>
                <w:bCs/>
                <w:noProof/>
                <w:color w:val="000000"/>
              </w:rPr>
              <w:t>6</w:t>
            </w:r>
          </w:p>
        </w:tc>
        <w:tc>
          <w:tcPr>
            <w:tcW w:w="1428" w:type="dxa"/>
          </w:tcPr>
          <w:p w:rsidR="00000000" w:rsidRDefault="00000000">
            <w:pPr>
              <w:tabs>
                <w:tab w:val="decimal" w:pos="785"/>
              </w:tabs>
              <w:rPr>
                <w:bCs/>
                <w:noProof/>
                <w:color w:val="000000"/>
              </w:rPr>
            </w:pPr>
            <w:r>
              <w:rPr>
                <w:bCs/>
                <w:noProof/>
                <w:color w:val="000000"/>
              </w:rPr>
              <w:t>13</w:t>
            </w:r>
          </w:p>
        </w:tc>
        <w:tc>
          <w:tcPr>
            <w:tcW w:w="1428" w:type="dxa"/>
          </w:tcPr>
          <w:p w:rsidR="00000000" w:rsidRDefault="00000000">
            <w:pPr>
              <w:tabs>
                <w:tab w:val="decimal" w:pos="770"/>
              </w:tabs>
              <w:rPr>
                <w:bCs/>
                <w:noProof/>
                <w:color w:val="000000"/>
              </w:rPr>
            </w:pPr>
            <w:r>
              <w:rPr>
                <w:bCs/>
                <w:noProof/>
                <w:color w:val="000000"/>
              </w:rPr>
              <w:t>12</w:t>
            </w:r>
          </w:p>
        </w:tc>
        <w:tc>
          <w:tcPr>
            <w:tcW w:w="1435" w:type="dxa"/>
          </w:tcPr>
          <w:p w:rsidR="00000000" w:rsidRDefault="00000000">
            <w:pPr>
              <w:tabs>
                <w:tab w:val="decimal" w:pos="715"/>
              </w:tabs>
              <w:rPr>
                <w:bCs/>
                <w:noProof/>
                <w:color w:val="000000"/>
              </w:rPr>
            </w:pPr>
            <w:r>
              <w:rPr>
                <w:bCs/>
                <w:noProof/>
                <w:color w:val="000000"/>
              </w:rPr>
              <w:t>10</w:t>
            </w:r>
          </w:p>
        </w:tc>
      </w:tr>
      <w:tr w:rsidR="00000000">
        <w:tblPrEx>
          <w:tblCellMar>
            <w:top w:w="0" w:type="dxa"/>
            <w:bottom w:w="0" w:type="dxa"/>
          </w:tblCellMar>
        </w:tblPrEx>
        <w:trPr>
          <w:jc w:val="center"/>
        </w:trPr>
        <w:tc>
          <w:tcPr>
            <w:tcW w:w="2212" w:type="dxa"/>
          </w:tcPr>
          <w:p w:rsidR="00000000" w:rsidRDefault="00000000">
            <w:pPr>
              <w:rPr>
                <w:bCs/>
                <w:noProof/>
                <w:color w:val="000000"/>
              </w:rPr>
            </w:pPr>
            <w:r>
              <w:rPr>
                <w:bCs/>
                <w:noProof/>
                <w:color w:val="000000"/>
              </w:rPr>
              <w:t>Estados Unidos</w:t>
            </w:r>
          </w:p>
        </w:tc>
        <w:tc>
          <w:tcPr>
            <w:tcW w:w="1428" w:type="dxa"/>
          </w:tcPr>
          <w:p w:rsidR="00000000" w:rsidRDefault="00000000">
            <w:pPr>
              <w:tabs>
                <w:tab w:val="decimal" w:pos="814"/>
              </w:tabs>
              <w:rPr>
                <w:bCs/>
                <w:noProof/>
                <w:color w:val="000000"/>
              </w:rPr>
            </w:pPr>
            <w:r>
              <w:rPr>
                <w:bCs/>
                <w:noProof/>
                <w:color w:val="000000"/>
              </w:rPr>
              <w:t>10</w:t>
            </w:r>
          </w:p>
        </w:tc>
        <w:tc>
          <w:tcPr>
            <w:tcW w:w="1428" w:type="dxa"/>
          </w:tcPr>
          <w:p w:rsidR="00000000" w:rsidRDefault="00000000">
            <w:pPr>
              <w:tabs>
                <w:tab w:val="decimal" w:pos="758"/>
              </w:tabs>
              <w:rPr>
                <w:bCs/>
                <w:noProof/>
                <w:color w:val="000000"/>
              </w:rPr>
            </w:pPr>
            <w:r>
              <w:rPr>
                <w:bCs/>
                <w:noProof/>
                <w:color w:val="000000"/>
              </w:rPr>
              <w:t>3</w:t>
            </w:r>
          </w:p>
        </w:tc>
        <w:tc>
          <w:tcPr>
            <w:tcW w:w="1428" w:type="dxa"/>
          </w:tcPr>
          <w:p w:rsidR="00000000" w:rsidRDefault="00000000">
            <w:pPr>
              <w:tabs>
                <w:tab w:val="decimal" w:pos="785"/>
              </w:tabs>
              <w:rPr>
                <w:bCs/>
                <w:noProof/>
                <w:color w:val="000000"/>
              </w:rPr>
            </w:pPr>
            <w:r>
              <w:rPr>
                <w:bCs/>
                <w:noProof/>
                <w:color w:val="000000"/>
              </w:rPr>
              <w:t>3</w:t>
            </w:r>
          </w:p>
        </w:tc>
        <w:tc>
          <w:tcPr>
            <w:tcW w:w="1428" w:type="dxa"/>
          </w:tcPr>
          <w:p w:rsidR="00000000" w:rsidRDefault="00000000">
            <w:pPr>
              <w:tabs>
                <w:tab w:val="decimal" w:pos="770"/>
              </w:tabs>
              <w:rPr>
                <w:bCs/>
                <w:noProof/>
                <w:color w:val="000000"/>
              </w:rPr>
            </w:pPr>
            <w:r>
              <w:rPr>
                <w:bCs/>
                <w:noProof/>
                <w:color w:val="000000"/>
              </w:rPr>
              <w:t>-</w:t>
            </w:r>
          </w:p>
        </w:tc>
        <w:tc>
          <w:tcPr>
            <w:tcW w:w="1435" w:type="dxa"/>
          </w:tcPr>
          <w:p w:rsidR="00000000" w:rsidRDefault="00000000">
            <w:pPr>
              <w:tabs>
                <w:tab w:val="decimal" w:pos="715"/>
              </w:tabs>
              <w:rPr>
                <w:bCs/>
                <w:noProof/>
                <w:color w:val="000000"/>
              </w:rPr>
            </w:pPr>
            <w:r>
              <w:rPr>
                <w:bCs/>
                <w:noProof/>
                <w:color w:val="000000"/>
              </w:rPr>
              <w:t>4</w:t>
            </w:r>
          </w:p>
        </w:tc>
      </w:tr>
      <w:tr w:rsidR="00000000">
        <w:tblPrEx>
          <w:tblCellMar>
            <w:top w:w="0" w:type="dxa"/>
            <w:bottom w:w="0" w:type="dxa"/>
          </w:tblCellMar>
        </w:tblPrEx>
        <w:trPr>
          <w:jc w:val="center"/>
        </w:trPr>
        <w:tc>
          <w:tcPr>
            <w:tcW w:w="2212" w:type="dxa"/>
          </w:tcPr>
          <w:p w:rsidR="00000000" w:rsidRDefault="00000000">
            <w:pPr>
              <w:rPr>
                <w:bCs/>
                <w:noProof/>
                <w:color w:val="000000"/>
              </w:rPr>
            </w:pPr>
            <w:r>
              <w:rPr>
                <w:bCs/>
                <w:noProof/>
                <w:color w:val="000000"/>
              </w:rPr>
              <w:t>Alemania</w:t>
            </w:r>
          </w:p>
        </w:tc>
        <w:tc>
          <w:tcPr>
            <w:tcW w:w="1428" w:type="dxa"/>
          </w:tcPr>
          <w:p w:rsidR="00000000" w:rsidRDefault="00000000">
            <w:pPr>
              <w:tabs>
                <w:tab w:val="decimal" w:pos="814"/>
              </w:tabs>
              <w:rPr>
                <w:bCs/>
                <w:noProof/>
                <w:color w:val="000000"/>
              </w:rPr>
            </w:pPr>
            <w:r>
              <w:rPr>
                <w:bCs/>
                <w:noProof/>
                <w:color w:val="000000"/>
              </w:rPr>
              <w:t>10</w:t>
            </w:r>
          </w:p>
        </w:tc>
        <w:tc>
          <w:tcPr>
            <w:tcW w:w="1428" w:type="dxa"/>
          </w:tcPr>
          <w:p w:rsidR="00000000" w:rsidRDefault="00000000">
            <w:pPr>
              <w:tabs>
                <w:tab w:val="decimal" w:pos="758"/>
              </w:tabs>
              <w:rPr>
                <w:bCs/>
                <w:noProof/>
                <w:color w:val="000000"/>
              </w:rPr>
            </w:pPr>
            <w:r>
              <w:rPr>
                <w:bCs/>
                <w:noProof/>
                <w:color w:val="000000"/>
              </w:rPr>
              <w:t>2</w:t>
            </w:r>
          </w:p>
        </w:tc>
        <w:tc>
          <w:tcPr>
            <w:tcW w:w="1428" w:type="dxa"/>
          </w:tcPr>
          <w:p w:rsidR="00000000" w:rsidRDefault="00000000">
            <w:pPr>
              <w:tabs>
                <w:tab w:val="decimal" w:pos="785"/>
              </w:tabs>
              <w:rPr>
                <w:bCs/>
                <w:noProof/>
                <w:color w:val="000000"/>
              </w:rPr>
            </w:pPr>
            <w:r>
              <w:rPr>
                <w:bCs/>
                <w:noProof/>
                <w:color w:val="000000"/>
              </w:rPr>
              <w:t>6</w:t>
            </w:r>
          </w:p>
        </w:tc>
        <w:tc>
          <w:tcPr>
            <w:tcW w:w="1428" w:type="dxa"/>
          </w:tcPr>
          <w:p w:rsidR="00000000" w:rsidRDefault="00000000">
            <w:pPr>
              <w:tabs>
                <w:tab w:val="decimal" w:pos="770"/>
              </w:tabs>
              <w:rPr>
                <w:bCs/>
                <w:noProof/>
                <w:color w:val="000000"/>
              </w:rPr>
            </w:pPr>
            <w:r>
              <w:rPr>
                <w:bCs/>
                <w:noProof/>
                <w:color w:val="000000"/>
              </w:rPr>
              <w:t>2</w:t>
            </w:r>
          </w:p>
        </w:tc>
        <w:tc>
          <w:tcPr>
            <w:tcW w:w="1435" w:type="dxa"/>
          </w:tcPr>
          <w:p w:rsidR="00000000" w:rsidRDefault="00000000">
            <w:pPr>
              <w:tabs>
                <w:tab w:val="decimal" w:pos="715"/>
              </w:tabs>
              <w:rPr>
                <w:bCs/>
                <w:noProof/>
                <w:color w:val="000000"/>
              </w:rPr>
            </w:pPr>
            <w:r>
              <w:rPr>
                <w:bCs/>
                <w:noProof/>
                <w:color w:val="000000"/>
              </w:rPr>
              <w:t>11</w:t>
            </w:r>
          </w:p>
        </w:tc>
      </w:tr>
      <w:tr w:rsidR="00000000">
        <w:tblPrEx>
          <w:tblCellMar>
            <w:top w:w="0" w:type="dxa"/>
            <w:bottom w:w="0" w:type="dxa"/>
          </w:tblCellMar>
        </w:tblPrEx>
        <w:trPr>
          <w:jc w:val="center"/>
        </w:trPr>
        <w:tc>
          <w:tcPr>
            <w:tcW w:w="2212" w:type="dxa"/>
          </w:tcPr>
          <w:p w:rsidR="00000000" w:rsidRDefault="00000000">
            <w:pPr>
              <w:rPr>
                <w:bCs/>
                <w:noProof/>
                <w:color w:val="000000"/>
              </w:rPr>
            </w:pPr>
            <w:r>
              <w:rPr>
                <w:bCs/>
                <w:noProof/>
                <w:color w:val="000000"/>
              </w:rPr>
              <w:t>España</w:t>
            </w:r>
          </w:p>
        </w:tc>
        <w:tc>
          <w:tcPr>
            <w:tcW w:w="1428" w:type="dxa"/>
          </w:tcPr>
          <w:p w:rsidR="00000000" w:rsidRDefault="00000000">
            <w:pPr>
              <w:tabs>
                <w:tab w:val="decimal" w:pos="814"/>
              </w:tabs>
              <w:rPr>
                <w:bCs/>
                <w:noProof/>
                <w:color w:val="000000"/>
              </w:rPr>
            </w:pPr>
            <w:r>
              <w:rPr>
                <w:bCs/>
                <w:noProof/>
                <w:color w:val="000000"/>
              </w:rPr>
              <w:t>16</w:t>
            </w:r>
            <w:r>
              <w:rPr>
                <w:b/>
                <w:noProof/>
                <w:color w:val="000000"/>
                <w:vertAlign w:val="superscript"/>
              </w:rPr>
              <w:t>*</w:t>
            </w:r>
          </w:p>
        </w:tc>
        <w:tc>
          <w:tcPr>
            <w:tcW w:w="1428" w:type="dxa"/>
          </w:tcPr>
          <w:p w:rsidR="00000000" w:rsidRDefault="00000000">
            <w:pPr>
              <w:tabs>
                <w:tab w:val="decimal" w:pos="758"/>
              </w:tabs>
              <w:rPr>
                <w:bCs/>
                <w:noProof/>
                <w:color w:val="000000"/>
              </w:rPr>
            </w:pPr>
            <w:r>
              <w:rPr>
                <w:bCs/>
                <w:noProof/>
                <w:color w:val="000000"/>
              </w:rPr>
              <w:t>8</w:t>
            </w:r>
          </w:p>
        </w:tc>
        <w:tc>
          <w:tcPr>
            <w:tcW w:w="1428" w:type="dxa"/>
          </w:tcPr>
          <w:p w:rsidR="00000000" w:rsidRDefault="00000000">
            <w:pPr>
              <w:tabs>
                <w:tab w:val="decimal" w:pos="785"/>
              </w:tabs>
              <w:rPr>
                <w:bCs/>
                <w:noProof/>
                <w:color w:val="000000"/>
              </w:rPr>
            </w:pPr>
            <w:r>
              <w:rPr>
                <w:bCs/>
                <w:noProof/>
                <w:color w:val="000000"/>
              </w:rPr>
              <w:t>15</w:t>
            </w:r>
          </w:p>
        </w:tc>
        <w:tc>
          <w:tcPr>
            <w:tcW w:w="1428" w:type="dxa"/>
          </w:tcPr>
          <w:p w:rsidR="00000000" w:rsidRDefault="00000000">
            <w:pPr>
              <w:tabs>
                <w:tab w:val="decimal" w:pos="770"/>
              </w:tabs>
              <w:rPr>
                <w:bCs/>
                <w:noProof/>
                <w:color w:val="000000"/>
              </w:rPr>
            </w:pPr>
            <w:r>
              <w:rPr>
                <w:bCs/>
                <w:noProof/>
                <w:color w:val="000000"/>
              </w:rPr>
              <w:t>16</w:t>
            </w:r>
          </w:p>
        </w:tc>
        <w:tc>
          <w:tcPr>
            <w:tcW w:w="1435" w:type="dxa"/>
          </w:tcPr>
          <w:p w:rsidR="00000000" w:rsidRDefault="00000000">
            <w:pPr>
              <w:tabs>
                <w:tab w:val="decimal" w:pos="715"/>
              </w:tabs>
              <w:rPr>
                <w:bCs/>
                <w:noProof/>
                <w:color w:val="000000"/>
              </w:rPr>
            </w:pPr>
            <w:r>
              <w:rPr>
                <w:bCs/>
                <w:noProof/>
                <w:color w:val="000000"/>
              </w:rPr>
              <w:t>10</w:t>
            </w:r>
          </w:p>
        </w:tc>
      </w:tr>
      <w:tr w:rsidR="00000000">
        <w:tblPrEx>
          <w:tblCellMar>
            <w:top w:w="0" w:type="dxa"/>
            <w:bottom w:w="0" w:type="dxa"/>
          </w:tblCellMar>
        </w:tblPrEx>
        <w:trPr>
          <w:jc w:val="center"/>
        </w:trPr>
        <w:tc>
          <w:tcPr>
            <w:tcW w:w="2212" w:type="dxa"/>
          </w:tcPr>
          <w:p w:rsidR="00000000" w:rsidRDefault="00000000">
            <w:pPr>
              <w:rPr>
                <w:bCs/>
                <w:noProof/>
                <w:color w:val="000000"/>
              </w:rPr>
            </w:pPr>
            <w:r>
              <w:rPr>
                <w:bCs/>
                <w:noProof/>
                <w:color w:val="000000"/>
              </w:rPr>
              <w:t>Francia</w:t>
            </w:r>
          </w:p>
        </w:tc>
        <w:tc>
          <w:tcPr>
            <w:tcW w:w="1428" w:type="dxa"/>
          </w:tcPr>
          <w:p w:rsidR="00000000" w:rsidRDefault="00000000">
            <w:pPr>
              <w:tabs>
                <w:tab w:val="decimal" w:pos="814"/>
              </w:tabs>
              <w:rPr>
                <w:bCs/>
                <w:noProof/>
                <w:color w:val="000000"/>
              </w:rPr>
            </w:pPr>
            <w:r>
              <w:rPr>
                <w:bCs/>
                <w:noProof/>
                <w:color w:val="000000"/>
              </w:rPr>
              <w:t>30</w:t>
            </w:r>
          </w:p>
        </w:tc>
        <w:tc>
          <w:tcPr>
            <w:tcW w:w="1428" w:type="dxa"/>
          </w:tcPr>
          <w:p w:rsidR="00000000" w:rsidRDefault="00000000">
            <w:pPr>
              <w:tabs>
                <w:tab w:val="decimal" w:pos="758"/>
              </w:tabs>
              <w:rPr>
                <w:bCs/>
                <w:noProof/>
                <w:color w:val="000000"/>
              </w:rPr>
            </w:pPr>
            <w:r>
              <w:rPr>
                <w:bCs/>
                <w:noProof/>
                <w:color w:val="000000"/>
              </w:rPr>
              <w:t>7</w:t>
            </w:r>
          </w:p>
        </w:tc>
        <w:tc>
          <w:tcPr>
            <w:tcW w:w="1428" w:type="dxa"/>
          </w:tcPr>
          <w:p w:rsidR="00000000" w:rsidRDefault="00000000">
            <w:pPr>
              <w:tabs>
                <w:tab w:val="decimal" w:pos="785"/>
              </w:tabs>
              <w:rPr>
                <w:bCs/>
                <w:noProof/>
                <w:color w:val="000000"/>
              </w:rPr>
            </w:pPr>
            <w:r>
              <w:rPr>
                <w:bCs/>
                <w:noProof/>
                <w:color w:val="000000"/>
              </w:rPr>
              <w:t>12</w:t>
            </w:r>
          </w:p>
        </w:tc>
        <w:tc>
          <w:tcPr>
            <w:tcW w:w="1428" w:type="dxa"/>
          </w:tcPr>
          <w:p w:rsidR="00000000" w:rsidRDefault="00000000">
            <w:pPr>
              <w:tabs>
                <w:tab w:val="decimal" w:pos="770"/>
              </w:tabs>
              <w:rPr>
                <w:bCs/>
                <w:noProof/>
                <w:color w:val="000000"/>
              </w:rPr>
            </w:pPr>
            <w:r>
              <w:rPr>
                <w:bCs/>
                <w:noProof/>
                <w:color w:val="000000"/>
              </w:rPr>
              <w:t>11</w:t>
            </w:r>
          </w:p>
        </w:tc>
        <w:tc>
          <w:tcPr>
            <w:tcW w:w="1435" w:type="dxa"/>
          </w:tcPr>
          <w:p w:rsidR="00000000" w:rsidRDefault="00000000">
            <w:pPr>
              <w:tabs>
                <w:tab w:val="decimal" w:pos="715"/>
              </w:tabs>
              <w:rPr>
                <w:bCs/>
                <w:noProof/>
                <w:color w:val="000000"/>
              </w:rPr>
            </w:pPr>
            <w:r>
              <w:rPr>
                <w:bCs/>
                <w:noProof/>
                <w:color w:val="000000"/>
              </w:rPr>
              <w:t>17</w:t>
            </w:r>
          </w:p>
        </w:tc>
      </w:tr>
      <w:tr w:rsidR="00000000">
        <w:tblPrEx>
          <w:tblCellMar>
            <w:top w:w="0" w:type="dxa"/>
            <w:bottom w:w="0" w:type="dxa"/>
          </w:tblCellMar>
        </w:tblPrEx>
        <w:trPr>
          <w:jc w:val="center"/>
        </w:trPr>
        <w:tc>
          <w:tcPr>
            <w:tcW w:w="2212" w:type="dxa"/>
          </w:tcPr>
          <w:p w:rsidR="00000000" w:rsidRDefault="00000000">
            <w:pPr>
              <w:rPr>
                <w:bCs/>
                <w:noProof/>
                <w:color w:val="000000"/>
              </w:rPr>
            </w:pPr>
            <w:r>
              <w:rPr>
                <w:bCs/>
                <w:noProof/>
                <w:color w:val="000000"/>
              </w:rPr>
              <w:t>Brasil</w:t>
            </w:r>
          </w:p>
        </w:tc>
        <w:tc>
          <w:tcPr>
            <w:tcW w:w="1428" w:type="dxa"/>
          </w:tcPr>
          <w:p w:rsidR="00000000" w:rsidRDefault="00000000">
            <w:pPr>
              <w:tabs>
                <w:tab w:val="decimal" w:pos="814"/>
              </w:tabs>
              <w:rPr>
                <w:bCs/>
                <w:noProof/>
                <w:color w:val="000000"/>
              </w:rPr>
            </w:pPr>
            <w:r>
              <w:rPr>
                <w:bCs/>
                <w:noProof/>
                <w:color w:val="000000"/>
              </w:rPr>
              <w:t>1</w:t>
            </w:r>
          </w:p>
        </w:tc>
        <w:tc>
          <w:tcPr>
            <w:tcW w:w="1428" w:type="dxa"/>
          </w:tcPr>
          <w:p w:rsidR="00000000" w:rsidRDefault="00000000">
            <w:pPr>
              <w:tabs>
                <w:tab w:val="decimal" w:pos="758"/>
              </w:tabs>
              <w:rPr>
                <w:bCs/>
                <w:noProof/>
                <w:color w:val="000000"/>
              </w:rPr>
            </w:pPr>
            <w:r>
              <w:rPr>
                <w:bCs/>
                <w:noProof/>
                <w:color w:val="000000"/>
              </w:rPr>
              <w:t>-</w:t>
            </w:r>
          </w:p>
        </w:tc>
        <w:tc>
          <w:tcPr>
            <w:tcW w:w="1428" w:type="dxa"/>
          </w:tcPr>
          <w:p w:rsidR="00000000" w:rsidRDefault="00000000">
            <w:pPr>
              <w:tabs>
                <w:tab w:val="decimal" w:pos="785"/>
              </w:tabs>
              <w:rPr>
                <w:bCs/>
                <w:noProof/>
                <w:color w:val="000000"/>
              </w:rPr>
            </w:pPr>
            <w:r>
              <w:rPr>
                <w:bCs/>
                <w:noProof/>
                <w:color w:val="000000"/>
              </w:rPr>
              <w:t>-</w:t>
            </w:r>
          </w:p>
        </w:tc>
        <w:tc>
          <w:tcPr>
            <w:tcW w:w="1428" w:type="dxa"/>
          </w:tcPr>
          <w:p w:rsidR="00000000" w:rsidRDefault="00000000">
            <w:pPr>
              <w:tabs>
                <w:tab w:val="decimal" w:pos="770"/>
              </w:tabs>
              <w:rPr>
                <w:bCs/>
                <w:noProof/>
                <w:color w:val="000000"/>
              </w:rPr>
            </w:pPr>
            <w:r>
              <w:rPr>
                <w:bCs/>
                <w:noProof/>
                <w:color w:val="000000"/>
              </w:rPr>
              <w:t>-</w:t>
            </w:r>
          </w:p>
        </w:tc>
        <w:tc>
          <w:tcPr>
            <w:tcW w:w="1435" w:type="dxa"/>
          </w:tcPr>
          <w:p w:rsidR="00000000" w:rsidRDefault="00000000">
            <w:pPr>
              <w:tabs>
                <w:tab w:val="decimal" w:pos="715"/>
              </w:tabs>
              <w:rPr>
                <w:bCs/>
                <w:noProof/>
                <w:color w:val="000000"/>
              </w:rPr>
            </w:pPr>
            <w:r>
              <w:rPr>
                <w:bCs/>
                <w:noProof/>
                <w:color w:val="000000"/>
              </w:rPr>
              <w:t>-</w:t>
            </w:r>
          </w:p>
        </w:tc>
      </w:tr>
      <w:tr w:rsidR="00000000">
        <w:tblPrEx>
          <w:tblCellMar>
            <w:top w:w="0" w:type="dxa"/>
            <w:bottom w:w="0" w:type="dxa"/>
          </w:tblCellMar>
        </w:tblPrEx>
        <w:trPr>
          <w:jc w:val="center"/>
        </w:trPr>
        <w:tc>
          <w:tcPr>
            <w:tcW w:w="2212" w:type="dxa"/>
          </w:tcPr>
          <w:p w:rsidR="00000000" w:rsidRDefault="00000000">
            <w:pPr>
              <w:rPr>
                <w:bCs/>
                <w:noProof/>
                <w:color w:val="000000"/>
              </w:rPr>
            </w:pPr>
            <w:r>
              <w:rPr>
                <w:bCs/>
                <w:noProof/>
                <w:color w:val="000000"/>
              </w:rPr>
              <w:t>Canadá</w:t>
            </w:r>
          </w:p>
        </w:tc>
        <w:tc>
          <w:tcPr>
            <w:tcW w:w="1428" w:type="dxa"/>
          </w:tcPr>
          <w:p w:rsidR="00000000" w:rsidRDefault="00000000">
            <w:pPr>
              <w:tabs>
                <w:tab w:val="decimal" w:pos="814"/>
              </w:tabs>
              <w:rPr>
                <w:bCs/>
                <w:noProof/>
                <w:color w:val="000000"/>
              </w:rPr>
            </w:pPr>
            <w:r>
              <w:rPr>
                <w:bCs/>
                <w:noProof/>
                <w:color w:val="000000"/>
              </w:rPr>
              <w:t>2</w:t>
            </w:r>
          </w:p>
        </w:tc>
        <w:tc>
          <w:tcPr>
            <w:tcW w:w="1428" w:type="dxa"/>
          </w:tcPr>
          <w:p w:rsidR="00000000" w:rsidRDefault="00000000">
            <w:pPr>
              <w:tabs>
                <w:tab w:val="decimal" w:pos="758"/>
              </w:tabs>
              <w:rPr>
                <w:bCs/>
                <w:noProof/>
                <w:color w:val="000000"/>
              </w:rPr>
            </w:pPr>
            <w:r>
              <w:rPr>
                <w:bCs/>
                <w:noProof/>
                <w:color w:val="000000"/>
              </w:rPr>
              <w:t>-</w:t>
            </w:r>
          </w:p>
        </w:tc>
        <w:tc>
          <w:tcPr>
            <w:tcW w:w="1428" w:type="dxa"/>
          </w:tcPr>
          <w:p w:rsidR="00000000" w:rsidRDefault="00000000">
            <w:pPr>
              <w:tabs>
                <w:tab w:val="decimal" w:pos="785"/>
              </w:tabs>
              <w:rPr>
                <w:bCs/>
                <w:noProof/>
                <w:color w:val="000000"/>
              </w:rPr>
            </w:pPr>
            <w:r>
              <w:rPr>
                <w:bCs/>
                <w:noProof/>
                <w:color w:val="000000"/>
              </w:rPr>
              <w:t>-</w:t>
            </w:r>
          </w:p>
        </w:tc>
        <w:tc>
          <w:tcPr>
            <w:tcW w:w="1428" w:type="dxa"/>
          </w:tcPr>
          <w:p w:rsidR="00000000" w:rsidRDefault="00000000">
            <w:pPr>
              <w:tabs>
                <w:tab w:val="decimal" w:pos="770"/>
              </w:tabs>
              <w:rPr>
                <w:bCs/>
                <w:noProof/>
                <w:color w:val="000000"/>
              </w:rPr>
            </w:pPr>
            <w:r>
              <w:rPr>
                <w:bCs/>
                <w:noProof/>
                <w:color w:val="000000"/>
              </w:rPr>
              <w:t>-</w:t>
            </w:r>
          </w:p>
        </w:tc>
        <w:tc>
          <w:tcPr>
            <w:tcW w:w="1435" w:type="dxa"/>
          </w:tcPr>
          <w:p w:rsidR="00000000" w:rsidRDefault="00000000">
            <w:pPr>
              <w:tabs>
                <w:tab w:val="decimal" w:pos="715"/>
              </w:tabs>
              <w:rPr>
                <w:bCs/>
                <w:noProof/>
                <w:color w:val="000000"/>
              </w:rPr>
            </w:pPr>
            <w:r>
              <w:rPr>
                <w:bCs/>
                <w:noProof/>
                <w:color w:val="000000"/>
              </w:rPr>
              <w:t>-</w:t>
            </w:r>
          </w:p>
        </w:tc>
      </w:tr>
      <w:tr w:rsidR="00000000">
        <w:tblPrEx>
          <w:tblCellMar>
            <w:top w:w="0" w:type="dxa"/>
            <w:bottom w:w="0" w:type="dxa"/>
          </w:tblCellMar>
        </w:tblPrEx>
        <w:trPr>
          <w:jc w:val="center"/>
        </w:trPr>
        <w:tc>
          <w:tcPr>
            <w:tcW w:w="2212" w:type="dxa"/>
          </w:tcPr>
          <w:p w:rsidR="00000000" w:rsidRDefault="00000000">
            <w:pPr>
              <w:rPr>
                <w:bCs/>
                <w:noProof/>
                <w:color w:val="000000"/>
              </w:rPr>
            </w:pPr>
            <w:r>
              <w:rPr>
                <w:bCs/>
                <w:noProof/>
                <w:color w:val="000000"/>
              </w:rPr>
              <w:t>Suecia</w:t>
            </w:r>
          </w:p>
        </w:tc>
        <w:tc>
          <w:tcPr>
            <w:tcW w:w="1428" w:type="dxa"/>
          </w:tcPr>
          <w:p w:rsidR="00000000" w:rsidRDefault="00000000">
            <w:pPr>
              <w:tabs>
                <w:tab w:val="decimal" w:pos="814"/>
              </w:tabs>
              <w:rPr>
                <w:bCs/>
                <w:noProof/>
                <w:color w:val="000000"/>
              </w:rPr>
            </w:pPr>
            <w:r>
              <w:rPr>
                <w:bCs/>
                <w:noProof/>
                <w:color w:val="000000"/>
              </w:rPr>
              <w:t>-</w:t>
            </w:r>
          </w:p>
        </w:tc>
        <w:tc>
          <w:tcPr>
            <w:tcW w:w="1428" w:type="dxa"/>
          </w:tcPr>
          <w:p w:rsidR="00000000" w:rsidRDefault="00000000">
            <w:pPr>
              <w:tabs>
                <w:tab w:val="decimal" w:pos="758"/>
              </w:tabs>
              <w:rPr>
                <w:bCs/>
                <w:noProof/>
                <w:color w:val="000000"/>
              </w:rPr>
            </w:pPr>
            <w:r>
              <w:rPr>
                <w:bCs/>
                <w:noProof/>
                <w:color w:val="000000"/>
              </w:rPr>
              <w:t>-</w:t>
            </w:r>
          </w:p>
        </w:tc>
        <w:tc>
          <w:tcPr>
            <w:tcW w:w="1428" w:type="dxa"/>
          </w:tcPr>
          <w:p w:rsidR="00000000" w:rsidRDefault="00000000">
            <w:pPr>
              <w:tabs>
                <w:tab w:val="decimal" w:pos="785"/>
              </w:tabs>
              <w:rPr>
                <w:bCs/>
                <w:noProof/>
                <w:color w:val="000000"/>
              </w:rPr>
            </w:pPr>
            <w:r>
              <w:rPr>
                <w:bCs/>
                <w:noProof/>
                <w:color w:val="000000"/>
              </w:rPr>
              <w:t>-</w:t>
            </w:r>
          </w:p>
        </w:tc>
        <w:tc>
          <w:tcPr>
            <w:tcW w:w="1428" w:type="dxa"/>
          </w:tcPr>
          <w:p w:rsidR="00000000" w:rsidRDefault="00000000">
            <w:pPr>
              <w:tabs>
                <w:tab w:val="decimal" w:pos="770"/>
              </w:tabs>
              <w:rPr>
                <w:bCs/>
                <w:noProof/>
                <w:color w:val="000000"/>
              </w:rPr>
            </w:pPr>
            <w:r>
              <w:rPr>
                <w:bCs/>
                <w:noProof/>
                <w:color w:val="000000"/>
              </w:rPr>
              <w:t>1</w:t>
            </w:r>
          </w:p>
        </w:tc>
        <w:tc>
          <w:tcPr>
            <w:tcW w:w="1435" w:type="dxa"/>
          </w:tcPr>
          <w:p w:rsidR="00000000" w:rsidRDefault="00000000">
            <w:pPr>
              <w:tabs>
                <w:tab w:val="decimal" w:pos="715"/>
              </w:tabs>
              <w:rPr>
                <w:bCs/>
                <w:noProof/>
                <w:color w:val="000000"/>
              </w:rPr>
            </w:pPr>
            <w:r>
              <w:rPr>
                <w:bCs/>
                <w:noProof/>
                <w:color w:val="000000"/>
              </w:rPr>
              <w:t>-</w:t>
            </w:r>
          </w:p>
        </w:tc>
      </w:tr>
      <w:tr w:rsidR="00000000">
        <w:tblPrEx>
          <w:tblCellMar>
            <w:top w:w="0" w:type="dxa"/>
            <w:bottom w:w="0" w:type="dxa"/>
          </w:tblCellMar>
        </w:tblPrEx>
        <w:trPr>
          <w:jc w:val="center"/>
        </w:trPr>
        <w:tc>
          <w:tcPr>
            <w:tcW w:w="2212" w:type="dxa"/>
          </w:tcPr>
          <w:p w:rsidR="00000000" w:rsidRDefault="00000000">
            <w:pPr>
              <w:rPr>
                <w:bCs/>
                <w:noProof/>
                <w:color w:val="000000"/>
              </w:rPr>
            </w:pPr>
            <w:r>
              <w:rPr>
                <w:bCs/>
                <w:noProof/>
                <w:color w:val="000000"/>
              </w:rPr>
              <w:t>Suiza</w:t>
            </w:r>
          </w:p>
        </w:tc>
        <w:tc>
          <w:tcPr>
            <w:tcW w:w="1428" w:type="dxa"/>
          </w:tcPr>
          <w:p w:rsidR="00000000" w:rsidRDefault="00000000">
            <w:pPr>
              <w:tabs>
                <w:tab w:val="decimal" w:pos="814"/>
              </w:tabs>
              <w:rPr>
                <w:bCs/>
                <w:noProof/>
                <w:color w:val="000000"/>
              </w:rPr>
            </w:pPr>
            <w:r>
              <w:rPr>
                <w:bCs/>
                <w:noProof/>
                <w:color w:val="000000"/>
              </w:rPr>
              <w:t>2</w:t>
            </w:r>
          </w:p>
        </w:tc>
        <w:tc>
          <w:tcPr>
            <w:tcW w:w="1428" w:type="dxa"/>
          </w:tcPr>
          <w:p w:rsidR="00000000" w:rsidRDefault="00000000">
            <w:pPr>
              <w:tabs>
                <w:tab w:val="decimal" w:pos="758"/>
              </w:tabs>
              <w:rPr>
                <w:bCs/>
                <w:noProof/>
                <w:color w:val="000000"/>
              </w:rPr>
            </w:pPr>
            <w:r>
              <w:rPr>
                <w:bCs/>
                <w:noProof/>
                <w:color w:val="000000"/>
              </w:rPr>
              <w:t>-</w:t>
            </w:r>
          </w:p>
        </w:tc>
        <w:tc>
          <w:tcPr>
            <w:tcW w:w="1428" w:type="dxa"/>
          </w:tcPr>
          <w:p w:rsidR="00000000" w:rsidRDefault="00000000">
            <w:pPr>
              <w:tabs>
                <w:tab w:val="decimal" w:pos="785"/>
              </w:tabs>
              <w:rPr>
                <w:bCs/>
                <w:noProof/>
                <w:color w:val="000000"/>
              </w:rPr>
            </w:pPr>
            <w:r>
              <w:rPr>
                <w:bCs/>
                <w:noProof/>
                <w:color w:val="000000"/>
              </w:rPr>
              <w:t>-</w:t>
            </w:r>
          </w:p>
        </w:tc>
        <w:tc>
          <w:tcPr>
            <w:tcW w:w="1428" w:type="dxa"/>
          </w:tcPr>
          <w:p w:rsidR="00000000" w:rsidRDefault="00000000">
            <w:pPr>
              <w:tabs>
                <w:tab w:val="decimal" w:pos="770"/>
              </w:tabs>
              <w:rPr>
                <w:bCs/>
                <w:noProof/>
                <w:color w:val="000000"/>
              </w:rPr>
            </w:pPr>
            <w:r>
              <w:rPr>
                <w:bCs/>
                <w:noProof/>
                <w:color w:val="000000"/>
              </w:rPr>
              <w:t>-</w:t>
            </w:r>
          </w:p>
        </w:tc>
        <w:tc>
          <w:tcPr>
            <w:tcW w:w="1435" w:type="dxa"/>
          </w:tcPr>
          <w:p w:rsidR="00000000" w:rsidRDefault="00000000">
            <w:pPr>
              <w:tabs>
                <w:tab w:val="decimal" w:pos="715"/>
              </w:tabs>
              <w:rPr>
                <w:bCs/>
                <w:noProof/>
                <w:color w:val="000000"/>
              </w:rPr>
            </w:pPr>
            <w:r>
              <w:rPr>
                <w:bCs/>
                <w:noProof/>
                <w:color w:val="000000"/>
              </w:rPr>
              <w:t>-</w:t>
            </w:r>
          </w:p>
        </w:tc>
      </w:tr>
      <w:tr w:rsidR="00000000">
        <w:tblPrEx>
          <w:tblCellMar>
            <w:top w:w="0" w:type="dxa"/>
            <w:bottom w:w="0" w:type="dxa"/>
          </w:tblCellMar>
        </w:tblPrEx>
        <w:trPr>
          <w:jc w:val="center"/>
        </w:trPr>
        <w:tc>
          <w:tcPr>
            <w:tcW w:w="2212" w:type="dxa"/>
          </w:tcPr>
          <w:p w:rsidR="00000000" w:rsidRDefault="00000000">
            <w:pPr>
              <w:rPr>
                <w:bCs/>
                <w:noProof/>
                <w:color w:val="000000"/>
              </w:rPr>
            </w:pPr>
            <w:r>
              <w:rPr>
                <w:bCs/>
                <w:noProof/>
                <w:color w:val="000000"/>
              </w:rPr>
              <w:t>Bolivia</w:t>
            </w:r>
          </w:p>
        </w:tc>
        <w:tc>
          <w:tcPr>
            <w:tcW w:w="1428" w:type="dxa"/>
          </w:tcPr>
          <w:p w:rsidR="00000000" w:rsidRDefault="00000000">
            <w:pPr>
              <w:tabs>
                <w:tab w:val="decimal" w:pos="814"/>
              </w:tabs>
              <w:rPr>
                <w:bCs/>
                <w:noProof/>
                <w:color w:val="000000"/>
              </w:rPr>
            </w:pPr>
            <w:r>
              <w:rPr>
                <w:bCs/>
                <w:noProof/>
                <w:color w:val="000000"/>
              </w:rPr>
              <w:t>1</w:t>
            </w:r>
          </w:p>
        </w:tc>
        <w:tc>
          <w:tcPr>
            <w:tcW w:w="1428" w:type="dxa"/>
          </w:tcPr>
          <w:p w:rsidR="00000000" w:rsidRDefault="00000000">
            <w:pPr>
              <w:tabs>
                <w:tab w:val="decimal" w:pos="758"/>
              </w:tabs>
              <w:rPr>
                <w:bCs/>
                <w:noProof/>
                <w:color w:val="000000"/>
              </w:rPr>
            </w:pPr>
            <w:r>
              <w:rPr>
                <w:bCs/>
                <w:noProof/>
                <w:color w:val="000000"/>
              </w:rPr>
              <w:t>-</w:t>
            </w:r>
          </w:p>
        </w:tc>
        <w:tc>
          <w:tcPr>
            <w:tcW w:w="1428" w:type="dxa"/>
          </w:tcPr>
          <w:p w:rsidR="00000000" w:rsidRDefault="00000000">
            <w:pPr>
              <w:tabs>
                <w:tab w:val="decimal" w:pos="785"/>
              </w:tabs>
              <w:rPr>
                <w:bCs/>
                <w:noProof/>
                <w:color w:val="000000"/>
              </w:rPr>
            </w:pPr>
            <w:r>
              <w:rPr>
                <w:bCs/>
                <w:noProof/>
                <w:color w:val="000000"/>
              </w:rPr>
              <w:t>-</w:t>
            </w:r>
          </w:p>
        </w:tc>
        <w:tc>
          <w:tcPr>
            <w:tcW w:w="1428" w:type="dxa"/>
          </w:tcPr>
          <w:p w:rsidR="00000000" w:rsidRDefault="00000000">
            <w:pPr>
              <w:tabs>
                <w:tab w:val="decimal" w:pos="770"/>
              </w:tabs>
              <w:rPr>
                <w:bCs/>
                <w:noProof/>
                <w:color w:val="000000"/>
              </w:rPr>
            </w:pPr>
            <w:r>
              <w:rPr>
                <w:bCs/>
                <w:noProof/>
                <w:color w:val="000000"/>
              </w:rPr>
              <w:t>-</w:t>
            </w:r>
          </w:p>
        </w:tc>
        <w:tc>
          <w:tcPr>
            <w:tcW w:w="1435" w:type="dxa"/>
          </w:tcPr>
          <w:p w:rsidR="00000000" w:rsidRDefault="00000000">
            <w:pPr>
              <w:tabs>
                <w:tab w:val="decimal" w:pos="715"/>
              </w:tabs>
              <w:rPr>
                <w:bCs/>
                <w:noProof/>
                <w:color w:val="000000"/>
              </w:rPr>
            </w:pPr>
            <w:r>
              <w:rPr>
                <w:bCs/>
                <w:noProof/>
                <w:color w:val="000000"/>
              </w:rPr>
              <w:t>-</w:t>
            </w:r>
          </w:p>
        </w:tc>
      </w:tr>
      <w:tr w:rsidR="00000000">
        <w:tblPrEx>
          <w:tblCellMar>
            <w:top w:w="0" w:type="dxa"/>
            <w:bottom w:w="0" w:type="dxa"/>
          </w:tblCellMar>
        </w:tblPrEx>
        <w:trPr>
          <w:jc w:val="center"/>
        </w:trPr>
        <w:tc>
          <w:tcPr>
            <w:tcW w:w="2212" w:type="dxa"/>
          </w:tcPr>
          <w:p w:rsidR="00000000" w:rsidRDefault="00000000">
            <w:pPr>
              <w:rPr>
                <w:bCs/>
                <w:noProof/>
                <w:color w:val="000000"/>
              </w:rPr>
            </w:pPr>
            <w:r>
              <w:rPr>
                <w:bCs/>
                <w:noProof/>
                <w:color w:val="000000"/>
              </w:rPr>
              <w:t>Bélgica</w:t>
            </w:r>
          </w:p>
        </w:tc>
        <w:tc>
          <w:tcPr>
            <w:tcW w:w="1428" w:type="dxa"/>
          </w:tcPr>
          <w:p w:rsidR="00000000" w:rsidRDefault="00000000">
            <w:pPr>
              <w:tabs>
                <w:tab w:val="decimal" w:pos="814"/>
              </w:tabs>
              <w:rPr>
                <w:bCs/>
                <w:noProof/>
                <w:color w:val="000000"/>
              </w:rPr>
            </w:pPr>
            <w:r>
              <w:rPr>
                <w:bCs/>
                <w:noProof/>
                <w:color w:val="000000"/>
              </w:rPr>
              <w:t>2</w:t>
            </w:r>
          </w:p>
        </w:tc>
        <w:tc>
          <w:tcPr>
            <w:tcW w:w="1428" w:type="dxa"/>
          </w:tcPr>
          <w:p w:rsidR="00000000" w:rsidRDefault="00000000">
            <w:pPr>
              <w:tabs>
                <w:tab w:val="decimal" w:pos="758"/>
              </w:tabs>
              <w:rPr>
                <w:bCs/>
                <w:noProof/>
                <w:color w:val="000000"/>
              </w:rPr>
            </w:pPr>
            <w:r>
              <w:rPr>
                <w:bCs/>
                <w:noProof/>
                <w:color w:val="000000"/>
              </w:rPr>
              <w:t>1</w:t>
            </w:r>
          </w:p>
        </w:tc>
        <w:tc>
          <w:tcPr>
            <w:tcW w:w="1428" w:type="dxa"/>
          </w:tcPr>
          <w:p w:rsidR="00000000" w:rsidRDefault="00000000">
            <w:pPr>
              <w:tabs>
                <w:tab w:val="decimal" w:pos="785"/>
              </w:tabs>
              <w:rPr>
                <w:bCs/>
                <w:noProof/>
                <w:color w:val="000000"/>
              </w:rPr>
            </w:pPr>
            <w:r>
              <w:rPr>
                <w:bCs/>
                <w:noProof/>
                <w:color w:val="000000"/>
              </w:rPr>
              <w:t>-</w:t>
            </w:r>
          </w:p>
        </w:tc>
        <w:tc>
          <w:tcPr>
            <w:tcW w:w="1428" w:type="dxa"/>
          </w:tcPr>
          <w:p w:rsidR="00000000" w:rsidRDefault="00000000">
            <w:pPr>
              <w:tabs>
                <w:tab w:val="decimal" w:pos="770"/>
              </w:tabs>
              <w:rPr>
                <w:bCs/>
                <w:noProof/>
                <w:color w:val="000000"/>
              </w:rPr>
            </w:pPr>
            <w:r>
              <w:rPr>
                <w:bCs/>
                <w:noProof/>
                <w:color w:val="000000"/>
              </w:rPr>
              <w:t>-</w:t>
            </w:r>
          </w:p>
        </w:tc>
        <w:tc>
          <w:tcPr>
            <w:tcW w:w="1435" w:type="dxa"/>
          </w:tcPr>
          <w:p w:rsidR="00000000" w:rsidRDefault="00000000">
            <w:pPr>
              <w:tabs>
                <w:tab w:val="decimal" w:pos="715"/>
              </w:tabs>
              <w:rPr>
                <w:bCs/>
                <w:noProof/>
                <w:color w:val="000000"/>
              </w:rPr>
            </w:pPr>
            <w:r>
              <w:rPr>
                <w:bCs/>
                <w:noProof/>
                <w:color w:val="000000"/>
              </w:rPr>
              <w:t>-</w:t>
            </w:r>
          </w:p>
        </w:tc>
      </w:tr>
      <w:tr w:rsidR="00000000">
        <w:tblPrEx>
          <w:tblCellMar>
            <w:top w:w="0" w:type="dxa"/>
            <w:bottom w:w="0" w:type="dxa"/>
          </w:tblCellMar>
        </w:tblPrEx>
        <w:trPr>
          <w:jc w:val="center"/>
        </w:trPr>
        <w:tc>
          <w:tcPr>
            <w:tcW w:w="2212" w:type="dxa"/>
          </w:tcPr>
          <w:p w:rsidR="00000000" w:rsidRDefault="00000000">
            <w:pPr>
              <w:rPr>
                <w:bCs/>
                <w:noProof/>
                <w:color w:val="000000"/>
              </w:rPr>
            </w:pPr>
            <w:r>
              <w:rPr>
                <w:bCs/>
                <w:noProof/>
                <w:color w:val="000000"/>
              </w:rPr>
              <w:tab/>
              <w:t>Total</w:t>
            </w:r>
          </w:p>
        </w:tc>
        <w:tc>
          <w:tcPr>
            <w:tcW w:w="1428" w:type="dxa"/>
          </w:tcPr>
          <w:p w:rsidR="00000000" w:rsidRDefault="00000000">
            <w:pPr>
              <w:tabs>
                <w:tab w:val="decimal" w:pos="814"/>
              </w:tabs>
              <w:rPr>
                <w:bCs/>
                <w:noProof/>
                <w:color w:val="000000"/>
              </w:rPr>
            </w:pPr>
            <w:r>
              <w:rPr>
                <w:bCs/>
                <w:noProof/>
                <w:color w:val="000000"/>
              </w:rPr>
              <w:t>110</w:t>
            </w:r>
          </w:p>
        </w:tc>
        <w:tc>
          <w:tcPr>
            <w:tcW w:w="1428" w:type="dxa"/>
          </w:tcPr>
          <w:p w:rsidR="00000000" w:rsidRDefault="00000000">
            <w:pPr>
              <w:tabs>
                <w:tab w:val="decimal" w:pos="758"/>
              </w:tabs>
              <w:rPr>
                <w:bCs/>
                <w:noProof/>
                <w:color w:val="000000"/>
              </w:rPr>
            </w:pPr>
            <w:r>
              <w:rPr>
                <w:bCs/>
                <w:noProof/>
                <w:color w:val="000000"/>
              </w:rPr>
              <w:t>44</w:t>
            </w:r>
          </w:p>
        </w:tc>
        <w:tc>
          <w:tcPr>
            <w:tcW w:w="1428" w:type="dxa"/>
          </w:tcPr>
          <w:p w:rsidR="00000000" w:rsidRDefault="00000000">
            <w:pPr>
              <w:tabs>
                <w:tab w:val="decimal" w:pos="785"/>
              </w:tabs>
              <w:rPr>
                <w:bCs/>
                <w:noProof/>
                <w:color w:val="000000"/>
              </w:rPr>
            </w:pPr>
            <w:r>
              <w:rPr>
                <w:bCs/>
                <w:noProof/>
                <w:color w:val="000000"/>
              </w:rPr>
              <w:t>86</w:t>
            </w:r>
          </w:p>
        </w:tc>
        <w:tc>
          <w:tcPr>
            <w:tcW w:w="1428" w:type="dxa"/>
          </w:tcPr>
          <w:p w:rsidR="00000000" w:rsidRDefault="00000000">
            <w:pPr>
              <w:tabs>
                <w:tab w:val="decimal" w:pos="770"/>
              </w:tabs>
              <w:rPr>
                <w:bCs/>
                <w:noProof/>
                <w:color w:val="000000"/>
              </w:rPr>
            </w:pPr>
            <w:r>
              <w:rPr>
                <w:bCs/>
                <w:noProof/>
                <w:color w:val="000000"/>
              </w:rPr>
              <w:t>70</w:t>
            </w:r>
          </w:p>
        </w:tc>
        <w:tc>
          <w:tcPr>
            <w:tcW w:w="1435" w:type="dxa"/>
          </w:tcPr>
          <w:p w:rsidR="00000000" w:rsidRDefault="00000000">
            <w:pPr>
              <w:tabs>
                <w:tab w:val="decimal" w:pos="715"/>
              </w:tabs>
              <w:rPr>
                <w:bCs/>
                <w:noProof/>
                <w:color w:val="000000"/>
              </w:rPr>
            </w:pPr>
            <w:r>
              <w:rPr>
                <w:bCs/>
                <w:noProof/>
                <w:color w:val="000000"/>
              </w:rPr>
              <w:t>90</w:t>
            </w:r>
          </w:p>
        </w:tc>
      </w:tr>
    </w:tbl>
    <w:p w:rsidR="00000000" w:rsidRDefault="00000000">
      <w:pPr>
        <w:spacing w:before="240"/>
        <w:rPr>
          <w:bCs/>
          <w:noProof/>
          <w:color w:val="000000"/>
        </w:rPr>
      </w:pPr>
      <w:r>
        <w:rPr>
          <w:bCs/>
          <w:noProof/>
          <w:color w:val="000000"/>
        </w:rPr>
        <w:t>Fuente:  SENAME, 2004.</w:t>
      </w:r>
    </w:p>
    <w:p w:rsidR="00000000" w:rsidRDefault="00000000">
      <w:pPr>
        <w:spacing w:before="240" w:after="480"/>
        <w:rPr>
          <w:bCs/>
        </w:rPr>
      </w:pPr>
      <w:r>
        <w:rPr>
          <w:b/>
          <w:vertAlign w:val="superscript"/>
        </w:rPr>
        <w:t>*</w:t>
      </w:r>
      <w:r>
        <w:rPr>
          <w:bCs/>
        </w:rPr>
        <w:t xml:space="preserve"> Dos casos corresponden a niños y niñas enlazados los meses de </w:t>
      </w:r>
      <w:r>
        <w:rPr>
          <w:bCs/>
          <w:noProof/>
          <w:color w:val="000000"/>
        </w:rPr>
        <w:t>noviembre</w:t>
      </w:r>
      <w:r>
        <w:rPr>
          <w:bCs/>
        </w:rPr>
        <w:t xml:space="preserve"> y diciembre de ese año, bajo la vigencia de la Ley N° 19.620.</w:t>
      </w:r>
    </w:p>
    <w:p w:rsidR="00000000" w:rsidRDefault="00000000">
      <w:pPr>
        <w:keepNext/>
        <w:keepLines/>
        <w:spacing w:after="240"/>
        <w:jc w:val="center"/>
        <w:outlineLvl w:val="0"/>
        <w:rPr>
          <w:b/>
        </w:rPr>
      </w:pPr>
      <w:r>
        <w:rPr>
          <w:b/>
          <w:color w:val="000000"/>
        </w:rPr>
        <w:t xml:space="preserve">Cuadro </w:t>
      </w:r>
      <w:r>
        <w:rPr>
          <w:b/>
        </w:rPr>
        <w:t>9</w:t>
      </w:r>
    </w:p>
    <w:p w:rsidR="00000000" w:rsidRDefault="00000000">
      <w:pPr>
        <w:pStyle w:val="Heading1"/>
        <w:keepLines/>
        <w:widowControl/>
        <w:tabs>
          <w:tab w:val="clear" w:pos="4873"/>
        </w:tabs>
        <w:spacing w:after="240" w:line="240" w:lineRule="auto"/>
        <w:rPr>
          <w:b/>
          <w:bCs/>
          <w:noProof/>
          <w:color w:val="000000"/>
          <w:u w:val="none"/>
          <w:lang w:val="es-ES"/>
        </w:rPr>
      </w:pPr>
      <w:r>
        <w:rPr>
          <w:b/>
          <w:bCs/>
          <w:u w:val="none"/>
          <w:lang w:val="es-ES"/>
        </w:rPr>
        <w:t xml:space="preserve">Niños y niñas enlazados con matrimonios extranjeros, </w:t>
      </w:r>
      <w:r>
        <w:rPr>
          <w:b/>
          <w:bCs/>
          <w:noProof/>
          <w:color w:val="000000"/>
          <w:u w:val="none"/>
          <w:lang w:val="es-ES"/>
        </w:rPr>
        <w:t>1999-2003, por sexo</w:t>
      </w:r>
    </w:p>
    <w:tbl>
      <w:tblPr>
        <w:tblW w:w="0" w:type="auto"/>
        <w:jc w:val="center"/>
        <w:tblBorders>
          <w:top w:val="single" w:sz="4" w:space="0" w:color="auto"/>
          <w:left w:val="single" w:sz="4" w:space="0" w:color="auto"/>
          <w:bottom w:val="single" w:sz="4" w:space="0" w:color="auto"/>
          <w:right w:val="single" w:sz="4" w:space="0" w:color="auto"/>
          <w:insideH w:val="single" w:sz="8" w:space="0" w:color="000000"/>
          <w:insideV w:val="single" w:sz="8" w:space="0" w:color="000000"/>
        </w:tblBorders>
        <w:tblLayout w:type="fixed"/>
        <w:tblCellMar>
          <w:left w:w="73" w:type="dxa"/>
          <w:right w:w="73" w:type="dxa"/>
        </w:tblCellMar>
        <w:tblLook w:val="0000" w:firstRow="0" w:lastRow="0" w:firstColumn="0" w:lastColumn="0" w:noHBand="0" w:noVBand="0"/>
      </w:tblPr>
      <w:tblGrid>
        <w:gridCol w:w="2206"/>
        <w:gridCol w:w="1513"/>
        <w:gridCol w:w="1513"/>
        <w:gridCol w:w="1386"/>
        <w:gridCol w:w="1369"/>
        <w:gridCol w:w="1371"/>
      </w:tblGrid>
      <w:tr w:rsidR="00000000">
        <w:tblPrEx>
          <w:tblCellMar>
            <w:top w:w="0" w:type="dxa"/>
            <w:bottom w:w="0" w:type="dxa"/>
          </w:tblCellMar>
        </w:tblPrEx>
        <w:trPr>
          <w:jc w:val="center"/>
        </w:trPr>
        <w:tc>
          <w:tcPr>
            <w:tcW w:w="2206" w:type="dxa"/>
          </w:tcPr>
          <w:p w:rsidR="00000000" w:rsidRDefault="00000000">
            <w:pPr>
              <w:keepNext/>
              <w:keepLines/>
              <w:jc w:val="center"/>
              <w:rPr>
                <w:b/>
                <w:noProof/>
                <w:color w:val="000000"/>
              </w:rPr>
            </w:pPr>
            <w:r>
              <w:rPr>
                <w:b/>
                <w:noProof/>
                <w:color w:val="000000"/>
              </w:rPr>
              <w:t>Sexo/años</w:t>
            </w:r>
          </w:p>
        </w:tc>
        <w:tc>
          <w:tcPr>
            <w:tcW w:w="1513" w:type="dxa"/>
          </w:tcPr>
          <w:p w:rsidR="00000000" w:rsidRDefault="00000000">
            <w:pPr>
              <w:keepNext/>
              <w:keepLines/>
              <w:jc w:val="center"/>
              <w:rPr>
                <w:b/>
                <w:noProof/>
                <w:color w:val="000000"/>
              </w:rPr>
            </w:pPr>
            <w:r>
              <w:rPr>
                <w:b/>
                <w:noProof/>
                <w:color w:val="000000"/>
              </w:rPr>
              <w:t>1999</w:t>
            </w:r>
          </w:p>
        </w:tc>
        <w:tc>
          <w:tcPr>
            <w:tcW w:w="1513" w:type="dxa"/>
          </w:tcPr>
          <w:p w:rsidR="00000000" w:rsidRDefault="00000000">
            <w:pPr>
              <w:keepNext/>
              <w:keepLines/>
              <w:jc w:val="center"/>
              <w:rPr>
                <w:b/>
                <w:noProof/>
                <w:color w:val="000000"/>
              </w:rPr>
            </w:pPr>
            <w:r>
              <w:rPr>
                <w:b/>
                <w:noProof/>
                <w:color w:val="000000"/>
              </w:rPr>
              <w:t>2000</w:t>
            </w:r>
          </w:p>
        </w:tc>
        <w:tc>
          <w:tcPr>
            <w:tcW w:w="1386" w:type="dxa"/>
          </w:tcPr>
          <w:p w:rsidR="00000000" w:rsidRDefault="00000000">
            <w:pPr>
              <w:keepNext/>
              <w:keepLines/>
              <w:jc w:val="center"/>
              <w:rPr>
                <w:b/>
                <w:noProof/>
                <w:color w:val="000000"/>
              </w:rPr>
            </w:pPr>
            <w:r>
              <w:rPr>
                <w:b/>
                <w:noProof/>
                <w:color w:val="000000"/>
              </w:rPr>
              <w:t>2001</w:t>
            </w:r>
          </w:p>
        </w:tc>
        <w:tc>
          <w:tcPr>
            <w:tcW w:w="1369" w:type="dxa"/>
          </w:tcPr>
          <w:p w:rsidR="00000000" w:rsidRDefault="00000000">
            <w:pPr>
              <w:keepNext/>
              <w:keepLines/>
              <w:jc w:val="center"/>
              <w:rPr>
                <w:b/>
                <w:noProof/>
                <w:color w:val="000000"/>
              </w:rPr>
            </w:pPr>
            <w:r>
              <w:rPr>
                <w:b/>
                <w:noProof/>
                <w:color w:val="000000"/>
              </w:rPr>
              <w:t>2002</w:t>
            </w:r>
          </w:p>
        </w:tc>
        <w:tc>
          <w:tcPr>
            <w:tcW w:w="1371" w:type="dxa"/>
          </w:tcPr>
          <w:p w:rsidR="00000000" w:rsidRDefault="00000000">
            <w:pPr>
              <w:keepNext/>
              <w:keepLines/>
              <w:jc w:val="center"/>
              <w:rPr>
                <w:b/>
                <w:noProof/>
                <w:color w:val="000000"/>
              </w:rPr>
            </w:pPr>
            <w:r>
              <w:rPr>
                <w:b/>
                <w:noProof/>
                <w:color w:val="000000"/>
              </w:rPr>
              <w:t>2003</w:t>
            </w:r>
          </w:p>
        </w:tc>
      </w:tr>
      <w:tr w:rsidR="00000000">
        <w:tblPrEx>
          <w:tblCellMar>
            <w:top w:w="0" w:type="dxa"/>
            <w:bottom w:w="0" w:type="dxa"/>
          </w:tblCellMar>
        </w:tblPrEx>
        <w:trPr>
          <w:jc w:val="center"/>
        </w:trPr>
        <w:tc>
          <w:tcPr>
            <w:tcW w:w="2206" w:type="dxa"/>
          </w:tcPr>
          <w:p w:rsidR="00000000" w:rsidRDefault="00000000">
            <w:pPr>
              <w:rPr>
                <w:bCs/>
                <w:noProof/>
                <w:color w:val="000000"/>
              </w:rPr>
            </w:pPr>
            <w:r>
              <w:rPr>
                <w:bCs/>
                <w:noProof/>
                <w:color w:val="000000"/>
              </w:rPr>
              <w:t>Femenino</w:t>
            </w:r>
          </w:p>
        </w:tc>
        <w:tc>
          <w:tcPr>
            <w:tcW w:w="1513" w:type="dxa"/>
          </w:tcPr>
          <w:p w:rsidR="00000000" w:rsidRDefault="00000000">
            <w:pPr>
              <w:tabs>
                <w:tab w:val="decimal" w:pos="843"/>
              </w:tabs>
              <w:rPr>
                <w:bCs/>
                <w:noProof/>
                <w:color w:val="000000"/>
              </w:rPr>
            </w:pPr>
            <w:r>
              <w:rPr>
                <w:bCs/>
                <w:noProof/>
                <w:color w:val="000000"/>
              </w:rPr>
              <w:t>54</w:t>
            </w:r>
          </w:p>
        </w:tc>
        <w:tc>
          <w:tcPr>
            <w:tcW w:w="1513" w:type="dxa"/>
          </w:tcPr>
          <w:p w:rsidR="00000000" w:rsidRDefault="00000000">
            <w:pPr>
              <w:jc w:val="center"/>
              <w:rPr>
                <w:bCs/>
                <w:noProof/>
                <w:color w:val="000000"/>
              </w:rPr>
            </w:pPr>
            <w:r>
              <w:rPr>
                <w:bCs/>
                <w:noProof/>
                <w:color w:val="000000"/>
              </w:rPr>
              <w:t>21</w:t>
            </w:r>
          </w:p>
        </w:tc>
        <w:tc>
          <w:tcPr>
            <w:tcW w:w="1386" w:type="dxa"/>
          </w:tcPr>
          <w:p w:rsidR="00000000" w:rsidRDefault="00000000">
            <w:pPr>
              <w:jc w:val="center"/>
              <w:rPr>
                <w:bCs/>
                <w:noProof/>
                <w:color w:val="000000"/>
              </w:rPr>
            </w:pPr>
            <w:r>
              <w:rPr>
                <w:bCs/>
                <w:noProof/>
                <w:color w:val="000000"/>
              </w:rPr>
              <w:t>53</w:t>
            </w:r>
          </w:p>
        </w:tc>
        <w:tc>
          <w:tcPr>
            <w:tcW w:w="1369" w:type="dxa"/>
          </w:tcPr>
          <w:p w:rsidR="00000000" w:rsidRDefault="00000000">
            <w:pPr>
              <w:jc w:val="center"/>
              <w:rPr>
                <w:bCs/>
                <w:noProof/>
                <w:color w:val="000000"/>
              </w:rPr>
            </w:pPr>
            <w:r>
              <w:rPr>
                <w:bCs/>
                <w:noProof/>
                <w:color w:val="000000"/>
              </w:rPr>
              <w:t>33</w:t>
            </w:r>
          </w:p>
        </w:tc>
        <w:tc>
          <w:tcPr>
            <w:tcW w:w="1371" w:type="dxa"/>
          </w:tcPr>
          <w:p w:rsidR="00000000" w:rsidRDefault="00000000">
            <w:pPr>
              <w:jc w:val="center"/>
              <w:rPr>
                <w:bCs/>
                <w:noProof/>
                <w:color w:val="000000"/>
              </w:rPr>
            </w:pPr>
            <w:r>
              <w:rPr>
                <w:bCs/>
                <w:noProof/>
                <w:color w:val="000000"/>
              </w:rPr>
              <w:t>44</w:t>
            </w:r>
          </w:p>
        </w:tc>
      </w:tr>
      <w:tr w:rsidR="00000000">
        <w:tblPrEx>
          <w:tblCellMar>
            <w:top w:w="0" w:type="dxa"/>
            <w:bottom w:w="0" w:type="dxa"/>
          </w:tblCellMar>
        </w:tblPrEx>
        <w:trPr>
          <w:jc w:val="center"/>
        </w:trPr>
        <w:tc>
          <w:tcPr>
            <w:tcW w:w="2206" w:type="dxa"/>
          </w:tcPr>
          <w:p w:rsidR="00000000" w:rsidRDefault="00000000">
            <w:pPr>
              <w:rPr>
                <w:bCs/>
                <w:noProof/>
                <w:color w:val="000000"/>
              </w:rPr>
            </w:pPr>
            <w:r>
              <w:rPr>
                <w:bCs/>
                <w:noProof/>
                <w:color w:val="000000"/>
              </w:rPr>
              <w:t>Masculino</w:t>
            </w:r>
          </w:p>
        </w:tc>
        <w:tc>
          <w:tcPr>
            <w:tcW w:w="1513" w:type="dxa"/>
          </w:tcPr>
          <w:p w:rsidR="00000000" w:rsidRDefault="00000000">
            <w:pPr>
              <w:tabs>
                <w:tab w:val="decimal" w:pos="843"/>
              </w:tabs>
              <w:rPr>
                <w:bCs/>
                <w:noProof/>
                <w:color w:val="000000"/>
              </w:rPr>
            </w:pPr>
            <w:r>
              <w:rPr>
                <w:bCs/>
                <w:noProof/>
                <w:color w:val="000000"/>
              </w:rPr>
              <w:t>56</w:t>
            </w:r>
          </w:p>
        </w:tc>
        <w:tc>
          <w:tcPr>
            <w:tcW w:w="1513" w:type="dxa"/>
          </w:tcPr>
          <w:p w:rsidR="00000000" w:rsidRDefault="00000000">
            <w:pPr>
              <w:jc w:val="center"/>
              <w:rPr>
                <w:bCs/>
                <w:noProof/>
                <w:color w:val="000000"/>
              </w:rPr>
            </w:pPr>
            <w:r>
              <w:rPr>
                <w:bCs/>
                <w:noProof/>
                <w:color w:val="000000"/>
              </w:rPr>
              <w:t>23</w:t>
            </w:r>
          </w:p>
        </w:tc>
        <w:tc>
          <w:tcPr>
            <w:tcW w:w="1386" w:type="dxa"/>
          </w:tcPr>
          <w:p w:rsidR="00000000" w:rsidRDefault="00000000">
            <w:pPr>
              <w:jc w:val="center"/>
              <w:rPr>
                <w:bCs/>
                <w:noProof/>
                <w:color w:val="000000"/>
              </w:rPr>
            </w:pPr>
            <w:r>
              <w:rPr>
                <w:bCs/>
                <w:noProof/>
                <w:color w:val="000000"/>
              </w:rPr>
              <w:t>33</w:t>
            </w:r>
          </w:p>
        </w:tc>
        <w:tc>
          <w:tcPr>
            <w:tcW w:w="1369" w:type="dxa"/>
          </w:tcPr>
          <w:p w:rsidR="00000000" w:rsidRDefault="00000000">
            <w:pPr>
              <w:jc w:val="center"/>
              <w:rPr>
                <w:bCs/>
                <w:noProof/>
                <w:color w:val="000000"/>
              </w:rPr>
            </w:pPr>
            <w:r>
              <w:rPr>
                <w:bCs/>
                <w:noProof/>
                <w:color w:val="000000"/>
              </w:rPr>
              <w:t>37</w:t>
            </w:r>
          </w:p>
        </w:tc>
        <w:tc>
          <w:tcPr>
            <w:tcW w:w="1371" w:type="dxa"/>
          </w:tcPr>
          <w:p w:rsidR="00000000" w:rsidRDefault="00000000">
            <w:pPr>
              <w:jc w:val="center"/>
              <w:rPr>
                <w:bCs/>
                <w:noProof/>
                <w:color w:val="000000"/>
              </w:rPr>
            </w:pPr>
            <w:r>
              <w:rPr>
                <w:bCs/>
                <w:noProof/>
                <w:color w:val="000000"/>
              </w:rPr>
              <w:t>46</w:t>
            </w:r>
          </w:p>
        </w:tc>
      </w:tr>
      <w:tr w:rsidR="00000000">
        <w:tblPrEx>
          <w:tblCellMar>
            <w:top w:w="0" w:type="dxa"/>
            <w:bottom w:w="0" w:type="dxa"/>
          </w:tblCellMar>
        </w:tblPrEx>
        <w:trPr>
          <w:jc w:val="center"/>
        </w:trPr>
        <w:tc>
          <w:tcPr>
            <w:tcW w:w="2206" w:type="dxa"/>
          </w:tcPr>
          <w:p w:rsidR="00000000" w:rsidRDefault="00000000">
            <w:pPr>
              <w:rPr>
                <w:bCs/>
                <w:noProof/>
                <w:color w:val="000000"/>
              </w:rPr>
            </w:pPr>
            <w:r>
              <w:rPr>
                <w:bCs/>
                <w:noProof/>
                <w:color w:val="000000"/>
              </w:rPr>
              <w:tab/>
              <w:t>Total</w:t>
            </w:r>
          </w:p>
        </w:tc>
        <w:tc>
          <w:tcPr>
            <w:tcW w:w="1513" w:type="dxa"/>
          </w:tcPr>
          <w:p w:rsidR="00000000" w:rsidRDefault="00000000">
            <w:pPr>
              <w:tabs>
                <w:tab w:val="decimal" w:pos="843"/>
              </w:tabs>
              <w:rPr>
                <w:bCs/>
                <w:noProof/>
                <w:color w:val="000000"/>
              </w:rPr>
            </w:pPr>
            <w:r>
              <w:rPr>
                <w:bCs/>
                <w:noProof/>
                <w:color w:val="000000"/>
              </w:rPr>
              <w:t>110</w:t>
            </w:r>
          </w:p>
        </w:tc>
        <w:tc>
          <w:tcPr>
            <w:tcW w:w="1513" w:type="dxa"/>
          </w:tcPr>
          <w:p w:rsidR="00000000" w:rsidRDefault="00000000">
            <w:pPr>
              <w:jc w:val="center"/>
              <w:rPr>
                <w:bCs/>
                <w:noProof/>
                <w:color w:val="000000"/>
              </w:rPr>
            </w:pPr>
            <w:r>
              <w:rPr>
                <w:bCs/>
                <w:noProof/>
                <w:color w:val="000000"/>
              </w:rPr>
              <w:t>44</w:t>
            </w:r>
          </w:p>
        </w:tc>
        <w:tc>
          <w:tcPr>
            <w:tcW w:w="1386" w:type="dxa"/>
          </w:tcPr>
          <w:p w:rsidR="00000000" w:rsidRDefault="00000000">
            <w:pPr>
              <w:jc w:val="center"/>
              <w:rPr>
                <w:bCs/>
                <w:noProof/>
                <w:color w:val="000000"/>
              </w:rPr>
            </w:pPr>
            <w:r>
              <w:rPr>
                <w:bCs/>
                <w:noProof/>
                <w:color w:val="000000"/>
              </w:rPr>
              <w:t>86</w:t>
            </w:r>
          </w:p>
        </w:tc>
        <w:tc>
          <w:tcPr>
            <w:tcW w:w="1369" w:type="dxa"/>
          </w:tcPr>
          <w:p w:rsidR="00000000" w:rsidRDefault="00000000">
            <w:pPr>
              <w:jc w:val="center"/>
              <w:rPr>
                <w:bCs/>
                <w:noProof/>
                <w:color w:val="000000"/>
              </w:rPr>
            </w:pPr>
            <w:r>
              <w:rPr>
                <w:bCs/>
                <w:noProof/>
                <w:color w:val="000000"/>
              </w:rPr>
              <w:t>70</w:t>
            </w:r>
          </w:p>
        </w:tc>
        <w:tc>
          <w:tcPr>
            <w:tcW w:w="1371" w:type="dxa"/>
          </w:tcPr>
          <w:p w:rsidR="00000000" w:rsidRDefault="00000000">
            <w:pPr>
              <w:jc w:val="center"/>
              <w:rPr>
                <w:bCs/>
                <w:noProof/>
                <w:color w:val="000000"/>
              </w:rPr>
            </w:pPr>
            <w:r>
              <w:rPr>
                <w:bCs/>
                <w:noProof/>
                <w:color w:val="000000"/>
              </w:rPr>
              <w:t>90</w:t>
            </w:r>
          </w:p>
        </w:tc>
      </w:tr>
    </w:tbl>
    <w:p w:rsidR="00000000" w:rsidRDefault="00000000">
      <w:pPr>
        <w:spacing w:before="240" w:after="360"/>
        <w:rPr>
          <w:bCs/>
          <w:noProof/>
          <w:color w:val="000000"/>
        </w:rPr>
      </w:pPr>
      <w:r>
        <w:rPr>
          <w:bCs/>
          <w:i/>
          <w:iCs/>
          <w:noProof/>
          <w:color w:val="000000"/>
        </w:rPr>
        <w:t>Fuente</w:t>
      </w:r>
      <w:r>
        <w:rPr>
          <w:bCs/>
          <w:noProof/>
          <w:color w:val="000000"/>
        </w:rPr>
        <w:t>:  SENAME, 2004.</w:t>
      </w:r>
    </w:p>
    <w:p w:rsidR="00000000" w:rsidRDefault="00000000">
      <w:pPr>
        <w:pStyle w:val="Heading1"/>
        <w:widowControl/>
        <w:tabs>
          <w:tab w:val="clear" w:pos="4873"/>
        </w:tabs>
        <w:spacing w:after="240" w:line="240" w:lineRule="auto"/>
        <w:rPr>
          <w:b/>
          <w:u w:val="none"/>
          <w:lang w:val="es-ES"/>
        </w:rPr>
      </w:pPr>
      <w:r>
        <w:rPr>
          <w:b/>
          <w:u w:val="none"/>
          <w:lang w:val="es-ES"/>
        </w:rPr>
        <w:t>Cuadro 10</w:t>
      </w:r>
    </w:p>
    <w:p w:rsidR="00000000" w:rsidRDefault="00000000">
      <w:pPr>
        <w:spacing w:after="240"/>
        <w:jc w:val="center"/>
        <w:outlineLvl w:val="0"/>
        <w:rPr>
          <w:bCs/>
          <w:noProof/>
          <w:color w:val="000000"/>
        </w:rPr>
      </w:pPr>
      <w:r>
        <w:rPr>
          <w:b/>
        </w:rPr>
        <w:t xml:space="preserve">Niños y niñas enlazados con matrimonios extranjeros, </w:t>
      </w:r>
      <w:r>
        <w:rPr>
          <w:b/>
          <w:noProof/>
          <w:color w:val="000000"/>
        </w:rPr>
        <w:t>1999-2003,</w:t>
      </w:r>
      <w:r>
        <w:rPr>
          <w:b/>
          <w:noProof/>
          <w:color w:val="000000"/>
        </w:rPr>
        <w:br/>
        <w:t>por tramos de edad</w:t>
      </w:r>
    </w:p>
    <w:tbl>
      <w:tblPr>
        <w:tblW w:w="0" w:type="auto"/>
        <w:tblInd w:w="73" w:type="dxa"/>
        <w:tblBorders>
          <w:top w:val="single" w:sz="4" w:space="0" w:color="auto"/>
          <w:left w:val="single" w:sz="4" w:space="0" w:color="auto"/>
          <w:bottom w:val="single" w:sz="4" w:space="0" w:color="auto"/>
          <w:right w:val="single" w:sz="4" w:space="0" w:color="auto"/>
          <w:insideH w:val="single" w:sz="8" w:space="0" w:color="000000"/>
          <w:insideV w:val="single" w:sz="8" w:space="0" w:color="000000"/>
        </w:tblBorders>
        <w:tblLayout w:type="fixed"/>
        <w:tblCellMar>
          <w:left w:w="73" w:type="dxa"/>
          <w:right w:w="73" w:type="dxa"/>
        </w:tblCellMar>
        <w:tblLook w:val="0000" w:firstRow="0" w:lastRow="0" w:firstColumn="0" w:lastColumn="0" w:noHBand="0" w:noVBand="0"/>
      </w:tblPr>
      <w:tblGrid>
        <w:gridCol w:w="2179"/>
        <w:gridCol w:w="1494"/>
        <w:gridCol w:w="1494"/>
        <w:gridCol w:w="1369"/>
        <w:gridCol w:w="1352"/>
        <w:gridCol w:w="1352"/>
      </w:tblGrid>
      <w:tr w:rsidR="00000000">
        <w:tblPrEx>
          <w:tblCellMar>
            <w:top w:w="0" w:type="dxa"/>
            <w:bottom w:w="0" w:type="dxa"/>
          </w:tblCellMar>
        </w:tblPrEx>
        <w:tc>
          <w:tcPr>
            <w:tcW w:w="2179" w:type="dxa"/>
          </w:tcPr>
          <w:p w:rsidR="00000000" w:rsidRDefault="00000000">
            <w:pPr>
              <w:jc w:val="center"/>
              <w:rPr>
                <w:b/>
                <w:noProof/>
                <w:color w:val="000000"/>
              </w:rPr>
            </w:pPr>
            <w:r>
              <w:rPr>
                <w:b/>
                <w:noProof/>
                <w:color w:val="000000"/>
              </w:rPr>
              <w:t>Edad/años</w:t>
            </w:r>
          </w:p>
        </w:tc>
        <w:tc>
          <w:tcPr>
            <w:tcW w:w="1494" w:type="dxa"/>
          </w:tcPr>
          <w:p w:rsidR="00000000" w:rsidRDefault="00000000">
            <w:pPr>
              <w:jc w:val="center"/>
              <w:rPr>
                <w:b/>
                <w:noProof/>
                <w:color w:val="000000"/>
              </w:rPr>
            </w:pPr>
            <w:r>
              <w:rPr>
                <w:b/>
                <w:noProof/>
                <w:color w:val="000000"/>
              </w:rPr>
              <w:t>1999</w:t>
            </w:r>
          </w:p>
        </w:tc>
        <w:tc>
          <w:tcPr>
            <w:tcW w:w="1494" w:type="dxa"/>
          </w:tcPr>
          <w:p w:rsidR="00000000" w:rsidRDefault="00000000">
            <w:pPr>
              <w:jc w:val="center"/>
              <w:rPr>
                <w:b/>
                <w:noProof/>
                <w:color w:val="000000"/>
              </w:rPr>
            </w:pPr>
            <w:r>
              <w:rPr>
                <w:b/>
                <w:noProof/>
                <w:color w:val="000000"/>
              </w:rPr>
              <w:t>2000</w:t>
            </w:r>
          </w:p>
        </w:tc>
        <w:tc>
          <w:tcPr>
            <w:tcW w:w="1369" w:type="dxa"/>
          </w:tcPr>
          <w:p w:rsidR="00000000" w:rsidRDefault="00000000">
            <w:pPr>
              <w:jc w:val="center"/>
              <w:rPr>
                <w:b/>
                <w:noProof/>
                <w:color w:val="000000"/>
              </w:rPr>
            </w:pPr>
            <w:r>
              <w:rPr>
                <w:b/>
                <w:noProof/>
                <w:color w:val="000000"/>
              </w:rPr>
              <w:t>2001</w:t>
            </w:r>
          </w:p>
        </w:tc>
        <w:tc>
          <w:tcPr>
            <w:tcW w:w="1352" w:type="dxa"/>
          </w:tcPr>
          <w:p w:rsidR="00000000" w:rsidRDefault="00000000">
            <w:pPr>
              <w:jc w:val="center"/>
              <w:rPr>
                <w:b/>
                <w:noProof/>
                <w:color w:val="000000"/>
              </w:rPr>
            </w:pPr>
            <w:r>
              <w:rPr>
                <w:b/>
                <w:noProof/>
                <w:color w:val="000000"/>
              </w:rPr>
              <w:t>2002</w:t>
            </w:r>
          </w:p>
        </w:tc>
        <w:tc>
          <w:tcPr>
            <w:tcW w:w="1352" w:type="dxa"/>
          </w:tcPr>
          <w:p w:rsidR="00000000" w:rsidRDefault="00000000">
            <w:pPr>
              <w:jc w:val="center"/>
              <w:rPr>
                <w:b/>
                <w:noProof/>
                <w:color w:val="000000"/>
              </w:rPr>
            </w:pPr>
            <w:r>
              <w:rPr>
                <w:b/>
                <w:noProof/>
                <w:color w:val="000000"/>
              </w:rPr>
              <w:t>2003</w:t>
            </w:r>
          </w:p>
        </w:tc>
      </w:tr>
      <w:tr w:rsidR="00000000">
        <w:tblPrEx>
          <w:tblCellMar>
            <w:top w:w="0" w:type="dxa"/>
            <w:bottom w:w="0" w:type="dxa"/>
          </w:tblCellMar>
        </w:tblPrEx>
        <w:tc>
          <w:tcPr>
            <w:tcW w:w="2179" w:type="dxa"/>
          </w:tcPr>
          <w:p w:rsidR="00000000" w:rsidRDefault="00000000">
            <w:pPr>
              <w:rPr>
                <w:bCs/>
                <w:noProof/>
                <w:color w:val="000000"/>
              </w:rPr>
            </w:pPr>
            <w:r>
              <w:rPr>
                <w:bCs/>
                <w:noProof/>
                <w:color w:val="000000"/>
              </w:rPr>
              <w:t>0 a 2 años</w:t>
            </w:r>
          </w:p>
        </w:tc>
        <w:tc>
          <w:tcPr>
            <w:tcW w:w="1494" w:type="dxa"/>
          </w:tcPr>
          <w:p w:rsidR="00000000" w:rsidRDefault="00000000">
            <w:pPr>
              <w:tabs>
                <w:tab w:val="decimal" w:pos="856"/>
              </w:tabs>
              <w:rPr>
                <w:bCs/>
                <w:noProof/>
                <w:color w:val="000000"/>
              </w:rPr>
            </w:pPr>
            <w:r>
              <w:rPr>
                <w:bCs/>
                <w:noProof/>
                <w:color w:val="000000"/>
              </w:rPr>
              <w:t>30</w:t>
            </w:r>
          </w:p>
        </w:tc>
        <w:tc>
          <w:tcPr>
            <w:tcW w:w="1494" w:type="dxa"/>
          </w:tcPr>
          <w:p w:rsidR="00000000" w:rsidRDefault="00000000">
            <w:pPr>
              <w:tabs>
                <w:tab w:val="decimal" w:pos="776"/>
              </w:tabs>
              <w:rPr>
                <w:bCs/>
                <w:noProof/>
                <w:color w:val="000000"/>
              </w:rPr>
            </w:pPr>
            <w:r>
              <w:rPr>
                <w:bCs/>
                <w:noProof/>
                <w:color w:val="000000"/>
              </w:rPr>
              <w:t>14</w:t>
            </w:r>
          </w:p>
        </w:tc>
        <w:tc>
          <w:tcPr>
            <w:tcW w:w="1369" w:type="dxa"/>
          </w:tcPr>
          <w:p w:rsidR="00000000" w:rsidRDefault="00000000">
            <w:pPr>
              <w:tabs>
                <w:tab w:val="decimal" w:pos="723"/>
              </w:tabs>
              <w:rPr>
                <w:bCs/>
                <w:noProof/>
                <w:color w:val="000000"/>
              </w:rPr>
            </w:pPr>
            <w:r>
              <w:rPr>
                <w:bCs/>
                <w:noProof/>
                <w:color w:val="000000"/>
              </w:rPr>
              <w:t>9</w:t>
            </w:r>
          </w:p>
        </w:tc>
        <w:tc>
          <w:tcPr>
            <w:tcW w:w="1352" w:type="dxa"/>
          </w:tcPr>
          <w:p w:rsidR="00000000" w:rsidRDefault="00000000">
            <w:pPr>
              <w:tabs>
                <w:tab w:val="decimal" w:pos="711"/>
              </w:tabs>
              <w:rPr>
                <w:bCs/>
                <w:noProof/>
                <w:color w:val="000000"/>
              </w:rPr>
            </w:pPr>
            <w:r>
              <w:rPr>
                <w:bCs/>
                <w:noProof/>
                <w:color w:val="000000"/>
              </w:rPr>
              <w:t>15</w:t>
            </w:r>
          </w:p>
        </w:tc>
        <w:tc>
          <w:tcPr>
            <w:tcW w:w="1352" w:type="dxa"/>
          </w:tcPr>
          <w:p w:rsidR="00000000" w:rsidRDefault="00000000">
            <w:pPr>
              <w:tabs>
                <w:tab w:val="decimal" w:pos="679"/>
              </w:tabs>
              <w:rPr>
                <w:bCs/>
                <w:noProof/>
                <w:color w:val="000000"/>
              </w:rPr>
            </w:pPr>
            <w:r>
              <w:rPr>
                <w:bCs/>
                <w:noProof/>
                <w:color w:val="000000"/>
              </w:rPr>
              <w:t>3</w:t>
            </w:r>
          </w:p>
        </w:tc>
      </w:tr>
      <w:tr w:rsidR="00000000">
        <w:tblPrEx>
          <w:tblCellMar>
            <w:top w:w="0" w:type="dxa"/>
            <w:bottom w:w="0" w:type="dxa"/>
          </w:tblCellMar>
        </w:tblPrEx>
        <w:tc>
          <w:tcPr>
            <w:tcW w:w="2179" w:type="dxa"/>
          </w:tcPr>
          <w:p w:rsidR="00000000" w:rsidRDefault="00000000">
            <w:pPr>
              <w:rPr>
                <w:bCs/>
                <w:noProof/>
                <w:color w:val="000000"/>
              </w:rPr>
            </w:pPr>
            <w:r>
              <w:rPr>
                <w:bCs/>
                <w:noProof/>
                <w:color w:val="000000"/>
              </w:rPr>
              <w:t>2 a 4 años</w:t>
            </w:r>
          </w:p>
        </w:tc>
        <w:tc>
          <w:tcPr>
            <w:tcW w:w="1494" w:type="dxa"/>
          </w:tcPr>
          <w:p w:rsidR="00000000" w:rsidRDefault="00000000">
            <w:pPr>
              <w:tabs>
                <w:tab w:val="decimal" w:pos="856"/>
              </w:tabs>
              <w:rPr>
                <w:bCs/>
                <w:noProof/>
                <w:color w:val="000000"/>
              </w:rPr>
            </w:pPr>
            <w:r>
              <w:rPr>
                <w:bCs/>
                <w:noProof/>
                <w:color w:val="000000"/>
              </w:rPr>
              <w:t>13</w:t>
            </w:r>
          </w:p>
        </w:tc>
        <w:tc>
          <w:tcPr>
            <w:tcW w:w="1494" w:type="dxa"/>
          </w:tcPr>
          <w:p w:rsidR="00000000" w:rsidRDefault="00000000">
            <w:pPr>
              <w:tabs>
                <w:tab w:val="decimal" w:pos="776"/>
              </w:tabs>
              <w:rPr>
                <w:bCs/>
                <w:noProof/>
                <w:color w:val="000000"/>
              </w:rPr>
            </w:pPr>
            <w:r>
              <w:rPr>
                <w:bCs/>
                <w:noProof/>
                <w:color w:val="000000"/>
              </w:rPr>
              <w:t>7</w:t>
            </w:r>
          </w:p>
        </w:tc>
        <w:tc>
          <w:tcPr>
            <w:tcW w:w="1369" w:type="dxa"/>
          </w:tcPr>
          <w:p w:rsidR="00000000" w:rsidRDefault="00000000">
            <w:pPr>
              <w:tabs>
                <w:tab w:val="decimal" w:pos="723"/>
              </w:tabs>
              <w:rPr>
                <w:bCs/>
                <w:noProof/>
                <w:color w:val="000000"/>
              </w:rPr>
            </w:pPr>
            <w:r>
              <w:rPr>
                <w:bCs/>
                <w:noProof/>
                <w:color w:val="000000"/>
              </w:rPr>
              <w:t>8</w:t>
            </w:r>
          </w:p>
        </w:tc>
        <w:tc>
          <w:tcPr>
            <w:tcW w:w="1352" w:type="dxa"/>
          </w:tcPr>
          <w:p w:rsidR="00000000" w:rsidRDefault="00000000">
            <w:pPr>
              <w:tabs>
                <w:tab w:val="decimal" w:pos="711"/>
              </w:tabs>
              <w:rPr>
                <w:bCs/>
                <w:noProof/>
                <w:color w:val="000000"/>
              </w:rPr>
            </w:pPr>
            <w:r>
              <w:rPr>
                <w:bCs/>
                <w:noProof/>
                <w:color w:val="000000"/>
              </w:rPr>
              <w:t>5</w:t>
            </w:r>
          </w:p>
        </w:tc>
        <w:tc>
          <w:tcPr>
            <w:tcW w:w="1352" w:type="dxa"/>
          </w:tcPr>
          <w:p w:rsidR="00000000" w:rsidRDefault="00000000">
            <w:pPr>
              <w:tabs>
                <w:tab w:val="decimal" w:pos="679"/>
              </w:tabs>
              <w:rPr>
                <w:bCs/>
                <w:noProof/>
                <w:color w:val="000000"/>
              </w:rPr>
            </w:pPr>
            <w:r>
              <w:rPr>
                <w:bCs/>
                <w:noProof/>
                <w:color w:val="000000"/>
              </w:rPr>
              <w:t>11</w:t>
            </w:r>
          </w:p>
        </w:tc>
      </w:tr>
      <w:tr w:rsidR="00000000">
        <w:tblPrEx>
          <w:tblCellMar>
            <w:top w:w="0" w:type="dxa"/>
            <w:bottom w:w="0" w:type="dxa"/>
          </w:tblCellMar>
        </w:tblPrEx>
        <w:tc>
          <w:tcPr>
            <w:tcW w:w="2179" w:type="dxa"/>
          </w:tcPr>
          <w:p w:rsidR="00000000" w:rsidRDefault="00000000">
            <w:pPr>
              <w:rPr>
                <w:bCs/>
                <w:noProof/>
                <w:color w:val="000000"/>
              </w:rPr>
            </w:pPr>
            <w:r>
              <w:rPr>
                <w:bCs/>
                <w:noProof/>
                <w:color w:val="000000"/>
              </w:rPr>
              <w:t>4 a 6 años</w:t>
            </w:r>
          </w:p>
        </w:tc>
        <w:tc>
          <w:tcPr>
            <w:tcW w:w="1494" w:type="dxa"/>
          </w:tcPr>
          <w:p w:rsidR="00000000" w:rsidRDefault="00000000">
            <w:pPr>
              <w:tabs>
                <w:tab w:val="decimal" w:pos="856"/>
              </w:tabs>
              <w:rPr>
                <w:bCs/>
                <w:noProof/>
                <w:color w:val="000000"/>
              </w:rPr>
            </w:pPr>
            <w:r>
              <w:rPr>
                <w:bCs/>
                <w:noProof/>
                <w:color w:val="000000"/>
              </w:rPr>
              <w:t>15</w:t>
            </w:r>
          </w:p>
        </w:tc>
        <w:tc>
          <w:tcPr>
            <w:tcW w:w="1494" w:type="dxa"/>
          </w:tcPr>
          <w:p w:rsidR="00000000" w:rsidRDefault="00000000">
            <w:pPr>
              <w:tabs>
                <w:tab w:val="decimal" w:pos="776"/>
              </w:tabs>
              <w:rPr>
                <w:bCs/>
                <w:noProof/>
                <w:color w:val="000000"/>
              </w:rPr>
            </w:pPr>
            <w:r>
              <w:rPr>
                <w:bCs/>
                <w:noProof/>
                <w:color w:val="000000"/>
              </w:rPr>
              <w:t>5</w:t>
            </w:r>
          </w:p>
        </w:tc>
        <w:tc>
          <w:tcPr>
            <w:tcW w:w="1369" w:type="dxa"/>
          </w:tcPr>
          <w:p w:rsidR="00000000" w:rsidRDefault="00000000">
            <w:pPr>
              <w:tabs>
                <w:tab w:val="decimal" w:pos="723"/>
              </w:tabs>
              <w:rPr>
                <w:bCs/>
                <w:noProof/>
                <w:color w:val="000000"/>
              </w:rPr>
            </w:pPr>
            <w:r>
              <w:rPr>
                <w:bCs/>
                <w:noProof/>
                <w:color w:val="000000"/>
              </w:rPr>
              <w:t>22</w:t>
            </w:r>
          </w:p>
        </w:tc>
        <w:tc>
          <w:tcPr>
            <w:tcW w:w="1352" w:type="dxa"/>
          </w:tcPr>
          <w:p w:rsidR="00000000" w:rsidRDefault="00000000">
            <w:pPr>
              <w:tabs>
                <w:tab w:val="decimal" w:pos="711"/>
              </w:tabs>
              <w:rPr>
                <w:bCs/>
                <w:noProof/>
                <w:color w:val="000000"/>
              </w:rPr>
            </w:pPr>
            <w:r>
              <w:rPr>
                <w:bCs/>
                <w:noProof/>
                <w:color w:val="000000"/>
              </w:rPr>
              <w:t>14</w:t>
            </w:r>
          </w:p>
        </w:tc>
        <w:tc>
          <w:tcPr>
            <w:tcW w:w="1352" w:type="dxa"/>
          </w:tcPr>
          <w:p w:rsidR="00000000" w:rsidRDefault="00000000">
            <w:pPr>
              <w:tabs>
                <w:tab w:val="decimal" w:pos="679"/>
              </w:tabs>
              <w:rPr>
                <w:bCs/>
                <w:noProof/>
                <w:color w:val="000000"/>
              </w:rPr>
            </w:pPr>
            <w:r>
              <w:rPr>
                <w:bCs/>
                <w:noProof/>
                <w:color w:val="000000"/>
              </w:rPr>
              <w:t>18</w:t>
            </w:r>
          </w:p>
        </w:tc>
      </w:tr>
      <w:tr w:rsidR="00000000">
        <w:tblPrEx>
          <w:tblCellMar>
            <w:top w:w="0" w:type="dxa"/>
            <w:bottom w:w="0" w:type="dxa"/>
          </w:tblCellMar>
        </w:tblPrEx>
        <w:tc>
          <w:tcPr>
            <w:tcW w:w="2179" w:type="dxa"/>
          </w:tcPr>
          <w:p w:rsidR="00000000" w:rsidRDefault="00000000">
            <w:pPr>
              <w:rPr>
                <w:bCs/>
                <w:noProof/>
                <w:color w:val="000000"/>
              </w:rPr>
            </w:pPr>
            <w:r>
              <w:rPr>
                <w:bCs/>
                <w:noProof/>
                <w:color w:val="000000"/>
              </w:rPr>
              <w:t>6 a 8 años</w:t>
            </w:r>
          </w:p>
        </w:tc>
        <w:tc>
          <w:tcPr>
            <w:tcW w:w="1494" w:type="dxa"/>
          </w:tcPr>
          <w:p w:rsidR="00000000" w:rsidRDefault="00000000">
            <w:pPr>
              <w:tabs>
                <w:tab w:val="decimal" w:pos="856"/>
              </w:tabs>
              <w:rPr>
                <w:bCs/>
                <w:noProof/>
                <w:color w:val="000000"/>
              </w:rPr>
            </w:pPr>
            <w:r>
              <w:rPr>
                <w:bCs/>
                <w:noProof/>
                <w:color w:val="000000"/>
              </w:rPr>
              <w:t>30</w:t>
            </w:r>
          </w:p>
        </w:tc>
        <w:tc>
          <w:tcPr>
            <w:tcW w:w="1494" w:type="dxa"/>
          </w:tcPr>
          <w:p w:rsidR="00000000" w:rsidRDefault="00000000">
            <w:pPr>
              <w:tabs>
                <w:tab w:val="decimal" w:pos="776"/>
              </w:tabs>
              <w:rPr>
                <w:bCs/>
                <w:noProof/>
                <w:color w:val="000000"/>
              </w:rPr>
            </w:pPr>
            <w:r>
              <w:rPr>
                <w:bCs/>
                <w:noProof/>
                <w:color w:val="000000"/>
              </w:rPr>
              <w:t>5</w:t>
            </w:r>
          </w:p>
        </w:tc>
        <w:tc>
          <w:tcPr>
            <w:tcW w:w="1369" w:type="dxa"/>
          </w:tcPr>
          <w:p w:rsidR="00000000" w:rsidRDefault="00000000">
            <w:pPr>
              <w:tabs>
                <w:tab w:val="decimal" w:pos="723"/>
              </w:tabs>
              <w:rPr>
                <w:bCs/>
                <w:noProof/>
                <w:color w:val="000000"/>
              </w:rPr>
            </w:pPr>
            <w:r>
              <w:rPr>
                <w:bCs/>
                <w:noProof/>
                <w:color w:val="000000"/>
              </w:rPr>
              <w:t>26</w:t>
            </w:r>
          </w:p>
        </w:tc>
        <w:tc>
          <w:tcPr>
            <w:tcW w:w="1352" w:type="dxa"/>
          </w:tcPr>
          <w:p w:rsidR="00000000" w:rsidRDefault="00000000">
            <w:pPr>
              <w:tabs>
                <w:tab w:val="decimal" w:pos="711"/>
              </w:tabs>
              <w:rPr>
                <w:bCs/>
                <w:noProof/>
                <w:color w:val="000000"/>
              </w:rPr>
            </w:pPr>
            <w:r>
              <w:rPr>
                <w:bCs/>
                <w:noProof/>
                <w:color w:val="000000"/>
              </w:rPr>
              <w:t>16</w:t>
            </w:r>
          </w:p>
        </w:tc>
        <w:tc>
          <w:tcPr>
            <w:tcW w:w="1352" w:type="dxa"/>
          </w:tcPr>
          <w:p w:rsidR="00000000" w:rsidRDefault="00000000">
            <w:pPr>
              <w:tabs>
                <w:tab w:val="decimal" w:pos="679"/>
              </w:tabs>
              <w:rPr>
                <w:bCs/>
                <w:noProof/>
                <w:color w:val="000000"/>
              </w:rPr>
            </w:pPr>
            <w:r>
              <w:rPr>
                <w:bCs/>
                <w:noProof/>
                <w:color w:val="000000"/>
              </w:rPr>
              <w:t>30</w:t>
            </w:r>
          </w:p>
        </w:tc>
      </w:tr>
      <w:tr w:rsidR="00000000">
        <w:tblPrEx>
          <w:tblCellMar>
            <w:top w:w="0" w:type="dxa"/>
            <w:bottom w:w="0" w:type="dxa"/>
          </w:tblCellMar>
        </w:tblPrEx>
        <w:tc>
          <w:tcPr>
            <w:tcW w:w="2179" w:type="dxa"/>
          </w:tcPr>
          <w:p w:rsidR="00000000" w:rsidRDefault="00000000">
            <w:pPr>
              <w:rPr>
                <w:bCs/>
                <w:noProof/>
                <w:color w:val="000000"/>
              </w:rPr>
            </w:pPr>
            <w:r>
              <w:rPr>
                <w:bCs/>
                <w:noProof/>
                <w:color w:val="000000"/>
              </w:rPr>
              <w:t>8 y más años</w:t>
            </w:r>
          </w:p>
        </w:tc>
        <w:tc>
          <w:tcPr>
            <w:tcW w:w="1494" w:type="dxa"/>
          </w:tcPr>
          <w:p w:rsidR="00000000" w:rsidRDefault="00000000">
            <w:pPr>
              <w:tabs>
                <w:tab w:val="decimal" w:pos="856"/>
              </w:tabs>
              <w:rPr>
                <w:bCs/>
                <w:noProof/>
                <w:color w:val="000000"/>
              </w:rPr>
            </w:pPr>
            <w:r>
              <w:rPr>
                <w:bCs/>
                <w:noProof/>
                <w:color w:val="000000"/>
              </w:rPr>
              <w:t>22</w:t>
            </w:r>
          </w:p>
        </w:tc>
        <w:tc>
          <w:tcPr>
            <w:tcW w:w="1494" w:type="dxa"/>
          </w:tcPr>
          <w:p w:rsidR="00000000" w:rsidRDefault="00000000">
            <w:pPr>
              <w:tabs>
                <w:tab w:val="decimal" w:pos="776"/>
              </w:tabs>
              <w:rPr>
                <w:bCs/>
                <w:noProof/>
                <w:color w:val="000000"/>
              </w:rPr>
            </w:pPr>
            <w:r>
              <w:rPr>
                <w:bCs/>
                <w:noProof/>
                <w:color w:val="000000"/>
              </w:rPr>
              <w:t>13</w:t>
            </w:r>
          </w:p>
        </w:tc>
        <w:tc>
          <w:tcPr>
            <w:tcW w:w="1369" w:type="dxa"/>
          </w:tcPr>
          <w:p w:rsidR="00000000" w:rsidRDefault="00000000">
            <w:pPr>
              <w:tabs>
                <w:tab w:val="decimal" w:pos="723"/>
              </w:tabs>
              <w:rPr>
                <w:bCs/>
                <w:noProof/>
                <w:color w:val="000000"/>
              </w:rPr>
            </w:pPr>
            <w:r>
              <w:rPr>
                <w:bCs/>
                <w:noProof/>
                <w:color w:val="000000"/>
              </w:rPr>
              <w:t>21</w:t>
            </w:r>
          </w:p>
        </w:tc>
        <w:tc>
          <w:tcPr>
            <w:tcW w:w="1352" w:type="dxa"/>
          </w:tcPr>
          <w:p w:rsidR="00000000" w:rsidRDefault="00000000">
            <w:pPr>
              <w:tabs>
                <w:tab w:val="decimal" w:pos="711"/>
              </w:tabs>
              <w:rPr>
                <w:bCs/>
                <w:noProof/>
                <w:color w:val="000000"/>
              </w:rPr>
            </w:pPr>
            <w:r>
              <w:rPr>
                <w:bCs/>
                <w:noProof/>
                <w:color w:val="000000"/>
              </w:rPr>
              <w:t>20</w:t>
            </w:r>
          </w:p>
        </w:tc>
        <w:tc>
          <w:tcPr>
            <w:tcW w:w="1352" w:type="dxa"/>
          </w:tcPr>
          <w:p w:rsidR="00000000" w:rsidRDefault="00000000">
            <w:pPr>
              <w:tabs>
                <w:tab w:val="decimal" w:pos="679"/>
              </w:tabs>
              <w:rPr>
                <w:bCs/>
                <w:noProof/>
                <w:color w:val="000000"/>
              </w:rPr>
            </w:pPr>
            <w:r>
              <w:rPr>
                <w:bCs/>
                <w:noProof/>
                <w:color w:val="000000"/>
              </w:rPr>
              <w:t>28</w:t>
            </w:r>
          </w:p>
        </w:tc>
      </w:tr>
      <w:tr w:rsidR="00000000">
        <w:tblPrEx>
          <w:tblCellMar>
            <w:top w:w="0" w:type="dxa"/>
            <w:bottom w:w="0" w:type="dxa"/>
          </w:tblCellMar>
        </w:tblPrEx>
        <w:tc>
          <w:tcPr>
            <w:tcW w:w="2179" w:type="dxa"/>
          </w:tcPr>
          <w:p w:rsidR="00000000" w:rsidRDefault="00000000">
            <w:pPr>
              <w:rPr>
                <w:bCs/>
                <w:noProof/>
                <w:color w:val="000000"/>
              </w:rPr>
            </w:pPr>
            <w:r>
              <w:rPr>
                <w:bCs/>
                <w:noProof/>
                <w:color w:val="000000"/>
              </w:rPr>
              <w:tab/>
              <w:t>Total</w:t>
            </w:r>
          </w:p>
        </w:tc>
        <w:tc>
          <w:tcPr>
            <w:tcW w:w="1494" w:type="dxa"/>
          </w:tcPr>
          <w:p w:rsidR="00000000" w:rsidRDefault="00000000">
            <w:pPr>
              <w:tabs>
                <w:tab w:val="decimal" w:pos="856"/>
              </w:tabs>
              <w:rPr>
                <w:bCs/>
                <w:noProof/>
                <w:color w:val="000000"/>
              </w:rPr>
            </w:pPr>
            <w:r>
              <w:rPr>
                <w:bCs/>
                <w:noProof/>
                <w:color w:val="000000"/>
              </w:rPr>
              <w:t>110</w:t>
            </w:r>
          </w:p>
        </w:tc>
        <w:tc>
          <w:tcPr>
            <w:tcW w:w="1494" w:type="dxa"/>
          </w:tcPr>
          <w:p w:rsidR="00000000" w:rsidRDefault="00000000">
            <w:pPr>
              <w:tabs>
                <w:tab w:val="decimal" w:pos="776"/>
              </w:tabs>
              <w:rPr>
                <w:bCs/>
                <w:noProof/>
                <w:color w:val="000000"/>
              </w:rPr>
            </w:pPr>
            <w:r>
              <w:rPr>
                <w:bCs/>
                <w:noProof/>
                <w:color w:val="000000"/>
              </w:rPr>
              <w:t>44</w:t>
            </w:r>
          </w:p>
        </w:tc>
        <w:tc>
          <w:tcPr>
            <w:tcW w:w="1369" w:type="dxa"/>
          </w:tcPr>
          <w:p w:rsidR="00000000" w:rsidRDefault="00000000">
            <w:pPr>
              <w:tabs>
                <w:tab w:val="decimal" w:pos="723"/>
              </w:tabs>
              <w:rPr>
                <w:bCs/>
                <w:noProof/>
                <w:color w:val="000000"/>
              </w:rPr>
            </w:pPr>
            <w:r>
              <w:rPr>
                <w:bCs/>
                <w:noProof/>
                <w:color w:val="000000"/>
              </w:rPr>
              <w:t>86</w:t>
            </w:r>
          </w:p>
        </w:tc>
        <w:tc>
          <w:tcPr>
            <w:tcW w:w="1352" w:type="dxa"/>
          </w:tcPr>
          <w:p w:rsidR="00000000" w:rsidRDefault="00000000">
            <w:pPr>
              <w:tabs>
                <w:tab w:val="decimal" w:pos="711"/>
              </w:tabs>
              <w:rPr>
                <w:bCs/>
                <w:noProof/>
                <w:color w:val="000000"/>
              </w:rPr>
            </w:pPr>
            <w:r>
              <w:rPr>
                <w:bCs/>
                <w:noProof/>
                <w:color w:val="000000"/>
              </w:rPr>
              <w:t>70</w:t>
            </w:r>
          </w:p>
        </w:tc>
        <w:tc>
          <w:tcPr>
            <w:tcW w:w="1352" w:type="dxa"/>
          </w:tcPr>
          <w:p w:rsidR="00000000" w:rsidRDefault="00000000">
            <w:pPr>
              <w:tabs>
                <w:tab w:val="decimal" w:pos="679"/>
              </w:tabs>
              <w:rPr>
                <w:bCs/>
                <w:noProof/>
                <w:color w:val="000000"/>
              </w:rPr>
            </w:pPr>
            <w:r>
              <w:rPr>
                <w:bCs/>
                <w:noProof/>
                <w:color w:val="000000"/>
              </w:rPr>
              <w:t>90</w:t>
            </w:r>
          </w:p>
        </w:tc>
      </w:tr>
    </w:tbl>
    <w:p w:rsidR="00000000" w:rsidRDefault="00000000">
      <w:pPr>
        <w:spacing w:before="240" w:after="480"/>
        <w:rPr>
          <w:bCs/>
          <w:noProof/>
          <w:color w:val="000000"/>
        </w:rPr>
      </w:pPr>
      <w:r>
        <w:rPr>
          <w:bCs/>
          <w:i/>
          <w:iCs/>
          <w:noProof/>
          <w:color w:val="000000"/>
        </w:rPr>
        <w:t>Fuente</w:t>
      </w:r>
      <w:r>
        <w:rPr>
          <w:bCs/>
          <w:noProof/>
          <w:color w:val="000000"/>
        </w:rPr>
        <w:t>:  SENAME, 2004.</w:t>
      </w:r>
    </w:p>
    <w:p w:rsidR="00000000" w:rsidRDefault="00000000">
      <w:pPr>
        <w:pStyle w:val="Heading1"/>
        <w:widowControl/>
        <w:tabs>
          <w:tab w:val="clear" w:pos="4873"/>
        </w:tabs>
        <w:spacing w:after="240" w:line="240" w:lineRule="auto"/>
        <w:rPr>
          <w:b/>
          <w:u w:val="none"/>
          <w:lang w:val="es-ES"/>
        </w:rPr>
      </w:pPr>
      <w:r>
        <w:rPr>
          <w:b/>
          <w:u w:val="none"/>
          <w:lang w:val="es-ES"/>
        </w:rPr>
        <w:t>Cuadro 11</w:t>
      </w:r>
    </w:p>
    <w:p w:rsidR="00000000" w:rsidRDefault="00000000">
      <w:pPr>
        <w:spacing w:after="240"/>
        <w:jc w:val="center"/>
        <w:rPr>
          <w:bCs/>
          <w:noProof/>
          <w:color w:val="000000"/>
        </w:rPr>
      </w:pPr>
      <w:r>
        <w:rPr>
          <w:b/>
          <w:noProof/>
          <w:color w:val="000000"/>
        </w:rPr>
        <w:t>Proyección a seis años proyectos reparación maltrato grave</w:t>
      </w:r>
    </w:p>
    <w:tbl>
      <w:tblPr>
        <w:tblW w:w="0" w:type="auto"/>
        <w:jc w:val="center"/>
        <w:tblInd w:w="1715" w:type="dxa"/>
        <w:tblBorders>
          <w:top w:val="single" w:sz="4" w:space="0" w:color="auto"/>
          <w:left w:val="single" w:sz="4" w:space="0" w:color="auto"/>
          <w:bottom w:val="single" w:sz="4" w:space="0" w:color="auto"/>
          <w:right w:val="single" w:sz="4" w:space="0" w:color="auto"/>
          <w:insideH w:val="single" w:sz="8" w:space="0" w:color="000000"/>
          <w:insideV w:val="single" w:sz="8" w:space="0" w:color="000000"/>
        </w:tblBorders>
        <w:tblLayout w:type="fixed"/>
        <w:tblCellMar>
          <w:left w:w="120" w:type="dxa"/>
          <w:right w:w="120" w:type="dxa"/>
        </w:tblCellMar>
        <w:tblLook w:val="0000" w:firstRow="0" w:lastRow="0" w:firstColumn="0" w:lastColumn="0" w:noHBand="0" w:noVBand="0"/>
      </w:tblPr>
      <w:tblGrid>
        <w:gridCol w:w="2160"/>
        <w:gridCol w:w="2640"/>
        <w:gridCol w:w="2308"/>
      </w:tblGrid>
      <w:tr w:rsidR="00000000">
        <w:tblPrEx>
          <w:tblCellMar>
            <w:top w:w="0" w:type="dxa"/>
            <w:bottom w:w="0" w:type="dxa"/>
          </w:tblCellMar>
        </w:tblPrEx>
        <w:trPr>
          <w:jc w:val="center"/>
        </w:trPr>
        <w:tc>
          <w:tcPr>
            <w:tcW w:w="2160" w:type="dxa"/>
          </w:tcPr>
          <w:p w:rsidR="00000000" w:rsidRDefault="00000000">
            <w:pPr>
              <w:jc w:val="center"/>
              <w:rPr>
                <w:b/>
                <w:noProof/>
                <w:color w:val="000000"/>
              </w:rPr>
            </w:pPr>
            <w:r>
              <w:rPr>
                <w:b/>
                <w:noProof/>
                <w:color w:val="000000"/>
              </w:rPr>
              <w:t>Año</w:t>
            </w:r>
          </w:p>
        </w:tc>
        <w:tc>
          <w:tcPr>
            <w:tcW w:w="2640" w:type="dxa"/>
          </w:tcPr>
          <w:p w:rsidR="00000000" w:rsidRDefault="00000000">
            <w:pPr>
              <w:jc w:val="center"/>
              <w:rPr>
                <w:b/>
                <w:noProof/>
                <w:color w:val="000000"/>
              </w:rPr>
            </w:pPr>
            <w:r>
              <w:rPr>
                <w:b/>
                <w:noProof/>
                <w:color w:val="000000"/>
              </w:rPr>
              <w:t>Número de proyectos</w:t>
            </w:r>
          </w:p>
        </w:tc>
        <w:tc>
          <w:tcPr>
            <w:tcW w:w="2308" w:type="dxa"/>
          </w:tcPr>
          <w:p w:rsidR="00000000" w:rsidRDefault="00000000">
            <w:pPr>
              <w:jc w:val="center"/>
              <w:rPr>
                <w:b/>
                <w:noProof/>
                <w:color w:val="000000"/>
              </w:rPr>
            </w:pPr>
            <w:r>
              <w:rPr>
                <w:b/>
                <w:noProof/>
                <w:color w:val="000000"/>
              </w:rPr>
              <w:t>Cobertura</w:t>
            </w:r>
          </w:p>
        </w:tc>
      </w:tr>
      <w:tr w:rsidR="00000000">
        <w:tblPrEx>
          <w:tblCellMar>
            <w:top w:w="0" w:type="dxa"/>
            <w:bottom w:w="0" w:type="dxa"/>
          </w:tblCellMar>
        </w:tblPrEx>
        <w:trPr>
          <w:jc w:val="center"/>
        </w:trPr>
        <w:tc>
          <w:tcPr>
            <w:tcW w:w="2160" w:type="dxa"/>
          </w:tcPr>
          <w:p w:rsidR="00000000" w:rsidRDefault="00000000">
            <w:pPr>
              <w:jc w:val="center"/>
              <w:rPr>
                <w:bCs/>
                <w:noProof/>
                <w:color w:val="000000"/>
              </w:rPr>
            </w:pPr>
            <w:r>
              <w:rPr>
                <w:bCs/>
                <w:noProof/>
                <w:color w:val="000000"/>
              </w:rPr>
              <w:t>2002</w:t>
            </w:r>
          </w:p>
        </w:tc>
        <w:tc>
          <w:tcPr>
            <w:tcW w:w="2640" w:type="dxa"/>
          </w:tcPr>
          <w:p w:rsidR="00000000" w:rsidRDefault="00000000">
            <w:pPr>
              <w:jc w:val="center"/>
              <w:rPr>
                <w:bCs/>
                <w:noProof/>
                <w:color w:val="000000"/>
              </w:rPr>
            </w:pPr>
            <w:r>
              <w:rPr>
                <w:bCs/>
                <w:noProof/>
                <w:color w:val="000000"/>
              </w:rPr>
              <w:t>20</w:t>
            </w:r>
          </w:p>
        </w:tc>
        <w:tc>
          <w:tcPr>
            <w:tcW w:w="2308" w:type="dxa"/>
          </w:tcPr>
          <w:p w:rsidR="00000000" w:rsidRDefault="00000000">
            <w:pPr>
              <w:jc w:val="center"/>
              <w:rPr>
                <w:bCs/>
                <w:noProof/>
                <w:color w:val="000000"/>
              </w:rPr>
            </w:pPr>
            <w:r>
              <w:rPr>
                <w:bCs/>
                <w:noProof/>
                <w:color w:val="000000"/>
              </w:rPr>
              <w:t>1.433</w:t>
            </w:r>
          </w:p>
        </w:tc>
      </w:tr>
      <w:tr w:rsidR="00000000">
        <w:tblPrEx>
          <w:tblCellMar>
            <w:top w:w="0" w:type="dxa"/>
            <w:bottom w:w="0" w:type="dxa"/>
          </w:tblCellMar>
        </w:tblPrEx>
        <w:trPr>
          <w:jc w:val="center"/>
        </w:trPr>
        <w:tc>
          <w:tcPr>
            <w:tcW w:w="2160" w:type="dxa"/>
          </w:tcPr>
          <w:p w:rsidR="00000000" w:rsidRDefault="00000000">
            <w:pPr>
              <w:jc w:val="center"/>
              <w:rPr>
                <w:bCs/>
                <w:noProof/>
                <w:color w:val="000000"/>
              </w:rPr>
            </w:pPr>
            <w:r>
              <w:rPr>
                <w:bCs/>
                <w:noProof/>
                <w:color w:val="000000"/>
              </w:rPr>
              <w:t>2003</w:t>
            </w:r>
          </w:p>
        </w:tc>
        <w:tc>
          <w:tcPr>
            <w:tcW w:w="2640" w:type="dxa"/>
          </w:tcPr>
          <w:p w:rsidR="00000000" w:rsidRDefault="00000000">
            <w:pPr>
              <w:jc w:val="center"/>
              <w:rPr>
                <w:bCs/>
                <w:noProof/>
                <w:color w:val="000000"/>
              </w:rPr>
            </w:pPr>
            <w:r>
              <w:rPr>
                <w:bCs/>
                <w:noProof/>
                <w:color w:val="000000"/>
              </w:rPr>
              <w:t>24</w:t>
            </w:r>
          </w:p>
        </w:tc>
        <w:tc>
          <w:tcPr>
            <w:tcW w:w="2308" w:type="dxa"/>
          </w:tcPr>
          <w:p w:rsidR="00000000" w:rsidRDefault="00000000">
            <w:pPr>
              <w:jc w:val="center"/>
              <w:rPr>
                <w:bCs/>
                <w:noProof/>
                <w:color w:val="000000"/>
              </w:rPr>
            </w:pPr>
            <w:r>
              <w:rPr>
                <w:bCs/>
                <w:noProof/>
                <w:color w:val="000000"/>
              </w:rPr>
              <w:t>1.736</w:t>
            </w:r>
          </w:p>
        </w:tc>
      </w:tr>
      <w:tr w:rsidR="00000000">
        <w:tblPrEx>
          <w:tblCellMar>
            <w:top w:w="0" w:type="dxa"/>
            <w:bottom w:w="0" w:type="dxa"/>
          </w:tblCellMar>
        </w:tblPrEx>
        <w:trPr>
          <w:jc w:val="center"/>
        </w:trPr>
        <w:tc>
          <w:tcPr>
            <w:tcW w:w="2160" w:type="dxa"/>
          </w:tcPr>
          <w:p w:rsidR="00000000" w:rsidRDefault="00000000">
            <w:pPr>
              <w:jc w:val="center"/>
              <w:rPr>
                <w:bCs/>
                <w:noProof/>
                <w:color w:val="000000"/>
              </w:rPr>
            </w:pPr>
            <w:r>
              <w:rPr>
                <w:bCs/>
                <w:noProof/>
                <w:color w:val="000000"/>
              </w:rPr>
              <w:t>2004</w:t>
            </w:r>
          </w:p>
        </w:tc>
        <w:tc>
          <w:tcPr>
            <w:tcW w:w="2640" w:type="dxa"/>
          </w:tcPr>
          <w:p w:rsidR="00000000" w:rsidRDefault="00000000">
            <w:pPr>
              <w:jc w:val="center"/>
              <w:rPr>
                <w:bCs/>
                <w:noProof/>
                <w:color w:val="000000"/>
              </w:rPr>
            </w:pPr>
            <w:r>
              <w:rPr>
                <w:bCs/>
                <w:noProof/>
                <w:color w:val="000000"/>
              </w:rPr>
              <w:t>33</w:t>
            </w:r>
          </w:p>
        </w:tc>
        <w:tc>
          <w:tcPr>
            <w:tcW w:w="2308" w:type="dxa"/>
          </w:tcPr>
          <w:p w:rsidR="00000000" w:rsidRDefault="00000000">
            <w:pPr>
              <w:jc w:val="center"/>
              <w:rPr>
                <w:bCs/>
                <w:noProof/>
                <w:color w:val="000000"/>
              </w:rPr>
            </w:pPr>
            <w:r>
              <w:rPr>
                <w:bCs/>
                <w:noProof/>
                <w:color w:val="000000"/>
              </w:rPr>
              <w:t>1.900</w:t>
            </w:r>
          </w:p>
        </w:tc>
      </w:tr>
      <w:tr w:rsidR="00000000">
        <w:tblPrEx>
          <w:tblCellMar>
            <w:top w:w="0" w:type="dxa"/>
            <w:bottom w:w="0" w:type="dxa"/>
          </w:tblCellMar>
        </w:tblPrEx>
        <w:trPr>
          <w:jc w:val="center"/>
        </w:trPr>
        <w:tc>
          <w:tcPr>
            <w:tcW w:w="2160" w:type="dxa"/>
          </w:tcPr>
          <w:p w:rsidR="00000000" w:rsidRDefault="00000000">
            <w:pPr>
              <w:jc w:val="center"/>
              <w:rPr>
                <w:bCs/>
                <w:noProof/>
                <w:color w:val="000000"/>
              </w:rPr>
            </w:pPr>
            <w:r>
              <w:rPr>
                <w:bCs/>
                <w:noProof/>
                <w:color w:val="000000"/>
              </w:rPr>
              <w:t>2005</w:t>
            </w:r>
          </w:p>
        </w:tc>
        <w:tc>
          <w:tcPr>
            <w:tcW w:w="2640" w:type="dxa"/>
          </w:tcPr>
          <w:p w:rsidR="00000000" w:rsidRDefault="00000000">
            <w:pPr>
              <w:jc w:val="center"/>
              <w:rPr>
                <w:bCs/>
                <w:noProof/>
                <w:color w:val="000000"/>
              </w:rPr>
            </w:pPr>
            <w:r>
              <w:rPr>
                <w:bCs/>
                <w:noProof/>
                <w:color w:val="000000"/>
              </w:rPr>
              <w:t>34</w:t>
            </w:r>
          </w:p>
        </w:tc>
        <w:tc>
          <w:tcPr>
            <w:tcW w:w="2308" w:type="dxa"/>
          </w:tcPr>
          <w:p w:rsidR="00000000" w:rsidRDefault="00000000">
            <w:pPr>
              <w:jc w:val="center"/>
              <w:rPr>
                <w:bCs/>
                <w:noProof/>
                <w:color w:val="000000"/>
              </w:rPr>
            </w:pPr>
            <w:r>
              <w:rPr>
                <w:bCs/>
                <w:noProof/>
                <w:color w:val="000000"/>
              </w:rPr>
              <w:t>1.990</w:t>
            </w:r>
          </w:p>
        </w:tc>
      </w:tr>
      <w:tr w:rsidR="00000000">
        <w:tblPrEx>
          <w:tblCellMar>
            <w:top w:w="0" w:type="dxa"/>
            <w:bottom w:w="0" w:type="dxa"/>
          </w:tblCellMar>
        </w:tblPrEx>
        <w:trPr>
          <w:jc w:val="center"/>
        </w:trPr>
        <w:tc>
          <w:tcPr>
            <w:tcW w:w="2160" w:type="dxa"/>
          </w:tcPr>
          <w:p w:rsidR="00000000" w:rsidRDefault="00000000">
            <w:pPr>
              <w:jc w:val="center"/>
              <w:rPr>
                <w:bCs/>
                <w:noProof/>
                <w:color w:val="000000"/>
              </w:rPr>
            </w:pPr>
            <w:r>
              <w:rPr>
                <w:bCs/>
                <w:noProof/>
                <w:color w:val="000000"/>
              </w:rPr>
              <w:t>2006</w:t>
            </w:r>
          </w:p>
        </w:tc>
        <w:tc>
          <w:tcPr>
            <w:tcW w:w="2640" w:type="dxa"/>
          </w:tcPr>
          <w:p w:rsidR="00000000" w:rsidRDefault="00000000">
            <w:pPr>
              <w:jc w:val="center"/>
              <w:rPr>
                <w:bCs/>
                <w:noProof/>
                <w:color w:val="000000"/>
              </w:rPr>
            </w:pPr>
            <w:r>
              <w:rPr>
                <w:bCs/>
                <w:noProof/>
                <w:color w:val="000000"/>
              </w:rPr>
              <w:t>35</w:t>
            </w:r>
          </w:p>
        </w:tc>
        <w:tc>
          <w:tcPr>
            <w:tcW w:w="2308" w:type="dxa"/>
          </w:tcPr>
          <w:p w:rsidR="00000000" w:rsidRDefault="00000000">
            <w:pPr>
              <w:jc w:val="center"/>
              <w:rPr>
                <w:bCs/>
                <w:noProof/>
                <w:color w:val="000000"/>
              </w:rPr>
            </w:pPr>
            <w:r>
              <w:rPr>
                <w:bCs/>
                <w:noProof/>
                <w:color w:val="000000"/>
              </w:rPr>
              <w:t>2.036</w:t>
            </w:r>
          </w:p>
        </w:tc>
      </w:tr>
    </w:tbl>
    <w:p w:rsidR="00000000" w:rsidRDefault="00000000">
      <w:pPr>
        <w:spacing w:before="240" w:after="360"/>
        <w:ind w:left="1134"/>
        <w:rPr>
          <w:bCs/>
        </w:rPr>
      </w:pPr>
      <w:r>
        <w:rPr>
          <w:bCs/>
          <w:i/>
          <w:iCs/>
          <w:noProof/>
          <w:color w:val="000000"/>
        </w:rPr>
        <w:t>Fuente</w:t>
      </w:r>
      <w:r>
        <w:rPr>
          <w:bCs/>
          <w:noProof/>
          <w:color w:val="000000"/>
        </w:rPr>
        <w:t>:  SENAME, 2004.</w:t>
      </w:r>
    </w:p>
    <w:p w:rsidR="00000000" w:rsidRDefault="00000000">
      <w:pPr>
        <w:spacing w:after="240"/>
        <w:jc w:val="center"/>
        <w:outlineLvl w:val="0"/>
        <w:rPr>
          <w:b/>
          <w:noProof/>
          <w:color w:val="000000"/>
        </w:rPr>
      </w:pPr>
      <w:r>
        <w:rPr>
          <w:b/>
          <w:noProof/>
          <w:color w:val="000000"/>
        </w:rPr>
        <w:br w:type="page"/>
      </w:r>
      <w:r>
        <w:rPr>
          <w:b/>
          <w:noProof/>
          <w:color w:val="000000"/>
          <w:sz w:val="20"/>
        </w:rPr>
        <w:pict>
          <v:shape id="_x0000_s1033" type="#_x0000_t75" style="position:absolute;left:0;text-align:left;margin-left:28.35pt;margin-top:34pt;width:382.85pt;height:198.75pt;z-index:8" fillcolor="window">
            <v:imagedata r:id="rId13" o:title=""/>
            <w10:anchorlock/>
          </v:shape>
          <o:OLEObject Type="Embed" ProgID="Excel.Chart.8" ShapeID="_x0000_s1033" DrawAspect="Content" ObjectID="_1394720794" r:id="rId14">
            <o:FieldCodes>\s</o:FieldCodes>
          </o:OLEObject>
        </w:pict>
      </w:r>
      <w:r>
        <w:rPr>
          <w:b/>
          <w:noProof/>
          <w:color w:val="000000"/>
        </w:rPr>
        <w:t>Cuadro 12</w:t>
      </w:r>
    </w:p>
    <w:p w:rsidR="00000000" w:rsidRDefault="00000000">
      <w:pPr>
        <w:jc w:val="center"/>
        <w:outlineLvl w:val="0"/>
        <w:rPr>
          <w:bCs/>
        </w:rPr>
      </w:pPr>
      <w:r>
        <w:rPr>
          <w:b/>
        </w:rPr>
        <w:t xml:space="preserve">Número de proyectos del </w:t>
      </w:r>
      <w:r>
        <w:rPr>
          <w:b/>
          <w:noProof/>
          <w:color w:val="000000"/>
        </w:rPr>
        <w:t>Fondo</w:t>
      </w:r>
      <w:r>
        <w:rPr>
          <w:b/>
        </w:rPr>
        <w:t xml:space="preserve"> Nacional de la Discapacidad</w:t>
      </w:r>
    </w:p>
    <w:p w:rsidR="00000000" w:rsidRDefault="00000000">
      <w:pPr>
        <w:spacing w:after="120"/>
        <w:jc w:val="center"/>
        <w:rPr>
          <w:bCs/>
          <w:i/>
          <w:iCs/>
          <w:noProof/>
          <w:color w:val="000000"/>
        </w:rPr>
      </w:pPr>
      <w:r>
        <w:rPr>
          <w:b/>
          <w:noProof/>
          <w:color w:val="000000"/>
        </w:rPr>
        <w:t>destinados a niños y niñas</w:t>
      </w:r>
    </w:p>
    <w:p w:rsidR="00000000" w:rsidRDefault="00000000">
      <w:pPr>
        <w:tabs>
          <w:tab w:val="center" w:pos="4680"/>
          <w:tab w:val="left" w:pos="4956"/>
          <w:tab w:val="left" w:pos="5664"/>
          <w:tab w:val="left" w:pos="6372"/>
          <w:tab w:val="left" w:pos="7080"/>
          <w:tab w:val="left" w:pos="7788"/>
          <w:tab w:val="left" w:pos="8496"/>
        </w:tabs>
        <w:spacing w:after="240"/>
        <w:outlineLvl w:val="0"/>
        <w:rPr>
          <w:bCs/>
          <w:i/>
          <w:iCs/>
          <w:noProof/>
          <w:color w:val="000000"/>
        </w:rPr>
      </w:pPr>
    </w:p>
    <w:p w:rsidR="00000000" w:rsidRDefault="00000000">
      <w:pPr>
        <w:tabs>
          <w:tab w:val="center" w:pos="4680"/>
          <w:tab w:val="left" w:pos="4956"/>
          <w:tab w:val="left" w:pos="5664"/>
          <w:tab w:val="left" w:pos="6372"/>
          <w:tab w:val="left" w:pos="7080"/>
          <w:tab w:val="left" w:pos="7788"/>
          <w:tab w:val="left" w:pos="8496"/>
        </w:tabs>
        <w:spacing w:after="240"/>
        <w:outlineLvl w:val="0"/>
        <w:rPr>
          <w:bCs/>
          <w:i/>
          <w:iCs/>
          <w:noProof/>
          <w:color w:val="000000"/>
        </w:rPr>
      </w:pPr>
    </w:p>
    <w:p w:rsidR="00000000" w:rsidRDefault="00000000">
      <w:pPr>
        <w:tabs>
          <w:tab w:val="center" w:pos="4680"/>
          <w:tab w:val="left" w:pos="4956"/>
          <w:tab w:val="left" w:pos="5664"/>
          <w:tab w:val="left" w:pos="6372"/>
          <w:tab w:val="left" w:pos="7080"/>
          <w:tab w:val="left" w:pos="7788"/>
          <w:tab w:val="left" w:pos="8496"/>
        </w:tabs>
        <w:spacing w:after="240"/>
        <w:outlineLvl w:val="0"/>
        <w:rPr>
          <w:bCs/>
          <w:i/>
          <w:iCs/>
          <w:noProof/>
          <w:color w:val="000000"/>
        </w:rPr>
      </w:pPr>
    </w:p>
    <w:p w:rsidR="00000000" w:rsidRDefault="00000000">
      <w:pPr>
        <w:tabs>
          <w:tab w:val="center" w:pos="4680"/>
          <w:tab w:val="left" w:pos="4956"/>
          <w:tab w:val="left" w:pos="5664"/>
          <w:tab w:val="left" w:pos="6372"/>
          <w:tab w:val="left" w:pos="7080"/>
          <w:tab w:val="left" w:pos="7788"/>
          <w:tab w:val="left" w:pos="8496"/>
        </w:tabs>
        <w:spacing w:after="240"/>
        <w:outlineLvl w:val="0"/>
        <w:rPr>
          <w:bCs/>
          <w:i/>
          <w:iCs/>
          <w:noProof/>
          <w:color w:val="000000"/>
        </w:rPr>
      </w:pPr>
    </w:p>
    <w:p w:rsidR="00000000" w:rsidRDefault="00000000">
      <w:pPr>
        <w:tabs>
          <w:tab w:val="center" w:pos="4680"/>
          <w:tab w:val="left" w:pos="4956"/>
          <w:tab w:val="left" w:pos="5664"/>
          <w:tab w:val="left" w:pos="6372"/>
          <w:tab w:val="left" w:pos="7080"/>
          <w:tab w:val="left" w:pos="7788"/>
          <w:tab w:val="left" w:pos="8496"/>
        </w:tabs>
        <w:spacing w:after="240"/>
        <w:outlineLvl w:val="0"/>
        <w:rPr>
          <w:bCs/>
          <w:i/>
          <w:iCs/>
          <w:noProof/>
          <w:color w:val="000000"/>
        </w:rPr>
      </w:pPr>
    </w:p>
    <w:p w:rsidR="00000000" w:rsidRDefault="00000000">
      <w:pPr>
        <w:tabs>
          <w:tab w:val="center" w:pos="4680"/>
          <w:tab w:val="left" w:pos="4956"/>
          <w:tab w:val="left" w:pos="5664"/>
          <w:tab w:val="left" w:pos="6372"/>
          <w:tab w:val="left" w:pos="7080"/>
          <w:tab w:val="left" w:pos="7788"/>
          <w:tab w:val="left" w:pos="8496"/>
        </w:tabs>
        <w:spacing w:after="240"/>
        <w:outlineLvl w:val="0"/>
        <w:rPr>
          <w:bCs/>
          <w:i/>
          <w:iCs/>
          <w:noProof/>
          <w:color w:val="000000"/>
        </w:rPr>
      </w:pPr>
    </w:p>
    <w:p w:rsidR="00000000" w:rsidRDefault="00000000">
      <w:pPr>
        <w:outlineLvl w:val="0"/>
        <w:rPr>
          <w:bCs/>
          <w:i/>
          <w:iCs/>
          <w:noProof/>
          <w:color w:val="000000"/>
        </w:rPr>
      </w:pPr>
    </w:p>
    <w:p w:rsidR="00000000" w:rsidRDefault="00000000">
      <w:pPr>
        <w:spacing w:after="240"/>
        <w:outlineLvl w:val="0"/>
        <w:rPr>
          <w:bCs/>
          <w:noProof/>
          <w:color w:val="000000"/>
        </w:rPr>
      </w:pPr>
      <w:r>
        <w:rPr>
          <w:bCs/>
          <w:i/>
          <w:iCs/>
          <w:noProof/>
          <w:color w:val="000000"/>
        </w:rPr>
        <w:tab/>
      </w:r>
      <w:r>
        <w:rPr>
          <w:bCs/>
          <w:i/>
          <w:iCs/>
          <w:noProof/>
          <w:color w:val="000000"/>
        </w:rPr>
        <w:tab/>
        <w:t>Fuente</w:t>
      </w:r>
      <w:r>
        <w:rPr>
          <w:bCs/>
          <w:noProof/>
          <w:color w:val="000000"/>
        </w:rPr>
        <w:t>:  FONADIS, 2003.</w:t>
      </w:r>
    </w:p>
    <w:p w:rsidR="00000000" w:rsidRDefault="00000000">
      <w:pPr>
        <w:pStyle w:val="Heading1"/>
        <w:widowControl/>
        <w:tabs>
          <w:tab w:val="center" w:pos="4680"/>
          <w:tab w:val="left" w:pos="4956"/>
          <w:tab w:val="left" w:pos="5664"/>
          <w:tab w:val="left" w:pos="6372"/>
          <w:tab w:val="left" w:pos="7080"/>
          <w:tab w:val="left" w:pos="7788"/>
          <w:tab w:val="left" w:pos="8496"/>
        </w:tabs>
        <w:spacing w:after="240" w:line="240" w:lineRule="auto"/>
        <w:rPr>
          <w:b/>
          <w:u w:val="none"/>
          <w:lang w:val="es-ES"/>
        </w:rPr>
      </w:pPr>
      <w:r>
        <w:rPr>
          <w:b/>
          <w:u w:val="none"/>
          <w:lang w:val="es-ES"/>
        </w:rPr>
        <w:t>Cuadro 13</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jc w:val="center"/>
        <w:outlineLvl w:val="0"/>
        <w:rPr>
          <w:bCs/>
          <w:noProof/>
          <w:color w:val="000000"/>
        </w:rPr>
      </w:pPr>
      <w:r>
        <w:rPr>
          <w:b/>
          <w:noProof/>
          <w:color w:val="000000"/>
        </w:rPr>
        <w:t>Aporte a personas con discapacidad entre 0 y 17 años realizados</w:t>
      </w:r>
      <w:r>
        <w:rPr>
          <w:b/>
          <w:noProof/>
          <w:color w:val="000000"/>
        </w:rPr>
        <w:br/>
        <w:t>a través del programa de ayuda técnicas de FONADIS</w:t>
      </w:r>
    </w:p>
    <w:tbl>
      <w:tblPr>
        <w:tblW w:w="0" w:type="auto"/>
        <w:jc w:val="center"/>
        <w:tblBorders>
          <w:top w:val="single" w:sz="4" w:space="0" w:color="auto"/>
          <w:left w:val="single" w:sz="4" w:space="0" w:color="auto"/>
          <w:bottom w:val="single" w:sz="4" w:space="0" w:color="auto"/>
          <w:right w:val="single" w:sz="4" w:space="0" w:color="auto"/>
          <w:insideH w:val="single" w:sz="8" w:space="0" w:color="000000"/>
          <w:insideV w:val="single" w:sz="8" w:space="0" w:color="000000"/>
        </w:tblBorders>
        <w:tblLayout w:type="fixed"/>
        <w:tblCellMar>
          <w:left w:w="56" w:type="dxa"/>
          <w:right w:w="56" w:type="dxa"/>
        </w:tblCellMar>
        <w:tblLook w:val="0000" w:firstRow="0" w:lastRow="0" w:firstColumn="0" w:lastColumn="0" w:noHBand="0" w:noVBand="0"/>
      </w:tblPr>
      <w:tblGrid>
        <w:gridCol w:w="1576"/>
        <w:gridCol w:w="1776"/>
        <w:gridCol w:w="1041"/>
        <w:gridCol w:w="1698"/>
        <w:gridCol w:w="1560"/>
        <w:gridCol w:w="1707"/>
      </w:tblGrid>
      <w:tr w:rsidR="00000000">
        <w:tblPrEx>
          <w:tblCellMar>
            <w:top w:w="0" w:type="dxa"/>
            <w:bottom w:w="0" w:type="dxa"/>
          </w:tblCellMar>
        </w:tblPrEx>
        <w:trPr>
          <w:jc w:val="center"/>
        </w:trPr>
        <w:tc>
          <w:tcPr>
            <w:tcW w:w="1576" w:type="dxa"/>
            <w:vAlign w:val="center"/>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noProof/>
                <w:color w:val="000000"/>
              </w:rPr>
            </w:pPr>
          </w:p>
        </w:tc>
        <w:tc>
          <w:tcPr>
            <w:tcW w:w="1776" w:type="dxa"/>
            <w:vAlign w:val="center"/>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noProof/>
                <w:color w:val="000000"/>
              </w:rPr>
            </w:pPr>
            <w:r>
              <w:rPr>
                <w:b/>
                <w:noProof/>
                <w:color w:val="000000"/>
              </w:rPr>
              <w:t>Beneficiarios</w:t>
            </w:r>
          </w:p>
        </w:tc>
        <w:tc>
          <w:tcPr>
            <w:tcW w:w="1041" w:type="dxa"/>
            <w:vAlign w:val="center"/>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noProof/>
                <w:color w:val="000000"/>
              </w:rPr>
            </w:pPr>
            <w:r>
              <w:rPr>
                <w:b/>
                <w:noProof/>
                <w:color w:val="000000"/>
              </w:rPr>
              <w:t>Ayudas</w:t>
            </w:r>
          </w:p>
        </w:tc>
        <w:tc>
          <w:tcPr>
            <w:tcW w:w="1698" w:type="dxa"/>
            <w:vAlign w:val="center"/>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noProof/>
                <w:color w:val="000000"/>
              </w:rPr>
            </w:pPr>
            <w:r>
              <w:rPr>
                <w:b/>
                <w:noProof/>
                <w:color w:val="000000"/>
              </w:rPr>
              <w:t>Montos (dólares EE.UU.)</w:t>
            </w:r>
          </w:p>
        </w:tc>
        <w:tc>
          <w:tcPr>
            <w:tcW w:w="1560" w:type="dxa"/>
            <w:vAlign w:val="center"/>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noProof/>
                <w:color w:val="000000"/>
              </w:rPr>
            </w:pPr>
            <w:r>
              <w:rPr>
                <w:b/>
                <w:noProof/>
                <w:color w:val="000000"/>
              </w:rPr>
              <w:t>Coaporte</w:t>
            </w:r>
          </w:p>
        </w:tc>
        <w:tc>
          <w:tcPr>
            <w:tcW w:w="1707" w:type="dxa"/>
            <w:vAlign w:val="center"/>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noProof/>
                <w:color w:val="000000"/>
              </w:rPr>
            </w:pPr>
            <w:r>
              <w:rPr>
                <w:b/>
                <w:noProof/>
                <w:color w:val="000000"/>
              </w:rPr>
              <w:t>Total</w:t>
            </w:r>
          </w:p>
        </w:tc>
      </w:tr>
      <w:tr w:rsidR="00000000">
        <w:tblPrEx>
          <w:tblCellMar>
            <w:top w:w="0" w:type="dxa"/>
            <w:bottom w:w="0" w:type="dxa"/>
          </w:tblCellMar>
        </w:tblPrEx>
        <w:trPr>
          <w:jc w:val="center"/>
        </w:trPr>
        <w:tc>
          <w:tcPr>
            <w:tcW w:w="1576"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2001</w:t>
            </w:r>
          </w:p>
        </w:tc>
        <w:tc>
          <w:tcPr>
            <w:tcW w:w="1776"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427</w:t>
            </w:r>
          </w:p>
        </w:tc>
        <w:tc>
          <w:tcPr>
            <w:tcW w:w="1041"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608</w:t>
            </w:r>
          </w:p>
        </w:tc>
        <w:tc>
          <w:tcPr>
            <w:tcW w:w="1698"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192.000</w:t>
            </w:r>
          </w:p>
        </w:tc>
        <w:tc>
          <w:tcPr>
            <w:tcW w:w="156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21.000</w:t>
            </w:r>
          </w:p>
        </w:tc>
        <w:tc>
          <w:tcPr>
            <w:tcW w:w="1707"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213.000</w:t>
            </w:r>
          </w:p>
        </w:tc>
      </w:tr>
      <w:tr w:rsidR="00000000">
        <w:tblPrEx>
          <w:tblCellMar>
            <w:top w:w="0" w:type="dxa"/>
            <w:bottom w:w="0" w:type="dxa"/>
          </w:tblCellMar>
        </w:tblPrEx>
        <w:trPr>
          <w:jc w:val="center"/>
        </w:trPr>
        <w:tc>
          <w:tcPr>
            <w:tcW w:w="1576"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2002</w:t>
            </w:r>
          </w:p>
        </w:tc>
        <w:tc>
          <w:tcPr>
            <w:tcW w:w="1776"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519</w:t>
            </w:r>
          </w:p>
        </w:tc>
        <w:tc>
          <w:tcPr>
            <w:tcW w:w="1041"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541</w:t>
            </w:r>
          </w:p>
        </w:tc>
        <w:tc>
          <w:tcPr>
            <w:tcW w:w="1698"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188.000</w:t>
            </w:r>
          </w:p>
        </w:tc>
        <w:tc>
          <w:tcPr>
            <w:tcW w:w="156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28.000</w:t>
            </w:r>
          </w:p>
        </w:tc>
        <w:tc>
          <w:tcPr>
            <w:tcW w:w="1707"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216.000</w:t>
            </w:r>
          </w:p>
        </w:tc>
      </w:tr>
      <w:tr w:rsidR="00000000">
        <w:tblPrEx>
          <w:tblCellMar>
            <w:top w:w="0" w:type="dxa"/>
            <w:bottom w:w="0" w:type="dxa"/>
          </w:tblCellMar>
        </w:tblPrEx>
        <w:trPr>
          <w:jc w:val="center"/>
        </w:trPr>
        <w:tc>
          <w:tcPr>
            <w:tcW w:w="1576"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2003</w:t>
            </w:r>
          </w:p>
        </w:tc>
        <w:tc>
          <w:tcPr>
            <w:tcW w:w="1776"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408</w:t>
            </w:r>
          </w:p>
        </w:tc>
        <w:tc>
          <w:tcPr>
            <w:tcW w:w="1041"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412</w:t>
            </w:r>
          </w:p>
        </w:tc>
        <w:tc>
          <w:tcPr>
            <w:tcW w:w="1698"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130.000</w:t>
            </w:r>
          </w:p>
        </w:tc>
        <w:tc>
          <w:tcPr>
            <w:tcW w:w="156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13.000</w:t>
            </w:r>
          </w:p>
        </w:tc>
        <w:tc>
          <w:tcPr>
            <w:tcW w:w="1707"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143.000</w:t>
            </w:r>
          </w:p>
        </w:tc>
      </w:tr>
    </w:tbl>
    <w:p w:rsidR="00000000" w:rsidRDefault="00000000">
      <w:pPr>
        <w:spacing w:before="240" w:after="360"/>
        <w:rPr>
          <w:bCs/>
          <w:noProof/>
          <w:color w:val="000000"/>
        </w:rPr>
      </w:pPr>
      <w:r>
        <w:rPr>
          <w:bCs/>
          <w:i/>
          <w:iCs/>
          <w:noProof/>
          <w:color w:val="000000"/>
        </w:rPr>
        <w:t>Fuente</w:t>
      </w:r>
      <w:r>
        <w:rPr>
          <w:bCs/>
          <w:noProof/>
          <w:color w:val="000000"/>
        </w:rPr>
        <w:t>:  FONADIS, 2003.</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jc w:val="center"/>
        <w:outlineLvl w:val="0"/>
        <w:rPr>
          <w:b/>
          <w:noProof/>
          <w:color w:val="000000"/>
        </w:rPr>
      </w:pPr>
      <w:r>
        <w:rPr>
          <w:b/>
          <w:noProof/>
          <w:color w:val="000000"/>
        </w:rPr>
        <w:t>Cuadro 14</w:t>
      </w:r>
    </w:p>
    <w:p w:rsidR="00000000" w:rsidRDefault="00000000">
      <w:pPr>
        <w:pStyle w:val="Heading1"/>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line="240" w:lineRule="auto"/>
        <w:rPr>
          <w:b/>
          <w:bCs/>
          <w:noProof/>
          <w:lang w:val="es-ES"/>
        </w:rPr>
      </w:pPr>
      <w:r>
        <w:rPr>
          <w:b/>
          <w:bCs/>
          <w:u w:val="none"/>
          <w:lang w:val="es-ES"/>
        </w:rPr>
        <w:t xml:space="preserve">Niños y niñas  discapacitados </w:t>
      </w:r>
      <w:r>
        <w:rPr>
          <w:b/>
          <w:bCs/>
          <w:noProof/>
          <w:u w:val="none"/>
          <w:lang w:val="es-ES"/>
        </w:rPr>
        <w:t>atendidos por SENAME, según sexo, 1999-2003</w:t>
      </w:r>
    </w:p>
    <w:tbl>
      <w:tblPr>
        <w:tblW w:w="0" w:type="auto"/>
        <w:jc w:val="center"/>
        <w:tblLayout w:type="fixed"/>
        <w:tblCellMar>
          <w:left w:w="56" w:type="dxa"/>
          <w:right w:w="56" w:type="dxa"/>
        </w:tblCellMar>
        <w:tblLook w:val="0000" w:firstRow="0" w:lastRow="0" w:firstColumn="0" w:lastColumn="0" w:noHBand="0" w:noVBand="0"/>
      </w:tblPr>
      <w:tblGrid>
        <w:gridCol w:w="2169"/>
        <w:gridCol w:w="717"/>
        <w:gridCol w:w="717"/>
        <w:gridCol w:w="717"/>
        <w:gridCol w:w="717"/>
        <w:gridCol w:w="717"/>
        <w:gridCol w:w="717"/>
        <w:gridCol w:w="717"/>
        <w:gridCol w:w="717"/>
        <w:gridCol w:w="717"/>
        <w:gridCol w:w="732"/>
      </w:tblGrid>
      <w:tr w:rsidR="00000000">
        <w:tblPrEx>
          <w:tblCellMar>
            <w:top w:w="0" w:type="dxa"/>
            <w:bottom w:w="0" w:type="dxa"/>
          </w:tblCellMar>
        </w:tblPrEx>
        <w:trPr>
          <w:cantSplit/>
          <w:jc w:val="center"/>
        </w:trPr>
        <w:tc>
          <w:tcPr>
            <w:tcW w:w="2169" w:type="dxa"/>
            <w:vMerge w:val="restart"/>
            <w:tcBorders>
              <w:top w:val="single" w:sz="4" w:space="0" w:color="auto"/>
              <w:left w:val="single" w:sz="4" w:space="0" w:color="auto"/>
              <w:right w:val="single" w:sz="8" w:space="0" w:color="000000"/>
            </w:tcBorders>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Cs/>
                <w:noProof/>
                <w:color w:val="000000"/>
              </w:rPr>
            </w:pPr>
          </w:p>
        </w:tc>
        <w:tc>
          <w:tcPr>
            <w:tcW w:w="1434" w:type="dxa"/>
            <w:gridSpan w:val="2"/>
            <w:tcBorders>
              <w:top w:val="single" w:sz="4" w:space="0" w:color="auto"/>
              <w:left w:val="single" w:sz="8" w:space="0" w:color="000000"/>
              <w:bottom w:val="single" w:sz="6" w:space="0" w:color="FFFFFF"/>
              <w:right w:val="single" w:sz="8" w:space="0" w:color="000000"/>
            </w:tcBorders>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noProof/>
                <w:color w:val="000000"/>
                <w:lang w:val="en-GB"/>
              </w:rPr>
            </w:pPr>
            <w:r>
              <w:rPr>
                <w:b/>
                <w:noProof/>
                <w:color w:val="000000"/>
                <w:lang w:val="en-GB"/>
              </w:rPr>
              <w:t>1999</w:t>
            </w:r>
          </w:p>
        </w:tc>
        <w:tc>
          <w:tcPr>
            <w:tcW w:w="1434" w:type="dxa"/>
            <w:gridSpan w:val="2"/>
            <w:tcBorders>
              <w:top w:val="single" w:sz="4" w:space="0" w:color="auto"/>
              <w:left w:val="single" w:sz="8" w:space="0" w:color="000000"/>
              <w:bottom w:val="single" w:sz="6" w:space="0" w:color="FFFFFF"/>
              <w:right w:val="single" w:sz="8" w:space="0" w:color="000000"/>
            </w:tcBorders>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noProof/>
                <w:color w:val="000000"/>
                <w:lang w:val="en-GB"/>
              </w:rPr>
            </w:pPr>
            <w:r>
              <w:rPr>
                <w:b/>
                <w:noProof/>
                <w:color w:val="000000"/>
                <w:lang w:val="en-GB"/>
              </w:rPr>
              <w:t>2000</w:t>
            </w:r>
          </w:p>
        </w:tc>
        <w:tc>
          <w:tcPr>
            <w:tcW w:w="1434" w:type="dxa"/>
            <w:gridSpan w:val="2"/>
            <w:tcBorders>
              <w:top w:val="single" w:sz="4" w:space="0" w:color="auto"/>
              <w:left w:val="single" w:sz="8" w:space="0" w:color="000000"/>
              <w:bottom w:val="single" w:sz="6" w:space="0" w:color="FFFFFF"/>
              <w:right w:val="single" w:sz="8" w:space="0" w:color="000000"/>
            </w:tcBorders>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noProof/>
                <w:color w:val="000000"/>
                <w:lang w:val="en-GB"/>
              </w:rPr>
            </w:pPr>
            <w:r>
              <w:rPr>
                <w:b/>
                <w:noProof/>
                <w:color w:val="000000"/>
                <w:lang w:val="en-GB"/>
              </w:rPr>
              <w:t>2001</w:t>
            </w:r>
          </w:p>
        </w:tc>
        <w:tc>
          <w:tcPr>
            <w:tcW w:w="1434" w:type="dxa"/>
            <w:gridSpan w:val="2"/>
            <w:tcBorders>
              <w:top w:val="single" w:sz="4" w:space="0" w:color="auto"/>
              <w:left w:val="single" w:sz="8" w:space="0" w:color="000000"/>
              <w:bottom w:val="single" w:sz="6" w:space="0" w:color="FFFFFF"/>
              <w:right w:val="single" w:sz="8" w:space="0" w:color="000000"/>
            </w:tcBorders>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noProof/>
                <w:color w:val="000000"/>
                <w:lang w:val="en-GB"/>
              </w:rPr>
            </w:pPr>
            <w:r>
              <w:rPr>
                <w:b/>
                <w:noProof/>
                <w:color w:val="000000"/>
                <w:lang w:val="en-GB"/>
              </w:rPr>
              <w:t>2002</w:t>
            </w:r>
          </w:p>
        </w:tc>
        <w:tc>
          <w:tcPr>
            <w:tcW w:w="1449" w:type="dxa"/>
            <w:gridSpan w:val="2"/>
            <w:tcBorders>
              <w:top w:val="single" w:sz="4" w:space="0" w:color="auto"/>
              <w:left w:val="single" w:sz="8" w:space="0" w:color="000000"/>
              <w:bottom w:val="single" w:sz="6" w:space="0" w:color="FFFFFF"/>
              <w:right w:val="single" w:sz="4" w:space="0" w:color="auto"/>
            </w:tcBorders>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noProof/>
                <w:color w:val="000000"/>
                <w:lang w:val="en-GB"/>
              </w:rPr>
            </w:pPr>
            <w:r>
              <w:rPr>
                <w:b/>
                <w:noProof/>
                <w:color w:val="000000"/>
                <w:lang w:val="en-GB"/>
              </w:rPr>
              <w:t>2003</w:t>
            </w:r>
          </w:p>
        </w:tc>
      </w:tr>
      <w:tr w:rsidR="00000000">
        <w:tblPrEx>
          <w:tblCellMar>
            <w:top w:w="0" w:type="dxa"/>
            <w:bottom w:w="0" w:type="dxa"/>
          </w:tblCellMar>
        </w:tblPrEx>
        <w:trPr>
          <w:cantSplit/>
          <w:jc w:val="center"/>
        </w:trPr>
        <w:tc>
          <w:tcPr>
            <w:tcW w:w="2169" w:type="dxa"/>
            <w:vMerge/>
            <w:tcBorders>
              <w:left w:val="single" w:sz="4" w:space="0" w:color="auto"/>
              <w:bottom w:val="single" w:sz="6" w:space="0" w:color="FFFFFF"/>
              <w:right w:val="single" w:sz="8" w:space="0" w:color="000000"/>
            </w:tcBorders>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Cs/>
                <w:noProof/>
                <w:color w:val="000000"/>
                <w:lang w:val="en-GB"/>
              </w:rPr>
            </w:pPr>
          </w:p>
        </w:tc>
        <w:tc>
          <w:tcPr>
            <w:tcW w:w="717" w:type="dxa"/>
            <w:tcBorders>
              <w:top w:val="single" w:sz="7" w:space="0" w:color="000000"/>
              <w:left w:val="single" w:sz="8" w:space="0" w:color="000000"/>
              <w:bottom w:val="single" w:sz="6" w:space="0" w:color="FFFFFF"/>
              <w:right w:val="single" w:sz="8" w:space="0" w:color="000000"/>
            </w:tcBorders>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noProof/>
                <w:color w:val="000000"/>
                <w:lang w:val="en-GB"/>
              </w:rPr>
            </w:pPr>
            <w:r>
              <w:rPr>
                <w:b/>
                <w:noProof/>
                <w:color w:val="000000"/>
                <w:lang w:val="en-GB"/>
              </w:rPr>
              <w:t>F</w:t>
            </w:r>
          </w:p>
        </w:tc>
        <w:tc>
          <w:tcPr>
            <w:tcW w:w="717" w:type="dxa"/>
            <w:tcBorders>
              <w:top w:val="single" w:sz="7" w:space="0" w:color="000000"/>
              <w:left w:val="single" w:sz="8" w:space="0" w:color="000000"/>
              <w:bottom w:val="single" w:sz="6" w:space="0" w:color="FFFFFF"/>
              <w:right w:val="single" w:sz="8" w:space="0" w:color="000000"/>
            </w:tcBorders>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noProof/>
                <w:color w:val="000000"/>
                <w:lang w:val="en-GB"/>
              </w:rPr>
            </w:pPr>
            <w:r>
              <w:rPr>
                <w:b/>
                <w:noProof/>
                <w:color w:val="000000"/>
                <w:lang w:val="en-GB"/>
              </w:rPr>
              <w:t>M</w:t>
            </w:r>
          </w:p>
        </w:tc>
        <w:tc>
          <w:tcPr>
            <w:tcW w:w="717" w:type="dxa"/>
            <w:tcBorders>
              <w:top w:val="single" w:sz="7" w:space="0" w:color="000000"/>
              <w:left w:val="single" w:sz="8" w:space="0" w:color="000000"/>
              <w:bottom w:val="single" w:sz="6" w:space="0" w:color="FFFFFF"/>
              <w:right w:val="single" w:sz="8" w:space="0" w:color="000000"/>
            </w:tcBorders>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noProof/>
                <w:color w:val="000000"/>
                <w:lang w:val="en-GB"/>
              </w:rPr>
            </w:pPr>
            <w:r>
              <w:rPr>
                <w:b/>
                <w:noProof/>
                <w:color w:val="000000"/>
                <w:lang w:val="en-GB"/>
              </w:rPr>
              <w:t>F</w:t>
            </w:r>
          </w:p>
        </w:tc>
        <w:tc>
          <w:tcPr>
            <w:tcW w:w="717" w:type="dxa"/>
            <w:tcBorders>
              <w:top w:val="single" w:sz="7" w:space="0" w:color="000000"/>
              <w:left w:val="single" w:sz="8" w:space="0" w:color="000000"/>
              <w:bottom w:val="single" w:sz="6" w:space="0" w:color="FFFFFF"/>
              <w:right w:val="single" w:sz="8" w:space="0" w:color="000000"/>
            </w:tcBorders>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noProof/>
                <w:color w:val="000000"/>
                <w:lang w:val="en-GB"/>
              </w:rPr>
            </w:pPr>
            <w:r>
              <w:rPr>
                <w:b/>
                <w:noProof/>
                <w:color w:val="000000"/>
                <w:lang w:val="en-GB"/>
              </w:rPr>
              <w:t>M</w:t>
            </w:r>
          </w:p>
        </w:tc>
        <w:tc>
          <w:tcPr>
            <w:tcW w:w="717" w:type="dxa"/>
            <w:tcBorders>
              <w:top w:val="single" w:sz="7" w:space="0" w:color="000000"/>
              <w:left w:val="single" w:sz="8" w:space="0" w:color="000000"/>
              <w:bottom w:val="single" w:sz="6" w:space="0" w:color="FFFFFF"/>
              <w:right w:val="single" w:sz="8" w:space="0" w:color="000000"/>
            </w:tcBorders>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noProof/>
                <w:color w:val="000000"/>
                <w:lang w:val="en-GB"/>
              </w:rPr>
            </w:pPr>
            <w:r>
              <w:rPr>
                <w:b/>
                <w:noProof/>
                <w:color w:val="000000"/>
                <w:lang w:val="en-GB"/>
              </w:rPr>
              <w:t>F</w:t>
            </w:r>
          </w:p>
        </w:tc>
        <w:tc>
          <w:tcPr>
            <w:tcW w:w="717" w:type="dxa"/>
            <w:tcBorders>
              <w:top w:val="single" w:sz="7" w:space="0" w:color="000000"/>
              <w:left w:val="single" w:sz="8" w:space="0" w:color="000000"/>
              <w:bottom w:val="single" w:sz="6" w:space="0" w:color="FFFFFF"/>
              <w:right w:val="single" w:sz="8" w:space="0" w:color="000000"/>
            </w:tcBorders>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noProof/>
                <w:color w:val="000000"/>
                <w:lang w:val="en-GB"/>
              </w:rPr>
            </w:pPr>
            <w:r>
              <w:rPr>
                <w:b/>
                <w:noProof/>
                <w:color w:val="000000"/>
                <w:lang w:val="en-GB"/>
              </w:rPr>
              <w:t>M</w:t>
            </w:r>
          </w:p>
        </w:tc>
        <w:tc>
          <w:tcPr>
            <w:tcW w:w="717" w:type="dxa"/>
            <w:tcBorders>
              <w:top w:val="single" w:sz="7" w:space="0" w:color="000000"/>
              <w:left w:val="single" w:sz="8" w:space="0" w:color="000000"/>
              <w:bottom w:val="single" w:sz="6" w:space="0" w:color="FFFFFF"/>
              <w:right w:val="single" w:sz="8" w:space="0" w:color="000000"/>
            </w:tcBorders>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noProof/>
                <w:color w:val="000000"/>
                <w:lang w:val="en-GB"/>
              </w:rPr>
            </w:pPr>
            <w:r>
              <w:rPr>
                <w:b/>
                <w:noProof/>
                <w:color w:val="000000"/>
                <w:lang w:val="en-GB"/>
              </w:rPr>
              <w:t>F</w:t>
            </w:r>
          </w:p>
        </w:tc>
        <w:tc>
          <w:tcPr>
            <w:tcW w:w="717" w:type="dxa"/>
            <w:tcBorders>
              <w:top w:val="single" w:sz="7" w:space="0" w:color="000000"/>
              <w:left w:val="single" w:sz="8" w:space="0" w:color="000000"/>
              <w:bottom w:val="single" w:sz="6" w:space="0" w:color="FFFFFF"/>
              <w:right w:val="single" w:sz="8" w:space="0" w:color="000000"/>
            </w:tcBorders>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noProof/>
                <w:color w:val="000000"/>
                <w:lang w:val="en-GB"/>
              </w:rPr>
            </w:pPr>
            <w:r>
              <w:rPr>
                <w:b/>
                <w:noProof/>
                <w:color w:val="000000"/>
                <w:lang w:val="en-GB"/>
              </w:rPr>
              <w:t>M</w:t>
            </w:r>
          </w:p>
        </w:tc>
        <w:tc>
          <w:tcPr>
            <w:tcW w:w="717" w:type="dxa"/>
            <w:tcBorders>
              <w:top w:val="single" w:sz="7" w:space="0" w:color="000000"/>
              <w:left w:val="single" w:sz="8" w:space="0" w:color="000000"/>
              <w:bottom w:val="single" w:sz="6" w:space="0" w:color="FFFFFF"/>
              <w:right w:val="single" w:sz="8" w:space="0" w:color="000000"/>
            </w:tcBorders>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noProof/>
                <w:color w:val="000000"/>
                <w:lang w:val="en-GB"/>
              </w:rPr>
            </w:pPr>
            <w:r>
              <w:rPr>
                <w:b/>
                <w:noProof/>
                <w:color w:val="000000"/>
                <w:lang w:val="en-GB"/>
              </w:rPr>
              <w:t>F</w:t>
            </w:r>
          </w:p>
        </w:tc>
        <w:tc>
          <w:tcPr>
            <w:tcW w:w="732" w:type="dxa"/>
            <w:tcBorders>
              <w:top w:val="single" w:sz="7" w:space="0" w:color="000000"/>
              <w:left w:val="single" w:sz="8" w:space="0" w:color="000000"/>
              <w:bottom w:val="single" w:sz="6" w:space="0" w:color="FFFFFF"/>
              <w:right w:val="single" w:sz="4" w:space="0" w:color="auto"/>
            </w:tcBorders>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noProof/>
                <w:color w:val="000000"/>
              </w:rPr>
            </w:pPr>
            <w:r>
              <w:rPr>
                <w:b/>
                <w:noProof/>
                <w:color w:val="000000"/>
              </w:rPr>
              <w:t>M</w:t>
            </w:r>
          </w:p>
        </w:tc>
      </w:tr>
      <w:tr w:rsidR="00000000">
        <w:tblPrEx>
          <w:tblCellMar>
            <w:top w:w="0" w:type="dxa"/>
            <w:bottom w:w="0" w:type="dxa"/>
          </w:tblCellMar>
        </w:tblPrEx>
        <w:trPr>
          <w:jc w:val="center"/>
        </w:trPr>
        <w:tc>
          <w:tcPr>
            <w:tcW w:w="2169" w:type="dxa"/>
            <w:tcBorders>
              <w:top w:val="single" w:sz="7" w:space="0" w:color="000000"/>
              <w:left w:val="single" w:sz="4" w:space="0" w:color="auto"/>
              <w:bottom w:val="single" w:sz="6" w:space="0" w:color="FFFFFF"/>
              <w:right w:val="single" w:sz="8" w:space="0" w:color="000000"/>
            </w:tcBorders>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Cs/>
                <w:noProof/>
                <w:color w:val="000000"/>
              </w:rPr>
            </w:pPr>
            <w:r>
              <w:rPr>
                <w:bCs/>
                <w:noProof/>
                <w:color w:val="000000"/>
              </w:rPr>
              <w:t>Discapacidad intelectual</w:t>
            </w:r>
          </w:p>
        </w:tc>
        <w:tc>
          <w:tcPr>
            <w:tcW w:w="717" w:type="dxa"/>
            <w:tcBorders>
              <w:top w:val="single" w:sz="7" w:space="0" w:color="000000"/>
              <w:left w:val="single" w:sz="8" w:space="0" w:color="000000"/>
              <w:bottom w:val="single" w:sz="6" w:space="0" w:color="FFFFFF"/>
              <w:right w:val="single" w:sz="8" w:space="0" w:color="000000"/>
            </w:tcBorders>
            <w:vAlign w:val="bottom"/>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right"/>
              <w:rPr>
                <w:bCs/>
                <w:noProof/>
                <w:color w:val="000000"/>
              </w:rPr>
            </w:pPr>
            <w:r>
              <w:rPr>
                <w:bCs/>
                <w:noProof/>
                <w:color w:val="000000"/>
              </w:rPr>
              <w:t>16</w:t>
            </w:r>
          </w:p>
        </w:tc>
        <w:tc>
          <w:tcPr>
            <w:tcW w:w="717" w:type="dxa"/>
            <w:tcBorders>
              <w:top w:val="single" w:sz="7" w:space="0" w:color="000000"/>
              <w:left w:val="single" w:sz="8" w:space="0" w:color="000000"/>
              <w:bottom w:val="single" w:sz="6" w:space="0" w:color="FFFFFF"/>
              <w:right w:val="single" w:sz="8" w:space="0" w:color="000000"/>
            </w:tcBorders>
            <w:vAlign w:val="bottom"/>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right"/>
              <w:rPr>
                <w:bCs/>
                <w:noProof/>
                <w:color w:val="000000"/>
              </w:rPr>
            </w:pPr>
            <w:r>
              <w:rPr>
                <w:bCs/>
                <w:noProof/>
                <w:color w:val="000000"/>
              </w:rPr>
              <w:t>14</w:t>
            </w:r>
          </w:p>
        </w:tc>
        <w:tc>
          <w:tcPr>
            <w:tcW w:w="717" w:type="dxa"/>
            <w:tcBorders>
              <w:top w:val="single" w:sz="7" w:space="0" w:color="000000"/>
              <w:left w:val="single" w:sz="8" w:space="0" w:color="000000"/>
              <w:bottom w:val="single" w:sz="6" w:space="0" w:color="FFFFFF"/>
              <w:right w:val="single" w:sz="8" w:space="0" w:color="000000"/>
            </w:tcBorders>
            <w:vAlign w:val="bottom"/>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right"/>
              <w:rPr>
                <w:bCs/>
                <w:noProof/>
                <w:color w:val="000000"/>
              </w:rPr>
            </w:pPr>
            <w:r>
              <w:rPr>
                <w:bCs/>
                <w:noProof/>
                <w:color w:val="000000"/>
              </w:rPr>
              <w:t>13</w:t>
            </w:r>
          </w:p>
        </w:tc>
        <w:tc>
          <w:tcPr>
            <w:tcW w:w="717" w:type="dxa"/>
            <w:tcBorders>
              <w:top w:val="single" w:sz="7" w:space="0" w:color="000000"/>
              <w:left w:val="single" w:sz="8" w:space="0" w:color="000000"/>
              <w:bottom w:val="single" w:sz="6" w:space="0" w:color="FFFFFF"/>
              <w:right w:val="single" w:sz="8" w:space="0" w:color="000000"/>
            </w:tcBorders>
            <w:vAlign w:val="bottom"/>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right"/>
              <w:rPr>
                <w:bCs/>
                <w:noProof/>
                <w:color w:val="000000"/>
              </w:rPr>
            </w:pPr>
            <w:r>
              <w:rPr>
                <w:bCs/>
                <w:noProof/>
                <w:color w:val="000000"/>
              </w:rPr>
              <w:t>16</w:t>
            </w:r>
          </w:p>
        </w:tc>
        <w:tc>
          <w:tcPr>
            <w:tcW w:w="717" w:type="dxa"/>
            <w:tcBorders>
              <w:top w:val="single" w:sz="7" w:space="0" w:color="000000"/>
              <w:left w:val="single" w:sz="8" w:space="0" w:color="000000"/>
              <w:bottom w:val="single" w:sz="6" w:space="0" w:color="FFFFFF"/>
              <w:right w:val="single" w:sz="8" w:space="0" w:color="000000"/>
            </w:tcBorders>
            <w:vAlign w:val="bottom"/>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right"/>
              <w:rPr>
                <w:bCs/>
                <w:noProof/>
                <w:color w:val="000000"/>
              </w:rPr>
            </w:pPr>
            <w:r>
              <w:rPr>
                <w:bCs/>
                <w:noProof/>
                <w:color w:val="000000"/>
              </w:rPr>
              <w:t>0</w:t>
            </w:r>
          </w:p>
        </w:tc>
        <w:tc>
          <w:tcPr>
            <w:tcW w:w="717" w:type="dxa"/>
            <w:tcBorders>
              <w:top w:val="single" w:sz="7" w:space="0" w:color="000000"/>
              <w:left w:val="single" w:sz="8" w:space="0" w:color="000000"/>
              <w:bottom w:val="single" w:sz="6" w:space="0" w:color="FFFFFF"/>
              <w:right w:val="single" w:sz="8" w:space="0" w:color="000000"/>
            </w:tcBorders>
            <w:vAlign w:val="bottom"/>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right"/>
              <w:rPr>
                <w:bCs/>
                <w:noProof/>
                <w:color w:val="000000"/>
              </w:rPr>
            </w:pPr>
            <w:r>
              <w:rPr>
                <w:bCs/>
                <w:noProof/>
                <w:color w:val="000000"/>
              </w:rPr>
              <w:t>1</w:t>
            </w:r>
          </w:p>
        </w:tc>
        <w:tc>
          <w:tcPr>
            <w:tcW w:w="717" w:type="dxa"/>
            <w:tcBorders>
              <w:top w:val="single" w:sz="7" w:space="0" w:color="000000"/>
              <w:left w:val="single" w:sz="8" w:space="0" w:color="000000"/>
              <w:bottom w:val="single" w:sz="6" w:space="0" w:color="FFFFFF"/>
              <w:right w:val="single" w:sz="8" w:space="0" w:color="000000"/>
            </w:tcBorders>
            <w:vAlign w:val="bottom"/>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right"/>
              <w:rPr>
                <w:bCs/>
                <w:noProof/>
                <w:color w:val="000000"/>
              </w:rPr>
            </w:pPr>
            <w:r>
              <w:rPr>
                <w:bCs/>
                <w:noProof/>
                <w:color w:val="000000"/>
              </w:rPr>
              <w:t>12</w:t>
            </w:r>
          </w:p>
        </w:tc>
        <w:tc>
          <w:tcPr>
            <w:tcW w:w="717" w:type="dxa"/>
            <w:tcBorders>
              <w:top w:val="single" w:sz="7" w:space="0" w:color="000000"/>
              <w:left w:val="single" w:sz="8" w:space="0" w:color="000000"/>
              <w:bottom w:val="single" w:sz="6" w:space="0" w:color="FFFFFF"/>
              <w:right w:val="single" w:sz="8" w:space="0" w:color="000000"/>
            </w:tcBorders>
            <w:vAlign w:val="bottom"/>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right"/>
              <w:rPr>
                <w:bCs/>
                <w:noProof/>
                <w:color w:val="000000"/>
              </w:rPr>
            </w:pPr>
            <w:r>
              <w:rPr>
                <w:bCs/>
                <w:noProof/>
                <w:color w:val="000000"/>
              </w:rPr>
              <w:t>15</w:t>
            </w:r>
          </w:p>
        </w:tc>
        <w:tc>
          <w:tcPr>
            <w:tcW w:w="717" w:type="dxa"/>
            <w:tcBorders>
              <w:top w:val="single" w:sz="7" w:space="0" w:color="000000"/>
              <w:left w:val="single" w:sz="8" w:space="0" w:color="000000"/>
              <w:bottom w:val="single" w:sz="6" w:space="0" w:color="FFFFFF"/>
              <w:right w:val="single" w:sz="8" w:space="0" w:color="000000"/>
            </w:tcBorders>
            <w:vAlign w:val="bottom"/>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right"/>
              <w:rPr>
                <w:bCs/>
                <w:noProof/>
                <w:color w:val="000000"/>
              </w:rPr>
            </w:pPr>
            <w:r>
              <w:rPr>
                <w:bCs/>
                <w:noProof/>
                <w:color w:val="000000"/>
              </w:rPr>
              <w:t>22</w:t>
            </w:r>
          </w:p>
        </w:tc>
        <w:tc>
          <w:tcPr>
            <w:tcW w:w="732" w:type="dxa"/>
            <w:tcBorders>
              <w:top w:val="single" w:sz="7" w:space="0" w:color="000000"/>
              <w:left w:val="single" w:sz="8" w:space="0" w:color="000000"/>
              <w:bottom w:val="single" w:sz="6" w:space="0" w:color="FFFFFF"/>
              <w:right w:val="single" w:sz="4" w:space="0" w:color="auto"/>
            </w:tcBorders>
            <w:vAlign w:val="bottom"/>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right"/>
              <w:rPr>
                <w:bCs/>
                <w:noProof/>
                <w:color w:val="000000"/>
              </w:rPr>
            </w:pPr>
            <w:r>
              <w:rPr>
                <w:bCs/>
                <w:noProof/>
                <w:color w:val="000000"/>
              </w:rPr>
              <w:t>18</w:t>
            </w:r>
          </w:p>
        </w:tc>
      </w:tr>
      <w:tr w:rsidR="00000000">
        <w:tblPrEx>
          <w:tblCellMar>
            <w:top w:w="0" w:type="dxa"/>
            <w:bottom w:w="0" w:type="dxa"/>
          </w:tblCellMar>
        </w:tblPrEx>
        <w:trPr>
          <w:jc w:val="center"/>
        </w:trPr>
        <w:tc>
          <w:tcPr>
            <w:tcW w:w="2169" w:type="dxa"/>
            <w:tcBorders>
              <w:top w:val="single" w:sz="7" w:space="0" w:color="000000"/>
              <w:left w:val="single" w:sz="4" w:space="0" w:color="auto"/>
              <w:bottom w:val="single" w:sz="6" w:space="0" w:color="FFFFFF"/>
              <w:right w:val="single" w:sz="8" w:space="0" w:color="000000"/>
            </w:tcBorders>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Cs/>
                <w:noProof/>
                <w:color w:val="000000"/>
              </w:rPr>
            </w:pPr>
            <w:r>
              <w:rPr>
                <w:bCs/>
                <w:noProof/>
                <w:color w:val="000000"/>
              </w:rPr>
              <w:t>Discapacidad física e intelectual</w:t>
            </w:r>
          </w:p>
        </w:tc>
        <w:tc>
          <w:tcPr>
            <w:tcW w:w="717" w:type="dxa"/>
            <w:tcBorders>
              <w:top w:val="single" w:sz="7" w:space="0" w:color="000000"/>
              <w:left w:val="single" w:sz="8" w:space="0" w:color="000000"/>
              <w:bottom w:val="single" w:sz="6" w:space="0" w:color="FFFFFF"/>
              <w:right w:val="single" w:sz="8" w:space="0" w:color="000000"/>
            </w:tcBorders>
            <w:vAlign w:val="bottom"/>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right"/>
              <w:rPr>
                <w:bCs/>
                <w:noProof/>
                <w:color w:val="000000"/>
              </w:rPr>
            </w:pPr>
            <w:r>
              <w:rPr>
                <w:bCs/>
                <w:noProof/>
                <w:color w:val="000000"/>
              </w:rPr>
              <w:t>442</w:t>
            </w:r>
          </w:p>
        </w:tc>
        <w:tc>
          <w:tcPr>
            <w:tcW w:w="717" w:type="dxa"/>
            <w:tcBorders>
              <w:top w:val="single" w:sz="7" w:space="0" w:color="000000"/>
              <w:left w:val="single" w:sz="8" w:space="0" w:color="000000"/>
              <w:bottom w:val="single" w:sz="6" w:space="0" w:color="FFFFFF"/>
              <w:right w:val="single" w:sz="8" w:space="0" w:color="000000"/>
            </w:tcBorders>
            <w:vAlign w:val="bottom"/>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right"/>
              <w:rPr>
                <w:bCs/>
                <w:noProof/>
                <w:color w:val="000000"/>
              </w:rPr>
            </w:pPr>
            <w:r>
              <w:rPr>
                <w:bCs/>
                <w:noProof/>
                <w:color w:val="000000"/>
              </w:rPr>
              <w:t>624</w:t>
            </w:r>
          </w:p>
        </w:tc>
        <w:tc>
          <w:tcPr>
            <w:tcW w:w="717" w:type="dxa"/>
            <w:tcBorders>
              <w:top w:val="single" w:sz="7" w:space="0" w:color="000000"/>
              <w:left w:val="single" w:sz="8" w:space="0" w:color="000000"/>
              <w:bottom w:val="single" w:sz="6" w:space="0" w:color="FFFFFF"/>
              <w:right w:val="single" w:sz="8" w:space="0" w:color="000000"/>
            </w:tcBorders>
            <w:vAlign w:val="bottom"/>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right"/>
              <w:rPr>
                <w:bCs/>
                <w:noProof/>
                <w:color w:val="000000"/>
              </w:rPr>
            </w:pPr>
            <w:r>
              <w:rPr>
                <w:bCs/>
                <w:noProof/>
                <w:color w:val="000000"/>
              </w:rPr>
              <w:t>448</w:t>
            </w:r>
          </w:p>
        </w:tc>
        <w:tc>
          <w:tcPr>
            <w:tcW w:w="717" w:type="dxa"/>
            <w:tcBorders>
              <w:top w:val="single" w:sz="7" w:space="0" w:color="000000"/>
              <w:left w:val="single" w:sz="8" w:space="0" w:color="000000"/>
              <w:bottom w:val="single" w:sz="6" w:space="0" w:color="FFFFFF"/>
              <w:right w:val="single" w:sz="8" w:space="0" w:color="000000"/>
            </w:tcBorders>
            <w:vAlign w:val="bottom"/>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right"/>
              <w:rPr>
                <w:bCs/>
                <w:noProof/>
                <w:color w:val="000000"/>
              </w:rPr>
            </w:pPr>
            <w:r>
              <w:rPr>
                <w:bCs/>
                <w:noProof/>
                <w:color w:val="000000"/>
              </w:rPr>
              <w:t>637</w:t>
            </w:r>
          </w:p>
        </w:tc>
        <w:tc>
          <w:tcPr>
            <w:tcW w:w="717" w:type="dxa"/>
            <w:tcBorders>
              <w:top w:val="single" w:sz="7" w:space="0" w:color="000000"/>
              <w:left w:val="single" w:sz="8" w:space="0" w:color="000000"/>
              <w:bottom w:val="single" w:sz="6" w:space="0" w:color="FFFFFF"/>
              <w:right w:val="single" w:sz="8" w:space="0" w:color="000000"/>
            </w:tcBorders>
            <w:vAlign w:val="bottom"/>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right"/>
              <w:rPr>
                <w:bCs/>
                <w:noProof/>
                <w:color w:val="000000"/>
              </w:rPr>
            </w:pPr>
            <w:r>
              <w:rPr>
                <w:bCs/>
                <w:noProof/>
                <w:color w:val="000000"/>
              </w:rPr>
              <w:t>498</w:t>
            </w:r>
          </w:p>
        </w:tc>
        <w:tc>
          <w:tcPr>
            <w:tcW w:w="717" w:type="dxa"/>
            <w:tcBorders>
              <w:top w:val="single" w:sz="7" w:space="0" w:color="000000"/>
              <w:left w:val="single" w:sz="8" w:space="0" w:color="000000"/>
              <w:bottom w:val="single" w:sz="6" w:space="0" w:color="FFFFFF"/>
              <w:right w:val="single" w:sz="8" w:space="0" w:color="000000"/>
            </w:tcBorders>
            <w:vAlign w:val="bottom"/>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right"/>
              <w:rPr>
                <w:bCs/>
                <w:noProof/>
                <w:color w:val="000000"/>
              </w:rPr>
            </w:pPr>
            <w:r>
              <w:rPr>
                <w:bCs/>
                <w:noProof/>
                <w:color w:val="000000"/>
              </w:rPr>
              <w:t>706</w:t>
            </w:r>
          </w:p>
        </w:tc>
        <w:tc>
          <w:tcPr>
            <w:tcW w:w="717" w:type="dxa"/>
            <w:tcBorders>
              <w:top w:val="single" w:sz="7" w:space="0" w:color="000000"/>
              <w:left w:val="single" w:sz="8" w:space="0" w:color="000000"/>
              <w:bottom w:val="single" w:sz="6" w:space="0" w:color="FFFFFF"/>
              <w:right w:val="single" w:sz="8" w:space="0" w:color="000000"/>
            </w:tcBorders>
            <w:vAlign w:val="bottom"/>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right"/>
              <w:rPr>
                <w:bCs/>
                <w:noProof/>
                <w:color w:val="000000"/>
              </w:rPr>
            </w:pPr>
            <w:r>
              <w:rPr>
                <w:bCs/>
                <w:noProof/>
                <w:color w:val="000000"/>
              </w:rPr>
              <w:t>415</w:t>
            </w:r>
          </w:p>
        </w:tc>
        <w:tc>
          <w:tcPr>
            <w:tcW w:w="717" w:type="dxa"/>
            <w:tcBorders>
              <w:top w:val="single" w:sz="7" w:space="0" w:color="000000"/>
              <w:left w:val="single" w:sz="8" w:space="0" w:color="000000"/>
              <w:bottom w:val="single" w:sz="6" w:space="0" w:color="FFFFFF"/>
              <w:right w:val="single" w:sz="8" w:space="0" w:color="000000"/>
            </w:tcBorders>
            <w:vAlign w:val="bottom"/>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right"/>
              <w:rPr>
                <w:bCs/>
                <w:noProof/>
                <w:color w:val="000000"/>
              </w:rPr>
            </w:pPr>
            <w:r>
              <w:rPr>
                <w:bCs/>
                <w:noProof/>
                <w:color w:val="000000"/>
              </w:rPr>
              <w:t>596</w:t>
            </w:r>
          </w:p>
        </w:tc>
        <w:tc>
          <w:tcPr>
            <w:tcW w:w="717" w:type="dxa"/>
            <w:tcBorders>
              <w:top w:val="single" w:sz="7" w:space="0" w:color="000000"/>
              <w:left w:val="single" w:sz="8" w:space="0" w:color="000000"/>
              <w:bottom w:val="single" w:sz="6" w:space="0" w:color="FFFFFF"/>
              <w:right w:val="single" w:sz="8" w:space="0" w:color="000000"/>
            </w:tcBorders>
            <w:vAlign w:val="bottom"/>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right"/>
              <w:rPr>
                <w:bCs/>
                <w:noProof/>
                <w:color w:val="000000"/>
              </w:rPr>
            </w:pPr>
            <w:r>
              <w:rPr>
                <w:bCs/>
                <w:noProof/>
                <w:color w:val="000000"/>
              </w:rPr>
              <w:t>437</w:t>
            </w:r>
          </w:p>
        </w:tc>
        <w:tc>
          <w:tcPr>
            <w:tcW w:w="732" w:type="dxa"/>
            <w:tcBorders>
              <w:top w:val="single" w:sz="7" w:space="0" w:color="000000"/>
              <w:left w:val="single" w:sz="8" w:space="0" w:color="000000"/>
              <w:bottom w:val="single" w:sz="6" w:space="0" w:color="FFFFFF"/>
              <w:right w:val="single" w:sz="4" w:space="0" w:color="auto"/>
            </w:tcBorders>
            <w:vAlign w:val="bottom"/>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right"/>
              <w:rPr>
                <w:bCs/>
                <w:noProof/>
                <w:color w:val="000000"/>
              </w:rPr>
            </w:pPr>
            <w:r>
              <w:rPr>
                <w:bCs/>
                <w:noProof/>
                <w:color w:val="000000"/>
              </w:rPr>
              <w:t>630</w:t>
            </w:r>
          </w:p>
        </w:tc>
      </w:tr>
      <w:tr w:rsidR="00000000">
        <w:tblPrEx>
          <w:tblCellMar>
            <w:top w:w="0" w:type="dxa"/>
            <w:bottom w:w="0" w:type="dxa"/>
          </w:tblCellMar>
        </w:tblPrEx>
        <w:trPr>
          <w:jc w:val="center"/>
        </w:trPr>
        <w:tc>
          <w:tcPr>
            <w:tcW w:w="2169" w:type="dxa"/>
            <w:tcBorders>
              <w:top w:val="single" w:sz="7" w:space="0" w:color="000000"/>
              <w:left w:val="single" w:sz="4" w:space="0" w:color="auto"/>
              <w:bottom w:val="single" w:sz="4" w:space="0" w:color="auto"/>
              <w:right w:val="single" w:sz="8" w:space="0" w:color="000000"/>
            </w:tcBorders>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Cs/>
                <w:noProof/>
                <w:color w:val="000000"/>
              </w:rPr>
            </w:pPr>
            <w:r>
              <w:rPr>
                <w:bCs/>
                <w:noProof/>
                <w:color w:val="000000"/>
              </w:rPr>
              <w:t>Sólo discapacidad física</w:t>
            </w:r>
          </w:p>
        </w:tc>
        <w:tc>
          <w:tcPr>
            <w:tcW w:w="717" w:type="dxa"/>
            <w:tcBorders>
              <w:top w:val="single" w:sz="7" w:space="0" w:color="000000"/>
              <w:left w:val="single" w:sz="8" w:space="0" w:color="000000"/>
              <w:bottom w:val="single" w:sz="4" w:space="0" w:color="auto"/>
              <w:right w:val="single" w:sz="8" w:space="0" w:color="000000"/>
            </w:tcBorders>
            <w:vAlign w:val="bottom"/>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right"/>
              <w:rPr>
                <w:bCs/>
                <w:noProof/>
                <w:color w:val="000000"/>
                <w:lang w:val="es-MX"/>
              </w:rPr>
            </w:pPr>
            <w:r>
              <w:rPr>
                <w:bCs/>
                <w:noProof/>
                <w:color w:val="000000"/>
                <w:lang w:val="es-MX"/>
              </w:rPr>
              <w:t>2.144</w:t>
            </w:r>
          </w:p>
        </w:tc>
        <w:tc>
          <w:tcPr>
            <w:tcW w:w="717" w:type="dxa"/>
            <w:tcBorders>
              <w:top w:val="single" w:sz="7" w:space="0" w:color="000000"/>
              <w:left w:val="single" w:sz="8" w:space="0" w:color="000000"/>
              <w:bottom w:val="single" w:sz="4" w:space="0" w:color="auto"/>
              <w:right w:val="single" w:sz="8" w:space="0" w:color="000000"/>
            </w:tcBorders>
            <w:vAlign w:val="bottom"/>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right"/>
              <w:rPr>
                <w:bCs/>
                <w:noProof/>
                <w:color w:val="000000"/>
                <w:lang w:val="es-MX"/>
              </w:rPr>
            </w:pPr>
            <w:r>
              <w:rPr>
                <w:bCs/>
                <w:noProof/>
                <w:color w:val="000000"/>
                <w:lang w:val="es-MX"/>
              </w:rPr>
              <w:t>2.452</w:t>
            </w:r>
          </w:p>
        </w:tc>
        <w:tc>
          <w:tcPr>
            <w:tcW w:w="717" w:type="dxa"/>
            <w:tcBorders>
              <w:top w:val="single" w:sz="7" w:space="0" w:color="000000"/>
              <w:left w:val="single" w:sz="8" w:space="0" w:color="000000"/>
              <w:bottom w:val="single" w:sz="4" w:space="0" w:color="auto"/>
              <w:right w:val="single" w:sz="8" w:space="0" w:color="000000"/>
            </w:tcBorders>
            <w:vAlign w:val="bottom"/>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right"/>
              <w:rPr>
                <w:bCs/>
                <w:noProof/>
                <w:color w:val="000000"/>
                <w:lang w:val="es-MX"/>
              </w:rPr>
            </w:pPr>
            <w:r>
              <w:rPr>
                <w:bCs/>
                <w:noProof/>
                <w:color w:val="000000"/>
                <w:lang w:val="es-MX"/>
              </w:rPr>
              <w:t>2.152</w:t>
            </w:r>
          </w:p>
        </w:tc>
        <w:tc>
          <w:tcPr>
            <w:tcW w:w="717" w:type="dxa"/>
            <w:tcBorders>
              <w:top w:val="single" w:sz="7" w:space="0" w:color="000000"/>
              <w:left w:val="single" w:sz="8" w:space="0" w:color="000000"/>
              <w:bottom w:val="single" w:sz="4" w:space="0" w:color="auto"/>
              <w:right w:val="single" w:sz="8" w:space="0" w:color="000000"/>
            </w:tcBorders>
            <w:vAlign w:val="bottom"/>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right"/>
              <w:rPr>
                <w:bCs/>
                <w:noProof/>
                <w:color w:val="000000"/>
                <w:lang w:val="es-MX"/>
              </w:rPr>
            </w:pPr>
            <w:r>
              <w:rPr>
                <w:bCs/>
                <w:noProof/>
                <w:color w:val="000000"/>
                <w:lang w:val="es-MX"/>
              </w:rPr>
              <w:t>2.632</w:t>
            </w:r>
          </w:p>
        </w:tc>
        <w:tc>
          <w:tcPr>
            <w:tcW w:w="717" w:type="dxa"/>
            <w:tcBorders>
              <w:top w:val="single" w:sz="7" w:space="0" w:color="000000"/>
              <w:left w:val="single" w:sz="8" w:space="0" w:color="000000"/>
              <w:bottom w:val="single" w:sz="4" w:space="0" w:color="auto"/>
              <w:right w:val="single" w:sz="8" w:space="0" w:color="000000"/>
            </w:tcBorders>
            <w:vAlign w:val="bottom"/>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right"/>
              <w:rPr>
                <w:bCs/>
                <w:noProof/>
                <w:color w:val="000000"/>
                <w:lang w:val="es-MX"/>
              </w:rPr>
            </w:pPr>
            <w:r>
              <w:rPr>
                <w:bCs/>
                <w:noProof/>
                <w:color w:val="000000"/>
                <w:lang w:val="es-MX"/>
              </w:rPr>
              <w:t>2.063</w:t>
            </w:r>
          </w:p>
        </w:tc>
        <w:tc>
          <w:tcPr>
            <w:tcW w:w="717" w:type="dxa"/>
            <w:tcBorders>
              <w:top w:val="single" w:sz="7" w:space="0" w:color="000000"/>
              <w:left w:val="single" w:sz="8" w:space="0" w:color="000000"/>
              <w:bottom w:val="single" w:sz="4" w:space="0" w:color="auto"/>
              <w:right w:val="single" w:sz="8" w:space="0" w:color="000000"/>
            </w:tcBorders>
            <w:vAlign w:val="bottom"/>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right"/>
              <w:rPr>
                <w:bCs/>
                <w:noProof/>
                <w:color w:val="000000"/>
                <w:lang w:val="es-MX"/>
              </w:rPr>
            </w:pPr>
            <w:r>
              <w:rPr>
                <w:bCs/>
                <w:noProof/>
                <w:color w:val="000000"/>
                <w:lang w:val="es-MX"/>
              </w:rPr>
              <w:t>2.438</w:t>
            </w:r>
          </w:p>
        </w:tc>
        <w:tc>
          <w:tcPr>
            <w:tcW w:w="717" w:type="dxa"/>
            <w:tcBorders>
              <w:top w:val="single" w:sz="7" w:space="0" w:color="000000"/>
              <w:left w:val="single" w:sz="8" w:space="0" w:color="000000"/>
              <w:bottom w:val="single" w:sz="4" w:space="0" w:color="auto"/>
              <w:right w:val="single" w:sz="8" w:space="0" w:color="000000"/>
            </w:tcBorders>
            <w:vAlign w:val="bottom"/>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right"/>
              <w:rPr>
                <w:bCs/>
                <w:noProof/>
                <w:color w:val="000000"/>
                <w:lang w:val="es-MX"/>
              </w:rPr>
            </w:pPr>
            <w:r>
              <w:rPr>
                <w:bCs/>
                <w:noProof/>
                <w:color w:val="000000"/>
                <w:lang w:val="es-MX"/>
              </w:rPr>
              <w:t>1.721</w:t>
            </w:r>
          </w:p>
        </w:tc>
        <w:tc>
          <w:tcPr>
            <w:tcW w:w="717" w:type="dxa"/>
            <w:tcBorders>
              <w:top w:val="single" w:sz="7" w:space="0" w:color="000000"/>
              <w:left w:val="single" w:sz="8" w:space="0" w:color="000000"/>
              <w:bottom w:val="single" w:sz="4" w:space="0" w:color="auto"/>
              <w:right w:val="single" w:sz="8" w:space="0" w:color="000000"/>
            </w:tcBorders>
            <w:vAlign w:val="bottom"/>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right"/>
              <w:rPr>
                <w:bCs/>
                <w:noProof/>
                <w:color w:val="000000"/>
                <w:lang w:val="es-MX"/>
              </w:rPr>
            </w:pPr>
            <w:r>
              <w:rPr>
                <w:bCs/>
                <w:noProof/>
                <w:color w:val="000000"/>
                <w:lang w:val="es-MX"/>
              </w:rPr>
              <w:t>2.120</w:t>
            </w:r>
          </w:p>
        </w:tc>
        <w:tc>
          <w:tcPr>
            <w:tcW w:w="717" w:type="dxa"/>
            <w:tcBorders>
              <w:top w:val="single" w:sz="7" w:space="0" w:color="000000"/>
              <w:left w:val="single" w:sz="8" w:space="0" w:color="000000"/>
              <w:bottom w:val="single" w:sz="4" w:space="0" w:color="auto"/>
              <w:right w:val="single" w:sz="8" w:space="0" w:color="000000"/>
            </w:tcBorders>
            <w:vAlign w:val="bottom"/>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right"/>
              <w:rPr>
                <w:bCs/>
                <w:noProof/>
                <w:color w:val="000000"/>
                <w:lang w:val="es-MX"/>
              </w:rPr>
            </w:pPr>
            <w:r>
              <w:rPr>
                <w:bCs/>
                <w:noProof/>
                <w:color w:val="000000"/>
                <w:lang w:val="es-MX"/>
              </w:rPr>
              <w:t>1.607</w:t>
            </w:r>
          </w:p>
        </w:tc>
        <w:tc>
          <w:tcPr>
            <w:tcW w:w="732" w:type="dxa"/>
            <w:tcBorders>
              <w:top w:val="single" w:sz="7" w:space="0" w:color="000000"/>
              <w:left w:val="single" w:sz="8" w:space="0" w:color="000000"/>
              <w:bottom w:val="single" w:sz="4" w:space="0" w:color="auto"/>
              <w:right w:val="single" w:sz="4" w:space="0" w:color="auto"/>
            </w:tcBorders>
            <w:vAlign w:val="bottom"/>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right"/>
              <w:rPr>
                <w:bCs/>
                <w:noProof/>
                <w:color w:val="000000"/>
                <w:lang w:val="es-MX"/>
              </w:rPr>
            </w:pPr>
            <w:r>
              <w:rPr>
                <w:bCs/>
                <w:noProof/>
                <w:color w:val="000000"/>
                <w:lang w:val="es-MX"/>
              </w:rPr>
              <w:t>1.943</w:t>
            </w:r>
          </w:p>
        </w:tc>
      </w:tr>
    </w:tbl>
    <w:p w:rsidR="00000000" w:rsidRDefault="00000000">
      <w:pPr>
        <w:tabs>
          <w:tab w:val="center" w:pos="4680"/>
          <w:tab w:val="left" w:pos="4956"/>
          <w:tab w:val="left" w:pos="5664"/>
          <w:tab w:val="left" w:pos="6372"/>
          <w:tab w:val="left" w:pos="7080"/>
          <w:tab w:val="left" w:pos="7788"/>
          <w:tab w:val="left" w:pos="8496"/>
        </w:tabs>
        <w:spacing w:before="200" w:after="240"/>
        <w:rPr>
          <w:bCs/>
          <w:noProof/>
          <w:color w:val="000000"/>
          <w:lang w:val="es-MX"/>
        </w:rPr>
      </w:pPr>
      <w:r>
        <w:rPr>
          <w:bCs/>
          <w:i/>
          <w:iCs/>
          <w:noProof/>
          <w:color w:val="000000"/>
          <w:lang w:val="es-MX"/>
        </w:rPr>
        <w:t>Fuente</w:t>
      </w:r>
      <w:r>
        <w:rPr>
          <w:bCs/>
          <w:noProof/>
          <w:color w:val="000000"/>
          <w:lang w:val="es-MX"/>
        </w:rPr>
        <w:t>:  SENAME, 2004.</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jc w:val="center"/>
        <w:outlineLvl w:val="0"/>
        <w:rPr>
          <w:b/>
          <w:noProof/>
          <w:color w:val="000000"/>
          <w:lang w:val="es-MX"/>
        </w:rPr>
      </w:pPr>
      <w:r>
        <w:rPr>
          <w:b/>
          <w:noProof/>
          <w:color w:val="000000"/>
          <w:lang w:val="es-MX"/>
        </w:rPr>
        <w:t>Cuadro 15</w:t>
      </w:r>
    </w:p>
    <w:p w:rsidR="00000000" w:rsidRDefault="00000000">
      <w:pPr>
        <w:pStyle w:val="BodyText"/>
        <w:jc w:val="center"/>
        <w:rPr>
          <w:rFonts w:ascii="Times New Roman" w:hAnsi="Times New Roman"/>
          <w:lang w:val="es-ES"/>
        </w:rPr>
      </w:pPr>
      <w:r>
        <w:rPr>
          <w:rFonts w:ascii="Times New Roman" w:hAnsi="Times New Roman"/>
          <w:b/>
          <w:lang w:val="es-ES"/>
        </w:rPr>
        <w:t>Mortalidad infantil.  Chile 1980-2001</w:t>
      </w:r>
    </w:p>
    <w:p w:rsidR="00000000" w:rsidRDefault="00000000">
      <w:pPr>
        <w:spacing w:after="240"/>
        <w:rPr>
          <w:bCs/>
          <w:lang w:val="es-MX"/>
        </w:rPr>
      </w:pPr>
      <w:r>
        <w:rPr>
          <w:bCs/>
          <w:noProof/>
        </w:rPr>
        <w:pict>
          <v:shape id="_x0000_s1032" type="#_x0000_t75" style="position:absolute;margin-left:25pt;margin-top:4.55pt;width:414pt;height:180pt;z-index:7;mso-wrap-edited:f" o:bwpure="blackTextAndLines" o:bwnormal="blackTextAndLines" wrapcoords="91 271 91 21329 21479 21329 21479 271 91 271" o:allowincell="f" fillcolor="#0c9" strokeweight="1pt">
            <v:imagedata r:id="rId15" o:title=""/>
          </v:shape>
          <o:OLEObject Type="Embed" ProgID="MSGraph.Chart.8" ShapeID="_x0000_s1032" DrawAspect="Content" ObjectID="_1394720795" r:id="rId16">
            <o:FieldCodes>\s</o:FieldCodes>
          </o:OLEObject>
        </w:pict>
      </w:r>
    </w:p>
    <w:p w:rsidR="00000000" w:rsidRDefault="00000000">
      <w:pPr>
        <w:spacing w:after="240"/>
        <w:rPr>
          <w:bCs/>
          <w:lang w:val="es-MX"/>
        </w:rPr>
      </w:pPr>
    </w:p>
    <w:p w:rsidR="00000000" w:rsidRDefault="00000000">
      <w:pPr>
        <w:spacing w:after="240"/>
        <w:rPr>
          <w:bCs/>
          <w:lang w:val="es-MX"/>
        </w:rPr>
      </w:pPr>
    </w:p>
    <w:p w:rsidR="00000000" w:rsidRDefault="00000000">
      <w:pPr>
        <w:spacing w:after="240"/>
        <w:rPr>
          <w:bCs/>
          <w:lang w:val="es-MX"/>
        </w:rPr>
      </w:pPr>
    </w:p>
    <w:p w:rsidR="00000000" w:rsidRDefault="00000000">
      <w:pPr>
        <w:spacing w:after="240"/>
        <w:rPr>
          <w:bCs/>
          <w:lang w:val="es-MX"/>
        </w:rPr>
      </w:pPr>
    </w:p>
    <w:p w:rsidR="00000000" w:rsidRDefault="00000000">
      <w:pPr>
        <w:spacing w:after="240"/>
        <w:rPr>
          <w:bCs/>
          <w:lang w:val="es-MX"/>
        </w:rPr>
      </w:pPr>
    </w:p>
    <w:p w:rsidR="00000000" w:rsidRDefault="00000000">
      <w:pPr>
        <w:tabs>
          <w:tab w:val="left" w:pos="-4536"/>
          <w:tab w:val="left" w:pos="-3402"/>
          <w:tab w:val="center" w:pos="851"/>
        </w:tabs>
        <w:spacing w:after="240"/>
        <w:outlineLvl w:val="0"/>
        <w:rPr>
          <w:bCs/>
          <w:lang w:val="es-MX"/>
        </w:rPr>
      </w:pPr>
    </w:p>
    <w:p w:rsidR="00000000" w:rsidRDefault="00000000">
      <w:pPr>
        <w:tabs>
          <w:tab w:val="left" w:pos="-4536"/>
          <w:tab w:val="left" w:pos="-3402"/>
          <w:tab w:val="left" w:pos="840"/>
        </w:tabs>
        <w:spacing w:after="480"/>
        <w:outlineLvl w:val="0"/>
        <w:rPr>
          <w:bCs/>
          <w:noProof/>
          <w:color w:val="000000"/>
          <w:lang w:val="es-MX"/>
        </w:rPr>
      </w:pPr>
      <w:r>
        <w:rPr>
          <w:bCs/>
          <w:noProof/>
          <w:color w:val="000000"/>
          <w:lang w:val="es-MX"/>
        </w:rPr>
        <w:tab/>
      </w:r>
      <w:r>
        <w:rPr>
          <w:bCs/>
          <w:i/>
          <w:iCs/>
          <w:noProof/>
          <w:color w:val="000000"/>
          <w:lang w:val="es-MX"/>
        </w:rPr>
        <w:t>Fuente</w:t>
      </w:r>
      <w:r>
        <w:rPr>
          <w:bCs/>
          <w:noProof/>
          <w:color w:val="000000"/>
          <w:lang w:val="es-MX"/>
        </w:rPr>
        <w:t>:  Minsal.  Tasas por 1.000 nacidos vivos.</w:t>
      </w:r>
    </w:p>
    <w:p w:rsidR="00000000" w:rsidRDefault="00000000">
      <w:pPr>
        <w:spacing w:after="240"/>
        <w:ind w:left="357"/>
        <w:jc w:val="center"/>
        <w:rPr>
          <w:b/>
          <w:noProof/>
          <w:color w:val="000000"/>
        </w:rPr>
      </w:pPr>
      <w:r>
        <w:rPr>
          <w:b/>
          <w:noProof/>
          <w:color w:val="000000"/>
        </w:rPr>
        <w:t>Cuadro 16</w:t>
      </w:r>
    </w:p>
    <w:p w:rsidR="00000000" w:rsidRDefault="00000000">
      <w:pPr>
        <w:spacing w:after="240"/>
        <w:ind w:left="357"/>
        <w:jc w:val="center"/>
        <w:rPr>
          <w:b/>
        </w:rPr>
      </w:pPr>
      <w:r>
        <w:rPr>
          <w:b/>
        </w:rPr>
        <w:t xml:space="preserve">Coberturas de </w:t>
      </w:r>
      <w:r>
        <w:rPr>
          <w:b/>
          <w:noProof/>
          <w:color w:val="000000"/>
        </w:rPr>
        <w:t>vacunación</w:t>
      </w:r>
    </w:p>
    <w:p w:rsidR="00000000" w:rsidRDefault="00000000">
      <w:pPr>
        <w:spacing w:after="240"/>
        <w:ind w:left="357"/>
        <w:jc w:val="center"/>
        <w:rPr>
          <w:bCs/>
          <w:noProof/>
          <w:color w:val="000000"/>
        </w:rPr>
      </w:pPr>
      <w:r>
        <w:rPr>
          <w:b/>
        </w:rPr>
        <w:t xml:space="preserve">Programa ampliado de </w:t>
      </w:r>
      <w:r>
        <w:rPr>
          <w:b/>
          <w:noProof/>
          <w:color w:val="000000"/>
        </w:rPr>
        <w:t>inmunizaciones</w:t>
      </w:r>
      <w:r>
        <w:rPr>
          <w:b/>
        </w:rPr>
        <w:t>, 1997-2002</w:t>
      </w:r>
    </w:p>
    <w:p w:rsidR="00000000" w:rsidRDefault="00000000">
      <w:pPr>
        <w:tabs>
          <w:tab w:val="left" w:pos="-720"/>
        </w:tabs>
        <w:suppressAutoHyphens/>
        <w:spacing w:after="240"/>
        <w:jc w:val="center"/>
        <w:rPr>
          <w:bCs/>
          <w:spacing w:val="-3"/>
        </w:rPr>
      </w:pPr>
      <w:r>
        <w:rPr>
          <w:bCs/>
          <w:spacing w:val="-3"/>
        </w:rPr>
        <w:object w:dxaOrig="8083" w:dyaOrig="4065">
          <v:shape id="_x0000_i1026" type="#_x0000_t75" style="width:404.25pt;height:203.25pt" o:ole="" fillcolor="window">
            <v:imagedata r:id="rId17" o:title=""/>
          </v:shape>
          <o:OLEObject Type="Embed" ProgID="MSGraph.Chart.8" ShapeID="_x0000_i1026" DrawAspect="Content" ObjectID="_1394720792" r:id="rId18">
            <o:FieldCodes>\s</o:FieldCodes>
          </o:OLEObject>
        </w:object>
      </w:r>
    </w:p>
    <w:p w:rsidR="00000000" w:rsidRDefault="00000000">
      <w:pPr>
        <w:spacing w:after="600"/>
        <w:ind w:left="720"/>
        <w:rPr>
          <w:bCs/>
          <w:noProof/>
          <w:color w:val="000000"/>
        </w:rPr>
      </w:pPr>
      <w:r>
        <w:rPr>
          <w:bCs/>
          <w:noProof/>
          <w:color w:val="000000"/>
        </w:rPr>
        <w:tab/>
      </w:r>
      <w:r>
        <w:rPr>
          <w:bCs/>
          <w:noProof/>
          <w:color w:val="000000"/>
        </w:rPr>
        <w:tab/>
      </w:r>
      <w:r>
        <w:rPr>
          <w:bCs/>
          <w:i/>
          <w:iCs/>
          <w:noProof/>
          <w:color w:val="000000"/>
        </w:rPr>
        <w:t>Fuente</w:t>
      </w:r>
      <w:r>
        <w:rPr>
          <w:bCs/>
          <w:noProof/>
          <w:color w:val="000000"/>
        </w:rPr>
        <w:t>:  Ministerio de Salud, 2004.</w:t>
      </w:r>
    </w:p>
    <w:p w:rsidR="00000000" w:rsidRDefault="00000000">
      <w:pPr>
        <w:pStyle w:val="Heading1"/>
        <w:keepLines/>
        <w:widowControl/>
        <w:tabs>
          <w:tab w:val="clear" w:pos="4873"/>
        </w:tabs>
        <w:spacing w:after="200" w:line="256" w:lineRule="exact"/>
        <w:rPr>
          <w:b/>
          <w:u w:val="none"/>
          <w:lang w:val="es-ES"/>
        </w:rPr>
      </w:pPr>
      <w:r>
        <w:rPr>
          <w:b/>
          <w:u w:val="none"/>
          <w:lang w:val="es-ES"/>
        </w:rPr>
        <w:t>Cuadro 17</w:t>
      </w:r>
    </w:p>
    <w:p w:rsidR="00000000" w:rsidRDefault="00000000">
      <w:pPr>
        <w:keepNext/>
        <w:keepLines/>
        <w:spacing w:after="240" w:line="256" w:lineRule="exact"/>
        <w:jc w:val="center"/>
        <w:rPr>
          <w:bCs/>
          <w:noProof/>
          <w:color w:val="000000"/>
        </w:rPr>
      </w:pPr>
      <w:r>
        <w:rPr>
          <w:b/>
          <w:noProof/>
          <w:color w:val="000000"/>
        </w:rPr>
        <w:t>Reducción del número de embarazadas con déficit nutricional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220"/>
        <w:gridCol w:w="2432"/>
        <w:gridCol w:w="1718"/>
        <w:gridCol w:w="2059"/>
        <w:gridCol w:w="1929"/>
      </w:tblGrid>
      <w:tr w:rsidR="00000000">
        <w:tblPrEx>
          <w:tblCellMar>
            <w:top w:w="0" w:type="dxa"/>
            <w:bottom w:w="0" w:type="dxa"/>
          </w:tblCellMar>
        </w:tblPrEx>
        <w:trPr>
          <w:cantSplit/>
          <w:jc w:val="center"/>
        </w:trPr>
        <w:tc>
          <w:tcPr>
            <w:tcW w:w="1220" w:type="dxa"/>
            <w:vMerge w:val="restart"/>
            <w:vAlign w:val="center"/>
          </w:tcPr>
          <w:p w:rsidR="00000000" w:rsidRDefault="00000000">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6" w:lineRule="exact"/>
              <w:jc w:val="center"/>
              <w:rPr>
                <w:b/>
                <w:noProof/>
                <w:color w:val="000000"/>
              </w:rPr>
            </w:pPr>
            <w:r>
              <w:rPr>
                <w:b/>
                <w:noProof/>
                <w:color w:val="000000"/>
              </w:rPr>
              <w:t>Año</w:t>
            </w:r>
          </w:p>
        </w:tc>
        <w:tc>
          <w:tcPr>
            <w:tcW w:w="2432" w:type="dxa"/>
            <w:vMerge w:val="restart"/>
            <w:vAlign w:val="center"/>
          </w:tcPr>
          <w:p w:rsidR="00000000" w:rsidRDefault="00000000">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6" w:lineRule="exact"/>
              <w:jc w:val="center"/>
              <w:rPr>
                <w:b/>
                <w:noProof/>
                <w:color w:val="000000"/>
              </w:rPr>
            </w:pPr>
            <w:r>
              <w:rPr>
                <w:b/>
                <w:noProof/>
                <w:color w:val="000000"/>
              </w:rPr>
              <w:t>Población bajo control</w:t>
            </w:r>
          </w:p>
        </w:tc>
        <w:tc>
          <w:tcPr>
            <w:tcW w:w="1718" w:type="dxa"/>
            <w:vAlign w:val="center"/>
          </w:tcPr>
          <w:p w:rsidR="00000000" w:rsidRDefault="00000000">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6" w:lineRule="exact"/>
              <w:jc w:val="center"/>
              <w:rPr>
                <w:b/>
                <w:noProof/>
                <w:color w:val="000000"/>
              </w:rPr>
            </w:pPr>
            <w:r>
              <w:rPr>
                <w:b/>
                <w:noProof/>
                <w:color w:val="000000"/>
              </w:rPr>
              <w:t>Obesas</w:t>
            </w:r>
          </w:p>
        </w:tc>
        <w:tc>
          <w:tcPr>
            <w:tcW w:w="2059" w:type="dxa"/>
            <w:vAlign w:val="center"/>
          </w:tcPr>
          <w:p w:rsidR="00000000" w:rsidRDefault="00000000">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6" w:lineRule="exact"/>
              <w:jc w:val="center"/>
              <w:rPr>
                <w:b/>
                <w:noProof/>
                <w:color w:val="000000"/>
              </w:rPr>
            </w:pPr>
            <w:r>
              <w:rPr>
                <w:b/>
                <w:noProof/>
                <w:color w:val="000000"/>
              </w:rPr>
              <w:t>Sobrepeso</w:t>
            </w:r>
          </w:p>
        </w:tc>
        <w:tc>
          <w:tcPr>
            <w:tcW w:w="1929" w:type="dxa"/>
            <w:vAlign w:val="center"/>
          </w:tcPr>
          <w:p w:rsidR="00000000" w:rsidRDefault="00000000">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6" w:lineRule="exact"/>
              <w:jc w:val="center"/>
              <w:rPr>
                <w:b/>
                <w:noProof/>
                <w:color w:val="000000"/>
              </w:rPr>
            </w:pPr>
            <w:r>
              <w:rPr>
                <w:b/>
                <w:noProof/>
                <w:color w:val="000000"/>
              </w:rPr>
              <w:t>Bajo peso</w:t>
            </w:r>
          </w:p>
        </w:tc>
      </w:tr>
      <w:tr w:rsidR="00000000">
        <w:tblPrEx>
          <w:tblCellMar>
            <w:top w:w="0" w:type="dxa"/>
            <w:bottom w:w="0" w:type="dxa"/>
          </w:tblCellMar>
        </w:tblPrEx>
        <w:trPr>
          <w:cantSplit/>
          <w:jc w:val="center"/>
        </w:trPr>
        <w:tc>
          <w:tcPr>
            <w:tcW w:w="1220" w:type="dxa"/>
            <w:vMerge/>
          </w:tcPr>
          <w:p w:rsidR="00000000" w:rsidRDefault="00000000">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6" w:lineRule="exact"/>
              <w:jc w:val="center"/>
              <w:rPr>
                <w:bCs/>
                <w:noProof/>
                <w:color w:val="000000"/>
              </w:rPr>
            </w:pPr>
          </w:p>
        </w:tc>
        <w:tc>
          <w:tcPr>
            <w:tcW w:w="2432" w:type="dxa"/>
            <w:vMerge/>
          </w:tcPr>
          <w:p w:rsidR="00000000" w:rsidRDefault="00000000">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6" w:lineRule="exact"/>
              <w:jc w:val="center"/>
              <w:rPr>
                <w:bCs/>
                <w:noProof/>
                <w:color w:val="000000"/>
              </w:rPr>
            </w:pPr>
          </w:p>
        </w:tc>
        <w:tc>
          <w:tcPr>
            <w:tcW w:w="5706" w:type="dxa"/>
            <w:gridSpan w:val="3"/>
          </w:tcPr>
          <w:p w:rsidR="00000000" w:rsidRDefault="00000000">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6" w:lineRule="exact"/>
              <w:jc w:val="center"/>
              <w:rPr>
                <w:b/>
                <w:noProof/>
                <w:color w:val="000000"/>
              </w:rPr>
            </w:pPr>
            <w:r>
              <w:rPr>
                <w:b/>
                <w:noProof/>
                <w:color w:val="000000"/>
              </w:rPr>
              <w:t>En porcentaje</w:t>
            </w:r>
          </w:p>
        </w:tc>
      </w:tr>
      <w:tr w:rsidR="00000000">
        <w:tblPrEx>
          <w:tblCellMar>
            <w:top w:w="0" w:type="dxa"/>
            <w:bottom w:w="0" w:type="dxa"/>
          </w:tblCellMar>
        </w:tblPrEx>
        <w:trPr>
          <w:jc w:val="center"/>
        </w:trPr>
        <w:tc>
          <w:tcPr>
            <w:tcW w:w="1220" w:type="dxa"/>
          </w:tcPr>
          <w:p w:rsidR="00000000" w:rsidRDefault="00000000">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6" w:lineRule="exact"/>
              <w:jc w:val="center"/>
              <w:rPr>
                <w:bCs/>
                <w:noProof/>
                <w:color w:val="000000"/>
              </w:rPr>
            </w:pPr>
            <w:r>
              <w:rPr>
                <w:bCs/>
                <w:noProof/>
                <w:color w:val="000000"/>
              </w:rPr>
              <w:t>1997</w:t>
            </w:r>
          </w:p>
        </w:tc>
        <w:tc>
          <w:tcPr>
            <w:tcW w:w="2432" w:type="dxa"/>
          </w:tcPr>
          <w:p w:rsidR="00000000" w:rsidRDefault="00000000">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6" w:lineRule="exact"/>
              <w:jc w:val="center"/>
              <w:rPr>
                <w:bCs/>
                <w:noProof/>
                <w:color w:val="000000"/>
              </w:rPr>
            </w:pPr>
            <w:r>
              <w:rPr>
                <w:bCs/>
                <w:noProof/>
                <w:color w:val="000000"/>
              </w:rPr>
              <w:t>95.858</w:t>
            </w:r>
          </w:p>
        </w:tc>
        <w:tc>
          <w:tcPr>
            <w:tcW w:w="1718" w:type="dxa"/>
          </w:tcPr>
          <w:p w:rsidR="00000000" w:rsidRDefault="00000000">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6" w:lineRule="exact"/>
              <w:jc w:val="center"/>
              <w:rPr>
                <w:bCs/>
                <w:noProof/>
                <w:color w:val="000000"/>
              </w:rPr>
            </w:pPr>
            <w:r>
              <w:rPr>
                <w:bCs/>
                <w:noProof/>
                <w:color w:val="000000"/>
              </w:rPr>
              <w:t>28,7</w:t>
            </w:r>
          </w:p>
        </w:tc>
        <w:tc>
          <w:tcPr>
            <w:tcW w:w="2059" w:type="dxa"/>
          </w:tcPr>
          <w:p w:rsidR="00000000" w:rsidRDefault="00000000">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6" w:lineRule="exact"/>
              <w:jc w:val="center"/>
              <w:rPr>
                <w:bCs/>
                <w:noProof/>
                <w:color w:val="000000"/>
              </w:rPr>
            </w:pPr>
            <w:r>
              <w:rPr>
                <w:bCs/>
                <w:noProof/>
                <w:color w:val="000000"/>
              </w:rPr>
              <w:t>22,1</w:t>
            </w:r>
          </w:p>
        </w:tc>
        <w:tc>
          <w:tcPr>
            <w:tcW w:w="1929" w:type="dxa"/>
          </w:tcPr>
          <w:p w:rsidR="00000000" w:rsidRDefault="00000000">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6" w:lineRule="exact"/>
              <w:jc w:val="center"/>
              <w:rPr>
                <w:bCs/>
                <w:noProof/>
                <w:color w:val="000000"/>
              </w:rPr>
            </w:pPr>
            <w:r>
              <w:rPr>
                <w:bCs/>
                <w:noProof/>
                <w:color w:val="000000"/>
              </w:rPr>
              <w:t>15,7</w:t>
            </w:r>
          </w:p>
        </w:tc>
      </w:tr>
      <w:tr w:rsidR="00000000">
        <w:tblPrEx>
          <w:tblCellMar>
            <w:top w:w="0" w:type="dxa"/>
            <w:bottom w:w="0" w:type="dxa"/>
          </w:tblCellMar>
        </w:tblPrEx>
        <w:trPr>
          <w:jc w:val="center"/>
        </w:trPr>
        <w:tc>
          <w:tcPr>
            <w:tcW w:w="122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6" w:lineRule="exact"/>
              <w:jc w:val="center"/>
              <w:rPr>
                <w:bCs/>
                <w:noProof/>
                <w:color w:val="000000"/>
              </w:rPr>
            </w:pPr>
            <w:r>
              <w:rPr>
                <w:bCs/>
                <w:noProof/>
                <w:color w:val="000000"/>
              </w:rPr>
              <w:t>1999</w:t>
            </w:r>
          </w:p>
        </w:tc>
        <w:tc>
          <w:tcPr>
            <w:tcW w:w="2432"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6" w:lineRule="exact"/>
              <w:jc w:val="center"/>
              <w:rPr>
                <w:bCs/>
                <w:noProof/>
                <w:color w:val="000000"/>
              </w:rPr>
            </w:pPr>
            <w:r>
              <w:rPr>
                <w:bCs/>
                <w:noProof/>
                <w:color w:val="000000"/>
              </w:rPr>
              <w:t>91.978</w:t>
            </w:r>
          </w:p>
        </w:tc>
        <w:tc>
          <w:tcPr>
            <w:tcW w:w="1718"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6" w:lineRule="exact"/>
              <w:jc w:val="center"/>
              <w:rPr>
                <w:bCs/>
                <w:noProof/>
                <w:color w:val="000000"/>
              </w:rPr>
            </w:pPr>
            <w:r>
              <w:rPr>
                <w:bCs/>
                <w:noProof/>
                <w:color w:val="000000"/>
              </w:rPr>
              <w:t>31,8</w:t>
            </w:r>
          </w:p>
        </w:tc>
        <w:tc>
          <w:tcPr>
            <w:tcW w:w="205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6" w:lineRule="exact"/>
              <w:jc w:val="center"/>
              <w:rPr>
                <w:bCs/>
                <w:noProof/>
                <w:color w:val="000000"/>
              </w:rPr>
            </w:pPr>
            <w:r>
              <w:rPr>
                <w:bCs/>
                <w:noProof/>
                <w:color w:val="000000"/>
              </w:rPr>
              <w:t>22,5</w:t>
            </w:r>
          </w:p>
        </w:tc>
        <w:tc>
          <w:tcPr>
            <w:tcW w:w="192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6" w:lineRule="exact"/>
              <w:jc w:val="center"/>
              <w:rPr>
                <w:bCs/>
                <w:noProof/>
                <w:color w:val="000000"/>
              </w:rPr>
            </w:pPr>
            <w:r>
              <w:rPr>
                <w:bCs/>
                <w:noProof/>
                <w:color w:val="000000"/>
              </w:rPr>
              <w:t>14,2</w:t>
            </w:r>
          </w:p>
        </w:tc>
      </w:tr>
      <w:tr w:rsidR="00000000">
        <w:tblPrEx>
          <w:tblCellMar>
            <w:top w:w="0" w:type="dxa"/>
            <w:bottom w:w="0" w:type="dxa"/>
          </w:tblCellMar>
        </w:tblPrEx>
        <w:trPr>
          <w:jc w:val="center"/>
        </w:trPr>
        <w:tc>
          <w:tcPr>
            <w:tcW w:w="122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6" w:lineRule="exact"/>
              <w:jc w:val="center"/>
              <w:rPr>
                <w:bCs/>
                <w:noProof/>
                <w:color w:val="000000"/>
              </w:rPr>
            </w:pPr>
            <w:r>
              <w:rPr>
                <w:bCs/>
                <w:noProof/>
                <w:color w:val="000000"/>
              </w:rPr>
              <w:t>2000</w:t>
            </w:r>
          </w:p>
        </w:tc>
        <w:tc>
          <w:tcPr>
            <w:tcW w:w="2432"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6" w:lineRule="exact"/>
              <w:jc w:val="center"/>
              <w:rPr>
                <w:bCs/>
                <w:noProof/>
                <w:color w:val="000000"/>
              </w:rPr>
            </w:pPr>
            <w:r>
              <w:rPr>
                <w:bCs/>
                <w:noProof/>
                <w:color w:val="000000"/>
              </w:rPr>
              <w:t>93.161</w:t>
            </w:r>
          </w:p>
        </w:tc>
        <w:tc>
          <w:tcPr>
            <w:tcW w:w="1718"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6" w:lineRule="exact"/>
              <w:jc w:val="center"/>
              <w:rPr>
                <w:bCs/>
                <w:noProof/>
                <w:color w:val="000000"/>
              </w:rPr>
            </w:pPr>
            <w:r>
              <w:rPr>
                <w:bCs/>
                <w:noProof/>
                <w:color w:val="000000"/>
              </w:rPr>
              <w:t>32,5</w:t>
            </w:r>
          </w:p>
        </w:tc>
        <w:tc>
          <w:tcPr>
            <w:tcW w:w="205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6" w:lineRule="exact"/>
              <w:jc w:val="center"/>
              <w:rPr>
                <w:bCs/>
                <w:noProof/>
                <w:color w:val="000000"/>
              </w:rPr>
            </w:pPr>
            <w:r>
              <w:rPr>
                <w:bCs/>
                <w:noProof/>
                <w:color w:val="000000"/>
              </w:rPr>
              <w:t>22,2</w:t>
            </w:r>
          </w:p>
        </w:tc>
        <w:tc>
          <w:tcPr>
            <w:tcW w:w="192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6" w:lineRule="exact"/>
              <w:jc w:val="center"/>
              <w:rPr>
                <w:bCs/>
                <w:noProof/>
                <w:color w:val="000000"/>
              </w:rPr>
            </w:pPr>
            <w:r>
              <w:rPr>
                <w:bCs/>
                <w:noProof/>
                <w:color w:val="000000"/>
              </w:rPr>
              <w:t>13,9</w:t>
            </w:r>
          </w:p>
        </w:tc>
      </w:tr>
      <w:tr w:rsidR="00000000">
        <w:tblPrEx>
          <w:tblCellMar>
            <w:top w:w="0" w:type="dxa"/>
            <w:bottom w:w="0" w:type="dxa"/>
          </w:tblCellMar>
        </w:tblPrEx>
        <w:trPr>
          <w:jc w:val="center"/>
        </w:trPr>
        <w:tc>
          <w:tcPr>
            <w:tcW w:w="122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6" w:lineRule="exact"/>
              <w:jc w:val="center"/>
              <w:rPr>
                <w:bCs/>
                <w:noProof/>
                <w:color w:val="000000"/>
              </w:rPr>
            </w:pPr>
            <w:r>
              <w:rPr>
                <w:bCs/>
                <w:noProof/>
                <w:color w:val="000000"/>
              </w:rPr>
              <w:t>2001</w:t>
            </w:r>
          </w:p>
        </w:tc>
        <w:tc>
          <w:tcPr>
            <w:tcW w:w="2432"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6" w:lineRule="exact"/>
              <w:jc w:val="center"/>
              <w:rPr>
                <w:bCs/>
                <w:noProof/>
                <w:color w:val="000000"/>
              </w:rPr>
            </w:pPr>
            <w:r>
              <w:rPr>
                <w:bCs/>
                <w:noProof/>
                <w:color w:val="000000"/>
              </w:rPr>
              <w:t>88.596</w:t>
            </w:r>
          </w:p>
        </w:tc>
        <w:tc>
          <w:tcPr>
            <w:tcW w:w="1718"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6" w:lineRule="exact"/>
              <w:jc w:val="center"/>
              <w:rPr>
                <w:bCs/>
                <w:noProof/>
                <w:color w:val="000000"/>
              </w:rPr>
            </w:pPr>
            <w:r>
              <w:rPr>
                <w:bCs/>
                <w:noProof/>
                <w:color w:val="000000"/>
              </w:rPr>
              <w:t>32,6</w:t>
            </w:r>
          </w:p>
        </w:tc>
        <w:tc>
          <w:tcPr>
            <w:tcW w:w="205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6" w:lineRule="exact"/>
              <w:jc w:val="center"/>
              <w:rPr>
                <w:bCs/>
                <w:noProof/>
                <w:color w:val="000000"/>
              </w:rPr>
            </w:pPr>
            <w:r>
              <w:rPr>
                <w:bCs/>
                <w:noProof/>
                <w:color w:val="000000"/>
              </w:rPr>
              <w:t>21,8</w:t>
            </w:r>
          </w:p>
        </w:tc>
        <w:tc>
          <w:tcPr>
            <w:tcW w:w="192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6" w:lineRule="exact"/>
              <w:jc w:val="center"/>
              <w:rPr>
                <w:bCs/>
                <w:noProof/>
                <w:color w:val="000000"/>
              </w:rPr>
            </w:pPr>
            <w:r>
              <w:rPr>
                <w:bCs/>
                <w:noProof/>
                <w:color w:val="000000"/>
              </w:rPr>
              <w:t>13,3</w:t>
            </w:r>
          </w:p>
        </w:tc>
      </w:tr>
      <w:tr w:rsidR="00000000">
        <w:tblPrEx>
          <w:tblCellMar>
            <w:top w:w="0" w:type="dxa"/>
            <w:bottom w:w="0" w:type="dxa"/>
          </w:tblCellMar>
        </w:tblPrEx>
        <w:trPr>
          <w:jc w:val="center"/>
        </w:trPr>
        <w:tc>
          <w:tcPr>
            <w:tcW w:w="122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6" w:lineRule="exact"/>
              <w:jc w:val="center"/>
              <w:rPr>
                <w:bCs/>
                <w:noProof/>
                <w:color w:val="000000"/>
              </w:rPr>
            </w:pPr>
            <w:r>
              <w:rPr>
                <w:bCs/>
                <w:noProof/>
                <w:color w:val="000000"/>
              </w:rPr>
              <w:t>2002</w:t>
            </w:r>
          </w:p>
        </w:tc>
        <w:tc>
          <w:tcPr>
            <w:tcW w:w="2432"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6" w:lineRule="exact"/>
              <w:jc w:val="center"/>
              <w:rPr>
                <w:bCs/>
                <w:noProof/>
                <w:color w:val="000000"/>
              </w:rPr>
            </w:pPr>
            <w:r>
              <w:rPr>
                <w:bCs/>
                <w:noProof/>
                <w:color w:val="000000"/>
              </w:rPr>
              <w:t>93.617</w:t>
            </w:r>
          </w:p>
        </w:tc>
        <w:tc>
          <w:tcPr>
            <w:tcW w:w="1718"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6" w:lineRule="exact"/>
              <w:jc w:val="center"/>
              <w:rPr>
                <w:bCs/>
                <w:noProof/>
                <w:color w:val="000000"/>
              </w:rPr>
            </w:pPr>
            <w:r>
              <w:rPr>
                <w:bCs/>
                <w:noProof/>
                <w:color w:val="000000"/>
              </w:rPr>
              <w:t>33,4</w:t>
            </w:r>
          </w:p>
        </w:tc>
        <w:tc>
          <w:tcPr>
            <w:tcW w:w="205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6" w:lineRule="exact"/>
              <w:jc w:val="center"/>
              <w:rPr>
                <w:bCs/>
                <w:noProof/>
                <w:color w:val="000000"/>
              </w:rPr>
            </w:pPr>
            <w:r>
              <w:rPr>
                <w:bCs/>
                <w:noProof/>
                <w:color w:val="000000"/>
              </w:rPr>
              <w:t>21,8</w:t>
            </w:r>
          </w:p>
        </w:tc>
        <w:tc>
          <w:tcPr>
            <w:tcW w:w="192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6" w:lineRule="exact"/>
              <w:jc w:val="center"/>
              <w:rPr>
                <w:bCs/>
                <w:noProof/>
                <w:color w:val="000000"/>
              </w:rPr>
            </w:pPr>
            <w:r>
              <w:rPr>
                <w:bCs/>
                <w:noProof/>
                <w:color w:val="000000"/>
              </w:rPr>
              <w:t>13,3</w:t>
            </w:r>
          </w:p>
        </w:tc>
      </w:tr>
    </w:tbl>
    <w:p w:rsidR="00000000" w:rsidRDefault="00000000">
      <w:pPr>
        <w:tabs>
          <w:tab w:val="center" w:pos="4680"/>
          <w:tab w:val="left" w:pos="4956"/>
          <w:tab w:val="left" w:pos="5664"/>
          <w:tab w:val="left" w:pos="6372"/>
          <w:tab w:val="left" w:pos="7080"/>
          <w:tab w:val="left" w:pos="7788"/>
          <w:tab w:val="left" w:pos="8496"/>
        </w:tabs>
        <w:spacing w:before="200" w:after="240" w:line="256" w:lineRule="exact"/>
        <w:rPr>
          <w:bCs/>
          <w:noProof/>
          <w:color w:val="000000"/>
        </w:rPr>
      </w:pPr>
      <w:r>
        <w:rPr>
          <w:bCs/>
          <w:i/>
          <w:iCs/>
          <w:noProof/>
          <w:color w:val="000000"/>
        </w:rPr>
        <w:t>Fuente</w:t>
      </w:r>
      <w:r>
        <w:rPr>
          <w:bCs/>
          <w:noProof/>
          <w:color w:val="000000"/>
        </w:rPr>
        <w:t>:  Ministerio de Salud, 2003.</w:t>
      </w:r>
    </w:p>
    <w:p w:rsidR="00000000" w:rsidRDefault="00000000">
      <w:pPr>
        <w:spacing w:after="200" w:line="256" w:lineRule="exact"/>
        <w:jc w:val="center"/>
        <w:outlineLvl w:val="0"/>
        <w:rPr>
          <w:b/>
          <w:noProof/>
          <w:color w:val="000000"/>
        </w:rPr>
      </w:pPr>
      <w:r>
        <w:rPr>
          <w:b/>
          <w:noProof/>
          <w:color w:val="000000"/>
        </w:rPr>
        <w:t>Cuadro 18</w:t>
      </w:r>
    </w:p>
    <w:p w:rsidR="00000000" w:rsidRDefault="00000000">
      <w:pPr>
        <w:spacing w:after="240" w:line="256" w:lineRule="exact"/>
        <w:jc w:val="center"/>
        <w:outlineLvl w:val="0"/>
        <w:rPr>
          <w:bCs/>
          <w:noProof/>
          <w:color w:val="000000"/>
        </w:rPr>
      </w:pPr>
      <w:r>
        <w:rPr>
          <w:b/>
          <w:noProof/>
          <w:color w:val="000000"/>
        </w:rPr>
        <w:t>Causas de mortalidad materna, 2001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7322"/>
        <w:gridCol w:w="2037"/>
      </w:tblGrid>
      <w:tr w:rsidR="00000000">
        <w:tblPrEx>
          <w:tblCellMar>
            <w:top w:w="0" w:type="dxa"/>
            <w:bottom w:w="0" w:type="dxa"/>
          </w:tblCellMar>
        </w:tblPrEx>
        <w:trPr>
          <w:jc w:val="center"/>
        </w:trPr>
        <w:tc>
          <w:tcPr>
            <w:tcW w:w="7322" w:type="dxa"/>
            <w:vAlign w:val="center"/>
          </w:tcPr>
          <w:p w:rsidR="00000000" w:rsidRDefault="00000000">
            <w:pPr>
              <w:spacing w:line="256" w:lineRule="exact"/>
              <w:jc w:val="center"/>
              <w:rPr>
                <w:b/>
                <w:noProof/>
                <w:color w:val="000000"/>
              </w:rPr>
            </w:pPr>
            <w:r>
              <w:rPr>
                <w:b/>
                <w:noProof/>
                <w:color w:val="000000"/>
              </w:rPr>
              <w:t>Causas específicas de muerte materna</w:t>
            </w:r>
          </w:p>
        </w:tc>
        <w:tc>
          <w:tcPr>
            <w:tcW w:w="2037" w:type="dxa"/>
          </w:tcPr>
          <w:p w:rsidR="00000000" w:rsidRDefault="00000000">
            <w:pPr>
              <w:spacing w:line="256" w:lineRule="exact"/>
              <w:jc w:val="center"/>
              <w:rPr>
                <w:b/>
                <w:noProof/>
                <w:color w:val="000000"/>
              </w:rPr>
            </w:pPr>
            <w:r>
              <w:rPr>
                <w:b/>
                <w:noProof/>
                <w:color w:val="000000"/>
              </w:rPr>
              <w:t>Año 2001 (porcentaje)</w:t>
            </w:r>
          </w:p>
        </w:tc>
      </w:tr>
      <w:tr w:rsidR="00000000">
        <w:tblPrEx>
          <w:tblCellMar>
            <w:top w:w="0" w:type="dxa"/>
            <w:bottom w:w="0" w:type="dxa"/>
          </w:tblCellMar>
        </w:tblPrEx>
        <w:trPr>
          <w:jc w:val="center"/>
        </w:trPr>
        <w:tc>
          <w:tcPr>
            <w:tcW w:w="7322" w:type="dxa"/>
          </w:tcPr>
          <w:p w:rsidR="00000000" w:rsidRDefault="00000000">
            <w:pPr>
              <w:spacing w:line="256" w:lineRule="exact"/>
              <w:rPr>
                <w:bCs/>
                <w:noProof/>
                <w:color w:val="000000"/>
              </w:rPr>
            </w:pPr>
            <w:r>
              <w:rPr>
                <w:bCs/>
                <w:noProof/>
                <w:color w:val="000000"/>
              </w:rPr>
              <w:t>Trastornos hipertensivos, edema, proteinuria en el embarazo, parto y puerperio</w:t>
            </w:r>
          </w:p>
        </w:tc>
        <w:tc>
          <w:tcPr>
            <w:tcW w:w="2037" w:type="dxa"/>
            <w:vAlign w:val="bottom"/>
          </w:tcPr>
          <w:p w:rsidR="00000000" w:rsidRDefault="00000000">
            <w:pPr>
              <w:tabs>
                <w:tab w:val="decimal" w:pos="983"/>
              </w:tabs>
              <w:spacing w:line="256" w:lineRule="exact"/>
              <w:rPr>
                <w:bCs/>
                <w:noProof/>
                <w:color w:val="000000"/>
              </w:rPr>
            </w:pPr>
            <w:r>
              <w:rPr>
                <w:bCs/>
                <w:noProof/>
                <w:color w:val="000000"/>
              </w:rPr>
              <w:t>50</w:t>
            </w:r>
          </w:p>
        </w:tc>
      </w:tr>
      <w:tr w:rsidR="00000000">
        <w:tblPrEx>
          <w:tblCellMar>
            <w:top w:w="0" w:type="dxa"/>
            <w:bottom w:w="0" w:type="dxa"/>
          </w:tblCellMar>
        </w:tblPrEx>
        <w:trPr>
          <w:jc w:val="center"/>
        </w:trPr>
        <w:tc>
          <w:tcPr>
            <w:tcW w:w="7322" w:type="dxa"/>
          </w:tcPr>
          <w:p w:rsidR="00000000" w:rsidRDefault="00000000">
            <w:pPr>
              <w:spacing w:line="256" w:lineRule="exact"/>
              <w:rPr>
                <w:bCs/>
                <w:noProof/>
                <w:color w:val="000000"/>
              </w:rPr>
            </w:pPr>
            <w:r>
              <w:rPr>
                <w:bCs/>
                <w:noProof/>
                <w:color w:val="000000"/>
              </w:rPr>
              <w:t>Trastornos relacionados principalmente con el embarazo</w:t>
            </w:r>
          </w:p>
        </w:tc>
        <w:tc>
          <w:tcPr>
            <w:tcW w:w="2037" w:type="dxa"/>
          </w:tcPr>
          <w:p w:rsidR="00000000" w:rsidRDefault="00000000">
            <w:pPr>
              <w:tabs>
                <w:tab w:val="decimal" w:pos="983"/>
              </w:tabs>
              <w:spacing w:line="256" w:lineRule="exact"/>
              <w:rPr>
                <w:bCs/>
                <w:noProof/>
                <w:color w:val="000000"/>
              </w:rPr>
            </w:pPr>
            <w:r>
              <w:rPr>
                <w:bCs/>
                <w:noProof/>
                <w:color w:val="000000"/>
              </w:rPr>
              <w:t>20</w:t>
            </w:r>
          </w:p>
        </w:tc>
      </w:tr>
      <w:tr w:rsidR="00000000">
        <w:tblPrEx>
          <w:tblCellMar>
            <w:top w:w="0" w:type="dxa"/>
            <w:bottom w:w="0" w:type="dxa"/>
          </w:tblCellMar>
        </w:tblPrEx>
        <w:trPr>
          <w:jc w:val="center"/>
        </w:trPr>
        <w:tc>
          <w:tcPr>
            <w:tcW w:w="7322" w:type="dxa"/>
          </w:tcPr>
          <w:p w:rsidR="00000000" w:rsidRDefault="00000000">
            <w:pPr>
              <w:spacing w:line="256" w:lineRule="exact"/>
              <w:rPr>
                <w:bCs/>
                <w:noProof/>
                <w:color w:val="000000"/>
              </w:rPr>
            </w:pPr>
            <w:r>
              <w:rPr>
                <w:bCs/>
                <w:noProof/>
                <w:color w:val="000000"/>
              </w:rPr>
              <w:t>Otras afecciones obstétricas</w:t>
            </w:r>
          </w:p>
        </w:tc>
        <w:tc>
          <w:tcPr>
            <w:tcW w:w="2037" w:type="dxa"/>
          </w:tcPr>
          <w:p w:rsidR="00000000" w:rsidRDefault="00000000">
            <w:pPr>
              <w:tabs>
                <w:tab w:val="decimal" w:pos="983"/>
              </w:tabs>
              <w:spacing w:line="256" w:lineRule="exact"/>
              <w:rPr>
                <w:bCs/>
                <w:noProof/>
                <w:color w:val="000000"/>
              </w:rPr>
            </w:pPr>
            <w:r>
              <w:rPr>
                <w:bCs/>
                <w:noProof/>
                <w:color w:val="000000"/>
              </w:rPr>
              <w:t>13,3</w:t>
            </w:r>
          </w:p>
        </w:tc>
      </w:tr>
      <w:tr w:rsidR="00000000">
        <w:tblPrEx>
          <w:tblCellMar>
            <w:top w:w="0" w:type="dxa"/>
            <w:bottom w:w="0" w:type="dxa"/>
          </w:tblCellMar>
        </w:tblPrEx>
        <w:trPr>
          <w:jc w:val="center"/>
        </w:trPr>
        <w:tc>
          <w:tcPr>
            <w:tcW w:w="7322" w:type="dxa"/>
          </w:tcPr>
          <w:p w:rsidR="00000000" w:rsidRDefault="00000000">
            <w:pPr>
              <w:spacing w:line="256" w:lineRule="exact"/>
              <w:rPr>
                <w:bCs/>
                <w:noProof/>
                <w:color w:val="000000"/>
              </w:rPr>
            </w:pPr>
            <w:r>
              <w:rPr>
                <w:bCs/>
                <w:noProof/>
                <w:color w:val="000000"/>
              </w:rPr>
              <w:t>Aborto no especificado</w:t>
            </w:r>
          </w:p>
        </w:tc>
        <w:tc>
          <w:tcPr>
            <w:tcW w:w="2037" w:type="dxa"/>
          </w:tcPr>
          <w:p w:rsidR="00000000" w:rsidRDefault="00000000">
            <w:pPr>
              <w:tabs>
                <w:tab w:val="decimal" w:pos="983"/>
              </w:tabs>
              <w:spacing w:line="256" w:lineRule="exact"/>
              <w:rPr>
                <w:bCs/>
                <w:noProof/>
                <w:color w:val="000000"/>
              </w:rPr>
            </w:pPr>
            <w:r>
              <w:rPr>
                <w:bCs/>
                <w:noProof/>
                <w:color w:val="000000"/>
              </w:rPr>
              <w:t>6,6</w:t>
            </w:r>
          </w:p>
        </w:tc>
      </w:tr>
    </w:tbl>
    <w:p w:rsidR="00000000" w:rsidRDefault="00000000">
      <w:pPr>
        <w:spacing w:before="200" w:after="200" w:line="256" w:lineRule="exact"/>
        <w:rPr>
          <w:bCs/>
          <w:noProof/>
          <w:color w:val="000000"/>
        </w:rPr>
      </w:pPr>
      <w:r>
        <w:rPr>
          <w:bCs/>
          <w:i/>
          <w:iCs/>
          <w:noProof/>
          <w:color w:val="000000"/>
        </w:rPr>
        <w:t>Fuente</w:t>
      </w:r>
      <w:r>
        <w:rPr>
          <w:bCs/>
          <w:noProof/>
          <w:color w:val="000000"/>
        </w:rPr>
        <w:t>:  Ministerio de Salud, 2003.</w:t>
      </w:r>
    </w:p>
    <w:p w:rsidR="00000000" w:rsidRDefault="00000000">
      <w:pPr>
        <w:spacing w:after="200" w:line="256" w:lineRule="exact"/>
        <w:jc w:val="center"/>
        <w:rPr>
          <w:b/>
          <w:noProof/>
          <w:color w:val="000000"/>
        </w:rPr>
      </w:pPr>
      <w:r>
        <w:rPr>
          <w:b/>
          <w:noProof/>
          <w:color w:val="000000"/>
        </w:rPr>
        <w:t>Cuadro 19</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00" w:line="256" w:lineRule="exact"/>
        <w:jc w:val="center"/>
        <w:rPr>
          <w:bCs/>
          <w:noProof/>
          <w:color w:val="000000"/>
        </w:rPr>
      </w:pPr>
      <w:r>
        <w:rPr>
          <w:b/>
          <w:noProof/>
          <w:color w:val="000000"/>
        </w:rPr>
        <w:t>Indicadores de salud materna y perinatal.  Chile 1990-2001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870"/>
        <w:gridCol w:w="1870"/>
        <w:gridCol w:w="1870"/>
        <w:gridCol w:w="1870"/>
        <w:gridCol w:w="1876"/>
      </w:tblGrid>
      <w:tr w:rsidR="00000000">
        <w:tblPrEx>
          <w:tblCellMar>
            <w:top w:w="0" w:type="dxa"/>
            <w:bottom w:w="0" w:type="dxa"/>
          </w:tblCellMar>
        </w:tblPrEx>
        <w:trPr>
          <w:jc w:val="center"/>
        </w:trPr>
        <w:tc>
          <w:tcPr>
            <w:tcW w:w="1870" w:type="dxa"/>
            <w:vAlign w:val="center"/>
          </w:tcPr>
          <w:p w:rsidR="00000000" w:rsidRDefault="00000000">
            <w:pPr>
              <w:spacing w:line="256" w:lineRule="exact"/>
              <w:jc w:val="center"/>
              <w:rPr>
                <w:b/>
                <w:noProof/>
                <w:color w:val="000000"/>
              </w:rPr>
            </w:pPr>
            <w:r>
              <w:rPr>
                <w:b/>
                <w:noProof/>
                <w:color w:val="000000"/>
              </w:rPr>
              <w:t>Año</w:t>
            </w:r>
          </w:p>
        </w:tc>
        <w:tc>
          <w:tcPr>
            <w:tcW w:w="1870" w:type="dxa"/>
          </w:tcPr>
          <w:p w:rsidR="00000000" w:rsidRDefault="00000000">
            <w:pPr>
              <w:spacing w:line="256" w:lineRule="exact"/>
              <w:jc w:val="center"/>
              <w:rPr>
                <w:b/>
                <w:noProof/>
                <w:color w:val="000000"/>
              </w:rPr>
            </w:pPr>
            <w:r>
              <w:rPr>
                <w:b/>
                <w:noProof/>
                <w:color w:val="000000"/>
              </w:rPr>
              <w:t>MM</w:t>
            </w:r>
            <w:r>
              <w:rPr>
                <w:b/>
                <w:noProof/>
                <w:color w:val="000000"/>
              </w:rPr>
              <w:br/>
              <w:t>(x 100.000 nv)</w:t>
            </w:r>
          </w:p>
        </w:tc>
        <w:tc>
          <w:tcPr>
            <w:tcW w:w="1870" w:type="dxa"/>
          </w:tcPr>
          <w:p w:rsidR="00000000" w:rsidRDefault="00000000">
            <w:pPr>
              <w:spacing w:line="256" w:lineRule="exact"/>
              <w:jc w:val="center"/>
              <w:rPr>
                <w:b/>
                <w:noProof/>
                <w:color w:val="000000"/>
                <w:lang w:val="en-GB"/>
              </w:rPr>
            </w:pPr>
            <w:r>
              <w:rPr>
                <w:b/>
                <w:noProof/>
                <w:color w:val="000000"/>
                <w:lang w:val="en-GB"/>
              </w:rPr>
              <w:t>MFT</w:t>
            </w:r>
            <w:r>
              <w:rPr>
                <w:b/>
                <w:noProof/>
                <w:color w:val="000000"/>
                <w:lang w:val="en-GB"/>
              </w:rPr>
              <w:br/>
              <w:t>(x 1.000 nv)</w:t>
            </w:r>
          </w:p>
        </w:tc>
        <w:tc>
          <w:tcPr>
            <w:tcW w:w="1870" w:type="dxa"/>
          </w:tcPr>
          <w:p w:rsidR="00000000" w:rsidRDefault="00000000">
            <w:pPr>
              <w:spacing w:line="256" w:lineRule="exact"/>
              <w:jc w:val="center"/>
              <w:rPr>
                <w:b/>
                <w:noProof/>
                <w:color w:val="000000"/>
                <w:lang w:val="en-GB"/>
              </w:rPr>
            </w:pPr>
            <w:r>
              <w:rPr>
                <w:b/>
                <w:noProof/>
                <w:color w:val="000000"/>
                <w:lang w:val="en-GB"/>
              </w:rPr>
              <w:t>MNP</w:t>
            </w:r>
            <w:r>
              <w:rPr>
                <w:b/>
                <w:noProof/>
                <w:color w:val="000000"/>
                <w:lang w:val="en-GB"/>
              </w:rPr>
              <w:br/>
              <w:t>(x 1.000 nv)</w:t>
            </w:r>
          </w:p>
        </w:tc>
        <w:tc>
          <w:tcPr>
            <w:tcW w:w="1876" w:type="dxa"/>
          </w:tcPr>
          <w:p w:rsidR="00000000" w:rsidRDefault="00000000">
            <w:pPr>
              <w:spacing w:line="256" w:lineRule="exact"/>
              <w:jc w:val="center"/>
              <w:rPr>
                <w:b/>
                <w:noProof/>
                <w:color w:val="000000"/>
              </w:rPr>
            </w:pPr>
            <w:r>
              <w:rPr>
                <w:b/>
                <w:noProof/>
                <w:color w:val="000000"/>
              </w:rPr>
              <w:t>MI</w:t>
            </w:r>
            <w:r>
              <w:rPr>
                <w:b/>
                <w:noProof/>
                <w:color w:val="000000"/>
              </w:rPr>
              <w:br/>
              <w:t>(x 1.000 nv)</w:t>
            </w:r>
          </w:p>
        </w:tc>
      </w:tr>
      <w:tr w:rsidR="00000000">
        <w:tblPrEx>
          <w:tblCellMar>
            <w:top w:w="0" w:type="dxa"/>
            <w:bottom w:w="0" w:type="dxa"/>
          </w:tblCellMar>
        </w:tblPrEx>
        <w:trPr>
          <w:jc w:val="center"/>
        </w:trPr>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1990</w:t>
            </w:r>
          </w:p>
        </w:tc>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39,9</w:t>
            </w:r>
          </w:p>
        </w:tc>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5,8</w:t>
            </w:r>
          </w:p>
        </w:tc>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7,7</w:t>
            </w:r>
          </w:p>
        </w:tc>
        <w:tc>
          <w:tcPr>
            <w:tcW w:w="1876" w:type="dxa"/>
          </w:tcPr>
          <w:p w:rsidR="00000000" w:rsidRDefault="00000000">
            <w:pPr>
              <w:tabs>
                <w:tab w:val="decimal" w:pos="908"/>
              </w:tabs>
              <w:rPr>
                <w:bCs/>
                <w:noProof/>
                <w:color w:val="000000"/>
              </w:rPr>
            </w:pPr>
            <w:r>
              <w:rPr>
                <w:bCs/>
                <w:noProof/>
                <w:color w:val="000000"/>
              </w:rPr>
              <w:t>16,0</w:t>
            </w:r>
          </w:p>
        </w:tc>
      </w:tr>
      <w:tr w:rsidR="00000000">
        <w:tblPrEx>
          <w:tblCellMar>
            <w:top w:w="0" w:type="dxa"/>
            <w:bottom w:w="0" w:type="dxa"/>
          </w:tblCellMar>
        </w:tblPrEx>
        <w:trPr>
          <w:jc w:val="center"/>
        </w:trPr>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1991</w:t>
            </w:r>
          </w:p>
        </w:tc>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35,3</w:t>
            </w:r>
          </w:p>
        </w:tc>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5,9</w:t>
            </w:r>
          </w:p>
        </w:tc>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6,4</w:t>
            </w:r>
          </w:p>
        </w:tc>
        <w:tc>
          <w:tcPr>
            <w:tcW w:w="1876" w:type="dxa"/>
          </w:tcPr>
          <w:p w:rsidR="00000000" w:rsidRDefault="00000000">
            <w:pPr>
              <w:tabs>
                <w:tab w:val="decimal" w:pos="908"/>
              </w:tabs>
              <w:rPr>
                <w:bCs/>
                <w:noProof/>
                <w:color w:val="000000"/>
              </w:rPr>
            </w:pPr>
            <w:r>
              <w:rPr>
                <w:bCs/>
                <w:noProof/>
                <w:color w:val="000000"/>
              </w:rPr>
              <w:t>14,6</w:t>
            </w:r>
          </w:p>
        </w:tc>
      </w:tr>
      <w:tr w:rsidR="00000000">
        <w:tblPrEx>
          <w:tblCellMar>
            <w:top w:w="0" w:type="dxa"/>
            <w:bottom w:w="0" w:type="dxa"/>
          </w:tblCellMar>
        </w:tblPrEx>
        <w:trPr>
          <w:jc w:val="center"/>
        </w:trPr>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1992</w:t>
            </w:r>
          </w:p>
        </w:tc>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30,9</w:t>
            </w:r>
          </w:p>
        </w:tc>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5,7</w:t>
            </w:r>
          </w:p>
        </w:tc>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6,1</w:t>
            </w:r>
          </w:p>
        </w:tc>
        <w:tc>
          <w:tcPr>
            <w:tcW w:w="1876" w:type="dxa"/>
          </w:tcPr>
          <w:p w:rsidR="00000000" w:rsidRDefault="00000000">
            <w:pPr>
              <w:tabs>
                <w:tab w:val="decimal" w:pos="908"/>
              </w:tabs>
              <w:rPr>
                <w:bCs/>
                <w:noProof/>
                <w:color w:val="000000"/>
              </w:rPr>
            </w:pPr>
            <w:r>
              <w:rPr>
                <w:bCs/>
                <w:noProof/>
                <w:color w:val="000000"/>
              </w:rPr>
              <w:t>14,3</w:t>
            </w:r>
          </w:p>
        </w:tc>
      </w:tr>
      <w:tr w:rsidR="00000000">
        <w:tblPrEx>
          <w:tblCellMar>
            <w:top w:w="0" w:type="dxa"/>
            <w:bottom w:w="0" w:type="dxa"/>
          </w:tblCellMar>
        </w:tblPrEx>
        <w:trPr>
          <w:jc w:val="center"/>
        </w:trPr>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1993</w:t>
            </w:r>
          </w:p>
        </w:tc>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34,4</w:t>
            </w:r>
          </w:p>
        </w:tc>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5,3</w:t>
            </w:r>
          </w:p>
        </w:tc>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5,3</w:t>
            </w:r>
          </w:p>
        </w:tc>
        <w:tc>
          <w:tcPr>
            <w:tcW w:w="1876" w:type="dxa"/>
          </w:tcPr>
          <w:p w:rsidR="00000000" w:rsidRDefault="00000000">
            <w:pPr>
              <w:tabs>
                <w:tab w:val="decimal" w:pos="908"/>
              </w:tabs>
              <w:rPr>
                <w:bCs/>
                <w:noProof/>
                <w:color w:val="000000"/>
              </w:rPr>
            </w:pPr>
            <w:r>
              <w:rPr>
                <w:bCs/>
                <w:noProof/>
                <w:color w:val="000000"/>
              </w:rPr>
              <w:t>13,1</w:t>
            </w:r>
          </w:p>
        </w:tc>
      </w:tr>
      <w:tr w:rsidR="00000000">
        <w:tblPrEx>
          <w:tblCellMar>
            <w:top w:w="0" w:type="dxa"/>
            <w:bottom w:w="0" w:type="dxa"/>
          </w:tblCellMar>
        </w:tblPrEx>
        <w:trPr>
          <w:jc w:val="center"/>
        </w:trPr>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1994</w:t>
            </w:r>
          </w:p>
        </w:tc>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25,3</w:t>
            </w:r>
          </w:p>
        </w:tc>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4,6</w:t>
            </w:r>
          </w:p>
        </w:tc>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5,2</w:t>
            </w:r>
          </w:p>
        </w:tc>
        <w:tc>
          <w:tcPr>
            <w:tcW w:w="1876" w:type="dxa"/>
          </w:tcPr>
          <w:p w:rsidR="00000000" w:rsidRDefault="00000000">
            <w:pPr>
              <w:tabs>
                <w:tab w:val="decimal" w:pos="908"/>
              </w:tabs>
              <w:rPr>
                <w:bCs/>
                <w:noProof/>
                <w:color w:val="000000"/>
              </w:rPr>
            </w:pPr>
            <w:r>
              <w:rPr>
                <w:bCs/>
                <w:noProof/>
                <w:color w:val="000000"/>
              </w:rPr>
              <w:t>12,0</w:t>
            </w:r>
          </w:p>
        </w:tc>
      </w:tr>
      <w:tr w:rsidR="00000000">
        <w:tblPrEx>
          <w:tblCellMar>
            <w:top w:w="0" w:type="dxa"/>
            <w:bottom w:w="0" w:type="dxa"/>
          </w:tblCellMar>
        </w:tblPrEx>
        <w:trPr>
          <w:jc w:val="center"/>
        </w:trPr>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1995</w:t>
            </w:r>
          </w:p>
        </w:tc>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30,7</w:t>
            </w:r>
          </w:p>
        </w:tc>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4,6</w:t>
            </w:r>
          </w:p>
        </w:tc>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4,6</w:t>
            </w:r>
          </w:p>
        </w:tc>
        <w:tc>
          <w:tcPr>
            <w:tcW w:w="1876" w:type="dxa"/>
          </w:tcPr>
          <w:p w:rsidR="00000000" w:rsidRDefault="00000000">
            <w:pPr>
              <w:tabs>
                <w:tab w:val="decimal" w:pos="908"/>
              </w:tabs>
              <w:rPr>
                <w:bCs/>
                <w:noProof/>
                <w:color w:val="000000"/>
              </w:rPr>
            </w:pPr>
            <w:r>
              <w:rPr>
                <w:bCs/>
                <w:noProof/>
                <w:color w:val="000000"/>
              </w:rPr>
              <w:t>11,1</w:t>
            </w:r>
          </w:p>
        </w:tc>
      </w:tr>
      <w:tr w:rsidR="00000000">
        <w:tblPrEx>
          <w:tblCellMar>
            <w:top w:w="0" w:type="dxa"/>
            <w:bottom w:w="0" w:type="dxa"/>
          </w:tblCellMar>
        </w:tblPrEx>
        <w:trPr>
          <w:jc w:val="center"/>
        </w:trPr>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1996</w:t>
            </w:r>
          </w:p>
        </w:tc>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22,6</w:t>
            </w:r>
          </w:p>
        </w:tc>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4,5</w:t>
            </w:r>
          </w:p>
        </w:tc>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4,8</w:t>
            </w:r>
          </w:p>
        </w:tc>
        <w:tc>
          <w:tcPr>
            <w:tcW w:w="1876" w:type="dxa"/>
          </w:tcPr>
          <w:p w:rsidR="00000000" w:rsidRDefault="00000000">
            <w:pPr>
              <w:tabs>
                <w:tab w:val="decimal" w:pos="908"/>
              </w:tabs>
              <w:rPr>
                <w:bCs/>
                <w:noProof/>
                <w:color w:val="000000"/>
              </w:rPr>
            </w:pPr>
            <w:r>
              <w:rPr>
                <w:bCs/>
                <w:noProof/>
                <w:color w:val="000000"/>
              </w:rPr>
              <w:t>11,1</w:t>
            </w:r>
          </w:p>
        </w:tc>
      </w:tr>
      <w:tr w:rsidR="00000000">
        <w:tblPrEx>
          <w:tblCellMar>
            <w:top w:w="0" w:type="dxa"/>
            <w:bottom w:w="0" w:type="dxa"/>
          </w:tblCellMar>
        </w:tblPrEx>
        <w:trPr>
          <w:jc w:val="center"/>
        </w:trPr>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1997</w:t>
            </w:r>
          </w:p>
        </w:tc>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22,3</w:t>
            </w:r>
          </w:p>
        </w:tc>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4,5</w:t>
            </w:r>
          </w:p>
        </w:tc>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4,5</w:t>
            </w:r>
          </w:p>
        </w:tc>
        <w:tc>
          <w:tcPr>
            <w:tcW w:w="1876" w:type="dxa"/>
          </w:tcPr>
          <w:p w:rsidR="00000000" w:rsidRDefault="00000000">
            <w:pPr>
              <w:tabs>
                <w:tab w:val="decimal" w:pos="908"/>
              </w:tabs>
              <w:rPr>
                <w:bCs/>
                <w:noProof/>
                <w:color w:val="000000"/>
              </w:rPr>
            </w:pPr>
            <w:r>
              <w:rPr>
                <w:bCs/>
                <w:noProof/>
                <w:color w:val="000000"/>
              </w:rPr>
              <w:t>10,0</w:t>
            </w:r>
          </w:p>
        </w:tc>
      </w:tr>
      <w:tr w:rsidR="00000000">
        <w:tblPrEx>
          <w:tblCellMar>
            <w:top w:w="0" w:type="dxa"/>
            <w:bottom w:w="0" w:type="dxa"/>
          </w:tblCellMar>
        </w:tblPrEx>
        <w:trPr>
          <w:jc w:val="center"/>
        </w:trPr>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1998</w:t>
            </w:r>
          </w:p>
        </w:tc>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20,3</w:t>
            </w:r>
          </w:p>
        </w:tc>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4,3</w:t>
            </w:r>
          </w:p>
        </w:tc>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4,5</w:t>
            </w:r>
          </w:p>
        </w:tc>
        <w:tc>
          <w:tcPr>
            <w:tcW w:w="1876" w:type="dxa"/>
          </w:tcPr>
          <w:p w:rsidR="00000000" w:rsidRDefault="00000000">
            <w:pPr>
              <w:tabs>
                <w:tab w:val="decimal" w:pos="908"/>
              </w:tabs>
              <w:rPr>
                <w:bCs/>
                <w:noProof/>
                <w:color w:val="000000"/>
              </w:rPr>
            </w:pPr>
            <w:r>
              <w:rPr>
                <w:bCs/>
                <w:noProof/>
                <w:color w:val="000000"/>
              </w:rPr>
              <w:t>10,3</w:t>
            </w:r>
          </w:p>
        </w:tc>
      </w:tr>
      <w:tr w:rsidR="00000000">
        <w:tblPrEx>
          <w:tblCellMar>
            <w:top w:w="0" w:type="dxa"/>
            <w:bottom w:w="0" w:type="dxa"/>
          </w:tblCellMar>
        </w:tblPrEx>
        <w:trPr>
          <w:jc w:val="center"/>
        </w:trPr>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1999</w:t>
            </w:r>
          </w:p>
        </w:tc>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23,0</w:t>
            </w:r>
          </w:p>
        </w:tc>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4,1</w:t>
            </w:r>
          </w:p>
        </w:tc>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4,5</w:t>
            </w:r>
          </w:p>
        </w:tc>
        <w:tc>
          <w:tcPr>
            <w:tcW w:w="1876" w:type="dxa"/>
          </w:tcPr>
          <w:p w:rsidR="00000000" w:rsidRDefault="00000000">
            <w:pPr>
              <w:tabs>
                <w:tab w:val="decimal" w:pos="908"/>
              </w:tabs>
              <w:rPr>
                <w:bCs/>
                <w:noProof/>
                <w:color w:val="000000"/>
              </w:rPr>
            </w:pPr>
            <w:r>
              <w:rPr>
                <w:bCs/>
                <w:noProof/>
                <w:color w:val="000000"/>
              </w:rPr>
              <w:t>10,1</w:t>
            </w:r>
          </w:p>
        </w:tc>
      </w:tr>
      <w:tr w:rsidR="00000000">
        <w:tblPrEx>
          <w:tblCellMar>
            <w:top w:w="0" w:type="dxa"/>
            <w:bottom w:w="0" w:type="dxa"/>
          </w:tblCellMar>
        </w:tblPrEx>
        <w:trPr>
          <w:jc w:val="center"/>
        </w:trPr>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2000</w:t>
            </w:r>
          </w:p>
        </w:tc>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19,0</w:t>
            </w:r>
          </w:p>
        </w:tc>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4,3</w:t>
            </w:r>
          </w:p>
        </w:tc>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4,3</w:t>
            </w:r>
          </w:p>
        </w:tc>
        <w:tc>
          <w:tcPr>
            <w:tcW w:w="1876" w:type="dxa"/>
          </w:tcPr>
          <w:p w:rsidR="00000000" w:rsidRDefault="00000000">
            <w:pPr>
              <w:tabs>
                <w:tab w:val="decimal" w:pos="908"/>
              </w:tabs>
              <w:rPr>
                <w:bCs/>
                <w:noProof/>
                <w:color w:val="000000"/>
              </w:rPr>
            </w:pPr>
            <w:r>
              <w:rPr>
                <w:bCs/>
                <w:noProof/>
                <w:color w:val="000000"/>
              </w:rPr>
              <w:t>8,9</w:t>
            </w:r>
          </w:p>
        </w:tc>
      </w:tr>
      <w:tr w:rsidR="00000000">
        <w:tblPrEx>
          <w:tblCellMar>
            <w:top w:w="0" w:type="dxa"/>
            <w:bottom w:w="0" w:type="dxa"/>
          </w:tblCellMar>
        </w:tblPrEx>
        <w:trPr>
          <w:jc w:val="center"/>
        </w:trPr>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2001</w:t>
            </w:r>
          </w:p>
        </w:tc>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r>
              <w:rPr>
                <w:bCs/>
                <w:noProof/>
                <w:color w:val="000000"/>
              </w:rPr>
              <w:t>11,5</w:t>
            </w:r>
          </w:p>
        </w:tc>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p>
        </w:tc>
        <w:tc>
          <w:tcPr>
            <w:tcW w:w="1870"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Cs/>
                <w:noProof/>
                <w:color w:val="000000"/>
              </w:rPr>
            </w:pPr>
          </w:p>
        </w:tc>
        <w:tc>
          <w:tcPr>
            <w:tcW w:w="1876" w:type="dxa"/>
          </w:tcPr>
          <w:p w:rsidR="00000000" w:rsidRDefault="00000000">
            <w:pPr>
              <w:tabs>
                <w:tab w:val="decimal" w:pos="908"/>
              </w:tabs>
              <w:rPr>
                <w:bCs/>
                <w:noProof/>
                <w:color w:val="000000"/>
              </w:rPr>
            </w:pPr>
            <w:r>
              <w:rPr>
                <w:bCs/>
                <w:noProof/>
                <w:color w:val="000000"/>
              </w:rPr>
              <w:t>8,3</w:t>
            </w:r>
          </w:p>
        </w:tc>
      </w:tr>
    </w:tbl>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after="240"/>
        <w:rPr>
          <w:bCs/>
          <w:noProof/>
          <w:color w:val="000000"/>
        </w:rPr>
      </w:pPr>
      <w:r>
        <w:rPr>
          <w:bCs/>
          <w:i/>
          <w:iCs/>
          <w:noProof/>
          <w:color w:val="000000"/>
        </w:rPr>
        <w:t>Fuente</w:t>
      </w:r>
      <w:r>
        <w:rPr>
          <w:bCs/>
          <w:noProof/>
          <w:color w:val="000000"/>
        </w:rPr>
        <w:t>:  Ministerio de Salud, 2003.  Tasas de Mortalidad Materna (MM), Mortalidad Fetal Tardía (MFT), Mortalidad Neonatal Precoz (MNP) y Mortalidad Infantil (MI).</w:t>
      </w:r>
    </w:p>
    <w:p w:rsidR="00000000" w:rsidRDefault="00000000">
      <w:pPr>
        <w:spacing w:after="240"/>
        <w:rPr>
          <w:bCs/>
        </w:rPr>
      </w:pPr>
    </w:p>
    <w:p w:rsidR="00000000" w:rsidRDefault="00000000">
      <w:pPr>
        <w:spacing w:after="240"/>
        <w:jc w:val="center"/>
        <w:rPr>
          <w:b/>
        </w:rPr>
      </w:pPr>
      <w:r>
        <w:rPr>
          <w:b/>
          <w:noProof/>
          <w:sz w:val="20"/>
        </w:rPr>
        <w:pict>
          <v:shape id="_x0000_s1034" type="#_x0000_t75" style="position:absolute;left:0;text-align:left;margin-left:78pt;margin-top:104.9pt;width:299.9pt;height:214.1pt;z-index:9;mso-wrap-edited:f;mso-position-vertical-relative:page" o:preferrelative="f" wrapcoords="-64 0 -64 21514 21600 21514 21600 0 -64 0" o:allowoverlap="f">
            <v:imagedata r:id="rId19" o:title=""/>
            <o:lock v:ext="edit" aspectratio="f"/>
            <w10:wrap anchory="page"/>
            <w10:anchorlock/>
          </v:shape>
          <o:OLEObject Type="Embed" ProgID="PowerPoint.Slide.8" ShapeID="_x0000_s1034" DrawAspect="Content" ObjectID="_1394720796" r:id="rId20"/>
        </w:pict>
      </w:r>
      <w:r>
        <w:rPr>
          <w:b/>
          <w:lang w:val="es-MX"/>
        </w:rPr>
        <w:t>Cuadro 20</w:t>
      </w:r>
    </w:p>
    <w:p w:rsidR="00000000" w:rsidRDefault="00000000">
      <w:pPr>
        <w:spacing w:after="240"/>
        <w:rPr>
          <w:bCs/>
        </w:rPr>
      </w:pPr>
    </w:p>
    <w:p w:rsidR="00000000" w:rsidRDefault="00000000">
      <w:pPr>
        <w:spacing w:after="240"/>
        <w:rPr>
          <w:bCs/>
        </w:rPr>
      </w:pPr>
    </w:p>
    <w:p w:rsidR="00000000" w:rsidRDefault="00000000">
      <w:pPr>
        <w:spacing w:after="240"/>
        <w:rPr>
          <w:bCs/>
        </w:rPr>
      </w:pPr>
    </w:p>
    <w:p w:rsidR="00000000" w:rsidRDefault="00000000">
      <w:pPr>
        <w:spacing w:after="240"/>
        <w:rPr>
          <w:bCs/>
        </w:rPr>
      </w:pPr>
    </w:p>
    <w:p w:rsidR="00000000" w:rsidRDefault="00000000">
      <w:pPr>
        <w:spacing w:after="240"/>
        <w:rPr>
          <w:bCs/>
        </w:rPr>
      </w:pPr>
    </w:p>
    <w:p w:rsidR="00000000" w:rsidRDefault="00000000">
      <w:pPr>
        <w:spacing w:after="240"/>
        <w:rPr>
          <w:bCs/>
        </w:rPr>
      </w:pPr>
    </w:p>
    <w:p w:rsidR="00000000" w:rsidRDefault="00000000">
      <w:pPr>
        <w:spacing w:after="240"/>
        <w:rPr>
          <w:bCs/>
        </w:rPr>
      </w:pPr>
    </w:p>
    <w:p w:rsidR="00000000" w:rsidRDefault="00000000">
      <w:pPr>
        <w:spacing w:after="240"/>
        <w:rPr>
          <w:bCs/>
        </w:rPr>
      </w:pPr>
    </w:p>
    <w:p w:rsidR="00000000" w:rsidRDefault="00000000">
      <w:pPr>
        <w:spacing w:after="480"/>
        <w:rPr>
          <w:bCs/>
          <w:lang w:val="es-MX"/>
        </w:rPr>
      </w:pPr>
      <w:r>
        <w:rPr>
          <w:bCs/>
          <w:i/>
          <w:iCs/>
          <w:lang w:val="es-MX"/>
        </w:rPr>
        <w:tab/>
      </w:r>
      <w:r>
        <w:rPr>
          <w:bCs/>
          <w:i/>
          <w:iCs/>
          <w:lang w:val="es-MX"/>
        </w:rPr>
        <w:tab/>
      </w:r>
      <w:r>
        <w:rPr>
          <w:bCs/>
          <w:i/>
          <w:iCs/>
          <w:lang w:val="es-MX"/>
        </w:rPr>
        <w:tab/>
        <w:t>Fuente</w:t>
      </w:r>
      <w:r>
        <w:rPr>
          <w:bCs/>
          <w:lang w:val="es-MX"/>
        </w:rPr>
        <w:t>:  Ministerio de Salud, CONASIDA</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jc w:val="center"/>
        <w:outlineLvl w:val="0"/>
        <w:rPr>
          <w:b/>
          <w:noProof/>
          <w:color w:val="000000"/>
          <w:lang w:val="es-MX"/>
        </w:rPr>
      </w:pPr>
      <w:r>
        <w:rPr>
          <w:b/>
          <w:noProof/>
          <w:color w:val="000000"/>
          <w:lang w:val="es-MX"/>
        </w:rPr>
        <w:t>Cuadro 21</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jc w:val="center"/>
        <w:rPr>
          <w:bCs/>
          <w:noProof/>
          <w:color w:val="000000"/>
          <w:lang w:val="es-MX"/>
        </w:rPr>
      </w:pPr>
      <w:r>
        <w:rPr>
          <w:b/>
          <w:noProof/>
          <w:color w:val="000000"/>
          <w:lang w:val="es-MX"/>
        </w:rPr>
        <w:t>Pensiones de Orfandad.  Número promedio de beneficiarios, según fuente legal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559"/>
        <w:gridCol w:w="2409"/>
        <w:gridCol w:w="1843"/>
        <w:gridCol w:w="1701"/>
        <w:gridCol w:w="1846"/>
      </w:tblGrid>
      <w:tr w:rsidR="00000000">
        <w:tblPrEx>
          <w:tblCellMar>
            <w:top w:w="0" w:type="dxa"/>
            <w:bottom w:w="0" w:type="dxa"/>
          </w:tblCellMar>
        </w:tblPrEx>
        <w:trPr>
          <w:jc w:val="center"/>
        </w:trPr>
        <w:tc>
          <w:tcPr>
            <w:tcW w:w="1559" w:type="dxa"/>
            <w:vAlign w:val="center"/>
          </w:tcPr>
          <w:p w:rsidR="00000000" w:rsidRDefault="00000000">
            <w:pPr>
              <w:jc w:val="center"/>
              <w:rPr>
                <w:b/>
                <w:noProof/>
                <w:color w:val="000000"/>
                <w:lang w:val="es-MX"/>
              </w:rPr>
            </w:pPr>
            <w:r>
              <w:rPr>
                <w:b/>
                <w:noProof/>
                <w:color w:val="000000"/>
                <w:lang w:val="es-MX"/>
              </w:rPr>
              <w:t>Año</w:t>
            </w:r>
          </w:p>
        </w:tc>
        <w:tc>
          <w:tcPr>
            <w:tcW w:w="2409" w:type="dxa"/>
            <w:vAlign w:val="center"/>
          </w:tcPr>
          <w:p w:rsidR="00000000" w:rsidRDefault="00000000">
            <w:pPr>
              <w:jc w:val="center"/>
              <w:rPr>
                <w:b/>
                <w:noProof/>
                <w:color w:val="000000"/>
                <w:lang w:val="es-MX"/>
              </w:rPr>
            </w:pPr>
            <w:r>
              <w:rPr>
                <w:b/>
                <w:noProof/>
                <w:color w:val="000000"/>
                <w:lang w:val="es-MX"/>
              </w:rPr>
              <w:t>Leyes orgánicas ex cajas de previsión, Ley Nº 15.386 y Ley Nº 16.744</w:t>
            </w:r>
          </w:p>
        </w:tc>
        <w:tc>
          <w:tcPr>
            <w:tcW w:w="1843" w:type="dxa"/>
            <w:vAlign w:val="center"/>
          </w:tcPr>
          <w:p w:rsidR="00000000" w:rsidRDefault="00000000">
            <w:pPr>
              <w:jc w:val="center"/>
              <w:rPr>
                <w:b/>
                <w:noProof/>
                <w:color w:val="000000"/>
                <w:lang w:val="es-MX"/>
              </w:rPr>
            </w:pPr>
            <w:r>
              <w:rPr>
                <w:b/>
                <w:noProof/>
                <w:color w:val="000000"/>
                <w:lang w:val="es-MX"/>
              </w:rPr>
              <w:t>Ley Nº 19.234 (exonerados)</w:t>
            </w:r>
          </w:p>
        </w:tc>
        <w:tc>
          <w:tcPr>
            <w:tcW w:w="1701" w:type="dxa"/>
            <w:vAlign w:val="center"/>
          </w:tcPr>
          <w:p w:rsidR="00000000" w:rsidRDefault="00000000">
            <w:pPr>
              <w:jc w:val="center"/>
              <w:rPr>
                <w:b/>
                <w:noProof/>
                <w:color w:val="000000"/>
                <w:lang w:val="es-MX"/>
              </w:rPr>
            </w:pPr>
            <w:r>
              <w:rPr>
                <w:b/>
                <w:noProof/>
                <w:color w:val="000000"/>
                <w:lang w:val="es-MX"/>
              </w:rPr>
              <w:t>Ley Nº 19.123 (reparación)</w:t>
            </w:r>
          </w:p>
        </w:tc>
        <w:tc>
          <w:tcPr>
            <w:tcW w:w="1846" w:type="dxa"/>
            <w:vAlign w:val="center"/>
          </w:tcPr>
          <w:p w:rsidR="00000000" w:rsidRDefault="00000000">
            <w:pPr>
              <w:jc w:val="center"/>
              <w:rPr>
                <w:b/>
                <w:noProof/>
                <w:color w:val="000000"/>
                <w:lang w:val="es-MX"/>
              </w:rPr>
            </w:pPr>
            <w:r>
              <w:rPr>
                <w:b/>
                <w:noProof/>
                <w:color w:val="000000"/>
                <w:lang w:val="es-MX"/>
              </w:rPr>
              <w:t>Número promedio beneficiarios</w:t>
            </w:r>
          </w:p>
        </w:tc>
      </w:tr>
      <w:tr w:rsidR="00000000">
        <w:tblPrEx>
          <w:tblCellMar>
            <w:top w:w="0" w:type="dxa"/>
            <w:bottom w:w="0" w:type="dxa"/>
          </w:tblCellMar>
        </w:tblPrEx>
        <w:trPr>
          <w:jc w:val="center"/>
        </w:trPr>
        <w:tc>
          <w:tcPr>
            <w:tcW w:w="1559" w:type="dxa"/>
          </w:tcPr>
          <w:p w:rsidR="00000000" w:rsidRDefault="00000000">
            <w:pPr>
              <w:rPr>
                <w:bCs/>
                <w:noProof/>
                <w:color w:val="000000"/>
                <w:lang w:val="es-MX"/>
              </w:rPr>
            </w:pPr>
            <w:r>
              <w:rPr>
                <w:bCs/>
                <w:noProof/>
                <w:color w:val="000000"/>
                <w:lang w:val="es-MX"/>
              </w:rPr>
              <w:t>1998</w:t>
            </w:r>
          </w:p>
        </w:tc>
        <w:tc>
          <w:tcPr>
            <w:tcW w:w="2409" w:type="dxa"/>
          </w:tcPr>
          <w:p w:rsidR="00000000" w:rsidRDefault="00000000">
            <w:pPr>
              <w:tabs>
                <w:tab w:val="decimal" w:pos="1425"/>
              </w:tabs>
              <w:rPr>
                <w:bCs/>
                <w:noProof/>
                <w:color w:val="000000"/>
                <w:lang w:val="es-MX"/>
              </w:rPr>
            </w:pPr>
            <w:r>
              <w:rPr>
                <w:bCs/>
                <w:noProof/>
                <w:color w:val="000000"/>
                <w:lang w:val="es-MX"/>
              </w:rPr>
              <w:t>14.154</w:t>
            </w:r>
          </w:p>
        </w:tc>
        <w:tc>
          <w:tcPr>
            <w:tcW w:w="1843" w:type="dxa"/>
          </w:tcPr>
          <w:p w:rsidR="00000000" w:rsidRDefault="00000000">
            <w:pPr>
              <w:tabs>
                <w:tab w:val="decimal" w:pos="948"/>
              </w:tabs>
              <w:rPr>
                <w:bCs/>
                <w:noProof/>
                <w:color w:val="000000"/>
                <w:lang w:val="es-MX"/>
              </w:rPr>
            </w:pPr>
            <w:r>
              <w:rPr>
                <w:bCs/>
                <w:noProof/>
                <w:color w:val="000000"/>
                <w:lang w:val="es-MX"/>
              </w:rPr>
              <w:t>9</w:t>
            </w:r>
          </w:p>
        </w:tc>
        <w:tc>
          <w:tcPr>
            <w:tcW w:w="1701" w:type="dxa"/>
          </w:tcPr>
          <w:p w:rsidR="00000000" w:rsidRDefault="00000000">
            <w:pPr>
              <w:tabs>
                <w:tab w:val="decimal" w:pos="938"/>
              </w:tabs>
              <w:rPr>
                <w:bCs/>
                <w:noProof/>
                <w:color w:val="000000"/>
                <w:lang w:val="es-MX"/>
              </w:rPr>
            </w:pPr>
            <w:r>
              <w:rPr>
                <w:bCs/>
                <w:noProof/>
                <w:color w:val="000000"/>
                <w:lang w:val="es-MX"/>
              </w:rPr>
              <w:t>0</w:t>
            </w:r>
          </w:p>
        </w:tc>
        <w:tc>
          <w:tcPr>
            <w:tcW w:w="1846" w:type="dxa"/>
          </w:tcPr>
          <w:p w:rsidR="00000000" w:rsidRDefault="00000000">
            <w:pPr>
              <w:tabs>
                <w:tab w:val="decimal" w:pos="1155"/>
              </w:tabs>
              <w:rPr>
                <w:bCs/>
                <w:noProof/>
                <w:color w:val="000000"/>
                <w:lang w:val="es-MX"/>
              </w:rPr>
            </w:pPr>
            <w:r>
              <w:rPr>
                <w:bCs/>
                <w:noProof/>
                <w:color w:val="000000"/>
                <w:lang w:val="es-MX"/>
              </w:rPr>
              <w:t>14.163</w:t>
            </w:r>
          </w:p>
        </w:tc>
      </w:tr>
      <w:tr w:rsidR="00000000">
        <w:tblPrEx>
          <w:tblCellMar>
            <w:top w:w="0" w:type="dxa"/>
            <w:bottom w:w="0" w:type="dxa"/>
          </w:tblCellMar>
        </w:tblPrEx>
        <w:trPr>
          <w:jc w:val="center"/>
        </w:trPr>
        <w:tc>
          <w:tcPr>
            <w:tcW w:w="1559" w:type="dxa"/>
          </w:tcPr>
          <w:p w:rsidR="00000000" w:rsidRDefault="00000000">
            <w:pPr>
              <w:rPr>
                <w:bCs/>
                <w:noProof/>
                <w:color w:val="000000"/>
                <w:lang w:val="es-MX"/>
              </w:rPr>
            </w:pPr>
            <w:r>
              <w:rPr>
                <w:bCs/>
                <w:noProof/>
                <w:color w:val="000000"/>
                <w:lang w:val="es-MX"/>
              </w:rPr>
              <w:t>1999</w:t>
            </w:r>
          </w:p>
        </w:tc>
        <w:tc>
          <w:tcPr>
            <w:tcW w:w="2409" w:type="dxa"/>
          </w:tcPr>
          <w:p w:rsidR="00000000" w:rsidRDefault="00000000">
            <w:pPr>
              <w:tabs>
                <w:tab w:val="decimal" w:pos="1425"/>
              </w:tabs>
              <w:rPr>
                <w:bCs/>
                <w:noProof/>
                <w:color w:val="000000"/>
                <w:lang w:val="es-MX"/>
              </w:rPr>
            </w:pPr>
            <w:r>
              <w:rPr>
                <w:bCs/>
                <w:noProof/>
                <w:color w:val="000000"/>
                <w:lang w:val="es-MX"/>
              </w:rPr>
              <w:t>12.725</w:t>
            </w:r>
          </w:p>
        </w:tc>
        <w:tc>
          <w:tcPr>
            <w:tcW w:w="1843" w:type="dxa"/>
          </w:tcPr>
          <w:p w:rsidR="00000000" w:rsidRDefault="00000000">
            <w:pPr>
              <w:tabs>
                <w:tab w:val="decimal" w:pos="948"/>
              </w:tabs>
              <w:rPr>
                <w:bCs/>
                <w:noProof/>
                <w:color w:val="000000"/>
                <w:lang w:val="es-MX"/>
              </w:rPr>
            </w:pPr>
            <w:r>
              <w:rPr>
                <w:bCs/>
                <w:noProof/>
                <w:color w:val="000000"/>
                <w:lang w:val="es-MX"/>
              </w:rPr>
              <w:t>9</w:t>
            </w:r>
          </w:p>
        </w:tc>
        <w:tc>
          <w:tcPr>
            <w:tcW w:w="1701" w:type="dxa"/>
          </w:tcPr>
          <w:p w:rsidR="00000000" w:rsidRDefault="00000000">
            <w:pPr>
              <w:tabs>
                <w:tab w:val="decimal" w:pos="938"/>
              </w:tabs>
              <w:rPr>
                <w:bCs/>
                <w:noProof/>
                <w:color w:val="000000"/>
                <w:lang w:val="es-MX"/>
              </w:rPr>
            </w:pPr>
            <w:r>
              <w:rPr>
                <w:bCs/>
                <w:noProof/>
                <w:color w:val="000000"/>
                <w:lang w:val="es-MX"/>
              </w:rPr>
              <w:t>0</w:t>
            </w:r>
          </w:p>
        </w:tc>
        <w:tc>
          <w:tcPr>
            <w:tcW w:w="1846" w:type="dxa"/>
          </w:tcPr>
          <w:p w:rsidR="00000000" w:rsidRDefault="00000000">
            <w:pPr>
              <w:tabs>
                <w:tab w:val="decimal" w:pos="1155"/>
              </w:tabs>
              <w:rPr>
                <w:bCs/>
                <w:noProof/>
                <w:color w:val="000000"/>
                <w:lang w:val="es-MX"/>
              </w:rPr>
            </w:pPr>
            <w:r>
              <w:rPr>
                <w:bCs/>
                <w:noProof/>
                <w:color w:val="000000"/>
                <w:lang w:val="es-MX"/>
              </w:rPr>
              <w:t>12.734</w:t>
            </w:r>
          </w:p>
        </w:tc>
      </w:tr>
      <w:tr w:rsidR="00000000">
        <w:tblPrEx>
          <w:tblCellMar>
            <w:top w:w="0" w:type="dxa"/>
            <w:bottom w:w="0" w:type="dxa"/>
          </w:tblCellMar>
        </w:tblPrEx>
        <w:trPr>
          <w:jc w:val="center"/>
        </w:trPr>
        <w:tc>
          <w:tcPr>
            <w:tcW w:w="1559" w:type="dxa"/>
          </w:tcPr>
          <w:p w:rsidR="00000000" w:rsidRDefault="00000000">
            <w:pPr>
              <w:rPr>
                <w:bCs/>
                <w:noProof/>
                <w:color w:val="000000"/>
                <w:lang w:val="es-MX"/>
              </w:rPr>
            </w:pPr>
            <w:r>
              <w:rPr>
                <w:bCs/>
                <w:noProof/>
                <w:color w:val="000000"/>
                <w:lang w:val="es-MX"/>
              </w:rPr>
              <w:t>2000</w:t>
            </w:r>
          </w:p>
        </w:tc>
        <w:tc>
          <w:tcPr>
            <w:tcW w:w="2409" w:type="dxa"/>
          </w:tcPr>
          <w:p w:rsidR="00000000" w:rsidRDefault="00000000">
            <w:pPr>
              <w:tabs>
                <w:tab w:val="decimal" w:pos="1425"/>
              </w:tabs>
              <w:rPr>
                <w:bCs/>
                <w:noProof/>
                <w:color w:val="000000"/>
                <w:lang w:val="es-MX"/>
              </w:rPr>
            </w:pPr>
            <w:r>
              <w:rPr>
                <w:bCs/>
                <w:noProof/>
                <w:color w:val="000000"/>
                <w:lang w:val="es-MX"/>
              </w:rPr>
              <w:t>11.413</w:t>
            </w:r>
          </w:p>
        </w:tc>
        <w:tc>
          <w:tcPr>
            <w:tcW w:w="1843" w:type="dxa"/>
          </w:tcPr>
          <w:p w:rsidR="00000000" w:rsidRDefault="00000000">
            <w:pPr>
              <w:tabs>
                <w:tab w:val="decimal" w:pos="948"/>
              </w:tabs>
              <w:rPr>
                <w:bCs/>
                <w:noProof/>
                <w:color w:val="000000"/>
                <w:lang w:val="es-MX"/>
              </w:rPr>
            </w:pPr>
            <w:r>
              <w:rPr>
                <w:bCs/>
                <w:noProof/>
                <w:color w:val="000000"/>
                <w:lang w:val="es-MX"/>
              </w:rPr>
              <w:t>12</w:t>
            </w:r>
          </w:p>
        </w:tc>
        <w:tc>
          <w:tcPr>
            <w:tcW w:w="1701" w:type="dxa"/>
          </w:tcPr>
          <w:p w:rsidR="00000000" w:rsidRDefault="00000000">
            <w:pPr>
              <w:tabs>
                <w:tab w:val="decimal" w:pos="938"/>
              </w:tabs>
              <w:rPr>
                <w:bCs/>
                <w:noProof/>
                <w:color w:val="000000"/>
                <w:lang w:val="es-MX"/>
              </w:rPr>
            </w:pPr>
            <w:r>
              <w:rPr>
                <w:bCs/>
                <w:noProof/>
                <w:color w:val="000000"/>
                <w:lang w:val="es-MX"/>
              </w:rPr>
              <w:t>154</w:t>
            </w:r>
          </w:p>
        </w:tc>
        <w:tc>
          <w:tcPr>
            <w:tcW w:w="1846" w:type="dxa"/>
          </w:tcPr>
          <w:p w:rsidR="00000000" w:rsidRDefault="00000000">
            <w:pPr>
              <w:tabs>
                <w:tab w:val="decimal" w:pos="1155"/>
              </w:tabs>
              <w:rPr>
                <w:bCs/>
                <w:noProof/>
                <w:color w:val="000000"/>
                <w:lang w:val="es-MX"/>
              </w:rPr>
            </w:pPr>
            <w:r>
              <w:rPr>
                <w:bCs/>
                <w:noProof/>
                <w:color w:val="000000"/>
                <w:lang w:val="es-MX"/>
              </w:rPr>
              <w:t>11.579</w:t>
            </w:r>
          </w:p>
        </w:tc>
      </w:tr>
      <w:tr w:rsidR="00000000">
        <w:tblPrEx>
          <w:tblCellMar>
            <w:top w:w="0" w:type="dxa"/>
            <w:bottom w:w="0" w:type="dxa"/>
          </w:tblCellMar>
        </w:tblPrEx>
        <w:trPr>
          <w:jc w:val="center"/>
        </w:trPr>
        <w:tc>
          <w:tcPr>
            <w:tcW w:w="1559" w:type="dxa"/>
          </w:tcPr>
          <w:p w:rsidR="00000000" w:rsidRDefault="00000000">
            <w:pPr>
              <w:rPr>
                <w:bCs/>
                <w:noProof/>
                <w:color w:val="000000"/>
                <w:lang w:val="es-MX"/>
              </w:rPr>
            </w:pPr>
            <w:r>
              <w:rPr>
                <w:bCs/>
                <w:noProof/>
                <w:color w:val="000000"/>
                <w:lang w:val="es-MX"/>
              </w:rPr>
              <w:t>2001</w:t>
            </w:r>
          </w:p>
        </w:tc>
        <w:tc>
          <w:tcPr>
            <w:tcW w:w="2409" w:type="dxa"/>
          </w:tcPr>
          <w:p w:rsidR="00000000" w:rsidRDefault="00000000">
            <w:pPr>
              <w:tabs>
                <w:tab w:val="decimal" w:pos="1425"/>
              </w:tabs>
              <w:rPr>
                <w:bCs/>
                <w:noProof/>
                <w:color w:val="000000"/>
                <w:lang w:val="es-MX"/>
              </w:rPr>
            </w:pPr>
            <w:r>
              <w:rPr>
                <w:bCs/>
                <w:noProof/>
                <w:color w:val="000000"/>
                <w:lang w:val="es-MX"/>
              </w:rPr>
              <w:t>10.219</w:t>
            </w:r>
          </w:p>
        </w:tc>
        <w:tc>
          <w:tcPr>
            <w:tcW w:w="1843" w:type="dxa"/>
          </w:tcPr>
          <w:p w:rsidR="00000000" w:rsidRDefault="00000000">
            <w:pPr>
              <w:tabs>
                <w:tab w:val="decimal" w:pos="948"/>
              </w:tabs>
              <w:rPr>
                <w:bCs/>
                <w:noProof/>
                <w:color w:val="000000"/>
                <w:lang w:val="es-MX"/>
              </w:rPr>
            </w:pPr>
            <w:r>
              <w:rPr>
                <w:bCs/>
                <w:noProof/>
                <w:color w:val="000000"/>
                <w:lang w:val="es-MX"/>
              </w:rPr>
              <w:t>33</w:t>
            </w:r>
          </w:p>
        </w:tc>
        <w:tc>
          <w:tcPr>
            <w:tcW w:w="1701" w:type="dxa"/>
          </w:tcPr>
          <w:p w:rsidR="00000000" w:rsidRDefault="00000000">
            <w:pPr>
              <w:tabs>
                <w:tab w:val="decimal" w:pos="938"/>
              </w:tabs>
              <w:rPr>
                <w:bCs/>
                <w:noProof/>
                <w:color w:val="000000"/>
                <w:lang w:val="es-MX"/>
              </w:rPr>
            </w:pPr>
            <w:r>
              <w:rPr>
                <w:bCs/>
                <w:noProof/>
                <w:color w:val="000000"/>
                <w:lang w:val="es-MX"/>
              </w:rPr>
              <w:t>132</w:t>
            </w:r>
          </w:p>
        </w:tc>
        <w:tc>
          <w:tcPr>
            <w:tcW w:w="1846" w:type="dxa"/>
          </w:tcPr>
          <w:p w:rsidR="00000000" w:rsidRDefault="00000000">
            <w:pPr>
              <w:tabs>
                <w:tab w:val="decimal" w:pos="1155"/>
              </w:tabs>
              <w:rPr>
                <w:bCs/>
                <w:noProof/>
                <w:color w:val="000000"/>
                <w:lang w:val="es-MX"/>
              </w:rPr>
            </w:pPr>
            <w:r>
              <w:rPr>
                <w:bCs/>
                <w:noProof/>
                <w:color w:val="000000"/>
                <w:lang w:val="es-MX"/>
              </w:rPr>
              <w:t>10.384</w:t>
            </w:r>
          </w:p>
        </w:tc>
      </w:tr>
      <w:tr w:rsidR="00000000">
        <w:tblPrEx>
          <w:tblCellMar>
            <w:top w:w="0" w:type="dxa"/>
            <w:bottom w:w="0" w:type="dxa"/>
          </w:tblCellMar>
        </w:tblPrEx>
        <w:trPr>
          <w:jc w:val="center"/>
        </w:trPr>
        <w:tc>
          <w:tcPr>
            <w:tcW w:w="1559" w:type="dxa"/>
          </w:tcPr>
          <w:p w:rsidR="00000000" w:rsidRDefault="00000000">
            <w:pPr>
              <w:rPr>
                <w:bCs/>
                <w:noProof/>
                <w:color w:val="000000"/>
                <w:lang w:val="es-MX"/>
              </w:rPr>
            </w:pPr>
            <w:r>
              <w:rPr>
                <w:bCs/>
                <w:noProof/>
                <w:color w:val="000000"/>
                <w:lang w:val="es-MX"/>
              </w:rPr>
              <w:t>2002</w:t>
            </w:r>
          </w:p>
        </w:tc>
        <w:tc>
          <w:tcPr>
            <w:tcW w:w="2409" w:type="dxa"/>
          </w:tcPr>
          <w:p w:rsidR="00000000" w:rsidRDefault="00000000">
            <w:pPr>
              <w:tabs>
                <w:tab w:val="decimal" w:pos="1425"/>
              </w:tabs>
              <w:rPr>
                <w:bCs/>
                <w:noProof/>
                <w:color w:val="000000"/>
                <w:lang w:val="es-MX"/>
              </w:rPr>
            </w:pPr>
            <w:r>
              <w:rPr>
                <w:bCs/>
                <w:noProof/>
                <w:color w:val="000000"/>
                <w:lang w:val="es-MX"/>
              </w:rPr>
              <w:t>9.827</w:t>
            </w:r>
          </w:p>
        </w:tc>
        <w:tc>
          <w:tcPr>
            <w:tcW w:w="1843" w:type="dxa"/>
          </w:tcPr>
          <w:p w:rsidR="00000000" w:rsidRDefault="00000000">
            <w:pPr>
              <w:tabs>
                <w:tab w:val="decimal" w:pos="948"/>
              </w:tabs>
              <w:rPr>
                <w:bCs/>
                <w:noProof/>
                <w:color w:val="000000"/>
                <w:lang w:val="es-MX"/>
              </w:rPr>
            </w:pPr>
            <w:r>
              <w:rPr>
                <w:bCs/>
                <w:noProof/>
                <w:color w:val="000000"/>
                <w:lang w:val="es-MX"/>
              </w:rPr>
              <w:t>90</w:t>
            </w:r>
          </w:p>
        </w:tc>
        <w:tc>
          <w:tcPr>
            <w:tcW w:w="1701" w:type="dxa"/>
          </w:tcPr>
          <w:p w:rsidR="00000000" w:rsidRDefault="00000000">
            <w:pPr>
              <w:tabs>
                <w:tab w:val="decimal" w:pos="938"/>
              </w:tabs>
              <w:rPr>
                <w:bCs/>
                <w:noProof/>
                <w:color w:val="000000"/>
                <w:lang w:val="es-MX"/>
              </w:rPr>
            </w:pPr>
            <w:r>
              <w:rPr>
                <w:bCs/>
                <w:noProof/>
                <w:color w:val="000000"/>
                <w:lang w:val="es-MX"/>
              </w:rPr>
              <w:t>107</w:t>
            </w:r>
          </w:p>
        </w:tc>
        <w:tc>
          <w:tcPr>
            <w:tcW w:w="1846" w:type="dxa"/>
          </w:tcPr>
          <w:p w:rsidR="00000000" w:rsidRDefault="00000000">
            <w:pPr>
              <w:tabs>
                <w:tab w:val="decimal" w:pos="1155"/>
              </w:tabs>
              <w:rPr>
                <w:bCs/>
                <w:noProof/>
                <w:color w:val="000000"/>
                <w:lang w:val="es-MX"/>
              </w:rPr>
            </w:pPr>
            <w:r>
              <w:rPr>
                <w:bCs/>
                <w:noProof/>
                <w:color w:val="000000"/>
                <w:lang w:val="es-MX"/>
              </w:rPr>
              <w:t>10.024</w:t>
            </w:r>
          </w:p>
        </w:tc>
      </w:tr>
      <w:tr w:rsidR="00000000">
        <w:tblPrEx>
          <w:tblCellMar>
            <w:top w:w="0" w:type="dxa"/>
            <w:bottom w:w="0" w:type="dxa"/>
          </w:tblCellMar>
        </w:tblPrEx>
        <w:trPr>
          <w:jc w:val="center"/>
        </w:trPr>
        <w:tc>
          <w:tcPr>
            <w:tcW w:w="1559" w:type="dxa"/>
          </w:tcPr>
          <w:p w:rsidR="00000000" w:rsidRDefault="00000000">
            <w:pPr>
              <w:rPr>
                <w:bCs/>
                <w:noProof/>
                <w:color w:val="000000"/>
                <w:lang w:val="es-MX"/>
              </w:rPr>
            </w:pPr>
            <w:r>
              <w:rPr>
                <w:bCs/>
                <w:noProof/>
                <w:color w:val="000000"/>
                <w:lang w:val="es-MX"/>
              </w:rPr>
              <w:t>Junio 2003</w:t>
            </w:r>
          </w:p>
        </w:tc>
        <w:tc>
          <w:tcPr>
            <w:tcW w:w="2409" w:type="dxa"/>
          </w:tcPr>
          <w:p w:rsidR="00000000" w:rsidRDefault="00000000">
            <w:pPr>
              <w:tabs>
                <w:tab w:val="decimal" w:pos="1425"/>
              </w:tabs>
              <w:rPr>
                <w:bCs/>
                <w:noProof/>
                <w:color w:val="000000"/>
                <w:lang w:val="es-MX"/>
              </w:rPr>
            </w:pPr>
            <w:r>
              <w:rPr>
                <w:bCs/>
                <w:noProof/>
                <w:color w:val="000000"/>
                <w:lang w:val="es-MX"/>
              </w:rPr>
              <w:t>9.191</w:t>
            </w:r>
          </w:p>
        </w:tc>
        <w:tc>
          <w:tcPr>
            <w:tcW w:w="1843" w:type="dxa"/>
          </w:tcPr>
          <w:p w:rsidR="00000000" w:rsidRDefault="00000000">
            <w:pPr>
              <w:tabs>
                <w:tab w:val="decimal" w:pos="948"/>
              </w:tabs>
              <w:rPr>
                <w:bCs/>
                <w:noProof/>
                <w:color w:val="000000"/>
                <w:lang w:val="es-MX"/>
              </w:rPr>
            </w:pPr>
            <w:r>
              <w:rPr>
                <w:bCs/>
                <w:noProof/>
                <w:color w:val="000000"/>
                <w:lang w:val="es-MX"/>
              </w:rPr>
              <w:t>118</w:t>
            </w:r>
          </w:p>
        </w:tc>
        <w:tc>
          <w:tcPr>
            <w:tcW w:w="1701" w:type="dxa"/>
          </w:tcPr>
          <w:p w:rsidR="00000000" w:rsidRDefault="00000000">
            <w:pPr>
              <w:tabs>
                <w:tab w:val="decimal" w:pos="938"/>
              </w:tabs>
              <w:rPr>
                <w:bCs/>
                <w:noProof/>
                <w:color w:val="000000"/>
                <w:lang w:val="es-MX"/>
              </w:rPr>
            </w:pPr>
            <w:r>
              <w:rPr>
                <w:bCs/>
                <w:noProof/>
                <w:color w:val="000000"/>
                <w:lang w:val="es-MX"/>
              </w:rPr>
              <w:t>80</w:t>
            </w:r>
          </w:p>
        </w:tc>
        <w:tc>
          <w:tcPr>
            <w:tcW w:w="1846" w:type="dxa"/>
          </w:tcPr>
          <w:p w:rsidR="00000000" w:rsidRDefault="00000000">
            <w:pPr>
              <w:tabs>
                <w:tab w:val="decimal" w:pos="1155"/>
              </w:tabs>
              <w:rPr>
                <w:bCs/>
                <w:noProof/>
                <w:color w:val="000000"/>
                <w:lang w:val="es-MX"/>
              </w:rPr>
            </w:pPr>
            <w:r>
              <w:rPr>
                <w:bCs/>
                <w:noProof/>
                <w:color w:val="000000"/>
                <w:lang w:val="es-MX"/>
              </w:rPr>
              <w:t>9.389</w:t>
            </w:r>
          </w:p>
        </w:tc>
      </w:tr>
    </w:tbl>
    <w:p w:rsidR="00000000" w:rsidRDefault="00000000">
      <w:pPr>
        <w:tabs>
          <w:tab w:val="center" w:pos="4680"/>
          <w:tab w:val="left" w:pos="4956"/>
          <w:tab w:val="left" w:pos="5664"/>
          <w:tab w:val="left" w:pos="6372"/>
          <w:tab w:val="left" w:pos="7080"/>
          <w:tab w:val="left" w:pos="7788"/>
          <w:tab w:val="left" w:pos="8496"/>
        </w:tabs>
        <w:spacing w:before="240" w:after="480"/>
        <w:rPr>
          <w:bCs/>
          <w:noProof/>
          <w:color w:val="000000"/>
          <w:lang w:val="es-MX"/>
        </w:rPr>
      </w:pPr>
      <w:r>
        <w:rPr>
          <w:bCs/>
          <w:i/>
          <w:iCs/>
          <w:noProof/>
          <w:color w:val="000000"/>
          <w:lang w:val="es-MX"/>
        </w:rPr>
        <w:t>Fuente</w:t>
      </w:r>
      <w:r>
        <w:rPr>
          <w:bCs/>
          <w:noProof/>
          <w:color w:val="000000"/>
          <w:lang w:val="es-MX"/>
        </w:rPr>
        <w:t>:  INP, 2003.</w:t>
      </w:r>
    </w:p>
    <w:p w:rsidR="00000000" w:rsidRDefault="00000000">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jc w:val="center"/>
        <w:outlineLvl w:val="0"/>
        <w:rPr>
          <w:b/>
          <w:noProof/>
          <w:color w:val="000000"/>
          <w:lang w:val="es-MX"/>
        </w:rPr>
      </w:pPr>
      <w:r>
        <w:rPr>
          <w:b/>
          <w:noProof/>
          <w:color w:val="000000"/>
          <w:lang w:val="es-MX"/>
        </w:rPr>
        <w:t>Cuadro 22</w:t>
      </w:r>
    </w:p>
    <w:p w:rsidR="00000000" w:rsidRDefault="00000000">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jc w:val="center"/>
        <w:rPr>
          <w:bCs/>
          <w:noProof/>
          <w:color w:val="000000"/>
          <w:lang w:val="es-MX"/>
        </w:rPr>
      </w:pPr>
      <w:r>
        <w:rPr>
          <w:b/>
          <w:noProof/>
          <w:color w:val="000000"/>
          <w:lang w:val="es-MX"/>
        </w:rPr>
        <w:t>Asignaciones familiares.  Resumen número promedio mensual de</w:t>
      </w:r>
      <w:r>
        <w:rPr>
          <w:b/>
          <w:noProof/>
          <w:color w:val="000000"/>
          <w:lang w:val="es-MX"/>
        </w:rPr>
        <w:br/>
        <w:t>causantes y beneficiarios y monto anual pagado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041"/>
        <w:gridCol w:w="2918"/>
        <w:gridCol w:w="3198"/>
        <w:gridCol w:w="2202"/>
      </w:tblGrid>
      <w:tr w:rsidR="00000000">
        <w:tblPrEx>
          <w:tblCellMar>
            <w:top w:w="0" w:type="dxa"/>
            <w:bottom w:w="0" w:type="dxa"/>
          </w:tblCellMar>
        </w:tblPrEx>
        <w:trPr>
          <w:jc w:val="center"/>
        </w:trPr>
        <w:tc>
          <w:tcPr>
            <w:tcW w:w="1041" w:type="dxa"/>
            <w:vAlign w:val="center"/>
          </w:tcPr>
          <w:p w:rsidR="00000000" w:rsidRDefault="00000000">
            <w:pPr>
              <w:keepNext/>
              <w:keepLines/>
              <w:jc w:val="center"/>
              <w:rPr>
                <w:b/>
                <w:noProof/>
                <w:color w:val="000000"/>
                <w:lang w:val="es-MX"/>
              </w:rPr>
            </w:pPr>
            <w:r>
              <w:rPr>
                <w:b/>
                <w:noProof/>
                <w:color w:val="000000"/>
                <w:lang w:val="es-MX"/>
              </w:rPr>
              <w:t>Año</w:t>
            </w:r>
          </w:p>
        </w:tc>
        <w:tc>
          <w:tcPr>
            <w:tcW w:w="2918" w:type="dxa"/>
            <w:vAlign w:val="center"/>
          </w:tcPr>
          <w:p w:rsidR="00000000" w:rsidRDefault="00000000">
            <w:pPr>
              <w:keepNext/>
              <w:keepLines/>
              <w:jc w:val="center"/>
              <w:rPr>
                <w:b/>
                <w:noProof/>
                <w:color w:val="000000"/>
                <w:lang w:val="es-MX"/>
              </w:rPr>
            </w:pPr>
            <w:r>
              <w:rPr>
                <w:b/>
                <w:noProof/>
                <w:color w:val="000000"/>
                <w:lang w:val="es-MX"/>
              </w:rPr>
              <w:t>Promedio mensual de causantes</w:t>
            </w:r>
          </w:p>
        </w:tc>
        <w:tc>
          <w:tcPr>
            <w:tcW w:w="3198" w:type="dxa"/>
            <w:vAlign w:val="center"/>
          </w:tcPr>
          <w:p w:rsidR="00000000" w:rsidRDefault="00000000">
            <w:pPr>
              <w:keepNext/>
              <w:keepLines/>
              <w:jc w:val="center"/>
              <w:rPr>
                <w:b/>
                <w:noProof/>
                <w:color w:val="000000"/>
                <w:lang w:val="es-MX"/>
              </w:rPr>
            </w:pPr>
            <w:r>
              <w:rPr>
                <w:b/>
                <w:noProof/>
                <w:color w:val="000000"/>
                <w:lang w:val="es-MX"/>
              </w:rPr>
              <w:t>Promedio mensual de beneficiarios</w:t>
            </w:r>
          </w:p>
        </w:tc>
        <w:tc>
          <w:tcPr>
            <w:tcW w:w="2202" w:type="dxa"/>
            <w:vAlign w:val="center"/>
          </w:tcPr>
          <w:p w:rsidR="00000000" w:rsidRDefault="00000000">
            <w:pPr>
              <w:keepNext/>
              <w:keepLines/>
              <w:jc w:val="center"/>
              <w:rPr>
                <w:b/>
                <w:noProof/>
                <w:color w:val="000000"/>
                <w:lang w:val="es-MX"/>
              </w:rPr>
            </w:pPr>
            <w:r>
              <w:rPr>
                <w:b/>
                <w:noProof/>
                <w:color w:val="000000"/>
                <w:lang w:val="es-MX"/>
              </w:rPr>
              <w:t>Dólares EE.UU.</w:t>
            </w:r>
          </w:p>
        </w:tc>
      </w:tr>
      <w:tr w:rsidR="00000000">
        <w:tblPrEx>
          <w:tblCellMar>
            <w:top w:w="0" w:type="dxa"/>
            <w:bottom w:w="0" w:type="dxa"/>
          </w:tblCellMar>
        </w:tblPrEx>
        <w:trPr>
          <w:jc w:val="center"/>
        </w:trPr>
        <w:tc>
          <w:tcPr>
            <w:tcW w:w="1041" w:type="dxa"/>
            <w:vAlign w:val="center"/>
          </w:tcPr>
          <w:p w:rsidR="00000000" w:rsidRDefault="00000000">
            <w:pPr>
              <w:keepNext/>
              <w:keepLines/>
              <w:jc w:val="center"/>
              <w:rPr>
                <w:bCs/>
                <w:noProof/>
                <w:color w:val="000000"/>
                <w:lang w:val="es-MX"/>
              </w:rPr>
            </w:pPr>
            <w:r>
              <w:rPr>
                <w:bCs/>
                <w:noProof/>
                <w:color w:val="000000"/>
                <w:lang w:val="es-MX"/>
              </w:rPr>
              <w:t>1998</w:t>
            </w:r>
          </w:p>
        </w:tc>
        <w:tc>
          <w:tcPr>
            <w:tcW w:w="2918" w:type="dxa"/>
            <w:vAlign w:val="center"/>
          </w:tcPr>
          <w:p w:rsidR="00000000" w:rsidRDefault="00000000">
            <w:pPr>
              <w:keepNext/>
              <w:keepLines/>
              <w:tabs>
                <w:tab w:val="decimal" w:pos="963"/>
              </w:tabs>
              <w:jc w:val="center"/>
              <w:rPr>
                <w:bCs/>
                <w:noProof/>
                <w:color w:val="000000"/>
                <w:lang w:val="es-MX"/>
              </w:rPr>
            </w:pPr>
            <w:r>
              <w:rPr>
                <w:bCs/>
                <w:noProof/>
                <w:color w:val="000000"/>
                <w:lang w:val="es-MX"/>
              </w:rPr>
              <w:t>944.715</w:t>
            </w:r>
          </w:p>
        </w:tc>
        <w:tc>
          <w:tcPr>
            <w:tcW w:w="3198" w:type="dxa"/>
            <w:vAlign w:val="center"/>
          </w:tcPr>
          <w:p w:rsidR="00000000" w:rsidRDefault="00000000">
            <w:pPr>
              <w:keepNext/>
              <w:keepLines/>
              <w:jc w:val="center"/>
              <w:rPr>
                <w:bCs/>
                <w:noProof/>
                <w:color w:val="000000"/>
                <w:lang w:val="es-MX"/>
              </w:rPr>
            </w:pPr>
            <w:r>
              <w:rPr>
                <w:bCs/>
                <w:noProof/>
                <w:color w:val="000000"/>
                <w:lang w:val="es-MX"/>
              </w:rPr>
              <w:t>476.508</w:t>
            </w:r>
          </w:p>
        </w:tc>
        <w:tc>
          <w:tcPr>
            <w:tcW w:w="2202" w:type="dxa"/>
            <w:vAlign w:val="center"/>
          </w:tcPr>
          <w:p w:rsidR="00000000" w:rsidRDefault="00000000">
            <w:pPr>
              <w:keepNext/>
              <w:keepLines/>
              <w:jc w:val="center"/>
              <w:rPr>
                <w:bCs/>
                <w:noProof/>
                <w:color w:val="000000"/>
                <w:lang w:val="es-MX"/>
              </w:rPr>
            </w:pPr>
            <w:r>
              <w:rPr>
                <w:bCs/>
                <w:noProof/>
                <w:color w:val="000000"/>
                <w:lang w:val="es-MX"/>
              </w:rPr>
              <w:t>52.576.504</w:t>
            </w:r>
          </w:p>
        </w:tc>
      </w:tr>
      <w:tr w:rsidR="00000000">
        <w:tblPrEx>
          <w:tblCellMar>
            <w:top w:w="0" w:type="dxa"/>
            <w:bottom w:w="0" w:type="dxa"/>
          </w:tblCellMar>
        </w:tblPrEx>
        <w:trPr>
          <w:jc w:val="center"/>
        </w:trPr>
        <w:tc>
          <w:tcPr>
            <w:tcW w:w="1041" w:type="dxa"/>
            <w:vAlign w:val="center"/>
          </w:tcPr>
          <w:p w:rsidR="00000000" w:rsidRDefault="00000000">
            <w:pPr>
              <w:keepNext/>
              <w:keepLines/>
              <w:jc w:val="center"/>
              <w:rPr>
                <w:bCs/>
                <w:noProof/>
                <w:color w:val="000000"/>
                <w:lang w:val="es-MX"/>
              </w:rPr>
            </w:pPr>
            <w:r>
              <w:rPr>
                <w:bCs/>
                <w:noProof/>
                <w:color w:val="000000"/>
                <w:lang w:val="es-MX"/>
              </w:rPr>
              <w:t>1999</w:t>
            </w:r>
          </w:p>
        </w:tc>
        <w:tc>
          <w:tcPr>
            <w:tcW w:w="2918" w:type="dxa"/>
            <w:vAlign w:val="center"/>
          </w:tcPr>
          <w:p w:rsidR="00000000" w:rsidRDefault="00000000">
            <w:pPr>
              <w:keepNext/>
              <w:keepLines/>
              <w:tabs>
                <w:tab w:val="decimal" w:pos="963"/>
              </w:tabs>
              <w:jc w:val="center"/>
              <w:rPr>
                <w:bCs/>
                <w:noProof/>
                <w:color w:val="000000"/>
                <w:lang w:val="es-MX"/>
              </w:rPr>
            </w:pPr>
            <w:r>
              <w:rPr>
                <w:bCs/>
                <w:noProof/>
                <w:color w:val="000000"/>
                <w:lang w:val="es-MX"/>
              </w:rPr>
              <w:t>985.393</w:t>
            </w:r>
          </w:p>
        </w:tc>
        <w:tc>
          <w:tcPr>
            <w:tcW w:w="3198" w:type="dxa"/>
            <w:vAlign w:val="center"/>
          </w:tcPr>
          <w:p w:rsidR="00000000" w:rsidRDefault="00000000">
            <w:pPr>
              <w:keepNext/>
              <w:keepLines/>
              <w:jc w:val="center"/>
              <w:rPr>
                <w:bCs/>
                <w:noProof/>
                <w:color w:val="000000"/>
                <w:lang w:val="es-MX"/>
              </w:rPr>
            </w:pPr>
            <w:r>
              <w:rPr>
                <w:bCs/>
                <w:noProof/>
                <w:color w:val="000000"/>
                <w:lang w:val="es-MX"/>
              </w:rPr>
              <w:t>451.659</w:t>
            </w:r>
          </w:p>
        </w:tc>
        <w:tc>
          <w:tcPr>
            <w:tcW w:w="2202" w:type="dxa"/>
            <w:vAlign w:val="center"/>
          </w:tcPr>
          <w:p w:rsidR="00000000" w:rsidRDefault="00000000">
            <w:pPr>
              <w:keepNext/>
              <w:keepLines/>
              <w:jc w:val="center"/>
              <w:rPr>
                <w:bCs/>
                <w:noProof/>
                <w:color w:val="000000"/>
                <w:lang w:val="es-MX"/>
              </w:rPr>
            </w:pPr>
            <w:r>
              <w:rPr>
                <w:bCs/>
                <w:noProof/>
                <w:color w:val="000000"/>
                <w:lang w:val="es-MX"/>
              </w:rPr>
              <w:t>55.361.192</w:t>
            </w:r>
          </w:p>
        </w:tc>
      </w:tr>
      <w:tr w:rsidR="00000000">
        <w:tblPrEx>
          <w:tblCellMar>
            <w:top w:w="0" w:type="dxa"/>
            <w:bottom w:w="0" w:type="dxa"/>
          </w:tblCellMar>
        </w:tblPrEx>
        <w:trPr>
          <w:jc w:val="center"/>
        </w:trPr>
        <w:tc>
          <w:tcPr>
            <w:tcW w:w="1041" w:type="dxa"/>
            <w:vAlign w:val="center"/>
          </w:tcPr>
          <w:p w:rsidR="00000000" w:rsidRDefault="00000000">
            <w:pPr>
              <w:keepNext/>
              <w:keepLines/>
              <w:jc w:val="center"/>
              <w:rPr>
                <w:bCs/>
                <w:noProof/>
                <w:color w:val="000000"/>
                <w:lang w:val="es-MX"/>
              </w:rPr>
            </w:pPr>
            <w:r>
              <w:rPr>
                <w:bCs/>
                <w:noProof/>
                <w:color w:val="000000"/>
                <w:lang w:val="es-MX"/>
              </w:rPr>
              <w:t>2000</w:t>
            </w:r>
          </w:p>
        </w:tc>
        <w:tc>
          <w:tcPr>
            <w:tcW w:w="2918" w:type="dxa"/>
            <w:vAlign w:val="center"/>
          </w:tcPr>
          <w:p w:rsidR="00000000" w:rsidRDefault="00000000">
            <w:pPr>
              <w:keepNext/>
              <w:keepLines/>
              <w:tabs>
                <w:tab w:val="decimal" w:pos="963"/>
              </w:tabs>
              <w:jc w:val="center"/>
              <w:rPr>
                <w:bCs/>
                <w:noProof/>
                <w:color w:val="000000"/>
                <w:lang w:val="es-MX"/>
              </w:rPr>
            </w:pPr>
            <w:r>
              <w:rPr>
                <w:bCs/>
                <w:noProof/>
                <w:color w:val="000000"/>
                <w:lang w:val="es-MX"/>
              </w:rPr>
              <w:t>1.016.320</w:t>
            </w:r>
          </w:p>
        </w:tc>
        <w:tc>
          <w:tcPr>
            <w:tcW w:w="3198" w:type="dxa"/>
            <w:vAlign w:val="center"/>
          </w:tcPr>
          <w:p w:rsidR="00000000" w:rsidRDefault="00000000">
            <w:pPr>
              <w:keepNext/>
              <w:keepLines/>
              <w:jc w:val="center"/>
              <w:rPr>
                <w:bCs/>
                <w:noProof/>
                <w:color w:val="000000"/>
                <w:lang w:val="es-MX"/>
              </w:rPr>
            </w:pPr>
            <w:r>
              <w:rPr>
                <w:bCs/>
                <w:noProof/>
                <w:color w:val="000000"/>
                <w:lang w:val="es-MX"/>
              </w:rPr>
              <w:t>464.142</w:t>
            </w:r>
          </w:p>
        </w:tc>
        <w:tc>
          <w:tcPr>
            <w:tcW w:w="2202" w:type="dxa"/>
            <w:vAlign w:val="center"/>
          </w:tcPr>
          <w:p w:rsidR="00000000" w:rsidRDefault="00000000">
            <w:pPr>
              <w:keepNext/>
              <w:keepLines/>
              <w:jc w:val="center"/>
              <w:rPr>
                <w:bCs/>
                <w:noProof/>
                <w:color w:val="000000"/>
                <w:lang w:val="es-MX"/>
              </w:rPr>
            </w:pPr>
            <w:r>
              <w:rPr>
                <w:bCs/>
                <w:noProof/>
                <w:color w:val="000000"/>
                <w:lang w:val="es-MX"/>
              </w:rPr>
              <w:t>59.409.864</w:t>
            </w:r>
          </w:p>
        </w:tc>
      </w:tr>
      <w:tr w:rsidR="00000000">
        <w:tblPrEx>
          <w:tblCellMar>
            <w:top w:w="0" w:type="dxa"/>
            <w:bottom w:w="0" w:type="dxa"/>
          </w:tblCellMar>
        </w:tblPrEx>
        <w:trPr>
          <w:jc w:val="center"/>
        </w:trPr>
        <w:tc>
          <w:tcPr>
            <w:tcW w:w="1041" w:type="dxa"/>
            <w:vAlign w:val="center"/>
          </w:tcPr>
          <w:p w:rsidR="00000000" w:rsidRDefault="00000000">
            <w:pPr>
              <w:keepNext/>
              <w:keepLines/>
              <w:jc w:val="center"/>
              <w:rPr>
                <w:bCs/>
                <w:noProof/>
                <w:color w:val="000000"/>
                <w:lang w:val="es-MX"/>
              </w:rPr>
            </w:pPr>
            <w:r>
              <w:rPr>
                <w:bCs/>
                <w:noProof/>
                <w:color w:val="000000"/>
                <w:lang w:val="es-MX"/>
              </w:rPr>
              <w:t>2001</w:t>
            </w:r>
          </w:p>
        </w:tc>
        <w:tc>
          <w:tcPr>
            <w:tcW w:w="2918" w:type="dxa"/>
            <w:vAlign w:val="center"/>
          </w:tcPr>
          <w:p w:rsidR="00000000" w:rsidRDefault="00000000">
            <w:pPr>
              <w:keepNext/>
              <w:keepLines/>
              <w:tabs>
                <w:tab w:val="decimal" w:pos="963"/>
              </w:tabs>
              <w:jc w:val="center"/>
              <w:rPr>
                <w:bCs/>
                <w:noProof/>
                <w:color w:val="000000"/>
                <w:lang w:val="es-MX"/>
              </w:rPr>
            </w:pPr>
            <w:r>
              <w:rPr>
                <w:bCs/>
                <w:noProof/>
                <w:color w:val="000000"/>
                <w:lang w:val="es-MX"/>
              </w:rPr>
              <w:t>1.039.906</w:t>
            </w:r>
          </w:p>
        </w:tc>
        <w:tc>
          <w:tcPr>
            <w:tcW w:w="3198" w:type="dxa"/>
            <w:vAlign w:val="center"/>
          </w:tcPr>
          <w:p w:rsidR="00000000" w:rsidRDefault="00000000">
            <w:pPr>
              <w:keepNext/>
              <w:keepLines/>
              <w:jc w:val="center"/>
              <w:rPr>
                <w:bCs/>
                <w:noProof/>
                <w:color w:val="000000"/>
                <w:lang w:val="es-MX"/>
              </w:rPr>
            </w:pPr>
            <w:r>
              <w:rPr>
                <w:bCs/>
                <w:noProof/>
                <w:color w:val="000000"/>
                <w:lang w:val="es-MX"/>
              </w:rPr>
              <w:t>470.132</w:t>
            </w:r>
          </w:p>
        </w:tc>
        <w:tc>
          <w:tcPr>
            <w:tcW w:w="2202" w:type="dxa"/>
            <w:vAlign w:val="center"/>
          </w:tcPr>
          <w:p w:rsidR="00000000" w:rsidRDefault="00000000">
            <w:pPr>
              <w:keepNext/>
              <w:keepLines/>
              <w:jc w:val="center"/>
              <w:rPr>
                <w:bCs/>
                <w:noProof/>
                <w:color w:val="000000"/>
                <w:lang w:val="es-MX"/>
              </w:rPr>
            </w:pPr>
            <w:r>
              <w:rPr>
                <w:bCs/>
                <w:noProof/>
                <w:color w:val="000000"/>
                <w:lang w:val="es-MX"/>
              </w:rPr>
              <w:t>60.585.263</w:t>
            </w:r>
          </w:p>
        </w:tc>
      </w:tr>
      <w:tr w:rsidR="00000000">
        <w:tblPrEx>
          <w:tblCellMar>
            <w:top w:w="0" w:type="dxa"/>
            <w:bottom w:w="0" w:type="dxa"/>
          </w:tblCellMar>
        </w:tblPrEx>
        <w:trPr>
          <w:jc w:val="center"/>
        </w:trPr>
        <w:tc>
          <w:tcPr>
            <w:tcW w:w="1041" w:type="dxa"/>
            <w:vAlign w:val="center"/>
          </w:tcPr>
          <w:p w:rsidR="00000000" w:rsidRDefault="00000000">
            <w:pPr>
              <w:keepNext/>
              <w:keepLines/>
              <w:jc w:val="center"/>
              <w:rPr>
                <w:bCs/>
                <w:noProof/>
                <w:color w:val="000000"/>
                <w:lang w:val="es-MX"/>
              </w:rPr>
            </w:pPr>
            <w:r>
              <w:rPr>
                <w:bCs/>
                <w:noProof/>
                <w:color w:val="000000"/>
                <w:lang w:val="es-MX"/>
              </w:rPr>
              <w:t>2002</w:t>
            </w:r>
          </w:p>
        </w:tc>
        <w:tc>
          <w:tcPr>
            <w:tcW w:w="2918" w:type="dxa"/>
            <w:vAlign w:val="center"/>
          </w:tcPr>
          <w:p w:rsidR="00000000" w:rsidRDefault="00000000">
            <w:pPr>
              <w:keepNext/>
              <w:keepLines/>
              <w:tabs>
                <w:tab w:val="decimal" w:pos="963"/>
              </w:tabs>
              <w:jc w:val="center"/>
              <w:rPr>
                <w:bCs/>
                <w:noProof/>
                <w:color w:val="000000"/>
                <w:lang w:val="es-MX"/>
              </w:rPr>
            </w:pPr>
            <w:r>
              <w:rPr>
                <w:bCs/>
                <w:noProof/>
                <w:color w:val="000000"/>
                <w:lang w:val="es-MX"/>
              </w:rPr>
              <w:t>1.020.849</w:t>
            </w:r>
          </w:p>
        </w:tc>
        <w:tc>
          <w:tcPr>
            <w:tcW w:w="3198" w:type="dxa"/>
            <w:vAlign w:val="center"/>
          </w:tcPr>
          <w:p w:rsidR="00000000" w:rsidRDefault="00000000">
            <w:pPr>
              <w:keepNext/>
              <w:keepLines/>
              <w:jc w:val="center"/>
              <w:rPr>
                <w:bCs/>
                <w:noProof/>
                <w:color w:val="000000"/>
                <w:lang w:val="es-MX"/>
              </w:rPr>
            </w:pPr>
            <w:r>
              <w:rPr>
                <w:bCs/>
                <w:noProof/>
                <w:color w:val="000000"/>
                <w:lang w:val="es-MX"/>
              </w:rPr>
              <w:t>463.824</w:t>
            </w:r>
          </w:p>
        </w:tc>
        <w:tc>
          <w:tcPr>
            <w:tcW w:w="2202" w:type="dxa"/>
            <w:vAlign w:val="center"/>
          </w:tcPr>
          <w:p w:rsidR="00000000" w:rsidRDefault="00000000">
            <w:pPr>
              <w:keepNext/>
              <w:keepLines/>
              <w:jc w:val="center"/>
              <w:rPr>
                <w:bCs/>
                <w:noProof/>
                <w:color w:val="000000"/>
                <w:lang w:val="es-MX"/>
              </w:rPr>
            </w:pPr>
            <w:r>
              <w:rPr>
                <w:bCs/>
                <w:noProof/>
                <w:color w:val="000000"/>
                <w:lang w:val="es-MX"/>
              </w:rPr>
              <w:t>64.743.100</w:t>
            </w:r>
          </w:p>
        </w:tc>
      </w:tr>
    </w:tbl>
    <w:p w:rsidR="00000000" w:rsidRDefault="00000000">
      <w:pPr>
        <w:spacing w:before="240" w:after="360"/>
        <w:rPr>
          <w:bCs/>
          <w:noProof/>
          <w:color w:val="000000"/>
          <w:lang w:val="es-MX"/>
        </w:rPr>
      </w:pPr>
      <w:r>
        <w:rPr>
          <w:bCs/>
          <w:i/>
          <w:iCs/>
          <w:noProof/>
          <w:color w:val="000000"/>
          <w:lang w:val="es-MX"/>
        </w:rPr>
        <w:t>Fuente</w:t>
      </w:r>
      <w:r>
        <w:rPr>
          <w:bCs/>
          <w:noProof/>
          <w:color w:val="000000"/>
          <w:lang w:val="es-MX"/>
        </w:rPr>
        <w:t>:  INP, 2003.</w:t>
      </w:r>
    </w:p>
    <w:p w:rsidR="00000000" w:rsidRDefault="00000000">
      <w:pPr>
        <w:spacing w:after="200"/>
        <w:jc w:val="center"/>
        <w:outlineLvl w:val="0"/>
        <w:rPr>
          <w:b/>
          <w:noProof/>
          <w:color w:val="000000"/>
          <w:sz w:val="20"/>
          <w:lang w:val="es-MX"/>
        </w:rPr>
      </w:pPr>
      <w:r>
        <w:rPr>
          <w:b/>
          <w:noProof/>
          <w:color w:val="000000"/>
          <w:sz w:val="20"/>
          <w:lang w:val="es-MX"/>
        </w:rPr>
        <w:t>Cuadro 23</w:t>
      </w:r>
    </w:p>
    <w:p w:rsidR="00000000" w:rsidRDefault="00000000">
      <w:pPr>
        <w:widowControl w:val="0"/>
        <w:spacing w:after="200"/>
        <w:jc w:val="center"/>
        <w:rPr>
          <w:b/>
          <w:noProof/>
          <w:color w:val="000000"/>
          <w:sz w:val="20"/>
          <w:lang w:val="es-MX"/>
        </w:rPr>
      </w:pPr>
      <w:r>
        <w:rPr>
          <w:b/>
          <w:noProof/>
          <w:color w:val="000000"/>
          <w:sz w:val="20"/>
          <w:lang w:val="es-MX"/>
        </w:rPr>
        <w:t>Subsidios Únicos Familiares (SUF)</w:t>
      </w:r>
      <w:r>
        <w:rPr>
          <w:b/>
          <w:noProof/>
          <w:color w:val="000000"/>
          <w:sz w:val="20"/>
          <w:vertAlign w:val="superscript"/>
          <w:lang w:val="es-MX"/>
        </w:rPr>
        <w:t>17</w:t>
      </w:r>
    </w:p>
    <w:p w:rsidR="00000000" w:rsidRDefault="00000000">
      <w:pPr>
        <w:pStyle w:val="Heading1"/>
        <w:keepNext w:val="0"/>
        <w:tabs>
          <w:tab w:val="clear" w:pos="4873"/>
        </w:tabs>
        <w:spacing w:after="200" w:line="240" w:lineRule="auto"/>
        <w:rPr>
          <w:bCs/>
          <w:lang w:val="es-ES"/>
        </w:rPr>
      </w:pPr>
      <w:r>
        <w:rPr>
          <w:b/>
          <w:sz w:val="20"/>
          <w:u w:val="none"/>
          <w:lang w:val="es-ES"/>
        </w:rPr>
        <w:t>Resumen del promedio mensual de causantes y monto pagado</w:t>
      </w:r>
    </w:p>
    <w:tbl>
      <w:tblPr>
        <w:tblW w:w="0" w:type="auto"/>
        <w:jc w:val="center"/>
        <w:tblBorders>
          <w:top w:val="single" w:sz="4" w:space="0" w:color="auto"/>
          <w:left w:val="single" w:sz="4" w:space="0" w:color="auto"/>
          <w:bottom w:val="single" w:sz="4" w:space="0" w:color="auto"/>
          <w:right w:val="single" w:sz="4" w:space="0" w:color="auto"/>
          <w:insideH w:val="single" w:sz="8" w:space="0" w:color="000000"/>
          <w:insideV w:val="single" w:sz="8" w:space="0" w:color="000000"/>
        </w:tblBorders>
        <w:tblLayout w:type="fixed"/>
        <w:tblCellMar>
          <w:left w:w="56" w:type="dxa"/>
          <w:right w:w="56" w:type="dxa"/>
        </w:tblCellMar>
        <w:tblLook w:val="0000" w:firstRow="0" w:lastRow="0" w:firstColumn="0" w:lastColumn="0" w:noHBand="0" w:noVBand="0"/>
      </w:tblPr>
      <w:tblGrid>
        <w:gridCol w:w="1009"/>
        <w:gridCol w:w="1022"/>
        <w:gridCol w:w="938"/>
        <w:gridCol w:w="1386"/>
        <w:gridCol w:w="1204"/>
        <w:gridCol w:w="1041"/>
        <w:gridCol w:w="1303"/>
        <w:gridCol w:w="1454"/>
      </w:tblGrid>
      <w:tr w:rsidR="00000000">
        <w:tblPrEx>
          <w:tblCellMar>
            <w:top w:w="0" w:type="dxa"/>
            <w:bottom w:w="0" w:type="dxa"/>
          </w:tblCellMar>
        </w:tblPrEx>
        <w:trPr>
          <w:jc w:val="center"/>
        </w:trPr>
        <w:tc>
          <w:tcPr>
            <w:tcW w:w="1009" w:type="dxa"/>
            <w:vAlign w:val="center"/>
          </w:tcPr>
          <w:p w:rsidR="00000000" w:rsidRDefault="00000000">
            <w:pPr>
              <w:widowControl w:val="0"/>
              <w:jc w:val="center"/>
              <w:rPr>
                <w:b/>
                <w:noProof/>
                <w:color w:val="000000"/>
                <w:sz w:val="20"/>
              </w:rPr>
            </w:pPr>
            <w:r>
              <w:rPr>
                <w:b/>
                <w:noProof/>
                <w:color w:val="000000"/>
                <w:sz w:val="20"/>
              </w:rPr>
              <w:t>Año</w:t>
            </w:r>
          </w:p>
        </w:tc>
        <w:tc>
          <w:tcPr>
            <w:tcW w:w="1022" w:type="dxa"/>
            <w:vAlign w:val="center"/>
          </w:tcPr>
          <w:p w:rsidR="00000000" w:rsidRDefault="00000000">
            <w:pPr>
              <w:widowControl w:val="0"/>
              <w:jc w:val="center"/>
              <w:rPr>
                <w:b/>
                <w:noProof/>
                <w:color w:val="000000"/>
                <w:sz w:val="20"/>
              </w:rPr>
            </w:pPr>
            <w:r>
              <w:rPr>
                <w:b/>
                <w:noProof/>
                <w:color w:val="000000"/>
                <w:sz w:val="20"/>
              </w:rPr>
              <w:t>&lt;15 años</w:t>
            </w:r>
          </w:p>
        </w:tc>
        <w:tc>
          <w:tcPr>
            <w:tcW w:w="938" w:type="dxa"/>
            <w:vAlign w:val="center"/>
          </w:tcPr>
          <w:p w:rsidR="00000000" w:rsidRDefault="00000000">
            <w:pPr>
              <w:widowControl w:val="0"/>
              <w:jc w:val="center"/>
              <w:rPr>
                <w:b/>
                <w:noProof/>
                <w:color w:val="000000"/>
                <w:sz w:val="20"/>
              </w:rPr>
            </w:pPr>
            <w:r>
              <w:rPr>
                <w:b/>
                <w:noProof/>
                <w:color w:val="000000"/>
                <w:sz w:val="20"/>
              </w:rPr>
              <w:t>Recién nacidos</w:t>
            </w:r>
          </w:p>
        </w:tc>
        <w:tc>
          <w:tcPr>
            <w:tcW w:w="1386" w:type="dxa"/>
            <w:vAlign w:val="center"/>
          </w:tcPr>
          <w:p w:rsidR="00000000" w:rsidRDefault="00000000">
            <w:pPr>
              <w:widowControl w:val="0"/>
              <w:jc w:val="center"/>
              <w:rPr>
                <w:b/>
                <w:noProof/>
                <w:color w:val="000000"/>
                <w:sz w:val="20"/>
              </w:rPr>
            </w:pPr>
            <w:r>
              <w:rPr>
                <w:b/>
                <w:noProof/>
                <w:color w:val="000000"/>
                <w:sz w:val="20"/>
              </w:rPr>
              <w:t>Embarazadas</w:t>
            </w:r>
          </w:p>
        </w:tc>
        <w:tc>
          <w:tcPr>
            <w:tcW w:w="1204" w:type="dxa"/>
            <w:vAlign w:val="center"/>
          </w:tcPr>
          <w:p w:rsidR="00000000" w:rsidRDefault="00000000">
            <w:pPr>
              <w:widowControl w:val="0"/>
              <w:jc w:val="center"/>
              <w:rPr>
                <w:b/>
                <w:noProof/>
                <w:color w:val="000000"/>
                <w:sz w:val="20"/>
              </w:rPr>
            </w:pPr>
            <w:r>
              <w:rPr>
                <w:b/>
                <w:noProof/>
                <w:color w:val="000000"/>
                <w:sz w:val="20"/>
              </w:rPr>
              <w:t>Madres</w:t>
            </w:r>
          </w:p>
        </w:tc>
        <w:tc>
          <w:tcPr>
            <w:tcW w:w="1041" w:type="dxa"/>
            <w:vAlign w:val="center"/>
          </w:tcPr>
          <w:p w:rsidR="00000000" w:rsidRDefault="00000000">
            <w:pPr>
              <w:widowControl w:val="0"/>
              <w:jc w:val="center"/>
              <w:rPr>
                <w:b/>
                <w:noProof/>
                <w:color w:val="000000"/>
                <w:sz w:val="20"/>
              </w:rPr>
            </w:pPr>
            <w:r>
              <w:rPr>
                <w:b/>
                <w:noProof/>
                <w:color w:val="000000"/>
                <w:sz w:val="20"/>
              </w:rPr>
              <w:t>Def. mentales</w:t>
            </w:r>
          </w:p>
        </w:tc>
        <w:tc>
          <w:tcPr>
            <w:tcW w:w="1303" w:type="dxa"/>
            <w:vAlign w:val="center"/>
          </w:tcPr>
          <w:p w:rsidR="00000000" w:rsidRDefault="00000000">
            <w:pPr>
              <w:widowControl w:val="0"/>
              <w:jc w:val="center"/>
              <w:rPr>
                <w:b/>
                <w:noProof/>
                <w:color w:val="000000"/>
                <w:sz w:val="20"/>
              </w:rPr>
            </w:pPr>
            <w:r>
              <w:rPr>
                <w:b/>
                <w:noProof/>
                <w:color w:val="000000"/>
                <w:sz w:val="20"/>
              </w:rPr>
              <w:t>Promedio mensual  de personas</w:t>
            </w:r>
          </w:p>
        </w:tc>
        <w:tc>
          <w:tcPr>
            <w:tcW w:w="1454" w:type="dxa"/>
            <w:vAlign w:val="center"/>
          </w:tcPr>
          <w:p w:rsidR="00000000" w:rsidRDefault="00000000">
            <w:pPr>
              <w:widowControl w:val="0"/>
              <w:jc w:val="center"/>
              <w:rPr>
                <w:b/>
                <w:noProof/>
                <w:color w:val="000000"/>
                <w:sz w:val="20"/>
              </w:rPr>
            </w:pPr>
            <w:r>
              <w:rPr>
                <w:b/>
                <w:noProof/>
                <w:color w:val="000000"/>
                <w:sz w:val="20"/>
              </w:rPr>
              <w:t>Monto emitido anual (dólares EE.UU.)</w:t>
            </w:r>
          </w:p>
        </w:tc>
      </w:tr>
      <w:tr w:rsidR="00000000">
        <w:tblPrEx>
          <w:tblCellMar>
            <w:top w:w="0" w:type="dxa"/>
            <w:bottom w:w="0" w:type="dxa"/>
          </w:tblCellMar>
        </w:tblPrEx>
        <w:trPr>
          <w:jc w:val="center"/>
        </w:trPr>
        <w:tc>
          <w:tcPr>
            <w:tcW w:w="1009" w:type="dxa"/>
            <w:vAlign w:val="center"/>
          </w:tcPr>
          <w:p w:rsidR="00000000" w:rsidRDefault="00000000">
            <w:pPr>
              <w:widowControl w:val="0"/>
              <w:rPr>
                <w:bCs/>
                <w:noProof/>
                <w:color w:val="000000"/>
                <w:sz w:val="20"/>
              </w:rPr>
            </w:pPr>
            <w:r>
              <w:rPr>
                <w:bCs/>
                <w:noProof/>
                <w:color w:val="000000"/>
                <w:sz w:val="20"/>
              </w:rPr>
              <w:t>1998</w:t>
            </w:r>
          </w:p>
        </w:tc>
        <w:tc>
          <w:tcPr>
            <w:tcW w:w="1022" w:type="dxa"/>
            <w:vAlign w:val="center"/>
          </w:tcPr>
          <w:p w:rsidR="00000000" w:rsidRDefault="00000000">
            <w:pPr>
              <w:widowControl w:val="0"/>
              <w:jc w:val="center"/>
              <w:rPr>
                <w:bCs/>
                <w:noProof/>
                <w:color w:val="000000"/>
                <w:sz w:val="20"/>
              </w:rPr>
            </w:pPr>
            <w:r>
              <w:rPr>
                <w:bCs/>
                <w:noProof/>
                <w:color w:val="000000"/>
                <w:sz w:val="20"/>
              </w:rPr>
              <w:t>720.831</w:t>
            </w:r>
          </w:p>
        </w:tc>
        <w:tc>
          <w:tcPr>
            <w:tcW w:w="938" w:type="dxa"/>
            <w:vAlign w:val="center"/>
          </w:tcPr>
          <w:p w:rsidR="00000000" w:rsidRDefault="00000000">
            <w:pPr>
              <w:tabs>
                <w:tab w:val="decimal" w:pos="672"/>
              </w:tabs>
              <w:rPr>
                <w:bCs/>
                <w:noProof/>
                <w:color w:val="000000"/>
                <w:sz w:val="20"/>
              </w:rPr>
            </w:pPr>
            <w:r>
              <w:rPr>
                <w:bCs/>
                <w:noProof/>
                <w:color w:val="000000"/>
                <w:sz w:val="20"/>
              </w:rPr>
              <w:t>1.155</w:t>
            </w:r>
          </w:p>
        </w:tc>
        <w:tc>
          <w:tcPr>
            <w:tcW w:w="1386" w:type="dxa"/>
            <w:vAlign w:val="center"/>
          </w:tcPr>
          <w:p w:rsidR="00000000" w:rsidRDefault="00000000">
            <w:pPr>
              <w:widowControl w:val="0"/>
              <w:jc w:val="center"/>
              <w:rPr>
                <w:bCs/>
                <w:noProof/>
                <w:color w:val="000000"/>
                <w:sz w:val="20"/>
              </w:rPr>
            </w:pPr>
            <w:r>
              <w:rPr>
                <w:bCs/>
                <w:noProof/>
                <w:color w:val="000000"/>
                <w:sz w:val="20"/>
              </w:rPr>
              <w:t>2.914</w:t>
            </w:r>
          </w:p>
        </w:tc>
        <w:tc>
          <w:tcPr>
            <w:tcW w:w="1204" w:type="dxa"/>
            <w:vAlign w:val="center"/>
          </w:tcPr>
          <w:p w:rsidR="00000000" w:rsidRDefault="00000000">
            <w:pPr>
              <w:widowControl w:val="0"/>
              <w:jc w:val="center"/>
              <w:rPr>
                <w:bCs/>
                <w:noProof/>
                <w:color w:val="000000"/>
                <w:sz w:val="20"/>
              </w:rPr>
            </w:pPr>
            <w:r>
              <w:rPr>
                <w:bCs/>
                <w:noProof/>
                <w:color w:val="000000"/>
                <w:sz w:val="20"/>
              </w:rPr>
              <w:t>109.873</w:t>
            </w:r>
          </w:p>
        </w:tc>
        <w:tc>
          <w:tcPr>
            <w:tcW w:w="1041" w:type="dxa"/>
            <w:vAlign w:val="center"/>
          </w:tcPr>
          <w:p w:rsidR="00000000" w:rsidRDefault="00000000">
            <w:pPr>
              <w:tabs>
                <w:tab w:val="decimal" w:pos="671"/>
              </w:tabs>
              <w:rPr>
                <w:bCs/>
                <w:noProof/>
                <w:color w:val="000000"/>
                <w:sz w:val="20"/>
              </w:rPr>
            </w:pPr>
            <w:r>
              <w:rPr>
                <w:bCs/>
                <w:noProof/>
                <w:color w:val="000000"/>
                <w:sz w:val="20"/>
              </w:rPr>
              <w:t>0</w:t>
            </w:r>
          </w:p>
        </w:tc>
        <w:tc>
          <w:tcPr>
            <w:tcW w:w="1303" w:type="dxa"/>
            <w:vAlign w:val="center"/>
          </w:tcPr>
          <w:p w:rsidR="00000000" w:rsidRDefault="00000000">
            <w:pPr>
              <w:widowControl w:val="0"/>
              <w:jc w:val="center"/>
              <w:rPr>
                <w:bCs/>
                <w:noProof/>
                <w:color w:val="000000"/>
                <w:sz w:val="20"/>
              </w:rPr>
            </w:pPr>
            <w:r>
              <w:rPr>
                <w:bCs/>
                <w:noProof/>
                <w:color w:val="000000"/>
                <w:sz w:val="20"/>
              </w:rPr>
              <w:t>834.773</w:t>
            </w:r>
          </w:p>
        </w:tc>
        <w:tc>
          <w:tcPr>
            <w:tcW w:w="1454" w:type="dxa"/>
            <w:vAlign w:val="center"/>
          </w:tcPr>
          <w:p w:rsidR="00000000" w:rsidRDefault="00000000">
            <w:pPr>
              <w:widowControl w:val="0"/>
              <w:jc w:val="center"/>
              <w:rPr>
                <w:bCs/>
                <w:noProof/>
                <w:color w:val="000000"/>
                <w:sz w:val="20"/>
              </w:rPr>
            </w:pPr>
            <w:r>
              <w:rPr>
                <w:bCs/>
                <w:noProof/>
                <w:color w:val="000000"/>
                <w:sz w:val="20"/>
              </w:rPr>
              <w:t>57.722.875</w:t>
            </w:r>
          </w:p>
        </w:tc>
      </w:tr>
      <w:tr w:rsidR="00000000">
        <w:tblPrEx>
          <w:tblCellMar>
            <w:top w:w="0" w:type="dxa"/>
            <w:bottom w:w="0" w:type="dxa"/>
          </w:tblCellMar>
        </w:tblPrEx>
        <w:trPr>
          <w:jc w:val="center"/>
        </w:trPr>
        <w:tc>
          <w:tcPr>
            <w:tcW w:w="1009" w:type="dxa"/>
            <w:vAlign w:val="center"/>
          </w:tcPr>
          <w:p w:rsidR="00000000" w:rsidRDefault="00000000">
            <w:pPr>
              <w:widowControl w:val="0"/>
              <w:rPr>
                <w:bCs/>
                <w:noProof/>
                <w:color w:val="000000"/>
                <w:sz w:val="20"/>
              </w:rPr>
            </w:pPr>
            <w:r>
              <w:rPr>
                <w:bCs/>
                <w:noProof/>
                <w:color w:val="000000"/>
                <w:sz w:val="20"/>
              </w:rPr>
              <w:t>1999</w:t>
            </w:r>
          </w:p>
        </w:tc>
        <w:tc>
          <w:tcPr>
            <w:tcW w:w="1022" w:type="dxa"/>
            <w:vAlign w:val="center"/>
          </w:tcPr>
          <w:p w:rsidR="00000000" w:rsidRDefault="00000000">
            <w:pPr>
              <w:widowControl w:val="0"/>
              <w:jc w:val="center"/>
              <w:rPr>
                <w:bCs/>
                <w:noProof/>
                <w:color w:val="000000"/>
                <w:sz w:val="20"/>
              </w:rPr>
            </w:pPr>
            <w:r>
              <w:rPr>
                <w:bCs/>
                <w:noProof/>
                <w:color w:val="000000"/>
                <w:sz w:val="20"/>
              </w:rPr>
              <w:t>788.087</w:t>
            </w:r>
          </w:p>
        </w:tc>
        <w:tc>
          <w:tcPr>
            <w:tcW w:w="938" w:type="dxa"/>
            <w:vAlign w:val="center"/>
          </w:tcPr>
          <w:p w:rsidR="00000000" w:rsidRDefault="00000000">
            <w:pPr>
              <w:tabs>
                <w:tab w:val="decimal" w:pos="672"/>
              </w:tabs>
              <w:rPr>
                <w:bCs/>
                <w:noProof/>
                <w:color w:val="000000"/>
                <w:sz w:val="20"/>
              </w:rPr>
            </w:pPr>
            <w:r>
              <w:rPr>
                <w:bCs/>
                <w:noProof/>
                <w:color w:val="000000"/>
                <w:sz w:val="20"/>
              </w:rPr>
              <w:t>0</w:t>
            </w:r>
          </w:p>
        </w:tc>
        <w:tc>
          <w:tcPr>
            <w:tcW w:w="1386" w:type="dxa"/>
            <w:vAlign w:val="center"/>
          </w:tcPr>
          <w:p w:rsidR="00000000" w:rsidRDefault="00000000">
            <w:pPr>
              <w:widowControl w:val="0"/>
              <w:jc w:val="center"/>
              <w:rPr>
                <w:bCs/>
                <w:noProof/>
                <w:color w:val="000000"/>
                <w:sz w:val="20"/>
              </w:rPr>
            </w:pPr>
            <w:r>
              <w:rPr>
                <w:bCs/>
                <w:noProof/>
                <w:color w:val="000000"/>
                <w:sz w:val="20"/>
              </w:rPr>
              <w:t>1.203</w:t>
            </w:r>
          </w:p>
        </w:tc>
        <w:tc>
          <w:tcPr>
            <w:tcW w:w="1204" w:type="dxa"/>
            <w:vAlign w:val="center"/>
          </w:tcPr>
          <w:p w:rsidR="00000000" w:rsidRDefault="00000000">
            <w:pPr>
              <w:widowControl w:val="0"/>
              <w:jc w:val="center"/>
              <w:rPr>
                <w:bCs/>
                <w:noProof/>
                <w:color w:val="000000"/>
                <w:sz w:val="20"/>
              </w:rPr>
            </w:pPr>
            <w:r>
              <w:rPr>
                <w:bCs/>
                <w:noProof/>
                <w:color w:val="000000"/>
                <w:sz w:val="20"/>
              </w:rPr>
              <w:t>115.328</w:t>
            </w:r>
          </w:p>
        </w:tc>
        <w:tc>
          <w:tcPr>
            <w:tcW w:w="1041" w:type="dxa"/>
            <w:vAlign w:val="center"/>
          </w:tcPr>
          <w:p w:rsidR="00000000" w:rsidRDefault="00000000">
            <w:pPr>
              <w:tabs>
                <w:tab w:val="decimal" w:pos="671"/>
              </w:tabs>
              <w:rPr>
                <w:bCs/>
                <w:noProof/>
                <w:color w:val="000000"/>
                <w:sz w:val="20"/>
              </w:rPr>
            </w:pPr>
            <w:r>
              <w:rPr>
                <w:bCs/>
                <w:noProof/>
                <w:color w:val="000000"/>
                <w:sz w:val="20"/>
              </w:rPr>
              <w:t>662</w:t>
            </w:r>
          </w:p>
        </w:tc>
        <w:tc>
          <w:tcPr>
            <w:tcW w:w="1303" w:type="dxa"/>
            <w:vAlign w:val="center"/>
          </w:tcPr>
          <w:p w:rsidR="00000000" w:rsidRDefault="00000000">
            <w:pPr>
              <w:widowControl w:val="0"/>
              <w:jc w:val="center"/>
              <w:rPr>
                <w:bCs/>
                <w:noProof/>
                <w:color w:val="000000"/>
                <w:sz w:val="20"/>
              </w:rPr>
            </w:pPr>
            <w:r>
              <w:rPr>
                <w:bCs/>
                <w:noProof/>
                <w:color w:val="000000"/>
                <w:sz w:val="20"/>
              </w:rPr>
              <w:t>905.280</w:t>
            </w:r>
          </w:p>
        </w:tc>
        <w:tc>
          <w:tcPr>
            <w:tcW w:w="1454" w:type="dxa"/>
            <w:vAlign w:val="center"/>
          </w:tcPr>
          <w:p w:rsidR="00000000" w:rsidRDefault="00000000">
            <w:pPr>
              <w:widowControl w:val="0"/>
              <w:jc w:val="center"/>
              <w:rPr>
                <w:bCs/>
                <w:noProof/>
                <w:color w:val="000000"/>
                <w:sz w:val="20"/>
              </w:rPr>
            </w:pPr>
            <w:r>
              <w:rPr>
                <w:bCs/>
                <w:noProof/>
                <w:color w:val="000000"/>
                <w:sz w:val="20"/>
              </w:rPr>
              <w:t>58.457.033</w:t>
            </w:r>
          </w:p>
        </w:tc>
      </w:tr>
      <w:tr w:rsidR="00000000">
        <w:tblPrEx>
          <w:tblCellMar>
            <w:top w:w="0" w:type="dxa"/>
            <w:bottom w:w="0" w:type="dxa"/>
          </w:tblCellMar>
        </w:tblPrEx>
        <w:trPr>
          <w:jc w:val="center"/>
        </w:trPr>
        <w:tc>
          <w:tcPr>
            <w:tcW w:w="1009" w:type="dxa"/>
            <w:vAlign w:val="center"/>
          </w:tcPr>
          <w:p w:rsidR="00000000" w:rsidRDefault="00000000">
            <w:pPr>
              <w:widowControl w:val="0"/>
              <w:rPr>
                <w:bCs/>
                <w:noProof/>
                <w:color w:val="000000"/>
                <w:sz w:val="20"/>
              </w:rPr>
            </w:pPr>
            <w:r>
              <w:rPr>
                <w:bCs/>
                <w:noProof/>
                <w:color w:val="000000"/>
                <w:sz w:val="20"/>
              </w:rPr>
              <w:t>2000</w:t>
            </w:r>
          </w:p>
        </w:tc>
        <w:tc>
          <w:tcPr>
            <w:tcW w:w="1022" w:type="dxa"/>
            <w:vAlign w:val="center"/>
          </w:tcPr>
          <w:p w:rsidR="00000000" w:rsidRDefault="00000000">
            <w:pPr>
              <w:widowControl w:val="0"/>
              <w:jc w:val="center"/>
              <w:rPr>
                <w:bCs/>
                <w:noProof/>
                <w:color w:val="000000"/>
                <w:sz w:val="20"/>
              </w:rPr>
            </w:pPr>
            <w:r>
              <w:rPr>
                <w:bCs/>
                <w:noProof/>
                <w:color w:val="000000"/>
                <w:sz w:val="20"/>
              </w:rPr>
              <w:t>759.299</w:t>
            </w:r>
          </w:p>
        </w:tc>
        <w:tc>
          <w:tcPr>
            <w:tcW w:w="938" w:type="dxa"/>
            <w:vAlign w:val="center"/>
          </w:tcPr>
          <w:p w:rsidR="00000000" w:rsidRDefault="00000000">
            <w:pPr>
              <w:tabs>
                <w:tab w:val="decimal" w:pos="672"/>
              </w:tabs>
              <w:rPr>
                <w:bCs/>
                <w:noProof/>
                <w:color w:val="000000"/>
                <w:sz w:val="20"/>
              </w:rPr>
            </w:pPr>
            <w:r>
              <w:rPr>
                <w:bCs/>
                <w:noProof/>
                <w:color w:val="000000"/>
                <w:sz w:val="20"/>
              </w:rPr>
              <w:t>0</w:t>
            </w:r>
          </w:p>
        </w:tc>
        <w:tc>
          <w:tcPr>
            <w:tcW w:w="1386" w:type="dxa"/>
            <w:vAlign w:val="center"/>
          </w:tcPr>
          <w:p w:rsidR="00000000" w:rsidRDefault="00000000">
            <w:pPr>
              <w:widowControl w:val="0"/>
              <w:jc w:val="center"/>
              <w:rPr>
                <w:bCs/>
                <w:noProof/>
                <w:color w:val="000000"/>
                <w:sz w:val="20"/>
              </w:rPr>
            </w:pPr>
            <w:r>
              <w:rPr>
                <w:bCs/>
                <w:noProof/>
                <w:color w:val="000000"/>
                <w:sz w:val="20"/>
              </w:rPr>
              <w:t>1.969</w:t>
            </w:r>
          </w:p>
        </w:tc>
        <w:tc>
          <w:tcPr>
            <w:tcW w:w="1204" w:type="dxa"/>
            <w:vAlign w:val="center"/>
          </w:tcPr>
          <w:p w:rsidR="00000000" w:rsidRDefault="00000000">
            <w:pPr>
              <w:widowControl w:val="0"/>
              <w:jc w:val="center"/>
              <w:rPr>
                <w:bCs/>
                <w:noProof/>
                <w:color w:val="000000"/>
                <w:sz w:val="20"/>
              </w:rPr>
            </w:pPr>
            <w:r>
              <w:rPr>
                <w:bCs/>
                <w:noProof/>
                <w:color w:val="000000"/>
                <w:sz w:val="20"/>
              </w:rPr>
              <w:t>109.892</w:t>
            </w:r>
          </w:p>
        </w:tc>
        <w:tc>
          <w:tcPr>
            <w:tcW w:w="1041" w:type="dxa"/>
            <w:vAlign w:val="center"/>
          </w:tcPr>
          <w:p w:rsidR="00000000" w:rsidRDefault="00000000">
            <w:pPr>
              <w:tabs>
                <w:tab w:val="decimal" w:pos="671"/>
              </w:tabs>
              <w:rPr>
                <w:bCs/>
                <w:noProof/>
                <w:color w:val="000000"/>
                <w:sz w:val="20"/>
              </w:rPr>
            </w:pPr>
            <w:r>
              <w:rPr>
                <w:bCs/>
                <w:noProof/>
                <w:color w:val="000000"/>
                <w:sz w:val="20"/>
              </w:rPr>
              <w:t>846</w:t>
            </w:r>
          </w:p>
        </w:tc>
        <w:tc>
          <w:tcPr>
            <w:tcW w:w="1303" w:type="dxa"/>
            <w:vAlign w:val="center"/>
          </w:tcPr>
          <w:p w:rsidR="00000000" w:rsidRDefault="00000000">
            <w:pPr>
              <w:widowControl w:val="0"/>
              <w:jc w:val="center"/>
              <w:rPr>
                <w:bCs/>
                <w:noProof/>
                <w:color w:val="000000"/>
                <w:sz w:val="20"/>
              </w:rPr>
            </w:pPr>
            <w:r>
              <w:rPr>
                <w:bCs/>
                <w:noProof/>
                <w:color w:val="000000"/>
                <w:sz w:val="20"/>
              </w:rPr>
              <w:t>872.006</w:t>
            </w:r>
          </w:p>
        </w:tc>
        <w:tc>
          <w:tcPr>
            <w:tcW w:w="1454" w:type="dxa"/>
            <w:vAlign w:val="center"/>
          </w:tcPr>
          <w:p w:rsidR="00000000" w:rsidRDefault="00000000">
            <w:pPr>
              <w:widowControl w:val="0"/>
              <w:jc w:val="center"/>
              <w:rPr>
                <w:bCs/>
                <w:noProof/>
                <w:color w:val="000000"/>
                <w:sz w:val="20"/>
              </w:rPr>
            </w:pPr>
            <w:r>
              <w:rPr>
                <w:bCs/>
                <w:noProof/>
                <w:color w:val="000000"/>
                <w:sz w:val="20"/>
              </w:rPr>
              <w:t>63.798.740</w:t>
            </w:r>
          </w:p>
        </w:tc>
      </w:tr>
      <w:tr w:rsidR="00000000">
        <w:tblPrEx>
          <w:tblCellMar>
            <w:top w:w="0" w:type="dxa"/>
            <w:bottom w:w="0" w:type="dxa"/>
          </w:tblCellMar>
        </w:tblPrEx>
        <w:trPr>
          <w:jc w:val="center"/>
        </w:trPr>
        <w:tc>
          <w:tcPr>
            <w:tcW w:w="1009" w:type="dxa"/>
            <w:vAlign w:val="center"/>
          </w:tcPr>
          <w:p w:rsidR="00000000" w:rsidRDefault="00000000">
            <w:pPr>
              <w:rPr>
                <w:bCs/>
                <w:noProof/>
                <w:color w:val="000000"/>
                <w:sz w:val="20"/>
              </w:rPr>
            </w:pPr>
            <w:r>
              <w:rPr>
                <w:bCs/>
                <w:noProof/>
                <w:color w:val="000000"/>
                <w:sz w:val="20"/>
              </w:rPr>
              <w:t>2001</w:t>
            </w:r>
          </w:p>
        </w:tc>
        <w:tc>
          <w:tcPr>
            <w:tcW w:w="1022" w:type="dxa"/>
            <w:vAlign w:val="center"/>
          </w:tcPr>
          <w:p w:rsidR="00000000" w:rsidRDefault="00000000">
            <w:pPr>
              <w:jc w:val="center"/>
              <w:rPr>
                <w:bCs/>
                <w:noProof/>
                <w:color w:val="000000"/>
                <w:sz w:val="20"/>
              </w:rPr>
            </w:pPr>
            <w:r>
              <w:rPr>
                <w:bCs/>
                <w:noProof/>
                <w:color w:val="000000"/>
                <w:sz w:val="20"/>
              </w:rPr>
              <w:t>759.414</w:t>
            </w:r>
          </w:p>
        </w:tc>
        <w:tc>
          <w:tcPr>
            <w:tcW w:w="938" w:type="dxa"/>
            <w:vAlign w:val="center"/>
          </w:tcPr>
          <w:p w:rsidR="00000000" w:rsidRDefault="00000000">
            <w:pPr>
              <w:tabs>
                <w:tab w:val="decimal" w:pos="672"/>
              </w:tabs>
              <w:rPr>
                <w:bCs/>
                <w:noProof/>
                <w:color w:val="000000"/>
                <w:sz w:val="20"/>
              </w:rPr>
            </w:pPr>
            <w:r>
              <w:rPr>
                <w:bCs/>
                <w:noProof/>
                <w:color w:val="000000"/>
                <w:sz w:val="20"/>
              </w:rPr>
              <w:t>0</w:t>
            </w:r>
          </w:p>
        </w:tc>
        <w:tc>
          <w:tcPr>
            <w:tcW w:w="1386" w:type="dxa"/>
            <w:vAlign w:val="center"/>
          </w:tcPr>
          <w:p w:rsidR="00000000" w:rsidRDefault="00000000">
            <w:pPr>
              <w:jc w:val="center"/>
              <w:rPr>
                <w:bCs/>
                <w:noProof/>
                <w:color w:val="000000"/>
                <w:sz w:val="20"/>
              </w:rPr>
            </w:pPr>
            <w:r>
              <w:rPr>
                <w:bCs/>
                <w:noProof/>
                <w:color w:val="000000"/>
                <w:sz w:val="20"/>
              </w:rPr>
              <w:t>1.814</w:t>
            </w:r>
          </w:p>
        </w:tc>
        <w:tc>
          <w:tcPr>
            <w:tcW w:w="1204" w:type="dxa"/>
            <w:vAlign w:val="center"/>
          </w:tcPr>
          <w:p w:rsidR="00000000" w:rsidRDefault="00000000">
            <w:pPr>
              <w:jc w:val="center"/>
              <w:rPr>
                <w:bCs/>
                <w:noProof/>
                <w:color w:val="000000"/>
                <w:sz w:val="20"/>
              </w:rPr>
            </w:pPr>
            <w:r>
              <w:rPr>
                <w:bCs/>
                <w:noProof/>
                <w:color w:val="000000"/>
                <w:sz w:val="20"/>
              </w:rPr>
              <w:t>125.050</w:t>
            </w:r>
          </w:p>
        </w:tc>
        <w:tc>
          <w:tcPr>
            <w:tcW w:w="1041" w:type="dxa"/>
            <w:vAlign w:val="center"/>
          </w:tcPr>
          <w:p w:rsidR="00000000" w:rsidRDefault="00000000">
            <w:pPr>
              <w:tabs>
                <w:tab w:val="decimal" w:pos="671"/>
              </w:tabs>
              <w:rPr>
                <w:bCs/>
                <w:noProof/>
                <w:color w:val="000000"/>
                <w:sz w:val="20"/>
              </w:rPr>
            </w:pPr>
            <w:r>
              <w:rPr>
                <w:bCs/>
                <w:noProof/>
                <w:color w:val="000000"/>
                <w:sz w:val="20"/>
              </w:rPr>
              <w:t>1.310</w:t>
            </w:r>
          </w:p>
        </w:tc>
        <w:tc>
          <w:tcPr>
            <w:tcW w:w="1303" w:type="dxa"/>
            <w:vAlign w:val="center"/>
          </w:tcPr>
          <w:p w:rsidR="00000000" w:rsidRDefault="00000000">
            <w:pPr>
              <w:jc w:val="center"/>
              <w:rPr>
                <w:bCs/>
                <w:noProof/>
                <w:color w:val="000000"/>
                <w:sz w:val="20"/>
              </w:rPr>
            </w:pPr>
            <w:r>
              <w:rPr>
                <w:bCs/>
                <w:noProof/>
                <w:color w:val="000000"/>
                <w:sz w:val="20"/>
              </w:rPr>
              <w:t>887.588</w:t>
            </w:r>
          </w:p>
        </w:tc>
        <w:tc>
          <w:tcPr>
            <w:tcW w:w="1454" w:type="dxa"/>
            <w:vAlign w:val="center"/>
          </w:tcPr>
          <w:p w:rsidR="00000000" w:rsidRDefault="00000000">
            <w:pPr>
              <w:jc w:val="center"/>
              <w:rPr>
                <w:bCs/>
                <w:noProof/>
                <w:color w:val="000000"/>
                <w:sz w:val="20"/>
              </w:rPr>
            </w:pPr>
            <w:r>
              <w:rPr>
                <w:bCs/>
                <w:noProof/>
                <w:color w:val="000000"/>
                <w:sz w:val="20"/>
              </w:rPr>
              <w:t>66.234.116</w:t>
            </w:r>
          </w:p>
        </w:tc>
      </w:tr>
      <w:tr w:rsidR="00000000">
        <w:tblPrEx>
          <w:tblCellMar>
            <w:top w:w="0" w:type="dxa"/>
            <w:bottom w:w="0" w:type="dxa"/>
          </w:tblCellMar>
        </w:tblPrEx>
        <w:trPr>
          <w:jc w:val="center"/>
        </w:trPr>
        <w:tc>
          <w:tcPr>
            <w:tcW w:w="1009" w:type="dxa"/>
            <w:vAlign w:val="center"/>
          </w:tcPr>
          <w:p w:rsidR="00000000" w:rsidRDefault="00000000">
            <w:pPr>
              <w:rPr>
                <w:bCs/>
                <w:noProof/>
                <w:color w:val="000000"/>
                <w:sz w:val="20"/>
              </w:rPr>
            </w:pPr>
            <w:r>
              <w:rPr>
                <w:bCs/>
                <w:noProof/>
                <w:color w:val="000000"/>
                <w:sz w:val="20"/>
              </w:rPr>
              <w:t>2002</w:t>
            </w:r>
          </w:p>
        </w:tc>
        <w:tc>
          <w:tcPr>
            <w:tcW w:w="1022" w:type="dxa"/>
            <w:vAlign w:val="center"/>
          </w:tcPr>
          <w:p w:rsidR="00000000" w:rsidRDefault="00000000">
            <w:pPr>
              <w:jc w:val="center"/>
              <w:rPr>
                <w:bCs/>
                <w:noProof/>
                <w:color w:val="000000"/>
                <w:sz w:val="20"/>
              </w:rPr>
            </w:pPr>
            <w:r>
              <w:rPr>
                <w:bCs/>
                <w:noProof/>
                <w:color w:val="000000"/>
                <w:sz w:val="20"/>
              </w:rPr>
              <w:t>779.950</w:t>
            </w:r>
          </w:p>
        </w:tc>
        <w:tc>
          <w:tcPr>
            <w:tcW w:w="938" w:type="dxa"/>
            <w:vAlign w:val="center"/>
          </w:tcPr>
          <w:p w:rsidR="00000000" w:rsidRDefault="00000000">
            <w:pPr>
              <w:tabs>
                <w:tab w:val="decimal" w:pos="672"/>
              </w:tabs>
              <w:rPr>
                <w:bCs/>
                <w:noProof/>
                <w:color w:val="000000"/>
                <w:sz w:val="20"/>
              </w:rPr>
            </w:pPr>
            <w:r>
              <w:rPr>
                <w:bCs/>
                <w:noProof/>
                <w:color w:val="000000"/>
                <w:sz w:val="20"/>
              </w:rPr>
              <w:t>768</w:t>
            </w:r>
          </w:p>
        </w:tc>
        <w:tc>
          <w:tcPr>
            <w:tcW w:w="1386" w:type="dxa"/>
            <w:vAlign w:val="center"/>
          </w:tcPr>
          <w:p w:rsidR="00000000" w:rsidRDefault="00000000">
            <w:pPr>
              <w:jc w:val="center"/>
              <w:rPr>
                <w:bCs/>
                <w:noProof/>
                <w:color w:val="000000"/>
                <w:sz w:val="20"/>
              </w:rPr>
            </w:pPr>
            <w:r>
              <w:rPr>
                <w:bCs/>
                <w:noProof/>
                <w:color w:val="000000"/>
                <w:sz w:val="20"/>
              </w:rPr>
              <w:t>1.860</w:t>
            </w:r>
          </w:p>
        </w:tc>
        <w:tc>
          <w:tcPr>
            <w:tcW w:w="1204" w:type="dxa"/>
            <w:vAlign w:val="center"/>
          </w:tcPr>
          <w:p w:rsidR="00000000" w:rsidRDefault="00000000">
            <w:pPr>
              <w:jc w:val="center"/>
              <w:rPr>
                <w:bCs/>
                <w:noProof/>
                <w:color w:val="000000"/>
                <w:sz w:val="20"/>
              </w:rPr>
            </w:pPr>
            <w:r>
              <w:rPr>
                <w:bCs/>
                <w:noProof/>
                <w:color w:val="000000"/>
                <w:sz w:val="20"/>
              </w:rPr>
              <w:t>150.012</w:t>
            </w:r>
          </w:p>
        </w:tc>
        <w:tc>
          <w:tcPr>
            <w:tcW w:w="1041" w:type="dxa"/>
            <w:vAlign w:val="center"/>
          </w:tcPr>
          <w:p w:rsidR="00000000" w:rsidRDefault="00000000">
            <w:pPr>
              <w:tabs>
                <w:tab w:val="decimal" w:pos="671"/>
              </w:tabs>
              <w:rPr>
                <w:bCs/>
                <w:noProof/>
                <w:color w:val="000000"/>
                <w:sz w:val="20"/>
              </w:rPr>
            </w:pPr>
            <w:r>
              <w:rPr>
                <w:bCs/>
                <w:noProof/>
                <w:color w:val="000000"/>
                <w:sz w:val="20"/>
              </w:rPr>
              <w:t>1.541</w:t>
            </w:r>
          </w:p>
        </w:tc>
        <w:tc>
          <w:tcPr>
            <w:tcW w:w="1303" w:type="dxa"/>
            <w:vAlign w:val="center"/>
          </w:tcPr>
          <w:p w:rsidR="00000000" w:rsidRDefault="00000000">
            <w:pPr>
              <w:jc w:val="center"/>
              <w:rPr>
                <w:bCs/>
                <w:noProof/>
                <w:color w:val="000000"/>
                <w:sz w:val="20"/>
              </w:rPr>
            </w:pPr>
            <w:r>
              <w:rPr>
                <w:bCs/>
                <w:noProof/>
                <w:color w:val="000000"/>
                <w:sz w:val="20"/>
              </w:rPr>
              <w:t>934.131</w:t>
            </w:r>
          </w:p>
        </w:tc>
        <w:tc>
          <w:tcPr>
            <w:tcW w:w="1454" w:type="dxa"/>
            <w:vAlign w:val="center"/>
          </w:tcPr>
          <w:p w:rsidR="00000000" w:rsidRDefault="00000000">
            <w:pPr>
              <w:jc w:val="center"/>
              <w:rPr>
                <w:bCs/>
                <w:noProof/>
                <w:color w:val="000000"/>
                <w:sz w:val="20"/>
              </w:rPr>
            </w:pPr>
            <w:r>
              <w:rPr>
                <w:bCs/>
                <w:noProof/>
                <w:color w:val="000000"/>
                <w:sz w:val="20"/>
              </w:rPr>
              <w:t>71.551.361</w:t>
            </w:r>
          </w:p>
        </w:tc>
      </w:tr>
      <w:tr w:rsidR="00000000">
        <w:tblPrEx>
          <w:tblCellMar>
            <w:top w:w="0" w:type="dxa"/>
            <w:bottom w:w="0" w:type="dxa"/>
          </w:tblCellMar>
        </w:tblPrEx>
        <w:trPr>
          <w:jc w:val="center"/>
        </w:trPr>
        <w:tc>
          <w:tcPr>
            <w:tcW w:w="1009" w:type="dxa"/>
            <w:vAlign w:val="center"/>
          </w:tcPr>
          <w:p w:rsidR="00000000" w:rsidRDefault="00000000">
            <w:pPr>
              <w:rPr>
                <w:bCs/>
                <w:noProof/>
                <w:color w:val="000000"/>
                <w:sz w:val="20"/>
              </w:rPr>
            </w:pPr>
            <w:r>
              <w:rPr>
                <w:bCs/>
                <w:noProof/>
                <w:color w:val="000000"/>
                <w:sz w:val="20"/>
              </w:rPr>
              <w:t>Junio 2003</w:t>
            </w:r>
          </w:p>
        </w:tc>
        <w:tc>
          <w:tcPr>
            <w:tcW w:w="1022" w:type="dxa"/>
            <w:vAlign w:val="center"/>
          </w:tcPr>
          <w:p w:rsidR="00000000" w:rsidRDefault="00000000">
            <w:pPr>
              <w:jc w:val="center"/>
              <w:rPr>
                <w:bCs/>
                <w:noProof/>
                <w:color w:val="000000"/>
                <w:sz w:val="20"/>
              </w:rPr>
            </w:pPr>
            <w:r>
              <w:rPr>
                <w:bCs/>
                <w:noProof/>
                <w:color w:val="000000"/>
                <w:sz w:val="20"/>
              </w:rPr>
              <w:t>763.636</w:t>
            </w:r>
          </w:p>
        </w:tc>
        <w:tc>
          <w:tcPr>
            <w:tcW w:w="938" w:type="dxa"/>
            <w:vAlign w:val="center"/>
          </w:tcPr>
          <w:p w:rsidR="00000000" w:rsidRDefault="00000000">
            <w:pPr>
              <w:tabs>
                <w:tab w:val="decimal" w:pos="672"/>
              </w:tabs>
              <w:rPr>
                <w:bCs/>
                <w:noProof/>
                <w:color w:val="000000"/>
                <w:sz w:val="20"/>
              </w:rPr>
            </w:pPr>
            <w:r>
              <w:rPr>
                <w:bCs/>
                <w:noProof/>
                <w:color w:val="000000"/>
                <w:sz w:val="20"/>
              </w:rPr>
              <w:t>703</w:t>
            </w:r>
          </w:p>
        </w:tc>
        <w:tc>
          <w:tcPr>
            <w:tcW w:w="1386" w:type="dxa"/>
            <w:vAlign w:val="center"/>
          </w:tcPr>
          <w:p w:rsidR="00000000" w:rsidRDefault="00000000">
            <w:pPr>
              <w:jc w:val="center"/>
              <w:rPr>
                <w:bCs/>
                <w:noProof/>
                <w:color w:val="000000"/>
                <w:sz w:val="20"/>
              </w:rPr>
            </w:pPr>
            <w:r>
              <w:rPr>
                <w:bCs/>
                <w:noProof/>
                <w:color w:val="000000"/>
                <w:sz w:val="20"/>
              </w:rPr>
              <w:t>1.206</w:t>
            </w:r>
          </w:p>
        </w:tc>
        <w:tc>
          <w:tcPr>
            <w:tcW w:w="1204" w:type="dxa"/>
            <w:vAlign w:val="center"/>
          </w:tcPr>
          <w:p w:rsidR="00000000" w:rsidRDefault="00000000">
            <w:pPr>
              <w:jc w:val="center"/>
              <w:rPr>
                <w:bCs/>
                <w:noProof/>
                <w:color w:val="000000"/>
                <w:sz w:val="20"/>
              </w:rPr>
            </w:pPr>
            <w:r>
              <w:rPr>
                <w:bCs/>
                <w:noProof/>
                <w:color w:val="000000"/>
                <w:sz w:val="20"/>
              </w:rPr>
              <w:t>172.346</w:t>
            </w:r>
          </w:p>
        </w:tc>
        <w:tc>
          <w:tcPr>
            <w:tcW w:w="1041" w:type="dxa"/>
            <w:vAlign w:val="center"/>
          </w:tcPr>
          <w:p w:rsidR="00000000" w:rsidRDefault="00000000">
            <w:pPr>
              <w:tabs>
                <w:tab w:val="decimal" w:pos="671"/>
              </w:tabs>
              <w:rPr>
                <w:bCs/>
                <w:noProof/>
                <w:color w:val="000000"/>
                <w:sz w:val="20"/>
              </w:rPr>
            </w:pPr>
            <w:r>
              <w:rPr>
                <w:bCs/>
                <w:noProof/>
                <w:color w:val="000000"/>
                <w:sz w:val="20"/>
              </w:rPr>
              <w:t>1.663</w:t>
            </w:r>
          </w:p>
        </w:tc>
        <w:tc>
          <w:tcPr>
            <w:tcW w:w="1303" w:type="dxa"/>
            <w:vAlign w:val="center"/>
          </w:tcPr>
          <w:p w:rsidR="00000000" w:rsidRDefault="00000000">
            <w:pPr>
              <w:jc w:val="center"/>
              <w:rPr>
                <w:bCs/>
                <w:noProof/>
                <w:color w:val="000000"/>
                <w:sz w:val="20"/>
              </w:rPr>
            </w:pPr>
            <w:r>
              <w:rPr>
                <w:bCs/>
                <w:noProof/>
                <w:color w:val="000000"/>
                <w:sz w:val="20"/>
              </w:rPr>
              <w:t>939.554</w:t>
            </w:r>
          </w:p>
        </w:tc>
        <w:tc>
          <w:tcPr>
            <w:tcW w:w="1454" w:type="dxa"/>
            <w:vAlign w:val="center"/>
          </w:tcPr>
          <w:p w:rsidR="00000000" w:rsidRDefault="00000000">
            <w:pPr>
              <w:jc w:val="center"/>
              <w:rPr>
                <w:bCs/>
                <w:noProof/>
                <w:color w:val="000000"/>
                <w:sz w:val="20"/>
              </w:rPr>
            </w:pPr>
            <w:r>
              <w:rPr>
                <w:bCs/>
                <w:noProof/>
                <w:color w:val="000000"/>
                <w:sz w:val="20"/>
              </w:rPr>
              <w:t>36.179.828</w:t>
            </w:r>
          </w:p>
        </w:tc>
      </w:tr>
    </w:tbl>
    <w:p w:rsidR="00000000" w:rsidRDefault="00000000">
      <w:pPr>
        <w:spacing w:before="240"/>
        <w:rPr>
          <w:bCs/>
          <w:noProof/>
          <w:color w:val="000000"/>
        </w:rPr>
      </w:pPr>
      <w:r>
        <w:rPr>
          <w:bCs/>
          <w:i/>
          <w:iCs/>
          <w:noProof/>
          <w:color w:val="000000"/>
        </w:rPr>
        <w:t>Fuente</w:t>
      </w:r>
      <w:r>
        <w:rPr>
          <w:bCs/>
          <w:noProof/>
          <w:color w:val="000000"/>
        </w:rPr>
        <w:t>:  INP, 2003.</w:t>
      </w:r>
    </w:p>
    <w:p w:rsidR="00000000" w:rsidRDefault="00000000">
      <w:pPr>
        <w:spacing w:before="240" w:after="360"/>
        <w:rPr>
          <w:bCs/>
          <w:noProof/>
          <w:color w:val="000000"/>
        </w:rPr>
      </w:pPr>
      <w:r>
        <w:rPr>
          <w:b/>
          <w:noProof/>
          <w:color w:val="000000"/>
          <w:vertAlign w:val="superscript"/>
        </w:rPr>
        <w:t>17</w:t>
      </w:r>
      <w:r>
        <w:rPr>
          <w:bCs/>
          <w:noProof/>
          <w:color w:val="000000"/>
        </w:rPr>
        <w:t xml:space="preserve"> </w:t>
      </w:r>
      <w:r>
        <w:rPr>
          <w:noProof/>
        </w:rPr>
        <w:t>El SUF es un subsidio familiar para personas de escasos recursos</w:t>
      </w:r>
      <w:r>
        <w:rPr>
          <w:rFonts w:ascii="Bookman Old Style" w:hAnsi="Bookman Old Style"/>
          <w:noProof/>
          <w:sz w:val="18"/>
        </w:rPr>
        <w:t>.</w:t>
      </w:r>
    </w:p>
    <w:p w:rsidR="00000000" w:rsidRDefault="00000000">
      <w:pPr>
        <w:widowControl w:val="0"/>
        <w:spacing w:after="240"/>
        <w:jc w:val="center"/>
        <w:outlineLvl w:val="0"/>
        <w:rPr>
          <w:b/>
          <w:noProof/>
          <w:color w:val="000000"/>
        </w:rPr>
      </w:pPr>
      <w:r>
        <w:rPr>
          <w:b/>
          <w:noProof/>
          <w:color w:val="000000"/>
        </w:rPr>
        <w:t>Cuadro 24</w:t>
      </w:r>
    </w:p>
    <w:p w:rsidR="00000000" w:rsidRDefault="00000000">
      <w:pPr>
        <w:widowControl w:val="0"/>
        <w:spacing w:after="240"/>
        <w:jc w:val="center"/>
        <w:rPr>
          <w:bCs/>
          <w:noProof/>
          <w:color w:val="000000"/>
        </w:rPr>
      </w:pPr>
      <w:r>
        <w:rPr>
          <w:b/>
          <w:noProof/>
          <w:color w:val="000000"/>
        </w:rPr>
        <w:t>Gasto público en educación, 1995-2001</w:t>
      </w:r>
    </w:p>
    <w:tbl>
      <w:tblPr>
        <w:tblW w:w="0" w:type="auto"/>
        <w:jc w:val="center"/>
        <w:tblBorders>
          <w:top w:val="single" w:sz="4" w:space="0" w:color="auto"/>
          <w:left w:val="single" w:sz="4" w:space="0" w:color="auto"/>
          <w:bottom w:val="single" w:sz="4" w:space="0" w:color="auto"/>
          <w:right w:val="single" w:sz="4" w:space="0" w:color="auto"/>
          <w:insideH w:val="single" w:sz="8" w:space="0" w:color="000000"/>
          <w:insideV w:val="single" w:sz="8" w:space="0" w:color="000000"/>
        </w:tblBorders>
        <w:tblLayout w:type="fixed"/>
        <w:tblCellMar>
          <w:left w:w="56" w:type="dxa"/>
          <w:right w:w="56" w:type="dxa"/>
        </w:tblCellMar>
        <w:tblLook w:val="0000" w:firstRow="0" w:lastRow="0" w:firstColumn="0" w:lastColumn="0" w:noHBand="0" w:noVBand="0"/>
      </w:tblPr>
      <w:tblGrid>
        <w:gridCol w:w="1150"/>
        <w:gridCol w:w="1639"/>
        <w:gridCol w:w="1639"/>
        <w:gridCol w:w="1639"/>
        <w:gridCol w:w="1640"/>
        <w:gridCol w:w="1651"/>
      </w:tblGrid>
      <w:tr w:rsidR="00000000">
        <w:tblPrEx>
          <w:tblCellMar>
            <w:top w:w="0" w:type="dxa"/>
            <w:bottom w:w="0" w:type="dxa"/>
          </w:tblCellMar>
        </w:tblPrEx>
        <w:trPr>
          <w:cantSplit/>
          <w:tblHeader/>
          <w:jc w:val="center"/>
        </w:trPr>
        <w:tc>
          <w:tcPr>
            <w:tcW w:w="1150" w:type="dxa"/>
            <w:vMerge w:val="restart"/>
            <w:vAlign w:val="center"/>
          </w:tcPr>
          <w:p w:rsidR="00000000" w:rsidRDefault="00000000">
            <w:pPr>
              <w:keepNext/>
              <w:keepLines/>
              <w:jc w:val="center"/>
              <w:rPr>
                <w:b/>
                <w:noProof/>
                <w:color w:val="000000"/>
              </w:rPr>
            </w:pPr>
            <w:r>
              <w:rPr>
                <w:b/>
                <w:noProof/>
                <w:color w:val="000000"/>
              </w:rPr>
              <w:t>Año</w:t>
            </w:r>
          </w:p>
        </w:tc>
        <w:tc>
          <w:tcPr>
            <w:tcW w:w="1639" w:type="dxa"/>
            <w:vAlign w:val="center"/>
          </w:tcPr>
          <w:p w:rsidR="00000000" w:rsidRDefault="00000000">
            <w:pPr>
              <w:keepNext/>
              <w:keepLines/>
              <w:jc w:val="center"/>
              <w:rPr>
                <w:b/>
                <w:noProof/>
                <w:color w:val="000000"/>
              </w:rPr>
            </w:pPr>
            <w:r>
              <w:rPr>
                <w:b/>
                <w:noProof/>
                <w:color w:val="000000"/>
              </w:rPr>
              <w:t>Cada año</w:t>
            </w:r>
          </w:p>
        </w:tc>
        <w:tc>
          <w:tcPr>
            <w:tcW w:w="1639" w:type="dxa"/>
            <w:vAlign w:val="center"/>
          </w:tcPr>
          <w:p w:rsidR="00000000" w:rsidRDefault="00000000">
            <w:pPr>
              <w:keepNext/>
              <w:keepLines/>
              <w:jc w:val="center"/>
              <w:rPr>
                <w:b/>
                <w:noProof/>
                <w:color w:val="000000"/>
              </w:rPr>
            </w:pPr>
            <w:r>
              <w:rPr>
                <w:b/>
                <w:noProof/>
                <w:color w:val="000000"/>
              </w:rPr>
              <w:t>Promedio 2001</w:t>
            </w:r>
          </w:p>
        </w:tc>
        <w:tc>
          <w:tcPr>
            <w:tcW w:w="1639" w:type="dxa"/>
            <w:vAlign w:val="center"/>
          </w:tcPr>
          <w:p w:rsidR="00000000" w:rsidRDefault="00000000">
            <w:pPr>
              <w:keepNext/>
              <w:keepLines/>
              <w:jc w:val="center"/>
              <w:rPr>
                <w:b/>
                <w:noProof/>
                <w:color w:val="000000"/>
              </w:rPr>
            </w:pPr>
            <w:r>
              <w:rPr>
                <w:b/>
                <w:noProof/>
                <w:color w:val="000000"/>
              </w:rPr>
              <w:t>Gasto social Total</w:t>
            </w:r>
          </w:p>
        </w:tc>
        <w:tc>
          <w:tcPr>
            <w:tcW w:w="1640" w:type="dxa"/>
            <w:vAlign w:val="center"/>
          </w:tcPr>
          <w:p w:rsidR="00000000" w:rsidRDefault="00000000">
            <w:pPr>
              <w:keepNext/>
              <w:keepLines/>
              <w:jc w:val="center"/>
              <w:rPr>
                <w:b/>
                <w:noProof/>
                <w:color w:val="000000"/>
              </w:rPr>
            </w:pPr>
            <w:r>
              <w:rPr>
                <w:b/>
                <w:noProof/>
                <w:color w:val="000000"/>
              </w:rPr>
              <w:t>Gasto público Total</w:t>
            </w:r>
          </w:p>
        </w:tc>
        <w:tc>
          <w:tcPr>
            <w:tcW w:w="1651" w:type="dxa"/>
            <w:vAlign w:val="center"/>
          </w:tcPr>
          <w:p w:rsidR="00000000" w:rsidRDefault="00000000">
            <w:pPr>
              <w:keepNext/>
              <w:keepLines/>
              <w:jc w:val="center"/>
              <w:rPr>
                <w:b/>
                <w:noProof/>
                <w:color w:val="000000"/>
              </w:rPr>
            </w:pPr>
            <w:r>
              <w:rPr>
                <w:b/>
                <w:noProof/>
                <w:color w:val="000000"/>
              </w:rPr>
              <w:t>PIB</w:t>
            </w:r>
          </w:p>
        </w:tc>
      </w:tr>
      <w:tr w:rsidR="00000000">
        <w:tblPrEx>
          <w:tblCellMar>
            <w:top w:w="0" w:type="dxa"/>
            <w:bottom w:w="0" w:type="dxa"/>
          </w:tblCellMar>
        </w:tblPrEx>
        <w:trPr>
          <w:cantSplit/>
          <w:tblHeader/>
          <w:jc w:val="center"/>
        </w:trPr>
        <w:tc>
          <w:tcPr>
            <w:tcW w:w="1150" w:type="dxa"/>
            <w:vMerge/>
            <w:vAlign w:val="bottom"/>
          </w:tcPr>
          <w:p w:rsidR="00000000" w:rsidRDefault="00000000">
            <w:pPr>
              <w:keepNext/>
              <w:keepLines/>
              <w:rPr>
                <w:bCs/>
                <w:noProof/>
                <w:color w:val="000000"/>
              </w:rPr>
            </w:pPr>
          </w:p>
        </w:tc>
        <w:tc>
          <w:tcPr>
            <w:tcW w:w="3278" w:type="dxa"/>
            <w:gridSpan w:val="2"/>
            <w:vAlign w:val="bottom"/>
          </w:tcPr>
          <w:p w:rsidR="00000000" w:rsidRDefault="00000000">
            <w:pPr>
              <w:keepNext/>
              <w:keepLines/>
              <w:jc w:val="center"/>
              <w:rPr>
                <w:b/>
                <w:noProof/>
                <w:color w:val="000000"/>
              </w:rPr>
            </w:pPr>
            <w:r>
              <w:rPr>
                <w:b/>
                <w:noProof/>
                <w:color w:val="000000"/>
              </w:rPr>
              <w:t>Dólares EE.UU.</w:t>
            </w:r>
          </w:p>
        </w:tc>
        <w:tc>
          <w:tcPr>
            <w:tcW w:w="4930" w:type="dxa"/>
            <w:gridSpan w:val="3"/>
            <w:vAlign w:val="bottom"/>
          </w:tcPr>
          <w:p w:rsidR="00000000" w:rsidRDefault="00000000">
            <w:pPr>
              <w:keepNext/>
              <w:keepLines/>
              <w:jc w:val="center"/>
              <w:rPr>
                <w:b/>
                <w:noProof/>
                <w:color w:val="000000"/>
              </w:rPr>
            </w:pPr>
            <w:r>
              <w:rPr>
                <w:b/>
                <w:noProof/>
                <w:color w:val="000000"/>
              </w:rPr>
              <w:t>En porcentaje</w:t>
            </w:r>
          </w:p>
        </w:tc>
      </w:tr>
      <w:tr w:rsidR="00000000">
        <w:tblPrEx>
          <w:tblCellMar>
            <w:top w:w="0" w:type="dxa"/>
            <w:bottom w:w="0" w:type="dxa"/>
          </w:tblCellMar>
        </w:tblPrEx>
        <w:trPr>
          <w:jc w:val="center"/>
        </w:trPr>
        <w:tc>
          <w:tcPr>
            <w:tcW w:w="1150" w:type="dxa"/>
            <w:vAlign w:val="bottom"/>
          </w:tcPr>
          <w:p w:rsidR="00000000" w:rsidRDefault="00000000">
            <w:pPr>
              <w:widowControl w:val="0"/>
              <w:jc w:val="center"/>
              <w:rPr>
                <w:bCs/>
                <w:noProof/>
                <w:color w:val="000000"/>
              </w:rPr>
            </w:pPr>
            <w:r>
              <w:rPr>
                <w:bCs/>
                <w:noProof/>
                <w:color w:val="000000"/>
              </w:rPr>
              <w:t>1995</w:t>
            </w:r>
          </w:p>
        </w:tc>
        <w:tc>
          <w:tcPr>
            <w:tcW w:w="1639" w:type="dxa"/>
            <w:vAlign w:val="bottom"/>
          </w:tcPr>
          <w:p w:rsidR="00000000" w:rsidRDefault="00000000">
            <w:pPr>
              <w:widowControl w:val="0"/>
              <w:rPr>
                <w:bCs/>
                <w:noProof/>
                <w:color w:val="000000"/>
              </w:rPr>
            </w:pPr>
            <w:r>
              <w:rPr>
                <w:bCs/>
                <w:noProof/>
                <w:color w:val="000000"/>
              </w:rPr>
              <w:t>1.382.551.364</w:t>
            </w:r>
          </w:p>
        </w:tc>
        <w:tc>
          <w:tcPr>
            <w:tcW w:w="1639" w:type="dxa"/>
            <w:vAlign w:val="bottom"/>
          </w:tcPr>
          <w:p w:rsidR="00000000" w:rsidRDefault="00000000">
            <w:pPr>
              <w:widowControl w:val="0"/>
              <w:rPr>
                <w:bCs/>
                <w:noProof/>
                <w:color w:val="000000"/>
              </w:rPr>
            </w:pPr>
            <w:r>
              <w:rPr>
                <w:bCs/>
                <w:noProof/>
                <w:color w:val="000000"/>
              </w:rPr>
              <w:t>1.840.296.396</w:t>
            </w:r>
          </w:p>
        </w:tc>
        <w:tc>
          <w:tcPr>
            <w:tcW w:w="1639" w:type="dxa"/>
            <w:vAlign w:val="bottom"/>
          </w:tcPr>
          <w:p w:rsidR="00000000" w:rsidRDefault="00000000">
            <w:pPr>
              <w:widowControl w:val="0"/>
              <w:jc w:val="center"/>
              <w:rPr>
                <w:bCs/>
                <w:noProof/>
                <w:color w:val="000000"/>
              </w:rPr>
            </w:pPr>
            <w:r>
              <w:rPr>
                <w:bCs/>
                <w:noProof/>
                <w:color w:val="000000"/>
              </w:rPr>
              <w:t>23,9</w:t>
            </w:r>
          </w:p>
        </w:tc>
        <w:tc>
          <w:tcPr>
            <w:tcW w:w="1640" w:type="dxa"/>
            <w:vAlign w:val="bottom"/>
          </w:tcPr>
          <w:p w:rsidR="00000000" w:rsidRDefault="00000000">
            <w:pPr>
              <w:widowControl w:val="0"/>
              <w:jc w:val="center"/>
              <w:rPr>
                <w:bCs/>
                <w:noProof/>
                <w:color w:val="000000"/>
              </w:rPr>
            </w:pPr>
            <w:r>
              <w:rPr>
                <w:bCs/>
                <w:noProof/>
                <w:color w:val="000000"/>
              </w:rPr>
              <w:t>15,6</w:t>
            </w:r>
          </w:p>
        </w:tc>
        <w:tc>
          <w:tcPr>
            <w:tcW w:w="1651" w:type="dxa"/>
            <w:vAlign w:val="bottom"/>
          </w:tcPr>
          <w:p w:rsidR="00000000" w:rsidRDefault="00000000">
            <w:pPr>
              <w:widowControl w:val="0"/>
              <w:jc w:val="center"/>
              <w:rPr>
                <w:bCs/>
                <w:noProof/>
                <w:color w:val="000000"/>
              </w:rPr>
            </w:pPr>
            <w:r>
              <w:rPr>
                <w:bCs/>
                <w:noProof/>
                <w:color w:val="000000"/>
              </w:rPr>
              <w:t>2,9</w:t>
            </w:r>
          </w:p>
        </w:tc>
      </w:tr>
      <w:tr w:rsidR="00000000">
        <w:tblPrEx>
          <w:tblCellMar>
            <w:top w:w="0" w:type="dxa"/>
            <w:bottom w:w="0" w:type="dxa"/>
          </w:tblCellMar>
        </w:tblPrEx>
        <w:trPr>
          <w:jc w:val="center"/>
        </w:trPr>
        <w:tc>
          <w:tcPr>
            <w:tcW w:w="1150" w:type="dxa"/>
            <w:vAlign w:val="bottom"/>
          </w:tcPr>
          <w:p w:rsidR="00000000" w:rsidRDefault="00000000">
            <w:pPr>
              <w:widowControl w:val="0"/>
              <w:jc w:val="center"/>
              <w:rPr>
                <w:bCs/>
                <w:noProof/>
                <w:color w:val="000000"/>
              </w:rPr>
            </w:pPr>
            <w:r>
              <w:rPr>
                <w:bCs/>
                <w:noProof/>
                <w:color w:val="000000"/>
              </w:rPr>
              <w:t>1996</w:t>
            </w:r>
          </w:p>
        </w:tc>
        <w:tc>
          <w:tcPr>
            <w:tcW w:w="1639" w:type="dxa"/>
            <w:vAlign w:val="bottom"/>
          </w:tcPr>
          <w:p w:rsidR="00000000" w:rsidRDefault="00000000">
            <w:pPr>
              <w:widowControl w:val="0"/>
              <w:rPr>
                <w:bCs/>
                <w:noProof/>
                <w:color w:val="000000"/>
              </w:rPr>
            </w:pPr>
            <w:r>
              <w:rPr>
                <w:bCs/>
                <w:noProof/>
                <w:color w:val="000000"/>
              </w:rPr>
              <w:t>1.664.253.958</w:t>
            </w:r>
          </w:p>
        </w:tc>
        <w:tc>
          <w:tcPr>
            <w:tcW w:w="1639" w:type="dxa"/>
            <w:vAlign w:val="bottom"/>
          </w:tcPr>
          <w:p w:rsidR="00000000" w:rsidRDefault="00000000">
            <w:pPr>
              <w:widowControl w:val="0"/>
              <w:rPr>
                <w:bCs/>
                <w:noProof/>
                <w:color w:val="000000"/>
              </w:rPr>
            </w:pPr>
            <w:r>
              <w:rPr>
                <w:bCs/>
                <w:noProof/>
                <w:color w:val="000000"/>
              </w:rPr>
              <w:t>2.063.371.506</w:t>
            </w:r>
          </w:p>
        </w:tc>
        <w:tc>
          <w:tcPr>
            <w:tcW w:w="1639" w:type="dxa"/>
            <w:vAlign w:val="bottom"/>
          </w:tcPr>
          <w:p w:rsidR="00000000" w:rsidRDefault="00000000">
            <w:pPr>
              <w:widowControl w:val="0"/>
              <w:jc w:val="center"/>
              <w:rPr>
                <w:bCs/>
                <w:noProof/>
                <w:color w:val="000000"/>
              </w:rPr>
            </w:pPr>
            <w:r>
              <w:rPr>
                <w:bCs/>
                <w:noProof/>
                <w:color w:val="000000"/>
              </w:rPr>
              <w:t>24,4</w:t>
            </w:r>
          </w:p>
        </w:tc>
        <w:tc>
          <w:tcPr>
            <w:tcW w:w="1640" w:type="dxa"/>
            <w:vAlign w:val="bottom"/>
          </w:tcPr>
          <w:p w:rsidR="00000000" w:rsidRDefault="00000000">
            <w:pPr>
              <w:widowControl w:val="0"/>
              <w:jc w:val="center"/>
              <w:rPr>
                <w:bCs/>
                <w:noProof/>
                <w:color w:val="000000"/>
              </w:rPr>
            </w:pPr>
            <w:r>
              <w:rPr>
                <w:bCs/>
                <w:noProof/>
                <w:color w:val="000000"/>
              </w:rPr>
              <w:t>16,1</w:t>
            </w:r>
          </w:p>
        </w:tc>
        <w:tc>
          <w:tcPr>
            <w:tcW w:w="1651" w:type="dxa"/>
            <w:vAlign w:val="bottom"/>
          </w:tcPr>
          <w:p w:rsidR="00000000" w:rsidRDefault="00000000">
            <w:pPr>
              <w:widowControl w:val="0"/>
              <w:jc w:val="center"/>
              <w:rPr>
                <w:bCs/>
                <w:noProof/>
                <w:color w:val="000000"/>
              </w:rPr>
            </w:pPr>
            <w:r>
              <w:rPr>
                <w:bCs/>
                <w:noProof/>
                <w:color w:val="000000"/>
              </w:rPr>
              <w:t>3,2</w:t>
            </w:r>
          </w:p>
        </w:tc>
      </w:tr>
      <w:tr w:rsidR="00000000">
        <w:tblPrEx>
          <w:tblCellMar>
            <w:top w:w="0" w:type="dxa"/>
            <w:bottom w:w="0" w:type="dxa"/>
          </w:tblCellMar>
        </w:tblPrEx>
        <w:trPr>
          <w:jc w:val="center"/>
        </w:trPr>
        <w:tc>
          <w:tcPr>
            <w:tcW w:w="1150" w:type="dxa"/>
            <w:vAlign w:val="bottom"/>
          </w:tcPr>
          <w:p w:rsidR="00000000" w:rsidRDefault="00000000">
            <w:pPr>
              <w:widowControl w:val="0"/>
              <w:jc w:val="center"/>
              <w:rPr>
                <w:bCs/>
                <w:noProof/>
                <w:color w:val="000000"/>
              </w:rPr>
            </w:pPr>
            <w:r>
              <w:rPr>
                <w:bCs/>
                <w:noProof/>
                <w:color w:val="000000"/>
              </w:rPr>
              <w:t>1997</w:t>
            </w:r>
          </w:p>
        </w:tc>
        <w:tc>
          <w:tcPr>
            <w:tcW w:w="1639" w:type="dxa"/>
            <w:vAlign w:val="bottom"/>
          </w:tcPr>
          <w:p w:rsidR="00000000" w:rsidRDefault="00000000">
            <w:pPr>
              <w:widowControl w:val="0"/>
              <w:rPr>
                <w:bCs/>
                <w:noProof/>
                <w:color w:val="000000"/>
              </w:rPr>
            </w:pPr>
            <w:r>
              <w:rPr>
                <w:bCs/>
                <w:noProof/>
                <w:color w:val="000000"/>
              </w:rPr>
              <w:t>1.964.200.067</w:t>
            </w:r>
          </w:p>
        </w:tc>
        <w:tc>
          <w:tcPr>
            <w:tcW w:w="1639" w:type="dxa"/>
            <w:vAlign w:val="bottom"/>
          </w:tcPr>
          <w:p w:rsidR="00000000" w:rsidRDefault="00000000">
            <w:pPr>
              <w:widowControl w:val="0"/>
              <w:rPr>
                <w:bCs/>
                <w:noProof/>
                <w:color w:val="000000"/>
              </w:rPr>
            </w:pPr>
            <w:r>
              <w:rPr>
                <w:bCs/>
                <w:noProof/>
                <w:color w:val="000000"/>
              </w:rPr>
              <w:t>2.294.417.312</w:t>
            </w:r>
          </w:p>
        </w:tc>
        <w:tc>
          <w:tcPr>
            <w:tcW w:w="1639" w:type="dxa"/>
            <w:vAlign w:val="bottom"/>
          </w:tcPr>
          <w:p w:rsidR="00000000" w:rsidRDefault="00000000">
            <w:pPr>
              <w:widowControl w:val="0"/>
              <w:jc w:val="center"/>
              <w:rPr>
                <w:bCs/>
                <w:noProof/>
                <w:color w:val="000000"/>
              </w:rPr>
            </w:pPr>
            <w:r>
              <w:rPr>
                <w:bCs/>
                <w:noProof/>
                <w:color w:val="000000"/>
              </w:rPr>
              <w:t>25,7</w:t>
            </w:r>
          </w:p>
        </w:tc>
        <w:tc>
          <w:tcPr>
            <w:tcW w:w="1640" w:type="dxa"/>
            <w:vAlign w:val="bottom"/>
          </w:tcPr>
          <w:p w:rsidR="00000000" w:rsidRDefault="00000000">
            <w:pPr>
              <w:widowControl w:val="0"/>
              <w:jc w:val="center"/>
              <w:rPr>
                <w:bCs/>
                <w:noProof/>
                <w:color w:val="000000"/>
              </w:rPr>
            </w:pPr>
            <w:r>
              <w:rPr>
                <w:bCs/>
                <w:noProof/>
                <w:color w:val="000000"/>
              </w:rPr>
              <w:t>16,9</w:t>
            </w:r>
          </w:p>
        </w:tc>
        <w:tc>
          <w:tcPr>
            <w:tcW w:w="1651" w:type="dxa"/>
            <w:vAlign w:val="bottom"/>
          </w:tcPr>
          <w:p w:rsidR="00000000" w:rsidRDefault="00000000">
            <w:pPr>
              <w:widowControl w:val="0"/>
              <w:jc w:val="center"/>
              <w:rPr>
                <w:bCs/>
                <w:noProof/>
                <w:color w:val="000000"/>
              </w:rPr>
            </w:pPr>
            <w:r>
              <w:rPr>
                <w:bCs/>
                <w:noProof/>
                <w:color w:val="000000"/>
              </w:rPr>
              <w:t>3,4</w:t>
            </w:r>
          </w:p>
        </w:tc>
      </w:tr>
      <w:tr w:rsidR="00000000">
        <w:tblPrEx>
          <w:tblCellMar>
            <w:top w:w="0" w:type="dxa"/>
            <w:bottom w:w="0" w:type="dxa"/>
          </w:tblCellMar>
        </w:tblPrEx>
        <w:trPr>
          <w:jc w:val="center"/>
        </w:trPr>
        <w:tc>
          <w:tcPr>
            <w:tcW w:w="1150" w:type="dxa"/>
            <w:vAlign w:val="bottom"/>
          </w:tcPr>
          <w:p w:rsidR="00000000" w:rsidRDefault="00000000">
            <w:pPr>
              <w:widowControl w:val="0"/>
              <w:jc w:val="center"/>
              <w:rPr>
                <w:bCs/>
                <w:noProof/>
                <w:color w:val="000000"/>
              </w:rPr>
            </w:pPr>
            <w:r>
              <w:rPr>
                <w:bCs/>
                <w:noProof/>
                <w:color w:val="000000"/>
              </w:rPr>
              <w:t>1998</w:t>
            </w:r>
          </w:p>
        </w:tc>
        <w:tc>
          <w:tcPr>
            <w:tcW w:w="1639" w:type="dxa"/>
            <w:vAlign w:val="bottom"/>
          </w:tcPr>
          <w:p w:rsidR="00000000" w:rsidRDefault="00000000">
            <w:pPr>
              <w:widowControl w:val="0"/>
              <w:rPr>
                <w:bCs/>
                <w:noProof/>
                <w:color w:val="000000"/>
              </w:rPr>
            </w:pPr>
            <w:r>
              <w:rPr>
                <w:bCs/>
                <w:noProof/>
                <w:color w:val="000000"/>
              </w:rPr>
              <w:t>2.258.903.671</w:t>
            </w:r>
          </w:p>
        </w:tc>
        <w:tc>
          <w:tcPr>
            <w:tcW w:w="1639" w:type="dxa"/>
            <w:vAlign w:val="bottom"/>
          </w:tcPr>
          <w:p w:rsidR="00000000" w:rsidRDefault="00000000">
            <w:pPr>
              <w:widowControl w:val="0"/>
              <w:rPr>
                <w:bCs/>
                <w:noProof/>
                <w:color w:val="000000"/>
              </w:rPr>
            </w:pPr>
            <w:r>
              <w:rPr>
                <w:bCs/>
                <w:noProof/>
                <w:color w:val="000000"/>
              </w:rPr>
              <w:t>2.510.483.328</w:t>
            </w:r>
          </w:p>
        </w:tc>
        <w:tc>
          <w:tcPr>
            <w:tcW w:w="1639" w:type="dxa"/>
            <w:vAlign w:val="bottom"/>
          </w:tcPr>
          <w:p w:rsidR="00000000" w:rsidRDefault="00000000">
            <w:pPr>
              <w:widowControl w:val="0"/>
              <w:jc w:val="center"/>
              <w:rPr>
                <w:bCs/>
                <w:noProof/>
                <w:color w:val="000000"/>
              </w:rPr>
            </w:pPr>
            <w:r>
              <w:rPr>
                <w:bCs/>
                <w:noProof/>
                <w:color w:val="000000"/>
              </w:rPr>
              <w:t>26,2</w:t>
            </w:r>
          </w:p>
        </w:tc>
        <w:tc>
          <w:tcPr>
            <w:tcW w:w="1640" w:type="dxa"/>
            <w:vAlign w:val="bottom"/>
          </w:tcPr>
          <w:p w:rsidR="00000000" w:rsidRDefault="00000000">
            <w:pPr>
              <w:widowControl w:val="0"/>
              <w:jc w:val="center"/>
              <w:rPr>
                <w:bCs/>
                <w:noProof/>
                <w:color w:val="000000"/>
              </w:rPr>
            </w:pPr>
            <w:r>
              <w:rPr>
                <w:bCs/>
                <w:noProof/>
                <w:color w:val="000000"/>
              </w:rPr>
              <w:t>17,3</w:t>
            </w:r>
          </w:p>
        </w:tc>
        <w:tc>
          <w:tcPr>
            <w:tcW w:w="1651" w:type="dxa"/>
            <w:vAlign w:val="bottom"/>
          </w:tcPr>
          <w:p w:rsidR="00000000" w:rsidRDefault="00000000">
            <w:pPr>
              <w:widowControl w:val="0"/>
              <w:jc w:val="center"/>
              <w:rPr>
                <w:bCs/>
                <w:noProof/>
                <w:color w:val="000000"/>
              </w:rPr>
            </w:pPr>
            <w:r>
              <w:rPr>
                <w:bCs/>
                <w:noProof/>
                <w:color w:val="000000"/>
              </w:rPr>
              <w:t>3,7</w:t>
            </w:r>
          </w:p>
        </w:tc>
      </w:tr>
      <w:tr w:rsidR="00000000">
        <w:tblPrEx>
          <w:tblCellMar>
            <w:top w:w="0" w:type="dxa"/>
            <w:bottom w:w="0" w:type="dxa"/>
          </w:tblCellMar>
        </w:tblPrEx>
        <w:trPr>
          <w:jc w:val="center"/>
        </w:trPr>
        <w:tc>
          <w:tcPr>
            <w:tcW w:w="1150" w:type="dxa"/>
            <w:vAlign w:val="bottom"/>
          </w:tcPr>
          <w:p w:rsidR="00000000" w:rsidRDefault="00000000">
            <w:pPr>
              <w:widowControl w:val="0"/>
              <w:jc w:val="center"/>
              <w:rPr>
                <w:bCs/>
                <w:noProof/>
                <w:color w:val="000000"/>
              </w:rPr>
            </w:pPr>
            <w:r>
              <w:rPr>
                <w:bCs/>
                <w:noProof/>
                <w:color w:val="000000"/>
              </w:rPr>
              <w:t>1999</w:t>
            </w:r>
          </w:p>
        </w:tc>
        <w:tc>
          <w:tcPr>
            <w:tcW w:w="1639" w:type="dxa"/>
            <w:vAlign w:val="bottom"/>
          </w:tcPr>
          <w:p w:rsidR="00000000" w:rsidRDefault="00000000">
            <w:pPr>
              <w:widowControl w:val="0"/>
              <w:rPr>
                <w:bCs/>
                <w:noProof/>
                <w:color w:val="000000"/>
              </w:rPr>
            </w:pPr>
            <w:r>
              <w:rPr>
                <w:bCs/>
                <w:noProof/>
                <w:color w:val="000000"/>
              </w:rPr>
              <w:t>2.533.031.324</w:t>
            </w:r>
          </w:p>
        </w:tc>
        <w:tc>
          <w:tcPr>
            <w:tcW w:w="1639" w:type="dxa"/>
            <w:vAlign w:val="bottom"/>
          </w:tcPr>
          <w:p w:rsidR="00000000" w:rsidRDefault="00000000">
            <w:pPr>
              <w:widowControl w:val="0"/>
              <w:rPr>
                <w:bCs/>
                <w:noProof/>
                <w:color w:val="000000"/>
              </w:rPr>
            </w:pPr>
            <w:r>
              <w:rPr>
                <w:bCs/>
                <w:noProof/>
                <w:color w:val="000000"/>
              </w:rPr>
              <w:t>2.724.311.216</w:t>
            </w:r>
          </w:p>
        </w:tc>
        <w:tc>
          <w:tcPr>
            <w:tcW w:w="1639" w:type="dxa"/>
            <w:vAlign w:val="bottom"/>
          </w:tcPr>
          <w:p w:rsidR="00000000" w:rsidRDefault="00000000">
            <w:pPr>
              <w:widowControl w:val="0"/>
              <w:jc w:val="center"/>
              <w:rPr>
                <w:bCs/>
                <w:noProof/>
                <w:color w:val="000000"/>
              </w:rPr>
            </w:pPr>
            <w:r>
              <w:rPr>
                <w:bCs/>
                <w:noProof/>
                <w:color w:val="000000"/>
              </w:rPr>
              <w:t>26,3</w:t>
            </w:r>
          </w:p>
        </w:tc>
        <w:tc>
          <w:tcPr>
            <w:tcW w:w="1640" w:type="dxa"/>
            <w:vAlign w:val="bottom"/>
          </w:tcPr>
          <w:p w:rsidR="00000000" w:rsidRDefault="00000000">
            <w:pPr>
              <w:widowControl w:val="0"/>
              <w:jc w:val="center"/>
              <w:rPr>
                <w:bCs/>
                <w:noProof/>
                <w:color w:val="000000"/>
              </w:rPr>
            </w:pPr>
            <w:r>
              <w:rPr>
                <w:bCs/>
                <w:noProof/>
                <w:color w:val="000000"/>
              </w:rPr>
              <w:t>17,9</w:t>
            </w:r>
          </w:p>
        </w:tc>
        <w:tc>
          <w:tcPr>
            <w:tcW w:w="1651" w:type="dxa"/>
            <w:vAlign w:val="bottom"/>
          </w:tcPr>
          <w:p w:rsidR="00000000" w:rsidRDefault="00000000">
            <w:pPr>
              <w:widowControl w:val="0"/>
              <w:jc w:val="center"/>
              <w:rPr>
                <w:bCs/>
                <w:noProof/>
                <w:color w:val="000000"/>
              </w:rPr>
            </w:pPr>
            <w:r>
              <w:rPr>
                <w:bCs/>
                <w:noProof/>
                <w:color w:val="000000"/>
              </w:rPr>
              <w:t>4,0</w:t>
            </w:r>
          </w:p>
        </w:tc>
      </w:tr>
      <w:tr w:rsidR="00000000">
        <w:tblPrEx>
          <w:tblCellMar>
            <w:top w:w="0" w:type="dxa"/>
            <w:bottom w:w="0" w:type="dxa"/>
          </w:tblCellMar>
        </w:tblPrEx>
        <w:trPr>
          <w:jc w:val="center"/>
        </w:trPr>
        <w:tc>
          <w:tcPr>
            <w:tcW w:w="1150" w:type="dxa"/>
            <w:vAlign w:val="bottom"/>
          </w:tcPr>
          <w:p w:rsidR="00000000" w:rsidRDefault="00000000">
            <w:pPr>
              <w:keepNext/>
              <w:keepLines/>
              <w:jc w:val="center"/>
              <w:rPr>
                <w:bCs/>
                <w:noProof/>
                <w:color w:val="000000"/>
              </w:rPr>
            </w:pPr>
            <w:r>
              <w:rPr>
                <w:bCs/>
                <w:noProof/>
                <w:color w:val="000000"/>
              </w:rPr>
              <w:t>2000</w:t>
            </w:r>
          </w:p>
        </w:tc>
        <w:tc>
          <w:tcPr>
            <w:tcW w:w="1639" w:type="dxa"/>
            <w:vAlign w:val="bottom"/>
          </w:tcPr>
          <w:p w:rsidR="00000000" w:rsidRDefault="00000000">
            <w:pPr>
              <w:keepNext/>
              <w:keepLines/>
              <w:rPr>
                <w:bCs/>
                <w:noProof/>
                <w:color w:val="000000"/>
              </w:rPr>
            </w:pPr>
            <w:r>
              <w:rPr>
                <w:bCs/>
                <w:noProof/>
                <w:color w:val="000000"/>
              </w:rPr>
              <w:t>2.804.269.114</w:t>
            </w:r>
          </w:p>
        </w:tc>
        <w:tc>
          <w:tcPr>
            <w:tcW w:w="1639" w:type="dxa"/>
            <w:vAlign w:val="bottom"/>
          </w:tcPr>
          <w:p w:rsidR="00000000" w:rsidRDefault="00000000">
            <w:pPr>
              <w:keepNext/>
              <w:keepLines/>
              <w:rPr>
                <w:bCs/>
                <w:noProof/>
                <w:color w:val="000000"/>
              </w:rPr>
            </w:pPr>
            <w:r>
              <w:rPr>
                <w:bCs/>
                <w:noProof/>
                <w:color w:val="000000"/>
              </w:rPr>
              <w:t>2.904.220.276</w:t>
            </w:r>
          </w:p>
        </w:tc>
        <w:tc>
          <w:tcPr>
            <w:tcW w:w="1639" w:type="dxa"/>
            <w:vAlign w:val="bottom"/>
          </w:tcPr>
          <w:p w:rsidR="00000000" w:rsidRDefault="00000000">
            <w:pPr>
              <w:keepNext/>
              <w:keepLines/>
              <w:jc w:val="center"/>
              <w:rPr>
                <w:bCs/>
                <w:noProof/>
                <w:color w:val="000000"/>
              </w:rPr>
            </w:pPr>
            <w:r>
              <w:rPr>
                <w:bCs/>
                <w:noProof/>
                <w:color w:val="000000"/>
              </w:rPr>
              <w:t>26,5</w:t>
            </w:r>
          </w:p>
        </w:tc>
        <w:tc>
          <w:tcPr>
            <w:tcW w:w="1640" w:type="dxa"/>
            <w:vAlign w:val="bottom"/>
          </w:tcPr>
          <w:p w:rsidR="00000000" w:rsidRDefault="00000000">
            <w:pPr>
              <w:keepNext/>
              <w:keepLines/>
              <w:jc w:val="center"/>
              <w:rPr>
                <w:bCs/>
                <w:noProof/>
                <w:color w:val="000000"/>
              </w:rPr>
            </w:pPr>
            <w:r>
              <w:rPr>
                <w:bCs/>
                <w:noProof/>
                <w:color w:val="000000"/>
              </w:rPr>
              <w:t>18,4</w:t>
            </w:r>
          </w:p>
        </w:tc>
        <w:tc>
          <w:tcPr>
            <w:tcW w:w="1651" w:type="dxa"/>
            <w:vAlign w:val="bottom"/>
          </w:tcPr>
          <w:p w:rsidR="00000000" w:rsidRDefault="00000000">
            <w:pPr>
              <w:keepNext/>
              <w:keepLines/>
              <w:jc w:val="center"/>
              <w:rPr>
                <w:bCs/>
                <w:noProof/>
                <w:color w:val="000000"/>
              </w:rPr>
            </w:pPr>
            <w:r>
              <w:rPr>
                <w:bCs/>
                <w:noProof/>
                <w:color w:val="000000"/>
              </w:rPr>
              <w:t>4,1</w:t>
            </w:r>
          </w:p>
        </w:tc>
      </w:tr>
      <w:tr w:rsidR="00000000">
        <w:tblPrEx>
          <w:tblCellMar>
            <w:top w:w="0" w:type="dxa"/>
            <w:bottom w:w="0" w:type="dxa"/>
          </w:tblCellMar>
        </w:tblPrEx>
        <w:trPr>
          <w:jc w:val="center"/>
        </w:trPr>
        <w:tc>
          <w:tcPr>
            <w:tcW w:w="1150" w:type="dxa"/>
            <w:vAlign w:val="bottom"/>
          </w:tcPr>
          <w:p w:rsidR="00000000" w:rsidRDefault="00000000">
            <w:pPr>
              <w:keepNext/>
              <w:keepLines/>
              <w:jc w:val="center"/>
              <w:rPr>
                <w:bCs/>
                <w:noProof/>
                <w:color w:val="000000"/>
              </w:rPr>
            </w:pPr>
            <w:r>
              <w:rPr>
                <w:bCs/>
                <w:noProof/>
                <w:color w:val="000000"/>
              </w:rPr>
              <w:t>2001</w:t>
            </w:r>
          </w:p>
        </w:tc>
        <w:tc>
          <w:tcPr>
            <w:tcW w:w="1639" w:type="dxa"/>
            <w:vAlign w:val="bottom"/>
          </w:tcPr>
          <w:p w:rsidR="00000000" w:rsidRDefault="00000000">
            <w:pPr>
              <w:keepNext/>
              <w:keepLines/>
              <w:rPr>
                <w:bCs/>
                <w:noProof/>
                <w:color w:val="000000"/>
              </w:rPr>
            </w:pPr>
            <w:r>
              <w:rPr>
                <w:bCs/>
                <w:noProof/>
                <w:color w:val="000000"/>
              </w:rPr>
              <w:t>3.122.783.766</w:t>
            </w:r>
          </w:p>
        </w:tc>
        <w:tc>
          <w:tcPr>
            <w:tcW w:w="1639" w:type="dxa"/>
            <w:vAlign w:val="bottom"/>
          </w:tcPr>
          <w:p w:rsidR="00000000" w:rsidRDefault="00000000">
            <w:pPr>
              <w:keepNext/>
              <w:keepLines/>
              <w:rPr>
                <w:bCs/>
                <w:noProof/>
                <w:color w:val="000000"/>
              </w:rPr>
            </w:pPr>
            <w:r>
              <w:rPr>
                <w:bCs/>
                <w:noProof/>
                <w:color w:val="000000"/>
              </w:rPr>
              <w:t>3.122.783.766</w:t>
            </w:r>
          </w:p>
        </w:tc>
        <w:tc>
          <w:tcPr>
            <w:tcW w:w="1639" w:type="dxa"/>
            <w:vAlign w:val="bottom"/>
          </w:tcPr>
          <w:p w:rsidR="00000000" w:rsidRDefault="00000000">
            <w:pPr>
              <w:keepNext/>
              <w:keepLines/>
              <w:jc w:val="center"/>
              <w:rPr>
                <w:bCs/>
                <w:noProof/>
                <w:color w:val="000000"/>
              </w:rPr>
            </w:pPr>
            <w:r>
              <w:rPr>
                <w:bCs/>
                <w:noProof/>
                <w:color w:val="000000"/>
              </w:rPr>
              <w:t>26,8</w:t>
            </w:r>
          </w:p>
        </w:tc>
        <w:tc>
          <w:tcPr>
            <w:tcW w:w="1640" w:type="dxa"/>
            <w:vAlign w:val="bottom"/>
          </w:tcPr>
          <w:p w:rsidR="00000000" w:rsidRDefault="00000000">
            <w:pPr>
              <w:keepNext/>
              <w:keepLines/>
              <w:jc w:val="center"/>
              <w:rPr>
                <w:bCs/>
                <w:noProof/>
                <w:color w:val="000000"/>
              </w:rPr>
            </w:pPr>
            <w:r>
              <w:rPr>
                <w:bCs/>
                <w:noProof/>
                <w:color w:val="000000"/>
              </w:rPr>
              <w:t>18,7</w:t>
            </w:r>
          </w:p>
        </w:tc>
        <w:tc>
          <w:tcPr>
            <w:tcW w:w="1651" w:type="dxa"/>
            <w:vAlign w:val="bottom"/>
          </w:tcPr>
          <w:p w:rsidR="00000000" w:rsidRDefault="00000000">
            <w:pPr>
              <w:keepNext/>
              <w:keepLines/>
              <w:jc w:val="center"/>
              <w:rPr>
                <w:bCs/>
                <w:noProof/>
                <w:color w:val="000000"/>
              </w:rPr>
            </w:pPr>
            <w:r>
              <w:rPr>
                <w:bCs/>
                <w:noProof/>
                <w:color w:val="000000"/>
              </w:rPr>
              <w:t>4,4</w:t>
            </w:r>
          </w:p>
        </w:tc>
      </w:tr>
    </w:tbl>
    <w:p w:rsidR="00000000" w:rsidRDefault="00000000">
      <w:pPr>
        <w:widowControl w:val="0"/>
        <w:spacing w:before="240" w:after="240"/>
        <w:rPr>
          <w:bCs/>
          <w:noProof/>
          <w:color w:val="000000"/>
        </w:rPr>
      </w:pPr>
      <w:r>
        <w:rPr>
          <w:bCs/>
          <w:i/>
          <w:iCs/>
          <w:noProof/>
          <w:color w:val="000000"/>
        </w:rPr>
        <w:t>Fuente</w:t>
      </w:r>
      <w:r>
        <w:rPr>
          <w:bCs/>
          <w:noProof/>
          <w:color w:val="000000"/>
        </w:rPr>
        <w:t>:  Estadísticas de la Educación año 2001.  Departamento de Estudios y Estadísticas.  Ministerio de Educación.</w:t>
      </w:r>
    </w:p>
    <w:p w:rsidR="00000000" w:rsidRDefault="00000000">
      <w:pPr>
        <w:spacing w:before="120" w:after="240"/>
        <w:jc w:val="center"/>
        <w:outlineLvl w:val="0"/>
        <w:rPr>
          <w:b/>
          <w:noProof/>
          <w:color w:val="000000"/>
        </w:rPr>
      </w:pPr>
      <w:r>
        <w:rPr>
          <w:b/>
          <w:noProof/>
          <w:color w:val="000000"/>
        </w:rPr>
        <w:t>Cuadro 25</w:t>
      </w:r>
    </w:p>
    <w:p w:rsidR="00000000" w:rsidRDefault="00000000">
      <w:pPr>
        <w:spacing w:after="240"/>
        <w:jc w:val="center"/>
        <w:rPr>
          <w:bCs/>
          <w:noProof/>
          <w:color w:val="000000"/>
        </w:rPr>
      </w:pPr>
      <w:r>
        <w:rPr>
          <w:b/>
          <w:noProof/>
          <w:color w:val="000000"/>
        </w:rPr>
        <w:t>Incrementos anuales en el número de becas indígenas según nivel</w:t>
      </w:r>
      <w:r>
        <w:rPr>
          <w:b/>
          <w:noProof/>
          <w:color w:val="000000"/>
        </w:rPr>
        <w:br/>
        <w:t>educacional, 1997-2003</w:t>
      </w:r>
      <w:r>
        <w:rPr>
          <w:b/>
          <w:noProof/>
          <w:color w:val="000000"/>
          <w:vertAlign w:val="superscript"/>
        </w:rPr>
        <w:t>18</w:t>
      </w:r>
    </w:p>
    <w:p w:rsidR="00000000" w:rsidRDefault="00000000">
      <w:pPr>
        <w:framePr w:hSpace="180" w:wrap="auto" w:vAnchor="text" w:hAnchor="text" w:x="741" w:y="1"/>
        <w:numPr>
          <w:ilvl w:val="12"/>
          <w:numId w:val="0"/>
        </w:numPr>
        <w:spacing w:after="240"/>
        <w:jc w:val="center"/>
        <w:rPr>
          <w:bCs/>
          <w:noProof/>
          <w:spacing w:val="-3"/>
        </w:rPr>
      </w:pPr>
      <w:r>
        <w:rPr>
          <w:bCs/>
          <w:noProof/>
          <w:spacing w:val="-3"/>
        </w:rPr>
        <w:pict>
          <v:shape id="_x0000_i1027" type="#_x0000_t75" style="width:356.25pt;height:207pt" fillcolor="window">
            <v:imagedata r:id="rId21" o:title=""/>
          </v:shape>
        </w:pict>
      </w:r>
    </w:p>
    <w:p w:rsidR="00000000" w:rsidRDefault="00000000">
      <w:pPr>
        <w:tabs>
          <w:tab w:val="left" w:pos="840"/>
        </w:tabs>
        <w:spacing w:after="200"/>
        <w:rPr>
          <w:bCs/>
          <w:noProof/>
          <w:color w:val="000000"/>
        </w:rPr>
      </w:pPr>
      <w:r>
        <w:rPr>
          <w:bCs/>
          <w:noProof/>
          <w:color w:val="000000"/>
        </w:rPr>
        <w:tab/>
      </w:r>
      <w:r>
        <w:rPr>
          <w:bCs/>
          <w:i/>
          <w:iCs/>
          <w:noProof/>
          <w:color w:val="000000"/>
        </w:rPr>
        <w:t>Fuente</w:t>
      </w:r>
      <w:r>
        <w:rPr>
          <w:bCs/>
          <w:noProof/>
          <w:color w:val="000000"/>
        </w:rPr>
        <w:t>:  Ministerio de Educación, 2004.</w:t>
      </w:r>
    </w:p>
    <w:p w:rsidR="00000000" w:rsidRDefault="00000000">
      <w:pPr>
        <w:tabs>
          <w:tab w:val="left" w:pos="840"/>
        </w:tabs>
        <w:spacing w:after="200"/>
        <w:rPr>
          <w:bCs/>
          <w:noProof/>
          <w:color w:val="000000"/>
        </w:rPr>
      </w:pPr>
      <w:r>
        <w:rPr>
          <w:bCs/>
          <w:noProof/>
          <w:color w:val="000000"/>
        </w:rPr>
        <w:tab/>
      </w:r>
      <w:r>
        <w:rPr>
          <w:b/>
          <w:noProof/>
          <w:color w:val="000000"/>
          <w:vertAlign w:val="superscript"/>
        </w:rPr>
        <w:t>18</w:t>
      </w:r>
      <w:r>
        <w:rPr>
          <w:bCs/>
          <w:noProof/>
          <w:color w:val="000000"/>
        </w:rPr>
        <w:t xml:space="preserve"> </w:t>
      </w:r>
      <w:r>
        <w:rPr>
          <w:noProof/>
        </w:rPr>
        <w:t>El año 2002 no hubo incremento en el número de becas en educación</w:t>
      </w:r>
      <w:r>
        <w:rPr>
          <w:noProof/>
        </w:rPr>
        <w:br/>
      </w:r>
      <w:r>
        <w:rPr>
          <w:noProof/>
        </w:rPr>
        <w:tab/>
        <w:t>básica y media, sólo se incrementaron 70 becas en educación superior.</w:t>
      </w:r>
    </w:p>
    <w:p w:rsidR="00000000" w:rsidRDefault="00000000">
      <w:pPr>
        <w:spacing w:after="240"/>
        <w:jc w:val="center"/>
        <w:outlineLvl w:val="0"/>
        <w:rPr>
          <w:b/>
          <w:noProof/>
          <w:color w:val="000000"/>
        </w:rPr>
      </w:pPr>
      <w:r>
        <w:rPr>
          <w:bCs/>
          <w:noProof/>
          <w:color w:val="000000"/>
        </w:rPr>
        <w:br w:type="page"/>
      </w:r>
      <w:r>
        <w:rPr>
          <w:b/>
          <w:noProof/>
          <w:color w:val="000000"/>
        </w:rPr>
        <w:t>Cuadro 26</w:t>
      </w:r>
    </w:p>
    <w:p w:rsidR="00000000" w:rsidRDefault="00000000">
      <w:pPr>
        <w:spacing w:after="240"/>
        <w:jc w:val="center"/>
        <w:rPr>
          <w:bCs/>
          <w:noProof/>
          <w:color w:val="000000"/>
        </w:rPr>
      </w:pPr>
      <w:r>
        <w:rPr>
          <w:b/>
          <w:noProof/>
          <w:color w:val="000000"/>
        </w:rPr>
        <w:t>Beneficiarios de los programas de apoyo integral</w:t>
      </w:r>
    </w:p>
    <w:tbl>
      <w:tblPr>
        <w:tblW w:w="0" w:type="auto"/>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509"/>
        <w:gridCol w:w="1266"/>
        <w:gridCol w:w="1296"/>
        <w:gridCol w:w="1308"/>
        <w:gridCol w:w="1472"/>
        <w:gridCol w:w="1504"/>
      </w:tblGrid>
      <w:tr w:rsidR="00000000">
        <w:tblPrEx>
          <w:tblCellMar>
            <w:top w:w="0" w:type="dxa"/>
            <w:bottom w:w="0" w:type="dxa"/>
          </w:tblCellMar>
        </w:tblPrEx>
        <w:tc>
          <w:tcPr>
            <w:tcW w:w="2509" w:type="dxa"/>
            <w:tcBorders>
              <w:bottom w:val="single" w:sz="4" w:space="0" w:color="auto"/>
            </w:tcBorders>
          </w:tcPr>
          <w:p w:rsidR="00000000" w:rsidRDefault="00000000">
            <w:pPr>
              <w:jc w:val="center"/>
              <w:rPr>
                <w:b/>
                <w:noProof/>
                <w:color w:val="000000"/>
              </w:rPr>
            </w:pPr>
            <w:r>
              <w:rPr>
                <w:b/>
                <w:noProof/>
                <w:color w:val="000000"/>
              </w:rPr>
              <w:t>Programas</w:t>
            </w:r>
          </w:p>
        </w:tc>
        <w:tc>
          <w:tcPr>
            <w:tcW w:w="1266" w:type="dxa"/>
            <w:tcBorders>
              <w:bottom w:val="single" w:sz="4" w:space="0" w:color="auto"/>
            </w:tcBorders>
          </w:tcPr>
          <w:p w:rsidR="00000000" w:rsidRDefault="00000000">
            <w:pPr>
              <w:jc w:val="center"/>
              <w:rPr>
                <w:b/>
                <w:noProof/>
                <w:color w:val="000000"/>
              </w:rPr>
            </w:pPr>
            <w:r>
              <w:rPr>
                <w:b/>
                <w:noProof/>
                <w:color w:val="000000"/>
              </w:rPr>
              <w:t>1998</w:t>
            </w:r>
          </w:p>
        </w:tc>
        <w:tc>
          <w:tcPr>
            <w:tcW w:w="1296" w:type="dxa"/>
            <w:tcBorders>
              <w:bottom w:val="single" w:sz="4" w:space="0" w:color="auto"/>
            </w:tcBorders>
          </w:tcPr>
          <w:p w:rsidR="00000000" w:rsidRDefault="00000000">
            <w:pPr>
              <w:jc w:val="center"/>
              <w:rPr>
                <w:b/>
                <w:noProof/>
                <w:color w:val="000000"/>
              </w:rPr>
            </w:pPr>
            <w:r>
              <w:rPr>
                <w:b/>
                <w:noProof/>
                <w:color w:val="000000"/>
              </w:rPr>
              <w:t>1999</w:t>
            </w:r>
          </w:p>
        </w:tc>
        <w:tc>
          <w:tcPr>
            <w:tcW w:w="1308" w:type="dxa"/>
            <w:tcBorders>
              <w:bottom w:val="single" w:sz="4" w:space="0" w:color="auto"/>
            </w:tcBorders>
          </w:tcPr>
          <w:p w:rsidR="00000000" w:rsidRDefault="00000000">
            <w:pPr>
              <w:jc w:val="center"/>
              <w:rPr>
                <w:b/>
                <w:noProof/>
                <w:color w:val="000000"/>
              </w:rPr>
            </w:pPr>
            <w:r>
              <w:rPr>
                <w:b/>
                <w:noProof/>
                <w:color w:val="000000"/>
              </w:rPr>
              <w:t>2000</w:t>
            </w:r>
          </w:p>
        </w:tc>
        <w:tc>
          <w:tcPr>
            <w:tcW w:w="1472" w:type="dxa"/>
            <w:tcBorders>
              <w:bottom w:val="single" w:sz="4" w:space="0" w:color="auto"/>
            </w:tcBorders>
          </w:tcPr>
          <w:p w:rsidR="00000000" w:rsidRDefault="00000000">
            <w:pPr>
              <w:jc w:val="center"/>
              <w:rPr>
                <w:b/>
                <w:noProof/>
                <w:color w:val="000000"/>
              </w:rPr>
            </w:pPr>
            <w:r>
              <w:rPr>
                <w:b/>
                <w:noProof/>
                <w:color w:val="000000"/>
              </w:rPr>
              <w:t>2001</w:t>
            </w:r>
          </w:p>
        </w:tc>
        <w:tc>
          <w:tcPr>
            <w:tcW w:w="1504" w:type="dxa"/>
            <w:tcBorders>
              <w:bottom w:val="single" w:sz="4" w:space="0" w:color="auto"/>
            </w:tcBorders>
          </w:tcPr>
          <w:p w:rsidR="00000000" w:rsidRDefault="00000000">
            <w:pPr>
              <w:jc w:val="center"/>
              <w:rPr>
                <w:b/>
                <w:noProof/>
                <w:color w:val="000000"/>
              </w:rPr>
            </w:pPr>
            <w:r>
              <w:rPr>
                <w:b/>
                <w:noProof/>
                <w:color w:val="000000"/>
              </w:rPr>
              <w:t>2002</w:t>
            </w:r>
          </w:p>
        </w:tc>
      </w:tr>
      <w:tr w:rsidR="00000000">
        <w:tblPrEx>
          <w:tblCellMar>
            <w:top w:w="0" w:type="dxa"/>
            <w:bottom w:w="0" w:type="dxa"/>
          </w:tblCellMar>
        </w:tblPrEx>
        <w:tc>
          <w:tcPr>
            <w:tcW w:w="2509" w:type="dxa"/>
            <w:tcBorders>
              <w:bottom w:val="single" w:sz="4" w:space="0" w:color="auto"/>
            </w:tcBorders>
          </w:tcPr>
          <w:p w:rsidR="00000000" w:rsidRDefault="00000000">
            <w:pPr>
              <w:rPr>
                <w:bCs/>
                <w:noProof/>
                <w:color w:val="000000"/>
              </w:rPr>
            </w:pPr>
            <w:r>
              <w:rPr>
                <w:bCs/>
                <w:noProof/>
                <w:color w:val="000000"/>
              </w:rPr>
              <w:t>Vivienda estudiantil:</w:t>
            </w:r>
          </w:p>
        </w:tc>
        <w:tc>
          <w:tcPr>
            <w:tcW w:w="1266" w:type="dxa"/>
            <w:tcBorders>
              <w:bottom w:val="single" w:sz="4" w:space="0" w:color="auto"/>
            </w:tcBorders>
          </w:tcPr>
          <w:p w:rsidR="00000000" w:rsidRDefault="00000000">
            <w:pPr>
              <w:rPr>
                <w:bCs/>
                <w:noProof/>
                <w:color w:val="000000"/>
              </w:rPr>
            </w:pPr>
          </w:p>
        </w:tc>
        <w:tc>
          <w:tcPr>
            <w:tcW w:w="1296" w:type="dxa"/>
            <w:tcBorders>
              <w:bottom w:val="single" w:sz="4" w:space="0" w:color="auto"/>
            </w:tcBorders>
          </w:tcPr>
          <w:p w:rsidR="00000000" w:rsidRDefault="00000000">
            <w:pPr>
              <w:rPr>
                <w:bCs/>
                <w:noProof/>
                <w:color w:val="000000"/>
              </w:rPr>
            </w:pPr>
          </w:p>
        </w:tc>
        <w:tc>
          <w:tcPr>
            <w:tcW w:w="1308" w:type="dxa"/>
            <w:tcBorders>
              <w:bottom w:val="single" w:sz="4" w:space="0" w:color="auto"/>
            </w:tcBorders>
          </w:tcPr>
          <w:p w:rsidR="00000000" w:rsidRDefault="00000000">
            <w:pPr>
              <w:rPr>
                <w:bCs/>
                <w:noProof/>
                <w:color w:val="000000"/>
              </w:rPr>
            </w:pPr>
          </w:p>
        </w:tc>
        <w:tc>
          <w:tcPr>
            <w:tcW w:w="1472" w:type="dxa"/>
            <w:tcBorders>
              <w:bottom w:val="single" w:sz="4" w:space="0" w:color="auto"/>
            </w:tcBorders>
          </w:tcPr>
          <w:p w:rsidR="00000000" w:rsidRDefault="00000000">
            <w:pPr>
              <w:rPr>
                <w:bCs/>
                <w:noProof/>
                <w:color w:val="000000"/>
              </w:rPr>
            </w:pPr>
          </w:p>
        </w:tc>
        <w:tc>
          <w:tcPr>
            <w:tcW w:w="1504" w:type="dxa"/>
            <w:tcBorders>
              <w:bottom w:val="single" w:sz="4" w:space="0" w:color="auto"/>
            </w:tcBorders>
          </w:tcPr>
          <w:p w:rsidR="00000000" w:rsidRDefault="00000000">
            <w:pPr>
              <w:rPr>
                <w:bCs/>
                <w:noProof/>
                <w:color w:val="000000"/>
              </w:rPr>
            </w:pPr>
          </w:p>
        </w:tc>
      </w:tr>
      <w:tr w:rsidR="00000000">
        <w:tblPrEx>
          <w:tblCellMar>
            <w:top w:w="0" w:type="dxa"/>
            <w:bottom w:w="0" w:type="dxa"/>
          </w:tblCellMar>
        </w:tblPrEx>
        <w:tc>
          <w:tcPr>
            <w:tcW w:w="2509" w:type="dxa"/>
            <w:tcBorders>
              <w:top w:val="single" w:sz="4" w:space="0" w:color="auto"/>
            </w:tcBorders>
          </w:tcPr>
          <w:p w:rsidR="00000000" w:rsidRDefault="00000000">
            <w:pPr>
              <w:tabs>
                <w:tab w:val="left" w:pos="266"/>
              </w:tabs>
              <w:ind w:left="266" w:hanging="266"/>
              <w:rPr>
                <w:bCs/>
                <w:noProof/>
                <w:color w:val="000000"/>
              </w:rPr>
            </w:pPr>
            <w:r>
              <w:rPr>
                <w:bCs/>
                <w:noProof/>
                <w:color w:val="000000"/>
              </w:rPr>
              <w:tab/>
              <w:t>Residencia familiares estudiantil</w:t>
            </w:r>
          </w:p>
        </w:tc>
        <w:tc>
          <w:tcPr>
            <w:tcW w:w="1266" w:type="dxa"/>
            <w:tcBorders>
              <w:top w:val="single" w:sz="4" w:space="0" w:color="auto"/>
            </w:tcBorders>
            <w:vAlign w:val="bottom"/>
          </w:tcPr>
          <w:p w:rsidR="00000000" w:rsidRDefault="00000000">
            <w:pPr>
              <w:tabs>
                <w:tab w:val="decimal" w:pos="921"/>
              </w:tabs>
              <w:rPr>
                <w:bCs/>
                <w:noProof/>
                <w:color w:val="000000"/>
              </w:rPr>
            </w:pPr>
            <w:r>
              <w:rPr>
                <w:bCs/>
                <w:noProof/>
                <w:color w:val="000000"/>
              </w:rPr>
              <w:t>2.113</w:t>
            </w:r>
          </w:p>
        </w:tc>
        <w:tc>
          <w:tcPr>
            <w:tcW w:w="1296" w:type="dxa"/>
            <w:tcBorders>
              <w:top w:val="single" w:sz="4" w:space="0" w:color="auto"/>
            </w:tcBorders>
            <w:vAlign w:val="bottom"/>
          </w:tcPr>
          <w:p w:rsidR="00000000" w:rsidRDefault="00000000">
            <w:pPr>
              <w:tabs>
                <w:tab w:val="decimal" w:pos="971"/>
              </w:tabs>
              <w:rPr>
                <w:bCs/>
                <w:noProof/>
                <w:color w:val="000000"/>
              </w:rPr>
            </w:pPr>
            <w:r>
              <w:rPr>
                <w:bCs/>
                <w:noProof/>
                <w:color w:val="000000"/>
              </w:rPr>
              <w:t>2.967</w:t>
            </w:r>
          </w:p>
        </w:tc>
        <w:tc>
          <w:tcPr>
            <w:tcW w:w="1308" w:type="dxa"/>
            <w:tcBorders>
              <w:top w:val="single" w:sz="4" w:space="0" w:color="auto"/>
            </w:tcBorders>
            <w:vAlign w:val="bottom"/>
          </w:tcPr>
          <w:p w:rsidR="00000000" w:rsidRDefault="00000000">
            <w:pPr>
              <w:tabs>
                <w:tab w:val="decimal" w:pos="934"/>
              </w:tabs>
              <w:rPr>
                <w:bCs/>
                <w:noProof/>
                <w:color w:val="000000"/>
              </w:rPr>
            </w:pPr>
            <w:r>
              <w:rPr>
                <w:bCs/>
                <w:noProof/>
                <w:color w:val="000000"/>
              </w:rPr>
              <w:t>2.971</w:t>
            </w:r>
          </w:p>
        </w:tc>
        <w:tc>
          <w:tcPr>
            <w:tcW w:w="1472" w:type="dxa"/>
            <w:tcBorders>
              <w:top w:val="single" w:sz="4" w:space="0" w:color="auto"/>
            </w:tcBorders>
            <w:vAlign w:val="bottom"/>
          </w:tcPr>
          <w:p w:rsidR="00000000" w:rsidRDefault="00000000">
            <w:pPr>
              <w:tabs>
                <w:tab w:val="decimal" w:pos="1054"/>
              </w:tabs>
              <w:rPr>
                <w:bCs/>
                <w:noProof/>
                <w:color w:val="000000"/>
              </w:rPr>
            </w:pPr>
            <w:r>
              <w:rPr>
                <w:bCs/>
                <w:noProof/>
                <w:color w:val="000000"/>
              </w:rPr>
              <w:t>3.580</w:t>
            </w:r>
          </w:p>
        </w:tc>
        <w:tc>
          <w:tcPr>
            <w:tcW w:w="1504" w:type="dxa"/>
            <w:tcBorders>
              <w:top w:val="single" w:sz="4" w:space="0" w:color="auto"/>
            </w:tcBorders>
            <w:vAlign w:val="bottom"/>
          </w:tcPr>
          <w:p w:rsidR="00000000" w:rsidRDefault="00000000">
            <w:pPr>
              <w:tabs>
                <w:tab w:val="decimal" w:pos="1150"/>
              </w:tabs>
              <w:rPr>
                <w:bCs/>
                <w:noProof/>
                <w:color w:val="000000"/>
              </w:rPr>
            </w:pPr>
            <w:r>
              <w:rPr>
                <w:bCs/>
                <w:noProof/>
                <w:color w:val="000000"/>
              </w:rPr>
              <w:t>4.110</w:t>
            </w:r>
          </w:p>
        </w:tc>
      </w:tr>
      <w:tr w:rsidR="00000000">
        <w:tblPrEx>
          <w:tblCellMar>
            <w:top w:w="0" w:type="dxa"/>
            <w:bottom w:w="0" w:type="dxa"/>
          </w:tblCellMar>
        </w:tblPrEx>
        <w:tc>
          <w:tcPr>
            <w:tcW w:w="2509" w:type="dxa"/>
          </w:tcPr>
          <w:p w:rsidR="00000000" w:rsidRDefault="00000000">
            <w:pPr>
              <w:tabs>
                <w:tab w:val="left" w:pos="266"/>
              </w:tabs>
              <w:ind w:left="266" w:hanging="266"/>
              <w:rPr>
                <w:bCs/>
                <w:noProof/>
                <w:color w:val="000000"/>
              </w:rPr>
            </w:pPr>
            <w:r>
              <w:rPr>
                <w:bCs/>
                <w:noProof/>
                <w:color w:val="000000"/>
              </w:rPr>
              <w:tab/>
              <w:t>Hogares estudiantiles</w:t>
            </w:r>
          </w:p>
        </w:tc>
        <w:tc>
          <w:tcPr>
            <w:tcW w:w="1266" w:type="dxa"/>
          </w:tcPr>
          <w:p w:rsidR="00000000" w:rsidRDefault="00000000">
            <w:pPr>
              <w:tabs>
                <w:tab w:val="decimal" w:pos="921"/>
              </w:tabs>
              <w:rPr>
                <w:bCs/>
                <w:noProof/>
                <w:color w:val="000000"/>
              </w:rPr>
            </w:pPr>
            <w:r>
              <w:rPr>
                <w:bCs/>
                <w:noProof/>
                <w:color w:val="000000"/>
              </w:rPr>
              <w:t>3.542</w:t>
            </w:r>
          </w:p>
        </w:tc>
        <w:tc>
          <w:tcPr>
            <w:tcW w:w="1296" w:type="dxa"/>
          </w:tcPr>
          <w:p w:rsidR="00000000" w:rsidRDefault="00000000">
            <w:pPr>
              <w:tabs>
                <w:tab w:val="decimal" w:pos="971"/>
              </w:tabs>
              <w:rPr>
                <w:bCs/>
                <w:noProof/>
                <w:color w:val="000000"/>
              </w:rPr>
            </w:pPr>
            <w:r>
              <w:rPr>
                <w:bCs/>
                <w:noProof/>
                <w:color w:val="000000"/>
              </w:rPr>
              <w:t>3.245</w:t>
            </w:r>
          </w:p>
        </w:tc>
        <w:tc>
          <w:tcPr>
            <w:tcW w:w="1308" w:type="dxa"/>
          </w:tcPr>
          <w:p w:rsidR="00000000" w:rsidRDefault="00000000">
            <w:pPr>
              <w:tabs>
                <w:tab w:val="decimal" w:pos="934"/>
              </w:tabs>
              <w:rPr>
                <w:bCs/>
                <w:noProof/>
                <w:color w:val="000000"/>
              </w:rPr>
            </w:pPr>
            <w:r>
              <w:rPr>
                <w:bCs/>
                <w:noProof/>
                <w:color w:val="000000"/>
              </w:rPr>
              <w:t>3.516</w:t>
            </w:r>
          </w:p>
        </w:tc>
        <w:tc>
          <w:tcPr>
            <w:tcW w:w="1472" w:type="dxa"/>
          </w:tcPr>
          <w:p w:rsidR="00000000" w:rsidRDefault="00000000">
            <w:pPr>
              <w:tabs>
                <w:tab w:val="decimal" w:pos="1054"/>
              </w:tabs>
              <w:rPr>
                <w:bCs/>
                <w:noProof/>
                <w:color w:val="000000"/>
              </w:rPr>
            </w:pPr>
            <w:r>
              <w:rPr>
                <w:bCs/>
                <w:noProof/>
                <w:color w:val="000000"/>
              </w:rPr>
              <w:t>3.353</w:t>
            </w:r>
          </w:p>
        </w:tc>
        <w:tc>
          <w:tcPr>
            <w:tcW w:w="1504" w:type="dxa"/>
          </w:tcPr>
          <w:p w:rsidR="00000000" w:rsidRDefault="00000000">
            <w:pPr>
              <w:tabs>
                <w:tab w:val="decimal" w:pos="1150"/>
              </w:tabs>
              <w:rPr>
                <w:bCs/>
                <w:noProof/>
                <w:color w:val="000000"/>
              </w:rPr>
            </w:pPr>
            <w:r>
              <w:rPr>
                <w:bCs/>
                <w:noProof/>
                <w:color w:val="000000"/>
              </w:rPr>
              <w:t>3.342</w:t>
            </w:r>
          </w:p>
        </w:tc>
      </w:tr>
      <w:tr w:rsidR="00000000">
        <w:tblPrEx>
          <w:tblCellMar>
            <w:top w:w="0" w:type="dxa"/>
            <w:bottom w:w="0" w:type="dxa"/>
          </w:tblCellMar>
        </w:tblPrEx>
        <w:tc>
          <w:tcPr>
            <w:tcW w:w="2509" w:type="dxa"/>
          </w:tcPr>
          <w:p w:rsidR="00000000" w:rsidRDefault="00000000">
            <w:pPr>
              <w:rPr>
                <w:bCs/>
                <w:noProof/>
                <w:color w:val="000000"/>
              </w:rPr>
            </w:pPr>
            <w:r>
              <w:rPr>
                <w:bCs/>
                <w:noProof/>
                <w:color w:val="000000"/>
              </w:rPr>
              <w:t xml:space="preserve">Beca Internado </w:t>
            </w:r>
          </w:p>
        </w:tc>
        <w:tc>
          <w:tcPr>
            <w:tcW w:w="1266" w:type="dxa"/>
          </w:tcPr>
          <w:p w:rsidR="00000000" w:rsidRDefault="00000000">
            <w:pPr>
              <w:tabs>
                <w:tab w:val="decimal" w:pos="921"/>
              </w:tabs>
              <w:rPr>
                <w:bCs/>
                <w:noProof/>
                <w:color w:val="000000"/>
              </w:rPr>
            </w:pPr>
            <w:r>
              <w:rPr>
                <w:bCs/>
                <w:noProof/>
                <w:color w:val="000000"/>
              </w:rPr>
              <w:t>2.232</w:t>
            </w:r>
          </w:p>
        </w:tc>
        <w:tc>
          <w:tcPr>
            <w:tcW w:w="1296" w:type="dxa"/>
          </w:tcPr>
          <w:p w:rsidR="00000000" w:rsidRDefault="00000000">
            <w:pPr>
              <w:tabs>
                <w:tab w:val="decimal" w:pos="971"/>
              </w:tabs>
              <w:rPr>
                <w:bCs/>
                <w:noProof/>
                <w:color w:val="000000"/>
              </w:rPr>
            </w:pPr>
            <w:r>
              <w:rPr>
                <w:bCs/>
                <w:noProof/>
                <w:color w:val="000000"/>
              </w:rPr>
              <w:t>2.213</w:t>
            </w:r>
          </w:p>
        </w:tc>
        <w:tc>
          <w:tcPr>
            <w:tcW w:w="1308" w:type="dxa"/>
          </w:tcPr>
          <w:p w:rsidR="00000000" w:rsidRDefault="00000000">
            <w:pPr>
              <w:tabs>
                <w:tab w:val="decimal" w:pos="934"/>
              </w:tabs>
              <w:rPr>
                <w:bCs/>
                <w:noProof/>
                <w:color w:val="000000"/>
              </w:rPr>
            </w:pPr>
            <w:r>
              <w:rPr>
                <w:bCs/>
                <w:noProof/>
                <w:color w:val="000000"/>
              </w:rPr>
              <w:t>2.215</w:t>
            </w:r>
          </w:p>
        </w:tc>
        <w:tc>
          <w:tcPr>
            <w:tcW w:w="1472" w:type="dxa"/>
          </w:tcPr>
          <w:p w:rsidR="00000000" w:rsidRDefault="00000000">
            <w:pPr>
              <w:tabs>
                <w:tab w:val="decimal" w:pos="1054"/>
              </w:tabs>
              <w:rPr>
                <w:bCs/>
                <w:noProof/>
                <w:color w:val="000000"/>
              </w:rPr>
            </w:pPr>
            <w:r>
              <w:rPr>
                <w:bCs/>
                <w:noProof/>
                <w:color w:val="000000"/>
              </w:rPr>
              <w:t>2.219</w:t>
            </w:r>
          </w:p>
        </w:tc>
        <w:tc>
          <w:tcPr>
            <w:tcW w:w="1504" w:type="dxa"/>
          </w:tcPr>
          <w:p w:rsidR="00000000" w:rsidRDefault="00000000">
            <w:pPr>
              <w:tabs>
                <w:tab w:val="decimal" w:pos="1150"/>
              </w:tabs>
              <w:rPr>
                <w:bCs/>
                <w:noProof/>
                <w:color w:val="000000"/>
              </w:rPr>
            </w:pPr>
            <w:r>
              <w:rPr>
                <w:bCs/>
                <w:noProof/>
                <w:color w:val="000000"/>
              </w:rPr>
              <w:t>2.095</w:t>
            </w:r>
          </w:p>
        </w:tc>
      </w:tr>
      <w:tr w:rsidR="00000000">
        <w:tblPrEx>
          <w:tblCellMar>
            <w:top w:w="0" w:type="dxa"/>
            <w:bottom w:w="0" w:type="dxa"/>
          </w:tblCellMar>
        </w:tblPrEx>
        <w:tc>
          <w:tcPr>
            <w:tcW w:w="2509" w:type="dxa"/>
          </w:tcPr>
          <w:p w:rsidR="00000000" w:rsidRDefault="00000000">
            <w:pPr>
              <w:rPr>
                <w:bCs/>
                <w:noProof/>
                <w:color w:val="000000"/>
              </w:rPr>
            </w:pPr>
            <w:r>
              <w:rPr>
                <w:bCs/>
                <w:noProof/>
                <w:color w:val="000000"/>
              </w:rPr>
              <w:t>Beca Primera dama</w:t>
            </w:r>
          </w:p>
        </w:tc>
        <w:tc>
          <w:tcPr>
            <w:tcW w:w="1266" w:type="dxa"/>
          </w:tcPr>
          <w:p w:rsidR="00000000" w:rsidRDefault="00000000">
            <w:pPr>
              <w:tabs>
                <w:tab w:val="decimal" w:pos="921"/>
              </w:tabs>
              <w:rPr>
                <w:bCs/>
                <w:noProof/>
                <w:color w:val="000000"/>
              </w:rPr>
            </w:pPr>
            <w:r>
              <w:rPr>
                <w:bCs/>
                <w:noProof/>
                <w:color w:val="000000"/>
              </w:rPr>
              <w:t>686</w:t>
            </w:r>
          </w:p>
        </w:tc>
        <w:tc>
          <w:tcPr>
            <w:tcW w:w="1296" w:type="dxa"/>
          </w:tcPr>
          <w:p w:rsidR="00000000" w:rsidRDefault="00000000">
            <w:pPr>
              <w:tabs>
                <w:tab w:val="decimal" w:pos="971"/>
              </w:tabs>
              <w:rPr>
                <w:bCs/>
                <w:noProof/>
                <w:color w:val="000000"/>
              </w:rPr>
            </w:pPr>
            <w:r>
              <w:rPr>
                <w:bCs/>
                <w:noProof/>
                <w:color w:val="000000"/>
              </w:rPr>
              <w:t>788</w:t>
            </w:r>
          </w:p>
        </w:tc>
        <w:tc>
          <w:tcPr>
            <w:tcW w:w="1308" w:type="dxa"/>
          </w:tcPr>
          <w:p w:rsidR="00000000" w:rsidRDefault="00000000">
            <w:pPr>
              <w:tabs>
                <w:tab w:val="decimal" w:pos="934"/>
              </w:tabs>
              <w:rPr>
                <w:bCs/>
                <w:noProof/>
                <w:color w:val="000000"/>
              </w:rPr>
            </w:pPr>
            <w:r>
              <w:rPr>
                <w:bCs/>
                <w:noProof/>
                <w:color w:val="000000"/>
              </w:rPr>
              <w:t>908</w:t>
            </w:r>
          </w:p>
        </w:tc>
        <w:tc>
          <w:tcPr>
            <w:tcW w:w="1472" w:type="dxa"/>
          </w:tcPr>
          <w:p w:rsidR="00000000" w:rsidRDefault="00000000">
            <w:pPr>
              <w:tabs>
                <w:tab w:val="decimal" w:pos="1054"/>
              </w:tabs>
              <w:rPr>
                <w:bCs/>
                <w:noProof/>
                <w:color w:val="000000"/>
              </w:rPr>
            </w:pPr>
            <w:r>
              <w:rPr>
                <w:bCs/>
                <w:noProof/>
                <w:color w:val="000000"/>
              </w:rPr>
              <w:t>965</w:t>
            </w:r>
          </w:p>
        </w:tc>
        <w:tc>
          <w:tcPr>
            <w:tcW w:w="1504" w:type="dxa"/>
          </w:tcPr>
          <w:p w:rsidR="00000000" w:rsidRDefault="00000000">
            <w:pPr>
              <w:tabs>
                <w:tab w:val="decimal" w:pos="1150"/>
              </w:tabs>
              <w:rPr>
                <w:bCs/>
                <w:noProof/>
                <w:color w:val="000000"/>
              </w:rPr>
            </w:pPr>
            <w:r>
              <w:rPr>
                <w:bCs/>
                <w:noProof/>
                <w:color w:val="000000"/>
              </w:rPr>
              <w:t>1.080</w:t>
            </w:r>
          </w:p>
        </w:tc>
      </w:tr>
      <w:tr w:rsidR="00000000">
        <w:tblPrEx>
          <w:tblCellMar>
            <w:top w:w="0" w:type="dxa"/>
            <w:bottom w:w="0" w:type="dxa"/>
          </w:tblCellMar>
        </w:tblPrEx>
        <w:tc>
          <w:tcPr>
            <w:tcW w:w="2509" w:type="dxa"/>
          </w:tcPr>
          <w:p w:rsidR="00000000" w:rsidRDefault="00000000">
            <w:pPr>
              <w:rPr>
                <w:bCs/>
                <w:noProof/>
                <w:color w:val="000000"/>
              </w:rPr>
            </w:pPr>
            <w:r>
              <w:rPr>
                <w:bCs/>
                <w:noProof/>
                <w:color w:val="000000"/>
              </w:rPr>
              <w:t>Campamentos escolares</w:t>
            </w:r>
          </w:p>
        </w:tc>
        <w:tc>
          <w:tcPr>
            <w:tcW w:w="1266" w:type="dxa"/>
          </w:tcPr>
          <w:p w:rsidR="00000000" w:rsidRDefault="00000000">
            <w:pPr>
              <w:tabs>
                <w:tab w:val="decimal" w:pos="921"/>
              </w:tabs>
              <w:rPr>
                <w:bCs/>
                <w:noProof/>
                <w:color w:val="000000"/>
              </w:rPr>
            </w:pPr>
            <w:r>
              <w:rPr>
                <w:bCs/>
                <w:noProof/>
                <w:color w:val="000000"/>
              </w:rPr>
              <w:t>29.200</w:t>
            </w:r>
          </w:p>
        </w:tc>
        <w:tc>
          <w:tcPr>
            <w:tcW w:w="1296" w:type="dxa"/>
          </w:tcPr>
          <w:p w:rsidR="00000000" w:rsidRDefault="00000000">
            <w:pPr>
              <w:tabs>
                <w:tab w:val="decimal" w:pos="971"/>
              </w:tabs>
              <w:rPr>
                <w:bCs/>
                <w:noProof/>
                <w:color w:val="000000"/>
              </w:rPr>
            </w:pPr>
            <w:r>
              <w:rPr>
                <w:bCs/>
                <w:noProof/>
                <w:color w:val="000000"/>
              </w:rPr>
              <w:t>41.502</w:t>
            </w:r>
          </w:p>
        </w:tc>
        <w:tc>
          <w:tcPr>
            <w:tcW w:w="1308" w:type="dxa"/>
          </w:tcPr>
          <w:p w:rsidR="00000000" w:rsidRDefault="00000000">
            <w:pPr>
              <w:tabs>
                <w:tab w:val="decimal" w:pos="934"/>
              </w:tabs>
              <w:rPr>
                <w:bCs/>
                <w:noProof/>
                <w:color w:val="000000"/>
              </w:rPr>
            </w:pPr>
            <w:r>
              <w:rPr>
                <w:bCs/>
                <w:noProof/>
                <w:color w:val="000000"/>
              </w:rPr>
              <w:t>41.728</w:t>
            </w:r>
          </w:p>
        </w:tc>
        <w:tc>
          <w:tcPr>
            <w:tcW w:w="1472" w:type="dxa"/>
          </w:tcPr>
          <w:p w:rsidR="00000000" w:rsidRDefault="00000000">
            <w:pPr>
              <w:tabs>
                <w:tab w:val="decimal" w:pos="1054"/>
              </w:tabs>
              <w:rPr>
                <w:bCs/>
                <w:noProof/>
                <w:color w:val="000000"/>
              </w:rPr>
            </w:pPr>
            <w:r>
              <w:rPr>
                <w:bCs/>
                <w:noProof/>
                <w:color w:val="000000"/>
              </w:rPr>
              <w:t>42.578</w:t>
            </w:r>
          </w:p>
        </w:tc>
        <w:tc>
          <w:tcPr>
            <w:tcW w:w="1504" w:type="dxa"/>
          </w:tcPr>
          <w:p w:rsidR="00000000" w:rsidRDefault="00000000">
            <w:pPr>
              <w:tabs>
                <w:tab w:val="decimal" w:pos="1150"/>
              </w:tabs>
              <w:rPr>
                <w:bCs/>
                <w:noProof/>
                <w:color w:val="000000"/>
              </w:rPr>
            </w:pPr>
            <w:r>
              <w:rPr>
                <w:bCs/>
                <w:noProof/>
                <w:color w:val="000000"/>
              </w:rPr>
              <w:t>32.445</w:t>
            </w:r>
          </w:p>
        </w:tc>
      </w:tr>
      <w:tr w:rsidR="00000000">
        <w:tblPrEx>
          <w:tblCellMar>
            <w:top w:w="0" w:type="dxa"/>
            <w:bottom w:w="0" w:type="dxa"/>
          </w:tblCellMar>
        </w:tblPrEx>
        <w:tc>
          <w:tcPr>
            <w:tcW w:w="2509" w:type="dxa"/>
          </w:tcPr>
          <w:p w:rsidR="00000000" w:rsidRDefault="00000000">
            <w:pPr>
              <w:rPr>
                <w:bCs/>
                <w:noProof/>
                <w:color w:val="000000"/>
              </w:rPr>
            </w:pPr>
            <w:r>
              <w:rPr>
                <w:bCs/>
                <w:noProof/>
                <w:color w:val="000000"/>
              </w:rPr>
              <w:t>Útiles escolares</w:t>
            </w:r>
          </w:p>
        </w:tc>
        <w:tc>
          <w:tcPr>
            <w:tcW w:w="1266" w:type="dxa"/>
          </w:tcPr>
          <w:p w:rsidR="00000000" w:rsidRDefault="00000000">
            <w:pPr>
              <w:tabs>
                <w:tab w:val="decimal" w:pos="921"/>
              </w:tabs>
              <w:rPr>
                <w:bCs/>
                <w:noProof/>
                <w:color w:val="000000"/>
              </w:rPr>
            </w:pPr>
            <w:r>
              <w:rPr>
                <w:bCs/>
                <w:noProof/>
                <w:color w:val="000000"/>
              </w:rPr>
              <w:t>910.000</w:t>
            </w:r>
          </w:p>
        </w:tc>
        <w:tc>
          <w:tcPr>
            <w:tcW w:w="1296" w:type="dxa"/>
          </w:tcPr>
          <w:p w:rsidR="00000000" w:rsidRDefault="00000000">
            <w:pPr>
              <w:tabs>
                <w:tab w:val="decimal" w:pos="971"/>
              </w:tabs>
              <w:rPr>
                <w:bCs/>
                <w:noProof/>
                <w:color w:val="000000"/>
              </w:rPr>
            </w:pPr>
            <w:r>
              <w:rPr>
                <w:bCs/>
                <w:noProof/>
                <w:color w:val="000000"/>
              </w:rPr>
              <w:t>940.000</w:t>
            </w:r>
          </w:p>
        </w:tc>
        <w:tc>
          <w:tcPr>
            <w:tcW w:w="1308" w:type="dxa"/>
          </w:tcPr>
          <w:p w:rsidR="00000000" w:rsidRDefault="00000000">
            <w:pPr>
              <w:tabs>
                <w:tab w:val="decimal" w:pos="934"/>
              </w:tabs>
              <w:rPr>
                <w:bCs/>
                <w:noProof/>
                <w:color w:val="000000"/>
              </w:rPr>
            </w:pPr>
            <w:r>
              <w:rPr>
                <w:bCs/>
                <w:noProof/>
                <w:color w:val="000000"/>
              </w:rPr>
              <w:t>940.000</w:t>
            </w:r>
          </w:p>
        </w:tc>
        <w:tc>
          <w:tcPr>
            <w:tcW w:w="1472" w:type="dxa"/>
          </w:tcPr>
          <w:p w:rsidR="00000000" w:rsidRDefault="00000000">
            <w:pPr>
              <w:tabs>
                <w:tab w:val="decimal" w:pos="1054"/>
              </w:tabs>
              <w:rPr>
                <w:bCs/>
                <w:noProof/>
                <w:color w:val="000000"/>
              </w:rPr>
            </w:pPr>
            <w:r>
              <w:rPr>
                <w:bCs/>
                <w:noProof/>
                <w:color w:val="000000"/>
              </w:rPr>
              <w:t>947.000</w:t>
            </w:r>
          </w:p>
        </w:tc>
        <w:tc>
          <w:tcPr>
            <w:tcW w:w="1504" w:type="dxa"/>
          </w:tcPr>
          <w:p w:rsidR="00000000" w:rsidRDefault="00000000">
            <w:pPr>
              <w:tabs>
                <w:tab w:val="decimal" w:pos="1150"/>
              </w:tabs>
              <w:rPr>
                <w:bCs/>
                <w:noProof/>
                <w:color w:val="000000"/>
              </w:rPr>
            </w:pPr>
            <w:r>
              <w:rPr>
                <w:bCs/>
                <w:noProof/>
                <w:color w:val="000000"/>
              </w:rPr>
              <w:t>1.159.000</w:t>
            </w:r>
          </w:p>
        </w:tc>
      </w:tr>
    </w:tbl>
    <w:p w:rsidR="00000000" w:rsidRDefault="00000000">
      <w:pPr>
        <w:spacing w:before="240" w:after="480"/>
        <w:ind w:left="-6" w:firstLine="6"/>
        <w:rPr>
          <w:bCs/>
          <w:noProof/>
          <w:color w:val="000000"/>
        </w:rPr>
      </w:pPr>
      <w:r>
        <w:rPr>
          <w:bCs/>
          <w:i/>
          <w:iCs/>
          <w:noProof/>
          <w:color w:val="000000"/>
        </w:rPr>
        <w:t>Fuente</w:t>
      </w:r>
      <w:r>
        <w:rPr>
          <w:bCs/>
          <w:noProof/>
          <w:color w:val="000000"/>
        </w:rPr>
        <w:t>:  JUNAEB, 2003.</w:t>
      </w:r>
    </w:p>
    <w:p w:rsidR="00000000" w:rsidRDefault="00000000">
      <w:pPr>
        <w:spacing w:after="240"/>
        <w:jc w:val="center"/>
        <w:outlineLvl w:val="0"/>
        <w:rPr>
          <w:b/>
          <w:noProof/>
          <w:color w:val="000000"/>
        </w:rPr>
      </w:pPr>
      <w:r>
        <w:rPr>
          <w:b/>
          <w:noProof/>
          <w:color w:val="000000"/>
        </w:rPr>
        <w:t>Cuadro 27</w:t>
      </w:r>
    </w:p>
    <w:p w:rsidR="00000000" w:rsidRDefault="00000000">
      <w:pPr>
        <w:spacing w:after="360"/>
        <w:jc w:val="center"/>
        <w:rPr>
          <w:bCs/>
          <w:noProof/>
          <w:color w:val="000000"/>
        </w:rPr>
      </w:pPr>
      <w:r>
        <w:rPr>
          <w:b/>
          <w:noProof/>
          <w:color w:val="000000"/>
        </w:rPr>
        <w:t>Gráfico Beneficiarios.  Productos de Apoyo Integral</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ind w:left="-4" w:firstLine="4"/>
        <w:rPr>
          <w:bCs/>
          <w:noProof/>
          <w:color w:val="000000"/>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ind w:left="-4" w:firstLine="4"/>
        <w:rPr>
          <w:bCs/>
          <w:noProof/>
          <w:color w:val="000000"/>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ind w:left="-4" w:firstLine="4"/>
        <w:rPr>
          <w:bCs/>
          <w:noProof/>
          <w:color w:val="000000"/>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ind w:left="-4" w:firstLine="4"/>
        <w:rPr>
          <w:bCs/>
          <w:noProof/>
          <w:color w:val="000000"/>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ind w:left="-4" w:firstLine="4"/>
        <w:rPr>
          <w:bCs/>
          <w:noProof/>
          <w:color w:val="000000"/>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ind w:left="-4" w:firstLine="4"/>
        <w:rPr>
          <w:bCs/>
          <w:noProof/>
          <w:color w:val="000000"/>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ind w:left="-4" w:firstLine="4"/>
        <w:rPr>
          <w:bCs/>
          <w:noProof/>
          <w:color w:val="000000"/>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ind w:firstLine="6"/>
        <w:rPr>
          <w:bCs/>
          <w:noProof/>
          <w:color w:val="000000"/>
        </w:rPr>
      </w:pPr>
      <w:r>
        <w:rPr>
          <w:bCs/>
          <w:noProof/>
          <w:sz w:val="20"/>
        </w:rPr>
        <w:pict>
          <v:shape id="_x0000_s1035" type="#_x0000_t75" style="position:absolute;left:0;text-align:left;margin-left:70.9pt;margin-top:366.5pt;width:351.65pt;height:180.85pt;z-index:10;mso-position-vertical-relative:page" fillcolor="window">
            <v:imagedata r:id="rId22" o:title=""/>
            <w10:wrap anchory="page"/>
            <w10:anchorlock/>
          </v:shape>
          <o:OLEObject Type="Embed" ProgID="Excel.Chart.8" ShapeID="_x0000_s1035" DrawAspect="Content" ObjectID="_1394720797" r:id="rId23">
            <o:FieldCodes>\s</o:FieldCodes>
          </o:OLEObject>
        </w:pict>
      </w:r>
    </w:p>
    <w:p w:rsidR="00000000" w:rsidRDefault="00000000">
      <w:pPr>
        <w:tabs>
          <w:tab w:val="left" w:pos="1920"/>
        </w:tabs>
        <w:spacing w:after="240"/>
        <w:ind w:left="-6" w:firstLine="6"/>
        <w:rPr>
          <w:bCs/>
          <w:noProof/>
          <w:color w:val="000000"/>
        </w:rPr>
      </w:pPr>
      <w:r>
        <w:rPr>
          <w:bCs/>
          <w:noProof/>
          <w:color w:val="000000"/>
        </w:rPr>
        <w:tab/>
      </w:r>
      <w:r>
        <w:rPr>
          <w:bCs/>
          <w:i/>
          <w:iCs/>
          <w:noProof/>
          <w:color w:val="000000"/>
        </w:rPr>
        <w:t>Fuente</w:t>
      </w:r>
      <w:r>
        <w:rPr>
          <w:bCs/>
          <w:noProof/>
          <w:color w:val="000000"/>
        </w:rPr>
        <w:t>:  JUNAEB, 2003.</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ind w:left="-4" w:firstLine="4"/>
        <w:outlineLvl w:val="0"/>
        <w:rPr>
          <w:bCs/>
          <w:noProof/>
          <w:color w:val="000000"/>
        </w:rPr>
      </w:pPr>
    </w:p>
    <w:p w:rsidR="00000000" w:rsidRDefault="00000000">
      <w:pPr>
        <w:keepNext/>
        <w:keepLines/>
        <w:spacing w:after="240"/>
        <w:ind w:left="-6"/>
        <w:jc w:val="center"/>
        <w:outlineLvl w:val="0"/>
        <w:rPr>
          <w:b/>
          <w:noProof/>
          <w:color w:val="000000"/>
        </w:rPr>
      </w:pPr>
      <w:r>
        <w:rPr>
          <w:b/>
          <w:noProof/>
          <w:color w:val="000000"/>
        </w:rPr>
        <w:t>Cuadro 28</w:t>
      </w:r>
    </w:p>
    <w:p w:rsidR="00000000" w:rsidRDefault="00000000">
      <w:pPr>
        <w:keepNext/>
        <w:keepLines/>
        <w:spacing w:after="240"/>
        <w:ind w:left="-6"/>
        <w:jc w:val="center"/>
        <w:rPr>
          <w:bCs/>
          <w:noProof/>
          <w:color w:val="000000"/>
        </w:rPr>
      </w:pPr>
      <w:r>
        <w:rPr>
          <w:b/>
          <w:noProof/>
          <w:color w:val="000000"/>
        </w:rPr>
        <w:t>Evolución de presupuesto JUNAEB</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340"/>
        <w:gridCol w:w="2340"/>
        <w:gridCol w:w="2340"/>
        <w:gridCol w:w="2340"/>
      </w:tblGrid>
      <w:tr w:rsidR="00000000">
        <w:tblPrEx>
          <w:tblCellMar>
            <w:top w:w="0" w:type="dxa"/>
            <w:bottom w:w="0" w:type="dxa"/>
          </w:tblCellMar>
        </w:tblPrEx>
        <w:trPr>
          <w:cantSplit/>
          <w:jc w:val="center"/>
        </w:trPr>
        <w:tc>
          <w:tcPr>
            <w:tcW w:w="2340" w:type="dxa"/>
            <w:vMerge w:val="restart"/>
            <w:vAlign w:val="center"/>
          </w:tcPr>
          <w:p w:rsidR="00000000" w:rsidRDefault="00000000">
            <w:pPr>
              <w:keepNext/>
              <w:keepLines/>
              <w:jc w:val="center"/>
              <w:rPr>
                <w:b/>
                <w:noProof/>
                <w:color w:val="000000"/>
              </w:rPr>
            </w:pPr>
            <w:r>
              <w:rPr>
                <w:b/>
                <w:noProof/>
                <w:color w:val="000000"/>
              </w:rPr>
              <w:t>Año</w:t>
            </w:r>
          </w:p>
        </w:tc>
        <w:tc>
          <w:tcPr>
            <w:tcW w:w="2340" w:type="dxa"/>
            <w:vMerge w:val="restart"/>
            <w:vAlign w:val="center"/>
          </w:tcPr>
          <w:p w:rsidR="00000000" w:rsidRDefault="00000000">
            <w:pPr>
              <w:keepNext/>
              <w:keepLines/>
              <w:jc w:val="center"/>
              <w:rPr>
                <w:b/>
                <w:noProof/>
                <w:color w:val="000000"/>
              </w:rPr>
            </w:pPr>
            <w:r>
              <w:rPr>
                <w:b/>
                <w:noProof/>
                <w:color w:val="000000"/>
              </w:rPr>
              <w:t>Presupuesto anual asignado (dólares EE.UU.)</w:t>
            </w:r>
          </w:p>
        </w:tc>
        <w:tc>
          <w:tcPr>
            <w:tcW w:w="2340" w:type="dxa"/>
            <w:vAlign w:val="center"/>
          </w:tcPr>
          <w:p w:rsidR="00000000" w:rsidRDefault="00000000">
            <w:pPr>
              <w:keepNext/>
              <w:keepLines/>
              <w:jc w:val="center"/>
              <w:rPr>
                <w:b/>
                <w:noProof/>
                <w:color w:val="000000"/>
              </w:rPr>
            </w:pPr>
            <w:r>
              <w:rPr>
                <w:b/>
                <w:noProof/>
                <w:color w:val="000000"/>
              </w:rPr>
              <w:t>Inversión en programas</w:t>
            </w:r>
          </w:p>
        </w:tc>
        <w:tc>
          <w:tcPr>
            <w:tcW w:w="2340" w:type="dxa"/>
            <w:vAlign w:val="center"/>
          </w:tcPr>
          <w:p w:rsidR="00000000" w:rsidRDefault="00000000">
            <w:pPr>
              <w:keepNext/>
              <w:keepLines/>
              <w:jc w:val="center"/>
              <w:rPr>
                <w:b/>
                <w:noProof/>
                <w:color w:val="000000"/>
              </w:rPr>
            </w:pPr>
            <w:r>
              <w:rPr>
                <w:b/>
                <w:noProof/>
                <w:color w:val="000000"/>
              </w:rPr>
              <w:t>Gastos en administración</w:t>
            </w:r>
          </w:p>
        </w:tc>
      </w:tr>
      <w:tr w:rsidR="00000000">
        <w:tblPrEx>
          <w:tblCellMar>
            <w:top w:w="0" w:type="dxa"/>
            <w:bottom w:w="0" w:type="dxa"/>
          </w:tblCellMar>
        </w:tblPrEx>
        <w:trPr>
          <w:cantSplit/>
          <w:jc w:val="center"/>
        </w:trPr>
        <w:tc>
          <w:tcPr>
            <w:tcW w:w="2340" w:type="dxa"/>
            <w:vMerge/>
          </w:tcPr>
          <w:p w:rsidR="00000000" w:rsidRDefault="00000000">
            <w:pPr>
              <w:keepNext/>
              <w:keepLines/>
              <w:rPr>
                <w:bCs/>
                <w:noProof/>
                <w:color w:val="000000"/>
              </w:rPr>
            </w:pPr>
          </w:p>
        </w:tc>
        <w:tc>
          <w:tcPr>
            <w:tcW w:w="2340" w:type="dxa"/>
            <w:vMerge/>
          </w:tcPr>
          <w:p w:rsidR="00000000" w:rsidRDefault="00000000">
            <w:pPr>
              <w:keepNext/>
              <w:keepLines/>
              <w:rPr>
                <w:bCs/>
                <w:noProof/>
                <w:color w:val="000000"/>
              </w:rPr>
            </w:pPr>
          </w:p>
        </w:tc>
        <w:tc>
          <w:tcPr>
            <w:tcW w:w="4680" w:type="dxa"/>
            <w:gridSpan w:val="2"/>
          </w:tcPr>
          <w:p w:rsidR="00000000" w:rsidRDefault="00000000">
            <w:pPr>
              <w:keepNext/>
              <w:keepLines/>
              <w:jc w:val="center"/>
              <w:rPr>
                <w:bCs/>
                <w:noProof/>
                <w:color w:val="000000"/>
              </w:rPr>
            </w:pPr>
            <w:r>
              <w:rPr>
                <w:b/>
                <w:noProof/>
                <w:color w:val="000000"/>
              </w:rPr>
              <w:t>(En porcentaje)</w:t>
            </w:r>
          </w:p>
        </w:tc>
      </w:tr>
      <w:tr w:rsidR="00000000">
        <w:tblPrEx>
          <w:tblCellMar>
            <w:top w:w="0" w:type="dxa"/>
            <w:bottom w:w="0" w:type="dxa"/>
          </w:tblCellMar>
        </w:tblPrEx>
        <w:trPr>
          <w:jc w:val="center"/>
        </w:trPr>
        <w:tc>
          <w:tcPr>
            <w:tcW w:w="2340" w:type="dxa"/>
          </w:tcPr>
          <w:p w:rsidR="00000000" w:rsidRDefault="00000000">
            <w:pPr>
              <w:keepNext/>
              <w:keepLines/>
              <w:jc w:val="center"/>
              <w:rPr>
                <w:bCs/>
                <w:noProof/>
                <w:color w:val="000000"/>
              </w:rPr>
            </w:pPr>
            <w:r>
              <w:rPr>
                <w:bCs/>
                <w:noProof/>
                <w:color w:val="000000"/>
              </w:rPr>
              <w:t>1999</w:t>
            </w:r>
          </w:p>
        </w:tc>
        <w:tc>
          <w:tcPr>
            <w:tcW w:w="2340" w:type="dxa"/>
          </w:tcPr>
          <w:p w:rsidR="00000000" w:rsidRDefault="00000000">
            <w:pPr>
              <w:keepNext/>
              <w:keepLines/>
              <w:jc w:val="center"/>
              <w:rPr>
                <w:bCs/>
                <w:noProof/>
                <w:color w:val="000000"/>
              </w:rPr>
            </w:pPr>
            <w:r>
              <w:rPr>
                <w:bCs/>
                <w:noProof/>
                <w:color w:val="000000"/>
              </w:rPr>
              <w:t>99.438.360</w:t>
            </w:r>
          </w:p>
        </w:tc>
        <w:tc>
          <w:tcPr>
            <w:tcW w:w="2340" w:type="dxa"/>
          </w:tcPr>
          <w:p w:rsidR="00000000" w:rsidRDefault="00000000">
            <w:pPr>
              <w:tabs>
                <w:tab w:val="decimal" w:pos="1147"/>
              </w:tabs>
              <w:ind w:firstLine="6"/>
              <w:rPr>
                <w:bCs/>
                <w:noProof/>
                <w:color w:val="000000"/>
              </w:rPr>
            </w:pPr>
            <w:r>
              <w:rPr>
                <w:bCs/>
                <w:noProof/>
                <w:color w:val="000000"/>
              </w:rPr>
              <w:t>96,6</w:t>
            </w:r>
          </w:p>
        </w:tc>
        <w:tc>
          <w:tcPr>
            <w:tcW w:w="2340" w:type="dxa"/>
          </w:tcPr>
          <w:p w:rsidR="00000000" w:rsidRDefault="00000000">
            <w:pPr>
              <w:tabs>
                <w:tab w:val="decimal" w:pos="1087"/>
              </w:tabs>
              <w:ind w:firstLine="6"/>
              <w:rPr>
                <w:bCs/>
                <w:noProof/>
                <w:color w:val="000000"/>
              </w:rPr>
            </w:pPr>
            <w:r>
              <w:rPr>
                <w:bCs/>
                <w:noProof/>
                <w:color w:val="000000"/>
              </w:rPr>
              <w:t>3,4</w:t>
            </w:r>
          </w:p>
        </w:tc>
      </w:tr>
      <w:tr w:rsidR="00000000">
        <w:tblPrEx>
          <w:tblCellMar>
            <w:top w:w="0" w:type="dxa"/>
            <w:bottom w:w="0" w:type="dxa"/>
          </w:tblCellMar>
        </w:tblPrEx>
        <w:trPr>
          <w:jc w:val="center"/>
        </w:trPr>
        <w:tc>
          <w:tcPr>
            <w:tcW w:w="2340" w:type="dxa"/>
          </w:tcPr>
          <w:p w:rsidR="00000000" w:rsidRDefault="00000000">
            <w:pPr>
              <w:keepNext/>
              <w:keepLines/>
              <w:jc w:val="center"/>
              <w:rPr>
                <w:bCs/>
                <w:noProof/>
                <w:color w:val="000000"/>
              </w:rPr>
            </w:pPr>
            <w:r>
              <w:rPr>
                <w:bCs/>
                <w:noProof/>
                <w:color w:val="000000"/>
              </w:rPr>
              <w:t>2000</w:t>
            </w:r>
          </w:p>
        </w:tc>
        <w:tc>
          <w:tcPr>
            <w:tcW w:w="2340" w:type="dxa"/>
          </w:tcPr>
          <w:p w:rsidR="00000000" w:rsidRDefault="00000000">
            <w:pPr>
              <w:keepNext/>
              <w:keepLines/>
              <w:jc w:val="center"/>
              <w:rPr>
                <w:bCs/>
                <w:noProof/>
                <w:color w:val="000000"/>
              </w:rPr>
            </w:pPr>
            <w:r>
              <w:rPr>
                <w:bCs/>
                <w:noProof/>
                <w:color w:val="000000"/>
              </w:rPr>
              <w:t>111.065.586</w:t>
            </w:r>
          </w:p>
        </w:tc>
        <w:tc>
          <w:tcPr>
            <w:tcW w:w="2340" w:type="dxa"/>
          </w:tcPr>
          <w:p w:rsidR="00000000" w:rsidRDefault="00000000">
            <w:pPr>
              <w:tabs>
                <w:tab w:val="decimal" w:pos="1147"/>
              </w:tabs>
              <w:ind w:firstLine="6"/>
              <w:rPr>
                <w:bCs/>
                <w:noProof/>
                <w:color w:val="000000"/>
              </w:rPr>
            </w:pPr>
            <w:r>
              <w:rPr>
                <w:bCs/>
                <w:noProof/>
                <w:color w:val="000000"/>
              </w:rPr>
              <w:t>94,7</w:t>
            </w:r>
          </w:p>
        </w:tc>
        <w:tc>
          <w:tcPr>
            <w:tcW w:w="2340" w:type="dxa"/>
          </w:tcPr>
          <w:p w:rsidR="00000000" w:rsidRDefault="00000000">
            <w:pPr>
              <w:tabs>
                <w:tab w:val="decimal" w:pos="1087"/>
              </w:tabs>
              <w:ind w:firstLine="6"/>
              <w:rPr>
                <w:bCs/>
                <w:noProof/>
                <w:color w:val="000000"/>
              </w:rPr>
            </w:pPr>
            <w:r>
              <w:rPr>
                <w:bCs/>
                <w:noProof/>
                <w:color w:val="000000"/>
              </w:rPr>
              <w:t>5,3</w:t>
            </w:r>
          </w:p>
        </w:tc>
      </w:tr>
      <w:tr w:rsidR="00000000">
        <w:tblPrEx>
          <w:tblCellMar>
            <w:top w:w="0" w:type="dxa"/>
            <w:bottom w:w="0" w:type="dxa"/>
          </w:tblCellMar>
        </w:tblPrEx>
        <w:trPr>
          <w:jc w:val="center"/>
        </w:trPr>
        <w:tc>
          <w:tcPr>
            <w:tcW w:w="2340" w:type="dxa"/>
          </w:tcPr>
          <w:p w:rsidR="00000000" w:rsidRDefault="00000000">
            <w:pPr>
              <w:ind w:firstLine="6"/>
              <w:jc w:val="center"/>
              <w:rPr>
                <w:bCs/>
                <w:noProof/>
                <w:color w:val="000000"/>
              </w:rPr>
            </w:pPr>
            <w:r>
              <w:rPr>
                <w:bCs/>
                <w:noProof/>
                <w:color w:val="000000"/>
              </w:rPr>
              <w:t>2001</w:t>
            </w:r>
          </w:p>
        </w:tc>
        <w:tc>
          <w:tcPr>
            <w:tcW w:w="2340" w:type="dxa"/>
          </w:tcPr>
          <w:p w:rsidR="00000000" w:rsidRDefault="00000000">
            <w:pPr>
              <w:ind w:firstLine="6"/>
              <w:jc w:val="center"/>
              <w:rPr>
                <w:bCs/>
                <w:noProof/>
                <w:color w:val="000000"/>
              </w:rPr>
            </w:pPr>
            <w:r>
              <w:rPr>
                <w:bCs/>
                <w:noProof/>
                <w:color w:val="000000"/>
              </w:rPr>
              <w:t>127.992.209</w:t>
            </w:r>
          </w:p>
        </w:tc>
        <w:tc>
          <w:tcPr>
            <w:tcW w:w="2340" w:type="dxa"/>
          </w:tcPr>
          <w:p w:rsidR="00000000" w:rsidRDefault="00000000">
            <w:pPr>
              <w:tabs>
                <w:tab w:val="decimal" w:pos="1147"/>
              </w:tabs>
              <w:ind w:firstLine="6"/>
              <w:rPr>
                <w:bCs/>
                <w:noProof/>
                <w:color w:val="000000"/>
              </w:rPr>
            </w:pPr>
            <w:r>
              <w:rPr>
                <w:bCs/>
                <w:noProof/>
                <w:color w:val="000000"/>
              </w:rPr>
              <w:t>94,3</w:t>
            </w:r>
          </w:p>
        </w:tc>
        <w:tc>
          <w:tcPr>
            <w:tcW w:w="2340" w:type="dxa"/>
          </w:tcPr>
          <w:p w:rsidR="00000000" w:rsidRDefault="00000000">
            <w:pPr>
              <w:tabs>
                <w:tab w:val="decimal" w:pos="1087"/>
              </w:tabs>
              <w:ind w:firstLine="6"/>
              <w:rPr>
                <w:bCs/>
                <w:noProof/>
                <w:color w:val="000000"/>
              </w:rPr>
            </w:pPr>
            <w:r>
              <w:rPr>
                <w:bCs/>
                <w:noProof/>
                <w:color w:val="000000"/>
              </w:rPr>
              <w:t>5,7</w:t>
            </w:r>
          </w:p>
        </w:tc>
      </w:tr>
      <w:tr w:rsidR="00000000">
        <w:tblPrEx>
          <w:tblCellMar>
            <w:top w:w="0" w:type="dxa"/>
            <w:bottom w:w="0" w:type="dxa"/>
          </w:tblCellMar>
        </w:tblPrEx>
        <w:trPr>
          <w:jc w:val="center"/>
        </w:trPr>
        <w:tc>
          <w:tcPr>
            <w:tcW w:w="2340" w:type="dxa"/>
          </w:tcPr>
          <w:p w:rsidR="00000000" w:rsidRDefault="00000000">
            <w:pPr>
              <w:ind w:firstLine="6"/>
              <w:jc w:val="center"/>
              <w:rPr>
                <w:bCs/>
                <w:noProof/>
                <w:color w:val="000000"/>
              </w:rPr>
            </w:pPr>
            <w:r>
              <w:rPr>
                <w:bCs/>
                <w:noProof/>
                <w:color w:val="000000"/>
              </w:rPr>
              <w:t>2002</w:t>
            </w:r>
          </w:p>
        </w:tc>
        <w:tc>
          <w:tcPr>
            <w:tcW w:w="2340" w:type="dxa"/>
          </w:tcPr>
          <w:p w:rsidR="00000000" w:rsidRDefault="00000000">
            <w:pPr>
              <w:ind w:firstLine="6"/>
              <w:jc w:val="center"/>
              <w:rPr>
                <w:bCs/>
                <w:noProof/>
                <w:color w:val="000000"/>
              </w:rPr>
            </w:pPr>
            <w:r>
              <w:rPr>
                <w:bCs/>
                <w:noProof/>
                <w:color w:val="000000"/>
              </w:rPr>
              <w:t>135.604.223</w:t>
            </w:r>
          </w:p>
        </w:tc>
        <w:tc>
          <w:tcPr>
            <w:tcW w:w="2340" w:type="dxa"/>
          </w:tcPr>
          <w:p w:rsidR="00000000" w:rsidRDefault="00000000">
            <w:pPr>
              <w:tabs>
                <w:tab w:val="decimal" w:pos="1147"/>
              </w:tabs>
              <w:ind w:firstLine="6"/>
              <w:rPr>
                <w:bCs/>
                <w:noProof/>
                <w:color w:val="000000"/>
              </w:rPr>
            </w:pPr>
            <w:r>
              <w:rPr>
                <w:bCs/>
                <w:noProof/>
                <w:color w:val="000000"/>
              </w:rPr>
              <w:t>95</w:t>
            </w:r>
          </w:p>
        </w:tc>
        <w:tc>
          <w:tcPr>
            <w:tcW w:w="2340" w:type="dxa"/>
          </w:tcPr>
          <w:p w:rsidR="00000000" w:rsidRDefault="00000000">
            <w:pPr>
              <w:tabs>
                <w:tab w:val="decimal" w:pos="1087"/>
              </w:tabs>
              <w:ind w:firstLine="6"/>
              <w:rPr>
                <w:bCs/>
                <w:noProof/>
                <w:color w:val="000000"/>
              </w:rPr>
            </w:pPr>
            <w:r>
              <w:rPr>
                <w:bCs/>
                <w:noProof/>
                <w:color w:val="000000"/>
              </w:rPr>
              <w:t>5</w:t>
            </w:r>
          </w:p>
        </w:tc>
      </w:tr>
    </w:tbl>
    <w:p w:rsidR="00000000" w:rsidRDefault="00000000">
      <w:pPr>
        <w:keepNext/>
        <w:keepLines/>
        <w:spacing w:before="240" w:after="240"/>
        <w:rPr>
          <w:bCs/>
          <w:noProof/>
          <w:color w:val="000000"/>
        </w:rPr>
      </w:pPr>
      <w:r>
        <w:rPr>
          <w:bCs/>
          <w:i/>
          <w:iCs/>
          <w:noProof/>
          <w:color w:val="000000"/>
        </w:rPr>
        <w:t>Fuente</w:t>
      </w:r>
      <w:r>
        <w:rPr>
          <w:bCs/>
          <w:noProof/>
          <w:color w:val="000000"/>
        </w:rPr>
        <w:t>:  JUNAEB, 2003.</w:t>
      </w:r>
    </w:p>
    <w:p w:rsidR="00000000" w:rsidRDefault="00000000">
      <w:pPr>
        <w:keepNext/>
        <w:keepLines/>
        <w:spacing w:after="240"/>
        <w:ind w:left="-6"/>
        <w:jc w:val="center"/>
        <w:rPr>
          <w:b/>
          <w:noProof/>
          <w:color w:val="000000"/>
        </w:rPr>
      </w:pPr>
      <w:r>
        <w:rPr>
          <w:b/>
          <w:noProof/>
          <w:color w:val="000000"/>
        </w:rPr>
        <w:t>Cuadro 29</w:t>
      </w:r>
    </w:p>
    <w:p w:rsidR="00000000" w:rsidRDefault="00000000">
      <w:pPr>
        <w:keepNext/>
        <w:keepLines/>
        <w:spacing w:after="240"/>
        <w:ind w:left="-6"/>
        <w:jc w:val="center"/>
        <w:rPr>
          <w:bCs/>
          <w:noProof/>
          <w:color w:val="000000"/>
        </w:rPr>
      </w:pPr>
      <w:r>
        <w:rPr>
          <w:b/>
          <w:noProof/>
          <w:color w:val="000000"/>
        </w:rPr>
        <w:t>Establecimientos programa jardín infantil étnico presencial</w:t>
      </w:r>
      <w:r>
        <w:rPr>
          <w:b/>
          <w:noProof/>
          <w:color w:val="000000"/>
        </w:rPr>
        <w:br/>
        <w:t>por comuna.  Julio de 2003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275"/>
        <w:gridCol w:w="1651"/>
        <w:gridCol w:w="2433"/>
      </w:tblGrid>
      <w:tr w:rsidR="00000000">
        <w:tblPrEx>
          <w:tblCellMar>
            <w:top w:w="0" w:type="dxa"/>
            <w:bottom w:w="0" w:type="dxa"/>
          </w:tblCellMar>
        </w:tblPrEx>
        <w:trPr>
          <w:tblHeader/>
          <w:jc w:val="center"/>
        </w:trPr>
        <w:tc>
          <w:tcPr>
            <w:tcW w:w="3275" w:type="dxa"/>
            <w:vAlign w:val="center"/>
          </w:tcPr>
          <w:p w:rsidR="00000000" w:rsidRDefault="00000000">
            <w:pPr>
              <w:jc w:val="center"/>
              <w:rPr>
                <w:b/>
                <w:noProof/>
                <w:color w:val="000000"/>
              </w:rPr>
            </w:pPr>
            <w:r>
              <w:rPr>
                <w:b/>
                <w:noProof/>
                <w:color w:val="000000"/>
              </w:rPr>
              <w:t>Pueblos indígenas</w:t>
            </w:r>
          </w:p>
        </w:tc>
        <w:tc>
          <w:tcPr>
            <w:tcW w:w="1651" w:type="dxa"/>
            <w:vAlign w:val="center"/>
          </w:tcPr>
          <w:p w:rsidR="00000000" w:rsidRDefault="00000000">
            <w:pPr>
              <w:jc w:val="center"/>
              <w:rPr>
                <w:b/>
                <w:noProof/>
                <w:color w:val="000000"/>
              </w:rPr>
            </w:pPr>
            <w:r>
              <w:rPr>
                <w:b/>
                <w:noProof/>
                <w:color w:val="000000"/>
              </w:rPr>
              <w:t>Locales</w:t>
            </w:r>
          </w:p>
        </w:tc>
        <w:tc>
          <w:tcPr>
            <w:tcW w:w="2433" w:type="dxa"/>
            <w:vAlign w:val="center"/>
          </w:tcPr>
          <w:p w:rsidR="00000000" w:rsidRDefault="00000000">
            <w:pPr>
              <w:jc w:val="center"/>
              <w:rPr>
                <w:b/>
                <w:noProof/>
                <w:color w:val="000000"/>
              </w:rPr>
            </w:pPr>
            <w:r>
              <w:rPr>
                <w:b/>
                <w:noProof/>
                <w:color w:val="000000"/>
              </w:rPr>
              <w:t>Niños y niñas</w:t>
            </w:r>
          </w:p>
        </w:tc>
      </w:tr>
      <w:tr w:rsidR="00000000">
        <w:tblPrEx>
          <w:tblCellMar>
            <w:top w:w="0" w:type="dxa"/>
            <w:bottom w:w="0" w:type="dxa"/>
          </w:tblCellMar>
        </w:tblPrEx>
        <w:trPr>
          <w:cantSplit/>
          <w:jc w:val="center"/>
        </w:trPr>
        <w:tc>
          <w:tcPr>
            <w:tcW w:w="3275" w:type="dxa"/>
            <w:vAlign w:val="center"/>
          </w:tcPr>
          <w:p w:rsidR="00000000" w:rsidRDefault="00000000">
            <w:pPr>
              <w:rPr>
                <w:bCs/>
                <w:noProof/>
                <w:color w:val="000000"/>
              </w:rPr>
            </w:pPr>
            <w:r>
              <w:rPr>
                <w:bCs/>
                <w:noProof/>
                <w:color w:val="000000"/>
              </w:rPr>
              <w:t>Aymaras</w:t>
            </w:r>
          </w:p>
        </w:tc>
        <w:tc>
          <w:tcPr>
            <w:tcW w:w="1651" w:type="dxa"/>
            <w:vAlign w:val="center"/>
          </w:tcPr>
          <w:p w:rsidR="00000000" w:rsidRDefault="00000000">
            <w:pPr>
              <w:tabs>
                <w:tab w:val="decimal" w:pos="893"/>
              </w:tabs>
              <w:rPr>
                <w:bCs/>
                <w:noProof/>
                <w:color w:val="000000"/>
              </w:rPr>
            </w:pPr>
            <w:r>
              <w:rPr>
                <w:bCs/>
                <w:noProof/>
                <w:color w:val="000000"/>
              </w:rPr>
              <w:t>16</w:t>
            </w:r>
          </w:p>
        </w:tc>
        <w:tc>
          <w:tcPr>
            <w:tcW w:w="2433" w:type="dxa"/>
            <w:vAlign w:val="center"/>
          </w:tcPr>
          <w:p w:rsidR="00000000" w:rsidRDefault="00000000">
            <w:pPr>
              <w:tabs>
                <w:tab w:val="decimal" w:pos="1397"/>
              </w:tabs>
              <w:rPr>
                <w:bCs/>
                <w:noProof/>
                <w:color w:val="000000"/>
              </w:rPr>
            </w:pPr>
            <w:r>
              <w:rPr>
                <w:bCs/>
                <w:noProof/>
                <w:color w:val="000000"/>
              </w:rPr>
              <w:t>220</w:t>
            </w:r>
          </w:p>
        </w:tc>
      </w:tr>
      <w:tr w:rsidR="00000000">
        <w:tblPrEx>
          <w:tblCellMar>
            <w:top w:w="0" w:type="dxa"/>
            <w:bottom w:w="0" w:type="dxa"/>
          </w:tblCellMar>
        </w:tblPrEx>
        <w:trPr>
          <w:cantSplit/>
          <w:jc w:val="center"/>
        </w:trPr>
        <w:tc>
          <w:tcPr>
            <w:tcW w:w="3275" w:type="dxa"/>
            <w:vAlign w:val="center"/>
          </w:tcPr>
          <w:p w:rsidR="00000000" w:rsidRDefault="00000000">
            <w:pPr>
              <w:rPr>
                <w:bCs/>
                <w:noProof/>
                <w:color w:val="000000"/>
              </w:rPr>
            </w:pPr>
            <w:r>
              <w:rPr>
                <w:bCs/>
                <w:noProof/>
                <w:color w:val="000000"/>
              </w:rPr>
              <w:t>Atacameños</w:t>
            </w:r>
          </w:p>
        </w:tc>
        <w:tc>
          <w:tcPr>
            <w:tcW w:w="1651" w:type="dxa"/>
            <w:vAlign w:val="center"/>
          </w:tcPr>
          <w:p w:rsidR="00000000" w:rsidRDefault="00000000">
            <w:pPr>
              <w:tabs>
                <w:tab w:val="decimal" w:pos="893"/>
              </w:tabs>
              <w:rPr>
                <w:bCs/>
                <w:noProof/>
                <w:color w:val="000000"/>
              </w:rPr>
            </w:pPr>
            <w:r>
              <w:rPr>
                <w:bCs/>
                <w:noProof/>
                <w:color w:val="000000"/>
              </w:rPr>
              <w:t>3</w:t>
            </w:r>
          </w:p>
        </w:tc>
        <w:tc>
          <w:tcPr>
            <w:tcW w:w="2433" w:type="dxa"/>
            <w:vAlign w:val="center"/>
          </w:tcPr>
          <w:p w:rsidR="00000000" w:rsidRDefault="00000000">
            <w:pPr>
              <w:tabs>
                <w:tab w:val="decimal" w:pos="1397"/>
              </w:tabs>
              <w:rPr>
                <w:bCs/>
                <w:noProof/>
                <w:color w:val="000000"/>
              </w:rPr>
            </w:pPr>
            <w:r>
              <w:rPr>
                <w:bCs/>
                <w:noProof/>
                <w:color w:val="000000"/>
              </w:rPr>
              <w:t>51</w:t>
            </w:r>
          </w:p>
        </w:tc>
      </w:tr>
      <w:tr w:rsidR="00000000">
        <w:tblPrEx>
          <w:tblCellMar>
            <w:top w:w="0" w:type="dxa"/>
            <w:bottom w:w="0" w:type="dxa"/>
          </w:tblCellMar>
        </w:tblPrEx>
        <w:trPr>
          <w:cantSplit/>
          <w:jc w:val="center"/>
        </w:trPr>
        <w:tc>
          <w:tcPr>
            <w:tcW w:w="3275" w:type="dxa"/>
            <w:vAlign w:val="center"/>
          </w:tcPr>
          <w:p w:rsidR="00000000" w:rsidRDefault="00000000">
            <w:pPr>
              <w:rPr>
                <w:bCs/>
                <w:noProof/>
                <w:color w:val="000000"/>
              </w:rPr>
            </w:pPr>
            <w:r>
              <w:rPr>
                <w:bCs/>
                <w:noProof/>
                <w:color w:val="000000"/>
              </w:rPr>
              <w:t>Collas</w:t>
            </w:r>
          </w:p>
        </w:tc>
        <w:tc>
          <w:tcPr>
            <w:tcW w:w="1651" w:type="dxa"/>
            <w:vAlign w:val="center"/>
          </w:tcPr>
          <w:p w:rsidR="00000000" w:rsidRDefault="00000000">
            <w:pPr>
              <w:tabs>
                <w:tab w:val="decimal" w:pos="893"/>
              </w:tabs>
              <w:rPr>
                <w:bCs/>
                <w:noProof/>
                <w:color w:val="000000"/>
              </w:rPr>
            </w:pPr>
            <w:r>
              <w:rPr>
                <w:bCs/>
                <w:noProof/>
                <w:color w:val="000000"/>
              </w:rPr>
              <w:t>1</w:t>
            </w:r>
          </w:p>
        </w:tc>
        <w:tc>
          <w:tcPr>
            <w:tcW w:w="2433" w:type="dxa"/>
            <w:vAlign w:val="center"/>
          </w:tcPr>
          <w:p w:rsidR="00000000" w:rsidRDefault="00000000">
            <w:pPr>
              <w:tabs>
                <w:tab w:val="decimal" w:pos="1397"/>
              </w:tabs>
              <w:rPr>
                <w:bCs/>
                <w:noProof/>
                <w:color w:val="000000"/>
              </w:rPr>
            </w:pPr>
            <w:r>
              <w:rPr>
                <w:bCs/>
                <w:noProof/>
                <w:color w:val="000000"/>
              </w:rPr>
              <w:t>20</w:t>
            </w:r>
          </w:p>
        </w:tc>
      </w:tr>
      <w:tr w:rsidR="00000000">
        <w:tblPrEx>
          <w:tblCellMar>
            <w:top w:w="0" w:type="dxa"/>
            <w:bottom w:w="0" w:type="dxa"/>
          </w:tblCellMar>
        </w:tblPrEx>
        <w:trPr>
          <w:cantSplit/>
          <w:jc w:val="center"/>
        </w:trPr>
        <w:tc>
          <w:tcPr>
            <w:tcW w:w="3275" w:type="dxa"/>
            <w:vAlign w:val="center"/>
          </w:tcPr>
          <w:p w:rsidR="00000000" w:rsidRDefault="00000000">
            <w:pPr>
              <w:rPr>
                <w:bCs/>
                <w:noProof/>
                <w:color w:val="000000"/>
              </w:rPr>
            </w:pPr>
            <w:r>
              <w:rPr>
                <w:bCs/>
                <w:noProof/>
                <w:color w:val="000000"/>
              </w:rPr>
              <w:t>Rapanui</w:t>
            </w:r>
          </w:p>
        </w:tc>
        <w:tc>
          <w:tcPr>
            <w:tcW w:w="1651" w:type="dxa"/>
            <w:vAlign w:val="center"/>
          </w:tcPr>
          <w:p w:rsidR="00000000" w:rsidRDefault="00000000">
            <w:pPr>
              <w:tabs>
                <w:tab w:val="decimal" w:pos="893"/>
              </w:tabs>
              <w:rPr>
                <w:bCs/>
                <w:noProof/>
                <w:color w:val="000000"/>
              </w:rPr>
            </w:pPr>
            <w:r>
              <w:rPr>
                <w:bCs/>
                <w:noProof/>
                <w:color w:val="000000"/>
              </w:rPr>
              <w:t>1</w:t>
            </w:r>
          </w:p>
        </w:tc>
        <w:tc>
          <w:tcPr>
            <w:tcW w:w="2433" w:type="dxa"/>
            <w:vAlign w:val="center"/>
          </w:tcPr>
          <w:p w:rsidR="00000000" w:rsidRDefault="00000000">
            <w:pPr>
              <w:tabs>
                <w:tab w:val="decimal" w:pos="1397"/>
              </w:tabs>
              <w:rPr>
                <w:bCs/>
                <w:noProof/>
                <w:color w:val="000000"/>
              </w:rPr>
            </w:pPr>
            <w:r>
              <w:rPr>
                <w:bCs/>
                <w:noProof/>
                <w:color w:val="000000"/>
              </w:rPr>
              <w:t>64</w:t>
            </w:r>
          </w:p>
        </w:tc>
      </w:tr>
      <w:tr w:rsidR="00000000">
        <w:tblPrEx>
          <w:tblCellMar>
            <w:top w:w="0" w:type="dxa"/>
            <w:bottom w:w="0" w:type="dxa"/>
          </w:tblCellMar>
        </w:tblPrEx>
        <w:trPr>
          <w:cantSplit/>
          <w:jc w:val="center"/>
        </w:trPr>
        <w:tc>
          <w:tcPr>
            <w:tcW w:w="3275" w:type="dxa"/>
            <w:vAlign w:val="center"/>
          </w:tcPr>
          <w:p w:rsidR="00000000" w:rsidRDefault="00000000">
            <w:pPr>
              <w:rPr>
                <w:bCs/>
                <w:noProof/>
                <w:color w:val="000000"/>
              </w:rPr>
            </w:pPr>
            <w:r>
              <w:rPr>
                <w:bCs/>
                <w:noProof/>
                <w:color w:val="000000"/>
              </w:rPr>
              <w:t>Pehuenches</w:t>
            </w:r>
          </w:p>
        </w:tc>
        <w:tc>
          <w:tcPr>
            <w:tcW w:w="1651" w:type="dxa"/>
            <w:vAlign w:val="center"/>
          </w:tcPr>
          <w:p w:rsidR="00000000" w:rsidRDefault="00000000">
            <w:pPr>
              <w:tabs>
                <w:tab w:val="decimal" w:pos="893"/>
              </w:tabs>
              <w:rPr>
                <w:bCs/>
                <w:noProof/>
                <w:color w:val="000000"/>
              </w:rPr>
            </w:pPr>
            <w:r>
              <w:rPr>
                <w:bCs/>
                <w:noProof/>
                <w:color w:val="000000"/>
              </w:rPr>
              <w:t>6</w:t>
            </w:r>
          </w:p>
        </w:tc>
        <w:tc>
          <w:tcPr>
            <w:tcW w:w="2433" w:type="dxa"/>
            <w:vAlign w:val="center"/>
          </w:tcPr>
          <w:p w:rsidR="00000000" w:rsidRDefault="00000000">
            <w:pPr>
              <w:tabs>
                <w:tab w:val="decimal" w:pos="1397"/>
              </w:tabs>
              <w:rPr>
                <w:bCs/>
                <w:noProof/>
                <w:color w:val="000000"/>
              </w:rPr>
            </w:pPr>
            <w:r>
              <w:rPr>
                <w:bCs/>
                <w:noProof/>
                <w:color w:val="000000"/>
              </w:rPr>
              <w:t>143</w:t>
            </w:r>
          </w:p>
        </w:tc>
      </w:tr>
      <w:tr w:rsidR="00000000">
        <w:tblPrEx>
          <w:tblCellMar>
            <w:top w:w="0" w:type="dxa"/>
            <w:bottom w:w="0" w:type="dxa"/>
          </w:tblCellMar>
        </w:tblPrEx>
        <w:trPr>
          <w:cantSplit/>
          <w:jc w:val="center"/>
        </w:trPr>
        <w:tc>
          <w:tcPr>
            <w:tcW w:w="3275" w:type="dxa"/>
            <w:vAlign w:val="center"/>
          </w:tcPr>
          <w:p w:rsidR="00000000" w:rsidRDefault="00000000">
            <w:pPr>
              <w:rPr>
                <w:bCs/>
                <w:noProof/>
                <w:color w:val="000000"/>
              </w:rPr>
            </w:pPr>
            <w:r>
              <w:rPr>
                <w:bCs/>
                <w:noProof/>
                <w:color w:val="000000"/>
              </w:rPr>
              <w:t>Mapuches</w:t>
            </w:r>
          </w:p>
        </w:tc>
        <w:tc>
          <w:tcPr>
            <w:tcW w:w="1651" w:type="dxa"/>
            <w:vAlign w:val="center"/>
          </w:tcPr>
          <w:p w:rsidR="00000000" w:rsidRDefault="00000000">
            <w:pPr>
              <w:tabs>
                <w:tab w:val="decimal" w:pos="893"/>
              </w:tabs>
              <w:rPr>
                <w:bCs/>
                <w:noProof/>
                <w:color w:val="000000"/>
              </w:rPr>
            </w:pPr>
            <w:r>
              <w:rPr>
                <w:bCs/>
                <w:noProof/>
                <w:color w:val="000000"/>
              </w:rPr>
              <w:t>22</w:t>
            </w:r>
          </w:p>
        </w:tc>
        <w:tc>
          <w:tcPr>
            <w:tcW w:w="2433" w:type="dxa"/>
            <w:vAlign w:val="center"/>
          </w:tcPr>
          <w:p w:rsidR="00000000" w:rsidRDefault="00000000">
            <w:pPr>
              <w:tabs>
                <w:tab w:val="decimal" w:pos="1397"/>
              </w:tabs>
              <w:rPr>
                <w:bCs/>
                <w:noProof/>
                <w:color w:val="000000"/>
              </w:rPr>
            </w:pPr>
            <w:r>
              <w:rPr>
                <w:bCs/>
                <w:noProof/>
                <w:color w:val="000000"/>
              </w:rPr>
              <w:t>412</w:t>
            </w:r>
          </w:p>
        </w:tc>
      </w:tr>
      <w:tr w:rsidR="00000000">
        <w:tblPrEx>
          <w:tblCellMar>
            <w:top w:w="0" w:type="dxa"/>
            <w:bottom w:w="0" w:type="dxa"/>
          </w:tblCellMar>
        </w:tblPrEx>
        <w:trPr>
          <w:cantSplit/>
          <w:jc w:val="center"/>
        </w:trPr>
        <w:tc>
          <w:tcPr>
            <w:tcW w:w="3275" w:type="dxa"/>
            <w:vAlign w:val="center"/>
          </w:tcPr>
          <w:p w:rsidR="00000000" w:rsidRDefault="00000000">
            <w:pPr>
              <w:rPr>
                <w:bCs/>
                <w:noProof/>
                <w:color w:val="000000"/>
              </w:rPr>
            </w:pPr>
            <w:r>
              <w:rPr>
                <w:bCs/>
                <w:noProof/>
                <w:color w:val="000000"/>
              </w:rPr>
              <w:t>Huilliches</w:t>
            </w:r>
          </w:p>
        </w:tc>
        <w:tc>
          <w:tcPr>
            <w:tcW w:w="1651" w:type="dxa"/>
            <w:vAlign w:val="center"/>
          </w:tcPr>
          <w:p w:rsidR="00000000" w:rsidRDefault="00000000">
            <w:pPr>
              <w:tabs>
                <w:tab w:val="decimal" w:pos="893"/>
              </w:tabs>
              <w:rPr>
                <w:bCs/>
                <w:noProof/>
                <w:color w:val="000000"/>
              </w:rPr>
            </w:pPr>
            <w:r>
              <w:rPr>
                <w:bCs/>
                <w:noProof/>
                <w:color w:val="000000"/>
              </w:rPr>
              <w:t>17</w:t>
            </w:r>
          </w:p>
        </w:tc>
        <w:tc>
          <w:tcPr>
            <w:tcW w:w="2433" w:type="dxa"/>
            <w:vAlign w:val="center"/>
          </w:tcPr>
          <w:p w:rsidR="00000000" w:rsidRDefault="00000000">
            <w:pPr>
              <w:tabs>
                <w:tab w:val="decimal" w:pos="1397"/>
              </w:tabs>
              <w:rPr>
                <w:bCs/>
                <w:noProof/>
                <w:color w:val="000000"/>
              </w:rPr>
            </w:pPr>
            <w:r>
              <w:rPr>
                <w:bCs/>
                <w:noProof/>
                <w:color w:val="000000"/>
              </w:rPr>
              <w:t>306</w:t>
            </w:r>
          </w:p>
        </w:tc>
      </w:tr>
      <w:tr w:rsidR="00000000">
        <w:tblPrEx>
          <w:tblCellMar>
            <w:top w:w="0" w:type="dxa"/>
            <w:bottom w:w="0" w:type="dxa"/>
          </w:tblCellMar>
        </w:tblPrEx>
        <w:trPr>
          <w:jc w:val="center"/>
        </w:trPr>
        <w:tc>
          <w:tcPr>
            <w:tcW w:w="3275" w:type="dxa"/>
            <w:vAlign w:val="center"/>
          </w:tcPr>
          <w:p w:rsidR="00000000" w:rsidRDefault="00000000">
            <w:pPr>
              <w:rPr>
                <w:bCs/>
                <w:noProof/>
                <w:color w:val="000000"/>
              </w:rPr>
            </w:pPr>
            <w:r>
              <w:rPr>
                <w:bCs/>
                <w:noProof/>
                <w:color w:val="000000"/>
              </w:rPr>
              <w:t>Otros</w:t>
            </w:r>
          </w:p>
        </w:tc>
        <w:tc>
          <w:tcPr>
            <w:tcW w:w="1651" w:type="dxa"/>
            <w:vAlign w:val="center"/>
          </w:tcPr>
          <w:p w:rsidR="00000000" w:rsidRDefault="00000000">
            <w:pPr>
              <w:tabs>
                <w:tab w:val="decimal" w:pos="893"/>
              </w:tabs>
              <w:rPr>
                <w:bCs/>
                <w:noProof/>
                <w:color w:val="000000"/>
              </w:rPr>
            </w:pPr>
            <w:r>
              <w:rPr>
                <w:bCs/>
                <w:noProof/>
                <w:color w:val="000000"/>
              </w:rPr>
              <w:t>3</w:t>
            </w:r>
          </w:p>
        </w:tc>
        <w:tc>
          <w:tcPr>
            <w:tcW w:w="2433" w:type="dxa"/>
            <w:vAlign w:val="center"/>
          </w:tcPr>
          <w:p w:rsidR="00000000" w:rsidRDefault="00000000">
            <w:pPr>
              <w:tabs>
                <w:tab w:val="decimal" w:pos="1397"/>
              </w:tabs>
              <w:rPr>
                <w:bCs/>
                <w:noProof/>
                <w:color w:val="000000"/>
              </w:rPr>
            </w:pPr>
            <w:r>
              <w:rPr>
                <w:bCs/>
                <w:noProof/>
                <w:color w:val="000000"/>
              </w:rPr>
              <w:t>77</w:t>
            </w:r>
          </w:p>
        </w:tc>
      </w:tr>
      <w:tr w:rsidR="00000000">
        <w:tblPrEx>
          <w:tblCellMar>
            <w:top w:w="0" w:type="dxa"/>
            <w:bottom w:w="0" w:type="dxa"/>
          </w:tblCellMar>
        </w:tblPrEx>
        <w:trPr>
          <w:jc w:val="center"/>
        </w:trPr>
        <w:tc>
          <w:tcPr>
            <w:tcW w:w="3275" w:type="dxa"/>
            <w:vAlign w:val="center"/>
          </w:tcPr>
          <w:p w:rsidR="00000000" w:rsidRDefault="00000000">
            <w:pPr>
              <w:rPr>
                <w:bCs/>
                <w:noProof/>
                <w:color w:val="000000"/>
              </w:rPr>
            </w:pPr>
            <w:r>
              <w:rPr>
                <w:bCs/>
                <w:noProof/>
                <w:color w:val="000000"/>
              </w:rPr>
              <w:tab/>
              <w:t>Total</w:t>
            </w:r>
          </w:p>
        </w:tc>
        <w:tc>
          <w:tcPr>
            <w:tcW w:w="1651" w:type="dxa"/>
            <w:vAlign w:val="center"/>
          </w:tcPr>
          <w:p w:rsidR="00000000" w:rsidRDefault="00000000">
            <w:pPr>
              <w:tabs>
                <w:tab w:val="decimal" w:pos="893"/>
              </w:tabs>
              <w:rPr>
                <w:bCs/>
                <w:noProof/>
                <w:color w:val="000000"/>
              </w:rPr>
            </w:pPr>
            <w:r>
              <w:rPr>
                <w:bCs/>
                <w:noProof/>
                <w:color w:val="000000"/>
              </w:rPr>
              <w:t>69</w:t>
            </w:r>
          </w:p>
        </w:tc>
        <w:tc>
          <w:tcPr>
            <w:tcW w:w="2433" w:type="dxa"/>
            <w:vAlign w:val="center"/>
          </w:tcPr>
          <w:p w:rsidR="00000000" w:rsidRDefault="00000000">
            <w:pPr>
              <w:tabs>
                <w:tab w:val="decimal" w:pos="1397"/>
              </w:tabs>
              <w:rPr>
                <w:bCs/>
                <w:noProof/>
                <w:color w:val="000000"/>
              </w:rPr>
            </w:pPr>
            <w:r>
              <w:rPr>
                <w:bCs/>
                <w:noProof/>
                <w:color w:val="000000"/>
              </w:rPr>
              <w:t>1.293</w:t>
            </w:r>
          </w:p>
        </w:tc>
      </w:tr>
    </w:tbl>
    <w:p w:rsidR="00000000" w:rsidRDefault="00000000">
      <w:pPr>
        <w:tabs>
          <w:tab w:val="left" w:pos="1064"/>
        </w:tabs>
        <w:spacing w:before="240" w:after="360"/>
        <w:rPr>
          <w:bCs/>
          <w:noProof/>
          <w:color w:val="000000"/>
        </w:rPr>
      </w:pPr>
      <w:r>
        <w:rPr>
          <w:bCs/>
          <w:noProof/>
          <w:color w:val="000000"/>
        </w:rPr>
        <w:tab/>
      </w:r>
      <w:r>
        <w:rPr>
          <w:bCs/>
          <w:i/>
          <w:iCs/>
          <w:noProof/>
          <w:color w:val="000000"/>
        </w:rPr>
        <w:t>Fuente</w:t>
      </w:r>
      <w:r>
        <w:rPr>
          <w:bCs/>
          <w:noProof/>
          <w:color w:val="000000"/>
        </w:rPr>
        <w:t>:  JUNAEB, 2003.</w:t>
      </w:r>
    </w:p>
    <w:p w:rsidR="00000000" w:rsidRDefault="00000000">
      <w:pPr>
        <w:spacing w:after="240"/>
        <w:ind w:left="-4" w:firstLine="4"/>
        <w:jc w:val="center"/>
        <w:outlineLvl w:val="0"/>
        <w:rPr>
          <w:b/>
          <w:noProof/>
          <w:color w:val="000000"/>
        </w:rPr>
      </w:pPr>
      <w:r>
        <w:rPr>
          <w:b/>
          <w:noProof/>
          <w:color w:val="000000"/>
        </w:rPr>
        <w:t>Cuadro 30</w:t>
      </w:r>
    </w:p>
    <w:p w:rsidR="00000000" w:rsidRDefault="00000000">
      <w:pPr>
        <w:pStyle w:val="Heading2"/>
        <w:spacing w:after="240"/>
        <w:rPr>
          <w:b w:val="0"/>
          <w:bCs/>
          <w:lang w:val="es-ES"/>
        </w:rPr>
      </w:pPr>
      <w:r>
        <w:rPr>
          <w:caps w:val="0"/>
          <w:lang w:val="es-ES"/>
        </w:rPr>
        <w:t>Matrícula de proyectos de integración escolar</w:t>
      </w:r>
    </w:p>
    <w:tbl>
      <w:tblPr>
        <w:tblW w:w="0" w:type="auto"/>
        <w:jc w:val="center"/>
        <w:tblInd w:w="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508"/>
        <w:gridCol w:w="3925"/>
      </w:tblGrid>
      <w:tr w:rsidR="00000000">
        <w:tblPrEx>
          <w:tblCellMar>
            <w:top w:w="0" w:type="dxa"/>
            <w:bottom w:w="0" w:type="dxa"/>
          </w:tblCellMar>
        </w:tblPrEx>
        <w:trPr>
          <w:jc w:val="center"/>
        </w:trPr>
        <w:tc>
          <w:tcPr>
            <w:tcW w:w="2508" w:type="dxa"/>
            <w:vAlign w:val="center"/>
          </w:tcPr>
          <w:p w:rsidR="00000000" w:rsidRDefault="00000000">
            <w:pPr>
              <w:jc w:val="center"/>
              <w:rPr>
                <w:b/>
                <w:noProof/>
                <w:color w:val="000000"/>
              </w:rPr>
            </w:pPr>
            <w:r>
              <w:rPr>
                <w:b/>
                <w:noProof/>
                <w:color w:val="000000"/>
              </w:rPr>
              <w:t>Año</w:t>
            </w:r>
          </w:p>
        </w:tc>
        <w:tc>
          <w:tcPr>
            <w:tcW w:w="3925" w:type="dxa"/>
            <w:vAlign w:val="center"/>
          </w:tcPr>
          <w:p w:rsidR="00000000" w:rsidRDefault="00000000">
            <w:pPr>
              <w:jc w:val="center"/>
              <w:rPr>
                <w:b/>
                <w:noProof/>
                <w:color w:val="000000"/>
              </w:rPr>
            </w:pPr>
            <w:r>
              <w:rPr>
                <w:b/>
                <w:noProof/>
                <w:color w:val="000000"/>
              </w:rPr>
              <w:t>Alumnos integrados con proyectos de integración</w:t>
            </w:r>
          </w:p>
        </w:tc>
      </w:tr>
      <w:tr w:rsidR="00000000">
        <w:tblPrEx>
          <w:tblCellMar>
            <w:top w:w="0" w:type="dxa"/>
            <w:bottom w:w="0" w:type="dxa"/>
          </w:tblCellMar>
        </w:tblPrEx>
        <w:trPr>
          <w:jc w:val="center"/>
        </w:trPr>
        <w:tc>
          <w:tcPr>
            <w:tcW w:w="2508" w:type="dxa"/>
          </w:tcPr>
          <w:p w:rsidR="00000000" w:rsidRDefault="00000000">
            <w:pPr>
              <w:jc w:val="center"/>
              <w:rPr>
                <w:bCs/>
                <w:noProof/>
                <w:color w:val="000000"/>
              </w:rPr>
            </w:pPr>
            <w:r>
              <w:rPr>
                <w:bCs/>
                <w:noProof/>
                <w:color w:val="000000"/>
              </w:rPr>
              <w:t>1997</w:t>
            </w:r>
          </w:p>
        </w:tc>
        <w:tc>
          <w:tcPr>
            <w:tcW w:w="3925" w:type="dxa"/>
          </w:tcPr>
          <w:p w:rsidR="00000000" w:rsidRDefault="00000000">
            <w:pPr>
              <w:tabs>
                <w:tab w:val="decimal" w:pos="2176"/>
              </w:tabs>
              <w:rPr>
                <w:bCs/>
                <w:noProof/>
                <w:color w:val="000000"/>
              </w:rPr>
            </w:pPr>
            <w:r>
              <w:rPr>
                <w:bCs/>
                <w:noProof/>
                <w:color w:val="000000"/>
              </w:rPr>
              <w:t>3.365</w:t>
            </w:r>
          </w:p>
        </w:tc>
      </w:tr>
      <w:tr w:rsidR="00000000">
        <w:tblPrEx>
          <w:tblCellMar>
            <w:top w:w="0" w:type="dxa"/>
            <w:bottom w:w="0" w:type="dxa"/>
          </w:tblCellMar>
        </w:tblPrEx>
        <w:trPr>
          <w:jc w:val="center"/>
        </w:trPr>
        <w:tc>
          <w:tcPr>
            <w:tcW w:w="2508" w:type="dxa"/>
          </w:tcPr>
          <w:p w:rsidR="00000000" w:rsidRDefault="00000000">
            <w:pPr>
              <w:jc w:val="center"/>
              <w:rPr>
                <w:bCs/>
                <w:noProof/>
                <w:color w:val="000000"/>
              </w:rPr>
            </w:pPr>
            <w:r>
              <w:rPr>
                <w:bCs/>
                <w:noProof/>
                <w:color w:val="000000"/>
              </w:rPr>
              <w:t>1998</w:t>
            </w:r>
          </w:p>
        </w:tc>
        <w:tc>
          <w:tcPr>
            <w:tcW w:w="3925" w:type="dxa"/>
          </w:tcPr>
          <w:p w:rsidR="00000000" w:rsidRDefault="00000000">
            <w:pPr>
              <w:tabs>
                <w:tab w:val="decimal" w:pos="2176"/>
              </w:tabs>
              <w:rPr>
                <w:bCs/>
                <w:noProof/>
                <w:color w:val="000000"/>
              </w:rPr>
            </w:pPr>
            <w:r>
              <w:rPr>
                <w:bCs/>
                <w:noProof/>
                <w:color w:val="000000"/>
              </w:rPr>
              <w:t>5.339</w:t>
            </w:r>
          </w:p>
        </w:tc>
      </w:tr>
      <w:tr w:rsidR="00000000">
        <w:tblPrEx>
          <w:tblCellMar>
            <w:top w:w="0" w:type="dxa"/>
            <w:bottom w:w="0" w:type="dxa"/>
          </w:tblCellMar>
        </w:tblPrEx>
        <w:trPr>
          <w:jc w:val="center"/>
        </w:trPr>
        <w:tc>
          <w:tcPr>
            <w:tcW w:w="2508" w:type="dxa"/>
          </w:tcPr>
          <w:p w:rsidR="00000000" w:rsidRDefault="00000000">
            <w:pPr>
              <w:jc w:val="center"/>
              <w:rPr>
                <w:bCs/>
                <w:noProof/>
                <w:color w:val="000000"/>
              </w:rPr>
            </w:pPr>
            <w:r>
              <w:rPr>
                <w:bCs/>
                <w:noProof/>
                <w:color w:val="000000"/>
              </w:rPr>
              <w:t>1999</w:t>
            </w:r>
          </w:p>
        </w:tc>
        <w:tc>
          <w:tcPr>
            <w:tcW w:w="3925" w:type="dxa"/>
          </w:tcPr>
          <w:p w:rsidR="00000000" w:rsidRDefault="00000000">
            <w:pPr>
              <w:tabs>
                <w:tab w:val="decimal" w:pos="2176"/>
              </w:tabs>
              <w:rPr>
                <w:bCs/>
                <w:noProof/>
                <w:color w:val="000000"/>
              </w:rPr>
            </w:pPr>
            <w:r>
              <w:rPr>
                <w:bCs/>
                <w:noProof/>
                <w:color w:val="000000"/>
              </w:rPr>
              <w:t>6.200</w:t>
            </w:r>
          </w:p>
        </w:tc>
      </w:tr>
      <w:tr w:rsidR="00000000">
        <w:tblPrEx>
          <w:tblCellMar>
            <w:top w:w="0" w:type="dxa"/>
            <w:bottom w:w="0" w:type="dxa"/>
          </w:tblCellMar>
        </w:tblPrEx>
        <w:trPr>
          <w:jc w:val="center"/>
        </w:trPr>
        <w:tc>
          <w:tcPr>
            <w:tcW w:w="2508" w:type="dxa"/>
          </w:tcPr>
          <w:p w:rsidR="00000000" w:rsidRDefault="00000000">
            <w:pPr>
              <w:jc w:val="center"/>
              <w:rPr>
                <w:bCs/>
                <w:noProof/>
                <w:color w:val="000000"/>
              </w:rPr>
            </w:pPr>
            <w:r>
              <w:rPr>
                <w:bCs/>
                <w:noProof/>
                <w:color w:val="000000"/>
              </w:rPr>
              <w:t>2000</w:t>
            </w:r>
          </w:p>
        </w:tc>
        <w:tc>
          <w:tcPr>
            <w:tcW w:w="3925" w:type="dxa"/>
          </w:tcPr>
          <w:p w:rsidR="00000000" w:rsidRDefault="00000000">
            <w:pPr>
              <w:tabs>
                <w:tab w:val="decimal" w:pos="2176"/>
              </w:tabs>
              <w:rPr>
                <w:bCs/>
                <w:noProof/>
                <w:color w:val="000000"/>
              </w:rPr>
            </w:pPr>
            <w:r>
              <w:rPr>
                <w:bCs/>
                <w:noProof/>
                <w:color w:val="000000"/>
              </w:rPr>
              <w:t>10.705</w:t>
            </w:r>
          </w:p>
        </w:tc>
      </w:tr>
      <w:tr w:rsidR="00000000">
        <w:tblPrEx>
          <w:tblCellMar>
            <w:top w:w="0" w:type="dxa"/>
            <w:bottom w:w="0" w:type="dxa"/>
          </w:tblCellMar>
        </w:tblPrEx>
        <w:trPr>
          <w:jc w:val="center"/>
        </w:trPr>
        <w:tc>
          <w:tcPr>
            <w:tcW w:w="2508" w:type="dxa"/>
          </w:tcPr>
          <w:p w:rsidR="00000000" w:rsidRDefault="00000000">
            <w:pPr>
              <w:jc w:val="center"/>
              <w:rPr>
                <w:bCs/>
                <w:noProof/>
                <w:color w:val="000000"/>
              </w:rPr>
            </w:pPr>
            <w:r>
              <w:rPr>
                <w:bCs/>
                <w:noProof/>
                <w:color w:val="000000"/>
              </w:rPr>
              <w:t>2001</w:t>
            </w:r>
          </w:p>
        </w:tc>
        <w:tc>
          <w:tcPr>
            <w:tcW w:w="3925" w:type="dxa"/>
          </w:tcPr>
          <w:p w:rsidR="00000000" w:rsidRDefault="00000000">
            <w:pPr>
              <w:tabs>
                <w:tab w:val="decimal" w:pos="2176"/>
              </w:tabs>
              <w:rPr>
                <w:bCs/>
                <w:noProof/>
                <w:color w:val="000000"/>
              </w:rPr>
            </w:pPr>
            <w:r>
              <w:rPr>
                <w:bCs/>
                <w:noProof/>
                <w:color w:val="000000"/>
              </w:rPr>
              <w:t>11.500</w:t>
            </w:r>
          </w:p>
        </w:tc>
      </w:tr>
      <w:tr w:rsidR="00000000">
        <w:tblPrEx>
          <w:tblCellMar>
            <w:top w:w="0" w:type="dxa"/>
            <w:bottom w:w="0" w:type="dxa"/>
          </w:tblCellMar>
        </w:tblPrEx>
        <w:trPr>
          <w:jc w:val="center"/>
        </w:trPr>
        <w:tc>
          <w:tcPr>
            <w:tcW w:w="2508" w:type="dxa"/>
          </w:tcPr>
          <w:p w:rsidR="00000000" w:rsidRDefault="00000000">
            <w:pPr>
              <w:jc w:val="center"/>
              <w:rPr>
                <w:bCs/>
                <w:noProof/>
                <w:color w:val="000000"/>
              </w:rPr>
            </w:pPr>
            <w:r>
              <w:rPr>
                <w:bCs/>
                <w:noProof/>
                <w:color w:val="000000"/>
              </w:rPr>
              <w:t>2002</w:t>
            </w:r>
          </w:p>
        </w:tc>
        <w:tc>
          <w:tcPr>
            <w:tcW w:w="3925" w:type="dxa"/>
          </w:tcPr>
          <w:p w:rsidR="00000000" w:rsidRDefault="00000000">
            <w:pPr>
              <w:tabs>
                <w:tab w:val="decimal" w:pos="2176"/>
              </w:tabs>
              <w:rPr>
                <w:bCs/>
                <w:noProof/>
                <w:color w:val="000000"/>
              </w:rPr>
            </w:pPr>
            <w:r>
              <w:rPr>
                <w:bCs/>
                <w:noProof/>
                <w:color w:val="000000"/>
              </w:rPr>
              <w:t>14.756</w:t>
            </w:r>
          </w:p>
        </w:tc>
      </w:tr>
      <w:tr w:rsidR="00000000">
        <w:tblPrEx>
          <w:tblCellMar>
            <w:top w:w="0" w:type="dxa"/>
            <w:bottom w:w="0" w:type="dxa"/>
          </w:tblCellMar>
        </w:tblPrEx>
        <w:trPr>
          <w:jc w:val="center"/>
        </w:trPr>
        <w:tc>
          <w:tcPr>
            <w:tcW w:w="2508" w:type="dxa"/>
          </w:tcPr>
          <w:p w:rsidR="00000000" w:rsidRDefault="00000000">
            <w:pPr>
              <w:jc w:val="center"/>
              <w:rPr>
                <w:bCs/>
                <w:noProof/>
                <w:color w:val="000000"/>
              </w:rPr>
            </w:pPr>
            <w:r>
              <w:rPr>
                <w:bCs/>
                <w:noProof/>
                <w:color w:val="000000"/>
              </w:rPr>
              <w:t>2003</w:t>
            </w:r>
          </w:p>
        </w:tc>
        <w:tc>
          <w:tcPr>
            <w:tcW w:w="3925" w:type="dxa"/>
          </w:tcPr>
          <w:p w:rsidR="00000000" w:rsidRDefault="00000000">
            <w:pPr>
              <w:tabs>
                <w:tab w:val="decimal" w:pos="2176"/>
              </w:tabs>
              <w:rPr>
                <w:bCs/>
                <w:noProof/>
                <w:color w:val="000000"/>
              </w:rPr>
            </w:pPr>
            <w:r>
              <w:rPr>
                <w:bCs/>
                <w:noProof/>
                <w:color w:val="000000"/>
              </w:rPr>
              <w:t>18.000</w:t>
            </w:r>
          </w:p>
        </w:tc>
      </w:tr>
    </w:tbl>
    <w:p w:rsidR="00000000" w:rsidRDefault="00000000">
      <w:pPr>
        <w:tabs>
          <w:tab w:val="left" w:pos="1440"/>
        </w:tabs>
        <w:spacing w:before="240" w:after="600"/>
        <w:rPr>
          <w:bCs/>
          <w:noProof/>
          <w:color w:val="000000"/>
        </w:rPr>
      </w:pPr>
      <w:r>
        <w:rPr>
          <w:bCs/>
          <w:noProof/>
          <w:color w:val="000000"/>
        </w:rPr>
        <w:tab/>
      </w:r>
      <w:r>
        <w:rPr>
          <w:bCs/>
          <w:i/>
          <w:iCs/>
          <w:noProof/>
          <w:color w:val="000000"/>
        </w:rPr>
        <w:t>Fuente</w:t>
      </w:r>
      <w:r>
        <w:rPr>
          <w:bCs/>
          <w:noProof/>
          <w:color w:val="000000"/>
        </w:rPr>
        <w:t>:  MINEDUC, Programa de educación especial, 2003.</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ind w:left="-4" w:firstLine="4"/>
        <w:jc w:val="center"/>
        <w:outlineLvl w:val="0"/>
        <w:rPr>
          <w:b/>
          <w:noProof/>
          <w:color w:val="000000"/>
        </w:rPr>
      </w:pPr>
      <w:r>
        <w:rPr>
          <w:b/>
          <w:noProof/>
          <w:color w:val="000000"/>
        </w:rPr>
        <w:t>Cuadro 31</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ind w:left="-4" w:firstLine="4"/>
        <w:jc w:val="center"/>
        <w:rPr>
          <w:bCs/>
          <w:noProof/>
          <w:color w:val="000000"/>
        </w:rPr>
      </w:pPr>
      <w:r>
        <w:rPr>
          <w:b/>
          <w:noProof/>
          <w:color w:val="000000"/>
        </w:rPr>
        <w:t>Matrícula en escuelas y aulas hospitalarias</w:t>
      </w:r>
    </w:p>
    <w:tbl>
      <w:tblPr>
        <w:tblW w:w="0" w:type="auto"/>
        <w:jc w:val="center"/>
        <w:tblInd w:w="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221"/>
        <w:gridCol w:w="4112"/>
      </w:tblGrid>
      <w:tr w:rsidR="00000000">
        <w:tblPrEx>
          <w:tblCellMar>
            <w:top w:w="0" w:type="dxa"/>
            <w:bottom w:w="0" w:type="dxa"/>
          </w:tblCellMar>
        </w:tblPrEx>
        <w:trPr>
          <w:jc w:val="center"/>
        </w:trPr>
        <w:tc>
          <w:tcPr>
            <w:tcW w:w="2221" w:type="dxa"/>
            <w:vAlign w:val="center"/>
          </w:tcPr>
          <w:p w:rsidR="00000000" w:rsidRDefault="00000000">
            <w:pPr>
              <w:ind w:firstLine="6"/>
              <w:jc w:val="center"/>
              <w:rPr>
                <w:b/>
                <w:noProof/>
                <w:color w:val="000000"/>
              </w:rPr>
            </w:pPr>
            <w:r>
              <w:rPr>
                <w:b/>
                <w:noProof/>
                <w:color w:val="000000"/>
              </w:rPr>
              <w:t>Año</w:t>
            </w:r>
          </w:p>
        </w:tc>
        <w:tc>
          <w:tcPr>
            <w:tcW w:w="4112" w:type="dxa"/>
          </w:tcPr>
          <w:p w:rsidR="00000000" w:rsidRDefault="00000000">
            <w:pPr>
              <w:ind w:firstLine="6"/>
              <w:jc w:val="center"/>
              <w:rPr>
                <w:b/>
                <w:noProof/>
                <w:color w:val="000000"/>
              </w:rPr>
            </w:pPr>
            <w:r>
              <w:rPr>
                <w:b/>
                <w:noProof/>
                <w:color w:val="000000"/>
              </w:rPr>
              <w:t>Matrícula total de escuelas y</w:t>
            </w:r>
            <w:r>
              <w:rPr>
                <w:b/>
                <w:noProof/>
                <w:color w:val="000000"/>
              </w:rPr>
              <w:br/>
              <w:t>aulas hospitalarias</w:t>
            </w:r>
          </w:p>
        </w:tc>
      </w:tr>
      <w:tr w:rsidR="00000000">
        <w:tblPrEx>
          <w:tblCellMar>
            <w:top w:w="0" w:type="dxa"/>
            <w:bottom w:w="0" w:type="dxa"/>
          </w:tblCellMar>
        </w:tblPrEx>
        <w:trPr>
          <w:jc w:val="center"/>
        </w:trPr>
        <w:tc>
          <w:tcPr>
            <w:tcW w:w="2221" w:type="dxa"/>
          </w:tcPr>
          <w:p w:rsidR="00000000" w:rsidRDefault="00000000">
            <w:pPr>
              <w:ind w:firstLine="6"/>
              <w:jc w:val="center"/>
              <w:rPr>
                <w:bCs/>
                <w:noProof/>
                <w:color w:val="000000"/>
              </w:rPr>
            </w:pPr>
            <w:r>
              <w:rPr>
                <w:bCs/>
                <w:noProof/>
                <w:color w:val="000000"/>
              </w:rPr>
              <w:t>2002</w:t>
            </w:r>
          </w:p>
        </w:tc>
        <w:tc>
          <w:tcPr>
            <w:tcW w:w="4112" w:type="dxa"/>
          </w:tcPr>
          <w:p w:rsidR="00000000" w:rsidRDefault="00000000">
            <w:pPr>
              <w:ind w:firstLine="6"/>
              <w:jc w:val="center"/>
              <w:rPr>
                <w:bCs/>
                <w:noProof/>
                <w:color w:val="000000"/>
              </w:rPr>
            </w:pPr>
            <w:r>
              <w:rPr>
                <w:bCs/>
                <w:noProof/>
                <w:color w:val="000000"/>
              </w:rPr>
              <w:t>317</w:t>
            </w:r>
          </w:p>
        </w:tc>
      </w:tr>
      <w:tr w:rsidR="00000000">
        <w:tblPrEx>
          <w:tblCellMar>
            <w:top w:w="0" w:type="dxa"/>
            <w:bottom w:w="0" w:type="dxa"/>
          </w:tblCellMar>
        </w:tblPrEx>
        <w:trPr>
          <w:jc w:val="center"/>
        </w:trPr>
        <w:tc>
          <w:tcPr>
            <w:tcW w:w="2221" w:type="dxa"/>
          </w:tcPr>
          <w:p w:rsidR="00000000" w:rsidRDefault="00000000">
            <w:pPr>
              <w:ind w:firstLine="6"/>
              <w:jc w:val="center"/>
              <w:rPr>
                <w:bCs/>
                <w:noProof/>
                <w:color w:val="000000"/>
              </w:rPr>
            </w:pPr>
            <w:r>
              <w:rPr>
                <w:bCs/>
                <w:noProof/>
                <w:color w:val="000000"/>
              </w:rPr>
              <w:t>2003</w:t>
            </w:r>
          </w:p>
        </w:tc>
        <w:tc>
          <w:tcPr>
            <w:tcW w:w="4112" w:type="dxa"/>
          </w:tcPr>
          <w:p w:rsidR="00000000" w:rsidRDefault="00000000">
            <w:pPr>
              <w:ind w:firstLine="6"/>
              <w:jc w:val="center"/>
              <w:rPr>
                <w:bCs/>
                <w:noProof/>
                <w:color w:val="000000"/>
              </w:rPr>
            </w:pPr>
            <w:r>
              <w:rPr>
                <w:bCs/>
                <w:noProof/>
                <w:color w:val="000000"/>
              </w:rPr>
              <w:t>415</w:t>
            </w:r>
          </w:p>
        </w:tc>
      </w:tr>
    </w:tbl>
    <w:p w:rsidR="00000000" w:rsidRDefault="00000000">
      <w:pPr>
        <w:tabs>
          <w:tab w:val="left" w:pos="1526"/>
        </w:tabs>
        <w:spacing w:before="240" w:after="480"/>
        <w:rPr>
          <w:bCs/>
          <w:noProof/>
          <w:color w:val="000000"/>
        </w:rPr>
      </w:pPr>
      <w:r>
        <w:rPr>
          <w:bCs/>
          <w:noProof/>
          <w:color w:val="000000"/>
        </w:rPr>
        <w:tab/>
      </w:r>
      <w:r>
        <w:rPr>
          <w:bCs/>
          <w:i/>
          <w:iCs/>
          <w:noProof/>
          <w:color w:val="000000"/>
        </w:rPr>
        <w:t>Fuente</w:t>
      </w:r>
      <w:r>
        <w:rPr>
          <w:bCs/>
          <w:noProof/>
          <w:color w:val="000000"/>
        </w:rPr>
        <w:t>:  MINEDUC, Programa de educación especial.</w:t>
      </w:r>
    </w:p>
    <w:p w:rsidR="00000000" w:rsidRDefault="00000000">
      <w:pPr>
        <w:spacing w:after="240"/>
        <w:ind w:left="-6" w:firstLine="6"/>
        <w:jc w:val="center"/>
        <w:outlineLvl w:val="0"/>
        <w:rPr>
          <w:b/>
          <w:noProof/>
          <w:color w:val="000000"/>
        </w:rPr>
      </w:pPr>
      <w:r>
        <w:rPr>
          <w:b/>
          <w:noProof/>
          <w:color w:val="000000"/>
        </w:rPr>
        <w:t>Cuadro 32</w:t>
      </w:r>
    </w:p>
    <w:p w:rsidR="00000000" w:rsidRDefault="00000000">
      <w:pPr>
        <w:spacing w:after="240"/>
        <w:ind w:left="-6" w:firstLine="6"/>
        <w:jc w:val="center"/>
        <w:outlineLvl w:val="0"/>
        <w:rPr>
          <w:bCs/>
          <w:noProof/>
          <w:color w:val="000000"/>
        </w:rPr>
      </w:pPr>
      <w:r>
        <w:rPr>
          <w:b/>
          <w:noProof/>
          <w:color w:val="000000"/>
        </w:rPr>
        <w:t>Escuelas especiales</w:t>
      </w:r>
    </w:p>
    <w:tbl>
      <w:tblPr>
        <w:tblW w:w="0" w:type="auto"/>
        <w:jc w:val="center"/>
        <w:tblInd w:w="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237"/>
        <w:gridCol w:w="4200"/>
      </w:tblGrid>
      <w:tr w:rsidR="00000000">
        <w:tblPrEx>
          <w:tblCellMar>
            <w:top w:w="0" w:type="dxa"/>
            <w:bottom w:w="0" w:type="dxa"/>
          </w:tblCellMar>
        </w:tblPrEx>
        <w:trPr>
          <w:jc w:val="center"/>
        </w:trPr>
        <w:tc>
          <w:tcPr>
            <w:tcW w:w="2237" w:type="dxa"/>
          </w:tcPr>
          <w:p w:rsidR="00000000" w:rsidRDefault="00000000">
            <w:pPr>
              <w:pStyle w:val="Heading4"/>
              <w:tabs>
                <w:tab w:val="clear" w:pos="4"/>
                <w:tab w:val="clear" w:pos="712"/>
                <w:tab w:val="clear" w:pos="1420"/>
                <w:tab w:val="clear" w:pos="2128"/>
                <w:tab w:val="clear" w:pos="2836"/>
                <w:tab w:val="clear" w:pos="3544"/>
                <w:tab w:val="clear" w:pos="4252"/>
                <w:tab w:val="clear" w:pos="4960"/>
                <w:tab w:val="clear" w:pos="5668"/>
                <w:tab w:val="clear" w:pos="6376"/>
                <w:tab w:val="clear" w:pos="7084"/>
                <w:tab w:val="clear" w:pos="7792"/>
                <w:tab w:val="clear" w:pos="8500"/>
              </w:tabs>
              <w:spacing w:after="0"/>
              <w:ind w:firstLine="0"/>
              <w:rPr>
                <w:rFonts w:ascii="Times New Roman" w:hAnsi="Times New Roman"/>
                <w:lang w:val="es-ES"/>
              </w:rPr>
            </w:pPr>
            <w:r>
              <w:rPr>
                <w:rFonts w:ascii="Times New Roman" w:hAnsi="Times New Roman"/>
                <w:lang w:val="es-ES"/>
              </w:rPr>
              <w:t>Año</w:t>
            </w:r>
          </w:p>
        </w:tc>
        <w:tc>
          <w:tcPr>
            <w:tcW w:w="4200" w:type="dxa"/>
          </w:tcPr>
          <w:p w:rsidR="00000000" w:rsidRDefault="00000000">
            <w:pPr>
              <w:jc w:val="center"/>
              <w:rPr>
                <w:b/>
                <w:noProof/>
                <w:color w:val="000000"/>
              </w:rPr>
            </w:pPr>
            <w:r>
              <w:rPr>
                <w:b/>
                <w:noProof/>
                <w:color w:val="000000"/>
              </w:rPr>
              <w:t>Matrícula total de escuelas especiales</w:t>
            </w:r>
          </w:p>
        </w:tc>
      </w:tr>
      <w:tr w:rsidR="00000000">
        <w:tblPrEx>
          <w:tblCellMar>
            <w:top w:w="0" w:type="dxa"/>
            <w:bottom w:w="0" w:type="dxa"/>
          </w:tblCellMar>
        </w:tblPrEx>
        <w:trPr>
          <w:jc w:val="center"/>
        </w:trPr>
        <w:tc>
          <w:tcPr>
            <w:tcW w:w="2237" w:type="dxa"/>
          </w:tcPr>
          <w:p w:rsidR="00000000" w:rsidRDefault="00000000">
            <w:pPr>
              <w:jc w:val="center"/>
              <w:rPr>
                <w:bCs/>
                <w:noProof/>
                <w:color w:val="000000"/>
              </w:rPr>
            </w:pPr>
            <w:r>
              <w:rPr>
                <w:bCs/>
                <w:noProof/>
                <w:color w:val="000000"/>
              </w:rPr>
              <w:t>1998</w:t>
            </w:r>
          </w:p>
        </w:tc>
        <w:tc>
          <w:tcPr>
            <w:tcW w:w="4200" w:type="dxa"/>
          </w:tcPr>
          <w:p w:rsidR="00000000" w:rsidRDefault="00000000">
            <w:pPr>
              <w:jc w:val="center"/>
              <w:rPr>
                <w:bCs/>
                <w:noProof/>
                <w:color w:val="000000"/>
              </w:rPr>
            </w:pPr>
            <w:r>
              <w:rPr>
                <w:bCs/>
                <w:noProof/>
                <w:color w:val="000000"/>
              </w:rPr>
              <w:t>45.504</w:t>
            </w:r>
          </w:p>
        </w:tc>
      </w:tr>
      <w:tr w:rsidR="00000000">
        <w:tblPrEx>
          <w:tblCellMar>
            <w:top w:w="0" w:type="dxa"/>
            <w:bottom w:w="0" w:type="dxa"/>
          </w:tblCellMar>
        </w:tblPrEx>
        <w:trPr>
          <w:jc w:val="center"/>
        </w:trPr>
        <w:tc>
          <w:tcPr>
            <w:tcW w:w="2237" w:type="dxa"/>
          </w:tcPr>
          <w:p w:rsidR="00000000" w:rsidRDefault="00000000">
            <w:pPr>
              <w:jc w:val="center"/>
              <w:rPr>
                <w:bCs/>
                <w:noProof/>
                <w:color w:val="000000"/>
              </w:rPr>
            </w:pPr>
            <w:r>
              <w:rPr>
                <w:bCs/>
                <w:noProof/>
                <w:color w:val="000000"/>
              </w:rPr>
              <w:t>1999</w:t>
            </w:r>
          </w:p>
        </w:tc>
        <w:tc>
          <w:tcPr>
            <w:tcW w:w="4200" w:type="dxa"/>
          </w:tcPr>
          <w:p w:rsidR="00000000" w:rsidRDefault="00000000">
            <w:pPr>
              <w:jc w:val="center"/>
              <w:rPr>
                <w:bCs/>
                <w:noProof/>
                <w:color w:val="000000"/>
              </w:rPr>
            </w:pPr>
            <w:r>
              <w:rPr>
                <w:bCs/>
                <w:noProof/>
                <w:color w:val="000000"/>
              </w:rPr>
              <w:t>46.049</w:t>
            </w:r>
          </w:p>
        </w:tc>
      </w:tr>
      <w:tr w:rsidR="00000000">
        <w:tblPrEx>
          <w:tblCellMar>
            <w:top w:w="0" w:type="dxa"/>
            <w:bottom w:w="0" w:type="dxa"/>
          </w:tblCellMar>
        </w:tblPrEx>
        <w:trPr>
          <w:jc w:val="center"/>
        </w:trPr>
        <w:tc>
          <w:tcPr>
            <w:tcW w:w="2237" w:type="dxa"/>
          </w:tcPr>
          <w:p w:rsidR="00000000" w:rsidRDefault="00000000">
            <w:pPr>
              <w:jc w:val="center"/>
              <w:rPr>
                <w:bCs/>
                <w:noProof/>
                <w:color w:val="000000"/>
              </w:rPr>
            </w:pPr>
            <w:r>
              <w:rPr>
                <w:bCs/>
                <w:noProof/>
                <w:color w:val="000000"/>
              </w:rPr>
              <w:t>2000</w:t>
            </w:r>
          </w:p>
        </w:tc>
        <w:tc>
          <w:tcPr>
            <w:tcW w:w="4200" w:type="dxa"/>
          </w:tcPr>
          <w:p w:rsidR="00000000" w:rsidRDefault="00000000">
            <w:pPr>
              <w:jc w:val="center"/>
              <w:rPr>
                <w:bCs/>
                <w:noProof/>
                <w:color w:val="000000"/>
              </w:rPr>
            </w:pPr>
            <w:r>
              <w:rPr>
                <w:bCs/>
                <w:noProof/>
                <w:color w:val="000000"/>
              </w:rPr>
              <w:t>52.608</w:t>
            </w:r>
          </w:p>
        </w:tc>
      </w:tr>
      <w:tr w:rsidR="00000000">
        <w:tblPrEx>
          <w:tblCellMar>
            <w:top w:w="0" w:type="dxa"/>
            <w:bottom w:w="0" w:type="dxa"/>
          </w:tblCellMar>
        </w:tblPrEx>
        <w:trPr>
          <w:jc w:val="center"/>
        </w:trPr>
        <w:tc>
          <w:tcPr>
            <w:tcW w:w="2237" w:type="dxa"/>
          </w:tcPr>
          <w:p w:rsidR="00000000" w:rsidRDefault="00000000">
            <w:pPr>
              <w:jc w:val="center"/>
              <w:rPr>
                <w:bCs/>
                <w:noProof/>
                <w:color w:val="000000"/>
              </w:rPr>
            </w:pPr>
            <w:r>
              <w:rPr>
                <w:bCs/>
                <w:noProof/>
                <w:color w:val="000000"/>
              </w:rPr>
              <w:t>2001</w:t>
            </w:r>
          </w:p>
        </w:tc>
        <w:tc>
          <w:tcPr>
            <w:tcW w:w="4200" w:type="dxa"/>
          </w:tcPr>
          <w:p w:rsidR="00000000" w:rsidRDefault="00000000">
            <w:pPr>
              <w:jc w:val="center"/>
              <w:rPr>
                <w:bCs/>
                <w:noProof/>
                <w:color w:val="000000"/>
              </w:rPr>
            </w:pPr>
            <w:r>
              <w:rPr>
                <w:bCs/>
                <w:noProof/>
                <w:color w:val="000000"/>
              </w:rPr>
              <w:t>58.108</w:t>
            </w:r>
          </w:p>
        </w:tc>
      </w:tr>
      <w:tr w:rsidR="00000000">
        <w:tblPrEx>
          <w:tblCellMar>
            <w:top w:w="0" w:type="dxa"/>
            <w:bottom w:w="0" w:type="dxa"/>
          </w:tblCellMar>
        </w:tblPrEx>
        <w:trPr>
          <w:jc w:val="center"/>
        </w:trPr>
        <w:tc>
          <w:tcPr>
            <w:tcW w:w="2237" w:type="dxa"/>
          </w:tcPr>
          <w:p w:rsidR="00000000" w:rsidRDefault="00000000">
            <w:pPr>
              <w:jc w:val="center"/>
              <w:rPr>
                <w:bCs/>
                <w:noProof/>
                <w:color w:val="000000"/>
              </w:rPr>
            </w:pPr>
            <w:r>
              <w:rPr>
                <w:bCs/>
                <w:noProof/>
                <w:color w:val="000000"/>
              </w:rPr>
              <w:t>2002</w:t>
            </w:r>
          </w:p>
        </w:tc>
        <w:tc>
          <w:tcPr>
            <w:tcW w:w="4200" w:type="dxa"/>
          </w:tcPr>
          <w:p w:rsidR="00000000" w:rsidRDefault="00000000">
            <w:pPr>
              <w:jc w:val="center"/>
              <w:rPr>
                <w:bCs/>
                <w:noProof/>
                <w:color w:val="000000"/>
              </w:rPr>
            </w:pPr>
            <w:r>
              <w:rPr>
                <w:bCs/>
                <w:noProof/>
                <w:color w:val="000000"/>
              </w:rPr>
              <w:t>71.591</w:t>
            </w:r>
          </w:p>
        </w:tc>
      </w:tr>
      <w:tr w:rsidR="00000000">
        <w:tblPrEx>
          <w:tblCellMar>
            <w:top w:w="0" w:type="dxa"/>
            <w:bottom w:w="0" w:type="dxa"/>
          </w:tblCellMar>
        </w:tblPrEx>
        <w:trPr>
          <w:jc w:val="center"/>
        </w:trPr>
        <w:tc>
          <w:tcPr>
            <w:tcW w:w="2237" w:type="dxa"/>
          </w:tcPr>
          <w:p w:rsidR="00000000" w:rsidRDefault="00000000">
            <w:pPr>
              <w:jc w:val="center"/>
              <w:rPr>
                <w:bCs/>
                <w:noProof/>
                <w:color w:val="000000"/>
              </w:rPr>
            </w:pPr>
            <w:r>
              <w:rPr>
                <w:bCs/>
                <w:noProof/>
                <w:color w:val="000000"/>
              </w:rPr>
              <w:t>2003</w:t>
            </w:r>
          </w:p>
        </w:tc>
        <w:tc>
          <w:tcPr>
            <w:tcW w:w="4200" w:type="dxa"/>
          </w:tcPr>
          <w:p w:rsidR="00000000" w:rsidRDefault="00000000">
            <w:pPr>
              <w:jc w:val="center"/>
              <w:rPr>
                <w:bCs/>
                <w:noProof/>
                <w:color w:val="000000"/>
              </w:rPr>
            </w:pPr>
            <w:r>
              <w:rPr>
                <w:bCs/>
                <w:noProof/>
                <w:color w:val="000000"/>
              </w:rPr>
              <w:t>96.000</w:t>
            </w:r>
          </w:p>
        </w:tc>
      </w:tr>
    </w:tbl>
    <w:p w:rsidR="00000000" w:rsidRDefault="00000000">
      <w:pPr>
        <w:tabs>
          <w:tab w:val="left" w:pos="1440"/>
        </w:tabs>
        <w:spacing w:before="240" w:after="480"/>
        <w:rPr>
          <w:bCs/>
          <w:noProof/>
          <w:color w:val="000000"/>
        </w:rPr>
      </w:pPr>
      <w:r>
        <w:rPr>
          <w:bCs/>
          <w:noProof/>
          <w:color w:val="000000"/>
        </w:rPr>
        <w:tab/>
      </w:r>
      <w:r>
        <w:rPr>
          <w:bCs/>
          <w:i/>
          <w:iCs/>
          <w:noProof/>
          <w:color w:val="000000"/>
        </w:rPr>
        <w:t>Fuente</w:t>
      </w:r>
      <w:r>
        <w:rPr>
          <w:bCs/>
          <w:noProof/>
          <w:color w:val="000000"/>
        </w:rPr>
        <w:t>:  MINEDUC. Programa de educación especial.</w:t>
      </w:r>
    </w:p>
    <w:p w:rsidR="00000000" w:rsidRDefault="00000000">
      <w:pPr>
        <w:spacing w:after="240"/>
        <w:ind w:left="-4" w:firstLine="4"/>
        <w:jc w:val="center"/>
        <w:outlineLvl w:val="0"/>
        <w:rPr>
          <w:b/>
          <w:noProof/>
          <w:color w:val="000000"/>
        </w:rPr>
      </w:pPr>
      <w:r>
        <w:rPr>
          <w:b/>
          <w:noProof/>
          <w:color w:val="000000"/>
        </w:rPr>
        <w:t>Cuadro 33</w:t>
      </w:r>
    </w:p>
    <w:p w:rsidR="00000000" w:rsidRDefault="00000000">
      <w:pPr>
        <w:spacing w:after="240"/>
        <w:ind w:left="-4" w:firstLine="4"/>
        <w:jc w:val="center"/>
        <w:rPr>
          <w:b/>
          <w:noProof/>
          <w:color w:val="000000"/>
        </w:rPr>
      </w:pPr>
      <w:r>
        <w:rPr>
          <w:b/>
          <w:noProof/>
          <w:color w:val="000000"/>
        </w:rPr>
        <w:t>Docentes de aula según nivel de enseñanza</w:t>
      </w:r>
      <w:r>
        <w:rPr>
          <w:b/>
          <w:noProof/>
          <w:color w:val="000000"/>
          <w:vertAlign w:val="superscript"/>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061"/>
        <w:gridCol w:w="2466"/>
      </w:tblGrid>
      <w:tr w:rsidR="00000000">
        <w:tblPrEx>
          <w:tblCellMar>
            <w:top w:w="0" w:type="dxa"/>
            <w:bottom w:w="0" w:type="dxa"/>
          </w:tblCellMar>
        </w:tblPrEx>
        <w:trPr>
          <w:jc w:val="center"/>
        </w:trPr>
        <w:tc>
          <w:tcPr>
            <w:tcW w:w="3061"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6"/>
              <w:rPr>
                <w:bCs/>
                <w:noProof/>
                <w:color w:val="000000"/>
              </w:rPr>
            </w:pPr>
            <w:r>
              <w:rPr>
                <w:bCs/>
                <w:noProof/>
                <w:color w:val="000000"/>
              </w:rPr>
              <w:t>Educación Parvularia</w:t>
            </w:r>
          </w:p>
        </w:tc>
        <w:tc>
          <w:tcPr>
            <w:tcW w:w="2466" w:type="dxa"/>
          </w:tcPr>
          <w:p w:rsidR="00000000" w:rsidRDefault="00000000">
            <w:pPr>
              <w:tabs>
                <w:tab w:val="decimal" w:pos="1470"/>
              </w:tabs>
              <w:ind w:firstLine="6"/>
              <w:rPr>
                <w:bCs/>
                <w:noProof/>
                <w:color w:val="000000"/>
              </w:rPr>
            </w:pPr>
            <w:r>
              <w:rPr>
                <w:bCs/>
                <w:noProof/>
                <w:color w:val="000000"/>
              </w:rPr>
              <w:t>10.265</w:t>
            </w:r>
          </w:p>
        </w:tc>
      </w:tr>
      <w:tr w:rsidR="00000000">
        <w:tblPrEx>
          <w:tblCellMar>
            <w:top w:w="0" w:type="dxa"/>
            <w:bottom w:w="0" w:type="dxa"/>
          </w:tblCellMar>
        </w:tblPrEx>
        <w:trPr>
          <w:jc w:val="center"/>
        </w:trPr>
        <w:tc>
          <w:tcPr>
            <w:tcW w:w="3061"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6"/>
              <w:rPr>
                <w:bCs/>
                <w:noProof/>
                <w:color w:val="000000"/>
              </w:rPr>
            </w:pPr>
            <w:r>
              <w:rPr>
                <w:bCs/>
                <w:noProof/>
                <w:color w:val="000000"/>
              </w:rPr>
              <w:t>Educación Básica</w:t>
            </w:r>
          </w:p>
        </w:tc>
        <w:tc>
          <w:tcPr>
            <w:tcW w:w="2466" w:type="dxa"/>
          </w:tcPr>
          <w:p w:rsidR="00000000" w:rsidRDefault="00000000">
            <w:pPr>
              <w:tabs>
                <w:tab w:val="decimal" w:pos="1470"/>
              </w:tabs>
              <w:ind w:firstLine="6"/>
              <w:rPr>
                <w:bCs/>
                <w:noProof/>
                <w:color w:val="000000"/>
              </w:rPr>
            </w:pPr>
            <w:r>
              <w:rPr>
                <w:bCs/>
                <w:noProof/>
                <w:color w:val="000000"/>
              </w:rPr>
              <w:t>74.312</w:t>
            </w:r>
          </w:p>
        </w:tc>
      </w:tr>
      <w:tr w:rsidR="00000000">
        <w:tblPrEx>
          <w:tblCellMar>
            <w:top w:w="0" w:type="dxa"/>
            <w:bottom w:w="0" w:type="dxa"/>
          </w:tblCellMar>
        </w:tblPrEx>
        <w:trPr>
          <w:jc w:val="center"/>
        </w:trPr>
        <w:tc>
          <w:tcPr>
            <w:tcW w:w="3061"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6"/>
              <w:rPr>
                <w:bCs/>
                <w:noProof/>
                <w:color w:val="000000"/>
              </w:rPr>
            </w:pPr>
            <w:r>
              <w:rPr>
                <w:bCs/>
                <w:noProof/>
                <w:color w:val="000000"/>
              </w:rPr>
              <w:t>Educación Especial</w:t>
            </w:r>
          </w:p>
        </w:tc>
        <w:tc>
          <w:tcPr>
            <w:tcW w:w="2466" w:type="dxa"/>
          </w:tcPr>
          <w:p w:rsidR="00000000" w:rsidRDefault="00000000">
            <w:pPr>
              <w:tabs>
                <w:tab w:val="decimal" w:pos="1470"/>
              </w:tabs>
              <w:ind w:firstLine="6"/>
              <w:rPr>
                <w:bCs/>
                <w:noProof/>
                <w:color w:val="000000"/>
              </w:rPr>
            </w:pPr>
            <w:r>
              <w:rPr>
                <w:bCs/>
                <w:noProof/>
                <w:color w:val="000000"/>
              </w:rPr>
              <w:t>5.012</w:t>
            </w:r>
          </w:p>
        </w:tc>
      </w:tr>
      <w:tr w:rsidR="00000000">
        <w:tblPrEx>
          <w:tblCellMar>
            <w:top w:w="0" w:type="dxa"/>
            <w:bottom w:w="0" w:type="dxa"/>
          </w:tblCellMar>
        </w:tblPrEx>
        <w:trPr>
          <w:jc w:val="center"/>
        </w:trPr>
        <w:tc>
          <w:tcPr>
            <w:tcW w:w="3061"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6"/>
              <w:rPr>
                <w:bCs/>
                <w:noProof/>
                <w:color w:val="000000"/>
              </w:rPr>
            </w:pPr>
            <w:r>
              <w:rPr>
                <w:bCs/>
                <w:noProof/>
                <w:color w:val="000000"/>
              </w:rPr>
              <w:t>Educación Media</w:t>
            </w:r>
          </w:p>
        </w:tc>
        <w:tc>
          <w:tcPr>
            <w:tcW w:w="2466" w:type="dxa"/>
          </w:tcPr>
          <w:p w:rsidR="00000000" w:rsidRDefault="00000000">
            <w:pPr>
              <w:tabs>
                <w:tab w:val="decimal" w:pos="1470"/>
              </w:tabs>
              <w:ind w:firstLine="6"/>
              <w:rPr>
                <w:bCs/>
                <w:noProof/>
                <w:color w:val="000000"/>
              </w:rPr>
            </w:pPr>
            <w:r>
              <w:rPr>
                <w:bCs/>
                <w:noProof/>
                <w:color w:val="000000"/>
              </w:rPr>
              <w:t>34.050</w:t>
            </w:r>
          </w:p>
        </w:tc>
      </w:tr>
    </w:tbl>
    <w:p w:rsidR="00000000" w:rsidRDefault="00000000">
      <w:pPr>
        <w:tabs>
          <w:tab w:val="left" w:pos="1920"/>
        </w:tabs>
        <w:spacing w:before="240" w:after="240"/>
        <w:rPr>
          <w:bCs/>
          <w:noProof/>
          <w:color w:val="000000"/>
        </w:rPr>
      </w:pPr>
      <w:r>
        <w:rPr>
          <w:bCs/>
          <w:noProof/>
          <w:color w:val="000000"/>
        </w:rPr>
        <w:tab/>
      </w:r>
      <w:r>
        <w:rPr>
          <w:bCs/>
          <w:i/>
          <w:iCs/>
          <w:noProof/>
          <w:color w:val="000000"/>
        </w:rPr>
        <w:t>Fuente</w:t>
      </w:r>
      <w:r>
        <w:rPr>
          <w:bCs/>
          <w:noProof/>
          <w:color w:val="000000"/>
        </w:rPr>
        <w:t>:  Estadísticas de la Educación, año 2001.</w:t>
      </w:r>
    </w:p>
    <w:p w:rsidR="00000000" w:rsidRDefault="00000000">
      <w:pPr>
        <w:tabs>
          <w:tab w:val="left" w:pos="1920"/>
        </w:tabs>
        <w:spacing w:before="240" w:after="240"/>
        <w:rPr>
          <w:bCs/>
          <w:noProof/>
          <w:color w:val="000000"/>
        </w:rPr>
      </w:pPr>
      <w:r>
        <w:rPr>
          <w:bCs/>
          <w:noProof/>
          <w:color w:val="000000"/>
        </w:rPr>
        <w:tab/>
      </w:r>
      <w:r>
        <w:rPr>
          <w:b/>
          <w:noProof/>
          <w:color w:val="000000"/>
          <w:vertAlign w:val="superscript"/>
        </w:rPr>
        <w:t>*</w:t>
      </w:r>
      <w:r>
        <w:rPr>
          <w:bCs/>
          <w:noProof/>
          <w:color w:val="000000"/>
        </w:rPr>
        <w:t xml:space="preserve"> Excluye educación de adultos.</w:t>
      </w:r>
    </w:p>
    <w:p w:rsidR="00000000" w:rsidRDefault="00000000">
      <w:pPr>
        <w:tabs>
          <w:tab w:val="left" w:pos="1920"/>
        </w:tabs>
        <w:spacing w:after="480"/>
        <w:rPr>
          <w:bCs/>
          <w:noProof/>
          <w:color w:val="000000"/>
        </w:rPr>
      </w:pPr>
      <w:r>
        <w:rPr>
          <w:bCs/>
          <w:noProof/>
          <w:color w:val="000000"/>
        </w:rPr>
        <w:tab/>
      </w:r>
      <w:r>
        <w:rPr>
          <w:bCs/>
          <w:noProof/>
          <w:color w:val="000000"/>
        </w:rPr>
        <w:tab/>
        <w:t>Departamento de Estudios y Estadísticas.  Ministerio</w:t>
      </w:r>
      <w:r>
        <w:rPr>
          <w:bCs/>
          <w:noProof/>
          <w:color w:val="000000"/>
        </w:rPr>
        <w:br/>
      </w:r>
      <w:r>
        <w:rPr>
          <w:bCs/>
          <w:noProof/>
          <w:color w:val="000000"/>
        </w:rPr>
        <w:tab/>
        <w:t>de Educación.</w:t>
      </w:r>
    </w:p>
    <w:p w:rsidR="00000000" w:rsidRDefault="00000000">
      <w:pPr>
        <w:keepNext/>
        <w:keepLines/>
        <w:spacing w:after="240"/>
        <w:ind w:left="-4" w:firstLine="6"/>
        <w:jc w:val="center"/>
        <w:outlineLvl w:val="0"/>
        <w:rPr>
          <w:b/>
          <w:noProof/>
          <w:color w:val="000000"/>
        </w:rPr>
      </w:pPr>
      <w:r>
        <w:rPr>
          <w:b/>
          <w:noProof/>
          <w:color w:val="000000"/>
        </w:rPr>
        <w:t>Cuadro 34</w:t>
      </w:r>
    </w:p>
    <w:p w:rsidR="00000000" w:rsidRDefault="00000000">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ind w:left="-4" w:firstLine="6"/>
        <w:jc w:val="center"/>
        <w:rPr>
          <w:b/>
          <w:noProof/>
          <w:color w:val="000000"/>
        </w:rPr>
      </w:pPr>
      <w:r>
        <w:rPr>
          <w:b/>
          <w:noProof/>
          <w:color w:val="000000"/>
        </w:rPr>
        <w:t>Inversión en infraestructura para jornada escolar completa</w:t>
      </w:r>
    </w:p>
    <w:tbl>
      <w:tblPr>
        <w:tblW w:w="0" w:type="auto"/>
        <w:jc w:val="center"/>
        <w:tblInd w:w="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803"/>
        <w:gridCol w:w="3505"/>
      </w:tblGrid>
      <w:tr w:rsidR="00000000">
        <w:tblPrEx>
          <w:tblCellMar>
            <w:top w:w="0" w:type="dxa"/>
            <w:bottom w:w="0" w:type="dxa"/>
          </w:tblCellMar>
        </w:tblPrEx>
        <w:trPr>
          <w:jc w:val="center"/>
        </w:trPr>
        <w:tc>
          <w:tcPr>
            <w:tcW w:w="2803" w:type="dxa"/>
          </w:tcPr>
          <w:p w:rsidR="00000000" w:rsidRDefault="00000000">
            <w:pPr>
              <w:keepNext/>
              <w:keepLines/>
              <w:jc w:val="center"/>
              <w:rPr>
                <w:b/>
                <w:noProof/>
                <w:color w:val="000000"/>
              </w:rPr>
            </w:pPr>
            <w:r>
              <w:rPr>
                <w:b/>
                <w:noProof/>
                <w:color w:val="000000"/>
              </w:rPr>
              <w:t>Año</w:t>
            </w:r>
          </w:p>
        </w:tc>
        <w:tc>
          <w:tcPr>
            <w:tcW w:w="3505" w:type="dxa"/>
          </w:tcPr>
          <w:p w:rsidR="00000000" w:rsidRDefault="00000000">
            <w:pPr>
              <w:keepNext/>
              <w:keepLines/>
              <w:jc w:val="center"/>
              <w:rPr>
                <w:b/>
                <w:noProof/>
                <w:color w:val="000000"/>
              </w:rPr>
            </w:pPr>
            <w:r>
              <w:rPr>
                <w:b/>
                <w:noProof/>
                <w:color w:val="000000"/>
              </w:rPr>
              <w:t>Dólares EE.UU.</w:t>
            </w:r>
          </w:p>
        </w:tc>
      </w:tr>
      <w:tr w:rsidR="00000000">
        <w:tblPrEx>
          <w:tblCellMar>
            <w:top w:w="0" w:type="dxa"/>
            <w:bottom w:w="0" w:type="dxa"/>
          </w:tblCellMar>
        </w:tblPrEx>
        <w:trPr>
          <w:jc w:val="center"/>
        </w:trPr>
        <w:tc>
          <w:tcPr>
            <w:tcW w:w="2803" w:type="dxa"/>
          </w:tcPr>
          <w:p w:rsidR="00000000" w:rsidRDefault="00000000">
            <w:pPr>
              <w:widowControl w:val="0"/>
              <w:rPr>
                <w:bCs/>
                <w:noProof/>
                <w:color w:val="000000"/>
              </w:rPr>
            </w:pPr>
            <w:r>
              <w:rPr>
                <w:bCs/>
                <w:noProof/>
                <w:color w:val="000000"/>
              </w:rPr>
              <w:t>1997</w:t>
            </w:r>
          </w:p>
        </w:tc>
        <w:tc>
          <w:tcPr>
            <w:tcW w:w="3505" w:type="dxa"/>
          </w:tcPr>
          <w:p w:rsidR="00000000" w:rsidRDefault="00000000">
            <w:pPr>
              <w:keepNext/>
              <w:keepLines/>
              <w:tabs>
                <w:tab w:val="decimal" w:pos="1978"/>
              </w:tabs>
              <w:rPr>
                <w:bCs/>
                <w:noProof/>
                <w:color w:val="000000"/>
              </w:rPr>
            </w:pPr>
            <w:r>
              <w:rPr>
                <w:bCs/>
                <w:noProof/>
                <w:color w:val="000000"/>
              </w:rPr>
              <w:t>49.439</w:t>
            </w:r>
          </w:p>
        </w:tc>
      </w:tr>
      <w:tr w:rsidR="00000000">
        <w:tblPrEx>
          <w:tblCellMar>
            <w:top w:w="0" w:type="dxa"/>
            <w:bottom w:w="0" w:type="dxa"/>
          </w:tblCellMar>
        </w:tblPrEx>
        <w:trPr>
          <w:jc w:val="center"/>
        </w:trPr>
        <w:tc>
          <w:tcPr>
            <w:tcW w:w="2803" w:type="dxa"/>
          </w:tcPr>
          <w:p w:rsidR="00000000" w:rsidRDefault="00000000">
            <w:pPr>
              <w:widowControl w:val="0"/>
              <w:rPr>
                <w:bCs/>
                <w:noProof/>
                <w:color w:val="000000"/>
              </w:rPr>
            </w:pPr>
            <w:r>
              <w:rPr>
                <w:bCs/>
                <w:noProof/>
                <w:color w:val="000000"/>
              </w:rPr>
              <w:t>1998</w:t>
            </w:r>
          </w:p>
        </w:tc>
        <w:tc>
          <w:tcPr>
            <w:tcW w:w="3505" w:type="dxa"/>
          </w:tcPr>
          <w:p w:rsidR="00000000" w:rsidRDefault="00000000">
            <w:pPr>
              <w:keepNext/>
              <w:keepLines/>
              <w:tabs>
                <w:tab w:val="decimal" w:pos="1978"/>
              </w:tabs>
              <w:rPr>
                <w:bCs/>
                <w:noProof/>
                <w:color w:val="000000"/>
              </w:rPr>
            </w:pPr>
            <w:r>
              <w:rPr>
                <w:bCs/>
                <w:noProof/>
                <w:color w:val="000000"/>
              </w:rPr>
              <w:t>83.891</w:t>
            </w:r>
          </w:p>
        </w:tc>
      </w:tr>
      <w:tr w:rsidR="00000000">
        <w:tblPrEx>
          <w:tblCellMar>
            <w:top w:w="0" w:type="dxa"/>
            <w:bottom w:w="0" w:type="dxa"/>
          </w:tblCellMar>
        </w:tblPrEx>
        <w:trPr>
          <w:jc w:val="center"/>
        </w:trPr>
        <w:tc>
          <w:tcPr>
            <w:tcW w:w="2803" w:type="dxa"/>
          </w:tcPr>
          <w:p w:rsidR="00000000" w:rsidRDefault="00000000">
            <w:pPr>
              <w:widowControl w:val="0"/>
              <w:rPr>
                <w:bCs/>
                <w:noProof/>
                <w:color w:val="000000"/>
              </w:rPr>
            </w:pPr>
            <w:r>
              <w:rPr>
                <w:bCs/>
                <w:noProof/>
                <w:color w:val="000000"/>
              </w:rPr>
              <w:t>1999</w:t>
            </w:r>
          </w:p>
        </w:tc>
        <w:tc>
          <w:tcPr>
            <w:tcW w:w="3505" w:type="dxa"/>
          </w:tcPr>
          <w:p w:rsidR="00000000" w:rsidRDefault="00000000">
            <w:pPr>
              <w:keepNext/>
              <w:keepLines/>
              <w:tabs>
                <w:tab w:val="decimal" w:pos="1978"/>
              </w:tabs>
              <w:rPr>
                <w:bCs/>
                <w:noProof/>
                <w:color w:val="000000"/>
              </w:rPr>
            </w:pPr>
            <w:r>
              <w:rPr>
                <w:bCs/>
                <w:noProof/>
                <w:color w:val="000000"/>
              </w:rPr>
              <w:t>123.562</w:t>
            </w:r>
          </w:p>
        </w:tc>
      </w:tr>
      <w:tr w:rsidR="00000000">
        <w:tblPrEx>
          <w:tblCellMar>
            <w:top w:w="0" w:type="dxa"/>
            <w:bottom w:w="0" w:type="dxa"/>
          </w:tblCellMar>
        </w:tblPrEx>
        <w:trPr>
          <w:jc w:val="center"/>
        </w:trPr>
        <w:tc>
          <w:tcPr>
            <w:tcW w:w="2803" w:type="dxa"/>
          </w:tcPr>
          <w:p w:rsidR="00000000" w:rsidRDefault="00000000">
            <w:pPr>
              <w:widowControl w:val="0"/>
              <w:rPr>
                <w:bCs/>
                <w:noProof/>
                <w:color w:val="000000"/>
              </w:rPr>
            </w:pPr>
            <w:r>
              <w:rPr>
                <w:bCs/>
                <w:noProof/>
                <w:color w:val="000000"/>
              </w:rPr>
              <w:t>2000</w:t>
            </w:r>
          </w:p>
        </w:tc>
        <w:tc>
          <w:tcPr>
            <w:tcW w:w="3505" w:type="dxa"/>
          </w:tcPr>
          <w:p w:rsidR="00000000" w:rsidRDefault="00000000">
            <w:pPr>
              <w:keepNext/>
              <w:keepLines/>
              <w:tabs>
                <w:tab w:val="decimal" w:pos="1978"/>
              </w:tabs>
              <w:rPr>
                <w:bCs/>
                <w:noProof/>
                <w:color w:val="000000"/>
              </w:rPr>
            </w:pPr>
            <w:r>
              <w:rPr>
                <w:bCs/>
                <w:noProof/>
                <w:color w:val="000000"/>
              </w:rPr>
              <w:t>173.017</w:t>
            </w:r>
          </w:p>
        </w:tc>
      </w:tr>
      <w:tr w:rsidR="00000000">
        <w:tblPrEx>
          <w:tblCellMar>
            <w:top w:w="0" w:type="dxa"/>
            <w:bottom w:w="0" w:type="dxa"/>
          </w:tblCellMar>
        </w:tblPrEx>
        <w:trPr>
          <w:jc w:val="center"/>
        </w:trPr>
        <w:tc>
          <w:tcPr>
            <w:tcW w:w="2803" w:type="dxa"/>
          </w:tcPr>
          <w:p w:rsidR="00000000" w:rsidRDefault="00000000">
            <w:pPr>
              <w:widowControl w:val="0"/>
              <w:rPr>
                <w:bCs/>
                <w:noProof/>
                <w:color w:val="000000"/>
              </w:rPr>
            </w:pPr>
            <w:r>
              <w:rPr>
                <w:bCs/>
                <w:noProof/>
                <w:color w:val="000000"/>
              </w:rPr>
              <w:t>2001</w:t>
            </w:r>
          </w:p>
        </w:tc>
        <w:tc>
          <w:tcPr>
            <w:tcW w:w="3505" w:type="dxa"/>
          </w:tcPr>
          <w:p w:rsidR="00000000" w:rsidRDefault="00000000">
            <w:pPr>
              <w:keepNext/>
              <w:keepLines/>
              <w:tabs>
                <w:tab w:val="decimal" w:pos="1978"/>
              </w:tabs>
              <w:rPr>
                <w:bCs/>
                <w:noProof/>
                <w:color w:val="000000"/>
              </w:rPr>
            </w:pPr>
            <w:r>
              <w:rPr>
                <w:bCs/>
                <w:noProof/>
                <w:color w:val="000000"/>
              </w:rPr>
              <w:t>174.193</w:t>
            </w:r>
          </w:p>
        </w:tc>
      </w:tr>
      <w:tr w:rsidR="00000000">
        <w:tblPrEx>
          <w:tblCellMar>
            <w:top w:w="0" w:type="dxa"/>
            <w:bottom w:w="0" w:type="dxa"/>
          </w:tblCellMar>
        </w:tblPrEx>
        <w:trPr>
          <w:jc w:val="center"/>
        </w:trPr>
        <w:tc>
          <w:tcPr>
            <w:tcW w:w="2803" w:type="dxa"/>
          </w:tcPr>
          <w:p w:rsidR="00000000" w:rsidRDefault="00000000">
            <w:pPr>
              <w:widowControl w:val="0"/>
              <w:rPr>
                <w:bCs/>
                <w:noProof/>
                <w:color w:val="000000"/>
              </w:rPr>
            </w:pPr>
            <w:r>
              <w:rPr>
                <w:bCs/>
                <w:noProof/>
                <w:color w:val="000000"/>
              </w:rPr>
              <w:t>2002</w:t>
            </w:r>
          </w:p>
        </w:tc>
        <w:tc>
          <w:tcPr>
            <w:tcW w:w="3505" w:type="dxa"/>
          </w:tcPr>
          <w:p w:rsidR="00000000" w:rsidRDefault="00000000">
            <w:pPr>
              <w:keepNext/>
              <w:keepLines/>
              <w:tabs>
                <w:tab w:val="decimal" w:pos="1978"/>
              </w:tabs>
              <w:rPr>
                <w:bCs/>
                <w:noProof/>
                <w:color w:val="000000"/>
              </w:rPr>
            </w:pPr>
            <w:r>
              <w:rPr>
                <w:bCs/>
                <w:noProof/>
                <w:color w:val="000000"/>
              </w:rPr>
              <w:t>214.273</w:t>
            </w:r>
          </w:p>
        </w:tc>
      </w:tr>
      <w:tr w:rsidR="00000000">
        <w:tblPrEx>
          <w:tblCellMar>
            <w:top w:w="0" w:type="dxa"/>
            <w:bottom w:w="0" w:type="dxa"/>
          </w:tblCellMar>
        </w:tblPrEx>
        <w:trPr>
          <w:jc w:val="center"/>
        </w:trPr>
        <w:tc>
          <w:tcPr>
            <w:tcW w:w="2803" w:type="dxa"/>
          </w:tcPr>
          <w:p w:rsidR="00000000" w:rsidRDefault="00000000">
            <w:pPr>
              <w:widowControl w:val="0"/>
              <w:rPr>
                <w:bCs/>
                <w:noProof/>
                <w:color w:val="000000"/>
              </w:rPr>
            </w:pPr>
            <w:r>
              <w:rPr>
                <w:bCs/>
                <w:noProof/>
                <w:color w:val="000000"/>
              </w:rPr>
              <w:tab/>
              <w:t>Totales</w:t>
            </w:r>
          </w:p>
        </w:tc>
        <w:tc>
          <w:tcPr>
            <w:tcW w:w="3505" w:type="dxa"/>
          </w:tcPr>
          <w:p w:rsidR="00000000" w:rsidRDefault="00000000">
            <w:pPr>
              <w:keepNext/>
              <w:keepLines/>
              <w:tabs>
                <w:tab w:val="decimal" w:pos="1978"/>
              </w:tabs>
              <w:rPr>
                <w:bCs/>
                <w:noProof/>
                <w:color w:val="000000"/>
              </w:rPr>
            </w:pPr>
            <w:r>
              <w:rPr>
                <w:bCs/>
                <w:noProof/>
                <w:color w:val="000000"/>
              </w:rPr>
              <w:t>818.376</w:t>
            </w:r>
          </w:p>
        </w:tc>
      </w:tr>
    </w:tbl>
    <w:p w:rsidR="00000000" w:rsidRDefault="00000000">
      <w:pPr>
        <w:tabs>
          <w:tab w:val="left" w:pos="1560"/>
        </w:tabs>
        <w:spacing w:before="240" w:after="200"/>
        <w:rPr>
          <w:bCs/>
          <w:noProof/>
          <w:color w:val="000000"/>
        </w:rPr>
      </w:pPr>
      <w:r>
        <w:rPr>
          <w:bCs/>
          <w:noProof/>
          <w:color w:val="000000"/>
        </w:rPr>
        <w:tab/>
      </w:r>
      <w:r>
        <w:rPr>
          <w:bCs/>
          <w:i/>
          <w:iCs/>
          <w:noProof/>
          <w:color w:val="000000"/>
        </w:rPr>
        <w:t>Fuente</w:t>
      </w:r>
      <w:r>
        <w:rPr>
          <w:bCs/>
          <w:noProof/>
          <w:color w:val="000000"/>
        </w:rPr>
        <w:t>:  Programa de infraestructura.  Ministerio de Educación.</w:t>
      </w:r>
    </w:p>
    <w:p w:rsidR="00000000" w:rsidRDefault="00000000">
      <w:pPr>
        <w:tabs>
          <w:tab w:val="left" w:pos="1560"/>
        </w:tabs>
        <w:spacing w:before="240" w:after="200"/>
        <w:rPr>
          <w:bCs/>
          <w:noProof/>
          <w:color w:val="000000"/>
        </w:rPr>
      </w:pPr>
      <w:r>
        <w:rPr>
          <w:bCs/>
          <w:noProof/>
          <w:color w:val="000000"/>
        </w:rPr>
        <w:tab/>
        <w:t xml:space="preserve">Tipo de cambio </w:t>
      </w:r>
      <w:r>
        <w:rPr>
          <w:bCs/>
          <w:i/>
          <w:iCs/>
          <w:noProof/>
          <w:color w:val="000000"/>
        </w:rPr>
        <w:t>utilizado</w:t>
      </w:r>
      <w:r>
        <w:rPr>
          <w:bCs/>
          <w:noProof/>
          <w:color w:val="000000"/>
        </w:rPr>
        <w:t xml:space="preserve">:  1 dólar de los EE.UU. = 688,94 pesos.  </w:t>
      </w:r>
      <w:r>
        <w:rPr>
          <w:bCs/>
          <w:noProof/>
          <w:color w:val="000000"/>
        </w:rPr>
        <w:tab/>
        <w:t>Corresponde al dólar promedio 2002.</w:t>
      </w:r>
    </w:p>
    <w:p w:rsidR="00000000" w:rsidRDefault="00000000">
      <w:pPr>
        <w:spacing w:after="240"/>
        <w:ind w:left="-4" w:firstLine="4"/>
        <w:jc w:val="center"/>
        <w:outlineLvl w:val="0"/>
        <w:rPr>
          <w:b/>
          <w:noProof/>
          <w:color w:val="000000"/>
        </w:rPr>
      </w:pPr>
      <w:r>
        <w:rPr>
          <w:b/>
          <w:noProof/>
          <w:color w:val="000000"/>
        </w:rPr>
        <w:t>Cuadro 35</w:t>
      </w:r>
    </w:p>
    <w:p w:rsidR="00000000" w:rsidRDefault="00000000">
      <w:pPr>
        <w:spacing w:after="240"/>
        <w:ind w:left="-4" w:firstLine="4"/>
        <w:jc w:val="center"/>
        <w:rPr>
          <w:bCs/>
          <w:noProof/>
          <w:color w:val="000000"/>
        </w:rPr>
      </w:pPr>
      <w:r>
        <w:rPr>
          <w:b/>
          <w:noProof/>
          <w:color w:val="000000"/>
        </w:rPr>
        <w:t>Serie histórica de matrícula y establecimientos subvencionados</w:t>
      </w:r>
      <w:r>
        <w:rPr>
          <w:b/>
          <w:noProof/>
          <w:color w:val="000000"/>
        </w:rPr>
        <w:br/>
        <w:t>incorporados a jornada escolar completa</w:t>
      </w:r>
    </w:p>
    <w:tbl>
      <w:tblPr>
        <w:tblW w:w="0" w:type="auto"/>
        <w:jc w:val="center"/>
        <w:tblInd w:w="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156"/>
        <w:gridCol w:w="2707"/>
        <w:gridCol w:w="2760"/>
      </w:tblGrid>
      <w:tr w:rsidR="00000000">
        <w:tblPrEx>
          <w:tblCellMar>
            <w:top w:w="0" w:type="dxa"/>
            <w:bottom w:w="0" w:type="dxa"/>
          </w:tblCellMar>
        </w:tblPrEx>
        <w:trPr>
          <w:jc w:val="center"/>
        </w:trPr>
        <w:tc>
          <w:tcPr>
            <w:tcW w:w="2156" w:type="dxa"/>
          </w:tcPr>
          <w:p w:rsidR="00000000" w:rsidRDefault="00000000">
            <w:pPr>
              <w:ind w:firstLine="6"/>
              <w:jc w:val="center"/>
              <w:rPr>
                <w:b/>
                <w:noProof/>
                <w:color w:val="000000"/>
              </w:rPr>
            </w:pPr>
            <w:r>
              <w:rPr>
                <w:b/>
                <w:noProof/>
                <w:color w:val="000000"/>
              </w:rPr>
              <w:t>Año</w:t>
            </w:r>
          </w:p>
        </w:tc>
        <w:tc>
          <w:tcPr>
            <w:tcW w:w="2707" w:type="dxa"/>
          </w:tcPr>
          <w:p w:rsidR="00000000" w:rsidRDefault="00000000">
            <w:pPr>
              <w:ind w:firstLine="6"/>
              <w:jc w:val="center"/>
              <w:rPr>
                <w:b/>
                <w:noProof/>
                <w:color w:val="000000"/>
              </w:rPr>
            </w:pPr>
            <w:r>
              <w:rPr>
                <w:b/>
                <w:noProof/>
                <w:color w:val="000000"/>
              </w:rPr>
              <w:t>Establecimientos</w:t>
            </w:r>
          </w:p>
        </w:tc>
        <w:tc>
          <w:tcPr>
            <w:tcW w:w="2760" w:type="dxa"/>
          </w:tcPr>
          <w:p w:rsidR="00000000" w:rsidRDefault="00000000">
            <w:pPr>
              <w:ind w:firstLine="6"/>
              <w:jc w:val="center"/>
              <w:rPr>
                <w:b/>
                <w:noProof/>
                <w:color w:val="000000"/>
              </w:rPr>
            </w:pPr>
            <w:r>
              <w:rPr>
                <w:b/>
                <w:noProof/>
                <w:color w:val="000000"/>
              </w:rPr>
              <w:t>Matrícula promedio</w:t>
            </w:r>
          </w:p>
        </w:tc>
      </w:tr>
      <w:tr w:rsidR="00000000">
        <w:tblPrEx>
          <w:tblCellMar>
            <w:top w:w="0" w:type="dxa"/>
            <w:bottom w:w="0" w:type="dxa"/>
          </w:tblCellMar>
        </w:tblPrEx>
        <w:trPr>
          <w:jc w:val="center"/>
        </w:trPr>
        <w:tc>
          <w:tcPr>
            <w:tcW w:w="2156" w:type="dxa"/>
          </w:tcPr>
          <w:p w:rsidR="00000000" w:rsidRDefault="00000000">
            <w:pPr>
              <w:ind w:firstLine="6"/>
              <w:jc w:val="center"/>
              <w:rPr>
                <w:bCs/>
                <w:noProof/>
                <w:color w:val="000000"/>
              </w:rPr>
            </w:pPr>
            <w:r>
              <w:rPr>
                <w:bCs/>
                <w:noProof/>
                <w:color w:val="000000"/>
              </w:rPr>
              <w:t>1997</w:t>
            </w:r>
          </w:p>
        </w:tc>
        <w:tc>
          <w:tcPr>
            <w:tcW w:w="2707" w:type="dxa"/>
          </w:tcPr>
          <w:p w:rsidR="00000000" w:rsidRDefault="00000000">
            <w:pPr>
              <w:ind w:firstLine="6"/>
              <w:jc w:val="center"/>
              <w:rPr>
                <w:bCs/>
                <w:noProof/>
                <w:color w:val="000000"/>
              </w:rPr>
            </w:pPr>
            <w:r>
              <w:rPr>
                <w:bCs/>
                <w:noProof/>
                <w:color w:val="000000"/>
              </w:rPr>
              <w:t>3.143</w:t>
            </w:r>
          </w:p>
        </w:tc>
        <w:tc>
          <w:tcPr>
            <w:tcW w:w="2760" w:type="dxa"/>
          </w:tcPr>
          <w:p w:rsidR="00000000" w:rsidRDefault="00000000">
            <w:pPr>
              <w:tabs>
                <w:tab w:val="decimal" w:pos="1775"/>
              </w:tabs>
              <w:ind w:firstLine="6"/>
              <w:rPr>
                <w:bCs/>
                <w:noProof/>
                <w:color w:val="000000"/>
              </w:rPr>
            </w:pPr>
            <w:r>
              <w:rPr>
                <w:bCs/>
                <w:noProof/>
                <w:color w:val="000000"/>
              </w:rPr>
              <w:t>289.808</w:t>
            </w:r>
          </w:p>
        </w:tc>
      </w:tr>
      <w:tr w:rsidR="00000000">
        <w:tblPrEx>
          <w:tblCellMar>
            <w:top w:w="0" w:type="dxa"/>
            <w:bottom w:w="0" w:type="dxa"/>
          </w:tblCellMar>
        </w:tblPrEx>
        <w:trPr>
          <w:jc w:val="center"/>
        </w:trPr>
        <w:tc>
          <w:tcPr>
            <w:tcW w:w="2156" w:type="dxa"/>
          </w:tcPr>
          <w:p w:rsidR="00000000" w:rsidRDefault="00000000">
            <w:pPr>
              <w:ind w:firstLine="6"/>
              <w:jc w:val="center"/>
              <w:rPr>
                <w:bCs/>
                <w:noProof/>
                <w:color w:val="000000"/>
              </w:rPr>
            </w:pPr>
            <w:r>
              <w:rPr>
                <w:bCs/>
                <w:noProof/>
                <w:color w:val="000000"/>
              </w:rPr>
              <w:t>1998</w:t>
            </w:r>
          </w:p>
        </w:tc>
        <w:tc>
          <w:tcPr>
            <w:tcW w:w="2707" w:type="dxa"/>
          </w:tcPr>
          <w:p w:rsidR="00000000" w:rsidRDefault="00000000">
            <w:pPr>
              <w:ind w:firstLine="6"/>
              <w:jc w:val="center"/>
              <w:rPr>
                <w:bCs/>
                <w:noProof/>
                <w:color w:val="000000"/>
              </w:rPr>
            </w:pPr>
            <w:r>
              <w:rPr>
                <w:bCs/>
                <w:noProof/>
                <w:color w:val="000000"/>
              </w:rPr>
              <w:t>4.102</w:t>
            </w:r>
          </w:p>
        </w:tc>
        <w:tc>
          <w:tcPr>
            <w:tcW w:w="2760" w:type="dxa"/>
          </w:tcPr>
          <w:p w:rsidR="00000000" w:rsidRDefault="00000000">
            <w:pPr>
              <w:tabs>
                <w:tab w:val="decimal" w:pos="1775"/>
              </w:tabs>
              <w:ind w:firstLine="6"/>
              <w:rPr>
                <w:bCs/>
                <w:noProof/>
                <w:color w:val="000000"/>
              </w:rPr>
            </w:pPr>
            <w:r>
              <w:rPr>
                <w:bCs/>
                <w:noProof/>
                <w:color w:val="000000"/>
              </w:rPr>
              <w:t>433.469</w:t>
            </w:r>
          </w:p>
        </w:tc>
      </w:tr>
      <w:tr w:rsidR="00000000">
        <w:tblPrEx>
          <w:tblCellMar>
            <w:top w:w="0" w:type="dxa"/>
            <w:bottom w:w="0" w:type="dxa"/>
          </w:tblCellMar>
        </w:tblPrEx>
        <w:trPr>
          <w:jc w:val="center"/>
        </w:trPr>
        <w:tc>
          <w:tcPr>
            <w:tcW w:w="2156" w:type="dxa"/>
          </w:tcPr>
          <w:p w:rsidR="00000000" w:rsidRDefault="00000000">
            <w:pPr>
              <w:ind w:firstLine="6"/>
              <w:jc w:val="center"/>
              <w:rPr>
                <w:bCs/>
                <w:noProof/>
                <w:color w:val="000000"/>
              </w:rPr>
            </w:pPr>
            <w:r>
              <w:rPr>
                <w:bCs/>
                <w:noProof/>
                <w:color w:val="000000"/>
              </w:rPr>
              <w:t>1999</w:t>
            </w:r>
          </w:p>
        </w:tc>
        <w:tc>
          <w:tcPr>
            <w:tcW w:w="2707" w:type="dxa"/>
          </w:tcPr>
          <w:p w:rsidR="00000000" w:rsidRDefault="00000000">
            <w:pPr>
              <w:ind w:firstLine="6"/>
              <w:jc w:val="center"/>
              <w:rPr>
                <w:bCs/>
                <w:noProof/>
                <w:color w:val="000000"/>
              </w:rPr>
            </w:pPr>
            <w:r>
              <w:rPr>
                <w:bCs/>
                <w:noProof/>
                <w:color w:val="000000"/>
              </w:rPr>
              <w:t>4.132</w:t>
            </w:r>
          </w:p>
        </w:tc>
        <w:tc>
          <w:tcPr>
            <w:tcW w:w="2760" w:type="dxa"/>
          </w:tcPr>
          <w:p w:rsidR="00000000" w:rsidRDefault="00000000">
            <w:pPr>
              <w:tabs>
                <w:tab w:val="decimal" w:pos="1775"/>
              </w:tabs>
              <w:ind w:firstLine="6"/>
              <w:rPr>
                <w:bCs/>
                <w:noProof/>
                <w:color w:val="000000"/>
              </w:rPr>
            </w:pPr>
            <w:r>
              <w:rPr>
                <w:bCs/>
                <w:noProof/>
                <w:color w:val="000000"/>
              </w:rPr>
              <w:t>525.088</w:t>
            </w:r>
          </w:p>
        </w:tc>
      </w:tr>
      <w:tr w:rsidR="00000000">
        <w:tblPrEx>
          <w:tblCellMar>
            <w:top w:w="0" w:type="dxa"/>
            <w:bottom w:w="0" w:type="dxa"/>
          </w:tblCellMar>
        </w:tblPrEx>
        <w:trPr>
          <w:jc w:val="center"/>
        </w:trPr>
        <w:tc>
          <w:tcPr>
            <w:tcW w:w="2156" w:type="dxa"/>
          </w:tcPr>
          <w:p w:rsidR="00000000" w:rsidRDefault="00000000">
            <w:pPr>
              <w:ind w:firstLine="6"/>
              <w:jc w:val="center"/>
              <w:rPr>
                <w:bCs/>
                <w:noProof/>
                <w:color w:val="000000"/>
              </w:rPr>
            </w:pPr>
            <w:r>
              <w:rPr>
                <w:bCs/>
                <w:noProof/>
                <w:color w:val="000000"/>
              </w:rPr>
              <w:t>2000</w:t>
            </w:r>
          </w:p>
        </w:tc>
        <w:tc>
          <w:tcPr>
            <w:tcW w:w="2707" w:type="dxa"/>
          </w:tcPr>
          <w:p w:rsidR="00000000" w:rsidRDefault="00000000">
            <w:pPr>
              <w:ind w:firstLine="6"/>
              <w:jc w:val="center"/>
              <w:rPr>
                <w:bCs/>
                <w:noProof/>
                <w:color w:val="000000"/>
              </w:rPr>
            </w:pPr>
            <w:r>
              <w:rPr>
                <w:bCs/>
                <w:noProof/>
                <w:color w:val="000000"/>
              </w:rPr>
              <w:t>4.961</w:t>
            </w:r>
          </w:p>
        </w:tc>
        <w:tc>
          <w:tcPr>
            <w:tcW w:w="2760" w:type="dxa"/>
          </w:tcPr>
          <w:p w:rsidR="00000000" w:rsidRDefault="00000000">
            <w:pPr>
              <w:tabs>
                <w:tab w:val="decimal" w:pos="1775"/>
              </w:tabs>
              <w:ind w:firstLine="6"/>
              <w:rPr>
                <w:bCs/>
                <w:noProof/>
                <w:color w:val="000000"/>
              </w:rPr>
            </w:pPr>
            <w:r>
              <w:rPr>
                <w:bCs/>
                <w:noProof/>
                <w:color w:val="000000"/>
              </w:rPr>
              <w:t>719.796</w:t>
            </w:r>
          </w:p>
        </w:tc>
      </w:tr>
      <w:tr w:rsidR="00000000">
        <w:tblPrEx>
          <w:tblCellMar>
            <w:top w:w="0" w:type="dxa"/>
            <w:bottom w:w="0" w:type="dxa"/>
          </w:tblCellMar>
        </w:tblPrEx>
        <w:trPr>
          <w:jc w:val="center"/>
        </w:trPr>
        <w:tc>
          <w:tcPr>
            <w:tcW w:w="2156" w:type="dxa"/>
          </w:tcPr>
          <w:p w:rsidR="00000000" w:rsidRDefault="00000000">
            <w:pPr>
              <w:ind w:firstLine="6"/>
              <w:jc w:val="center"/>
              <w:rPr>
                <w:bCs/>
                <w:noProof/>
                <w:color w:val="000000"/>
              </w:rPr>
            </w:pPr>
            <w:r>
              <w:rPr>
                <w:bCs/>
                <w:noProof/>
                <w:color w:val="000000"/>
              </w:rPr>
              <w:t>2001</w:t>
            </w:r>
          </w:p>
        </w:tc>
        <w:tc>
          <w:tcPr>
            <w:tcW w:w="2707" w:type="dxa"/>
          </w:tcPr>
          <w:p w:rsidR="00000000" w:rsidRDefault="00000000">
            <w:pPr>
              <w:ind w:firstLine="6"/>
              <w:jc w:val="center"/>
              <w:rPr>
                <w:bCs/>
                <w:noProof/>
                <w:color w:val="000000"/>
              </w:rPr>
            </w:pPr>
            <w:r>
              <w:rPr>
                <w:bCs/>
                <w:noProof/>
                <w:color w:val="000000"/>
              </w:rPr>
              <w:t>5.489</w:t>
            </w:r>
          </w:p>
        </w:tc>
        <w:tc>
          <w:tcPr>
            <w:tcW w:w="2760" w:type="dxa"/>
          </w:tcPr>
          <w:p w:rsidR="00000000" w:rsidRDefault="00000000">
            <w:pPr>
              <w:tabs>
                <w:tab w:val="decimal" w:pos="1775"/>
              </w:tabs>
              <w:ind w:firstLine="6"/>
              <w:rPr>
                <w:bCs/>
                <w:noProof/>
                <w:color w:val="000000"/>
              </w:rPr>
            </w:pPr>
            <w:r>
              <w:rPr>
                <w:bCs/>
                <w:noProof/>
                <w:color w:val="000000"/>
              </w:rPr>
              <w:t>963.937</w:t>
            </w:r>
          </w:p>
        </w:tc>
      </w:tr>
      <w:tr w:rsidR="00000000">
        <w:tblPrEx>
          <w:tblCellMar>
            <w:top w:w="0" w:type="dxa"/>
            <w:bottom w:w="0" w:type="dxa"/>
          </w:tblCellMar>
        </w:tblPrEx>
        <w:trPr>
          <w:jc w:val="center"/>
        </w:trPr>
        <w:tc>
          <w:tcPr>
            <w:tcW w:w="2156" w:type="dxa"/>
          </w:tcPr>
          <w:p w:rsidR="00000000" w:rsidRDefault="00000000">
            <w:pPr>
              <w:ind w:firstLine="6"/>
              <w:jc w:val="center"/>
              <w:rPr>
                <w:bCs/>
                <w:noProof/>
                <w:color w:val="000000"/>
              </w:rPr>
            </w:pPr>
            <w:r>
              <w:rPr>
                <w:bCs/>
                <w:noProof/>
                <w:color w:val="000000"/>
              </w:rPr>
              <w:t>2002</w:t>
            </w:r>
          </w:p>
        </w:tc>
        <w:tc>
          <w:tcPr>
            <w:tcW w:w="2707" w:type="dxa"/>
          </w:tcPr>
          <w:p w:rsidR="00000000" w:rsidRDefault="00000000">
            <w:pPr>
              <w:ind w:firstLine="6"/>
              <w:jc w:val="center"/>
              <w:rPr>
                <w:bCs/>
                <w:noProof/>
                <w:color w:val="000000"/>
              </w:rPr>
            </w:pPr>
            <w:r>
              <w:rPr>
                <w:bCs/>
                <w:noProof/>
                <w:color w:val="000000"/>
              </w:rPr>
              <w:t>6.001</w:t>
            </w:r>
          </w:p>
        </w:tc>
        <w:tc>
          <w:tcPr>
            <w:tcW w:w="2760" w:type="dxa"/>
          </w:tcPr>
          <w:p w:rsidR="00000000" w:rsidRDefault="00000000">
            <w:pPr>
              <w:tabs>
                <w:tab w:val="decimal" w:pos="1775"/>
              </w:tabs>
              <w:ind w:firstLine="6"/>
              <w:rPr>
                <w:bCs/>
                <w:noProof/>
                <w:color w:val="000000"/>
              </w:rPr>
            </w:pPr>
            <w:r>
              <w:rPr>
                <w:bCs/>
                <w:noProof/>
                <w:color w:val="000000"/>
              </w:rPr>
              <w:t>1.200.637</w:t>
            </w:r>
          </w:p>
        </w:tc>
      </w:tr>
    </w:tbl>
    <w:p w:rsidR="00000000" w:rsidRDefault="00000000">
      <w:pPr>
        <w:tabs>
          <w:tab w:val="left" w:pos="924"/>
        </w:tabs>
        <w:spacing w:before="240" w:after="360"/>
        <w:rPr>
          <w:bCs/>
          <w:noProof/>
          <w:color w:val="000000"/>
        </w:rPr>
      </w:pPr>
      <w:r>
        <w:rPr>
          <w:bCs/>
          <w:noProof/>
          <w:color w:val="000000"/>
        </w:rPr>
        <w:tab/>
      </w:r>
      <w:r>
        <w:rPr>
          <w:bCs/>
          <w:i/>
          <w:iCs/>
          <w:noProof/>
          <w:color w:val="000000"/>
        </w:rPr>
        <w:t>Fuente</w:t>
      </w:r>
      <w:r>
        <w:rPr>
          <w:bCs/>
          <w:noProof/>
          <w:color w:val="000000"/>
        </w:rPr>
        <w:t>:  Departamento de Subvenciones.  Ministerio de Educación.</w:t>
      </w:r>
    </w:p>
    <w:p w:rsidR="00000000" w:rsidRDefault="00000000">
      <w:pPr>
        <w:spacing w:after="240"/>
        <w:ind w:left="-4" w:firstLine="4"/>
        <w:jc w:val="center"/>
        <w:outlineLvl w:val="0"/>
        <w:rPr>
          <w:b/>
          <w:noProof/>
        </w:rPr>
      </w:pPr>
      <w:r>
        <w:rPr>
          <w:b/>
          <w:noProof/>
        </w:rPr>
        <w:t>Cuadro 36</w:t>
      </w:r>
    </w:p>
    <w:p w:rsidR="00000000" w:rsidRDefault="00000000">
      <w:pPr>
        <w:spacing w:after="240"/>
        <w:ind w:left="-4" w:firstLine="4"/>
        <w:jc w:val="center"/>
        <w:rPr>
          <w:b/>
          <w:noProof/>
        </w:rPr>
      </w:pPr>
      <w:r>
        <w:rPr>
          <w:b/>
          <w:noProof/>
        </w:rPr>
        <w:t>Índice de analfabetismo, 1996-2001</w:t>
      </w:r>
    </w:p>
    <w:tbl>
      <w:tblPr>
        <w:tblW w:w="0" w:type="auto"/>
        <w:jc w:val="center"/>
        <w:tblInd w:w="1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832"/>
        <w:gridCol w:w="2893"/>
      </w:tblGrid>
      <w:tr w:rsidR="00000000">
        <w:tblPrEx>
          <w:tblCellMar>
            <w:top w:w="0" w:type="dxa"/>
            <w:bottom w:w="0" w:type="dxa"/>
          </w:tblCellMar>
        </w:tblPrEx>
        <w:trPr>
          <w:jc w:val="center"/>
        </w:trPr>
        <w:tc>
          <w:tcPr>
            <w:tcW w:w="2832" w:type="dxa"/>
          </w:tcPr>
          <w:p w:rsidR="00000000" w:rsidRDefault="00000000">
            <w:pPr>
              <w:ind w:firstLine="6"/>
              <w:jc w:val="center"/>
              <w:rPr>
                <w:b/>
                <w:noProof/>
                <w:color w:val="000000"/>
              </w:rPr>
            </w:pPr>
            <w:r>
              <w:rPr>
                <w:b/>
                <w:noProof/>
                <w:color w:val="000000"/>
              </w:rPr>
              <w:t>Año</w:t>
            </w:r>
          </w:p>
        </w:tc>
        <w:tc>
          <w:tcPr>
            <w:tcW w:w="2893" w:type="dxa"/>
          </w:tcPr>
          <w:p w:rsidR="00000000" w:rsidRDefault="00000000">
            <w:pPr>
              <w:ind w:firstLine="6"/>
              <w:jc w:val="center"/>
              <w:rPr>
                <w:b/>
                <w:noProof/>
                <w:color w:val="000000"/>
              </w:rPr>
            </w:pPr>
            <w:r>
              <w:rPr>
                <w:b/>
                <w:noProof/>
                <w:color w:val="000000"/>
              </w:rPr>
              <w:t>Índice de analfabetismo</w:t>
            </w:r>
          </w:p>
        </w:tc>
      </w:tr>
      <w:tr w:rsidR="00000000">
        <w:tblPrEx>
          <w:tblCellMar>
            <w:top w:w="0" w:type="dxa"/>
            <w:bottom w:w="0" w:type="dxa"/>
          </w:tblCellMar>
        </w:tblPrEx>
        <w:trPr>
          <w:jc w:val="center"/>
        </w:trPr>
        <w:tc>
          <w:tcPr>
            <w:tcW w:w="2832" w:type="dxa"/>
          </w:tcPr>
          <w:p w:rsidR="00000000" w:rsidRDefault="00000000">
            <w:pPr>
              <w:ind w:firstLine="6"/>
              <w:jc w:val="center"/>
              <w:rPr>
                <w:bCs/>
                <w:noProof/>
                <w:color w:val="000000"/>
              </w:rPr>
            </w:pPr>
            <w:r>
              <w:rPr>
                <w:bCs/>
                <w:noProof/>
                <w:color w:val="000000"/>
              </w:rPr>
              <w:t>1996</w:t>
            </w:r>
          </w:p>
        </w:tc>
        <w:tc>
          <w:tcPr>
            <w:tcW w:w="2893" w:type="dxa"/>
          </w:tcPr>
          <w:p w:rsidR="00000000" w:rsidRDefault="00000000">
            <w:pPr>
              <w:ind w:firstLine="6"/>
              <w:jc w:val="center"/>
              <w:rPr>
                <w:bCs/>
                <w:noProof/>
                <w:color w:val="000000"/>
              </w:rPr>
            </w:pPr>
            <w:r>
              <w:rPr>
                <w:bCs/>
                <w:noProof/>
                <w:color w:val="000000"/>
              </w:rPr>
              <w:t>4,84</w:t>
            </w:r>
          </w:p>
        </w:tc>
      </w:tr>
      <w:tr w:rsidR="00000000">
        <w:tblPrEx>
          <w:tblCellMar>
            <w:top w:w="0" w:type="dxa"/>
            <w:bottom w:w="0" w:type="dxa"/>
          </w:tblCellMar>
        </w:tblPrEx>
        <w:trPr>
          <w:jc w:val="center"/>
        </w:trPr>
        <w:tc>
          <w:tcPr>
            <w:tcW w:w="2832" w:type="dxa"/>
          </w:tcPr>
          <w:p w:rsidR="00000000" w:rsidRDefault="00000000">
            <w:pPr>
              <w:ind w:firstLine="6"/>
              <w:jc w:val="center"/>
              <w:rPr>
                <w:bCs/>
                <w:noProof/>
                <w:color w:val="000000"/>
              </w:rPr>
            </w:pPr>
            <w:r>
              <w:rPr>
                <w:bCs/>
                <w:noProof/>
                <w:color w:val="000000"/>
              </w:rPr>
              <w:t>1997</w:t>
            </w:r>
          </w:p>
        </w:tc>
        <w:tc>
          <w:tcPr>
            <w:tcW w:w="2893" w:type="dxa"/>
          </w:tcPr>
          <w:p w:rsidR="00000000" w:rsidRDefault="00000000">
            <w:pPr>
              <w:ind w:firstLine="6"/>
              <w:jc w:val="center"/>
              <w:rPr>
                <w:bCs/>
                <w:noProof/>
                <w:color w:val="000000"/>
              </w:rPr>
            </w:pPr>
            <w:r>
              <w:rPr>
                <w:bCs/>
                <w:noProof/>
                <w:color w:val="000000"/>
              </w:rPr>
              <w:t>4,74</w:t>
            </w:r>
          </w:p>
        </w:tc>
      </w:tr>
      <w:tr w:rsidR="00000000">
        <w:tblPrEx>
          <w:tblCellMar>
            <w:top w:w="0" w:type="dxa"/>
            <w:bottom w:w="0" w:type="dxa"/>
          </w:tblCellMar>
        </w:tblPrEx>
        <w:trPr>
          <w:jc w:val="center"/>
        </w:trPr>
        <w:tc>
          <w:tcPr>
            <w:tcW w:w="2832" w:type="dxa"/>
          </w:tcPr>
          <w:p w:rsidR="00000000" w:rsidRDefault="00000000">
            <w:pPr>
              <w:ind w:firstLine="6"/>
              <w:jc w:val="center"/>
              <w:rPr>
                <w:bCs/>
                <w:noProof/>
                <w:color w:val="000000"/>
              </w:rPr>
            </w:pPr>
            <w:r>
              <w:rPr>
                <w:bCs/>
                <w:noProof/>
                <w:color w:val="000000"/>
              </w:rPr>
              <w:t>1998</w:t>
            </w:r>
          </w:p>
        </w:tc>
        <w:tc>
          <w:tcPr>
            <w:tcW w:w="2893" w:type="dxa"/>
          </w:tcPr>
          <w:p w:rsidR="00000000" w:rsidRDefault="00000000">
            <w:pPr>
              <w:ind w:firstLine="6"/>
              <w:jc w:val="center"/>
              <w:rPr>
                <w:bCs/>
                <w:noProof/>
                <w:color w:val="000000"/>
              </w:rPr>
            </w:pPr>
            <w:r>
              <w:rPr>
                <w:bCs/>
                <w:noProof/>
                <w:color w:val="000000"/>
              </w:rPr>
              <w:t>4,64</w:t>
            </w:r>
          </w:p>
        </w:tc>
      </w:tr>
      <w:tr w:rsidR="00000000">
        <w:tblPrEx>
          <w:tblCellMar>
            <w:top w:w="0" w:type="dxa"/>
            <w:bottom w:w="0" w:type="dxa"/>
          </w:tblCellMar>
        </w:tblPrEx>
        <w:trPr>
          <w:jc w:val="center"/>
        </w:trPr>
        <w:tc>
          <w:tcPr>
            <w:tcW w:w="2832" w:type="dxa"/>
          </w:tcPr>
          <w:p w:rsidR="00000000" w:rsidRDefault="00000000">
            <w:pPr>
              <w:ind w:firstLine="6"/>
              <w:jc w:val="center"/>
              <w:rPr>
                <w:bCs/>
                <w:noProof/>
                <w:color w:val="000000"/>
              </w:rPr>
            </w:pPr>
            <w:r>
              <w:rPr>
                <w:bCs/>
                <w:noProof/>
                <w:color w:val="000000"/>
              </w:rPr>
              <w:t>1999</w:t>
            </w:r>
          </w:p>
        </w:tc>
        <w:tc>
          <w:tcPr>
            <w:tcW w:w="2893" w:type="dxa"/>
          </w:tcPr>
          <w:p w:rsidR="00000000" w:rsidRDefault="00000000">
            <w:pPr>
              <w:ind w:firstLine="6"/>
              <w:jc w:val="center"/>
              <w:rPr>
                <w:bCs/>
                <w:noProof/>
                <w:color w:val="000000"/>
              </w:rPr>
            </w:pPr>
            <w:r>
              <w:rPr>
                <w:bCs/>
                <w:noProof/>
                <w:color w:val="000000"/>
              </w:rPr>
              <w:t>4,55</w:t>
            </w:r>
          </w:p>
        </w:tc>
      </w:tr>
      <w:tr w:rsidR="00000000">
        <w:tblPrEx>
          <w:tblCellMar>
            <w:top w:w="0" w:type="dxa"/>
            <w:bottom w:w="0" w:type="dxa"/>
          </w:tblCellMar>
        </w:tblPrEx>
        <w:trPr>
          <w:jc w:val="center"/>
        </w:trPr>
        <w:tc>
          <w:tcPr>
            <w:tcW w:w="2832" w:type="dxa"/>
          </w:tcPr>
          <w:p w:rsidR="00000000" w:rsidRDefault="00000000">
            <w:pPr>
              <w:ind w:firstLine="6"/>
              <w:jc w:val="center"/>
              <w:rPr>
                <w:bCs/>
                <w:noProof/>
                <w:color w:val="000000"/>
              </w:rPr>
            </w:pPr>
            <w:r>
              <w:rPr>
                <w:bCs/>
                <w:noProof/>
                <w:color w:val="000000"/>
              </w:rPr>
              <w:t>2000</w:t>
            </w:r>
          </w:p>
        </w:tc>
        <w:tc>
          <w:tcPr>
            <w:tcW w:w="2893" w:type="dxa"/>
          </w:tcPr>
          <w:p w:rsidR="00000000" w:rsidRDefault="00000000">
            <w:pPr>
              <w:ind w:firstLine="6"/>
              <w:jc w:val="center"/>
              <w:rPr>
                <w:bCs/>
                <w:noProof/>
                <w:color w:val="000000"/>
              </w:rPr>
            </w:pPr>
            <w:r>
              <w:rPr>
                <w:bCs/>
                <w:noProof/>
                <w:color w:val="000000"/>
              </w:rPr>
              <w:t>4,42</w:t>
            </w:r>
          </w:p>
        </w:tc>
      </w:tr>
      <w:tr w:rsidR="00000000">
        <w:tblPrEx>
          <w:tblCellMar>
            <w:top w:w="0" w:type="dxa"/>
            <w:bottom w:w="0" w:type="dxa"/>
          </w:tblCellMar>
        </w:tblPrEx>
        <w:trPr>
          <w:jc w:val="center"/>
        </w:trPr>
        <w:tc>
          <w:tcPr>
            <w:tcW w:w="2832" w:type="dxa"/>
          </w:tcPr>
          <w:p w:rsidR="00000000" w:rsidRDefault="00000000">
            <w:pPr>
              <w:ind w:firstLine="6"/>
              <w:jc w:val="center"/>
              <w:rPr>
                <w:bCs/>
                <w:noProof/>
                <w:color w:val="000000"/>
              </w:rPr>
            </w:pPr>
            <w:r>
              <w:rPr>
                <w:bCs/>
                <w:noProof/>
                <w:color w:val="000000"/>
              </w:rPr>
              <w:t>2001</w:t>
            </w:r>
          </w:p>
        </w:tc>
        <w:tc>
          <w:tcPr>
            <w:tcW w:w="2893" w:type="dxa"/>
          </w:tcPr>
          <w:p w:rsidR="00000000" w:rsidRDefault="00000000">
            <w:pPr>
              <w:ind w:firstLine="6"/>
              <w:jc w:val="center"/>
              <w:rPr>
                <w:bCs/>
                <w:noProof/>
                <w:color w:val="000000"/>
              </w:rPr>
            </w:pPr>
            <w:r>
              <w:rPr>
                <w:bCs/>
                <w:noProof/>
                <w:color w:val="000000"/>
              </w:rPr>
              <w:t>3,79</w:t>
            </w:r>
          </w:p>
        </w:tc>
      </w:tr>
    </w:tbl>
    <w:p w:rsidR="00000000" w:rsidRDefault="00000000">
      <w:pPr>
        <w:tabs>
          <w:tab w:val="left" w:pos="1800"/>
        </w:tabs>
        <w:spacing w:before="240" w:after="480"/>
        <w:rPr>
          <w:bCs/>
          <w:noProof/>
          <w:color w:val="000000"/>
        </w:rPr>
      </w:pPr>
      <w:r>
        <w:rPr>
          <w:bCs/>
          <w:noProof/>
          <w:color w:val="000000"/>
        </w:rPr>
        <w:tab/>
      </w:r>
      <w:r>
        <w:rPr>
          <w:bCs/>
          <w:i/>
          <w:iCs/>
          <w:noProof/>
          <w:color w:val="000000"/>
        </w:rPr>
        <w:t>Fuente</w:t>
      </w:r>
      <w:r>
        <w:rPr>
          <w:bCs/>
          <w:noProof/>
          <w:color w:val="000000"/>
        </w:rPr>
        <w:t>:  Estadísticas de Educación 2001.  Ministerio de</w:t>
      </w:r>
      <w:r>
        <w:rPr>
          <w:bCs/>
          <w:noProof/>
          <w:color w:val="000000"/>
        </w:rPr>
        <w:br/>
      </w:r>
      <w:r>
        <w:rPr>
          <w:bCs/>
          <w:noProof/>
          <w:color w:val="000000"/>
        </w:rPr>
        <w:tab/>
        <w:t>Educación.</w:t>
      </w:r>
    </w:p>
    <w:p w:rsidR="00000000" w:rsidRDefault="00000000">
      <w:pPr>
        <w:spacing w:after="240"/>
        <w:jc w:val="center"/>
        <w:outlineLvl w:val="0"/>
        <w:rPr>
          <w:b/>
          <w:noProof/>
        </w:rPr>
      </w:pPr>
      <w:r>
        <w:rPr>
          <w:b/>
          <w:noProof/>
        </w:rPr>
        <w:t>Cuadro 37</w:t>
      </w:r>
    </w:p>
    <w:p w:rsidR="00000000" w:rsidRDefault="00000000">
      <w:pPr>
        <w:spacing w:after="240"/>
        <w:jc w:val="center"/>
        <w:outlineLvl w:val="0"/>
        <w:rPr>
          <w:bCs/>
          <w:noProof/>
        </w:rPr>
      </w:pPr>
      <w:r>
        <w:rPr>
          <w:b/>
          <w:noProof/>
        </w:rPr>
        <w:t>Analfabetismo por zona y región, 2003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644"/>
        <w:gridCol w:w="1335"/>
        <w:gridCol w:w="1813"/>
      </w:tblGrid>
      <w:tr w:rsidR="00000000">
        <w:tblPrEx>
          <w:tblCellMar>
            <w:top w:w="0" w:type="dxa"/>
            <w:bottom w:w="0" w:type="dxa"/>
          </w:tblCellMar>
        </w:tblPrEx>
        <w:trPr>
          <w:cantSplit/>
          <w:jc w:val="center"/>
        </w:trPr>
        <w:tc>
          <w:tcPr>
            <w:tcW w:w="1644" w:type="dxa"/>
            <w:vMerge w:val="restart"/>
            <w:vAlign w:val="center"/>
          </w:tcPr>
          <w:p w:rsidR="00000000" w:rsidRDefault="00000000">
            <w:pPr>
              <w:ind w:firstLine="6"/>
              <w:jc w:val="center"/>
              <w:rPr>
                <w:b/>
                <w:noProof/>
                <w:color w:val="000000"/>
              </w:rPr>
            </w:pPr>
            <w:r>
              <w:rPr>
                <w:b/>
                <w:noProof/>
                <w:color w:val="000000"/>
              </w:rPr>
              <w:t>Región</w:t>
            </w:r>
          </w:p>
        </w:tc>
        <w:tc>
          <w:tcPr>
            <w:tcW w:w="1335" w:type="dxa"/>
          </w:tcPr>
          <w:p w:rsidR="00000000" w:rsidRDefault="00000000">
            <w:pPr>
              <w:ind w:firstLine="6"/>
              <w:jc w:val="center"/>
              <w:rPr>
                <w:b/>
                <w:noProof/>
                <w:color w:val="000000"/>
              </w:rPr>
            </w:pPr>
            <w:r>
              <w:rPr>
                <w:b/>
                <w:noProof/>
                <w:color w:val="000000"/>
              </w:rPr>
              <w:t>Urbano</w:t>
            </w:r>
          </w:p>
        </w:tc>
        <w:tc>
          <w:tcPr>
            <w:tcW w:w="1813" w:type="dxa"/>
          </w:tcPr>
          <w:p w:rsidR="00000000" w:rsidRDefault="00000000">
            <w:pPr>
              <w:ind w:firstLine="6"/>
              <w:jc w:val="center"/>
              <w:rPr>
                <w:b/>
                <w:noProof/>
                <w:color w:val="000000"/>
              </w:rPr>
            </w:pPr>
            <w:r>
              <w:rPr>
                <w:b/>
                <w:noProof/>
                <w:color w:val="000000"/>
              </w:rPr>
              <w:t>Rural</w:t>
            </w:r>
          </w:p>
        </w:tc>
      </w:tr>
      <w:tr w:rsidR="00000000">
        <w:tblPrEx>
          <w:tblCellMar>
            <w:top w:w="0" w:type="dxa"/>
            <w:bottom w:w="0" w:type="dxa"/>
          </w:tblCellMar>
        </w:tblPrEx>
        <w:trPr>
          <w:cantSplit/>
          <w:jc w:val="center"/>
        </w:trPr>
        <w:tc>
          <w:tcPr>
            <w:tcW w:w="1644" w:type="dxa"/>
            <w:vMerge/>
          </w:tcPr>
          <w:p w:rsidR="00000000" w:rsidRDefault="00000000">
            <w:pPr>
              <w:ind w:firstLine="6"/>
              <w:rPr>
                <w:b/>
                <w:noProof/>
                <w:color w:val="000000"/>
              </w:rPr>
            </w:pPr>
          </w:p>
        </w:tc>
        <w:tc>
          <w:tcPr>
            <w:tcW w:w="3148" w:type="dxa"/>
            <w:gridSpan w:val="2"/>
          </w:tcPr>
          <w:p w:rsidR="00000000" w:rsidRDefault="00000000">
            <w:pPr>
              <w:ind w:firstLine="6"/>
              <w:jc w:val="center"/>
              <w:rPr>
                <w:b/>
                <w:noProof/>
                <w:color w:val="000000"/>
              </w:rPr>
            </w:pPr>
            <w:r>
              <w:rPr>
                <w:b/>
                <w:noProof/>
                <w:color w:val="000000"/>
              </w:rPr>
              <w:t>En porcentaje</w:t>
            </w:r>
          </w:p>
        </w:tc>
      </w:tr>
      <w:tr w:rsidR="00000000">
        <w:tblPrEx>
          <w:tblCellMar>
            <w:top w:w="0" w:type="dxa"/>
            <w:bottom w:w="0" w:type="dxa"/>
          </w:tblCellMar>
        </w:tblPrEx>
        <w:trPr>
          <w:jc w:val="center"/>
        </w:trPr>
        <w:tc>
          <w:tcPr>
            <w:tcW w:w="1644" w:type="dxa"/>
          </w:tcPr>
          <w:p w:rsidR="00000000" w:rsidRDefault="00000000">
            <w:pPr>
              <w:jc w:val="center"/>
              <w:rPr>
                <w:bCs/>
                <w:noProof/>
                <w:color w:val="000000"/>
                <w:lang w:val="en-GB"/>
              </w:rPr>
            </w:pPr>
            <w:r>
              <w:rPr>
                <w:bCs/>
                <w:noProof/>
                <w:color w:val="000000"/>
                <w:lang w:val="en-GB"/>
              </w:rPr>
              <w:t>I</w:t>
            </w:r>
          </w:p>
        </w:tc>
        <w:tc>
          <w:tcPr>
            <w:tcW w:w="1335" w:type="dxa"/>
          </w:tcPr>
          <w:p w:rsidR="00000000" w:rsidRDefault="00000000">
            <w:pPr>
              <w:ind w:firstLine="6"/>
              <w:jc w:val="center"/>
              <w:rPr>
                <w:bCs/>
                <w:noProof/>
                <w:color w:val="000000"/>
                <w:lang w:val="en-GB"/>
              </w:rPr>
            </w:pPr>
            <w:r>
              <w:rPr>
                <w:bCs/>
                <w:noProof/>
                <w:color w:val="000000"/>
                <w:lang w:val="en-GB"/>
              </w:rPr>
              <w:t>1,5</w:t>
            </w:r>
          </w:p>
        </w:tc>
        <w:tc>
          <w:tcPr>
            <w:tcW w:w="1813" w:type="dxa"/>
          </w:tcPr>
          <w:p w:rsidR="00000000" w:rsidRDefault="00000000">
            <w:pPr>
              <w:tabs>
                <w:tab w:val="decimal" w:pos="779"/>
              </w:tabs>
              <w:ind w:firstLine="6"/>
              <w:rPr>
                <w:bCs/>
                <w:noProof/>
                <w:color w:val="000000"/>
                <w:lang w:val="en-GB"/>
              </w:rPr>
            </w:pPr>
            <w:r>
              <w:rPr>
                <w:bCs/>
                <w:noProof/>
                <w:color w:val="000000"/>
                <w:lang w:val="en-GB"/>
              </w:rPr>
              <w:t>10,8</w:t>
            </w:r>
          </w:p>
        </w:tc>
      </w:tr>
      <w:tr w:rsidR="00000000">
        <w:tblPrEx>
          <w:tblCellMar>
            <w:top w:w="0" w:type="dxa"/>
            <w:bottom w:w="0" w:type="dxa"/>
          </w:tblCellMar>
        </w:tblPrEx>
        <w:trPr>
          <w:jc w:val="center"/>
        </w:trPr>
        <w:tc>
          <w:tcPr>
            <w:tcW w:w="1644" w:type="dxa"/>
          </w:tcPr>
          <w:p w:rsidR="00000000" w:rsidRDefault="00000000">
            <w:pPr>
              <w:jc w:val="center"/>
              <w:rPr>
                <w:bCs/>
                <w:noProof/>
                <w:color w:val="000000"/>
                <w:lang w:val="en-GB"/>
              </w:rPr>
            </w:pPr>
            <w:r>
              <w:rPr>
                <w:bCs/>
                <w:noProof/>
                <w:color w:val="000000"/>
                <w:lang w:val="en-GB"/>
              </w:rPr>
              <w:t>II</w:t>
            </w:r>
          </w:p>
        </w:tc>
        <w:tc>
          <w:tcPr>
            <w:tcW w:w="1335" w:type="dxa"/>
          </w:tcPr>
          <w:p w:rsidR="00000000" w:rsidRDefault="00000000">
            <w:pPr>
              <w:ind w:firstLine="6"/>
              <w:jc w:val="center"/>
              <w:rPr>
                <w:bCs/>
                <w:noProof/>
                <w:color w:val="000000"/>
                <w:lang w:val="en-GB"/>
              </w:rPr>
            </w:pPr>
            <w:r>
              <w:rPr>
                <w:bCs/>
                <w:noProof/>
                <w:color w:val="000000"/>
                <w:lang w:val="en-GB"/>
              </w:rPr>
              <w:t>0,6</w:t>
            </w:r>
          </w:p>
        </w:tc>
        <w:tc>
          <w:tcPr>
            <w:tcW w:w="1813" w:type="dxa"/>
          </w:tcPr>
          <w:p w:rsidR="00000000" w:rsidRDefault="00000000">
            <w:pPr>
              <w:tabs>
                <w:tab w:val="decimal" w:pos="779"/>
              </w:tabs>
              <w:ind w:firstLine="6"/>
              <w:rPr>
                <w:bCs/>
                <w:noProof/>
                <w:color w:val="000000"/>
                <w:lang w:val="en-GB"/>
              </w:rPr>
            </w:pPr>
            <w:r>
              <w:rPr>
                <w:bCs/>
                <w:noProof/>
                <w:color w:val="000000"/>
                <w:lang w:val="en-GB"/>
              </w:rPr>
              <w:t>9,2</w:t>
            </w:r>
          </w:p>
        </w:tc>
      </w:tr>
      <w:tr w:rsidR="00000000">
        <w:tblPrEx>
          <w:tblCellMar>
            <w:top w:w="0" w:type="dxa"/>
            <w:bottom w:w="0" w:type="dxa"/>
          </w:tblCellMar>
        </w:tblPrEx>
        <w:trPr>
          <w:jc w:val="center"/>
        </w:trPr>
        <w:tc>
          <w:tcPr>
            <w:tcW w:w="1644" w:type="dxa"/>
          </w:tcPr>
          <w:p w:rsidR="00000000" w:rsidRDefault="00000000">
            <w:pPr>
              <w:jc w:val="center"/>
              <w:rPr>
                <w:bCs/>
                <w:noProof/>
                <w:color w:val="000000"/>
                <w:lang w:val="en-GB"/>
              </w:rPr>
            </w:pPr>
            <w:r>
              <w:rPr>
                <w:bCs/>
                <w:noProof/>
                <w:color w:val="000000"/>
                <w:lang w:val="en-GB"/>
              </w:rPr>
              <w:t>III</w:t>
            </w:r>
          </w:p>
        </w:tc>
        <w:tc>
          <w:tcPr>
            <w:tcW w:w="1335" w:type="dxa"/>
          </w:tcPr>
          <w:p w:rsidR="00000000" w:rsidRDefault="00000000">
            <w:pPr>
              <w:ind w:firstLine="6"/>
              <w:jc w:val="center"/>
              <w:rPr>
                <w:bCs/>
                <w:noProof/>
                <w:color w:val="000000"/>
              </w:rPr>
            </w:pPr>
            <w:r>
              <w:rPr>
                <w:bCs/>
                <w:noProof/>
                <w:color w:val="000000"/>
              </w:rPr>
              <w:t>3,3</w:t>
            </w:r>
          </w:p>
        </w:tc>
        <w:tc>
          <w:tcPr>
            <w:tcW w:w="1813" w:type="dxa"/>
          </w:tcPr>
          <w:p w:rsidR="00000000" w:rsidRDefault="00000000">
            <w:pPr>
              <w:tabs>
                <w:tab w:val="decimal" w:pos="779"/>
              </w:tabs>
              <w:ind w:firstLine="6"/>
              <w:rPr>
                <w:bCs/>
                <w:noProof/>
                <w:color w:val="000000"/>
              </w:rPr>
            </w:pPr>
            <w:r>
              <w:rPr>
                <w:bCs/>
                <w:noProof/>
                <w:color w:val="000000"/>
              </w:rPr>
              <w:t>9,8</w:t>
            </w:r>
          </w:p>
        </w:tc>
      </w:tr>
      <w:tr w:rsidR="00000000">
        <w:tblPrEx>
          <w:tblCellMar>
            <w:top w:w="0" w:type="dxa"/>
            <w:bottom w:w="0" w:type="dxa"/>
          </w:tblCellMar>
        </w:tblPrEx>
        <w:trPr>
          <w:jc w:val="center"/>
        </w:trPr>
        <w:tc>
          <w:tcPr>
            <w:tcW w:w="1644" w:type="dxa"/>
          </w:tcPr>
          <w:p w:rsidR="00000000" w:rsidRDefault="00000000">
            <w:pPr>
              <w:jc w:val="center"/>
              <w:rPr>
                <w:bCs/>
                <w:noProof/>
                <w:color w:val="000000"/>
              </w:rPr>
            </w:pPr>
            <w:r>
              <w:rPr>
                <w:bCs/>
                <w:noProof/>
                <w:color w:val="000000"/>
              </w:rPr>
              <w:t>IV</w:t>
            </w:r>
          </w:p>
        </w:tc>
        <w:tc>
          <w:tcPr>
            <w:tcW w:w="1335" w:type="dxa"/>
          </w:tcPr>
          <w:p w:rsidR="00000000" w:rsidRDefault="00000000">
            <w:pPr>
              <w:ind w:firstLine="6"/>
              <w:jc w:val="center"/>
              <w:rPr>
                <w:bCs/>
                <w:noProof/>
                <w:color w:val="000000"/>
              </w:rPr>
            </w:pPr>
            <w:r>
              <w:rPr>
                <w:bCs/>
                <w:noProof/>
                <w:color w:val="000000"/>
              </w:rPr>
              <w:t>2,3</w:t>
            </w:r>
          </w:p>
        </w:tc>
        <w:tc>
          <w:tcPr>
            <w:tcW w:w="1813" w:type="dxa"/>
          </w:tcPr>
          <w:p w:rsidR="00000000" w:rsidRDefault="00000000">
            <w:pPr>
              <w:tabs>
                <w:tab w:val="decimal" w:pos="779"/>
              </w:tabs>
              <w:ind w:firstLine="6"/>
              <w:rPr>
                <w:bCs/>
                <w:noProof/>
                <w:color w:val="000000"/>
              </w:rPr>
            </w:pPr>
            <w:r>
              <w:rPr>
                <w:bCs/>
                <w:noProof/>
                <w:color w:val="000000"/>
              </w:rPr>
              <w:t>12,1</w:t>
            </w:r>
          </w:p>
        </w:tc>
      </w:tr>
      <w:tr w:rsidR="00000000">
        <w:tblPrEx>
          <w:tblCellMar>
            <w:top w:w="0" w:type="dxa"/>
            <w:bottom w:w="0" w:type="dxa"/>
          </w:tblCellMar>
        </w:tblPrEx>
        <w:trPr>
          <w:jc w:val="center"/>
        </w:trPr>
        <w:tc>
          <w:tcPr>
            <w:tcW w:w="1644" w:type="dxa"/>
          </w:tcPr>
          <w:p w:rsidR="00000000" w:rsidRDefault="00000000">
            <w:pPr>
              <w:jc w:val="center"/>
              <w:rPr>
                <w:bCs/>
                <w:noProof/>
                <w:color w:val="000000"/>
              </w:rPr>
            </w:pPr>
            <w:r>
              <w:rPr>
                <w:bCs/>
                <w:noProof/>
                <w:color w:val="000000"/>
              </w:rPr>
              <w:t>V</w:t>
            </w:r>
          </w:p>
        </w:tc>
        <w:tc>
          <w:tcPr>
            <w:tcW w:w="1335" w:type="dxa"/>
          </w:tcPr>
          <w:p w:rsidR="00000000" w:rsidRDefault="00000000">
            <w:pPr>
              <w:ind w:firstLine="6"/>
              <w:jc w:val="center"/>
              <w:rPr>
                <w:bCs/>
                <w:noProof/>
                <w:color w:val="000000"/>
              </w:rPr>
            </w:pPr>
            <w:r>
              <w:rPr>
                <w:bCs/>
                <w:noProof/>
                <w:color w:val="000000"/>
              </w:rPr>
              <w:t>2,2</w:t>
            </w:r>
          </w:p>
        </w:tc>
        <w:tc>
          <w:tcPr>
            <w:tcW w:w="1813" w:type="dxa"/>
          </w:tcPr>
          <w:p w:rsidR="00000000" w:rsidRDefault="00000000">
            <w:pPr>
              <w:tabs>
                <w:tab w:val="decimal" w:pos="779"/>
              </w:tabs>
              <w:ind w:firstLine="6"/>
              <w:rPr>
                <w:bCs/>
                <w:noProof/>
                <w:color w:val="000000"/>
              </w:rPr>
            </w:pPr>
            <w:r>
              <w:rPr>
                <w:bCs/>
                <w:noProof/>
                <w:color w:val="000000"/>
              </w:rPr>
              <w:t>9,1</w:t>
            </w:r>
          </w:p>
        </w:tc>
      </w:tr>
      <w:tr w:rsidR="00000000">
        <w:tblPrEx>
          <w:tblCellMar>
            <w:top w:w="0" w:type="dxa"/>
            <w:bottom w:w="0" w:type="dxa"/>
          </w:tblCellMar>
        </w:tblPrEx>
        <w:trPr>
          <w:jc w:val="center"/>
        </w:trPr>
        <w:tc>
          <w:tcPr>
            <w:tcW w:w="1644" w:type="dxa"/>
          </w:tcPr>
          <w:p w:rsidR="00000000" w:rsidRDefault="00000000">
            <w:pPr>
              <w:jc w:val="center"/>
              <w:rPr>
                <w:bCs/>
                <w:noProof/>
                <w:color w:val="000000"/>
              </w:rPr>
            </w:pPr>
            <w:r>
              <w:rPr>
                <w:bCs/>
                <w:noProof/>
                <w:color w:val="000000"/>
              </w:rPr>
              <w:t>VI</w:t>
            </w:r>
          </w:p>
        </w:tc>
        <w:tc>
          <w:tcPr>
            <w:tcW w:w="1335" w:type="dxa"/>
          </w:tcPr>
          <w:p w:rsidR="00000000" w:rsidRDefault="00000000">
            <w:pPr>
              <w:ind w:firstLine="6"/>
              <w:jc w:val="center"/>
              <w:rPr>
                <w:bCs/>
                <w:noProof/>
                <w:color w:val="000000"/>
              </w:rPr>
            </w:pPr>
            <w:r>
              <w:rPr>
                <w:bCs/>
                <w:noProof/>
                <w:color w:val="000000"/>
              </w:rPr>
              <w:t>4,2</w:t>
            </w:r>
          </w:p>
        </w:tc>
        <w:tc>
          <w:tcPr>
            <w:tcW w:w="1813" w:type="dxa"/>
          </w:tcPr>
          <w:p w:rsidR="00000000" w:rsidRDefault="00000000">
            <w:pPr>
              <w:tabs>
                <w:tab w:val="decimal" w:pos="779"/>
              </w:tabs>
              <w:ind w:firstLine="6"/>
              <w:rPr>
                <w:bCs/>
                <w:noProof/>
                <w:color w:val="000000"/>
              </w:rPr>
            </w:pPr>
            <w:r>
              <w:rPr>
                <w:bCs/>
                <w:noProof/>
                <w:color w:val="000000"/>
              </w:rPr>
              <w:t>11,8</w:t>
            </w:r>
          </w:p>
        </w:tc>
      </w:tr>
      <w:tr w:rsidR="00000000">
        <w:tblPrEx>
          <w:tblCellMar>
            <w:top w:w="0" w:type="dxa"/>
            <w:bottom w:w="0" w:type="dxa"/>
          </w:tblCellMar>
        </w:tblPrEx>
        <w:trPr>
          <w:jc w:val="center"/>
        </w:trPr>
        <w:tc>
          <w:tcPr>
            <w:tcW w:w="1644" w:type="dxa"/>
          </w:tcPr>
          <w:p w:rsidR="00000000" w:rsidRDefault="00000000">
            <w:pPr>
              <w:jc w:val="center"/>
              <w:rPr>
                <w:bCs/>
                <w:noProof/>
                <w:color w:val="000000"/>
              </w:rPr>
            </w:pPr>
            <w:r>
              <w:rPr>
                <w:bCs/>
                <w:noProof/>
                <w:color w:val="000000"/>
              </w:rPr>
              <w:t>VII</w:t>
            </w:r>
          </w:p>
        </w:tc>
        <w:tc>
          <w:tcPr>
            <w:tcW w:w="1335" w:type="dxa"/>
          </w:tcPr>
          <w:p w:rsidR="00000000" w:rsidRDefault="00000000">
            <w:pPr>
              <w:ind w:firstLine="6"/>
              <w:jc w:val="center"/>
              <w:rPr>
                <w:bCs/>
                <w:noProof/>
                <w:color w:val="000000"/>
              </w:rPr>
            </w:pPr>
            <w:r>
              <w:rPr>
                <w:bCs/>
                <w:noProof/>
                <w:color w:val="000000"/>
              </w:rPr>
              <w:t>4,4</w:t>
            </w:r>
          </w:p>
        </w:tc>
        <w:tc>
          <w:tcPr>
            <w:tcW w:w="1813" w:type="dxa"/>
          </w:tcPr>
          <w:p w:rsidR="00000000" w:rsidRDefault="00000000">
            <w:pPr>
              <w:tabs>
                <w:tab w:val="decimal" w:pos="779"/>
              </w:tabs>
              <w:ind w:firstLine="6"/>
              <w:rPr>
                <w:bCs/>
                <w:noProof/>
                <w:color w:val="000000"/>
              </w:rPr>
            </w:pPr>
            <w:r>
              <w:rPr>
                <w:bCs/>
                <w:noProof/>
                <w:color w:val="000000"/>
              </w:rPr>
              <w:t>12,9</w:t>
            </w:r>
          </w:p>
        </w:tc>
      </w:tr>
      <w:tr w:rsidR="00000000">
        <w:tblPrEx>
          <w:tblCellMar>
            <w:top w:w="0" w:type="dxa"/>
            <w:bottom w:w="0" w:type="dxa"/>
          </w:tblCellMar>
        </w:tblPrEx>
        <w:trPr>
          <w:jc w:val="center"/>
        </w:trPr>
        <w:tc>
          <w:tcPr>
            <w:tcW w:w="1644" w:type="dxa"/>
          </w:tcPr>
          <w:p w:rsidR="00000000" w:rsidRDefault="00000000">
            <w:pPr>
              <w:jc w:val="center"/>
              <w:rPr>
                <w:bCs/>
                <w:noProof/>
                <w:color w:val="000000"/>
              </w:rPr>
            </w:pPr>
            <w:r>
              <w:rPr>
                <w:bCs/>
                <w:noProof/>
                <w:color w:val="000000"/>
              </w:rPr>
              <w:t>VIII</w:t>
            </w:r>
          </w:p>
        </w:tc>
        <w:tc>
          <w:tcPr>
            <w:tcW w:w="1335" w:type="dxa"/>
          </w:tcPr>
          <w:p w:rsidR="00000000" w:rsidRDefault="00000000">
            <w:pPr>
              <w:ind w:firstLine="6"/>
              <w:jc w:val="center"/>
              <w:rPr>
                <w:bCs/>
                <w:noProof/>
                <w:color w:val="000000"/>
              </w:rPr>
            </w:pPr>
            <w:r>
              <w:rPr>
                <w:bCs/>
                <w:noProof/>
                <w:color w:val="000000"/>
              </w:rPr>
              <w:t>4,2</w:t>
            </w:r>
          </w:p>
        </w:tc>
        <w:tc>
          <w:tcPr>
            <w:tcW w:w="1813" w:type="dxa"/>
          </w:tcPr>
          <w:p w:rsidR="00000000" w:rsidRDefault="00000000">
            <w:pPr>
              <w:tabs>
                <w:tab w:val="decimal" w:pos="779"/>
              </w:tabs>
              <w:ind w:firstLine="6"/>
              <w:rPr>
                <w:bCs/>
                <w:noProof/>
                <w:color w:val="000000"/>
              </w:rPr>
            </w:pPr>
            <w:r>
              <w:rPr>
                <w:bCs/>
                <w:noProof/>
                <w:color w:val="000000"/>
              </w:rPr>
              <w:t>15,2</w:t>
            </w:r>
          </w:p>
        </w:tc>
      </w:tr>
      <w:tr w:rsidR="00000000">
        <w:tblPrEx>
          <w:tblCellMar>
            <w:top w:w="0" w:type="dxa"/>
            <w:bottom w:w="0" w:type="dxa"/>
          </w:tblCellMar>
        </w:tblPrEx>
        <w:trPr>
          <w:jc w:val="center"/>
        </w:trPr>
        <w:tc>
          <w:tcPr>
            <w:tcW w:w="1644" w:type="dxa"/>
          </w:tcPr>
          <w:p w:rsidR="00000000" w:rsidRDefault="00000000">
            <w:pPr>
              <w:jc w:val="center"/>
              <w:rPr>
                <w:bCs/>
                <w:noProof/>
                <w:color w:val="000000"/>
              </w:rPr>
            </w:pPr>
            <w:r>
              <w:rPr>
                <w:bCs/>
                <w:noProof/>
                <w:color w:val="000000"/>
              </w:rPr>
              <w:t>IX</w:t>
            </w:r>
          </w:p>
        </w:tc>
        <w:tc>
          <w:tcPr>
            <w:tcW w:w="1335" w:type="dxa"/>
          </w:tcPr>
          <w:p w:rsidR="00000000" w:rsidRDefault="00000000">
            <w:pPr>
              <w:ind w:firstLine="6"/>
              <w:jc w:val="center"/>
              <w:rPr>
                <w:bCs/>
                <w:noProof/>
                <w:color w:val="000000"/>
              </w:rPr>
            </w:pPr>
            <w:r>
              <w:rPr>
                <w:bCs/>
                <w:noProof/>
                <w:color w:val="000000"/>
              </w:rPr>
              <w:t>5,7</w:t>
            </w:r>
          </w:p>
        </w:tc>
        <w:tc>
          <w:tcPr>
            <w:tcW w:w="1813" w:type="dxa"/>
          </w:tcPr>
          <w:p w:rsidR="00000000" w:rsidRDefault="00000000">
            <w:pPr>
              <w:tabs>
                <w:tab w:val="decimal" w:pos="779"/>
              </w:tabs>
              <w:ind w:firstLine="6"/>
              <w:rPr>
                <w:bCs/>
                <w:noProof/>
                <w:color w:val="000000"/>
              </w:rPr>
            </w:pPr>
            <w:r>
              <w:rPr>
                <w:bCs/>
                <w:noProof/>
                <w:color w:val="000000"/>
              </w:rPr>
              <w:t>15,1</w:t>
            </w:r>
          </w:p>
        </w:tc>
      </w:tr>
      <w:tr w:rsidR="00000000">
        <w:tblPrEx>
          <w:tblCellMar>
            <w:top w:w="0" w:type="dxa"/>
            <w:bottom w:w="0" w:type="dxa"/>
          </w:tblCellMar>
        </w:tblPrEx>
        <w:trPr>
          <w:jc w:val="center"/>
        </w:trPr>
        <w:tc>
          <w:tcPr>
            <w:tcW w:w="1644" w:type="dxa"/>
          </w:tcPr>
          <w:p w:rsidR="00000000" w:rsidRDefault="00000000">
            <w:pPr>
              <w:jc w:val="center"/>
              <w:rPr>
                <w:bCs/>
                <w:noProof/>
                <w:color w:val="000000"/>
              </w:rPr>
            </w:pPr>
            <w:r>
              <w:rPr>
                <w:bCs/>
                <w:noProof/>
                <w:color w:val="000000"/>
              </w:rPr>
              <w:t>X</w:t>
            </w:r>
          </w:p>
        </w:tc>
        <w:tc>
          <w:tcPr>
            <w:tcW w:w="1335" w:type="dxa"/>
          </w:tcPr>
          <w:p w:rsidR="00000000" w:rsidRDefault="00000000">
            <w:pPr>
              <w:ind w:firstLine="6"/>
              <w:jc w:val="center"/>
              <w:rPr>
                <w:bCs/>
                <w:noProof/>
                <w:color w:val="000000"/>
              </w:rPr>
            </w:pPr>
            <w:r>
              <w:rPr>
                <w:bCs/>
                <w:noProof/>
                <w:color w:val="000000"/>
              </w:rPr>
              <w:t>4,1</w:t>
            </w:r>
          </w:p>
        </w:tc>
        <w:tc>
          <w:tcPr>
            <w:tcW w:w="1813" w:type="dxa"/>
          </w:tcPr>
          <w:p w:rsidR="00000000" w:rsidRDefault="00000000">
            <w:pPr>
              <w:tabs>
                <w:tab w:val="decimal" w:pos="779"/>
              </w:tabs>
              <w:ind w:firstLine="6"/>
              <w:rPr>
                <w:bCs/>
                <w:noProof/>
                <w:color w:val="000000"/>
              </w:rPr>
            </w:pPr>
            <w:r>
              <w:rPr>
                <w:bCs/>
                <w:noProof/>
                <w:color w:val="000000"/>
              </w:rPr>
              <w:t>8,2</w:t>
            </w:r>
          </w:p>
        </w:tc>
      </w:tr>
      <w:tr w:rsidR="00000000">
        <w:tblPrEx>
          <w:tblCellMar>
            <w:top w:w="0" w:type="dxa"/>
            <w:bottom w:w="0" w:type="dxa"/>
          </w:tblCellMar>
        </w:tblPrEx>
        <w:trPr>
          <w:jc w:val="center"/>
        </w:trPr>
        <w:tc>
          <w:tcPr>
            <w:tcW w:w="1644" w:type="dxa"/>
          </w:tcPr>
          <w:p w:rsidR="00000000" w:rsidRDefault="00000000">
            <w:pPr>
              <w:jc w:val="center"/>
              <w:rPr>
                <w:bCs/>
                <w:noProof/>
                <w:color w:val="000000"/>
              </w:rPr>
            </w:pPr>
            <w:r>
              <w:rPr>
                <w:bCs/>
                <w:noProof/>
                <w:color w:val="000000"/>
              </w:rPr>
              <w:t>XI</w:t>
            </w:r>
          </w:p>
        </w:tc>
        <w:tc>
          <w:tcPr>
            <w:tcW w:w="1335" w:type="dxa"/>
          </w:tcPr>
          <w:p w:rsidR="00000000" w:rsidRDefault="00000000">
            <w:pPr>
              <w:ind w:firstLine="6"/>
              <w:jc w:val="center"/>
              <w:rPr>
                <w:bCs/>
                <w:noProof/>
                <w:color w:val="000000"/>
              </w:rPr>
            </w:pPr>
            <w:r>
              <w:rPr>
                <w:bCs/>
                <w:noProof/>
                <w:color w:val="000000"/>
              </w:rPr>
              <w:t>4,9</w:t>
            </w:r>
          </w:p>
        </w:tc>
        <w:tc>
          <w:tcPr>
            <w:tcW w:w="1813" w:type="dxa"/>
          </w:tcPr>
          <w:p w:rsidR="00000000" w:rsidRDefault="00000000">
            <w:pPr>
              <w:tabs>
                <w:tab w:val="decimal" w:pos="779"/>
              </w:tabs>
              <w:ind w:firstLine="6"/>
              <w:rPr>
                <w:bCs/>
                <w:noProof/>
                <w:color w:val="000000"/>
              </w:rPr>
            </w:pPr>
            <w:r>
              <w:rPr>
                <w:bCs/>
                <w:noProof/>
                <w:color w:val="000000"/>
              </w:rPr>
              <w:t>11,2</w:t>
            </w:r>
          </w:p>
        </w:tc>
      </w:tr>
      <w:tr w:rsidR="00000000">
        <w:tblPrEx>
          <w:tblCellMar>
            <w:top w:w="0" w:type="dxa"/>
            <w:bottom w:w="0" w:type="dxa"/>
          </w:tblCellMar>
        </w:tblPrEx>
        <w:trPr>
          <w:jc w:val="center"/>
        </w:trPr>
        <w:tc>
          <w:tcPr>
            <w:tcW w:w="1644" w:type="dxa"/>
          </w:tcPr>
          <w:p w:rsidR="00000000" w:rsidRDefault="00000000">
            <w:pPr>
              <w:jc w:val="center"/>
              <w:rPr>
                <w:bCs/>
                <w:noProof/>
                <w:color w:val="000000"/>
              </w:rPr>
            </w:pPr>
            <w:r>
              <w:rPr>
                <w:bCs/>
                <w:noProof/>
                <w:color w:val="000000"/>
              </w:rPr>
              <w:t>XII</w:t>
            </w:r>
          </w:p>
        </w:tc>
        <w:tc>
          <w:tcPr>
            <w:tcW w:w="1335" w:type="dxa"/>
          </w:tcPr>
          <w:p w:rsidR="00000000" w:rsidRDefault="00000000">
            <w:pPr>
              <w:ind w:firstLine="6"/>
              <w:jc w:val="center"/>
              <w:rPr>
                <w:bCs/>
                <w:noProof/>
                <w:color w:val="000000"/>
                <w:lang w:val="en-GB"/>
              </w:rPr>
            </w:pPr>
            <w:r>
              <w:rPr>
                <w:bCs/>
                <w:noProof/>
                <w:color w:val="000000"/>
                <w:lang w:val="en-GB"/>
              </w:rPr>
              <w:t>1,1</w:t>
            </w:r>
          </w:p>
        </w:tc>
        <w:tc>
          <w:tcPr>
            <w:tcW w:w="1813" w:type="dxa"/>
          </w:tcPr>
          <w:p w:rsidR="00000000" w:rsidRDefault="00000000">
            <w:pPr>
              <w:tabs>
                <w:tab w:val="decimal" w:pos="779"/>
              </w:tabs>
              <w:ind w:firstLine="6"/>
              <w:rPr>
                <w:bCs/>
                <w:noProof/>
                <w:color w:val="000000"/>
                <w:lang w:val="en-GB"/>
              </w:rPr>
            </w:pPr>
            <w:r>
              <w:rPr>
                <w:bCs/>
                <w:noProof/>
                <w:color w:val="000000"/>
                <w:lang w:val="en-GB"/>
              </w:rPr>
              <w:t>5,7</w:t>
            </w:r>
          </w:p>
        </w:tc>
      </w:tr>
      <w:tr w:rsidR="00000000">
        <w:tblPrEx>
          <w:tblCellMar>
            <w:top w:w="0" w:type="dxa"/>
            <w:bottom w:w="0" w:type="dxa"/>
          </w:tblCellMar>
        </w:tblPrEx>
        <w:trPr>
          <w:jc w:val="center"/>
        </w:trPr>
        <w:tc>
          <w:tcPr>
            <w:tcW w:w="1644" w:type="dxa"/>
          </w:tcPr>
          <w:p w:rsidR="00000000" w:rsidRDefault="00000000">
            <w:pPr>
              <w:jc w:val="center"/>
              <w:rPr>
                <w:bCs/>
                <w:noProof/>
                <w:color w:val="000000"/>
                <w:lang w:val="en-GB"/>
              </w:rPr>
            </w:pPr>
            <w:r>
              <w:rPr>
                <w:bCs/>
                <w:noProof/>
                <w:color w:val="000000"/>
                <w:lang w:val="en-GB"/>
              </w:rPr>
              <w:t>RM</w:t>
            </w:r>
          </w:p>
        </w:tc>
        <w:tc>
          <w:tcPr>
            <w:tcW w:w="1335" w:type="dxa"/>
          </w:tcPr>
          <w:p w:rsidR="00000000" w:rsidRDefault="00000000">
            <w:pPr>
              <w:ind w:firstLine="6"/>
              <w:jc w:val="center"/>
              <w:rPr>
                <w:bCs/>
                <w:noProof/>
                <w:color w:val="000000"/>
                <w:lang w:val="en-GB"/>
              </w:rPr>
            </w:pPr>
            <w:r>
              <w:rPr>
                <w:bCs/>
                <w:noProof/>
                <w:color w:val="000000"/>
                <w:lang w:val="en-GB"/>
              </w:rPr>
              <w:t>2,1</w:t>
            </w:r>
          </w:p>
        </w:tc>
        <w:tc>
          <w:tcPr>
            <w:tcW w:w="1813" w:type="dxa"/>
          </w:tcPr>
          <w:p w:rsidR="00000000" w:rsidRDefault="00000000">
            <w:pPr>
              <w:tabs>
                <w:tab w:val="decimal" w:pos="779"/>
              </w:tabs>
              <w:ind w:firstLine="6"/>
              <w:rPr>
                <w:bCs/>
                <w:noProof/>
                <w:color w:val="000000"/>
                <w:lang w:val="en-GB"/>
              </w:rPr>
            </w:pPr>
            <w:r>
              <w:rPr>
                <w:bCs/>
                <w:noProof/>
                <w:color w:val="000000"/>
                <w:lang w:val="en-GB"/>
              </w:rPr>
              <w:t>6,0</w:t>
            </w:r>
          </w:p>
        </w:tc>
      </w:tr>
      <w:tr w:rsidR="00000000">
        <w:tblPrEx>
          <w:tblCellMar>
            <w:top w:w="0" w:type="dxa"/>
            <w:bottom w:w="0" w:type="dxa"/>
          </w:tblCellMar>
        </w:tblPrEx>
        <w:trPr>
          <w:jc w:val="center"/>
        </w:trPr>
        <w:tc>
          <w:tcPr>
            <w:tcW w:w="1644" w:type="dxa"/>
          </w:tcPr>
          <w:p w:rsidR="00000000" w:rsidRDefault="00000000">
            <w:pPr>
              <w:jc w:val="center"/>
              <w:rPr>
                <w:bCs/>
                <w:noProof/>
                <w:color w:val="000000"/>
                <w:lang w:val="en-GB"/>
              </w:rPr>
            </w:pPr>
            <w:r>
              <w:rPr>
                <w:bCs/>
                <w:noProof/>
                <w:color w:val="000000"/>
                <w:lang w:val="en-GB"/>
              </w:rPr>
              <w:t>PAIS</w:t>
            </w:r>
          </w:p>
        </w:tc>
        <w:tc>
          <w:tcPr>
            <w:tcW w:w="1335" w:type="dxa"/>
          </w:tcPr>
          <w:p w:rsidR="00000000" w:rsidRDefault="00000000">
            <w:pPr>
              <w:ind w:firstLine="6"/>
              <w:jc w:val="center"/>
              <w:rPr>
                <w:bCs/>
                <w:noProof/>
                <w:color w:val="000000"/>
                <w:lang w:val="en-GB"/>
              </w:rPr>
            </w:pPr>
            <w:r>
              <w:rPr>
                <w:bCs/>
                <w:noProof/>
                <w:color w:val="000000"/>
                <w:lang w:val="en-GB"/>
              </w:rPr>
              <w:t>2,8</w:t>
            </w:r>
          </w:p>
        </w:tc>
        <w:tc>
          <w:tcPr>
            <w:tcW w:w="1813" w:type="dxa"/>
          </w:tcPr>
          <w:p w:rsidR="00000000" w:rsidRDefault="00000000">
            <w:pPr>
              <w:tabs>
                <w:tab w:val="decimal" w:pos="779"/>
              </w:tabs>
              <w:ind w:firstLine="6"/>
              <w:rPr>
                <w:bCs/>
                <w:noProof/>
                <w:color w:val="000000"/>
                <w:lang w:val="en-GB"/>
              </w:rPr>
            </w:pPr>
            <w:r>
              <w:rPr>
                <w:bCs/>
                <w:noProof/>
                <w:color w:val="000000"/>
                <w:lang w:val="en-GB"/>
              </w:rPr>
              <w:t>11,8</w:t>
            </w:r>
          </w:p>
        </w:tc>
      </w:tr>
    </w:tbl>
    <w:p w:rsidR="00000000" w:rsidRDefault="00000000">
      <w:pPr>
        <w:tabs>
          <w:tab w:val="left" w:pos="2280"/>
        </w:tabs>
        <w:spacing w:before="240" w:after="480"/>
        <w:rPr>
          <w:bCs/>
          <w:noProof/>
        </w:rPr>
      </w:pPr>
      <w:r>
        <w:rPr>
          <w:bCs/>
          <w:noProof/>
          <w:color w:val="FF0000"/>
          <w:lang w:val="en-GB"/>
        </w:rPr>
        <w:tab/>
      </w:r>
      <w:r>
        <w:rPr>
          <w:bCs/>
          <w:i/>
          <w:iCs/>
          <w:noProof/>
          <w:lang w:val="en-GB"/>
        </w:rPr>
        <w:t>Fuente</w:t>
      </w:r>
      <w:r>
        <w:rPr>
          <w:bCs/>
          <w:noProof/>
          <w:lang w:val="en-GB"/>
        </w:rPr>
        <w:t xml:space="preserve">:  MIDEPLAN.  </w:t>
      </w:r>
      <w:r>
        <w:rPr>
          <w:bCs/>
          <w:noProof/>
        </w:rPr>
        <w:t>Encuesta Casen 2003.</w:t>
      </w:r>
    </w:p>
    <w:p w:rsidR="00000000" w:rsidRDefault="00000000">
      <w:pPr>
        <w:spacing w:after="240"/>
        <w:ind w:left="-4" w:firstLine="4"/>
        <w:jc w:val="center"/>
        <w:outlineLvl w:val="0"/>
        <w:rPr>
          <w:b/>
          <w:noProof/>
        </w:rPr>
      </w:pPr>
      <w:r>
        <w:rPr>
          <w:b/>
          <w:noProof/>
        </w:rPr>
        <w:t>Cuadro 38</w:t>
      </w:r>
    </w:p>
    <w:p w:rsidR="00000000" w:rsidRDefault="00000000">
      <w:pPr>
        <w:spacing w:after="240"/>
        <w:ind w:left="-4" w:firstLine="4"/>
        <w:jc w:val="center"/>
        <w:rPr>
          <w:b/>
          <w:noProof/>
        </w:rPr>
      </w:pPr>
      <w:r>
        <w:rPr>
          <w:b/>
          <w:noProof/>
        </w:rPr>
        <w:t>Escolaridad promedio de la población económicamente</w:t>
      </w:r>
      <w:r>
        <w:rPr>
          <w:b/>
          <w:noProof/>
        </w:rPr>
        <w:br/>
        <w:t>activa, 1996-2001</w:t>
      </w:r>
    </w:p>
    <w:tbl>
      <w:tblPr>
        <w:tblW w:w="0" w:type="auto"/>
        <w:tblInd w:w="19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308"/>
        <w:gridCol w:w="3452"/>
      </w:tblGrid>
      <w:tr w:rsidR="00000000">
        <w:tblPrEx>
          <w:tblCellMar>
            <w:top w:w="0" w:type="dxa"/>
            <w:bottom w:w="0" w:type="dxa"/>
          </w:tblCellMar>
        </w:tblPrEx>
        <w:tc>
          <w:tcPr>
            <w:tcW w:w="2308" w:type="dxa"/>
          </w:tcPr>
          <w:p w:rsidR="00000000" w:rsidRDefault="00000000">
            <w:pPr>
              <w:ind w:firstLine="6"/>
              <w:jc w:val="center"/>
              <w:rPr>
                <w:b/>
                <w:noProof/>
                <w:color w:val="000000"/>
              </w:rPr>
            </w:pPr>
            <w:r>
              <w:rPr>
                <w:b/>
                <w:noProof/>
                <w:color w:val="000000"/>
              </w:rPr>
              <w:t>Año</w:t>
            </w:r>
          </w:p>
        </w:tc>
        <w:tc>
          <w:tcPr>
            <w:tcW w:w="3452" w:type="dxa"/>
          </w:tcPr>
          <w:p w:rsidR="00000000" w:rsidRDefault="00000000">
            <w:pPr>
              <w:ind w:firstLine="6"/>
              <w:jc w:val="center"/>
              <w:rPr>
                <w:b/>
                <w:noProof/>
                <w:color w:val="000000"/>
              </w:rPr>
            </w:pPr>
            <w:r>
              <w:rPr>
                <w:b/>
                <w:noProof/>
                <w:color w:val="000000"/>
              </w:rPr>
              <w:t>Nivel de Escolaridad</w:t>
            </w:r>
          </w:p>
        </w:tc>
      </w:tr>
      <w:tr w:rsidR="00000000">
        <w:tblPrEx>
          <w:tblCellMar>
            <w:top w:w="0" w:type="dxa"/>
            <w:bottom w:w="0" w:type="dxa"/>
          </w:tblCellMar>
        </w:tblPrEx>
        <w:tc>
          <w:tcPr>
            <w:tcW w:w="2308" w:type="dxa"/>
          </w:tcPr>
          <w:p w:rsidR="00000000" w:rsidRDefault="00000000">
            <w:pPr>
              <w:ind w:firstLine="6"/>
              <w:jc w:val="center"/>
              <w:rPr>
                <w:bCs/>
                <w:noProof/>
                <w:color w:val="000000"/>
              </w:rPr>
            </w:pPr>
            <w:r>
              <w:rPr>
                <w:bCs/>
                <w:noProof/>
                <w:color w:val="000000"/>
              </w:rPr>
              <w:t>1996</w:t>
            </w:r>
          </w:p>
        </w:tc>
        <w:tc>
          <w:tcPr>
            <w:tcW w:w="3452" w:type="dxa"/>
          </w:tcPr>
          <w:p w:rsidR="00000000" w:rsidRDefault="00000000">
            <w:pPr>
              <w:tabs>
                <w:tab w:val="decimal" w:pos="1356"/>
              </w:tabs>
              <w:ind w:firstLine="6"/>
              <w:rPr>
                <w:bCs/>
                <w:noProof/>
                <w:color w:val="000000"/>
              </w:rPr>
            </w:pPr>
            <w:r>
              <w:rPr>
                <w:bCs/>
                <w:noProof/>
                <w:color w:val="000000"/>
              </w:rPr>
              <w:t>9,8</w:t>
            </w:r>
          </w:p>
        </w:tc>
      </w:tr>
      <w:tr w:rsidR="00000000">
        <w:tblPrEx>
          <w:tblCellMar>
            <w:top w:w="0" w:type="dxa"/>
            <w:bottom w:w="0" w:type="dxa"/>
          </w:tblCellMar>
        </w:tblPrEx>
        <w:tc>
          <w:tcPr>
            <w:tcW w:w="2308" w:type="dxa"/>
          </w:tcPr>
          <w:p w:rsidR="00000000" w:rsidRDefault="00000000">
            <w:pPr>
              <w:ind w:firstLine="6"/>
              <w:jc w:val="center"/>
              <w:rPr>
                <w:bCs/>
                <w:noProof/>
                <w:color w:val="000000"/>
              </w:rPr>
            </w:pPr>
            <w:r>
              <w:rPr>
                <w:bCs/>
                <w:noProof/>
                <w:color w:val="000000"/>
              </w:rPr>
              <w:t>1997</w:t>
            </w:r>
          </w:p>
        </w:tc>
        <w:tc>
          <w:tcPr>
            <w:tcW w:w="3452" w:type="dxa"/>
          </w:tcPr>
          <w:p w:rsidR="00000000" w:rsidRDefault="00000000">
            <w:pPr>
              <w:tabs>
                <w:tab w:val="decimal" w:pos="1356"/>
              </w:tabs>
              <w:ind w:firstLine="6"/>
              <w:rPr>
                <w:bCs/>
                <w:noProof/>
                <w:color w:val="000000"/>
              </w:rPr>
            </w:pPr>
            <w:r>
              <w:rPr>
                <w:bCs/>
                <w:noProof/>
                <w:color w:val="000000"/>
              </w:rPr>
              <w:t>9,7</w:t>
            </w:r>
          </w:p>
        </w:tc>
      </w:tr>
      <w:tr w:rsidR="00000000">
        <w:tblPrEx>
          <w:tblCellMar>
            <w:top w:w="0" w:type="dxa"/>
            <w:bottom w:w="0" w:type="dxa"/>
          </w:tblCellMar>
        </w:tblPrEx>
        <w:tc>
          <w:tcPr>
            <w:tcW w:w="2308" w:type="dxa"/>
          </w:tcPr>
          <w:p w:rsidR="00000000" w:rsidRDefault="00000000">
            <w:pPr>
              <w:ind w:firstLine="6"/>
              <w:jc w:val="center"/>
              <w:rPr>
                <w:bCs/>
                <w:noProof/>
                <w:color w:val="000000"/>
              </w:rPr>
            </w:pPr>
            <w:r>
              <w:rPr>
                <w:bCs/>
                <w:noProof/>
                <w:color w:val="000000"/>
              </w:rPr>
              <w:t>1998</w:t>
            </w:r>
          </w:p>
        </w:tc>
        <w:tc>
          <w:tcPr>
            <w:tcW w:w="3452" w:type="dxa"/>
          </w:tcPr>
          <w:p w:rsidR="00000000" w:rsidRDefault="00000000">
            <w:pPr>
              <w:tabs>
                <w:tab w:val="decimal" w:pos="1356"/>
              </w:tabs>
              <w:ind w:firstLine="6"/>
              <w:rPr>
                <w:bCs/>
                <w:noProof/>
                <w:color w:val="000000"/>
              </w:rPr>
            </w:pPr>
            <w:r>
              <w:rPr>
                <w:bCs/>
                <w:noProof/>
                <w:color w:val="000000"/>
              </w:rPr>
              <w:t>9,9</w:t>
            </w:r>
          </w:p>
        </w:tc>
      </w:tr>
      <w:tr w:rsidR="00000000">
        <w:tblPrEx>
          <w:tblCellMar>
            <w:top w:w="0" w:type="dxa"/>
            <w:bottom w:w="0" w:type="dxa"/>
          </w:tblCellMar>
        </w:tblPrEx>
        <w:tc>
          <w:tcPr>
            <w:tcW w:w="2308" w:type="dxa"/>
          </w:tcPr>
          <w:p w:rsidR="00000000" w:rsidRDefault="00000000">
            <w:pPr>
              <w:ind w:firstLine="6"/>
              <w:jc w:val="center"/>
              <w:rPr>
                <w:bCs/>
                <w:noProof/>
                <w:color w:val="000000"/>
              </w:rPr>
            </w:pPr>
            <w:r>
              <w:rPr>
                <w:bCs/>
                <w:noProof/>
                <w:color w:val="000000"/>
              </w:rPr>
              <w:t>1999</w:t>
            </w:r>
          </w:p>
        </w:tc>
        <w:tc>
          <w:tcPr>
            <w:tcW w:w="3452" w:type="dxa"/>
          </w:tcPr>
          <w:p w:rsidR="00000000" w:rsidRDefault="00000000">
            <w:pPr>
              <w:tabs>
                <w:tab w:val="decimal" w:pos="1356"/>
              </w:tabs>
              <w:ind w:firstLine="6"/>
              <w:rPr>
                <w:bCs/>
                <w:noProof/>
                <w:color w:val="000000"/>
              </w:rPr>
            </w:pPr>
            <w:r>
              <w:rPr>
                <w:bCs/>
                <w:noProof/>
                <w:color w:val="000000"/>
              </w:rPr>
              <w:t>10,0</w:t>
            </w:r>
          </w:p>
        </w:tc>
      </w:tr>
      <w:tr w:rsidR="00000000">
        <w:tblPrEx>
          <w:tblCellMar>
            <w:top w:w="0" w:type="dxa"/>
            <w:bottom w:w="0" w:type="dxa"/>
          </w:tblCellMar>
        </w:tblPrEx>
        <w:tc>
          <w:tcPr>
            <w:tcW w:w="2308" w:type="dxa"/>
          </w:tcPr>
          <w:p w:rsidR="00000000" w:rsidRDefault="00000000">
            <w:pPr>
              <w:ind w:firstLine="6"/>
              <w:jc w:val="center"/>
              <w:rPr>
                <w:bCs/>
                <w:noProof/>
                <w:color w:val="000000"/>
              </w:rPr>
            </w:pPr>
            <w:r>
              <w:rPr>
                <w:bCs/>
                <w:noProof/>
                <w:color w:val="000000"/>
              </w:rPr>
              <w:t>2000</w:t>
            </w:r>
          </w:p>
        </w:tc>
        <w:tc>
          <w:tcPr>
            <w:tcW w:w="3452" w:type="dxa"/>
          </w:tcPr>
          <w:p w:rsidR="00000000" w:rsidRDefault="00000000">
            <w:pPr>
              <w:tabs>
                <w:tab w:val="decimal" w:pos="1356"/>
              </w:tabs>
              <w:ind w:firstLine="6"/>
              <w:rPr>
                <w:bCs/>
                <w:noProof/>
                <w:color w:val="000000"/>
              </w:rPr>
            </w:pPr>
            <w:r>
              <w:rPr>
                <w:bCs/>
                <w:noProof/>
                <w:color w:val="000000"/>
              </w:rPr>
              <w:t>10,2</w:t>
            </w:r>
          </w:p>
        </w:tc>
      </w:tr>
      <w:tr w:rsidR="00000000">
        <w:tblPrEx>
          <w:tblCellMar>
            <w:top w:w="0" w:type="dxa"/>
            <w:bottom w:w="0" w:type="dxa"/>
          </w:tblCellMar>
        </w:tblPrEx>
        <w:tc>
          <w:tcPr>
            <w:tcW w:w="2308" w:type="dxa"/>
          </w:tcPr>
          <w:p w:rsidR="00000000" w:rsidRDefault="00000000">
            <w:pPr>
              <w:ind w:firstLine="6"/>
              <w:jc w:val="center"/>
              <w:rPr>
                <w:bCs/>
                <w:noProof/>
                <w:color w:val="000000"/>
              </w:rPr>
            </w:pPr>
            <w:r>
              <w:rPr>
                <w:bCs/>
                <w:noProof/>
                <w:color w:val="000000"/>
              </w:rPr>
              <w:t>2001</w:t>
            </w:r>
          </w:p>
        </w:tc>
        <w:tc>
          <w:tcPr>
            <w:tcW w:w="3452" w:type="dxa"/>
          </w:tcPr>
          <w:p w:rsidR="00000000" w:rsidRDefault="00000000">
            <w:pPr>
              <w:tabs>
                <w:tab w:val="decimal" w:pos="1356"/>
              </w:tabs>
              <w:ind w:firstLine="6"/>
              <w:rPr>
                <w:bCs/>
                <w:noProof/>
                <w:color w:val="000000"/>
              </w:rPr>
            </w:pPr>
            <w:r>
              <w:rPr>
                <w:bCs/>
                <w:noProof/>
                <w:color w:val="000000"/>
              </w:rPr>
              <w:t>10,3</w:t>
            </w:r>
          </w:p>
        </w:tc>
      </w:tr>
    </w:tbl>
    <w:p w:rsidR="00000000" w:rsidRDefault="00000000">
      <w:pPr>
        <w:tabs>
          <w:tab w:val="left" w:pos="2072"/>
        </w:tabs>
        <w:spacing w:before="240" w:after="480"/>
        <w:rPr>
          <w:bCs/>
          <w:noProof/>
          <w:color w:val="000000"/>
        </w:rPr>
      </w:pPr>
      <w:r>
        <w:rPr>
          <w:bCs/>
          <w:noProof/>
          <w:color w:val="000000"/>
        </w:rPr>
        <w:tab/>
      </w:r>
      <w:r>
        <w:rPr>
          <w:bCs/>
          <w:i/>
          <w:iCs/>
          <w:noProof/>
          <w:color w:val="000000"/>
        </w:rPr>
        <w:t>Fuente</w:t>
      </w:r>
      <w:r>
        <w:rPr>
          <w:bCs/>
          <w:noProof/>
          <w:color w:val="000000"/>
        </w:rPr>
        <w:t>:  MINEDUC.  Estadísticas de la educación, 2001.</w:t>
      </w:r>
    </w:p>
    <w:p w:rsidR="00000000" w:rsidRDefault="00000000">
      <w:pPr>
        <w:keepNext/>
        <w:keepLines/>
        <w:spacing w:after="240"/>
        <w:ind w:left="-4" w:firstLine="4"/>
        <w:jc w:val="center"/>
        <w:outlineLvl w:val="0"/>
        <w:rPr>
          <w:b/>
          <w:noProof/>
        </w:rPr>
      </w:pPr>
      <w:r>
        <w:rPr>
          <w:b/>
          <w:noProof/>
        </w:rPr>
        <w:t>Cuadro 39</w:t>
      </w:r>
    </w:p>
    <w:p w:rsidR="00000000" w:rsidRDefault="00000000">
      <w:pPr>
        <w:keepNext/>
        <w:keepLines/>
        <w:spacing w:after="240"/>
        <w:ind w:left="-4" w:firstLine="4"/>
        <w:jc w:val="center"/>
        <w:rPr>
          <w:b/>
          <w:noProof/>
        </w:rPr>
      </w:pPr>
      <w:r>
        <w:rPr>
          <w:b/>
          <w:noProof/>
        </w:rPr>
        <w:t>Escolaridad Promedio de la Población de 15 años</w:t>
      </w:r>
      <w:r>
        <w:rPr>
          <w:b/>
          <w:noProof/>
        </w:rPr>
        <w:br/>
        <w:t>y más según sexo, 1996-2003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96"/>
        <w:gridCol w:w="1797"/>
        <w:gridCol w:w="1797"/>
        <w:gridCol w:w="1797"/>
      </w:tblGrid>
      <w:tr w:rsidR="00000000">
        <w:tblPrEx>
          <w:tblCellMar>
            <w:top w:w="0" w:type="dxa"/>
            <w:bottom w:w="0" w:type="dxa"/>
          </w:tblCellMar>
        </w:tblPrEx>
        <w:trPr>
          <w:jc w:val="center"/>
        </w:trPr>
        <w:tc>
          <w:tcPr>
            <w:tcW w:w="1796" w:type="dxa"/>
          </w:tcPr>
          <w:p w:rsidR="00000000" w:rsidRDefault="00000000">
            <w:pPr>
              <w:keepNext/>
              <w:keepLines/>
              <w:ind w:firstLine="6"/>
              <w:jc w:val="center"/>
              <w:rPr>
                <w:b/>
                <w:noProof/>
                <w:color w:val="000000"/>
              </w:rPr>
            </w:pPr>
            <w:r>
              <w:rPr>
                <w:b/>
                <w:noProof/>
                <w:color w:val="000000"/>
              </w:rPr>
              <w:t>Año</w:t>
            </w:r>
          </w:p>
        </w:tc>
        <w:tc>
          <w:tcPr>
            <w:tcW w:w="1797" w:type="dxa"/>
          </w:tcPr>
          <w:p w:rsidR="00000000" w:rsidRDefault="00000000">
            <w:pPr>
              <w:keepNext/>
              <w:keepLines/>
              <w:ind w:firstLine="6"/>
              <w:jc w:val="center"/>
              <w:rPr>
                <w:b/>
                <w:noProof/>
                <w:color w:val="000000"/>
              </w:rPr>
            </w:pPr>
            <w:r>
              <w:rPr>
                <w:b/>
                <w:noProof/>
                <w:color w:val="000000"/>
              </w:rPr>
              <w:t>Hombre</w:t>
            </w:r>
          </w:p>
        </w:tc>
        <w:tc>
          <w:tcPr>
            <w:tcW w:w="1797" w:type="dxa"/>
          </w:tcPr>
          <w:p w:rsidR="00000000" w:rsidRDefault="00000000">
            <w:pPr>
              <w:keepNext/>
              <w:keepLines/>
              <w:ind w:firstLine="6"/>
              <w:jc w:val="center"/>
              <w:rPr>
                <w:b/>
                <w:noProof/>
                <w:color w:val="000000"/>
              </w:rPr>
            </w:pPr>
            <w:r>
              <w:rPr>
                <w:b/>
                <w:noProof/>
                <w:color w:val="000000"/>
              </w:rPr>
              <w:t>Mujer</w:t>
            </w:r>
          </w:p>
        </w:tc>
        <w:tc>
          <w:tcPr>
            <w:tcW w:w="1797" w:type="dxa"/>
          </w:tcPr>
          <w:p w:rsidR="00000000" w:rsidRDefault="00000000">
            <w:pPr>
              <w:keepNext/>
              <w:keepLines/>
              <w:ind w:firstLine="6"/>
              <w:jc w:val="center"/>
              <w:rPr>
                <w:b/>
                <w:noProof/>
                <w:color w:val="000000"/>
              </w:rPr>
            </w:pPr>
            <w:r>
              <w:rPr>
                <w:b/>
                <w:noProof/>
                <w:color w:val="000000"/>
              </w:rPr>
              <w:t>Total</w:t>
            </w:r>
          </w:p>
        </w:tc>
      </w:tr>
      <w:tr w:rsidR="00000000">
        <w:tblPrEx>
          <w:tblCellMar>
            <w:top w:w="0" w:type="dxa"/>
            <w:bottom w:w="0" w:type="dxa"/>
          </w:tblCellMar>
        </w:tblPrEx>
        <w:trPr>
          <w:jc w:val="center"/>
        </w:trPr>
        <w:tc>
          <w:tcPr>
            <w:tcW w:w="1796" w:type="dxa"/>
          </w:tcPr>
          <w:p w:rsidR="00000000" w:rsidRDefault="00000000">
            <w:pPr>
              <w:keepNext/>
              <w:keepLines/>
              <w:ind w:firstLine="6"/>
              <w:jc w:val="center"/>
              <w:rPr>
                <w:bCs/>
                <w:noProof/>
                <w:color w:val="000000"/>
              </w:rPr>
            </w:pPr>
            <w:r>
              <w:rPr>
                <w:bCs/>
                <w:noProof/>
                <w:color w:val="000000"/>
              </w:rPr>
              <w:t>1996</w:t>
            </w:r>
          </w:p>
        </w:tc>
        <w:tc>
          <w:tcPr>
            <w:tcW w:w="1797" w:type="dxa"/>
          </w:tcPr>
          <w:p w:rsidR="00000000" w:rsidRDefault="00000000">
            <w:pPr>
              <w:keepNext/>
              <w:keepLines/>
              <w:tabs>
                <w:tab w:val="decimal" w:pos="886"/>
              </w:tabs>
              <w:ind w:firstLine="6"/>
              <w:rPr>
                <w:bCs/>
                <w:noProof/>
                <w:color w:val="000000"/>
              </w:rPr>
            </w:pPr>
            <w:r>
              <w:rPr>
                <w:bCs/>
                <w:noProof/>
                <w:color w:val="000000"/>
              </w:rPr>
              <w:t>9,6</w:t>
            </w:r>
          </w:p>
        </w:tc>
        <w:tc>
          <w:tcPr>
            <w:tcW w:w="1797" w:type="dxa"/>
          </w:tcPr>
          <w:p w:rsidR="00000000" w:rsidRDefault="00000000">
            <w:pPr>
              <w:keepNext/>
              <w:keepLines/>
              <w:tabs>
                <w:tab w:val="decimal" w:pos="787"/>
              </w:tabs>
              <w:ind w:firstLine="6"/>
              <w:rPr>
                <w:bCs/>
                <w:noProof/>
                <w:color w:val="000000"/>
              </w:rPr>
            </w:pPr>
            <w:r>
              <w:rPr>
                <w:bCs/>
                <w:noProof/>
                <w:color w:val="000000"/>
              </w:rPr>
              <w:t>9,3</w:t>
            </w:r>
          </w:p>
        </w:tc>
        <w:tc>
          <w:tcPr>
            <w:tcW w:w="1797" w:type="dxa"/>
          </w:tcPr>
          <w:p w:rsidR="00000000" w:rsidRDefault="00000000">
            <w:pPr>
              <w:keepNext/>
              <w:keepLines/>
              <w:tabs>
                <w:tab w:val="decimal" w:pos="790"/>
              </w:tabs>
              <w:ind w:firstLine="6"/>
              <w:rPr>
                <w:bCs/>
                <w:noProof/>
                <w:color w:val="000000"/>
              </w:rPr>
            </w:pPr>
            <w:r>
              <w:rPr>
                <w:bCs/>
                <w:noProof/>
                <w:color w:val="000000"/>
              </w:rPr>
              <w:t>9,4</w:t>
            </w:r>
          </w:p>
        </w:tc>
      </w:tr>
      <w:tr w:rsidR="00000000">
        <w:tblPrEx>
          <w:tblCellMar>
            <w:top w:w="0" w:type="dxa"/>
            <w:bottom w:w="0" w:type="dxa"/>
          </w:tblCellMar>
        </w:tblPrEx>
        <w:trPr>
          <w:jc w:val="center"/>
        </w:trPr>
        <w:tc>
          <w:tcPr>
            <w:tcW w:w="1796" w:type="dxa"/>
          </w:tcPr>
          <w:p w:rsidR="00000000" w:rsidRDefault="00000000">
            <w:pPr>
              <w:keepNext/>
              <w:keepLines/>
              <w:ind w:firstLine="6"/>
              <w:jc w:val="center"/>
              <w:rPr>
                <w:bCs/>
                <w:noProof/>
                <w:color w:val="000000"/>
              </w:rPr>
            </w:pPr>
            <w:r>
              <w:rPr>
                <w:bCs/>
                <w:noProof/>
                <w:color w:val="000000"/>
              </w:rPr>
              <w:t>1998</w:t>
            </w:r>
          </w:p>
        </w:tc>
        <w:tc>
          <w:tcPr>
            <w:tcW w:w="1797" w:type="dxa"/>
          </w:tcPr>
          <w:p w:rsidR="00000000" w:rsidRDefault="00000000">
            <w:pPr>
              <w:keepNext/>
              <w:keepLines/>
              <w:tabs>
                <w:tab w:val="decimal" w:pos="886"/>
              </w:tabs>
              <w:ind w:firstLine="6"/>
              <w:rPr>
                <w:bCs/>
                <w:noProof/>
                <w:color w:val="000000"/>
              </w:rPr>
            </w:pPr>
            <w:r>
              <w:rPr>
                <w:bCs/>
                <w:noProof/>
                <w:color w:val="000000"/>
              </w:rPr>
              <w:t>9,8</w:t>
            </w:r>
          </w:p>
        </w:tc>
        <w:tc>
          <w:tcPr>
            <w:tcW w:w="1797" w:type="dxa"/>
          </w:tcPr>
          <w:p w:rsidR="00000000" w:rsidRDefault="00000000">
            <w:pPr>
              <w:keepNext/>
              <w:keepLines/>
              <w:tabs>
                <w:tab w:val="decimal" w:pos="787"/>
              </w:tabs>
              <w:ind w:firstLine="6"/>
              <w:rPr>
                <w:bCs/>
                <w:noProof/>
                <w:color w:val="000000"/>
              </w:rPr>
            </w:pPr>
            <w:r>
              <w:rPr>
                <w:bCs/>
                <w:noProof/>
                <w:color w:val="000000"/>
              </w:rPr>
              <w:t>9,5</w:t>
            </w:r>
          </w:p>
        </w:tc>
        <w:tc>
          <w:tcPr>
            <w:tcW w:w="1797" w:type="dxa"/>
          </w:tcPr>
          <w:p w:rsidR="00000000" w:rsidRDefault="00000000">
            <w:pPr>
              <w:keepNext/>
              <w:keepLines/>
              <w:tabs>
                <w:tab w:val="decimal" w:pos="790"/>
              </w:tabs>
              <w:ind w:firstLine="6"/>
              <w:rPr>
                <w:bCs/>
                <w:noProof/>
                <w:color w:val="000000"/>
              </w:rPr>
            </w:pPr>
            <w:r>
              <w:rPr>
                <w:bCs/>
                <w:noProof/>
                <w:color w:val="000000"/>
              </w:rPr>
              <w:t>9,7</w:t>
            </w:r>
          </w:p>
        </w:tc>
      </w:tr>
      <w:tr w:rsidR="00000000">
        <w:tblPrEx>
          <w:tblCellMar>
            <w:top w:w="0" w:type="dxa"/>
            <w:bottom w:w="0" w:type="dxa"/>
          </w:tblCellMar>
        </w:tblPrEx>
        <w:trPr>
          <w:jc w:val="center"/>
        </w:trPr>
        <w:tc>
          <w:tcPr>
            <w:tcW w:w="1796" w:type="dxa"/>
          </w:tcPr>
          <w:p w:rsidR="00000000" w:rsidRDefault="00000000">
            <w:pPr>
              <w:keepNext/>
              <w:keepLines/>
              <w:ind w:firstLine="6"/>
              <w:jc w:val="center"/>
              <w:rPr>
                <w:bCs/>
                <w:noProof/>
                <w:color w:val="000000"/>
              </w:rPr>
            </w:pPr>
            <w:r>
              <w:rPr>
                <w:bCs/>
                <w:noProof/>
                <w:color w:val="000000"/>
              </w:rPr>
              <w:t>2000</w:t>
            </w:r>
          </w:p>
        </w:tc>
        <w:tc>
          <w:tcPr>
            <w:tcW w:w="1797" w:type="dxa"/>
          </w:tcPr>
          <w:p w:rsidR="00000000" w:rsidRDefault="00000000">
            <w:pPr>
              <w:keepNext/>
              <w:keepLines/>
              <w:tabs>
                <w:tab w:val="decimal" w:pos="886"/>
              </w:tabs>
              <w:ind w:firstLine="6"/>
              <w:rPr>
                <w:bCs/>
                <w:noProof/>
                <w:color w:val="000000"/>
              </w:rPr>
            </w:pPr>
            <w:r>
              <w:rPr>
                <w:bCs/>
                <w:noProof/>
                <w:color w:val="000000"/>
              </w:rPr>
              <w:t>10,0</w:t>
            </w:r>
          </w:p>
        </w:tc>
        <w:tc>
          <w:tcPr>
            <w:tcW w:w="1797" w:type="dxa"/>
          </w:tcPr>
          <w:p w:rsidR="00000000" w:rsidRDefault="00000000">
            <w:pPr>
              <w:keepNext/>
              <w:keepLines/>
              <w:tabs>
                <w:tab w:val="decimal" w:pos="787"/>
              </w:tabs>
              <w:ind w:firstLine="6"/>
              <w:rPr>
                <w:bCs/>
                <w:noProof/>
                <w:color w:val="000000"/>
              </w:rPr>
            </w:pPr>
            <w:r>
              <w:rPr>
                <w:bCs/>
                <w:noProof/>
                <w:color w:val="000000"/>
              </w:rPr>
              <w:t>9,7</w:t>
            </w:r>
          </w:p>
        </w:tc>
        <w:tc>
          <w:tcPr>
            <w:tcW w:w="1797" w:type="dxa"/>
          </w:tcPr>
          <w:p w:rsidR="00000000" w:rsidRDefault="00000000">
            <w:pPr>
              <w:keepNext/>
              <w:keepLines/>
              <w:tabs>
                <w:tab w:val="decimal" w:pos="790"/>
              </w:tabs>
              <w:ind w:firstLine="6"/>
              <w:rPr>
                <w:bCs/>
                <w:noProof/>
                <w:color w:val="000000"/>
              </w:rPr>
            </w:pPr>
            <w:r>
              <w:rPr>
                <w:bCs/>
                <w:noProof/>
                <w:color w:val="000000"/>
              </w:rPr>
              <w:t>9,8</w:t>
            </w:r>
          </w:p>
        </w:tc>
      </w:tr>
      <w:tr w:rsidR="00000000">
        <w:tblPrEx>
          <w:tblCellMar>
            <w:top w:w="0" w:type="dxa"/>
            <w:bottom w:w="0" w:type="dxa"/>
          </w:tblCellMar>
        </w:tblPrEx>
        <w:trPr>
          <w:jc w:val="center"/>
        </w:trPr>
        <w:tc>
          <w:tcPr>
            <w:tcW w:w="1796" w:type="dxa"/>
          </w:tcPr>
          <w:p w:rsidR="00000000" w:rsidRDefault="00000000">
            <w:pPr>
              <w:keepNext/>
              <w:keepLines/>
              <w:ind w:firstLine="6"/>
              <w:jc w:val="center"/>
              <w:rPr>
                <w:bCs/>
                <w:noProof/>
                <w:color w:val="000000"/>
              </w:rPr>
            </w:pPr>
            <w:r>
              <w:rPr>
                <w:bCs/>
                <w:noProof/>
                <w:color w:val="000000"/>
              </w:rPr>
              <w:t>2003</w:t>
            </w:r>
          </w:p>
        </w:tc>
        <w:tc>
          <w:tcPr>
            <w:tcW w:w="1797" w:type="dxa"/>
          </w:tcPr>
          <w:p w:rsidR="00000000" w:rsidRDefault="00000000">
            <w:pPr>
              <w:keepNext/>
              <w:keepLines/>
              <w:tabs>
                <w:tab w:val="decimal" w:pos="886"/>
              </w:tabs>
              <w:ind w:firstLine="6"/>
              <w:rPr>
                <w:bCs/>
                <w:noProof/>
                <w:color w:val="000000"/>
              </w:rPr>
            </w:pPr>
            <w:r>
              <w:rPr>
                <w:bCs/>
                <w:noProof/>
                <w:color w:val="000000"/>
              </w:rPr>
              <w:t>10,3</w:t>
            </w:r>
          </w:p>
        </w:tc>
        <w:tc>
          <w:tcPr>
            <w:tcW w:w="1797" w:type="dxa"/>
          </w:tcPr>
          <w:p w:rsidR="00000000" w:rsidRDefault="00000000">
            <w:pPr>
              <w:keepNext/>
              <w:keepLines/>
              <w:tabs>
                <w:tab w:val="decimal" w:pos="787"/>
              </w:tabs>
              <w:ind w:firstLine="6"/>
              <w:rPr>
                <w:bCs/>
                <w:noProof/>
                <w:color w:val="000000"/>
              </w:rPr>
            </w:pPr>
            <w:r>
              <w:rPr>
                <w:bCs/>
                <w:noProof/>
                <w:color w:val="000000"/>
              </w:rPr>
              <w:t>10,0</w:t>
            </w:r>
          </w:p>
        </w:tc>
        <w:tc>
          <w:tcPr>
            <w:tcW w:w="1797" w:type="dxa"/>
          </w:tcPr>
          <w:p w:rsidR="00000000" w:rsidRDefault="00000000">
            <w:pPr>
              <w:keepNext/>
              <w:keepLines/>
              <w:tabs>
                <w:tab w:val="decimal" w:pos="790"/>
              </w:tabs>
              <w:ind w:firstLine="6"/>
              <w:rPr>
                <w:bCs/>
                <w:noProof/>
                <w:color w:val="000000"/>
              </w:rPr>
            </w:pPr>
            <w:r>
              <w:rPr>
                <w:bCs/>
                <w:noProof/>
                <w:color w:val="000000"/>
              </w:rPr>
              <w:t>10,1</w:t>
            </w:r>
          </w:p>
        </w:tc>
      </w:tr>
    </w:tbl>
    <w:p w:rsidR="00000000" w:rsidRDefault="00000000">
      <w:pPr>
        <w:tabs>
          <w:tab w:val="left" w:pos="1134"/>
        </w:tabs>
        <w:spacing w:before="240" w:after="480"/>
        <w:rPr>
          <w:bCs/>
          <w:noProof/>
          <w:color w:val="000000"/>
        </w:rPr>
      </w:pPr>
      <w:r>
        <w:rPr>
          <w:bCs/>
          <w:i/>
          <w:iCs/>
          <w:noProof/>
          <w:color w:val="000000"/>
        </w:rPr>
        <w:tab/>
        <w:t>Fuente</w:t>
      </w:r>
      <w:r>
        <w:rPr>
          <w:bCs/>
          <w:noProof/>
          <w:color w:val="000000"/>
        </w:rPr>
        <w:t>:  MIDEPLAN.  Encuestas CASEN 1996, 1998, 2000 y 2003.</w:t>
      </w:r>
    </w:p>
    <w:p w:rsidR="00000000" w:rsidRDefault="00000000">
      <w:pPr>
        <w:spacing w:after="240"/>
        <w:ind w:left="-4" w:firstLine="4"/>
        <w:jc w:val="center"/>
        <w:outlineLvl w:val="0"/>
        <w:rPr>
          <w:b/>
          <w:noProof/>
        </w:rPr>
      </w:pPr>
      <w:r>
        <w:rPr>
          <w:b/>
          <w:noProof/>
        </w:rPr>
        <w:t>Cuadro 40</w:t>
      </w:r>
    </w:p>
    <w:p w:rsidR="00000000" w:rsidRDefault="00000000">
      <w:pPr>
        <w:spacing w:after="240"/>
        <w:ind w:left="-4" w:firstLine="4"/>
        <w:jc w:val="center"/>
        <w:rPr>
          <w:bCs/>
          <w:noProof/>
        </w:rPr>
      </w:pPr>
      <w:r>
        <w:rPr>
          <w:b/>
          <w:noProof/>
        </w:rPr>
        <w:t>Escolaridad promedio de la población de 15 años</w:t>
      </w:r>
      <w:r>
        <w:rPr>
          <w:b/>
          <w:noProof/>
        </w:rPr>
        <w:br/>
        <w:t>y más por zona, 1996-2000</w:t>
      </w:r>
    </w:p>
    <w:tbl>
      <w:tblPr>
        <w:tblW w:w="0" w:type="auto"/>
        <w:jc w:val="center"/>
        <w:tblInd w:w="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923"/>
        <w:gridCol w:w="1800"/>
        <w:gridCol w:w="1800"/>
        <w:gridCol w:w="1918"/>
      </w:tblGrid>
      <w:tr w:rsidR="00000000">
        <w:tblPrEx>
          <w:tblCellMar>
            <w:top w:w="0" w:type="dxa"/>
            <w:bottom w:w="0" w:type="dxa"/>
          </w:tblCellMar>
        </w:tblPrEx>
        <w:trPr>
          <w:jc w:val="center"/>
        </w:trPr>
        <w:tc>
          <w:tcPr>
            <w:tcW w:w="1923" w:type="dxa"/>
          </w:tcPr>
          <w:p w:rsidR="00000000" w:rsidRDefault="00000000">
            <w:pPr>
              <w:ind w:firstLine="6"/>
              <w:jc w:val="center"/>
              <w:rPr>
                <w:b/>
                <w:noProof/>
                <w:color w:val="000000"/>
              </w:rPr>
            </w:pPr>
            <w:r>
              <w:rPr>
                <w:b/>
                <w:noProof/>
                <w:color w:val="000000"/>
              </w:rPr>
              <w:t>Zona</w:t>
            </w:r>
          </w:p>
        </w:tc>
        <w:tc>
          <w:tcPr>
            <w:tcW w:w="1800" w:type="dxa"/>
          </w:tcPr>
          <w:p w:rsidR="00000000" w:rsidRDefault="00000000">
            <w:pPr>
              <w:ind w:firstLine="6"/>
              <w:jc w:val="center"/>
              <w:rPr>
                <w:b/>
                <w:noProof/>
                <w:color w:val="000000"/>
              </w:rPr>
            </w:pPr>
            <w:r>
              <w:rPr>
                <w:b/>
                <w:noProof/>
                <w:color w:val="000000"/>
              </w:rPr>
              <w:t>1996</w:t>
            </w:r>
          </w:p>
        </w:tc>
        <w:tc>
          <w:tcPr>
            <w:tcW w:w="1800" w:type="dxa"/>
          </w:tcPr>
          <w:p w:rsidR="00000000" w:rsidRDefault="00000000">
            <w:pPr>
              <w:ind w:firstLine="6"/>
              <w:jc w:val="center"/>
              <w:rPr>
                <w:b/>
                <w:noProof/>
                <w:color w:val="000000"/>
              </w:rPr>
            </w:pPr>
            <w:r>
              <w:rPr>
                <w:b/>
                <w:noProof/>
                <w:color w:val="000000"/>
              </w:rPr>
              <w:t>1998</w:t>
            </w:r>
          </w:p>
        </w:tc>
        <w:tc>
          <w:tcPr>
            <w:tcW w:w="1918" w:type="dxa"/>
          </w:tcPr>
          <w:p w:rsidR="00000000" w:rsidRDefault="00000000">
            <w:pPr>
              <w:ind w:firstLine="6"/>
              <w:jc w:val="center"/>
              <w:rPr>
                <w:b/>
                <w:noProof/>
                <w:color w:val="000000"/>
              </w:rPr>
            </w:pPr>
            <w:r>
              <w:rPr>
                <w:b/>
                <w:noProof/>
                <w:color w:val="000000"/>
              </w:rPr>
              <w:t>2000</w:t>
            </w:r>
          </w:p>
        </w:tc>
      </w:tr>
      <w:tr w:rsidR="00000000">
        <w:tblPrEx>
          <w:tblCellMar>
            <w:top w:w="0" w:type="dxa"/>
            <w:bottom w:w="0" w:type="dxa"/>
          </w:tblCellMar>
        </w:tblPrEx>
        <w:trPr>
          <w:jc w:val="center"/>
        </w:trPr>
        <w:tc>
          <w:tcPr>
            <w:tcW w:w="1923" w:type="dxa"/>
          </w:tcPr>
          <w:p w:rsidR="00000000" w:rsidRDefault="00000000">
            <w:pPr>
              <w:ind w:firstLine="6"/>
              <w:rPr>
                <w:bCs/>
                <w:noProof/>
                <w:color w:val="000000"/>
              </w:rPr>
            </w:pPr>
            <w:r>
              <w:rPr>
                <w:bCs/>
                <w:noProof/>
                <w:color w:val="000000"/>
              </w:rPr>
              <w:t>Urbana</w:t>
            </w:r>
          </w:p>
        </w:tc>
        <w:tc>
          <w:tcPr>
            <w:tcW w:w="1800" w:type="dxa"/>
          </w:tcPr>
          <w:p w:rsidR="00000000" w:rsidRDefault="00000000">
            <w:pPr>
              <w:tabs>
                <w:tab w:val="decimal" w:pos="872"/>
              </w:tabs>
              <w:ind w:firstLine="6"/>
              <w:rPr>
                <w:bCs/>
                <w:noProof/>
                <w:color w:val="000000"/>
              </w:rPr>
            </w:pPr>
            <w:r>
              <w:rPr>
                <w:bCs/>
                <w:noProof/>
                <w:color w:val="000000"/>
              </w:rPr>
              <w:t>10,0</w:t>
            </w:r>
          </w:p>
        </w:tc>
        <w:tc>
          <w:tcPr>
            <w:tcW w:w="1800" w:type="dxa"/>
          </w:tcPr>
          <w:p w:rsidR="00000000" w:rsidRDefault="00000000">
            <w:pPr>
              <w:tabs>
                <w:tab w:val="decimal" w:pos="892"/>
              </w:tabs>
              <w:ind w:firstLine="6"/>
              <w:rPr>
                <w:bCs/>
                <w:noProof/>
                <w:color w:val="000000"/>
              </w:rPr>
            </w:pPr>
            <w:r>
              <w:rPr>
                <w:bCs/>
                <w:noProof/>
                <w:color w:val="000000"/>
              </w:rPr>
              <w:t>10,2</w:t>
            </w:r>
          </w:p>
        </w:tc>
        <w:tc>
          <w:tcPr>
            <w:tcW w:w="1918" w:type="dxa"/>
          </w:tcPr>
          <w:p w:rsidR="00000000" w:rsidRDefault="00000000">
            <w:pPr>
              <w:tabs>
                <w:tab w:val="decimal" w:pos="904"/>
              </w:tabs>
              <w:ind w:firstLine="6"/>
              <w:rPr>
                <w:bCs/>
                <w:noProof/>
                <w:color w:val="000000"/>
              </w:rPr>
            </w:pPr>
            <w:r>
              <w:rPr>
                <w:bCs/>
                <w:noProof/>
                <w:color w:val="000000"/>
              </w:rPr>
              <w:t>10,3</w:t>
            </w:r>
          </w:p>
        </w:tc>
      </w:tr>
      <w:tr w:rsidR="00000000">
        <w:tblPrEx>
          <w:tblCellMar>
            <w:top w:w="0" w:type="dxa"/>
            <w:bottom w:w="0" w:type="dxa"/>
          </w:tblCellMar>
        </w:tblPrEx>
        <w:trPr>
          <w:jc w:val="center"/>
        </w:trPr>
        <w:tc>
          <w:tcPr>
            <w:tcW w:w="1923" w:type="dxa"/>
          </w:tcPr>
          <w:p w:rsidR="00000000" w:rsidRDefault="00000000">
            <w:pPr>
              <w:ind w:firstLine="6"/>
              <w:rPr>
                <w:bCs/>
                <w:noProof/>
                <w:color w:val="000000"/>
              </w:rPr>
            </w:pPr>
            <w:r>
              <w:rPr>
                <w:bCs/>
                <w:noProof/>
                <w:color w:val="000000"/>
              </w:rPr>
              <w:t>Rural</w:t>
            </w:r>
          </w:p>
        </w:tc>
        <w:tc>
          <w:tcPr>
            <w:tcW w:w="1800" w:type="dxa"/>
          </w:tcPr>
          <w:p w:rsidR="00000000" w:rsidRDefault="00000000">
            <w:pPr>
              <w:tabs>
                <w:tab w:val="decimal" w:pos="872"/>
              </w:tabs>
              <w:ind w:firstLine="6"/>
              <w:rPr>
                <w:bCs/>
                <w:noProof/>
                <w:color w:val="000000"/>
              </w:rPr>
            </w:pPr>
            <w:r>
              <w:rPr>
                <w:bCs/>
                <w:noProof/>
                <w:color w:val="000000"/>
              </w:rPr>
              <w:t>6,3</w:t>
            </w:r>
          </w:p>
        </w:tc>
        <w:tc>
          <w:tcPr>
            <w:tcW w:w="1800" w:type="dxa"/>
          </w:tcPr>
          <w:p w:rsidR="00000000" w:rsidRDefault="00000000">
            <w:pPr>
              <w:tabs>
                <w:tab w:val="decimal" w:pos="892"/>
              </w:tabs>
              <w:ind w:firstLine="6"/>
              <w:rPr>
                <w:bCs/>
                <w:noProof/>
                <w:color w:val="000000"/>
              </w:rPr>
            </w:pPr>
            <w:r>
              <w:rPr>
                <w:bCs/>
                <w:noProof/>
                <w:color w:val="000000"/>
              </w:rPr>
              <w:t>6,5</w:t>
            </w:r>
          </w:p>
        </w:tc>
        <w:tc>
          <w:tcPr>
            <w:tcW w:w="1918" w:type="dxa"/>
          </w:tcPr>
          <w:p w:rsidR="00000000" w:rsidRDefault="00000000">
            <w:pPr>
              <w:tabs>
                <w:tab w:val="decimal" w:pos="904"/>
              </w:tabs>
              <w:ind w:firstLine="6"/>
              <w:rPr>
                <w:bCs/>
                <w:noProof/>
                <w:color w:val="000000"/>
              </w:rPr>
            </w:pPr>
            <w:r>
              <w:rPr>
                <w:bCs/>
                <w:noProof/>
                <w:color w:val="000000"/>
              </w:rPr>
              <w:t>6,7</w:t>
            </w:r>
          </w:p>
        </w:tc>
      </w:tr>
      <w:tr w:rsidR="00000000">
        <w:tblPrEx>
          <w:tblCellMar>
            <w:top w:w="0" w:type="dxa"/>
            <w:bottom w:w="0" w:type="dxa"/>
          </w:tblCellMar>
        </w:tblPrEx>
        <w:trPr>
          <w:jc w:val="center"/>
        </w:trPr>
        <w:tc>
          <w:tcPr>
            <w:tcW w:w="1923" w:type="dxa"/>
          </w:tcPr>
          <w:p w:rsidR="00000000" w:rsidRDefault="00000000">
            <w:pPr>
              <w:ind w:firstLine="6"/>
              <w:rPr>
                <w:bCs/>
                <w:noProof/>
                <w:color w:val="000000"/>
              </w:rPr>
            </w:pPr>
            <w:r>
              <w:rPr>
                <w:bCs/>
                <w:noProof/>
                <w:color w:val="000000"/>
              </w:rPr>
              <w:tab/>
              <w:t>Total</w:t>
            </w:r>
          </w:p>
        </w:tc>
        <w:tc>
          <w:tcPr>
            <w:tcW w:w="1800" w:type="dxa"/>
          </w:tcPr>
          <w:p w:rsidR="00000000" w:rsidRDefault="00000000">
            <w:pPr>
              <w:tabs>
                <w:tab w:val="decimal" w:pos="872"/>
              </w:tabs>
              <w:ind w:firstLine="6"/>
              <w:rPr>
                <w:bCs/>
                <w:noProof/>
                <w:color w:val="000000"/>
              </w:rPr>
            </w:pPr>
            <w:r>
              <w:rPr>
                <w:bCs/>
                <w:noProof/>
                <w:color w:val="000000"/>
              </w:rPr>
              <w:t>9,4</w:t>
            </w:r>
          </w:p>
        </w:tc>
        <w:tc>
          <w:tcPr>
            <w:tcW w:w="1800" w:type="dxa"/>
          </w:tcPr>
          <w:p w:rsidR="00000000" w:rsidRDefault="00000000">
            <w:pPr>
              <w:tabs>
                <w:tab w:val="decimal" w:pos="892"/>
              </w:tabs>
              <w:ind w:firstLine="6"/>
              <w:rPr>
                <w:bCs/>
                <w:noProof/>
                <w:color w:val="000000"/>
              </w:rPr>
            </w:pPr>
            <w:r>
              <w:rPr>
                <w:bCs/>
                <w:noProof/>
                <w:color w:val="000000"/>
              </w:rPr>
              <w:t>9,7</w:t>
            </w:r>
          </w:p>
        </w:tc>
        <w:tc>
          <w:tcPr>
            <w:tcW w:w="1918" w:type="dxa"/>
          </w:tcPr>
          <w:p w:rsidR="00000000" w:rsidRDefault="00000000">
            <w:pPr>
              <w:tabs>
                <w:tab w:val="decimal" w:pos="904"/>
              </w:tabs>
              <w:ind w:firstLine="6"/>
              <w:rPr>
                <w:bCs/>
                <w:noProof/>
                <w:color w:val="000000"/>
              </w:rPr>
            </w:pPr>
            <w:r>
              <w:rPr>
                <w:bCs/>
                <w:noProof/>
                <w:color w:val="000000"/>
              </w:rPr>
              <w:t>9,8</w:t>
            </w:r>
          </w:p>
        </w:tc>
      </w:tr>
    </w:tbl>
    <w:p w:rsidR="00000000" w:rsidRDefault="00000000">
      <w:pPr>
        <w:tabs>
          <w:tab w:val="left" w:pos="960"/>
        </w:tabs>
        <w:spacing w:before="240" w:after="480"/>
        <w:rPr>
          <w:bCs/>
          <w:noProof/>
          <w:color w:val="000000"/>
        </w:rPr>
      </w:pPr>
      <w:r>
        <w:rPr>
          <w:bCs/>
          <w:noProof/>
          <w:color w:val="000000"/>
        </w:rPr>
        <w:tab/>
      </w:r>
      <w:r>
        <w:rPr>
          <w:bCs/>
          <w:i/>
          <w:iCs/>
          <w:noProof/>
          <w:color w:val="000000"/>
        </w:rPr>
        <w:t>Fuente</w:t>
      </w:r>
      <w:r>
        <w:rPr>
          <w:bCs/>
          <w:noProof/>
          <w:color w:val="000000"/>
        </w:rPr>
        <w:t>:  MIDEPLAN.  Encuestas CASEN 1996, 1998 y 2000.</w:t>
      </w:r>
    </w:p>
    <w:p w:rsidR="00000000" w:rsidRDefault="00000000">
      <w:pPr>
        <w:spacing w:after="240"/>
        <w:ind w:left="-4" w:firstLine="4"/>
        <w:jc w:val="center"/>
        <w:outlineLvl w:val="0"/>
        <w:rPr>
          <w:b/>
          <w:noProof/>
          <w:color w:val="000000"/>
        </w:rPr>
      </w:pPr>
      <w:r>
        <w:rPr>
          <w:b/>
          <w:noProof/>
          <w:color w:val="000000"/>
        </w:rPr>
        <w:t>Cuadro 41</w:t>
      </w:r>
    </w:p>
    <w:p w:rsidR="00000000" w:rsidRDefault="00000000">
      <w:pPr>
        <w:pStyle w:val="Heading2"/>
        <w:spacing w:after="240"/>
        <w:rPr>
          <w:lang w:val="es-ES"/>
        </w:rPr>
      </w:pPr>
      <w:r>
        <w:rPr>
          <w:caps w:val="0"/>
          <w:lang w:val="es-ES"/>
        </w:rPr>
        <w:t>Cobertura 2000-2003.  Programa conozca a su hijo (niños y niñas)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870"/>
        <w:gridCol w:w="1870"/>
        <w:gridCol w:w="1870"/>
        <w:gridCol w:w="1870"/>
        <w:gridCol w:w="1876"/>
      </w:tblGrid>
      <w:tr w:rsidR="00000000">
        <w:tblPrEx>
          <w:tblCellMar>
            <w:top w:w="0" w:type="dxa"/>
            <w:bottom w:w="0" w:type="dxa"/>
          </w:tblCellMar>
        </w:tblPrEx>
        <w:trPr>
          <w:jc w:val="center"/>
        </w:trPr>
        <w:tc>
          <w:tcPr>
            <w:tcW w:w="1870" w:type="dxa"/>
            <w:vAlign w:val="center"/>
          </w:tcPr>
          <w:p w:rsidR="00000000" w:rsidRDefault="00000000">
            <w:pPr>
              <w:jc w:val="center"/>
              <w:rPr>
                <w:b/>
                <w:noProof/>
                <w:color w:val="000000"/>
              </w:rPr>
            </w:pPr>
            <w:r>
              <w:rPr>
                <w:b/>
                <w:noProof/>
                <w:color w:val="000000"/>
              </w:rPr>
              <w:t>Año</w:t>
            </w:r>
          </w:p>
        </w:tc>
        <w:tc>
          <w:tcPr>
            <w:tcW w:w="1870" w:type="dxa"/>
            <w:vAlign w:val="center"/>
          </w:tcPr>
          <w:p w:rsidR="00000000" w:rsidRDefault="00000000">
            <w:pPr>
              <w:jc w:val="center"/>
              <w:rPr>
                <w:b/>
                <w:noProof/>
                <w:color w:val="000000"/>
              </w:rPr>
            </w:pPr>
            <w:r>
              <w:rPr>
                <w:b/>
                <w:noProof/>
                <w:color w:val="000000"/>
              </w:rPr>
              <w:t>0 a 1 año (11 meses)</w:t>
            </w:r>
          </w:p>
        </w:tc>
        <w:tc>
          <w:tcPr>
            <w:tcW w:w="1870" w:type="dxa"/>
            <w:vAlign w:val="center"/>
          </w:tcPr>
          <w:p w:rsidR="00000000" w:rsidRDefault="00000000">
            <w:pPr>
              <w:jc w:val="center"/>
              <w:rPr>
                <w:b/>
                <w:noProof/>
                <w:color w:val="000000"/>
              </w:rPr>
            </w:pPr>
            <w:r>
              <w:rPr>
                <w:b/>
                <w:noProof/>
                <w:color w:val="000000"/>
              </w:rPr>
              <w:t>2 a 3 años (11 meses)</w:t>
            </w:r>
          </w:p>
        </w:tc>
        <w:tc>
          <w:tcPr>
            <w:tcW w:w="1870" w:type="dxa"/>
            <w:vAlign w:val="center"/>
          </w:tcPr>
          <w:p w:rsidR="00000000" w:rsidRDefault="00000000">
            <w:pPr>
              <w:jc w:val="center"/>
              <w:rPr>
                <w:b/>
                <w:noProof/>
                <w:color w:val="000000"/>
              </w:rPr>
            </w:pPr>
            <w:r>
              <w:rPr>
                <w:b/>
                <w:noProof/>
                <w:color w:val="000000"/>
              </w:rPr>
              <w:t>4 a 5 años (11 meses)</w:t>
            </w:r>
          </w:p>
        </w:tc>
        <w:tc>
          <w:tcPr>
            <w:tcW w:w="1876" w:type="dxa"/>
            <w:vAlign w:val="center"/>
          </w:tcPr>
          <w:p w:rsidR="00000000" w:rsidRDefault="00000000">
            <w:pPr>
              <w:jc w:val="center"/>
              <w:rPr>
                <w:b/>
                <w:noProof/>
                <w:color w:val="000000"/>
              </w:rPr>
            </w:pPr>
            <w:r>
              <w:rPr>
                <w:b/>
                <w:noProof/>
                <w:color w:val="000000"/>
              </w:rPr>
              <w:t>Total</w:t>
            </w:r>
          </w:p>
        </w:tc>
      </w:tr>
      <w:tr w:rsidR="00000000">
        <w:tblPrEx>
          <w:tblCellMar>
            <w:top w:w="0" w:type="dxa"/>
            <w:bottom w:w="0" w:type="dxa"/>
          </w:tblCellMar>
        </w:tblPrEx>
        <w:trPr>
          <w:jc w:val="center"/>
        </w:trPr>
        <w:tc>
          <w:tcPr>
            <w:tcW w:w="1870" w:type="dxa"/>
          </w:tcPr>
          <w:p w:rsidR="00000000" w:rsidRDefault="00000000">
            <w:pPr>
              <w:rPr>
                <w:bCs/>
                <w:noProof/>
                <w:color w:val="000000"/>
              </w:rPr>
            </w:pPr>
            <w:r>
              <w:rPr>
                <w:bCs/>
                <w:noProof/>
                <w:color w:val="000000"/>
              </w:rPr>
              <w:t>2000</w:t>
            </w:r>
          </w:p>
        </w:tc>
        <w:tc>
          <w:tcPr>
            <w:tcW w:w="1870" w:type="dxa"/>
          </w:tcPr>
          <w:p w:rsidR="00000000" w:rsidRDefault="00000000">
            <w:pPr>
              <w:tabs>
                <w:tab w:val="decimal" w:pos="1077"/>
              </w:tabs>
              <w:rPr>
                <w:bCs/>
                <w:noProof/>
                <w:color w:val="000000"/>
              </w:rPr>
            </w:pPr>
            <w:r>
              <w:rPr>
                <w:bCs/>
                <w:noProof/>
                <w:color w:val="000000"/>
              </w:rPr>
              <w:t>977</w:t>
            </w:r>
          </w:p>
        </w:tc>
        <w:tc>
          <w:tcPr>
            <w:tcW w:w="1870" w:type="dxa"/>
          </w:tcPr>
          <w:p w:rsidR="00000000" w:rsidRDefault="00000000">
            <w:pPr>
              <w:jc w:val="center"/>
              <w:rPr>
                <w:bCs/>
                <w:noProof/>
                <w:color w:val="000000"/>
              </w:rPr>
            </w:pPr>
            <w:r>
              <w:rPr>
                <w:bCs/>
                <w:noProof/>
                <w:color w:val="000000"/>
              </w:rPr>
              <w:t>1.720</w:t>
            </w:r>
          </w:p>
        </w:tc>
        <w:tc>
          <w:tcPr>
            <w:tcW w:w="1870" w:type="dxa"/>
          </w:tcPr>
          <w:p w:rsidR="00000000" w:rsidRDefault="00000000">
            <w:pPr>
              <w:jc w:val="center"/>
              <w:rPr>
                <w:bCs/>
                <w:noProof/>
                <w:color w:val="000000"/>
              </w:rPr>
            </w:pPr>
            <w:r>
              <w:rPr>
                <w:bCs/>
                <w:noProof/>
                <w:color w:val="000000"/>
              </w:rPr>
              <w:t>1.905</w:t>
            </w:r>
          </w:p>
        </w:tc>
        <w:tc>
          <w:tcPr>
            <w:tcW w:w="1876" w:type="dxa"/>
          </w:tcPr>
          <w:p w:rsidR="00000000" w:rsidRDefault="00000000">
            <w:pPr>
              <w:tabs>
                <w:tab w:val="decimal" w:pos="1136"/>
              </w:tabs>
              <w:rPr>
                <w:bCs/>
                <w:noProof/>
                <w:color w:val="000000"/>
              </w:rPr>
            </w:pPr>
            <w:r>
              <w:rPr>
                <w:bCs/>
                <w:noProof/>
                <w:color w:val="000000"/>
              </w:rPr>
              <w:t>4.602</w:t>
            </w:r>
          </w:p>
        </w:tc>
      </w:tr>
      <w:tr w:rsidR="00000000">
        <w:tblPrEx>
          <w:tblCellMar>
            <w:top w:w="0" w:type="dxa"/>
            <w:bottom w:w="0" w:type="dxa"/>
          </w:tblCellMar>
        </w:tblPrEx>
        <w:trPr>
          <w:jc w:val="center"/>
        </w:trPr>
        <w:tc>
          <w:tcPr>
            <w:tcW w:w="1870" w:type="dxa"/>
          </w:tcPr>
          <w:p w:rsidR="00000000" w:rsidRDefault="00000000">
            <w:pPr>
              <w:rPr>
                <w:bCs/>
                <w:noProof/>
                <w:color w:val="000000"/>
              </w:rPr>
            </w:pPr>
            <w:r>
              <w:rPr>
                <w:bCs/>
                <w:noProof/>
                <w:color w:val="000000"/>
              </w:rPr>
              <w:t>2001</w:t>
            </w:r>
          </w:p>
        </w:tc>
        <w:tc>
          <w:tcPr>
            <w:tcW w:w="1870" w:type="dxa"/>
          </w:tcPr>
          <w:p w:rsidR="00000000" w:rsidRDefault="00000000">
            <w:pPr>
              <w:tabs>
                <w:tab w:val="decimal" w:pos="1077"/>
              </w:tabs>
              <w:rPr>
                <w:bCs/>
                <w:noProof/>
                <w:color w:val="000000"/>
              </w:rPr>
            </w:pPr>
            <w:r>
              <w:rPr>
                <w:bCs/>
                <w:noProof/>
                <w:color w:val="000000"/>
              </w:rPr>
              <w:t>925</w:t>
            </w:r>
          </w:p>
        </w:tc>
        <w:tc>
          <w:tcPr>
            <w:tcW w:w="1870" w:type="dxa"/>
          </w:tcPr>
          <w:p w:rsidR="00000000" w:rsidRDefault="00000000">
            <w:pPr>
              <w:jc w:val="center"/>
              <w:rPr>
                <w:bCs/>
                <w:noProof/>
                <w:color w:val="000000"/>
              </w:rPr>
            </w:pPr>
            <w:r>
              <w:rPr>
                <w:bCs/>
                <w:noProof/>
                <w:color w:val="000000"/>
              </w:rPr>
              <w:t>1.280</w:t>
            </w:r>
          </w:p>
        </w:tc>
        <w:tc>
          <w:tcPr>
            <w:tcW w:w="1870" w:type="dxa"/>
          </w:tcPr>
          <w:p w:rsidR="00000000" w:rsidRDefault="00000000">
            <w:pPr>
              <w:jc w:val="center"/>
              <w:rPr>
                <w:bCs/>
                <w:noProof/>
                <w:color w:val="000000"/>
              </w:rPr>
            </w:pPr>
            <w:r>
              <w:rPr>
                <w:bCs/>
                <w:noProof/>
                <w:color w:val="000000"/>
              </w:rPr>
              <w:t>2.022</w:t>
            </w:r>
          </w:p>
        </w:tc>
        <w:tc>
          <w:tcPr>
            <w:tcW w:w="1876" w:type="dxa"/>
          </w:tcPr>
          <w:p w:rsidR="00000000" w:rsidRDefault="00000000">
            <w:pPr>
              <w:tabs>
                <w:tab w:val="decimal" w:pos="1136"/>
              </w:tabs>
              <w:rPr>
                <w:bCs/>
                <w:noProof/>
                <w:color w:val="000000"/>
              </w:rPr>
            </w:pPr>
            <w:r>
              <w:rPr>
                <w:bCs/>
                <w:noProof/>
                <w:color w:val="000000"/>
              </w:rPr>
              <w:t>4.227</w:t>
            </w:r>
          </w:p>
        </w:tc>
      </w:tr>
      <w:tr w:rsidR="00000000">
        <w:tblPrEx>
          <w:tblCellMar>
            <w:top w:w="0" w:type="dxa"/>
            <w:bottom w:w="0" w:type="dxa"/>
          </w:tblCellMar>
        </w:tblPrEx>
        <w:trPr>
          <w:jc w:val="center"/>
        </w:trPr>
        <w:tc>
          <w:tcPr>
            <w:tcW w:w="1870" w:type="dxa"/>
          </w:tcPr>
          <w:p w:rsidR="00000000" w:rsidRDefault="00000000">
            <w:pPr>
              <w:rPr>
                <w:bCs/>
                <w:noProof/>
                <w:color w:val="000000"/>
              </w:rPr>
            </w:pPr>
            <w:r>
              <w:rPr>
                <w:bCs/>
                <w:noProof/>
                <w:color w:val="000000"/>
              </w:rPr>
              <w:t>2002</w:t>
            </w:r>
          </w:p>
        </w:tc>
        <w:tc>
          <w:tcPr>
            <w:tcW w:w="1870" w:type="dxa"/>
          </w:tcPr>
          <w:p w:rsidR="00000000" w:rsidRDefault="00000000">
            <w:pPr>
              <w:tabs>
                <w:tab w:val="decimal" w:pos="1077"/>
              </w:tabs>
              <w:rPr>
                <w:bCs/>
                <w:noProof/>
                <w:color w:val="000000"/>
              </w:rPr>
            </w:pPr>
            <w:r>
              <w:rPr>
                <w:bCs/>
                <w:noProof/>
                <w:color w:val="000000"/>
              </w:rPr>
              <w:t>813</w:t>
            </w:r>
          </w:p>
        </w:tc>
        <w:tc>
          <w:tcPr>
            <w:tcW w:w="1870" w:type="dxa"/>
          </w:tcPr>
          <w:p w:rsidR="00000000" w:rsidRDefault="00000000">
            <w:pPr>
              <w:jc w:val="center"/>
              <w:rPr>
                <w:bCs/>
                <w:noProof/>
                <w:color w:val="000000"/>
              </w:rPr>
            </w:pPr>
            <w:r>
              <w:rPr>
                <w:bCs/>
                <w:noProof/>
                <w:color w:val="000000"/>
              </w:rPr>
              <w:t>1.191</w:t>
            </w:r>
          </w:p>
        </w:tc>
        <w:tc>
          <w:tcPr>
            <w:tcW w:w="1870" w:type="dxa"/>
          </w:tcPr>
          <w:p w:rsidR="00000000" w:rsidRDefault="00000000">
            <w:pPr>
              <w:jc w:val="center"/>
              <w:rPr>
                <w:bCs/>
                <w:noProof/>
                <w:color w:val="000000"/>
              </w:rPr>
            </w:pPr>
            <w:r>
              <w:rPr>
                <w:bCs/>
                <w:noProof/>
                <w:color w:val="000000"/>
              </w:rPr>
              <w:t>2.006</w:t>
            </w:r>
          </w:p>
        </w:tc>
        <w:tc>
          <w:tcPr>
            <w:tcW w:w="1876" w:type="dxa"/>
          </w:tcPr>
          <w:p w:rsidR="00000000" w:rsidRDefault="00000000">
            <w:pPr>
              <w:tabs>
                <w:tab w:val="decimal" w:pos="1136"/>
              </w:tabs>
              <w:rPr>
                <w:bCs/>
                <w:noProof/>
                <w:color w:val="000000"/>
              </w:rPr>
            </w:pPr>
            <w:r>
              <w:rPr>
                <w:bCs/>
                <w:noProof/>
                <w:color w:val="000000"/>
              </w:rPr>
              <w:t>4.010</w:t>
            </w:r>
          </w:p>
        </w:tc>
      </w:tr>
      <w:tr w:rsidR="00000000">
        <w:tblPrEx>
          <w:tblCellMar>
            <w:top w:w="0" w:type="dxa"/>
            <w:bottom w:w="0" w:type="dxa"/>
          </w:tblCellMar>
        </w:tblPrEx>
        <w:trPr>
          <w:jc w:val="center"/>
        </w:trPr>
        <w:tc>
          <w:tcPr>
            <w:tcW w:w="1870" w:type="dxa"/>
          </w:tcPr>
          <w:p w:rsidR="00000000" w:rsidRDefault="00000000">
            <w:pPr>
              <w:rPr>
                <w:bCs/>
                <w:noProof/>
                <w:color w:val="000000"/>
              </w:rPr>
            </w:pPr>
            <w:r>
              <w:rPr>
                <w:bCs/>
                <w:noProof/>
                <w:color w:val="000000"/>
              </w:rPr>
              <w:t>2003</w:t>
            </w:r>
          </w:p>
        </w:tc>
        <w:tc>
          <w:tcPr>
            <w:tcW w:w="1870" w:type="dxa"/>
          </w:tcPr>
          <w:p w:rsidR="00000000" w:rsidRDefault="00000000">
            <w:pPr>
              <w:tabs>
                <w:tab w:val="decimal" w:pos="1077"/>
              </w:tabs>
              <w:rPr>
                <w:bCs/>
                <w:noProof/>
                <w:color w:val="000000"/>
              </w:rPr>
            </w:pPr>
            <w:r>
              <w:rPr>
                <w:bCs/>
                <w:noProof/>
                <w:color w:val="000000"/>
              </w:rPr>
              <w:t>877</w:t>
            </w:r>
          </w:p>
        </w:tc>
        <w:tc>
          <w:tcPr>
            <w:tcW w:w="1870" w:type="dxa"/>
          </w:tcPr>
          <w:p w:rsidR="00000000" w:rsidRDefault="00000000">
            <w:pPr>
              <w:jc w:val="center"/>
              <w:rPr>
                <w:bCs/>
                <w:noProof/>
                <w:color w:val="000000"/>
              </w:rPr>
            </w:pPr>
            <w:r>
              <w:rPr>
                <w:bCs/>
                <w:noProof/>
                <w:color w:val="000000"/>
              </w:rPr>
              <w:t>1.223</w:t>
            </w:r>
          </w:p>
        </w:tc>
        <w:tc>
          <w:tcPr>
            <w:tcW w:w="1870" w:type="dxa"/>
          </w:tcPr>
          <w:p w:rsidR="00000000" w:rsidRDefault="00000000">
            <w:pPr>
              <w:jc w:val="center"/>
              <w:rPr>
                <w:bCs/>
                <w:noProof/>
                <w:color w:val="000000"/>
              </w:rPr>
            </w:pPr>
            <w:r>
              <w:rPr>
                <w:bCs/>
                <w:noProof/>
                <w:color w:val="000000"/>
              </w:rPr>
              <w:t>1.917</w:t>
            </w:r>
          </w:p>
        </w:tc>
        <w:tc>
          <w:tcPr>
            <w:tcW w:w="1876" w:type="dxa"/>
          </w:tcPr>
          <w:p w:rsidR="00000000" w:rsidRDefault="00000000">
            <w:pPr>
              <w:tabs>
                <w:tab w:val="decimal" w:pos="1136"/>
              </w:tabs>
              <w:rPr>
                <w:bCs/>
                <w:noProof/>
                <w:color w:val="000000"/>
              </w:rPr>
            </w:pPr>
            <w:r>
              <w:rPr>
                <w:bCs/>
                <w:noProof/>
                <w:color w:val="000000"/>
              </w:rPr>
              <w:t>4.017</w:t>
            </w:r>
          </w:p>
        </w:tc>
      </w:tr>
      <w:tr w:rsidR="00000000">
        <w:tblPrEx>
          <w:tblCellMar>
            <w:top w:w="0" w:type="dxa"/>
            <w:bottom w:w="0" w:type="dxa"/>
          </w:tblCellMar>
        </w:tblPrEx>
        <w:trPr>
          <w:jc w:val="center"/>
        </w:trPr>
        <w:tc>
          <w:tcPr>
            <w:tcW w:w="1870" w:type="dxa"/>
          </w:tcPr>
          <w:p w:rsidR="00000000" w:rsidRDefault="00000000">
            <w:pPr>
              <w:rPr>
                <w:bCs/>
                <w:noProof/>
                <w:color w:val="000000"/>
              </w:rPr>
            </w:pPr>
            <w:r>
              <w:rPr>
                <w:bCs/>
                <w:noProof/>
                <w:color w:val="000000"/>
              </w:rPr>
              <w:tab/>
              <w:t>Total</w:t>
            </w:r>
          </w:p>
        </w:tc>
        <w:tc>
          <w:tcPr>
            <w:tcW w:w="1870" w:type="dxa"/>
          </w:tcPr>
          <w:p w:rsidR="00000000" w:rsidRDefault="00000000">
            <w:pPr>
              <w:tabs>
                <w:tab w:val="decimal" w:pos="1077"/>
              </w:tabs>
              <w:rPr>
                <w:bCs/>
                <w:noProof/>
                <w:color w:val="000000"/>
              </w:rPr>
            </w:pPr>
            <w:r>
              <w:rPr>
                <w:bCs/>
                <w:noProof/>
                <w:color w:val="000000"/>
              </w:rPr>
              <w:t>3.592</w:t>
            </w:r>
          </w:p>
        </w:tc>
        <w:tc>
          <w:tcPr>
            <w:tcW w:w="1870" w:type="dxa"/>
          </w:tcPr>
          <w:p w:rsidR="00000000" w:rsidRDefault="00000000">
            <w:pPr>
              <w:jc w:val="center"/>
              <w:rPr>
                <w:bCs/>
                <w:noProof/>
                <w:color w:val="000000"/>
              </w:rPr>
            </w:pPr>
            <w:r>
              <w:rPr>
                <w:bCs/>
                <w:noProof/>
                <w:color w:val="000000"/>
              </w:rPr>
              <w:t>5.414</w:t>
            </w:r>
          </w:p>
        </w:tc>
        <w:tc>
          <w:tcPr>
            <w:tcW w:w="1870" w:type="dxa"/>
          </w:tcPr>
          <w:p w:rsidR="00000000" w:rsidRDefault="00000000">
            <w:pPr>
              <w:jc w:val="center"/>
              <w:rPr>
                <w:bCs/>
                <w:noProof/>
                <w:color w:val="000000"/>
              </w:rPr>
            </w:pPr>
            <w:r>
              <w:rPr>
                <w:bCs/>
                <w:noProof/>
                <w:color w:val="000000"/>
              </w:rPr>
              <w:t>7.850</w:t>
            </w:r>
          </w:p>
        </w:tc>
        <w:tc>
          <w:tcPr>
            <w:tcW w:w="1876" w:type="dxa"/>
          </w:tcPr>
          <w:p w:rsidR="00000000" w:rsidRDefault="00000000">
            <w:pPr>
              <w:tabs>
                <w:tab w:val="decimal" w:pos="1136"/>
              </w:tabs>
              <w:rPr>
                <w:bCs/>
                <w:noProof/>
                <w:color w:val="000000"/>
              </w:rPr>
            </w:pPr>
            <w:r>
              <w:rPr>
                <w:bCs/>
                <w:noProof/>
                <w:color w:val="000000"/>
              </w:rPr>
              <w:t>16.856</w:t>
            </w:r>
          </w:p>
        </w:tc>
      </w:tr>
    </w:tbl>
    <w:p w:rsidR="00000000" w:rsidRDefault="00000000">
      <w:pPr>
        <w:spacing w:before="240" w:after="480"/>
        <w:ind w:left="-6" w:firstLine="6"/>
        <w:rPr>
          <w:bCs/>
          <w:noProof/>
          <w:color w:val="000000"/>
        </w:rPr>
      </w:pPr>
      <w:r>
        <w:rPr>
          <w:bCs/>
          <w:i/>
          <w:iCs/>
          <w:noProof/>
          <w:color w:val="000000"/>
        </w:rPr>
        <w:t>Fuente</w:t>
      </w:r>
      <w:r>
        <w:rPr>
          <w:bCs/>
          <w:noProof/>
          <w:color w:val="000000"/>
        </w:rPr>
        <w:t>:  Unidad Educación Parvularia.  Ministerio de Educación.</w:t>
      </w:r>
    </w:p>
    <w:p w:rsidR="00000000" w:rsidRDefault="00000000">
      <w:pPr>
        <w:spacing w:after="240"/>
        <w:rPr>
          <w:bCs/>
        </w:rPr>
      </w:pPr>
    </w:p>
    <w:p w:rsidR="00000000" w:rsidRDefault="00000000">
      <w:pPr>
        <w:keepNext/>
        <w:keepLines/>
        <w:spacing w:after="240"/>
        <w:ind w:left="-6" w:firstLine="6"/>
        <w:jc w:val="center"/>
        <w:outlineLvl w:val="0"/>
        <w:rPr>
          <w:b/>
          <w:noProof/>
          <w:color w:val="000000"/>
        </w:rPr>
      </w:pPr>
      <w:r>
        <w:rPr>
          <w:b/>
          <w:noProof/>
          <w:color w:val="000000"/>
        </w:rPr>
        <w:t>Cuadro 42</w:t>
      </w:r>
    </w:p>
    <w:p w:rsidR="00000000" w:rsidRDefault="00000000">
      <w:pPr>
        <w:keepNext/>
        <w:keepLines/>
        <w:spacing w:after="240"/>
        <w:ind w:left="-6" w:firstLine="6"/>
        <w:jc w:val="center"/>
        <w:rPr>
          <w:b/>
          <w:noProof/>
          <w:color w:val="000000"/>
        </w:rPr>
      </w:pPr>
      <w:r>
        <w:rPr>
          <w:b/>
          <w:noProof/>
          <w:color w:val="000000"/>
        </w:rPr>
        <w:t>Cobertura 1998</w:t>
      </w:r>
      <w:r>
        <w:rPr>
          <w:b/>
          <w:noProof/>
          <w:color w:val="000000"/>
        </w:rPr>
        <w:noBreakHyphen/>
        <w:t>2003 PMI</w:t>
      </w:r>
    </w:p>
    <w:tbl>
      <w:tblPr>
        <w:tblW w:w="0" w:type="auto"/>
        <w:jc w:val="center"/>
        <w:tblInd w:w="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21"/>
        <w:gridCol w:w="2694"/>
      </w:tblGrid>
      <w:tr w:rsidR="00000000">
        <w:tblPrEx>
          <w:tblCellMar>
            <w:top w:w="0" w:type="dxa"/>
            <w:bottom w:w="0" w:type="dxa"/>
          </w:tblCellMar>
        </w:tblPrEx>
        <w:trPr>
          <w:jc w:val="center"/>
        </w:trPr>
        <w:tc>
          <w:tcPr>
            <w:tcW w:w="2121" w:type="dxa"/>
          </w:tcPr>
          <w:p w:rsidR="00000000" w:rsidRDefault="00000000">
            <w:pPr>
              <w:keepNext/>
              <w:keepLines/>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6"/>
              <w:jc w:val="center"/>
              <w:rPr>
                <w:b/>
                <w:noProof/>
                <w:color w:val="000000"/>
              </w:rPr>
            </w:pPr>
            <w:r>
              <w:rPr>
                <w:b/>
                <w:noProof/>
                <w:color w:val="000000"/>
              </w:rPr>
              <w:t>Año</w:t>
            </w:r>
          </w:p>
        </w:tc>
        <w:tc>
          <w:tcPr>
            <w:tcW w:w="2694" w:type="dxa"/>
          </w:tcPr>
          <w:p w:rsidR="00000000" w:rsidRDefault="00000000">
            <w:pPr>
              <w:keepNext/>
              <w:keepLines/>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6"/>
              <w:jc w:val="center"/>
              <w:rPr>
                <w:b/>
                <w:noProof/>
                <w:color w:val="000000"/>
              </w:rPr>
            </w:pPr>
            <w:r>
              <w:rPr>
                <w:b/>
                <w:noProof/>
                <w:color w:val="000000"/>
              </w:rPr>
              <w:t>Niños y niñas</w:t>
            </w:r>
          </w:p>
        </w:tc>
      </w:tr>
      <w:tr w:rsidR="00000000">
        <w:tblPrEx>
          <w:tblCellMar>
            <w:top w:w="0" w:type="dxa"/>
            <w:bottom w:w="0" w:type="dxa"/>
          </w:tblCellMar>
        </w:tblPrEx>
        <w:trPr>
          <w:jc w:val="center"/>
        </w:trPr>
        <w:tc>
          <w:tcPr>
            <w:tcW w:w="2121" w:type="dxa"/>
          </w:tcPr>
          <w:p w:rsidR="00000000" w:rsidRDefault="00000000">
            <w:pPr>
              <w:keepNext/>
              <w:keepLines/>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6"/>
              <w:rPr>
                <w:bCs/>
                <w:noProof/>
                <w:color w:val="000000"/>
              </w:rPr>
            </w:pPr>
            <w:r>
              <w:rPr>
                <w:bCs/>
                <w:noProof/>
                <w:color w:val="000000"/>
              </w:rPr>
              <w:t>1998</w:t>
            </w:r>
          </w:p>
        </w:tc>
        <w:tc>
          <w:tcPr>
            <w:tcW w:w="2694" w:type="dxa"/>
          </w:tcPr>
          <w:p w:rsidR="00000000" w:rsidRDefault="00000000">
            <w:pPr>
              <w:keepNext/>
              <w:keepLines/>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6"/>
              <w:jc w:val="center"/>
              <w:rPr>
                <w:bCs/>
                <w:noProof/>
                <w:color w:val="000000"/>
              </w:rPr>
            </w:pPr>
            <w:r>
              <w:rPr>
                <w:bCs/>
                <w:noProof/>
                <w:color w:val="000000"/>
              </w:rPr>
              <w:t>7.365</w:t>
            </w:r>
          </w:p>
        </w:tc>
      </w:tr>
      <w:tr w:rsidR="00000000">
        <w:tblPrEx>
          <w:tblCellMar>
            <w:top w:w="0" w:type="dxa"/>
            <w:bottom w:w="0" w:type="dxa"/>
          </w:tblCellMar>
        </w:tblPrEx>
        <w:trPr>
          <w:jc w:val="center"/>
        </w:trPr>
        <w:tc>
          <w:tcPr>
            <w:tcW w:w="2121" w:type="dxa"/>
          </w:tcPr>
          <w:p w:rsidR="00000000" w:rsidRDefault="00000000">
            <w:pPr>
              <w:keepNext/>
              <w:keepLines/>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6"/>
              <w:rPr>
                <w:bCs/>
                <w:noProof/>
                <w:color w:val="000000"/>
              </w:rPr>
            </w:pPr>
            <w:r>
              <w:rPr>
                <w:bCs/>
                <w:noProof/>
                <w:color w:val="000000"/>
              </w:rPr>
              <w:t>2000</w:t>
            </w:r>
          </w:p>
        </w:tc>
        <w:tc>
          <w:tcPr>
            <w:tcW w:w="2694" w:type="dxa"/>
          </w:tcPr>
          <w:p w:rsidR="00000000" w:rsidRDefault="00000000">
            <w:pPr>
              <w:keepNext/>
              <w:keepLines/>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6"/>
              <w:jc w:val="center"/>
              <w:rPr>
                <w:bCs/>
                <w:noProof/>
                <w:color w:val="000000"/>
              </w:rPr>
            </w:pPr>
            <w:r>
              <w:rPr>
                <w:bCs/>
                <w:noProof/>
                <w:color w:val="000000"/>
              </w:rPr>
              <w:t>2.740</w:t>
            </w:r>
          </w:p>
        </w:tc>
      </w:tr>
      <w:tr w:rsidR="00000000">
        <w:tblPrEx>
          <w:tblCellMar>
            <w:top w:w="0" w:type="dxa"/>
            <w:bottom w:w="0" w:type="dxa"/>
          </w:tblCellMar>
        </w:tblPrEx>
        <w:trPr>
          <w:jc w:val="center"/>
        </w:trPr>
        <w:tc>
          <w:tcPr>
            <w:tcW w:w="2121" w:type="dxa"/>
          </w:tcPr>
          <w:p w:rsidR="00000000" w:rsidRDefault="00000000">
            <w:pPr>
              <w:keepNext/>
              <w:keepLines/>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6"/>
              <w:rPr>
                <w:bCs/>
                <w:noProof/>
                <w:color w:val="000000"/>
              </w:rPr>
            </w:pPr>
            <w:r>
              <w:rPr>
                <w:bCs/>
                <w:noProof/>
                <w:color w:val="000000"/>
              </w:rPr>
              <w:t>2001</w:t>
            </w:r>
          </w:p>
        </w:tc>
        <w:tc>
          <w:tcPr>
            <w:tcW w:w="2694" w:type="dxa"/>
          </w:tcPr>
          <w:p w:rsidR="00000000" w:rsidRDefault="00000000">
            <w:pPr>
              <w:keepNext/>
              <w:keepLines/>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6"/>
              <w:jc w:val="center"/>
              <w:rPr>
                <w:bCs/>
                <w:noProof/>
                <w:color w:val="000000"/>
              </w:rPr>
            </w:pPr>
            <w:r>
              <w:rPr>
                <w:bCs/>
                <w:noProof/>
                <w:color w:val="000000"/>
              </w:rPr>
              <w:t>2.772</w:t>
            </w:r>
          </w:p>
        </w:tc>
      </w:tr>
      <w:tr w:rsidR="00000000">
        <w:tblPrEx>
          <w:tblCellMar>
            <w:top w:w="0" w:type="dxa"/>
            <w:bottom w:w="0" w:type="dxa"/>
          </w:tblCellMar>
        </w:tblPrEx>
        <w:trPr>
          <w:jc w:val="center"/>
        </w:trPr>
        <w:tc>
          <w:tcPr>
            <w:tcW w:w="2121"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rPr>
                <w:bCs/>
                <w:noProof/>
                <w:color w:val="000000"/>
              </w:rPr>
            </w:pPr>
            <w:r>
              <w:rPr>
                <w:bCs/>
                <w:noProof/>
                <w:color w:val="000000"/>
              </w:rPr>
              <w:t>2002</w:t>
            </w:r>
          </w:p>
        </w:tc>
        <w:tc>
          <w:tcPr>
            <w:tcW w:w="2694"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bCs/>
                <w:noProof/>
                <w:color w:val="000000"/>
              </w:rPr>
            </w:pPr>
            <w:r>
              <w:rPr>
                <w:bCs/>
                <w:noProof/>
                <w:color w:val="000000"/>
              </w:rPr>
              <w:t>3.090</w:t>
            </w:r>
          </w:p>
        </w:tc>
      </w:tr>
      <w:tr w:rsidR="00000000">
        <w:tblPrEx>
          <w:tblCellMar>
            <w:top w:w="0" w:type="dxa"/>
            <w:bottom w:w="0" w:type="dxa"/>
          </w:tblCellMar>
        </w:tblPrEx>
        <w:trPr>
          <w:jc w:val="center"/>
        </w:trPr>
        <w:tc>
          <w:tcPr>
            <w:tcW w:w="2121"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rPr>
                <w:bCs/>
                <w:noProof/>
                <w:color w:val="000000"/>
              </w:rPr>
            </w:pPr>
            <w:r>
              <w:rPr>
                <w:bCs/>
                <w:noProof/>
                <w:color w:val="000000"/>
              </w:rPr>
              <w:t>2003</w:t>
            </w:r>
          </w:p>
        </w:tc>
        <w:tc>
          <w:tcPr>
            <w:tcW w:w="2694"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bCs/>
                <w:noProof/>
                <w:color w:val="000000"/>
              </w:rPr>
            </w:pPr>
            <w:r>
              <w:rPr>
                <w:bCs/>
                <w:noProof/>
                <w:color w:val="000000"/>
              </w:rPr>
              <w:t>3.192</w:t>
            </w:r>
          </w:p>
        </w:tc>
      </w:tr>
      <w:tr w:rsidR="00000000">
        <w:tblPrEx>
          <w:tblCellMar>
            <w:top w:w="0" w:type="dxa"/>
            <w:bottom w:w="0" w:type="dxa"/>
          </w:tblCellMar>
        </w:tblPrEx>
        <w:trPr>
          <w:jc w:val="center"/>
        </w:trPr>
        <w:tc>
          <w:tcPr>
            <w:tcW w:w="2121" w:type="dxa"/>
          </w:tcPr>
          <w:p w:rsidR="00000000" w:rsidRDefault="00000000">
            <w:pPr>
              <w:tabs>
                <w:tab w:val="left" w:pos="4"/>
                <w:tab w:val="left" w:pos="390"/>
                <w:tab w:val="left" w:pos="2836"/>
                <w:tab w:val="left" w:pos="7084"/>
                <w:tab w:val="left" w:pos="7792"/>
                <w:tab w:val="left" w:pos="8500"/>
              </w:tabs>
              <w:ind w:firstLine="4"/>
              <w:rPr>
                <w:bCs/>
                <w:noProof/>
                <w:color w:val="000000"/>
              </w:rPr>
            </w:pPr>
            <w:r>
              <w:rPr>
                <w:bCs/>
                <w:noProof/>
                <w:color w:val="000000"/>
              </w:rPr>
              <w:tab/>
              <w:t>Total</w:t>
            </w:r>
          </w:p>
        </w:tc>
        <w:tc>
          <w:tcPr>
            <w:tcW w:w="2694"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bCs/>
                <w:noProof/>
                <w:color w:val="000000"/>
              </w:rPr>
            </w:pPr>
            <w:r>
              <w:rPr>
                <w:bCs/>
                <w:noProof/>
                <w:color w:val="000000"/>
              </w:rPr>
              <w:t>11.794</w:t>
            </w:r>
          </w:p>
        </w:tc>
      </w:tr>
    </w:tbl>
    <w:p w:rsidR="00000000" w:rsidRDefault="00000000">
      <w:pPr>
        <w:tabs>
          <w:tab w:val="left" w:pos="2280"/>
        </w:tabs>
        <w:spacing w:before="240" w:after="480"/>
        <w:rPr>
          <w:bCs/>
          <w:noProof/>
          <w:color w:val="000000"/>
        </w:rPr>
      </w:pPr>
      <w:r>
        <w:rPr>
          <w:bCs/>
          <w:i/>
          <w:iCs/>
          <w:noProof/>
          <w:color w:val="000000"/>
        </w:rPr>
        <w:tab/>
        <w:t>Fuente</w:t>
      </w:r>
      <w:r>
        <w:rPr>
          <w:bCs/>
          <w:noProof/>
          <w:color w:val="000000"/>
        </w:rPr>
        <w:t>:  Unidad de Educación Parvularia.</w:t>
      </w:r>
      <w:r>
        <w:rPr>
          <w:bCs/>
          <w:noProof/>
          <w:color w:val="000000"/>
        </w:rPr>
        <w:br/>
      </w:r>
      <w:r>
        <w:rPr>
          <w:bCs/>
          <w:noProof/>
          <w:color w:val="000000"/>
        </w:rPr>
        <w:tab/>
        <w:t>Ministerio de Educación.</w:t>
      </w:r>
    </w:p>
    <w:p w:rsidR="00000000" w:rsidRDefault="00000000">
      <w:pPr>
        <w:spacing w:after="240"/>
        <w:ind w:left="-4" w:firstLine="4"/>
        <w:jc w:val="center"/>
        <w:outlineLvl w:val="0"/>
        <w:rPr>
          <w:b/>
          <w:noProof/>
        </w:rPr>
      </w:pPr>
      <w:r>
        <w:rPr>
          <w:b/>
          <w:noProof/>
        </w:rPr>
        <w:t>Cuadro 43</w:t>
      </w:r>
    </w:p>
    <w:p w:rsidR="00000000" w:rsidRDefault="00000000">
      <w:pPr>
        <w:spacing w:after="240"/>
        <w:ind w:left="-4" w:firstLine="4"/>
        <w:jc w:val="center"/>
        <w:rPr>
          <w:bCs/>
          <w:noProof/>
          <w:lang w:val="es-MX"/>
        </w:rPr>
      </w:pPr>
      <w:r>
        <w:rPr>
          <w:b/>
          <w:noProof/>
        </w:rPr>
        <w:t xml:space="preserve">Cobertura de educación preescolar.  Según quintil de ingreso, </w:t>
      </w:r>
      <w:r>
        <w:rPr>
          <w:b/>
          <w:noProof/>
          <w:lang w:val="es-MX"/>
        </w:rPr>
        <w:t>1996-2000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936"/>
        <w:gridCol w:w="1584"/>
        <w:gridCol w:w="2077"/>
        <w:gridCol w:w="2077"/>
        <w:gridCol w:w="1592"/>
      </w:tblGrid>
      <w:tr w:rsidR="00000000">
        <w:tblPrEx>
          <w:tblCellMar>
            <w:top w:w="0" w:type="dxa"/>
            <w:bottom w:w="0" w:type="dxa"/>
          </w:tblCellMar>
        </w:tblPrEx>
        <w:trPr>
          <w:trHeight w:val="20"/>
          <w:jc w:val="center"/>
        </w:trPr>
        <w:tc>
          <w:tcPr>
            <w:tcW w:w="1936" w:type="dxa"/>
            <w:vAlign w:val="center"/>
          </w:tcPr>
          <w:p w:rsidR="00000000" w:rsidRDefault="00000000">
            <w:pPr>
              <w:ind w:firstLine="4"/>
              <w:jc w:val="center"/>
              <w:rPr>
                <w:b/>
                <w:noProof/>
                <w:color w:val="000000"/>
                <w:lang w:val="en-GB"/>
              </w:rPr>
            </w:pPr>
            <w:r>
              <w:rPr>
                <w:b/>
                <w:noProof/>
                <w:color w:val="000000"/>
                <w:lang w:val="en-GB"/>
              </w:rPr>
              <w:t>Quintil</w:t>
            </w:r>
          </w:p>
        </w:tc>
        <w:tc>
          <w:tcPr>
            <w:tcW w:w="1584" w:type="dxa"/>
            <w:vAlign w:val="center"/>
          </w:tcPr>
          <w:p w:rsidR="00000000" w:rsidRDefault="00000000">
            <w:pPr>
              <w:ind w:firstLine="4"/>
              <w:jc w:val="center"/>
              <w:rPr>
                <w:b/>
                <w:noProof/>
                <w:color w:val="000000"/>
                <w:lang w:val="en-GB"/>
              </w:rPr>
            </w:pPr>
            <w:r>
              <w:rPr>
                <w:b/>
                <w:noProof/>
                <w:color w:val="000000"/>
                <w:lang w:val="en-GB"/>
              </w:rPr>
              <w:t>1996</w:t>
            </w:r>
          </w:p>
        </w:tc>
        <w:tc>
          <w:tcPr>
            <w:tcW w:w="2077" w:type="dxa"/>
            <w:vAlign w:val="center"/>
          </w:tcPr>
          <w:p w:rsidR="00000000" w:rsidRDefault="00000000">
            <w:pPr>
              <w:ind w:firstLine="4"/>
              <w:jc w:val="center"/>
              <w:rPr>
                <w:b/>
                <w:noProof/>
                <w:color w:val="000000"/>
                <w:lang w:val="en-GB"/>
              </w:rPr>
            </w:pPr>
            <w:r>
              <w:rPr>
                <w:b/>
                <w:noProof/>
                <w:color w:val="000000"/>
                <w:lang w:val="en-GB"/>
              </w:rPr>
              <w:t>1998</w:t>
            </w:r>
          </w:p>
        </w:tc>
        <w:tc>
          <w:tcPr>
            <w:tcW w:w="2077" w:type="dxa"/>
            <w:vAlign w:val="center"/>
          </w:tcPr>
          <w:p w:rsidR="00000000" w:rsidRDefault="00000000">
            <w:pPr>
              <w:ind w:firstLine="4"/>
              <w:jc w:val="center"/>
              <w:rPr>
                <w:b/>
                <w:noProof/>
                <w:color w:val="000000"/>
                <w:lang w:val="en-GB"/>
              </w:rPr>
            </w:pPr>
            <w:r>
              <w:rPr>
                <w:b/>
                <w:noProof/>
                <w:color w:val="000000"/>
                <w:lang w:val="en-GB"/>
              </w:rPr>
              <w:t>2000</w:t>
            </w:r>
          </w:p>
        </w:tc>
        <w:tc>
          <w:tcPr>
            <w:tcW w:w="1592" w:type="dxa"/>
            <w:vAlign w:val="center"/>
          </w:tcPr>
          <w:p w:rsidR="00000000" w:rsidRDefault="00000000">
            <w:pPr>
              <w:jc w:val="center"/>
              <w:rPr>
                <w:b/>
                <w:noProof/>
                <w:color w:val="000000"/>
                <w:lang w:val="en-GB"/>
              </w:rPr>
            </w:pPr>
            <w:r>
              <w:rPr>
                <w:b/>
                <w:noProof/>
                <w:color w:val="000000"/>
                <w:lang w:val="en-GB"/>
              </w:rPr>
              <w:t>2003</w:t>
            </w:r>
          </w:p>
        </w:tc>
      </w:tr>
      <w:tr w:rsidR="00000000">
        <w:tblPrEx>
          <w:tblCellMar>
            <w:top w:w="0" w:type="dxa"/>
            <w:bottom w:w="0" w:type="dxa"/>
          </w:tblCellMar>
        </w:tblPrEx>
        <w:trPr>
          <w:trHeight w:val="20"/>
          <w:jc w:val="center"/>
        </w:trPr>
        <w:tc>
          <w:tcPr>
            <w:tcW w:w="1936" w:type="dxa"/>
            <w:vAlign w:val="center"/>
          </w:tcPr>
          <w:p w:rsidR="00000000" w:rsidRDefault="00000000">
            <w:pPr>
              <w:ind w:firstLine="4"/>
              <w:rPr>
                <w:bCs/>
                <w:noProof/>
                <w:color w:val="000000"/>
                <w:lang w:val="en-GB"/>
              </w:rPr>
            </w:pPr>
            <w:r>
              <w:rPr>
                <w:bCs/>
                <w:noProof/>
                <w:color w:val="000000"/>
                <w:lang w:val="en-GB"/>
              </w:rPr>
              <w:t>I</w:t>
            </w:r>
          </w:p>
        </w:tc>
        <w:tc>
          <w:tcPr>
            <w:tcW w:w="1584" w:type="dxa"/>
            <w:vAlign w:val="center"/>
          </w:tcPr>
          <w:p w:rsidR="00000000" w:rsidRDefault="00000000">
            <w:pPr>
              <w:ind w:firstLine="4"/>
              <w:jc w:val="center"/>
              <w:rPr>
                <w:bCs/>
                <w:noProof/>
                <w:color w:val="000000"/>
                <w:lang w:val="en-GB"/>
              </w:rPr>
            </w:pPr>
            <w:r>
              <w:rPr>
                <w:bCs/>
                <w:noProof/>
                <w:color w:val="000000"/>
                <w:lang w:val="en-GB"/>
              </w:rPr>
              <w:t>22,3</w:t>
            </w:r>
          </w:p>
        </w:tc>
        <w:tc>
          <w:tcPr>
            <w:tcW w:w="2077" w:type="dxa"/>
            <w:vAlign w:val="center"/>
          </w:tcPr>
          <w:p w:rsidR="00000000" w:rsidRDefault="00000000">
            <w:pPr>
              <w:ind w:firstLine="4"/>
              <w:jc w:val="center"/>
              <w:rPr>
                <w:bCs/>
                <w:noProof/>
                <w:color w:val="000000"/>
                <w:lang w:val="en-GB"/>
              </w:rPr>
            </w:pPr>
            <w:r>
              <w:rPr>
                <w:bCs/>
                <w:noProof/>
                <w:color w:val="000000"/>
                <w:lang w:val="en-GB"/>
              </w:rPr>
              <w:t>23,6</w:t>
            </w:r>
          </w:p>
        </w:tc>
        <w:tc>
          <w:tcPr>
            <w:tcW w:w="2077" w:type="dxa"/>
            <w:vAlign w:val="center"/>
          </w:tcPr>
          <w:p w:rsidR="00000000" w:rsidRDefault="00000000">
            <w:pPr>
              <w:ind w:firstLine="4"/>
              <w:jc w:val="center"/>
              <w:rPr>
                <w:bCs/>
                <w:noProof/>
                <w:color w:val="000000"/>
                <w:lang w:val="en-GB"/>
              </w:rPr>
            </w:pPr>
            <w:r>
              <w:rPr>
                <w:bCs/>
                <w:noProof/>
                <w:color w:val="000000"/>
                <w:lang w:val="en-GB"/>
              </w:rPr>
              <w:t>25,5</w:t>
            </w:r>
          </w:p>
        </w:tc>
        <w:tc>
          <w:tcPr>
            <w:tcW w:w="1592" w:type="dxa"/>
            <w:vAlign w:val="center"/>
          </w:tcPr>
          <w:p w:rsidR="00000000" w:rsidRDefault="00000000">
            <w:pPr>
              <w:jc w:val="center"/>
              <w:rPr>
                <w:bCs/>
                <w:noProof/>
                <w:color w:val="000000"/>
                <w:lang w:val="en-GB"/>
              </w:rPr>
            </w:pPr>
            <w:r>
              <w:rPr>
                <w:bCs/>
                <w:noProof/>
                <w:color w:val="000000"/>
                <w:lang w:val="en-GB"/>
              </w:rPr>
              <w:t>30,3</w:t>
            </w:r>
          </w:p>
        </w:tc>
      </w:tr>
      <w:tr w:rsidR="00000000">
        <w:tblPrEx>
          <w:tblCellMar>
            <w:top w:w="0" w:type="dxa"/>
            <w:bottom w:w="0" w:type="dxa"/>
          </w:tblCellMar>
        </w:tblPrEx>
        <w:trPr>
          <w:trHeight w:val="20"/>
          <w:jc w:val="center"/>
        </w:trPr>
        <w:tc>
          <w:tcPr>
            <w:tcW w:w="1936" w:type="dxa"/>
            <w:vAlign w:val="center"/>
          </w:tcPr>
          <w:p w:rsidR="00000000" w:rsidRDefault="00000000">
            <w:pPr>
              <w:ind w:firstLine="4"/>
              <w:rPr>
                <w:bCs/>
                <w:noProof/>
                <w:color w:val="000000"/>
                <w:lang w:val="en-GB"/>
              </w:rPr>
            </w:pPr>
            <w:r>
              <w:rPr>
                <w:bCs/>
                <w:noProof/>
                <w:color w:val="000000"/>
                <w:lang w:val="en-GB"/>
              </w:rPr>
              <w:t>II</w:t>
            </w:r>
          </w:p>
        </w:tc>
        <w:tc>
          <w:tcPr>
            <w:tcW w:w="1584" w:type="dxa"/>
            <w:vAlign w:val="center"/>
          </w:tcPr>
          <w:p w:rsidR="00000000" w:rsidRDefault="00000000">
            <w:pPr>
              <w:ind w:firstLine="4"/>
              <w:jc w:val="center"/>
              <w:rPr>
                <w:bCs/>
                <w:noProof/>
                <w:color w:val="000000"/>
                <w:lang w:val="en-GB"/>
              </w:rPr>
            </w:pPr>
            <w:r>
              <w:rPr>
                <w:bCs/>
                <w:noProof/>
                <w:color w:val="000000"/>
                <w:lang w:val="en-GB"/>
              </w:rPr>
              <w:t>26,8</w:t>
            </w:r>
          </w:p>
        </w:tc>
        <w:tc>
          <w:tcPr>
            <w:tcW w:w="2077" w:type="dxa"/>
            <w:vAlign w:val="center"/>
          </w:tcPr>
          <w:p w:rsidR="00000000" w:rsidRDefault="00000000">
            <w:pPr>
              <w:ind w:firstLine="4"/>
              <w:jc w:val="center"/>
              <w:rPr>
                <w:bCs/>
                <w:noProof/>
                <w:color w:val="000000"/>
                <w:lang w:val="en-GB"/>
              </w:rPr>
            </w:pPr>
            <w:r>
              <w:rPr>
                <w:bCs/>
                <w:noProof/>
                <w:color w:val="000000"/>
                <w:lang w:val="en-GB"/>
              </w:rPr>
              <w:t>29,1</w:t>
            </w:r>
          </w:p>
        </w:tc>
        <w:tc>
          <w:tcPr>
            <w:tcW w:w="2077" w:type="dxa"/>
            <w:vAlign w:val="center"/>
          </w:tcPr>
          <w:p w:rsidR="00000000" w:rsidRDefault="00000000">
            <w:pPr>
              <w:ind w:firstLine="4"/>
              <w:jc w:val="center"/>
              <w:rPr>
                <w:bCs/>
                <w:noProof/>
                <w:color w:val="000000"/>
                <w:lang w:val="en-GB"/>
              </w:rPr>
            </w:pPr>
            <w:r>
              <w:rPr>
                <w:bCs/>
                <w:noProof/>
                <w:color w:val="000000"/>
                <w:lang w:val="en-GB"/>
              </w:rPr>
              <w:t>29,6</w:t>
            </w:r>
          </w:p>
        </w:tc>
        <w:tc>
          <w:tcPr>
            <w:tcW w:w="1592" w:type="dxa"/>
            <w:vAlign w:val="center"/>
          </w:tcPr>
          <w:p w:rsidR="00000000" w:rsidRDefault="00000000">
            <w:pPr>
              <w:jc w:val="center"/>
              <w:rPr>
                <w:bCs/>
                <w:noProof/>
                <w:color w:val="000000"/>
                <w:lang w:val="en-GB"/>
              </w:rPr>
            </w:pPr>
            <w:r>
              <w:rPr>
                <w:bCs/>
                <w:noProof/>
                <w:color w:val="000000"/>
                <w:lang w:val="en-GB"/>
              </w:rPr>
              <w:t>34,0</w:t>
            </w:r>
          </w:p>
        </w:tc>
      </w:tr>
      <w:tr w:rsidR="00000000">
        <w:tblPrEx>
          <w:tblCellMar>
            <w:top w:w="0" w:type="dxa"/>
            <w:bottom w:w="0" w:type="dxa"/>
          </w:tblCellMar>
        </w:tblPrEx>
        <w:trPr>
          <w:trHeight w:val="20"/>
          <w:jc w:val="center"/>
        </w:trPr>
        <w:tc>
          <w:tcPr>
            <w:tcW w:w="1936" w:type="dxa"/>
            <w:vAlign w:val="center"/>
          </w:tcPr>
          <w:p w:rsidR="00000000" w:rsidRDefault="00000000">
            <w:pPr>
              <w:ind w:firstLine="4"/>
              <w:rPr>
                <w:bCs/>
                <w:noProof/>
                <w:color w:val="000000"/>
                <w:lang w:val="en-GB"/>
              </w:rPr>
            </w:pPr>
            <w:r>
              <w:rPr>
                <w:bCs/>
                <w:noProof/>
                <w:color w:val="000000"/>
                <w:lang w:val="en-GB"/>
              </w:rPr>
              <w:t>III</w:t>
            </w:r>
          </w:p>
        </w:tc>
        <w:tc>
          <w:tcPr>
            <w:tcW w:w="1584" w:type="dxa"/>
            <w:vAlign w:val="center"/>
          </w:tcPr>
          <w:p w:rsidR="00000000" w:rsidRDefault="00000000">
            <w:pPr>
              <w:ind w:firstLine="4"/>
              <w:jc w:val="center"/>
              <w:rPr>
                <w:bCs/>
                <w:noProof/>
                <w:color w:val="000000"/>
                <w:lang w:val="en-GB"/>
              </w:rPr>
            </w:pPr>
            <w:r>
              <w:rPr>
                <w:bCs/>
                <w:noProof/>
                <w:color w:val="000000"/>
                <w:lang w:val="en-GB"/>
              </w:rPr>
              <w:t>30,3</w:t>
            </w:r>
          </w:p>
        </w:tc>
        <w:tc>
          <w:tcPr>
            <w:tcW w:w="2077" w:type="dxa"/>
            <w:vAlign w:val="center"/>
          </w:tcPr>
          <w:p w:rsidR="00000000" w:rsidRDefault="00000000">
            <w:pPr>
              <w:ind w:firstLine="4"/>
              <w:jc w:val="center"/>
              <w:rPr>
                <w:bCs/>
                <w:noProof/>
                <w:color w:val="000000"/>
                <w:lang w:val="en-GB"/>
              </w:rPr>
            </w:pPr>
            <w:r>
              <w:rPr>
                <w:bCs/>
                <w:noProof/>
                <w:color w:val="000000"/>
                <w:lang w:val="en-GB"/>
              </w:rPr>
              <w:t>30,5</w:t>
            </w:r>
          </w:p>
        </w:tc>
        <w:tc>
          <w:tcPr>
            <w:tcW w:w="2077" w:type="dxa"/>
            <w:vAlign w:val="center"/>
          </w:tcPr>
          <w:p w:rsidR="00000000" w:rsidRDefault="00000000">
            <w:pPr>
              <w:ind w:firstLine="4"/>
              <w:jc w:val="center"/>
              <w:rPr>
                <w:bCs/>
                <w:noProof/>
                <w:color w:val="000000"/>
                <w:lang w:val="en-GB"/>
              </w:rPr>
            </w:pPr>
            <w:r>
              <w:rPr>
                <w:bCs/>
                <w:noProof/>
                <w:color w:val="000000"/>
                <w:lang w:val="en-GB"/>
              </w:rPr>
              <w:t>32,7</w:t>
            </w:r>
          </w:p>
        </w:tc>
        <w:tc>
          <w:tcPr>
            <w:tcW w:w="1592" w:type="dxa"/>
            <w:vAlign w:val="center"/>
          </w:tcPr>
          <w:p w:rsidR="00000000" w:rsidRDefault="00000000">
            <w:pPr>
              <w:jc w:val="center"/>
              <w:rPr>
                <w:bCs/>
                <w:noProof/>
                <w:color w:val="000000"/>
                <w:lang w:val="en-GB"/>
              </w:rPr>
            </w:pPr>
            <w:r>
              <w:rPr>
                <w:bCs/>
                <w:noProof/>
                <w:color w:val="000000"/>
                <w:lang w:val="en-GB"/>
              </w:rPr>
              <w:t>35,0</w:t>
            </w:r>
          </w:p>
        </w:tc>
      </w:tr>
      <w:tr w:rsidR="00000000">
        <w:tblPrEx>
          <w:tblCellMar>
            <w:top w:w="0" w:type="dxa"/>
            <w:bottom w:w="0" w:type="dxa"/>
          </w:tblCellMar>
        </w:tblPrEx>
        <w:trPr>
          <w:trHeight w:val="20"/>
          <w:jc w:val="center"/>
        </w:trPr>
        <w:tc>
          <w:tcPr>
            <w:tcW w:w="1936" w:type="dxa"/>
            <w:vAlign w:val="center"/>
          </w:tcPr>
          <w:p w:rsidR="00000000" w:rsidRDefault="00000000">
            <w:pPr>
              <w:ind w:firstLine="4"/>
              <w:rPr>
                <w:bCs/>
                <w:noProof/>
                <w:color w:val="000000"/>
                <w:lang w:val="en-GB"/>
              </w:rPr>
            </w:pPr>
            <w:r>
              <w:rPr>
                <w:bCs/>
                <w:noProof/>
                <w:color w:val="000000"/>
                <w:lang w:val="en-GB"/>
              </w:rPr>
              <w:t>IV</w:t>
            </w:r>
          </w:p>
        </w:tc>
        <w:tc>
          <w:tcPr>
            <w:tcW w:w="1584" w:type="dxa"/>
            <w:vAlign w:val="center"/>
          </w:tcPr>
          <w:p w:rsidR="00000000" w:rsidRDefault="00000000">
            <w:pPr>
              <w:ind w:firstLine="4"/>
              <w:jc w:val="center"/>
              <w:rPr>
                <w:bCs/>
                <w:noProof/>
                <w:color w:val="000000"/>
                <w:lang w:val="en-GB"/>
              </w:rPr>
            </w:pPr>
            <w:r>
              <w:rPr>
                <w:bCs/>
                <w:noProof/>
                <w:color w:val="000000"/>
                <w:lang w:val="en-GB"/>
              </w:rPr>
              <w:t>36,8</w:t>
            </w:r>
          </w:p>
        </w:tc>
        <w:tc>
          <w:tcPr>
            <w:tcW w:w="2077" w:type="dxa"/>
            <w:vAlign w:val="center"/>
          </w:tcPr>
          <w:p w:rsidR="00000000" w:rsidRDefault="00000000">
            <w:pPr>
              <w:ind w:firstLine="4"/>
              <w:jc w:val="center"/>
              <w:rPr>
                <w:bCs/>
                <w:noProof/>
                <w:color w:val="000000"/>
                <w:lang w:val="en-GB"/>
              </w:rPr>
            </w:pPr>
            <w:r>
              <w:rPr>
                <w:bCs/>
                <w:noProof/>
                <w:color w:val="000000"/>
                <w:lang w:val="en-GB"/>
              </w:rPr>
              <w:t>34,8</w:t>
            </w:r>
          </w:p>
        </w:tc>
        <w:tc>
          <w:tcPr>
            <w:tcW w:w="2077" w:type="dxa"/>
            <w:vAlign w:val="center"/>
          </w:tcPr>
          <w:p w:rsidR="00000000" w:rsidRDefault="00000000">
            <w:pPr>
              <w:ind w:firstLine="4"/>
              <w:jc w:val="center"/>
              <w:rPr>
                <w:bCs/>
                <w:noProof/>
                <w:color w:val="000000"/>
                <w:lang w:val="en-GB"/>
              </w:rPr>
            </w:pPr>
            <w:r>
              <w:rPr>
                <w:bCs/>
                <w:noProof/>
                <w:color w:val="000000"/>
                <w:lang w:val="en-GB"/>
              </w:rPr>
              <w:t>37,6</w:t>
            </w:r>
          </w:p>
        </w:tc>
        <w:tc>
          <w:tcPr>
            <w:tcW w:w="1592" w:type="dxa"/>
            <w:vAlign w:val="center"/>
          </w:tcPr>
          <w:p w:rsidR="00000000" w:rsidRDefault="00000000">
            <w:pPr>
              <w:jc w:val="center"/>
              <w:rPr>
                <w:bCs/>
                <w:noProof/>
                <w:color w:val="000000"/>
                <w:lang w:val="en-GB"/>
              </w:rPr>
            </w:pPr>
            <w:r>
              <w:rPr>
                <w:bCs/>
                <w:noProof/>
                <w:color w:val="000000"/>
                <w:lang w:val="en-GB"/>
              </w:rPr>
              <w:t>36,1</w:t>
            </w:r>
          </w:p>
        </w:tc>
      </w:tr>
      <w:tr w:rsidR="00000000">
        <w:tblPrEx>
          <w:tblCellMar>
            <w:top w:w="0" w:type="dxa"/>
            <w:bottom w:w="0" w:type="dxa"/>
          </w:tblCellMar>
        </w:tblPrEx>
        <w:trPr>
          <w:trHeight w:val="20"/>
          <w:jc w:val="center"/>
        </w:trPr>
        <w:tc>
          <w:tcPr>
            <w:tcW w:w="1936" w:type="dxa"/>
            <w:vAlign w:val="center"/>
          </w:tcPr>
          <w:p w:rsidR="00000000" w:rsidRDefault="00000000">
            <w:pPr>
              <w:ind w:firstLine="4"/>
              <w:rPr>
                <w:bCs/>
                <w:noProof/>
                <w:color w:val="000000"/>
                <w:lang w:val="en-GB"/>
              </w:rPr>
            </w:pPr>
            <w:r>
              <w:rPr>
                <w:bCs/>
                <w:noProof/>
                <w:color w:val="000000"/>
                <w:lang w:val="en-GB"/>
              </w:rPr>
              <w:t>V</w:t>
            </w:r>
          </w:p>
        </w:tc>
        <w:tc>
          <w:tcPr>
            <w:tcW w:w="1584" w:type="dxa"/>
            <w:vAlign w:val="center"/>
          </w:tcPr>
          <w:p w:rsidR="00000000" w:rsidRDefault="00000000">
            <w:pPr>
              <w:ind w:firstLine="4"/>
              <w:jc w:val="center"/>
              <w:rPr>
                <w:bCs/>
                <w:noProof/>
                <w:color w:val="000000"/>
                <w:lang w:val="es-MX"/>
              </w:rPr>
            </w:pPr>
            <w:r>
              <w:rPr>
                <w:bCs/>
                <w:noProof/>
                <w:color w:val="000000"/>
                <w:lang w:val="es-MX"/>
              </w:rPr>
              <w:t>48,4</w:t>
            </w:r>
          </w:p>
        </w:tc>
        <w:tc>
          <w:tcPr>
            <w:tcW w:w="2077" w:type="dxa"/>
            <w:vAlign w:val="center"/>
          </w:tcPr>
          <w:p w:rsidR="00000000" w:rsidRDefault="00000000">
            <w:pPr>
              <w:ind w:firstLine="4"/>
              <w:jc w:val="center"/>
              <w:rPr>
                <w:bCs/>
                <w:noProof/>
                <w:color w:val="000000"/>
                <w:lang w:val="es-MX"/>
              </w:rPr>
            </w:pPr>
            <w:r>
              <w:rPr>
                <w:bCs/>
                <w:noProof/>
                <w:color w:val="000000"/>
                <w:lang w:val="es-MX"/>
              </w:rPr>
              <w:t>44,8</w:t>
            </w:r>
          </w:p>
        </w:tc>
        <w:tc>
          <w:tcPr>
            <w:tcW w:w="2077" w:type="dxa"/>
            <w:vAlign w:val="center"/>
          </w:tcPr>
          <w:p w:rsidR="00000000" w:rsidRDefault="00000000">
            <w:pPr>
              <w:ind w:firstLine="4"/>
              <w:jc w:val="center"/>
              <w:rPr>
                <w:bCs/>
                <w:noProof/>
                <w:color w:val="000000"/>
                <w:lang w:val="es-MX"/>
              </w:rPr>
            </w:pPr>
            <w:r>
              <w:rPr>
                <w:bCs/>
                <w:noProof/>
                <w:color w:val="000000"/>
                <w:lang w:val="es-MX"/>
              </w:rPr>
              <w:t>50,2</w:t>
            </w:r>
          </w:p>
        </w:tc>
        <w:tc>
          <w:tcPr>
            <w:tcW w:w="1592" w:type="dxa"/>
            <w:vAlign w:val="center"/>
          </w:tcPr>
          <w:p w:rsidR="00000000" w:rsidRDefault="00000000">
            <w:pPr>
              <w:jc w:val="center"/>
              <w:rPr>
                <w:bCs/>
                <w:noProof/>
                <w:color w:val="000000"/>
                <w:lang w:val="es-MX"/>
              </w:rPr>
            </w:pPr>
            <w:r>
              <w:rPr>
                <w:bCs/>
                <w:noProof/>
                <w:color w:val="000000"/>
                <w:lang w:val="es-MX"/>
              </w:rPr>
              <w:t>49,1</w:t>
            </w:r>
          </w:p>
        </w:tc>
      </w:tr>
      <w:tr w:rsidR="00000000">
        <w:tblPrEx>
          <w:tblCellMar>
            <w:top w:w="0" w:type="dxa"/>
            <w:bottom w:w="0" w:type="dxa"/>
          </w:tblCellMar>
        </w:tblPrEx>
        <w:trPr>
          <w:trHeight w:val="20"/>
          <w:jc w:val="center"/>
        </w:trPr>
        <w:tc>
          <w:tcPr>
            <w:tcW w:w="1936" w:type="dxa"/>
            <w:vAlign w:val="center"/>
          </w:tcPr>
          <w:p w:rsidR="00000000" w:rsidRDefault="00000000">
            <w:pPr>
              <w:ind w:firstLine="4"/>
              <w:rPr>
                <w:bCs/>
                <w:noProof/>
                <w:color w:val="000000"/>
                <w:lang w:val="es-MX"/>
              </w:rPr>
            </w:pPr>
            <w:r>
              <w:rPr>
                <w:bCs/>
                <w:noProof/>
                <w:color w:val="000000"/>
                <w:lang w:val="es-MX"/>
              </w:rPr>
              <w:tab/>
              <w:t>Total</w:t>
            </w:r>
          </w:p>
        </w:tc>
        <w:tc>
          <w:tcPr>
            <w:tcW w:w="1584" w:type="dxa"/>
            <w:vAlign w:val="center"/>
          </w:tcPr>
          <w:p w:rsidR="00000000" w:rsidRDefault="00000000">
            <w:pPr>
              <w:ind w:firstLine="4"/>
              <w:jc w:val="center"/>
              <w:rPr>
                <w:bCs/>
                <w:noProof/>
                <w:color w:val="000000"/>
                <w:lang w:val="es-MX"/>
              </w:rPr>
            </w:pPr>
            <w:r>
              <w:rPr>
                <w:bCs/>
                <w:noProof/>
                <w:color w:val="000000"/>
                <w:lang w:val="es-MX"/>
              </w:rPr>
              <w:t>29,8</w:t>
            </w:r>
          </w:p>
        </w:tc>
        <w:tc>
          <w:tcPr>
            <w:tcW w:w="2077" w:type="dxa"/>
            <w:vAlign w:val="center"/>
          </w:tcPr>
          <w:p w:rsidR="00000000" w:rsidRDefault="00000000">
            <w:pPr>
              <w:ind w:firstLine="4"/>
              <w:jc w:val="center"/>
              <w:rPr>
                <w:bCs/>
                <w:noProof/>
                <w:color w:val="000000"/>
                <w:lang w:val="es-MX"/>
              </w:rPr>
            </w:pPr>
            <w:r>
              <w:rPr>
                <w:bCs/>
                <w:noProof/>
                <w:color w:val="000000"/>
                <w:lang w:val="es-MX"/>
              </w:rPr>
              <w:t>30,3</w:t>
            </w:r>
          </w:p>
        </w:tc>
        <w:tc>
          <w:tcPr>
            <w:tcW w:w="2077" w:type="dxa"/>
            <w:vAlign w:val="center"/>
          </w:tcPr>
          <w:p w:rsidR="00000000" w:rsidRDefault="00000000">
            <w:pPr>
              <w:ind w:firstLine="4"/>
              <w:jc w:val="center"/>
              <w:rPr>
                <w:bCs/>
                <w:noProof/>
                <w:color w:val="000000"/>
                <w:lang w:val="es-MX"/>
              </w:rPr>
            </w:pPr>
            <w:r>
              <w:rPr>
                <w:bCs/>
                <w:noProof/>
                <w:color w:val="000000"/>
                <w:lang w:val="es-MX"/>
              </w:rPr>
              <w:t>32,4</w:t>
            </w:r>
          </w:p>
        </w:tc>
        <w:tc>
          <w:tcPr>
            <w:tcW w:w="1592" w:type="dxa"/>
            <w:vAlign w:val="center"/>
          </w:tcPr>
          <w:p w:rsidR="00000000" w:rsidRDefault="00000000">
            <w:pPr>
              <w:jc w:val="center"/>
              <w:rPr>
                <w:bCs/>
                <w:noProof/>
                <w:color w:val="000000"/>
                <w:lang w:val="es-MX"/>
              </w:rPr>
            </w:pPr>
            <w:r>
              <w:rPr>
                <w:bCs/>
                <w:noProof/>
                <w:color w:val="000000"/>
                <w:lang w:val="es-MX"/>
              </w:rPr>
              <w:t>35,1</w:t>
            </w:r>
          </w:p>
        </w:tc>
      </w:tr>
    </w:tbl>
    <w:p w:rsidR="00000000" w:rsidRDefault="00000000">
      <w:pPr>
        <w:spacing w:before="240" w:after="480"/>
        <w:rPr>
          <w:bCs/>
          <w:noProof/>
          <w:color w:val="000000"/>
          <w:lang w:val="es-MX"/>
        </w:rPr>
      </w:pPr>
      <w:r>
        <w:rPr>
          <w:bCs/>
          <w:i/>
          <w:iCs/>
          <w:noProof/>
          <w:color w:val="000000"/>
          <w:lang w:val="es-MX"/>
        </w:rPr>
        <w:t>Fuente</w:t>
      </w:r>
      <w:r>
        <w:rPr>
          <w:bCs/>
          <w:noProof/>
          <w:color w:val="000000"/>
          <w:lang w:val="es-MX"/>
        </w:rPr>
        <w:t>:  MIDEPLAN.  Encuesta CASEN 1996, 1998, 2000 y 2003.</w:t>
      </w:r>
    </w:p>
    <w:p w:rsidR="00000000" w:rsidRDefault="00000000">
      <w:pPr>
        <w:spacing w:after="240"/>
        <w:ind w:left="-4" w:firstLine="4"/>
        <w:jc w:val="center"/>
        <w:outlineLvl w:val="0"/>
        <w:rPr>
          <w:b/>
          <w:noProof/>
          <w:color w:val="000000"/>
        </w:rPr>
      </w:pPr>
      <w:r>
        <w:rPr>
          <w:b/>
          <w:noProof/>
          <w:color w:val="000000"/>
        </w:rPr>
        <w:t>Cuadro 44</w:t>
      </w:r>
    </w:p>
    <w:p w:rsidR="00000000" w:rsidRDefault="00000000">
      <w:pPr>
        <w:pStyle w:val="Heading2"/>
        <w:spacing w:after="240"/>
        <w:rPr>
          <w:noProof/>
          <w:color w:val="000000"/>
          <w:lang w:val="es-ES"/>
        </w:rPr>
      </w:pPr>
      <w:r>
        <w:rPr>
          <w:caps w:val="0"/>
          <w:lang w:val="es-ES"/>
        </w:rPr>
        <w:t xml:space="preserve">Cobertura del programa P.900, </w:t>
      </w:r>
      <w:r>
        <w:rPr>
          <w:caps w:val="0"/>
          <w:noProof/>
          <w:color w:val="000000"/>
          <w:lang w:val="es-ES"/>
        </w:rPr>
        <w:t>1998-2002</w:t>
      </w:r>
    </w:p>
    <w:tbl>
      <w:tblPr>
        <w:tblW w:w="0" w:type="auto"/>
        <w:jc w:val="center"/>
        <w:tblBorders>
          <w:top w:val="single" w:sz="4" w:space="0" w:color="auto"/>
          <w:left w:val="single" w:sz="4" w:space="0" w:color="auto"/>
          <w:bottom w:val="single" w:sz="4" w:space="0" w:color="auto"/>
          <w:right w:val="single" w:sz="4" w:space="0" w:color="auto"/>
          <w:insideH w:val="single" w:sz="8" w:space="0" w:color="000000"/>
          <w:insideV w:val="single" w:sz="8" w:space="0" w:color="000000"/>
        </w:tblBorders>
        <w:tblLayout w:type="fixed"/>
        <w:tblCellMar>
          <w:left w:w="120" w:type="dxa"/>
          <w:right w:w="120" w:type="dxa"/>
        </w:tblCellMar>
        <w:tblLook w:val="0000" w:firstRow="0" w:lastRow="0" w:firstColumn="0" w:lastColumn="0" w:noHBand="0" w:noVBand="0"/>
      </w:tblPr>
      <w:tblGrid>
        <w:gridCol w:w="1558"/>
        <w:gridCol w:w="1558"/>
        <w:gridCol w:w="1558"/>
        <w:gridCol w:w="1558"/>
        <w:gridCol w:w="1558"/>
        <w:gridCol w:w="1566"/>
      </w:tblGrid>
      <w:tr w:rsidR="00000000">
        <w:tblPrEx>
          <w:tblCellMar>
            <w:top w:w="0" w:type="dxa"/>
            <w:bottom w:w="0" w:type="dxa"/>
          </w:tblCellMar>
        </w:tblPrEx>
        <w:trPr>
          <w:jc w:val="center"/>
        </w:trPr>
        <w:tc>
          <w:tcPr>
            <w:tcW w:w="1558" w:type="dxa"/>
          </w:tcPr>
          <w:p w:rsidR="00000000" w:rsidRDefault="00000000">
            <w:pPr>
              <w:ind w:firstLine="6"/>
              <w:rPr>
                <w:bCs/>
                <w:noProof/>
                <w:color w:val="000000"/>
              </w:rPr>
            </w:pPr>
          </w:p>
        </w:tc>
        <w:tc>
          <w:tcPr>
            <w:tcW w:w="1558" w:type="dxa"/>
          </w:tcPr>
          <w:p w:rsidR="00000000" w:rsidRDefault="00000000">
            <w:pPr>
              <w:ind w:firstLine="6"/>
              <w:jc w:val="center"/>
              <w:rPr>
                <w:b/>
                <w:noProof/>
                <w:color w:val="000000"/>
              </w:rPr>
            </w:pPr>
            <w:r>
              <w:rPr>
                <w:b/>
                <w:noProof/>
                <w:color w:val="000000"/>
              </w:rPr>
              <w:t>1998</w:t>
            </w:r>
          </w:p>
        </w:tc>
        <w:tc>
          <w:tcPr>
            <w:tcW w:w="1558" w:type="dxa"/>
          </w:tcPr>
          <w:p w:rsidR="00000000" w:rsidRDefault="00000000">
            <w:pPr>
              <w:ind w:firstLine="6"/>
              <w:jc w:val="center"/>
              <w:rPr>
                <w:b/>
                <w:noProof/>
                <w:color w:val="000000"/>
              </w:rPr>
            </w:pPr>
            <w:r>
              <w:rPr>
                <w:b/>
                <w:noProof/>
                <w:color w:val="000000"/>
              </w:rPr>
              <w:t>1999</w:t>
            </w:r>
          </w:p>
        </w:tc>
        <w:tc>
          <w:tcPr>
            <w:tcW w:w="1558" w:type="dxa"/>
          </w:tcPr>
          <w:p w:rsidR="00000000" w:rsidRDefault="00000000">
            <w:pPr>
              <w:ind w:firstLine="6"/>
              <w:jc w:val="center"/>
              <w:rPr>
                <w:b/>
                <w:noProof/>
                <w:color w:val="000000"/>
              </w:rPr>
            </w:pPr>
            <w:r>
              <w:rPr>
                <w:b/>
                <w:noProof/>
                <w:color w:val="000000"/>
              </w:rPr>
              <w:t>2000</w:t>
            </w:r>
          </w:p>
        </w:tc>
        <w:tc>
          <w:tcPr>
            <w:tcW w:w="1558" w:type="dxa"/>
          </w:tcPr>
          <w:p w:rsidR="00000000" w:rsidRDefault="00000000">
            <w:pPr>
              <w:ind w:firstLine="6"/>
              <w:jc w:val="center"/>
              <w:rPr>
                <w:b/>
                <w:noProof/>
                <w:color w:val="000000"/>
              </w:rPr>
            </w:pPr>
            <w:r>
              <w:rPr>
                <w:b/>
                <w:noProof/>
                <w:color w:val="000000"/>
              </w:rPr>
              <w:t>2001</w:t>
            </w:r>
          </w:p>
        </w:tc>
        <w:tc>
          <w:tcPr>
            <w:tcW w:w="1566" w:type="dxa"/>
          </w:tcPr>
          <w:p w:rsidR="00000000" w:rsidRDefault="00000000">
            <w:pPr>
              <w:ind w:firstLine="6"/>
              <w:jc w:val="center"/>
              <w:rPr>
                <w:b/>
                <w:noProof/>
                <w:color w:val="000000"/>
              </w:rPr>
            </w:pPr>
            <w:r>
              <w:rPr>
                <w:b/>
                <w:noProof/>
                <w:color w:val="000000"/>
              </w:rPr>
              <w:t>2002</w:t>
            </w:r>
          </w:p>
        </w:tc>
      </w:tr>
      <w:tr w:rsidR="00000000">
        <w:tblPrEx>
          <w:tblCellMar>
            <w:top w:w="0" w:type="dxa"/>
            <w:bottom w:w="0" w:type="dxa"/>
          </w:tblCellMar>
        </w:tblPrEx>
        <w:trPr>
          <w:jc w:val="center"/>
        </w:trPr>
        <w:tc>
          <w:tcPr>
            <w:tcW w:w="1558" w:type="dxa"/>
          </w:tcPr>
          <w:p w:rsidR="00000000" w:rsidRDefault="00000000">
            <w:pPr>
              <w:ind w:firstLine="6"/>
              <w:rPr>
                <w:bCs/>
                <w:noProof/>
                <w:color w:val="000000"/>
              </w:rPr>
            </w:pPr>
            <w:r>
              <w:rPr>
                <w:bCs/>
                <w:noProof/>
                <w:color w:val="000000"/>
              </w:rPr>
              <w:t>Escuelas</w:t>
            </w:r>
          </w:p>
        </w:tc>
        <w:tc>
          <w:tcPr>
            <w:tcW w:w="1558" w:type="dxa"/>
          </w:tcPr>
          <w:p w:rsidR="00000000" w:rsidRDefault="00000000">
            <w:pPr>
              <w:tabs>
                <w:tab w:val="decimal" w:pos="1025"/>
              </w:tabs>
              <w:ind w:firstLine="6"/>
              <w:rPr>
                <w:bCs/>
                <w:noProof/>
                <w:color w:val="000000"/>
              </w:rPr>
            </w:pPr>
            <w:r>
              <w:rPr>
                <w:bCs/>
                <w:noProof/>
                <w:color w:val="000000"/>
              </w:rPr>
              <w:t>893</w:t>
            </w:r>
          </w:p>
        </w:tc>
        <w:tc>
          <w:tcPr>
            <w:tcW w:w="1558" w:type="dxa"/>
          </w:tcPr>
          <w:p w:rsidR="00000000" w:rsidRDefault="00000000">
            <w:pPr>
              <w:tabs>
                <w:tab w:val="decimal" w:pos="1049"/>
              </w:tabs>
              <w:ind w:firstLine="6"/>
              <w:rPr>
                <w:bCs/>
                <w:noProof/>
                <w:color w:val="000000"/>
              </w:rPr>
            </w:pPr>
            <w:r>
              <w:rPr>
                <w:bCs/>
                <w:noProof/>
                <w:color w:val="000000"/>
              </w:rPr>
              <w:t>913</w:t>
            </w:r>
          </w:p>
        </w:tc>
        <w:tc>
          <w:tcPr>
            <w:tcW w:w="1558" w:type="dxa"/>
          </w:tcPr>
          <w:p w:rsidR="00000000" w:rsidRDefault="00000000">
            <w:pPr>
              <w:tabs>
                <w:tab w:val="decimal" w:pos="1030"/>
              </w:tabs>
              <w:ind w:firstLine="6"/>
              <w:rPr>
                <w:bCs/>
                <w:noProof/>
                <w:color w:val="000000"/>
              </w:rPr>
            </w:pPr>
            <w:r>
              <w:rPr>
                <w:bCs/>
                <w:noProof/>
                <w:color w:val="000000"/>
              </w:rPr>
              <w:t>909</w:t>
            </w:r>
          </w:p>
        </w:tc>
        <w:tc>
          <w:tcPr>
            <w:tcW w:w="1558" w:type="dxa"/>
          </w:tcPr>
          <w:p w:rsidR="00000000" w:rsidRDefault="00000000">
            <w:pPr>
              <w:tabs>
                <w:tab w:val="decimal" w:pos="1054"/>
              </w:tabs>
              <w:ind w:firstLine="6"/>
              <w:rPr>
                <w:bCs/>
                <w:noProof/>
                <w:color w:val="000000"/>
              </w:rPr>
            </w:pPr>
            <w:r>
              <w:rPr>
                <w:bCs/>
                <w:noProof/>
                <w:color w:val="000000"/>
              </w:rPr>
              <w:t>1.443</w:t>
            </w:r>
          </w:p>
        </w:tc>
        <w:tc>
          <w:tcPr>
            <w:tcW w:w="1566" w:type="dxa"/>
          </w:tcPr>
          <w:p w:rsidR="00000000" w:rsidRDefault="00000000">
            <w:pPr>
              <w:tabs>
                <w:tab w:val="decimal" w:pos="1050"/>
              </w:tabs>
              <w:ind w:firstLine="6"/>
              <w:rPr>
                <w:bCs/>
                <w:noProof/>
                <w:color w:val="000000"/>
              </w:rPr>
            </w:pPr>
            <w:r>
              <w:rPr>
                <w:bCs/>
                <w:noProof/>
                <w:color w:val="000000"/>
              </w:rPr>
              <w:t>1.443</w:t>
            </w:r>
          </w:p>
        </w:tc>
      </w:tr>
      <w:tr w:rsidR="00000000">
        <w:tblPrEx>
          <w:tblCellMar>
            <w:top w:w="0" w:type="dxa"/>
            <w:bottom w:w="0" w:type="dxa"/>
          </w:tblCellMar>
        </w:tblPrEx>
        <w:trPr>
          <w:jc w:val="center"/>
        </w:trPr>
        <w:tc>
          <w:tcPr>
            <w:tcW w:w="1558" w:type="dxa"/>
          </w:tcPr>
          <w:p w:rsidR="00000000" w:rsidRDefault="00000000">
            <w:pPr>
              <w:ind w:firstLine="6"/>
              <w:rPr>
                <w:bCs/>
                <w:noProof/>
                <w:color w:val="000000"/>
              </w:rPr>
            </w:pPr>
            <w:r>
              <w:rPr>
                <w:bCs/>
                <w:noProof/>
                <w:color w:val="000000"/>
              </w:rPr>
              <w:t>Profesores</w:t>
            </w:r>
          </w:p>
        </w:tc>
        <w:tc>
          <w:tcPr>
            <w:tcW w:w="1558" w:type="dxa"/>
          </w:tcPr>
          <w:p w:rsidR="00000000" w:rsidRDefault="00000000">
            <w:pPr>
              <w:tabs>
                <w:tab w:val="decimal" w:pos="1025"/>
              </w:tabs>
              <w:ind w:firstLine="6"/>
              <w:rPr>
                <w:bCs/>
                <w:noProof/>
                <w:color w:val="000000"/>
              </w:rPr>
            </w:pPr>
            <w:r>
              <w:rPr>
                <w:bCs/>
                <w:noProof/>
                <w:color w:val="000000"/>
              </w:rPr>
              <w:t>11.165</w:t>
            </w:r>
          </w:p>
        </w:tc>
        <w:tc>
          <w:tcPr>
            <w:tcW w:w="1558" w:type="dxa"/>
          </w:tcPr>
          <w:p w:rsidR="00000000" w:rsidRDefault="00000000">
            <w:pPr>
              <w:tabs>
                <w:tab w:val="decimal" w:pos="1049"/>
              </w:tabs>
              <w:ind w:firstLine="6"/>
              <w:rPr>
                <w:bCs/>
                <w:noProof/>
                <w:color w:val="000000"/>
              </w:rPr>
            </w:pPr>
            <w:r>
              <w:rPr>
                <w:bCs/>
                <w:noProof/>
                <w:color w:val="000000"/>
              </w:rPr>
              <w:t>11.451</w:t>
            </w:r>
          </w:p>
        </w:tc>
        <w:tc>
          <w:tcPr>
            <w:tcW w:w="1558" w:type="dxa"/>
          </w:tcPr>
          <w:p w:rsidR="00000000" w:rsidRDefault="00000000">
            <w:pPr>
              <w:tabs>
                <w:tab w:val="decimal" w:pos="1030"/>
              </w:tabs>
              <w:ind w:firstLine="6"/>
              <w:rPr>
                <w:bCs/>
                <w:noProof/>
                <w:color w:val="000000"/>
              </w:rPr>
            </w:pPr>
            <w:r>
              <w:rPr>
                <w:bCs/>
                <w:noProof/>
                <w:color w:val="000000"/>
              </w:rPr>
              <w:t>11.471</w:t>
            </w:r>
          </w:p>
        </w:tc>
        <w:tc>
          <w:tcPr>
            <w:tcW w:w="1558" w:type="dxa"/>
          </w:tcPr>
          <w:p w:rsidR="00000000" w:rsidRDefault="00000000">
            <w:pPr>
              <w:tabs>
                <w:tab w:val="decimal" w:pos="1054"/>
              </w:tabs>
              <w:ind w:firstLine="6"/>
              <w:rPr>
                <w:bCs/>
                <w:noProof/>
                <w:color w:val="000000"/>
              </w:rPr>
            </w:pPr>
            <w:r>
              <w:rPr>
                <w:bCs/>
                <w:noProof/>
                <w:color w:val="000000"/>
              </w:rPr>
              <w:t>25.685</w:t>
            </w:r>
          </w:p>
        </w:tc>
        <w:tc>
          <w:tcPr>
            <w:tcW w:w="1566" w:type="dxa"/>
          </w:tcPr>
          <w:p w:rsidR="00000000" w:rsidRDefault="00000000">
            <w:pPr>
              <w:tabs>
                <w:tab w:val="decimal" w:pos="1050"/>
              </w:tabs>
              <w:ind w:firstLine="6"/>
              <w:rPr>
                <w:bCs/>
                <w:noProof/>
                <w:color w:val="000000"/>
              </w:rPr>
            </w:pPr>
            <w:r>
              <w:rPr>
                <w:bCs/>
                <w:noProof/>
                <w:color w:val="000000"/>
              </w:rPr>
              <w:t>25.685</w:t>
            </w:r>
          </w:p>
        </w:tc>
      </w:tr>
      <w:tr w:rsidR="00000000">
        <w:tblPrEx>
          <w:tblCellMar>
            <w:top w:w="0" w:type="dxa"/>
            <w:bottom w:w="0" w:type="dxa"/>
          </w:tblCellMar>
        </w:tblPrEx>
        <w:trPr>
          <w:jc w:val="center"/>
        </w:trPr>
        <w:tc>
          <w:tcPr>
            <w:tcW w:w="1558" w:type="dxa"/>
          </w:tcPr>
          <w:p w:rsidR="00000000" w:rsidRDefault="00000000">
            <w:pPr>
              <w:ind w:firstLine="6"/>
              <w:rPr>
                <w:bCs/>
                <w:noProof/>
                <w:color w:val="000000"/>
              </w:rPr>
            </w:pPr>
            <w:r>
              <w:rPr>
                <w:bCs/>
                <w:noProof/>
                <w:color w:val="000000"/>
              </w:rPr>
              <w:t>Alumnos</w:t>
            </w:r>
          </w:p>
        </w:tc>
        <w:tc>
          <w:tcPr>
            <w:tcW w:w="1558" w:type="dxa"/>
          </w:tcPr>
          <w:p w:rsidR="00000000" w:rsidRDefault="00000000">
            <w:pPr>
              <w:tabs>
                <w:tab w:val="decimal" w:pos="1025"/>
              </w:tabs>
              <w:ind w:firstLine="6"/>
              <w:rPr>
                <w:bCs/>
                <w:noProof/>
                <w:color w:val="000000"/>
              </w:rPr>
            </w:pPr>
            <w:r>
              <w:rPr>
                <w:bCs/>
                <w:noProof/>
                <w:color w:val="000000"/>
              </w:rPr>
              <w:t>285.387</w:t>
            </w:r>
          </w:p>
        </w:tc>
        <w:tc>
          <w:tcPr>
            <w:tcW w:w="1558" w:type="dxa"/>
          </w:tcPr>
          <w:p w:rsidR="00000000" w:rsidRDefault="00000000">
            <w:pPr>
              <w:tabs>
                <w:tab w:val="decimal" w:pos="1049"/>
              </w:tabs>
              <w:ind w:firstLine="6"/>
              <w:rPr>
                <w:bCs/>
                <w:noProof/>
                <w:color w:val="000000"/>
              </w:rPr>
            </w:pPr>
            <w:r>
              <w:rPr>
                <w:bCs/>
                <w:noProof/>
                <w:color w:val="000000"/>
              </w:rPr>
              <w:t>294.040</w:t>
            </w:r>
          </w:p>
        </w:tc>
        <w:tc>
          <w:tcPr>
            <w:tcW w:w="1558" w:type="dxa"/>
          </w:tcPr>
          <w:p w:rsidR="00000000" w:rsidRDefault="00000000">
            <w:pPr>
              <w:tabs>
                <w:tab w:val="decimal" w:pos="1030"/>
              </w:tabs>
              <w:ind w:firstLine="6"/>
              <w:rPr>
                <w:bCs/>
                <w:noProof/>
                <w:color w:val="000000"/>
              </w:rPr>
            </w:pPr>
            <w:r>
              <w:rPr>
                <w:bCs/>
                <w:noProof/>
                <w:color w:val="000000"/>
              </w:rPr>
              <w:t>295.257</w:t>
            </w:r>
          </w:p>
        </w:tc>
        <w:tc>
          <w:tcPr>
            <w:tcW w:w="1558" w:type="dxa"/>
          </w:tcPr>
          <w:p w:rsidR="00000000" w:rsidRDefault="00000000">
            <w:pPr>
              <w:tabs>
                <w:tab w:val="decimal" w:pos="1054"/>
              </w:tabs>
              <w:ind w:firstLine="6"/>
              <w:rPr>
                <w:bCs/>
                <w:noProof/>
                <w:color w:val="000000"/>
              </w:rPr>
            </w:pPr>
            <w:r>
              <w:rPr>
                <w:bCs/>
                <w:noProof/>
                <w:color w:val="000000"/>
              </w:rPr>
              <w:t>641.316</w:t>
            </w:r>
          </w:p>
        </w:tc>
        <w:tc>
          <w:tcPr>
            <w:tcW w:w="1566" w:type="dxa"/>
          </w:tcPr>
          <w:p w:rsidR="00000000" w:rsidRDefault="00000000">
            <w:pPr>
              <w:tabs>
                <w:tab w:val="decimal" w:pos="1050"/>
              </w:tabs>
              <w:ind w:firstLine="6"/>
              <w:rPr>
                <w:bCs/>
                <w:noProof/>
                <w:color w:val="000000"/>
              </w:rPr>
            </w:pPr>
            <w:r>
              <w:rPr>
                <w:bCs/>
                <w:noProof/>
                <w:color w:val="000000"/>
              </w:rPr>
              <w:t>641.316</w:t>
            </w:r>
          </w:p>
        </w:tc>
      </w:tr>
    </w:tbl>
    <w:p w:rsidR="00000000" w:rsidRDefault="00000000">
      <w:pPr>
        <w:spacing w:before="240" w:after="480"/>
        <w:rPr>
          <w:bCs/>
          <w:noProof/>
          <w:color w:val="000000"/>
        </w:rPr>
      </w:pPr>
      <w:r>
        <w:rPr>
          <w:bCs/>
          <w:i/>
          <w:iCs/>
          <w:noProof/>
          <w:color w:val="000000"/>
        </w:rPr>
        <w:t>Fuente</w:t>
      </w:r>
      <w:r>
        <w:rPr>
          <w:bCs/>
          <w:noProof/>
          <w:color w:val="000000"/>
        </w:rPr>
        <w:t>:  MINEDUC, 2003.</w:t>
      </w:r>
    </w:p>
    <w:p w:rsidR="00000000" w:rsidRDefault="00000000">
      <w:pPr>
        <w:keepNext/>
        <w:keepLines/>
        <w:spacing w:after="200"/>
        <w:ind w:left="-6" w:firstLine="6"/>
        <w:jc w:val="center"/>
        <w:outlineLvl w:val="0"/>
        <w:rPr>
          <w:b/>
          <w:noProof/>
          <w:color w:val="000000"/>
        </w:rPr>
      </w:pPr>
      <w:r>
        <w:rPr>
          <w:b/>
          <w:noProof/>
          <w:color w:val="000000"/>
        </w:rPr>
        <w:t>Cuadro 45</w:t>
      </w:r>
    </w:p>
    <w:p w:rsidR="00000000" w:rsidRDefault="00000000">
      <w:pPr>
        <w:keepNext/>
        <w:keepLines/>
        <w:spacing w:after="200"/>
        <w:ind w:left="-6" w:firstLine="6"/>
        <w:jc w:val="center"/>
        <w:rPr>
          <w:bCs/>
          <w:noProof/>
          <w:color w:val="000000"/>
        </w:rPr>
      </w:pPr>
      <w:r>
        <w:rPr>
          <w:b/>
          <w:noProof/>
          <w:color w:val="000000"/>
        </w:rPr>
        <w:t>Cobertura del programa básica rural, 1998-2002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732"/>
        <w:gridCol w:w="1384"/>
        <w:gridCol w:w="1558"/>
        <w:gridCol w:w="1558"/>
        <w:gridCol w:w="1558"/>
        <w:gridCol w:w="1566"/>
      </w:tblGrid>
      <w:tr w:rsidR="00000000">
        <w:tblPrEx>
          <w:tblCellMar>
            <w:top w:w="0" w:type="dxa"/>
            <w:bottom w:w="0" w:type="dxa"/>
          </w:tblCellMar>
        </w:tblPrEx>
        <w:trPr>
          <w:jc w:val="center"/>
        </w:trPr>
        <w:tc>
          <w:tcPr>
            <w:tcW w:w="1732" w:type="dxa"/>
          </w:tcPr>
          <w:p w:rsidR="00000000" w:rsidRDefault="00000000">
            <w:pPr>
              <w:keepNext/>
              <w:keepLines/>
              <w:jc w:val="center"/>
              <w:rPr>
                <w:b/>
                <w:noProof/>
                <w:color w:val="000000"/>
              </w:rPr>
            </w:pPr>
          </w:p>
        </w:tc>
        <w:tc>
          <w:tcPr>
            <w:tcW w:w="1384" w:type="dxa"/>
          </w:tcPr>
          <w:p w:rsidR="00000000" w:rsidRDefault="00000000">
            <w:pPr>
              <w:keepNext/>
              <w:keepLines/>
              <w:jc w:val="center"/>
              <w:rPr>
                <w:b/>
                <w:noProof/>
                <w:color w:val="000000"/>
              </w:rPr>
            </w:pPr>
            <w:r>
              <w:rPr>
                <w:b/>
                <w:noProof/>
                <w:color w:val="000000"/>
              </w:rPr>
              <w:t>1998</w:t>
            </w:r>
          </w:p>
        </w:tc>
        <w:tc>
          <w:tcPr>
            <w:tcW w:w="1558" w:type="dxa"/>
          </w:tcPr>
          <w:p w:rsidR="00000000" w:rsidRDefault="00000000">
            <w:pPr>
              <w:keepNext/>
              <w:keepLines/>
              <w:jc w:val="center"/>
              <w:rPr>
                <w:b/>
                <w:noProof/>
                <w:color w:val="000000"/>
              </w:rPr>
            </w:pPr>
            <w:r>
              <w:rPr>
                <w:b/>
                <w:noProof/>
                <w:color w:val="000000"/>
              </w:rPr>
              <w:t>1999</w:t>
            </w:r>
          </w:p>
        </w:tc>
        <w:tc>
          <w:tcPr>
            <w:tcW w:w="1558" w:type="dxa"/>
          </w:tcPr>
          <w:p w:rsidR="00000000" w:rsidRDefault="00000000">
            <w:pPr>
              <w:keepNext/>
              <w:keepLines/>
              <w:jc w:val="center"/>
              <w:rPr>
                <w:b/>
                <w:noProof/>
                <w:color w:val="000000"/>
              </w:rPr>
            </w:pPr>
            <w:r>
              <w:rPr>
                <w:b/>
                <w:noProof/>
                <w:color w:val="000000"/>
              </w:rPr>
              <w:t>2000</w:t>
            </w:r>
          </w:p>
        </w:tc>
        <w:tc>
          <w:tcPr>
            <w:tcW w:w="1558" w:type="dxa"/>
          </w:tcPr>
          <w:p w:rsidR="00000000" w:rsidRDefault="00000000">
            <w:pPr>
              <w:keepNext/>
              <w:keepLines/>
              <w:jc w:val="center"/>
              <w:rPr>
                <w:b/>
                <w:noProof/>
                <w:color w:val="000000"/>
              </w:rPr>
            </w:pPr>
            <w:r>
              <w:rPr>
                <w:b/>
                <w:noProof/>
                <w:color w:val="000000"/>
              </w:rPr>
              <w:t>2001</w:t>
            </w:r>
          </w:p>
        </w:tc>
        <w:tc>
          <w:tcPr>
            <w:tcW w:w="1566" w:type="dxa"/>
          </w:tcPr>
          <w:p w:rsidR="00000000" w:rsidRDefault="00000000">
            <w:pPr>
              <w:keepNext/>
              <w:keepLines/>
              <w:jc w:val="center"/>
              <w:rPr>
                <w:b/>
                <w:noProof/>
                <w:color w:val="000000"/>
              </w:rPr>
            </w:pPr>
            <w:r>
              <w:rPr>
                <w:b/>
                <w:noProof/>
                <w:color w:val="000000"/>
              </w:rPr>
              <w:t>2002</w:t>
            </w:r>
          </w:p>
        </w:tc>
      </w:tr>
      <w:tr w:rsidR="00000000">
        <w:tblPrEx>
          <w:tblCellMar>
            <w:top w:w="0" w:type="dxa"/>
            <w:bottom w:w="0" w:type="dxa"/>
          </w:tblCellMar>
        </w:tblPrEx>
        <w:trPr>
          <w:jc w:val="center"/>
        </w:trPr>
        <w:tc>
          <w:tcPr>
            <w:tcW w:w="1732" w:type="dxa"/>
          </w:tcPr>
          <w:p w:rsidR="00000000" w:rsidRDefault="00000000">
            <w:pPr>
              <w:keepNext/>
              <w:keepLines/>
              <w:rPr>
                <w:bCs/>
                <w:noProof/>
                <w:color w:val="000000"/>
              </w:rPr>
            </w:pPr>
            <w:r>
              <w:rPr>
                <w:bCs/>
                <w:noProof/>
                <w:color w:val="000000"/>
              </w:rPr>
              <w:t>Escuelas</w:t>
            </w:r>
          </w:p>
        </w:tc>
        <w:tc>
          <w:tcPr>
            <w:tcW w:w="1384" w:type="dxa"/>
          </w:tcPr>
          <w:p w:rsidR="00000000" w:rsidRDefault="00000000">
            <w:pPr>
              <w:keepNext/>
              <w:keepLines/>
              <w:tabs>
                <w:tab w:val="decimal" w:pos="909"/>
              </w:tabs>
              <w:rPr>
                <w:bCs/>
                <w:noProof/>
                <w:color w:val="000000"/>
              </w:rPr>
            </w:pPr>
            <w:r>
              <w:rPr>
                <w:bCs/>
                <w:noProof/>
                <w:color w:val="000000"/>
              </w:rPr>
              <w:t>3.299</w:t>
            </w:r>
          </w:p>
        </w:tc>
        <w:tc>
          <w:tcPr>
            <w:tcW w:w="1558" w:type="dxa"/>
          </w:tcPr>
          <w:p w:rsidR="00000000" w:rsidRDefault="00000000">
            <w:pPr>
              <w:keepNext/>
              <w:keepLines/>
              <w:tabs>
                <w:tab w:val="decimal" w:pos="965"/>
              </w:tabs>
              <w:rPr>
                <w:bCs/>
                <w:noProof/>
                <w:color w:val="000000"/>
              </w:rPr>
            </w:pPr>
            <w:r>
              <w:rPr>
                <w:bCs/>
                <w:noProof/>
                <w:color w:val="000000"/>
              </w:rPr>
              <w:t>3.302</w:t>
            </w:r>
          </w:p>
        </w:tc>
        <w:tc>
          <w:tcPr>
            <w:tcW w:w="1558" w:type="dxa"/>
          </w:tcPr>
          <w:p w:rsidR="00000000" w:rsidRDefault="00000000">
            <w:pPr>
              <w:keepNext/>
              <w:keepLines/>
              <w:tabs>
                <w:tab w:val="decimal" w:pos="1030"/>
              </w:tabs>
              <w:rPr>
                <w:bCs/>
                <w:noProof/>
                <w:color w:val="000000"/>
              </w:rPr>
            </w:pPr>
            <w:r>
              <w:rPr>
                <w:bCs/>
                <w:noProof/>
                <w:color w:val="000000"/>
              </w:rPr>
              <w:t>3.626</w:t>
            </w:r>
          </w:p>
        </w:tc>
        <w:tc>
          <w:tcPr>
            <w:tcW w:w="1558" w:type="dxa"/>
          </w:tcPr>
          <w:p w:rsidR="00000000" w:rsidRDefault="00000000">
            <w:pPr>
              <w:keepNext/>
              <w:keepLines/>
              <w:tabs>
                <w:tab w:val="decimal" w:pos="1026"/>
              </w:tabs>
              <w:rPr>
                <w:bCs/>
                <w:noProof/>
                <w:color w:val="000000"/>
              </w:rPr>
            </w:pPr>
            <w:r>
              <w:rPr>
                <w:bCs/>
                <w:noProof/>
                <w:color w:val="000000"/>
              </w:rPr>
              <w:t>3.626</w:t>
            </w:r>
          </w:p>
        </w:tc>
        <w:tc>
          <w:tcPr>
            <w:tcW w:w="1566" w:type="dxa"/>
          </w:tcPr>
          <w:p w:rsidR="00000000" w:rsidRDefault="00000000">
            <w:pPr>
              <w:keepNext/>
              <w:keepLines/>
              <w:tabs>
                <w:tab w:val="decimal" w:pos="1022"/>
              </w:tabs>
              <w:rPr>
                <w:bCs/>
                <w:noProof/>
                <w:color w:val="000000"/>
              </w:rPr>
            </w:pPr>
            <w:r>
              <w:rPr>
                <w:bCs/>
                <w:noProof/>
                <w:color w:val="000000"/>
              </w:rPr>
              <w:t>3.487</w:t>
            </w:r>
          </w:p>
        </w:tc>
      </w:tr>
      <w:tr w:rsidR="00000000">
        <w:tblPrEx>
          <w:tblCellMar>
            <w:top w:w="0" w:type="dxa"/>
            <w:bottom w:w="0" w:type="dxa"/>
          </w:tblCellMar>
        </w:tblPrEx>
        <w:trPr>
          <w:jc w:val="center"/>
        </w:trPr>
        <w:tc>
          <w:tcPr>
            <w:tcW w:w="1732" w:type="dxa"/>
          </w:tcPr>
          <w:p w:rsidR="00000000" w:rsidRDefault="00000000">
            <w:pPr>
              <w:keepNext/>
              <w:keepLines/>
              <w:rPr>
                <w:bCs/>
                <w:noProof/>
                <w:color w:val="000000"/>
              </w:rPr>
            </w:pPr>
            <w:r>
              <w:rPr>
                <w:bCs/>
                <w:noProof/>
                <w:color w:val="000000"/>
              </w:rPr>
              <w:t>Microcentro</w:t>
            </w:r>
          </w:p>
        </w:tc>
        <w:tc>
          <w:tcPr>
            <w:tcW w:w="1384" w:type="dxa"/>
          </w:tcPr>
          <w:p w:rsidR="00000000" w:rsidRDefault="00000000">
            <w:pPr>
              <w:keepNext/>
              <w:keepLines/>
              <w:tabs>
                <w:tab w:val="decimal" w:pos="909"/>
              </w:tabs>
              <w:rPr>
                <w:bCs/>
                <w:noProof/>
                <w:color w:val="000000"/>
              </w:rPr>
            </w:pPr>
            <w:r>
              <w:rPr>
                <w:bCs/>
                <w:noProof/>
                <w:color w:val="000000"/>
              </w:rPr>
              <w:t>510</w:t>
            </w:r>
          </w:p>
        </w:tc>
        <w:tc>
          <w:tcPr>
            <w:tcW w:w="1558" w:type="dxa"/>
          </w:tcPr>
          <w:p w:rsidR="00000000" w:rsidRDefault="00000000">
            <w:pPr>
              <w:keepNext/>
              <w:keepLines/>
              <w:tabs>
                <w:tab w:val="decimal" w:pos="965"/>
              </w:tabs>
              <w:rPr>
                <w:bCs/>
                <w:noProof/>
                <w:color w:val="000000"/>
              </w:rPr>
            </w:pPr>
            <w:r>
              <w:rPr>
                <w:bCs/>
                <w:noProof/>
                <w:color w:val="000000"/>
              </w:rPr>
              <w:t>517</w:t>
            </w:r>
          </w:p>
        </w:tc>
        <w:tc>
          <w:tcPr>
            <w:tcW w:w="1558" w:type="dxa"/>
          </w:tcPr>
          <w:p w:rsidR="00000000" w:rsidRDefault="00000000">
            <w:pPr>
              <w:keepNext/>
              <w:keepLines/>
              <w:tabs>
                <w:tab w:val="decimal" w:pos="1030"/>
              </w:tabs>
              <w:rPr>
                <w:bCs/>
                <w:noProof/>
                <w:color w:val="000000"/>
              </w:rPr>
            </w:pPr>
            <w:r>
              <w:rPr>
                <w:bCs/>
                <w:noProof/>
                <w:color w:val="000000"/>
              </w:rPr>
              <w:t>597</w:t>
            </w:r>
          </w:p>
        </w:tc>
        <w:tc>
          <w:tcPr>
            <w:tcW w:w="1558" w:type="dxa"/>
          </w:tcPr>
          <w:p w:rsidR="00000000" w:rsidRDefault="00000000">
            <w:pPr>
              <w:keepNext/>
              <w:keepLines/>
              <w:tabs>
                <w:tab w:val="decimal" w:pos="1026"/>
              </w:tabs>
              <w:rPr>
                <w:bCs/>
                <w:noProof/>
                <w:color w:val="000000"/>
              </w:rPr>
            </w:pPr>
            <w:r>
              <w:rPr>
                <w:bCs/>
                <w:noProof/>
                <w:color w:val="000000"/>
              </w:rPr>
              <w:t>597</w:t>
            </w:r>
          </w:p>
        </w:tc>
        <w:tc>
          <w:tcPr>
            <w:tcW w:w="1566" w:type="dxa"/>
          </w:tcPr>
          <w:p w:rsidR="00000000" w:rsidRDefault="00000000">
            <w:pPr>
              <w:keepNext/>
              <w:keepLines/>
              <w:tabs>
                <w:tab w:val="decimal" w:pos="1022"/>
              </w:tabs>
              <w:rPr>
                <w:bCs/>
                <w:noProof/>
                <w:color w:val="000000"/>
              </w:rPr>
            </w:pPr>
            <w:r>
              <w:rPr>
                <w:bCs/>
                <w:noProof/>
                <w:color w:val="000000"/>
              </w:rPr>
              <w:t>655</w:t>
            </w:r>
          </w:p>
        </w:tc>
      </w:tr>
      <w:tr w:rsidR="00000000">
        <w:tblPrEx>
          <w:tblCellMar>
            <w:top w:w="0" w:type="dxa"/>
            <w:bottom w:w="0" w:type="dxa"/>
          </w:tblCellMar>
        </w:tblPrEx>
        <w:trPr>
          <w:jc w:val="center"/>
        </w:trPr>
        <w:tc>
          <w:tcPr>
            <w:tcW w:w="1732" w:type="dxa"/>
          </w:tcPr>
          <w:p w:rsidR="00000000" w:rsidRDefault="00000000">
            <w:pPr>
              <w:keepNext/>
              <w:keepLines/>
              <w:rPr>
                <w:bCs/>
                <w:noProof/>
                <w:color w:val="000000"/>
              </w:rPr>
            </w:pPr>
            <w:r>
              <w:rPr>
                <w:bCs/>
                <w:noProof/>
                <w:color w:val="000000"/>
              </w:rPr>
              <w:t>Profesores</w:t>
            </w:r>
          </w:p>
        </w:tc>
        <w:tc>
          <w:tcPr>
            <w:tcW w:w="1384" w:type="dxa"/>
          </w:tcPr>
          <w:p w:rsidR="00000000" w:rsidRDefault="00000000">
            <w:pPr>
              <w:keepNext/>
              <w:keepLines/>
              <w:tabs>
                <w:tab w:val="decimal" w:pos="909"/>
              </w:tabs>
              <w:rPr>
                <w:bCs/>
                <w:noProof/>
                <w:color w:val="000000"/>
              </w:rPr>
            </w:pPr>
            <w:r>
              <w:rPr>
                <w:bCs/>
                <w:noProof/>
                <w:color w:val="000000"/>
              </w:rPr>
              <w:t>5.058</w:t>
            </w:r>
          </w:p>
        </w:tc>
        <w:tc>
          <w:tcPr>
            <w:tcW w:w="1558" w:type="dxa"/>
          </w:tcPr>
          <w:p w:rsidR="00000000" w:rsidRDefault="00000000">
            <w:pPr>
              <w:keepNext/>
              <w:keepLines/>
              <w:tabs>
                <w:tab w:val="decimal" w:pos="965"/>
              </w:tabs>
              <w:rPr>
                <w:bCs/>
                <w:noProof/>
                <w:color w:val="000000"/>
              </w:rPr>
            </w:pPr>
            <w:r>
              <w:rPr>
                <w:bCs/>
                <w:noProof/>
                <w:color w:val="000000"/>
              </w:rPr>
              <w:t>5.068</w:t>
            </w:r>
          </w:p>
        </w:tc>
        <w:tc>
          <w:tcPr>
            <w:tcW w:w="1558" w:type="dxa"/>
          </w:tcPr>
          <w:p w:rsidR="00000000" w:rsidRDefault="00000000">
            <w:pPr>
              <w:keepNext/>
              <w:keepLines/>
              <w:tabs>
                <w:tab w:val="decimal" w:pos="1030"/>
              </w:tabs>
              <w:rPr>
                <w:bCs/>
                <w:noProof/>
                <w:color w:val="000000"/>
              </w:rPr>
            </w:pPr>
            <w:r>
              <w:rPr>
                <w:bCs/>
                <w:noProof/>
                <w:color w:val="000000"/>
              </w:rPr>
              <w:t>8.096</w:t>
            </w:r>
          </w:p>
        </w:tc>
        <w:tc>
          <w:tcPr>
            <w:tcW w:w="1558" w:type="dxa"/>
          </w:tcPr>
          <w:p w:rsidR="00000000" w:rsidRDefault="00000000">
            <w:pPr>
              <w:keepNext/>
              <w:keepLines/>
              <w:tabs>
                <w:tab w:val="decimal" w:pos="1026"/>
              </w:tabs>
              <w:rPr>
                <w:bCs/>
                <w:noProof/>
                <w:color w:val="000000"/>
              </w:rPr>
            </w:pPr>
            <w:r>
              <w:rPr>
                <w:bCs/>
                <w:noProof/>
                <w:color w:val="000000"/>
              </w:rPr>
              <w:t>8.096</w:t>
            </w:r>
          </w:p>
        </w:tc>
        <w:tc>
          <w:tcPr>
            <w:tcW w:w="1566" w:type="dxa"/>
          </w:tcPr>
          <w:p w:rsidR="00000000" w:rsidRDefault="00000000">
            <w:pPr>
              <w:keepNext/>
              <w:keepLines/>
              <w:tabs>
                <w:tab w:val="decimal" w:pos="1022"/>
              </w:tabs>
              <w:rPr>
                <w:bCs/>
                <w:noProof/>
                <w:color w:val="000000"/>
              </w:rPr>
            </w:pPr>
            <w:r>
              <w:rPr>
                <w:bCs/>
                <w:noProof/>
                <w:color w:val="000000"/>
              </w:rPr>
              <w:t>7.788</w:t>
            </w:r>
          </w:p>
        </w:tc>
      </w:tr>
      <w:tr w:rsidR="00000000">
        <w:tblPrEx>
          <w:tblCellMar>
            <w:top w:w="0" w:type="dxa"/>
            <w:bottom w:w="0" w:type="dxa"/>
          </w:tblCellMar>
        </w:tblPrEx>
        <w:trPr>
          <w:jc w:val="center"/>
        </w:trPr>
        <w:tc>
          <w:tcPr>
            <w:tcW w:w="1732" w:type="dxa"/>
          </w:tcPr>
          <w:p w:rsidR="00000000" w:rsidRDefault="00000000">
            <w:pPr>
              <w:keepNext/>
              <w:keepLines/>
              <w:rPr>
                <w:bCs/>
                <w:noProof/>
                <w:color w:val="000000"/>
              </w:rPr>
            </w:pPr>
            <w:r>
              <w:rPr>
                <w:bCs/>
                <w:noProof/>
                <w:color w:val="000000"/>
              </w:rPr>
              <w:t>Alumnos</w:t>
            </w:r>
          </w:p>
        </w:tc>
        <w:tc>
          <w:tcPr>
            <w:tcW w:w="1384" w:type="dxa"/>
          </w:tcPr>
          <w:p w:rsidR="00000000" w:rsidRDefault="00000000">
            <w:pPr>
              <w:keepNext/>
              <w:keepLines/>
              <w:tabs>
                <w:tab w:val="decimal" w:pos="909"/>
              </w:tabs>
              <w:rPr>
                <w:bCs/>
                <w:noProof/>
                <w:color w:val="000000"/>
              </w:rPr>
            </w:pPr>
            <w:r>
              <w:rPr>
                <w:bCs/>
                <w:noProof/>
                <w:color w:val="000000"/>
              </w:rPr>
              <w:t>96.346</w:t>
            </w:r>
          </w:p>
        </w:tc>
        <w:tc>
          <w:tcPr>
            <w:tcW w:w="1558" w:type="dxa"/>
          </w:tcPr>
          <w:p w:rsidR="00000000" w:rsidRDefault="00000000">
            <w:pPr>
              <w:keepNext/>
              <w:keepLines/>
              <w:tabs>
                <w:tab w:val="decimal" w:pos="965"/>
              </w:tabs>
              <w:rPr>
                <w:bCs/>
                <w:noProof/>
                <w:color w:val="000000"/>
              </w:rPr>
            </w:pPr>
            <w:r>
              <w:rPr>
                <w:bCs/>
                <w:noProof/>
                <w:color w:val="000000"/>
              </w:rPr>
              <w:t>96.446</w:t>
            </w:r>
          </w:p>
        </w:tc>
        <w:tc>
          <w:tcPr>
            <w:tcW w:w="1558" w:type="dxa"/>
          </w:tcPr>
          <w:p w:rsidR="00000000" w:rsidRDefault="00000000">
            <w:pPr>
              <w:keepNext/>
              <w:keepLines/>
              <w:tabs>
                <w:tab w:val="decimal" w:pos="1030"/>
              </w:tabs>
              <w:rPr>
                <w:bCs/>
                <w:noProof/>
                <w:color w:val="000000"/>
              </w:rPr>
            </w:pPr>
            <w:r>
              <w:rPr>
                <w:bCs/>
                <w:noProof/>
                <w:color w:val="000000"/>
              </w:rPr>
              <w:t>129.742</w:t>
            </w:r>
          </w:p>
        </w:tc>
        <w:tc>
          <w:tcPr>
            <w:tcW w:w="1558" w:type="dxa"/>
          </w:tcPr>
          <w:p w:rsidR="00000000" w:rsidRDefault="00000000">
            <w:pPr>
              <w:keepNext/>
              <w:keepLines/>
              <w:tabs>
                <w:tab w:val="decimal" w:pos="1026"/>
              </w:tabs>
              <w:rPr>
                <w:bCs/>
                <w:noProof/>
                <w:color w:val="000000"/>
              </w:rPr>
            </w:pPr>
            <w:r>
              <w:rPr>
                <w:bCs/>
                <w:noProof/>
                <w:color w:val="000000"/>
              </w:rPr>
              <w:t>129.742</w:t>
            </w:r>
          </w:p>
        </w:tc>
        <w:tc>
          <w:tcPr>
            <w:tcW w:w="1566" w:type="dxa"/>
          </w:tcPr>
          <w:p w:rsidR="00000000" w:rsidRDefault="00000000">
            <w:pPr>
              <w:keepNext/>
              <w:keepLines/>
              <w:tabs>
                <w:tab w:val="decimal" w:pos="1022"/>
              </w:tabs>
              <w:rPr>
                <w:bCs/>
                <w:noProof/>
                <w:color w:val="000000"/>
              </w:rPr>
            </w:pPr>
            <w:r>
              <w:rPr>
                <w:bCs/>
                <w:noProof/>
                <w:color w:val="000000"/>
              </w:rPr>
              <w:t>119.417</w:t>
            </w:r>
          </w:p>
        </w:tc>
      </w:tr>
    </w:tbl>
    <w:p w:rsidR="00000000" w:rsidRDefault="00000000">
      <w:pPr>
        <w:spacing w:before="240" w:after="360"/>
        <w:rPr>
          <w:bCs/>
          <w:noProof/>
          <w:color w:val="000000"/>
        </w:rPr>
      </w:pPr>
      <w:r>
        <w:rPr>
          <w:bCs/>
          <w:i/>
          <w:iCs/>
          <w:noProof/>
          <w:color w:val="000000"/>
        </w:rPr>
        <w:t>Fuente</w:t>
      </w:r>
      <w:r>
        <w:rPr>
          <w:bCs/>
          <w:noProof/>
          <w:color w:val="000000"/>
        </w:rPr>
        <w:t>:  MINEDUC, 2003.</w:t>
      </w:r>
    </w:p>
    <w:p w:rsidR="00000000" w:rsidRDefault="00000000">
      <w:pPr>
        <w:spacing w:after="200"/>
        <w:ind w:left="-6" w:firstLine="6"/>
        <w:jc w:val="center"/>
        <w:outlineLvl w:val="0"/>
        <w:rPr>
          <w:b/>
          <w:noProof/>
        </w:rPr>
      </w:pPr>
      <w:r>
        <w:rPr>
          <w:b/>
          <w:noProof/>
        </w:rPr>
        <w:t>Cuadro 46</w:t>
      </w:r>
    </w:p>
    <w:p w:rsidR="00000000" w:rsidRDefault="00000000">
      <w:pPr>
        <w:pStyle w:val="Heading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pacing w:after="200"/>
        <w:ind w:left="-6" w:firstLine="6"/>
        <w:rPr>
          <w:rFonts w:ascii="Times New Roman" w:hAnsi="Times New Roman"/>
          <w:b w:val="0"/>
          <w:bCs/>
          <w:lang w:val="es-ES"/>
        </w:rPr>
      </w:pPr>
      <w:r>
        <w:rPr>
          <w:rFonts w:ascii="Times New Roman" w:hAnsi="Times New Roman"/>
          <w:lang w:val="es-ES"/>
        </w:rPr>
        <w:t>Matrícula total 1997-2003 por año y región</w:t>
      </w:r>
    </w:p>
    <w:tbl>
      <w:tblPr>
        <w:tblW w:w="960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1372"/>
        <w:gridCol w:w="1372"/>
        <w:gridCol w:w="1372"/>
        <w:gridCol w:w="1371"/>
        <w:gridCol w:w="1371"/>
        <w:gridCol w:w="1371"/>
        <w:gridCol w:w="1371"/>
      </w:tblGrid>
      <w:tr w:rsidR="00000000">
        <w:tblPrEx>
          <w:tblCellMar>
            <w:top w:w="0" w:type="dxa"/>
            <w:bottom w:w="0" w:type="dxa"/>
          </w:tblCellMar>
        </w:tblPrEx>
        <w:trPr>
          <w:trHeight w:val="20"/>
          <w:jc w:val="center"/>
        </w:trPr>
        <w:tc>
          <w:tcPr>
            <w:tcW w:w="1372" w:type="dxa"/>
            <w:vAlign w:val="center"/>
          </w:tcPr>
          <w:p w:rsidR="00000000" w:rsidRDefault="00000000">
            <w:pPr>
              <w:ind w:firstLine="4"/>
              <w:jc w:val="center"/>
              <w:rPr>
                <w:b/>
                <w:noProof/>
                <w:color w:val="000000"/>
              </w:rPr>
            </w:pPr>
            <w:r>
              <w:rPr>
                <w:b/>
                <w:noProof/>
                <w:color w:val="000000"/>
              </w:rPr>
              <w:t>Región</w:t>
            </w:r>
          </w:p>
        </w:tc>
        <w:tc>
          <w:tcPr>
            <w:tcW w:w="1372" w:type="dxa"/>
            <w:vAlign w:val="center"/>
          </w:tcPr>
          <w:p w:rsidR="00000000" w:rsidRDefault="00000000">
            <w:pPr>
              <w:ind w:firstLine="4"/>
              <w:jc w:val="center"/>
              <w:rPr>
                <w:b/>
                <w:noProof/>
                <w:color w:val="000000"/>
              </w:rPr>
            </w:pPr>
            <w:r>
              <w:rPr>
                <w:b/>
                <w:noProof/>
                <w:color w:val="000000"/>
              </w:rPr>
              <w:t>1997</w:t>
            </w:r>
          </w:p>
        </w:tc>
        <w:tc>
          <w:tcPr>
            <w:tcW w:w="1372" w:type="dxa"/>
            <w:vAlign w:val="center"/>
          </w:tcPr>
          <w:p w:rsidR="00000000" w:rsidRDefault="00000000">
            <w:pPr>
              <w:ind w:firstLine="4"/>
              <w:jc w:val="center"/>
              <w:rPr>
                <w:b/>
                <w:noProof/>
                <w:color w:val="000000"/>
              </w:rPr>
            </w:pPr>
            <w:r>
              <w:rPr>
                <w:b/>
                <w:noProof/>
                <w:color w:val="000000"/>
              </w:rPr>
              <w:t>1998</w:t>
            </w:r>
          </w:p>
        </w:tc>
        <w:tc>
          <w:tcPr>
            <w:tcW w:w="1372" w:type="dxa"/>
            <w:vAlign w:val="center"/>
          </w:tcPr>
          <w:p w:rsidR="00000000" w:rsidRDefault="00000000">
            <w:pPr>
              <w:ind w:firstLine="4"/>
              <w:jc w:val="center"/>
              <w:rPr>
                <w:b/>
                <w:noProof/>
                <w:color w:val="000000"/>
              </w:rPr>
            </w:pPr>
            <w:r>
              <w:rPr>
                <w:b/>
                <w:noProof/>
                <w:color w:val="000000"/>
              </w:rPr>
              <w:t>1999</w:t>
            </w:r>
          </w:p>
        </w:tc>
        <w:tc>
          <w:tcPr>
            <w:tcW w:w="1372" w:type="dxa"/>
            <w:vAlign w:val="center"/>
          </w:tcPr>
          <w:p w:rsidR="00000000" w:rsidRDefault="00000000">
            <w:pPr>
              <w:ind w:firstLine="4"/>
              <w:jc w:val="center"/>
              <w:rPr>
                <w:b/>
                <w:noProof/>
                <w:color w:val="000000"/>
              </w:rPr>
            </w:pPr>
            <w:r>
              <w:rPr>
                <w:b/>
                <w:noProof/>
                <w:color w:val="000000"/>
              </w:rPr>
              <w:t>2000</w:t>
            </w:r>
          </w:p>
        </w:tc>
        <w:tc>
          <w:tcPr>
            <w:tcW w:w="1372" w:type="dxa"/>
            <w:vAlign w:val="center"/>
          </w:tcPr>
          <w:p w:rsidR="00000000" w:rsidRDefault="00000000">
            <w:pPr>
              <w:ind w:firstLine="4"/>
              <w:jc w:val="center"/>
              <w:rPr>
                <w:b/>
                <w:noProof/>
                <w:color w:val="000000"/>
              </w:rPr>
            </w:pPr>
            <w:r>
              <w:rPr>
                <w:b/>
                <w:noProof/>
                <w:color w:val="000000"/>
              </w:rPr>
              <w:t>2001</w:t>
            </w:r>
          </w:p>
        </w:tc>
        <w:tc>
          <w:tcPr>
            <w:tcW w:w="1372" w:type="dxa"/>
            <w:vAlign w:val="center"/>
          </w:tcPr>
          <w:p w:rsidR="00000000" w:rsidRDefault="00000000">
            <w:pPr>
              <w:jc w:val="center"/>
              <w:rPr>
                <w:b/>
                <w:noProof/>
                <w:color w:val="000000"/>
              </w:rPr>
            </w:pPr>
            <w:r>
              <w:rPr>
                <w:b/>
                <w:noProof/>
                <w:color w:val="000000"/>
              </w:rPr>
              <w:t>2003</w:t>
            </w:r>
          </w:p>
        </w:tc>
      </w:tr>
      <w:tr w:rsidR="00000000">
        <w:tblPrEx>
          <w:tblCellMar>
            <w:top w:w="0" w:type="dxa"/>
            <w:bottom w:w="0" w:type="dxa"/>
          </w:tblCellMar>
        </w:tblPrEx>
        <w:trPr>
          <w:trHeight w:val="20"/>
          <w:jc w:val="center"/>
        </w:trPr>
        <w:tc>
          <w:tcPr>
            <w:tcW w:w="1372" w:type="dxa"/>
            <w:vAlign w:val="center"/>
          </w:tcPr>
          <w:p w:rsidR="00000000" w:rsidRDefault="00000000">
            <w:pPr>
              <w:ind w:firstLine="4"/>
              <w:rPr>
                <w:bCs/>
                <w:noProof/>
                <w:color w:val="000000"/>
              </w:rPr>
            </w:pPr>
            <w:r>
              <w:rPr>
                <w:bCs/>
                <w:noProof/>
                <w:color w:val="000000"/>
              </w:rPr>
              <w:t>I</w:t>
            </w:r>
          </w:p>
        </w:tc>
        <w:tc>
          <w:tcPr>
            <w:tcW w:w="1372" w:type="dxa"/>
            <w:vAlign w:val="center"/>
          </w:tcPr>
          <w:p w:rsidR="00000000" w:rsidRDefault="00000000">
            <w:pPr>
              <w:tabs>
                <w:tab w:val="decimal" w:pos="1025"/>
              </w:tabs>
              <w:ind w:firstLine="4"/>
              <w:rPr>
                <w:bCs/>
                <w:noProof/>
                <w:color w:val="000000"/>
              </w:rPr>
            </w:pPr>
            <w:r>
              <w:rPr>
                <w:bCs/>
                <w:noProof/>
                <w:color w:val="000000"/>
              </w:rPr>
              <w:t>95.443</w:t>
            </w:r>
          </w:p>
        </w:tc>
        <w:tc>
          <w:tcPr>
            <w:tcW w:w="1372" w:type="dxa"/>
            <w:vAlign w:val="center"/>
          </w:tcPr>
          <w:p w:rsidR="00000000" w:rsidRDefault="00000000">
            <w:pPr>
              <w:tabs>
                <w:tab w:val="decimal" w:pos="1025"/>
              </w:tabs>
              <w:ind w:firstLine="4"/>
              <w:rPr>
                <w:bCs/>
                <w:noProof/>
                <w:color w:val="000000"/>
              </w:rPr>
            </w:pPr>
            <w:r>
              <w:rPr>
                <w:bCs/>
                <w:noProof/>
                <w:color w:val="000000"/>
              </w:rPr>
              <w:t>98.984</w:t>
            </w:r>
          </w:p>
        </w:tc>
        <w:tc>
          <w:tcPr>
            <w:tcW w:w="1372" w:type="dxa"/>
            <w:vAlign w:val="center"/>
          </w:tcPr>
          <w:p w:rsidR="00000000" w:rsidRDefault="00000000">
            <w:pPr>
              <w:tabs>
                <w:tab w:val="decimal" w:pos="1025"/>
              </w:tabs>
              <w:ind w:firstLine="4"/>
              <w:rPr>
                <w:bCs/>
                <w:noProof/>
                <w:color w:val="000000"/>
              </w:rPr>
            </w:pPr>
            <w:r>
              <w:rPr>
                <w:bCs/>
                <w:noProof/>
                <w:color w:val="000000"/>
              </w:rPr>
              <w:t>100.330</w:t>
            </w:r>
          </w:p>
        </w:tc>
        <w:tc>
          <w:tcPr>
            <w:tcW w:w="1372" w:type="dxa"/>
            <w:vAlign w:val="center"/>
          </w:tcPr>
          <w:p w:rsidR="00000000" w:rsidRDefault="00000000">
            <w:pPr>
              <w:tabs>
                <w:tab w:val="decimal" w:pos="1011"/>
              </w:tabs>
              <w:ind w:firstLine="4"/>
              <w:rPr>
                <w:bCs/>
                <w:noProof/>
                <w:color w:val="000000"/>
              </w:rPr>
            </w:pPr>
            <w:r>
              <w:rPr>
                <w:bCs/>
                <w:noProof/>
                <w:color w:val="000000"/>
              </w:rPr>
              <w:t>102.236</w:t>
            </w:r>
          </w:p>
        </w:tc>
        <w:tc>
          <w:tcPr>
            <w:tcW w:w="1372" w:type="dxa"/>
            <w:vAlign w:val="center"/>
          </w:tcPr>
          <w:p w:rsidR="00000000" w:rsidRDefault="00000000">
            <w:pPr>
              <w:tabs>
                <w:tab w:val="decimal" w:pos="1012"/>
              </w:tabs>
              <w:ind w:firstLine="4"/>
              <w:rPr>
                <w:bCs/>
                <w:noProof/>
                <w:color w:val="000000"/>
              </w:rPr>
            </w:pPr>
            <w:r>
              <w:rPr>
                <w:bCs/>
                <w:noProof/>
                <w:color w:val="000000"/>
              </w:rPr>
              <w:t>103.904</w:t>
            </w:r>
          </w:p>
        </w:tc>
        <w:tc>
          <w:tcPr>
            <w:tcW w:w="1372" w:type="dxa"/>
            <w:vAlign w:val="center"/>
          </w:tcPr>
          <w:p w:rsidR="00000000" w:rsidRDefault="00000000">
            <w:pPr>
              <w:tabs>
                <w:tab w:val="decimal" w:pos="1013"/>
              </w:tabs>
              <w:rPr>
                <w:bCs/>
                <w:noProof/>
                <w:color w:val="000000"/>
              </w:rPr>
            </w:pPr>
            <w:r>
              <w:rPr>
                <w:bCs/>
                <w:noProof/>
                <w:color w:val="000000"/>
              </w:rPr>
              <w:t>108.895</w:t>
            </w:r>
          </w:p>
        </w:tc>
      </w:tr>
      <w:tr w:rsidR="00000000">
        <w:tblPrEx>
          <w:tblCellMar>
            <w:top w:w="0" w:type="dxa"/>
            <w:bottom w:w="0" w:type="dxa"/>
          </w:tblCellMar>
        </w:tblPrEx>
        <w:trPr>
          <w:trHeight w:val="20"/>
          <w:jc w:val="center"/>
        </w:trPr>
        <w:tc>
          <w:tcPr>
            <w:tcW w:w="1372" w:type="dxa"/>
            <w:vAlign w:val="center"/>
          </w:tcPr>
          <w:p w:rsidR="00000000" w:rsidRDefault="00000000">
            <w:pPr>
              <w:ind w:firstLine="4"/>
              <w:rPr>
                <w:bCs/>
                <w:noProof/>
                <w:color w:val="000000"/>
              </w:rPr>
            </w:pPr>
            <w:r>
              <w:rPr>
                <w:bCs/>
                <w:noProof/>
                <w:color w:val="000000"/>
              </w:rPr>
              <w:t>II</w:t>
            </w:r>
          </w:p>
        </w:tc>
        <w:tc>
          <w:tcPr>
            <w:tcW w:w="1372" w:type="dxa"/>
            <w:vAlign w:val="center"/>
          </w:tcPr>
          <w:p w:rsidR="00000000" w:rsidRDefault="00000000">
            <w:pPr>
              <w:tabs>
                <w:tab w:val="decimal" w:pos="1025"/>
              </w:tabs>
              <w:ind w:firstLine="4"/>
              <w:rPr>
                <w:bCs/>
                <w:noProof/>
                <w:color w:val="000000"/>
              </w:rPr>
            </w:pPr>
            <w:r>
              <w:rPr>
                <w:bCs/>
                <w:noProof/>
                <w:color w:val="000000"/>
              </w:rPr>
              <w:t>108.231</w:t>
            </w:r>
          </w:p>
        </w:tc>
        <w:tc>
          <w:tcPr>
            <w:tcW w:w="1372" w:type="dxa"/>
            <w:vAlign w:val="center"/>
          </w:tcPr>
          <w:p w:rsidR="00000000" w:rsidRDefault="00000000">
            <w:pPr>
              <w:tabs>
                <w:tab w:val="decimal" w:pos="1025"/>
              </w:tabs>
              <w:ind w:firstLine="4"/>
              <w:rPr>
                <w:bCs/>
                <w:noProof/>
                <w:color w:val="000000"/>
              </w:rPr>
            </w:pPr>
            <w:r>
              <w:rPr>
                <w:bCs/>
                <w:noProof/>
                <w:color w:val="000000"/>
              </w:rPr>
              <w:t>111.325</w:t>
            </w:r>
          </w:p>
        </w:tc>
        <w:tc>
          <w:tcPr>
            <w:tcW w:w="1372" w:type="dxa"/>
            <w:vAlign w:val="center"/>
          </w:tcPr>
          <w:p w:rsidR="00000000" w:rsidRDefault="00000000">
            <w:pPr>
              <w:tabs>
                <w:tab w:val="decimal" w:pos="1025"/>
              </w:tabs>
              <w:ind w:firstLine="4"/>
              <w:rPr>
                <w:bCs/>
                <w:noProof/>
                <w:color w:val="000000"/>
              </w:rPr>
            </w:pPr>
            <w:r>
              <w:rPr>
                <w:bCs/>
                <w:noProof/>
                <w:color w:val="000000"/>
              </w:rPr>
              <w:t>113.175</w:t>
            </w:r>
          </w:p>
        </w:tc>
        <w:tc>
          <w:tcPr>
            <w:tcW w:w="1372" w:type="dxa"/>
            <w:vAlign w:val="center"/>
          </w:tcPr>
          <w:p w:rsidR="00000000" w:rsidRDefault="00000000">
            <w:pPr>
              <w:tabs>
                <w:tab w:val="decimal" w:pos="1011"/>
              </w:tabs>
              <w:ind w:firstLine="4"/>
              <w:rPr>
                <w:bCs/>
                <w:noProof/>
                <w:color w:val="000000"/>
              </w:rPr>
            </w:pPr>
            <w:r>
              <w:rPr>
                <w:bCs/>
                <w:noProof/>
                <w:color w:val="000000"/>
              </w:rPr>
              <w:t>116.198</w:t>
            </w:r>
          </w:p>
        </w:tc>
        <w:tc>
          <w:tcPr>
            <w:tcW w:w="1372" w:type="dxa"/>
            <w:vAlign w:val="center"/>
          </w:tcPr>
          <w:p w:rsidR="00000000" w:rsidRDefault="00000000">
            <w:pPr>
              <w:tabs>
                <w:tab w:val="decimal" w:pos="1012"/>
              </w:tabs>
              <w:ind w:firstLine="4"/>
              <w:rPr>
                <w:bCs/>
                <w:noProof/>
                <w:color w:val="000000"/>
              </w:rPr>
            </w:pPr>
            <w:r>
              <w:rPr>
                <w:bCs/>
                <w:noProof/>
                <w:color w:val="000000"/>
              </w:rPr>
              <w:t>118.925</w:t>
            </w:r>
          </w:p>
        </w:tc>
        <w:tc>
          <w:tcPr>
            <w:tcW w:w="1372" w:type="dxa"/>
            <w:vAlign w:val="center"/>
          </w:tcPr>
          <w:p w:rsidR="00000000" w:rsidRDefault="00000000">
            <w:pPr>
              <w:tabs>
                <w:tab w:val="decimal" w:pos="1013"/>
              </w:tabs>
              <w:rPr>
                <w:bCs/>
                <w:noProof/>
                <w:color w:val="000000"/>
              </w:rPr>
            </w:pPr>
            <w:r>
              <w:rPr>
                <w:bCs/>
                <w:noProof/>
                <w:color w:val="000000"/>
              </w:rPr>
              <w:t>124.602</w:t>
            </w:r>
          </w:p>
        </w:tc>
      </w:tr>
      <w:tr w:rsidR="00000000">
        <w:tblPrEx>
          <w:tblCellMar>
            <w:top w:w="0" w:type="dxa"/>
            <w:bottom w:w="0" w:type="dxa"/>
          </w:tblCellMar>
        </w:tblPrEx>
        <w:trPr>
          <w:trHeight w:val="20"/>
          <w:jc w:val="center"/>
        </w:trPr>
        <w:tc>
          <w:tcPr>
            <w:tcW w:w="1372" w:type="dxa"/>
            <w:vAlign w:val="center"/>
          </w:tcPr>
          <w:p w:rsidR="00000000" w:rsidRDefault="00000000">
            <w:pPr>
              <w:ind w:firstLine="4"/>
              <w:rPr>
                <w:bCs/>
                <w:noProof/>
                <w:color w:val="000000"/>
              </w:rPr>
            </w:pPr>
            <w:r>
              <w:rPr>
                <w:bCs/>
                <w:noProof/>
                <w:color w:val="000000"/>
              </w:rPr>
              <w:t>III</w:t>
            </w:r>
          </w:p>
        </w:tc>
        <w:tc>
          <w:tcPr>
            <w:tcW w:w="1372" w:type="dxa"/>
            <w:vAlign w:val="center"/>
          </w:tcPr>
          <w:p w:rsidR="00000000" w:rsidRDefault="00000000">
            <w:pPr>
              <w:tabs>
                <w:tab w:val="decimal" w:pos="1025"/>
              </w:tabs>
              <w:ind w:firstLine="4"/>
              <w:rPr>
                <w:bCs/>
                <w:noProof/>
                <w:color w:val="000000"/>
              </w:rPr>
            </w:pPr>
            <w:r>
              <w:rPr>
                <w:bCs/>
                <w:noProof/>
                <w:color w:val="000000"/>
              </w:rPr>
              <w:t>63.278</w:t>
            </w:r>
          </w:p>
        </w:tc>
        <w:tc>
          <w:tcPr>
            <w:tcW w:w="1372" w:type="dxa"/>
            <w:vAlign w:val="center"/>
          </w:tcPr>
          <w:p w:rsidR="00000000" w:rsidRDefault="00000000">
            <w:pPr>
              <w:tabs>
                <w:tab w:val="decimal" w:pos="1025"/>
              </w:tabs>
              <w:ind w:firstLine="4"/>
              <w:rPr>
                <w:bCs/>
                <w:noProof/>
                <w:color w:val="000000"/>
              </w:rPr>
            </w:pPr>
            <w:r>
              <w:rPr>
                <w:bCs/>
                <w:noProof/>
                <w:color w:val="000000"/>
              </w:rPr>
              <w:t>64.175</w:t>
            </w:r>
          </w:p>
        </w:tc>
        <w:tc>
          <w:tcPr>
            <w:tcW w:w="1372" w:type="dxa"/>
            <w:vAlign w:val="center"/>
          </w:tcPr>
          <w:p w:rsidR="00000000" w:rsidRDefault="00000000">
            <w:pPr>
              <w:tabs>
                <w:tab w:val="decimal" w:pos="1025"/>
              </w:tabs>
              <w:ind w:firstLine="4"/>
              <w:rPr>
                <w:bCs/>
                <w:noProof/>
                <w:color w:val="000000"/>
              </w:rPr>
            </w:pPr>
            <w:r>
              <w:rPr>
                <w:bCs/>
                <w:noProof/>
                <w:color w:val="000000"/>
              </w:rPr>
              <w:t>64.537</w:t>
            </w:r>
          </w:p>
        </w:tc>
        <w:tc>
          <w:tcPr>
            <w:tcW w:w="1372" w:type="dxa"/>
            <w:vAlign w:val="center"/>
          </w:tcPr>
          <w:p w:rsidR="00000000" w:rsidRDefault="00000000">
            <w:pPr>
              <w:tabs>
                <w:tab w:val="decimal" w:pos="1011"/>
              </w:tabs>
              <w:ind w:firstLine="4"/>
              <w:rPr>
                <w:bCs/>
                <w:noProof/>
                <w:color w:val="000000"/>
              </w:rPr>
            </w:pPr>
            <w:r>
              <w:rPr>
                <w:bCs/>
                <w:noProof/>
                <w:color w:val="000000"/>
              </w:rPr>
              <w:t>65.560</w:t>
            </w:r>
          </w:p>
        </w:tc>
        <w:tc>
          <w:tcPr>
            <w:tcW w:w="1372" w:type="dxa"/>
            <w:vAlign w:val="center"/>
          </w:tcPr>
          <w:p w:rsidR="00000000" w:rsidRDefault="00000000">
            <w:pPr>
              <w:tabs>
                <w:tab w:val="decimal" w:pos="1012"/>
              </w:tabs>
              <w:ind w:firstLine="4"/>
              <w:rPr>
                <w:bCs/>
                <w:noProof/>
                <w:color w:val="000000"/>
              </w:rPr>
            </w:pPr>
            <w:r>
              <w:rPr>
                <w:bCs/>
                <w:noProof/>
                <w:color w:val="000000"/>
              </w:rPr>
              <w:t>66.836</w:t>
            </w:r>
          </w:p>
        </w:tc>
        <w:tc>
          <w:tcPr>
            <w:tcW w:w="1372" w:type="dxa"/>
            <w:vAlign w:val="center"/>
          </w:tcPr>
          <w:p w:rsidR="00000000" w:rsidRDefault="00000000">
            <w:pPr>
              <w:tabs>
                <w:tab w:val="decimal" w:pos="1013"/>
              </w:tabs>
              <w:rPr>
                <w:bCs/>
                <w:noProof/>
                <w:color w:val="000000"/>
              </w:rPr>
            </w:pPr>
            <w:r>
              <w:rPr>
                <w:bCs/>
                <w:noProof/>
                <w:color w:val="000000"/>
              </w:rPr>
              <w:t>67.485</w:t>
            </w:r>
          </w:p>
        </w:tc>
      </w:tr>
      <w:tr w:rsidR="00000000">
        <w:tblPrEx>
          <w:tblCellMar>
            <w:top w:w="0" w:type="dxa"/>
            <w:bottom w:w="0" w:type="dxa"/>
          </w:tblCellMar>
        </w:tblPrEx>
        <w:trPr>
          <w:trHeight w:val="20"/>
          <w:jc w:val="center"/>
        </w:trPr>
        <w:tc>
          <w:tcPr>
            <w:tcW w:w="1372" w:type="dxa"/>
            <w:vAlign w:val="center"/>
          </w:tcPr>
          <w:p w:rsidR="00000000" w:rsidRDefault="00000000">
            <w:pPr>
              <w:ind w:firstLine="4"/>
              <w:rPr>
                <w:bCs/>
                <w:noProof/>
                <w:color w:val="000000"/>
              </w:rPr>
            </w:pPr>
            <w:r>
              <w:rPr>
                <w:bCs/>
                <w:noProof/>
                <w:color w:val="000000"/>
              </w:rPr>
              <w:t>IV</w:t>
            </w:r>
          </w:p>
        </w:tc>
        <w:tc>
          <w:tcPr>
            <w:tcW w:w="1372" w:type="dxa"/>
            <w:vAlign w:val="center"/>
          </w:tcPr>
          <w:p w:rsidR="00000000" w:rsidRDefault="00000000">
            <w:pPr>
              <w:tabs>
                <w:tab w:val="decimal" w:pos="1025"/>
              </w:tabs>
              <w:ind w:firstLine="4"/>
              <w:rPr>
                <w:bCs/>
                <w:noProof/>
                <w:color w:val="000000"/>
              </w:rPr>
            </w:pPr>
            <w:r>
              <w:rPr>
                <w:bCs/>
                <w:noProof/>
                <w:color w:val="000000"/>
              </w:rPr>
              <w:t>136.322</w:t>
            </w:r>
          </w:p>
        </w:tc>
        <w:tc>
          <w:tcPr>
            <w:tcW w:w="1372" w:type="dxa"/>
            <w:vAlign w:val="center"/>
          </w:tcPr>
          <w:p w:rsidR="00000000" w:rsidRDefault="00000000">
            <w:pPr>
              <w:tabs>
                <w:tab w:val="decimal" w:pos="1025"/>
              </w:tabs>
              <w:ind w:firstLine="4"/>
              <w:rPr>
                <w:bCs/>
                <w:noProof/>
                <w:color w:val="000000"/>
              </w:rPr>
            </w:pPr>
            <w:r>
              <w:rPr>
                <w:bCs/>
                <w:noProof/>
                <w:color w:val="000000"/>
              </w:rPr>
              <w:t>139.231</w:t>
            </w:r>
          </w:p>
        </w:tc>
        <w:tc>
          <w:tcPr>
            <w:tcW w:w="1372" w:type="dxa"/>
            <w:vAlign w:val="center"/>
          </w:tcPr>
          <w:p w:rsidR="00000000" w:rsidRDefault="00000000">
            <w:pPr>
              <w:tabs>
                <w:tab w:val="decimal" w:pos="1025"/>
              </w:tabs>
              <w:ind w:firstLine="4"/>
              <w:rPr>
                <w:bCs/>
                <w:noProof/>
                <w:color w:val="000000"/>
              </w:rPr>
            </w:pPr>
            <w:r>
              <w:rPr>
                <w:bCs/>
                <w:noProof/>
                <w:color w:val="000000"/>
              </w:rPr>
              <w:t>142.869</w:t>
            </w:r>
          </w:p>
        </w:tc>
        <w:tc>
          <w:tcPr>
            <w:tcW w:w="1372" w:type="dxa"/>
            <w:vAlign w:val="center"/>
          </w:tcPr>
          <w:p w:rsidR="00000000" w:rsidRDefault="00000000">
            <w:pPr>
              <w:tabs>
                <w:tab w:val="decimal" w:pos="1011"/>
              </w:tabs>
              <w:ind w:firstLine="4"/>
              <w:rPr>
                <w:bCs/>
                <w:noProof/>
                <w:color w:val="000000"/>
              </w:rPr>
            </w:pPr>
            <w:r>
              <w:rPr>
                <w:bCs/>
                <w:noProof/>
                <w:color w:val="000000"/>
              </w:rPr>
              <w:t>145.507</w:t>
            </w:r>
          </w:p>
        </w:tc>
        <w:tc>
          <w:tcPr>
            <w:tcW w:w="1372" w:type="dxa"/>
            <w:vAlign w:val="center"/>
          </w:tcPr>
          <w:p w:rsidR="00000000" w:rsidRDefault="00000000">
            <w:pPr>
              <w:tabs>
                <w:tab w:val="decimal" w:pos="1012"/>
              </w:tabs>
              <w:ind w:firstLine="4"/>
              <w:rPr>
                <w:bCs/>
                <w:noProof/>
                <w:color w:val="000000"/>
              </w:rPr>
            </w:pPr>
            <w:r>
              <w:rPr>
                <w:bCs/>
                <w:noProof/>
                <w:color w:val="000000"/>
              </w:rPr>
              <w:t>148.662</w:t>
            </w:r>
          </w:p>
        </w:tc>
        <w:tc>
          <w:tcPr>
            <w:tcW w:w="1372" w:type="dxa"/>
            <w:vAlign w:val="center"/>
          </w:tcPr>
          <w:p w:rsidR="00000000" w:rsidRDefault="00000000">
            <w:pPr>
              <w:tabs>
                <w:tab w:val="decimal" w:pos="1013"/>
              </w:tabs>
              <w:rPr>
                <w:bCs/>
                <w:noProof/>
                <w:color w:val="000000"/>
              </w:rPr>
            </w:pPr>
            <w:r>
              <w:rPr>
                <w:bCs/>
                <w:noProof/>
                <w:color w:val="000000"/>
              </w:rPr>
              <w:t>151.387</w:t>
            </w:r>
          </w:p>
        </w:tc>
      </w:tr>
      <w:tr w:rsidR="00000000">
        <w:tblPrEx>
          <w:tblCellMar>
            <w:top w:w="0" w:type="dxa"/>
            <w:bottom w:w="0" w:type="dxa"/>
          </w:tblCellMar>
        </w:tblPrEx>
        <w:trPr>
          <w:trHeight w:val="20"/>
          <w:jc w:val="center"/>
        </w:trPr>
        <w:tc>
          <w:tcPr>
            <w:tcW w:w="1372" w:type="dxa"/>
            <w:vAlign w:val="center"/>
          </w:tcPr>
          <w:p w:rsidR="00000000" w:rsidRDefault="00000000">
            <w:pPr>
              <w:ind w:firstLine="4"/>
              <w:rPr>
                <w:bCs/>
                <w:noProof/>
                <w:color w:val="000000"/>
              </w:rPr>
            </w:pPr>
            <w:r>
              <w:rPr>
                <w:bCs/>
                <w:noProof/>
                <w:color w:val="000000"/>
              </w:rPr>
              <w:t>V</w:t>
            </w:r>
          </w:p>
        </w:tc>
        <w:tc>
          <w:tcPr>
            <w:tcW w:w="1372" w:type="dxa"/>
            <w:vAlign w:val="center"/>
          </w:tcPr>
          <w:p w:rsidR="00000000" w:rsidRDefault="00000000">
            <w:pPr>
              <w:tabs>
                <w:tab w:val="decimal" w:pos="1025"/>
              </w:tabs>
              <w:ind w:firstLine="4"/>
              <w:rPr>
                <w:bCs/>
                <w:noProof/>
                <w:color w:val="000000"/>
              </w:rPr>
            </w:pPr>
            <w:r>
              <w:rPr>
                <w:bCs/>
                <w:noProof/>
                <w:color w:val="000000"/>
              </w:rPr>
              <w:t>345.909</w:t>
            </w:r>
          </w:p>
        </w:tc>
        <w:tc>
          <w:tcPr>
            <w:tcW w:w="1372" w:type="dxa"/>
            <w:vAlign w:val="center"/>
          </w:tcPr>
          <w:p w:rsidR="00000000" w:rsidRDefault="00000000">
            <w:pPr>
              <w:tabs>
                <w:tab w:val="decimal" w:pos="1025"/>
              </w:tabs>
              <w:ind w:firstLine="4"/>
              <w:rPr>
                <w:bCs/>
                <w:noProof/>
                <w:color w:val="000000"/>
              </w:rPr>
            </w:pPr>
            <w:r>
              <w:rPr>
                <w:bCs/>
                <w:noProof/>
                <w:color w:val="000000"/>
              </w:rPr>
              <w:t>350.974</w:t>
            </w:r>
          </w:p>
        </w:tc>
        <w:tc>
          <w:tcPr>
            <w:tcW w:w="1372" w:type="dxa"/>
            <w:vAlign w:val="center"/>
          </w:tcPr>
          <w:p w:rsidR="00000000" w:rsidRDefault="00000000">
            <w:pPr>
              <w:tabs>
                <w:tab w:val="decimal" w:pos="1025"/>
              </w:tabs>
              <w:ind w:firstLine="4"/>
              <w:rPr>
                <w:bCs/>
                <w:noProof/>
                <w:color w:val="000000"/>
              </w:rPr>
            </w:pPr>
            <w:r>
              <w:rPr>
                <w:bCs/>
                <w:noProof/>
                <w:color w:val="000000"/>
              </w:rPr>
              <w:t>354.939</w:t>
            </w:r>
          </w:p>
        </w:tc>
        <w:tc>
          <w:tcPr>
            <w:tcW w:w="1372" w:type="dxa"/>
            <w:vAlign w:val="center"/>
          </w:tcPr>
          <w:p w:rsidR="00000000" w:rsidRDefault="00000000">
            <w:pPr>
              <w:tabs>
                <w:tab w:val="decimal" w:pos="1011"/>
              </w:tabs>
              <w:ind w:firstLine="4"/>
              <w:rPr>
                <w:bCs/>
                <w:noProof/>
                <w:color w:val="000000"/>
              </w:rPr>
            </w:pPr>
            <w:r>
              <w:rPr>
                <w:bCs/>
                <w:noProof/>
                <w:color w:val="000000"/>
              </w:rPr>
              <w:t>357.382</w:t>
            </w:r>
          </w:p>
        </w:tc>
        <w:tc>
          <w:tcPr>
            <w:tcW w:w="1372" w:type="dxa"/>
            <w:vAlign w:val="center"/>
          </w:tcPr>
          <w:p w:rsidR="00000000" w:rsidRDefault="00000000">
            <w:pPr>
              <w:tabs>
                <w:tab w:val="decimal" w:pos="1012"/>
              </w:tabs>
              <w:ind w:firstLine="4"/>
              <w:rPr>
                <w:bCs/>
                <w:noProof/>
                <w:color w:val="000000"/>
              </w:rPr>
            </w:pPr>
            <w:r>
              <w:rPr>
                <w:bCs/>
                <w:noProof/>
                <w:color w:val="000000"/>
              </w:rPr>
              <w:t>362.973</w:t>
            </w:r>
          </w:p>
        </w:tc>
        <w:tc>
          <w:tcPr>
            <w:tcW w:w="1372" w:type="dxa"/>
            <w:vAlign w:val="center"/>
          </w:tcPr>
          <w:p w:rsidR="00000000" w:rsidRDefault="00000000">
            <w:pPr>
              <w:tabs>
                <w:tab w:val="decimal" w:pos="1013"/>
              </w:tabs>
              <w:rPr>
                <w:bCs/>
                <w:noProof/>
                <w:color w:val="000000"/>
              </w:rPr>
            </w:pPr>
            <w:r>
              <w:rPr>
                <w:bCs/>
                <w:noProof/>
                <w:color w:val="000000"/>
              </w:rPr>
              <w:t>365.493</w:t>
            </w:r>
          </w:p>
        </w:tc>
      </w:tr>
      <w:tr w:rsidR="00000000">
        <w:tblPrEx>
          <w:tblCellMar>
            <w:top w:w="0" w:type="dxa"/>
            <w:bottom w:w="0" w:type="dxa"/>
          </w:tblCellMar>
        </w:tblPrEx>
        <w:trPr>
          <w:trHeight w:val="20"/>
          <w:jc w:val="center"/>
        </w:trPr>
        <w:tc>
          <w:tcPr>
            <w:tcW w:w="1372" w:type="dxa"/>
            <w:vAlign w:val="center"/>
          </w:tcPr>
          <w:p w:rsidR="00000000" w:rsidRDefault="00000000">
            <w:pPr>
              <w:ind w:firstLine="4"/>
              <w:rPr>
                <w:bCs/>
                <w:noProof/>
                <w:color w:val="000000"/>
              </w:rPr>
            </w:pPr>
            <w:r>
              <w:rPr>
                <w:bCs/>
                <w:noProof/>
                <w:color w:val="000000"/>
              </w:rPr>
              <w:t>VI</w:t>
            </w:r>
          </w:p>
        </w:tc>
        <w:tc>
          <w:tcPr>
            <w:tcW w:w="1372" w:type="dxa"/>
            <w:vAlign w:val="center"/>
          </w:tcPr>
          <w:p w:rsidR="00000000" w:rsidRDefault="00000000">
            <w:pPr>
              <w:tabs>
                <w:tab w:val="decimal" w:pos="1025"/>
              </w:tabs>
              <w:ind w:firstLine="4"/>
              <w:rPr>
                <w:bCs/>
                <w:noProof/>
                <w:color w:val="000000"/>
              </w:rPr>
            </w:pPr>
            <w:r>
              <w:rPr>
                <w:bCs/>
                <w:noProof/>
                <w:color w:val="000000"/>
              </w:rPr>
              <w:t>173.837</w:t>
            </w:r>
          </w:p>
        </w:tc>
        <w:tc>
          <w:tcPr>
            <w:tcW w:w="1372" w:type="dxa"/>
            <w:vAlign w:val="center"/>
          </w:tcPr>
          <w:p w:rsidR="00000000" w:rsidRDefault="00000000">
            <w:pPr>
              <w:tabs>
                <w:tab w:val="decimal" w:pos="1025"/>
              </w:tabs>
              <w:ind w:firstLine="4"/>
              <w:rPr>
                <w:bCs/>
                <w:noProof/>
                <w:color w:val="000000"/>
              </w:rPr>
            </w:pPr>
            <w:r>
              <w:rPr>
                <w:bCs/>
                <w:noProof/>
                <w:color w:val="000000"/>
              </w:rPr>
              <w:t>176.769</w:t>
            </w:r>
          </w:p>
        </w:tc>
        <w:tc>
          <w:tcPr>
            <w:tcW w:w="1372" w:type="dxa"/>
            <w:vAlign w:val="center"/>
          </w:tcPr>
          <w:p w:rsidR="00000000" w:rsidRDefault="00000000">
            <w:pPr>
              <w:tabs>
                <w:tab w:val="decimal" w:pos="1025"/>
              </w:tabs>
              <w:ind w:firstLine="4"/>
              <w:rPr>
                <w:bCs/>
                <w:noProof/>
                <w:color w:val="000000"/>
              </w:rPr>
            </w:pPr>
            <w:r>
              <w:rPr>
                <w:bCs/>
                <w:noProof/>
                <w:color w:val="000000"/>
              </w:rPr>
              <w:t>179.632</w:t>
            </w:r>
          </w:p>
        </w:tc>
        <w:tc>
          <w:tcPr>
            <w:tcW w:w="1372" w:type="dxa"/>
            <w:vAlign w:val="center"/>
          </w:tcPr>
          <w:p w:rsidR="00000000" w:rsidRDefault="00000000">
            <w:pPr>
              <w:tabs>
                <w:tab w:val="decimal" w:pos="1011"/>
              </w:tabs>
              <w:ind w:firstLine="4"/>
              <w:rPr>
                <w:bCs/>
                <w:noProof/>
                <w:color w:val="000000"/>
              </w:rPr>
            </w:pPr>
            <w:r>
              <w:rPr>
                <w:bCs/>
                <w:noProof/>
                <w:color w:val="000000"/>
              </w:rPr>
              <w:t>183.250</w:t>
            </w:r>
          </w:p>
        </w:tc>
        <w:tc>
          <w:tcPr>
            <w:tcW w:w="1372" w:type="dxa"/>
            <w:vAlign w:val="center"/>
          </w:tcPr>
          <w:p w:rsidR="00000000" w:rsidRDefault="00000000">
            <w:pPr>
              <w:tabs>
                <w:tab w:val="decimal" w:pos="1012"/>
              </w:tabs>
              <w:ind w:firstLine="4"/>
              <w:rPr>
                <w:bCs/>
                <w:noProof/>
                <w:color w:val="000000"/>
              </w:rPr>
            </w:pPr>
            <w:r>
              <w:rPr>
                <w:bCs/>
                <w:noProof/>
                <w:color w:val="000000"/>
              </w:rPr>
              <w:t>188.431</w:t>
            </w:r>
          </w:p>
        </w:tc>
        <w:tc>
          <w:tcPr>
            <w:tcW w:w="1372" w:type="dxa"/>
            <w:vAlign w:val="center"/>
          </w:tcPr>
          <w:p w:rsidR="00000000" w:rsidRDefault="00000000">
            <w:pPr>
              <w:tabs>
                <w:tab w:val="decimal" w:pos="1013"/>
              </w:tabs>
              <w:rPr>
                <w:bCs/>
                <w:noProof/>
                <w:color w:val="000000"/>
              </w:rPr>
            </w:pPr>
            <w:r>
              <w:rPr>
                <w:bCs/>
                <w:noProof/>
                <w:color w:val="000000"/>
              </w:rPr>
              <w:t>193.008</w:t>
            </w:r>
          </w:p>
        </w:tc>
      </w:tr>
      <w:tr w:rsidR="00000000">
        <w:tblPrEx>
          <w:tblCellMar>
            <w:top w:w="0" w:type="dxa"/>
            <w:bottom w:w="0" w:type="dxa"/>
          </w:tblCellMar>
        </w:tblPrEx>
        <w:trPr>
          <w:trHeight w:val="20"/>
          <w:jc w:val="center"/>
        </w:trPr>
        <w:tc>
          <w:tcPr>
            <w:tcW w:w="1372" w:type="dxa"/>
            <w:vAlign w:val="center"/>
          </w:tcPr>
          <w:p w:rsidR="00000000" w:rsidRDefault="00000000">
            <w:pPr>
              <w:ind w:firstLine="4"/>
              <w:rPr>
                <w:bCs/>
                <w:noProof/>
                <w:color w:val="000000"/>
              </w:rPr>
            </w:pPr>
            <w:r>
              <w:rPr>
                <w:bCs/>
                <w:noProof/>
                <w:color w:val="000000"/>
              </w:rPr>
              <w:t>VII</w:t>
            </w:r>
          </w:p>
        </w:tc>
        <w:tc>
          <w:tcPr>
            <w:tcW w:w="1372" w:type="dxa"/>
            <w:vAlign w:val="center"/>
          </w:tcPr>
          <w:p w:rsidR="00000000" w:rsidRDefault="00000000">
            <w:pPr>
              <w:tabs>
                <w:tab w:val="decimal" w:pos="1025"/>
              </w:tabs>
              <w:ind w:firstLine="4"/>
              <w:rPr>
                <w:bCs/>
                <w:noProof/>
                <w:color w:val="000000"/>
              </w:rPr>
            </w:pPr>
            <w:r>
              <w:rPr>
                <w:bCs/>
                <w:noProof/>
                <w:color w:val="000000"/>
              </w:rPr>
              <w:t>202.865</w:t>
            </w:r>
          </w:p>
        </w:tc>
        <w:tc>
          <w:tcPr>
            <w:tcW w:w="1372" w:type="dxa"/>
            <w:vAlign w:val="center"/>
          </w:tcPr>
          <w:p w:rsidR="00000000" w:rsidRDefault="00000000">
            <w:pPr>
              <w:tabs>
                <w:tab w:val="decimal" w:pos="1025"/>
              </w:tabs>
              <w:ind w:firstLine="4"/>
              <w:rPr>
                <w:bCs/>
                <w:noProof/>
                <w:color w:val="000000"/>
              </w:rPr>
            </w:pPr>
            <w:r>
              <w:rPr>
                <w:bCs/>
                <w:noProof/>
                <w:color w:val="000000"/>
              </w:rPr>
              <w:t>206.844</w:t>
            </w:r>
          </w:p>
        </w:tc>
        <w:tc>
          <w:tcPr>
            <w:tcW w:w="1372" w:type="dxa"/>
            <w:vAlign w:val="center"/>
          </w:tcPr>
          <w:p w:rsidR="00000000" w:rsidRDefault="00000000">
            <w:pPr>
              <w:tabs>
                <w:tab w:val="decimal" w:pos="1025"/>
              </w:tabs>
              <w:ind w:firstLine="4"/>
              <w:rPr>
                <w:bCs/>
                <w:noProof/>
                <w:color w:val="000000"/>
              </w:rPr>
            </w:pPr>
            <w:r>
              <w:rPr>
                <w:bCs/>
                <w:noProof/>
                <w:color w:val="000000"/>
              </w:rPr>
              <w:t>211.689</w:t>
            </w:r>
          </w:p>
        </w:tc>
        <w:tc>
          <w:tcPr>
            <w:tcW w:w="1372" w:type="dxa"/>
            <w:vAlign w:val="center"/>
          </w:tcPr>
          <w:p w:rsidR="00000000" w:rsidRDefault="00000000">
            <w:pPr>
              <w:tabs>
                <w:tab w:val="decimal" w:pos="1011"/>
              </w:tabs>
              <w:ind w:firstLine="4"/>
              <w:rPr>
                <w:bCs/>
                <w:noProof/>
                <w:color w:val="000000"/>
              </w:rPr>
            </w:pPr>
            <w:r>
              <w:rPr>
                <w:bCs/>
                <w:noProof/>
                <w:color w:val="000000"/>
              </w:rPr>
              <w:t>214.890</w:t>
            </w:r>
          </w:p>
        </w:tc>
        <w:tc>
          <w:tcPr>
            <w:tcW w:w="1372" w:type="dxa"/>
            <w:vAlign w:val="center"/>
          </w:tcPr>
          <w:p w:rsidR="00000000" w:rsidRDefault="00000000">
            <w:pPr>
              <w:tabs>
                <w:tab w:val="decimal" w:pos="1012"/>
              </w:tabs>
              <w:ind w:firstLine="4"/>
              <w:rPr>
                <w:bCs/>
                <w:noProof/>
                <w:color w:val="000000"/>
              </w:rPr>
            </w:pPr>
            <w:r>
              <w:rPr>
                <w:bCs/>
                <w:noProof/>
                <w:color w:val="000000"/>
              </w:rPr>
              <w:t>219.022</w:t>
            </w:r>
          </w:p>
        </w:tc>
        <w:tc>
          <w:tcPr>
            <w:tcW w:w="1372" w:type="dxa"/>
            <w:vAlign w:val="center"/>
          </w:tcPr>
          <w:p w:rsidR="00000000" w:rsidRDefault="00000000">
            <w:pPr>
              <w:tabs>
                <w:tab w:val="decimal" w:pos="1013"/>
              </w:tabs>
              <w:rPr>
                <w:bCs/>
                <w:noProof/>
                <w:color w:val="000000"/>
              </w:rPr>
            </w:pPr>
            <w:r>
              <w:rPr>
                <w:bCs/>
                <w:noProof/>
                <w:color w:val="000000"/>
              </w:rPr>
              <w:t>224.128</w:t>
            </w:r>
          </w:p>
        </w:tc>
      </w:tr>
      <w:tr w:rsidR="00000000">
        <w:tblPrEx>
          <w:tblCellMar>
            <w:top w:w="0" w:type="dxa"/>
            <w:bottom w:w="0" w:type="dxa"/>
          </w:tblCellMar>
        </w:tblPrEx>
        <w:trPr>
          <w:trHeight w:val="20"/>
          <w:jc w:val="center"/>
        </w:trPr>
        <w:tc>
          <w:tcPr>
            <w:tcW w:w="1372" w:type="dxa"/>
            <w:vAlign w:val="center"/>
          </w:tcPr>
          <w:p w:rsidR="00000000" w:rsidRDefault="00000000">
            <w:pPr>
              <w:ind w:firstLine="4"/>
              <w:rPr>
                <w:bCs/>
                <w:noProof/>
                <w:color w:val="000000"/>
              </w:rPr>
            </w:pPr>
            <w:r>
              <w:rPr>
                <w:bCs/>
                <w:noProof/>
                <w:color w:val="000000"/>
              </w:rPr>
              <w:t>VIII</w:t>
            </w:r>
          </w:p>
        </w:tc>
        <w:tc>
          <w:tcPr>
            <w:tcW w:w="1372" w:type="dxa"/>
            <w:vAlign w:val="center"/>
          </w:tcPr>
          <w:p w:rsidR="00000000" w:rsidRDefault="00000000">
            <w:pPr>
              <w:tabs>
                <w:tab w:val="decimal" w:pos="1025"/>
              </w:tabs>
              <w:ind w:firstLine="4"/>
              <w:rPr>
                <w:bCs/>
                <w:noProof/>
                <w:color w:val="000000"/>
              </w:rPr>
            </w:pPr>
            <w:r>
              <w:rPr>
                <w:bCs/>
                <w:noProof/>
                <w:color w:val="000000"/>
              </w:rPr>
              <w:t>424.772</w:t>
            </w:r>
          </w:p>
        </w:tc>
        <w:tc>
          <w:tcPr>
            <w:tcW w:w="1372" w:type="dxa"/>
            <w:vAlign w:val="center"/>
          </w:tcPr>
          <w:p w:rsidR="00000000" w:rsidRDefault="00000000">
            <w:pPr>
              <w:tabs>
                <w:tab w:val="decimal" w:pos="1025"/>
              </w:tabs>
              <w:ind w:firstLine="4"/>
              <w:rPr>
                <w:bCs/>
                <w:noProof/>
                <w:color w:val="000000"/>
              </w:rPr>
            </w:pPr>
            <w:r>
              <w:rPr>
                <w:bCs/>
                <w:noProof/>
                <w:color w:val="000000"/>
              </w:rPr>
              <w:t>422.504</w:t>
            </w:r>
          </w:p>
        </w:tc>
        <w:tc>
          <w:tcPr>
            <w:tcW w:w="1372" w:type="dxa"/>
            <w:vAlign w:val="center"/>
          </w:tcPr>
          <w:p w:rsidR="00000000" w:rsidRDefault="00000000">
            <w:pPr>
              <w:tabs>
                <w:tab w:val="decimal" w:pos="1025"/>
              </w:tabs>
              <w:ind w:firstLine="4"/>
              <w:rPr>
                <w:bCs/>
                <w:noProof/>
                <w:color w:val="000000"/>
              </w:rPr>
            </w:pPr>
            <w:r>
              <w:rPr>
                <w:bCs/>
                <w:noProof/>
                <w:color w:val="000000"/>
              </w:rPr>
              <w:t>439.563</w:t>
            </w:r>
          </w:p>
        </w:tc>
        <w:tc>
          <w:tcPr>
            <w:tcW w:w="1372" w:type="dxa"/>
            <w:vAlign w:val="center"/>
          </w:tcPr>
          <w:p w:rsidR="00000000" w:rsidRDefault="00000000">
            <w:pPr>
              <w:tabs>
                <w:tab w:val="decimal" w:pos="1011"/>
              </w:tabs>
              <w:ind w:firstLine="4"/>
              <w:rPr>
                <w:bCs/>
                <w:noProof/>
                <w:color w:val="000000"/>
              </w:rPr>
            </w:pPr>
            <w:r>
              <w:rPr>
                <w:bCs/>
                <w:noProof/>
                <w:color w:val="000000"/>
              </w:rPr>
              <w:t>439.046</w:t>
            </w:r>
          </w:p>
        </w:tc>
        <w:tc>
          <w:tcPr>
            <w:tcW w:w="1372" w:type="dxa"/>
            <w:vAlign w:val="center"/>
          </w:tcPr>
          <w:p w:rsidR="00000000" w:rsidRDefault="00000000">
            <w:pPr>
              <w:tabs>
                <w:tab w:val="decimal" w:pos="1012"/>
              </w:tabs>
              <w:ind w:firstLine="4"/>
              <w:rPr>
                <w:bCs/>
                <w:noProof/>
                <w:color w:val="000000"/>
              </w:rPr>
            </w:pPr>
            <w:r>
              <w:rPr>
                <w:bCs/>
                <w:noProof/>
                <w:color w:val="000000"/>
              </w:rPr>
              <w:t>445.508</w:t>
            </w:r>
          </w:p>
        </w:tc>
        <w:tc>
          <w:tcPr>
            <w:tcW w:w="1372" w:type="dxa"/>
            <w:vAlign w:val="center"/>
          </w:tcPr>
          <w:p w:rsidR="00000000" w:rsidRDefault="00000000">
            <w:pPr>
              <w:tabs>
                <w:tab w:val="decimal" w:pos="1013"/>
              </w:tabs>
              <w:rPr>
                <w:bCs/>
                <w:noProof/>
                <w:color w:val="000000"/>
              </w:rPr>
            </w:pPr>
            <w:r>
              <w:rPr>
                <w:bCs/>
                <w:noProof/>
                <w:color w:val="000000"/>
              </w:rPr>
              <w:t>456.101</w:t>
            </w:r>
          </w:p>
        </w:tc>
      </w:tr>
      <w:tr w:rsidR="00000000">
        <w:tblPrEx>
          <w:tblCellMar>
            <w:top w:w="0" w:type="dxa"/>
            <w:bottom w:w="0" w:type="dxa"/>
          </w:tblCellMar>
        </w:tblPrEx>
        <w:trPr>
          <w:trHeight w:val="20"/>
          <w:jc w:val="center"/>
        </w:trPr>
        <w:tc>
          <w:tcPr>
            <w:tcW w:w="1372" w:type="dxa"/>
            <w:vAlign w:val="center"/>
          </w:tcPr>
          <w:p w:rsidR="00000000" w:rsidRDefault="00000000">
            <w:pPr>
              <w:ind w:firstLine="4"/>
              <w:rPr>
                <w:bCs/>
                <w:noProof/>
                <w:color w:val="000000"/>
              </w:rPr>
            </w:pPr>
            <w:r>
              <w:rPr>
                <w:bCs/>
                <w:noProof/>
                <w:color w:val="000000"/>
              </w:rPr>
              <w:t>IX</w:t>
            </w:r>
          </w:p>
        </w:tc>
        <w:tc>
          <w:tcPr>
            <w:tcW w:w="1372" w:type="dxa"/>
            <w:vAlign w:val="center"/>
          </w:tcPr>
          <w:p w:rsidR="00000000" w:rsidRDefault="00000000">
            <w:pPr>
              <w:tabs>
                <w:tab w:val="decimal" w:pos="1025"/>
              </w:tabs>
              <w:ind w:firstLine="4"/>
              <w:rPr>
                <w:bCs/>
                <w:noProof/>
                <w:color w:val="000000"/>
              </w:rPr>
            </w:pPr>
            <w:r>
              <w:rPr>
                <w:bCs/>
                <w:noProof/>
                <w:color w:val="000000"/>
              </w:rPr>
              <w:t>196.951</w:t>
            </w:r>
          </w:p>
        </w:tc>
        <w:tc>
          <w:tcPr>
            <w:tcW w:w="1372" w:type="dxa"/>
            <w:vAlign w:val="center"/>
          </w:tcPr>
          <w:p w:rsidR="00000000" w:rsidRDefault="00000000">
            <w:pPr>
              <w:tabs>
                <w:tab w:val="decimal" w:pos="1025"/>
              </w:tabs>
              <w:ind w:firstLine="4"/>
              <w:rPr>
                <w:bCs/>
                <w:noProof/>
                <w:color w:val="000000"/>
              </w:rPr>
            </w:pPr>
            <w:r>
              <w:rPr>
                <w:bCs/>
                <w:noProof/>
                <w:color w:val="000000"/>
              </w:rPr>
              <w:t>199.806</w:t>
            </w:r>
          </w:p>
        </w:tc>
        <w:tc>
          <w:tcPr>
            <w:tcW w:w="1372" w:type="dxa"/>
            <w:vAlign w:val="center"/>
          </w:tcPr>
          <w:p w:rsidR="00000000" w:rsidRDefault="00000000">
            <w:pPr>
              <w:tabs>
                <w:tab w:val="decimal" w:pos="1025"/>
              </w:tabs>
              <w:ind w:firstLine="4"/>
              <w:rPr>
                <w:bCs/>
                <w:noProof/>
                <w:color w:val="000000"/>
              </w:rPr>
            </w:pPr>
            <w:r>
              <w:rPr>
                <w:bCs/>
                <w:noProof/>
                <w:color w:val="000000"/>
              </w:rPr>
              <w:t>206.197</w:t>
            </w:r>
          </w:p>
        </w:tc>
        <w:tc>
          <w:tcPr>
            <w:tcW w:w="1372" w:type="dxa"/>
            <w:vAlign w:val="center"/>
          </w:tcPr>
          <w:p w:rsidR="00000000" w:rsidRDefault="00000000">
            <w:pPr>
              <w:tabs>
                <w:tab w:val="decimal" w:pos="1011"/>
              </w:tabs>
              <w:ind w:firstLine="4"/>
              <w:rPr>
                <w:bCs/>
                <w:noProof/>
                <w:color w:val="000000"/>
              </w:rPr>
            </w:pPr>
            <w:r>
              <w:rPr>
                <w:bCs/>
                <w:noProof/>
                <w:color w:val="000000"/>
              </w:rPr>
              <w:t>211.736</w:t>
            </w:r>
          </w:p>
        </w:tc>
        <w:tc>
          <w:tcPr>
            <w:tcW w:w="1372" w:type="dxa"/>
            <w:vAlign w:val="center"/>
          </w:tcPr>
          <w:p w:rsidR="00000000" w:rsidRDefault="00000000">
            <w:pPr>
              <w:tabs>
                <w:tab w:val="decimal" w:pos="1012"/>
              </w:tabs>
              <w:ind w:firstLine="4"/>
              <w:rPr>
                <w:bCs/>
                <w:noProof/>
                <w:color w:val="000000"/>
              </w:rPr>
            </w:pPr>
            <w:r>
              <w:rPr>
                <w:bCs/>
                <w:noProof/>
                <w:color w:val="000000"/>
              </w:rPr>
              <w:t>216.155</w:t>
            </w:r>
          </w:p>
        </w:tc>
        <w:tc>
          <w:tcPr>
            <w:tcW w:w="1372" w:type="dxa"/>
            <w:vAlign w:val="center"/>
          </w:tcPr>
          <w:p w:rsidR="00000000" w:rsidRDefault="00000000">
            <w:pPr>
              <w:tabs>
                <w:tab w:val="decimal" w:pos="1013"/>
              </w:tabs>
              <w:rPr>
                <w:bCs/>
                <w:noProof/>
                <w:color w:val="000000"/>
              </w:rPr>
            </w:pPr>
            <w:r>
              <w:rPr>
                <w:bCs/>
                <w:noProof/>
                <w:color w:val="000000"/>
              </w:rPr>
              <w:t>222.523</w:t>
            </w:r>
          </w:p>
        </w:tc>
      </w:tr>
      <w:tr w:rsidR="00000000">
        <w:tblPrEx>
          <w:tblCellMar>
            <w:top w:w="0" w:type="dxa"/>
            <w:bottom w:w="0" w:type="dxa"/>
          </w:tblCellMar>
        </w:tblPrEx>
        <w:trPr>
          <w:trHeight w:val="20"/>
          <w:jc w:val="center"/>
        </w:trPr>
        <w:tc>
          <w:tcPr>
            <w:tcW w:w="1372" w:type="dxa"/>
            <w:vAlign w:val="center"/>
          </w:tcPr>
          <w:p w:rsidR="00000000" w:rsidRDefault="00000000">
            <w:pPr>
              <w:ind w:firstLine="4"/>
              <w:rPr>
                <w:bCs/>
                <w:noProof/>
                <w:color w:val="000000"/>
              </w:rPr>
            </w:pPr>
            <w:r>
              <w:rPr>
                <w:bCs/>
                <w:noProof/>
                <w:color w:val="000000"/>
              </w:rPr>
              <w:t>X</w:t>
            </w:r>
          </w:p>
        </w:tc>
        <w:tc>
          <w:tcPr>
            <w:tcW w:w="1372" w:type="dxa"/>
            <w:vAlign w:val="center"/>
          </w:tcPr>
          <w:p w:rsidR="00000000" w:rsidRDefault="00000000">
            <w:pPr>
              <w:tabs>
                <w:tab w:val="decimal" w:pos="1025"/>
              </w:tabs>
              <w:ind w:firstLine="4"/>
              <w:rPr>
                <w:bCs/>
                <w:noProof/>
                <w:color w:val="000000"/>
              </w:rPr>
            </w:pPr>
            <w:r>
              <w:rPr>
                <w:bCs/>
                <w:noProof/>
                <w:color w:val="000000"/>
              </w:rPr>
              <w:t>230.984</w:t>
            </w:r>
          </w:p>
        </w:tc>
        <w:tc>
          <w:tcPr>
            <w:tcW w:w="1372" w:type="dxa"/>
            <w:vAlign w:val="center"/>
          </w:tcPr>
          <w:p w:rsidR="00000000" w:rsidRDefault="00000000">
            <w:pPr>
              <w:tabs>
                <w:tab w:val="decimal" w:pos="1025"/>
              </w:tabs>
              <w:ind w:firstLine="4"/>
              <w:rPr>
                <w:bCs/>
                <w:noProof/>
                <w:color w:val="000000"/>
              </w:rPr>
            </w:pPr>
            <w:r>
              <w:rPr>
                <w:bCs/>
                <w:noProof/>
                <w:color w:val="000000"/>
              </w:rPr>
              <w:t>237.799</w:t>
            </w:r>
          </w:p>
        </w:tc>
        <w:tc>
          <w:tcPr>
            <w:tcW w:w="1372" w:type="dxa"/>
            <w:vAlign w:val="center"/>
          </w:tcPr>
          <w:p w:rsidR="00000000" w:rsidRDefault="00000000">
            <w:pPr>
              <w:tabs>
                <w:tab w:val="decimal" w:pos="1025"/>
              </w:tabs>
              <w:ind w:firstLine="4"/>
              <w:rPr>
                <w:bCs/>
                <w:noProof/>
                <w:color w:val="000000"/>
              </w:rPr>
            </w:pPr>
            <w:r>
              <w:rPr>
                <w:bCs/>
                <w:noProof/>
                <w:color w:val="000000"/>
              </w:rPr>
              <w:t>243.968</w:t>
            </w:r>
          </w:p>
        </w:tc>
        <w:tc>
          <w:tcPr>
            <w:tcW w:w="1372" w:type="dxa"/>
            <w:vAlign w:val="center"/>
          </w:tcPr>
          <w:p w:rsidR="00000000" w:rsidRDefault="00000000">
            <w:pPr>
              <w:tabs>
                <w:tab w:val="decimal" w:pos="1011"/>
              </w:tabs>
              <w:ind w:firstLine="4"/>
              <w:rPr>
                <w:bCs/>
                <w:noProof/>
                <w:color w:val="000000"/>
              </w:rPr>
            </w:pPr>
            <w:r>
              <w:rPr>
                <w:bCs/>
                <w:noProof/>
                <w:color w:val="000000"/>
              </w:rPr>
              <w:t>248.849</w:t>
            </w:r>
          </w:p>
        </w:tc>
        <w:tc>
          <w:tcPr>
            <w:tcW w:w="1372" w:type="dxa"/>
            <w:vAlign w:val="center"/>
          </w:tcPr>
          <w:p w:rsidR="00000000" w:rsidRDefault="00000000">
            <w:pPr>
              <w:tabs>
                <w:tab w:val="decimal" w:pos="1012"/>
              </w:tabs>
              <w:ind w:firstLine="4"/>
              <w:rPr>
                <w:bCs/>
                <w:noProof/>
                <w:color w:val="000000"/>
              </w:rPr>
            </w:pPr>
            <w:r>
              <w:rPr>
                <w:bCs/>
                <w:noProof/>
                <w:color w:val="000000"/>
              </w:rPr>
              <w:t>255.589</w:t>
            </w:r>
          </w:p>
        </w:tc>
        <w:tc>
          <w:tcPr>
            <w:tcW w:w="1372" w:type="dxa"/>
            <w:vAlign w:val="center"/>
          </w:tcPr>
          <w:p w:rsidR="00000000" w:rsidRDefault="00000000">
            <w:pPr>
              <w:tabs>
                <w:tab w:val="decimal" w:pos="1013"/>
              </w:tabs>
              <w:rPr>
                <w:bCs/>
                <w:noProof/>
                <w:color w:val="000000"/>
              </w:rPr>
            </w:pPr>
            <w:r>
              <w:rPr>
                <w:bCs/>
                <w:noProof/>
                <w:color w:val="000000"/>
              </w:rPr>
              <w:t>264.901</w:t>
            </w:r>
          </w:p>
        </w:tc>
      </w:tr>
      <w:tr w:rsidR="00000000">
        <w:tblPrEx>
          <w:tblCellMar>
            <w:top w:w="0" w:type="dxa"/>
            <w:bottom w:w="0" w:type="dxa"/>
          </w:tblCellMar>
        </w:tblPrEx>
        <w:trPr>
          <w:trHeight w:val="20"/>
          <w:jc w:val="center"/>
        </w:trPr>
        <w:tc>
          <w:tcPr>
            <w:tcW w:w="1372" w:type="dxa"/>
            <w:vAlign w:val="center"/>
          </w:tcPr>
          <w:p w:rsidR="00000000" w:rsidRDefault="00000000">
            <w:pPr>
              <w:ind w:firstLine="4"/>
              <w:rPr>
                <w:bCs/>
                <w:noProof/>
                <w:color w:val="000000"/>
              </w:rPr>
            </w:pPr>
            <w:r>
              <w:rPr>
                <w:bCs/>
                <w:noProof/>
                <w:color w:val="000000"/>
              </w:rPr>
              <w:t>XI</w:t>
            </w:r>
          </w:p>
        </w:tc>
        <w:tc>
          <w:tcPr>
            <w:tcW w:w="1372" w:type="dxa"/>
            <w:vAlign w:val="center"/>
          </w:tcPr>
          <w:p w:rsidR="00000000" w:rsidRDefault="00000000">
            <w:pPr>
              <w:tabs>
                <w:tab w:val="decimal" w:pos="1025"/>
              </w:tabs>
              <w:ind w:firstLine="4"/>
              <w:rPr>
                <w:bCs/>
                <w:noProof/>
                <w:color w:val="000000"/>
                <w:lang w:val="en-GB"/>
              </w:rPr>
            </w:pPr>
            <w:r>
              <w:rPr>
                <w:bCs/>
                <w:noProof/>
                <w:color w:val="000000"/>
                <w:lang w:val="en-GB"/>
              </w:rPr>
              <w:t>21.676</w:t>
            </w:r>
          </w:p>
        </w:tc>
        <w:tc>
          <w:tcPr>
            <w:tcW w:w="1372" w:type="dxa"/>
            <w:vAlign w:val="center"/>
          </w:tcPr>
          <w:p w:rsidR="00000000" w:rsidRDefault="00000000">
            <w:pPr>
              <w:tabs>
                <w:tab w:val="decimal" w:pos="1025"/>
              </w:tabs>
              <w:ind w:firstLine="4"/>
              <w:rPr>
                <w:bCs/>
                <w:noProof/>
                <w:color w:val="000000"/>
                <w:lang w:val="en-GB"/>
              </w:rPr>
            </w:pPr>
            <w:r>
              <w:rPr>
                <w:bCs/>
                <w:noProof/>
                <w:color w:val="000000"/>
                <w:lang w:val="en-GB"/>
              </w:rPr>
              <w:t>22.014</w:t>
            </w:r>
          </w:p>
        </w:tc>
        <w:tc>
          <w:tcPr>
            <w:tcW w:w="1372" w:type="dxa"/>
            <w:vAlign w:val="center"/>
          </w:tcPr>
          <w:p w:rsidR="00000000" w:rsidRDefault="00000000">
            <w:pPr>
              <w:tabs>
                <w:tab w:val="decimal" w:pos="1025"/>
              </w:tabs>
              <w:ind w:firstLine="4"/>
              <w:rPr>
                <w:bCs/>
                <w:noProof/>
                <w:color w:val="000000"/>
                <w:lang w:val="en-GB"/>
              </w:rPr>
            </w:pPr>
            <w:r>
              <w:rPr>
                <w:bCs/>
                <w:noProof/>
                <w:color w:val="000000"/>
                <w:lang w:val="en-GB"/>
              </w:rPr>
              <w:t>22.292</w:t>
            </w:r>
          </w:p>
        </w:tc>
        <w:tc>
          <w:tcPr>
            <w:tcW w:w="1372" w:type="dxa"/>
            <w:vAlign w:val="center"/>
          </w:tcPr>
          <w:p w:rsidR="00000000" w:rsidRDefault="00000000">
            <w:pPr>
              <w:tabs>
                <w:tab w:val="decimal" w:pos="1011"/>
              </w:tabs>
              <w:ind w:firstLine="4"/>
              <w:rPr>
                <w:bCs/>
                <w:noProof/>
                <w:color w:val="000000"/>
                <w:lang w:val="en-GB"/>
              </w:rPr>
            </w:pPr>
            <w:r>
              <w:rPr>
                <w:bCs/>
                <w:noProof/>
                <w:color w:val="000000"/>
                <w:lang w:val="en-GB"/>
              </w:rPr>
              <w:t>22.966</w:t>
            </w:r>
          </w:p>
        </w:tc>
        <w:tc>
          <w:tcPr>
            <w:tcW w:w="1372" w:type="dxa"/>
            <w:vAlign w:val="center"/>
          </w:tcPr>
          <w:p w:rsidR="00000000" w:rsidRDefault="00000000">
            <w:pPr>
              <w:tabs>
                <w:tab w:val="decimal" w:pos="1012"/>
              </w:tabs>
              <w:ind w:firstLine="4"/>
              <w:rPr>
                <w:bCs/>
                <w:noProof/>
                <w:color w:val="000000"/>
                <w:lang w:val="en-GB"/>
              </w:rPr>
            </w:pPr>
            <w:r>
              <w:rPr>
                <w:bCs/>
                <w:noProof/>
                <w:color w:val="000000"/>
                <w:lang w:val="en-GB"/>
              </w:rPr>
              <w:t>23.165</w:t>
            </w:r>
          </w:p>
        </w:tc>
        <w:tc>
          <w:tcPr>
            <w:tcW w:w="1372" w:type="dxa"/>
            <w:vAlign w:val="center"/>
          </w:tcPr>
          <w:p w:rsidR="00000000" w:rsidRDefault="00000000">
            <w:pPr>
              <w:tabs>
                <w:tab w:val="decimal" w:pos="1013"/>
              </w:tabs>
              <w:rPr>
                <w:bCs/>
                <w:noProof/>
                <w:color w:val="000000"/>
                <w:lang w:val="en-GB"/>
              </w:rPr>
            </w:pPr>
            <w:r>
              <w:rPr>
                <w:bCs/>
                <w:noProof/>
                <w:color w:val="000000"/>
                <w:lang w:val="en-GB"/>
              </w:rPr>
              <w:t>23.525</w:t>
            </w:r>
          </w:p>
        </w:tc>
      </w:tr>
      <w:tr w:rsidR="00000000">
        <w:tblPrEx>
          <w:tblCellMar>
            <w:top w:w="0" w:type="dxa"/>
            <w:bottom w:w="0" w:type="dxa"/>
          </w:tblCellMar>
        </w:tblPrEx>
        <w:trPr>
          <w:trHeight w:val="20"/>
          <w:jc w:val="center"/>
        </w:trPr>
        <w:tc>
          <w:tcPr>
            <w:tcW w:w="1372" w:type="dxa"/>
            <w:vAlign w:val="center"/>
          </w:tcPr>
          <w:p w:rsidR="00000000" w:rsidRDefault="00000000">
            <w:pPr>
              <w:ind w:firstLine="4"/>
              <w:rPr>
                <w:bCs/>
                <w:noProof/>
                <w:color w:val="000000"/>
                <w:lang w:val="en-GB"/>
              </w:rPr>
            </w:pPr>
            <w:r>
              <w:rPr>
                <w:bCs/>
                <w:noProof/>
                <w:color w:val="000000"/>
                <w:lang w:val="en-GB"/>
              </w:rPr>
              <w:t>XII</w:t>
            </w:r>
          </w:p>
        </w:tc>
        <w:tc>
          <w:tcPr>
            <w:tcW w:w="1372" w:type="dxa"/>
            <w:vAlign w:val="center"/>
          </w:tcPr>
          <w:p w:rsidR="00000000" w:rsidRDefault="00000000">
            <w:pPr>
              <w:tabs>
                <w:tab w:val="decimal" w:pos="1025"/>
              </w:tabs>
              <w:ind w:firstLine="4"/>
              <w:rPr>
                <w:bCs/>
                <w:noProof/>
                <w:color w:val="000000"/>
                <w:lang w:val="en-GB"/>
              </w:rPr>
            </w:pPr>
            <w:r>
              <w:rPr>
                <w:bCs/>
                <w:noProof/>
                <w:color w:val="000000"/>
                <w:lang w:val="en-GB"/>
              </w:rPr>
              <w:t>32.235</w:t>
            </w:r>
          </w:p>
        </w:tc>
        <w:tc>
          <w:tcPr>
            <w:tcW w:w="1372" w:type="dxa"/>
            <w:vAlign w:val="center"/>
          </w:tcPr>
          <w:p w:rsidR="00000000" w:rsidRDefault="00000000">
            <w:pPr>
              <w:tabs>
                <w:tab w:val="decimal" w:pos="1025"/>
              </w:tabs>
              <w:ind w:firstLine="4"/>
              <w:rPr>
                <w:bCs/>
                <w:noProof/>
                <w:color w:val="000000"/>
                <w:lang w:val="en-GB"/>
              </w:rPr>
            </w:pPr>
            <w:r>
              <w:rPr>
                <w:bCs/>
                <w:noProof/>
                <w:color w:val="000000"/>
                <w:lang w:val="en-GB"/>
              </w:rPr>
              <w:t>33.428</w:t>
            </w:r>
          </w:p>
        </w:tc>
        <w:tc>
          <w:tcPr>
            <w:tcW w:w="1372" w:type="dxa"/>
            <w:vAlign w:val="center"/>
          </w:tcPr>
          <w:p w:rsidR="00000000" w:rsidRDefault="00000000">
            <w:pPr>
              <w:tabs>
                <w:tab w:val="decimal" w:pos="1025"/>
              </w:tabs>
              <w:ind w:firstLine="4"/>
              <w:rPr>
                <w:bCs/>
                <w:noProof/>
                <w:color w:val="000000"/>
                <w:lang w:val="en-GB"/>
              </w:rPr>
            </w:pPr>
            <w:r>
              <w:rPr>
                <w:bCs/>
                <w:noProof/>
                <w:color w:val="000000"/>
                <w:lang w:val="en-GB"/>
              </w:rPr>
              <w:t>33.931</w:t>
            </w:r>
          </w:p>
        </w:tc>
        <w:tc>
          <w:tcPr>
            <w:tcW w:w="1372" w:type="dxa"/>
            <w:vAlign w:val="center"/>
          </w:tcPr>
          <w:p w:rsidR="00000000" w:rsidRDefault="00000000">
            <w:pPr>
              <w:tabs>
                <w:tab w:val="decimal" w:pos="1011"/>
              </w:tabs>
              <w:ind w:firstLine="4"/>
              <w:rPr>
                <w:bCs/>
                <w:noProof/>
                <w:color w:val="000000"/>
                <w:lang w:val="en-GB"/>
              </w:rPr>
            </w:pPr>
            <w:r>
              <w:rPr>
                <w:bCs/>
                <w:noProof/>
                <w:color w:val="000000"/>
                <w:lang w:val="en-GB"/>
              </w:rPr>
              <w:t>33.782</w:t>
            </w:r>
          </w:p>
        </w:tc>
        <w:tc>
          <w:tcPr>
            <w:tcW w:w="1372" w:type="dxa"/>
            <w:vAlign w:val="center"/>
          </w:tcPr>
          <w:p w:rsidR="00000000" w:rsidRDefault="00000000">
            <w:pPr>
              <w:tabs>
                <w:tab w:val="decimal" w:pos="1012"/>
              </w:tabs>
              <w:ind w:firstLine="4"/>
              <w:rPr>
                <w:bCs/>
                <w:noProof/>
                <w:color w:val="000000"/>
                <w:lang w:val="en-GB"/>
              </w:rPr>
            </w:pPr>
            <w:r>
              <w:rPr>
                <w:bCs/>
                <w:noProof/>
                <w:color w:val="000000"/>
                <w:lang w:val="en-GB"/>
              </w:rPr>
              <w:t>34.028</w:t>
            </w:r>
          </w:p>
        </w:tc>
        <w:tc>
          <w:tcPr>
            <w:tcW w:w="1372" w:type="dxa"/>
            <w:vAlign w:val="center"/>
          </w:tcPr>
          <w:p w:rsidR="00000000" w:rsidRDefault="00000000">
            <w:pPr>
              <w:tabs>
                <w:tab w:val="decimal" w:pos="1013"/>
              </w:tabs>
              <w:rPr>
                <w:bCs/>
                <w:noProof/>
                <w:color w:val="000000"/>
                <w:lang w:val="en-GB"/>
              </w:rPr>
            </w:pPr>
            <w:r>
              <w:rPr>
                <w:bCs/>
                <w:noProof/>
                <w:color w:val="000000"/>
                <w:lang w:val="en-GB"/>
              </w:rPr>
              <w:t>33.435</w:t>
            </w:r>
          </w:p>
        </w:tc>
      </w:tr>
      <w:tr w:rsidR="00000000">
        <w:tblPrEx>
          <w:tblCellMar>
            <w:top w:w="0" w:type="dxa"/>
            <w:bottom w:w="0" w:type="dxa"/>
          </w:tblCellMar>
        </w:tblPrEx>
        <w:trPr>
          <w:trHeight w:val="20"/>
          <w:jc w:val="center"/>
        </w:trPr>
        <w:tc>
          <w:tcPr>
            <w:tcW w:w="1372" w:type="dxa"/>
            <w:vAlign w:val="center"/>
          </w:tcPr>
          <w:p w:rsidR="00000000" w:rsidRDefault="00000000">
            <w:pPr>
              <w:ind w:firstLine="4"/>
              <w:rPr>
                <w:bCs/>
                <w:noProof/>
                <w:color w:val="000000"/>
                <w:lang w:val="en-GB"/>
              </w:rPr>
            </w:pPr>
            <w:r>
              <w:rPr>
                <w:bCs/>
                <w:noProof/>
                <w:color w:val="000000"/>
                <w:lang w:val="en-GB"/>
              </w:rPr>
              <w:t>R.M.</w:t>
            </w:r>
          </w:p>
        </w:tc>
        <w:tc>
          <w:tcPr>
            <w:tcW w:w="1372" w:type="dxa"/>
            <w:vAlign w:val="center"/>
          </w:tcPr>
          <w:p w:rsidR="00000000" w:rsidRDefault="00000000">
            <w:pPr>
              <w:tabs>
                <w:tab w:val="decimal" w:pos="1025"/>
              </w:tabs>
              <w:ind w:firstLine="4"/>
              <w:rPr>
                <w:bCs/>
                <w:noProof/>
                <w:color w:val="000000"/>
              </w:rPr>
            </w:pPr>
            <w:r>
              <w:rPr>
                <w:bCs/>
                <w:noProof/>
                <w:color w:val="000000"/>
              </w:rPr>
              <w:t>1.274.097</w:t>
            </w:r>
          </w:p>
        </w:tc>
        <w:tc>
          <w:tcPr>
            <w:tcW w:w="1372" w:type="dxa"/>
            <w:vAlign w:val="center"/>
          </w:tcPr>
          <w:p w:rsidR="00000000" w:rsidRDefault="00000000">
            <w:pPr>
              <w:tabs>
                <w:tab w:val="decimal" w:pos="1025"/>
              </w:tabs>
              <w:ind w:firstLine="4"/>
              <w:rPr>
                <w:bCs/>
                <w:noProof/>
                <w:color w:val="000000"/>
              </w:rPr>
            </w:pPr>
            <w:r>
              <w:rPr>
                <w:bCs/>
                <w:noProof/>
                <w:color w:val="000000"/>
              </w:rPr>
              <w:t>1.274.113</w:t>
            </w:r>
          </w:p>
        </w:tc>
        <w:tc>
          <w:tcPr>
            <w:tcW w:w="1372" w:type="dxa"/>
            <w:vAlign w:val="center"/>
          </w:tcPr>
          <w:p w:rsidR="00000000" w:rsidRDefault="00000000">
            <w:pPr>
              <w:tabs>
                <w:tab w:val="decimal" w:pos="1025"/>
              </w:tabs>
              <w:ind w:firstLine="4"/>
              <w:rPr>
                <w:bCs/>
                <w:noProof/>
                <w:color w:val="000000"/>
              </w:rPr>
            </w:pPr>
            <w:r>
              <w:rPr>
                <w:bCs/>
                <w:noProof/>
                <w:color w:val="000000"/>
              </w:rPr>
              <w:t>1.316.805</w:t>
            </w:r>
          </w:p>
        </w:tc>
        <w:tc>
          <w:tcPr>
            <w:tcW w:w="1372" w:type="dxa"/>
            <w:vAlign w:val="center"/>
          </w:tcPr>
          <w:p w:rsidR="00000000" w:rsidRDefault="00000000">
            <w:pPr>
              <w:tabs>
                <w:tab w:val="decimal" w:pos="1011"/>
              </w:tabs>
              <w:ind w:firstLine="4"/>
              <w:rPr>
                <w:bCs/>
                <w:noProof/>
                <w:color w:val="000000"/>
              </w:rPr>
            </w:pPr>
            <w:r>
              <w:rPr>
                <w:bCs/>
                <w:noProof/>
                <w:color w:val="000000"/>
              </w:rPr>
              <w:t>1.367.107</w:t>
            </w:r>
          </w:p>
        </w:tc>
        <w:tc>
          <w:tcPr>
            <w:tcW w:w="1372" w:type="dxa"/>
            <w:vAlign w:val="center"/>
          </w:tcPr>
          <w:p w:rsidR="00000000" w:rsidRDefault="00000000">
            <w:pPr>
              <w:tabs>
                <w:tab w:val="decimal" w:pos="1012"/>
              </w:tabs>
              <w:ind w:firstLine="4"/>
              <w:rPr>
                <w:bCs/>
                <w:noProof/>
                <w:color w:val="000000"/>
              </w:rPr>
            </w:pPr>
            <w:r>
              <w:rPr>
                <w:bCs/>
                <w:noProof/>
                <w:color w:val="000000"/>
              </w:rPr>
              <w:t>1.375.824</w:t>
            </w:r>
          </w:p>
        </w:tc>
        <w:tc>
          <w:tcPr>
            <w:tcW w:w="1372" w:type="dxa"/>
            <w:vAlign w:val="center"/>
          </w:tcPr>
          <w:p w:rsidR="00000000" w:rsidRDefault="00000000">
            <w:pPr>
              <w:tabs>
                <w:tab w:val="decimal" w:pos="1013"/>
              </w:tabs>
              <w:rPr>
                <w:bCs/>
                <w:noProof/>
                <w:color w:val="000000"/>
              </w:rPr>
            </w:pPr>
            <w:r>
              <w:rPr>
                <w:bCs/>
                <w:noProof/>
                <w:color w:val="000000"/>
              </w:rPr>
              <w:t>1.393.228</w:t>
            </w:r>
          </w:p>
        </w:tc>
      </w:tr>
      <w:tr w:rsidR="00000000">
        <w:tblPrEx>
          <w:tblCellMar>
            <w:top w:w="0" w:type="dxa"/>
            <w:bottom w:w="0" w:type="dxa"/>
          </w:tblCellMar>
        </w:tblPrEx>
        <w:trPr>
          <w:trHeight w:val="20"/>
          <w:jc w:val="center"/>
        </w:trPr>
        <w:tc>
          <w:tcPr>
            <w:tcW w:w="1372" w:type="dxa"/>
            <w:vAlign w:val="center"/>
          </w:tcPr>
          <w:p w:rsidR="00000000" w:rsidRDefault="00000000">
            <w:pPr>
              <w:tabs>
                <w:tab w:val="left" w:pos="363"/>
              </w:tabs>
              <w:ind w:firstLine="4"/>
              <w:rPr>
                <w:bCs/>
                <w:noProof/>
                <w:color w:val="000000"/>
              </w:rPr>
            </w:pPr>
            <w:r>
              <w:rPr>
                <w:bCs/>
                <w:noProof/>
                <w:color w:val="000000"/>
              </w:rPr>
              <w:tab/>
              <w:t>Total</w:t>
            </w:r>
          </w:p>
        </w:tc>
        <w:tc>
          <w:tcPr>
            <w:tcW w:w="1372" w:type="dxa"/>
            <w:vAlign w:val="center"/>
          </w:tcPr>
          <w:p w:rsidR="00000000" w:rsidRDefault="00000000">
            <w:pPr>
              <w:tabs>
                <w:tab w:val="decimal" w:pos="1025"/>
              </w:tabs>
              <w:ind w:firstLine="4"/>
              <w:rPr>
                <w:bCs/>
                <w:noProof/>
                <w:color w:val="000000"/>
              </w:rPr>
            </w:pPr>
            <w:r>
              <w:rPr>
                <w:bCs/>
                <w:noProof/>
                <w:color w:val="000000"/>
              </w:rPr>
              <w:t>3.306.600</w:t>
            </w:r>
          </w:p>
        </w:tc>
        <w:tc>
          <w:tcPr>
            <w:tcW w:w="1372" w:type="dxa"/>
            <w:vAlign w:val="center"/>
          </w:tcPr>
          <w:p w:rsidR="00000000" w:rsidRDefault="00000000">
            <w:pPr>
              <w:tabs>
                <w:tab w:val="decimal" w:pos="1025"/>
              </w:tabs>
              <w:ind w:firstLine="4"/>
              <w:rPr>
                <w:bCs/>
                <w:noProof/>
                <w:color w:val="000000"/>
              </w:rPr>
            </w:pPr>
            <w:r>
              <w:rPr>
                <w:bCs/>
                <w:noProof/>
                <w:color w:val="000000"/>
              </w:rPr>
              <w:t>3.337.976</w:t>
            </w:r>
          </w:p>
        </w:tc>
        <w:tc>
          <w:tcPr>
            <w:tcW w:w="1372" w:type="dxa"/>
            <w:vAlign w:val="center"/>
          </w:tcPr>
          <w:p w:rsidR="00000000" w:rsidRDefault="00000000">
            <w:pPr>
              <w:tabs>
                <w:tab w:val="decimal" w:pos="1025"/>
              </w:tabs>
              <w:ind w:firstLine="4"/>
              <w:rPr>
                <w:bCs/>
                <w:noProof/>
                <w:color w:val="000000"/>
              </w:rPr>
            </w:pPr>
            <w:r>
              <w:rPr>
                <w:bCs/>
                <w:noProof/>
                <w:color w:val="000000"/>
              </w:rPr>
              <w:t>3.429.927</w:t>
            </w:r>
          </w:p>
        </w:tc>
        <w:tc>
          <w:tcPr>
            <w:tcW w:w="1372" w:type="dxa"/>
            <w:vAlign w:val="center"/>
          </w:tcPr>
          <w:p w:rsidR="00000000" w:rsidRDefault="00000000">
            <w:pPr>
              <w:tabs>
                <w:tab w:val="decimal" w:pos="1011"/>
              </w:tabs>
              <w:ind w:firstLine="4"/>
              <w:rPr>
                <w:bCs/>
                <w:noProof/>
                <w:color w:val="000000"/>
              </w:rPr>
            </w:pPr>
            <w:r>
              <w:rPr>
                <w:bCs/>
                <w:noProof/>
                <w:color w:val="000000"/>
              </w:rPr>
              <w:t>3.508.509</w:t>
            </w:r>
          </w:p>
        </w:tc>
        <w:tc>
          <w:tcPr>
            <w:tcW w:w="1372" w:type="dxa"/>
            <w:vAlign w:val="center"/>
          </w:tcPr>
          <w:p w:rsidR="00000000" w:rsidRDefault="00000000">
            <w:pPr>
              <w:tabs>
                <w:tab w:val="decimal" w:pos="1012"/>
              </w:tabs>
              <w:ind w:firstLine="4"/>
              <w:rPr>
                <w:bCs/>
                <w:noProof/>
                <w:color w:val="000000"/>
              </w:rPr>
            </w:pPr>
            <w:r>
              <w:rPr>
                <w:bCs/>
                <w:noProof/>
                <w:color w:val="000000"/>
              </w:rPr>
              <w:t>3.559.022</w:t>
            </w:r>
          </w:p>
        </w:tc>
        <w:tc>
          <w:tcPr>
            <w:tcW w:w="1372" w:type="dxa"/>
            <w:vAlign w:val="center"/>
          </w:tcPr>
          <w:p w:rsidR="00000000" w:rsidRDefault="00000000">
            <w:pPr>
              <w:tabs>
                <w:tab w:val="decimal" w:pos="1013"/>
              </w:tabs>
              <w:rPr>
                <w:bCs/>
                <w:noProof/>
                <w:color w:val="000000"/>
              </w:rPr>
            </w:pPr>
            <w:r>
              <w:rPr>
                <w:bCs/>
                <w:noProof/>
                <w:color w:val="000000"/>
              </w:rPr>
              <w:t>3.628.711</w:t>
            </w:r>
          </w:p>
        </w:tc>
      </w:tr>
    </w:tbl>
    <w:p w:rsidR="00000000" w:rsidRDefault="00000000">
      <w:pPr>
        <w:spacing w:before="240" w:after="480"/>
        <w:rPr>
          <w:bCs/>
          <w:noProof/>
          <w:color w:val="000000"/>
        </w:rPr>
      </w:pPr>
      <w:r>
        <w:rPr>
          <w:bCs/>
          <w:i/>
          <w:iCs/>
          <w:noProof/>
          <w:color w:val="000000"/>
        </w:rPr>
        <w:t>Fuente</w:t>
      </w:r>
      <w:r>
        <w:rPr>
          <w:bCs/>
          <w:noProof/>
          <w:color w:val="000000"/>
        </w:rPr>
        <w:t>:  MINEDUC.  Estadísticas de educación, 2003.</w:t>
      </w:r>
    </w:p>
    <w:p w:rsidR="00000000" w:rsidRDefault="00000000">
      <w:pPr>
        <w:spacing w:after="240"/>
        <w:ind w:left="-4" w:firstLine="4"/>
        <w:jc w:val="center"/>
        <w:outlineLvl w:val="0"/>
        <w:rPr>
          <w:b/>
          <w:noProof/>
        </w:rPr>
      </w:pPr>
      <w:r>
        <w:rPr>
          <w:b/>
          <w:noProof/>
        </w:rPr>
        <w:t>Cuadro 47</w:t>
      </w:r>
    </w:p>
    <w:p w:rsidR="00000000" w:rsidRDefault="00000000">
      <w:pPr>
        <w:spacing w:after="240"/>
        <w:ind w:left="-4" w:firstLine="4"/>
        <w:jc w:val="center"/>
        <w:rPr>
          <w:bCs/>
          <w:noProof/>
        </w:rPr>
      </w:pPr>
      <w:r>
        <w:rPr>
          <w:b/>
          <w:noProof/>
        </w:rPr>
        <w:t>Cobertura de educación por nivel de enseñanza según zona</w:t>
      </w:r>
    </w:p>
    <w:tbl>
      <w:tblPr>
        <w:tblW w:w="0" w:type="auto"/>
        <w:jc w:val="center"/>
        <w:tblLayout w:type="fixed"/>
        <w:tblCellMar>
          <w:left w:w="120" w:type="dxa"/>
          <w:right w:w="120" w:type="dxa"/>
        </w:tblCellMar>
        <w:tblLook w:val="0000" w:firstRow="0" w:lastRow="0" w:firstColumn="0" w:lastColumn="0" w:noHBand="0" w:noVBand="0"/>
      </w:tblPr>
      <w:tblGrid>
        <w:gridCol w:w="934"/>
        <w:gridCol w:w="934"/>
        <w:gridCol w:w="934"/>
        <w:gridCol w:w="934"/>
        <w:gridCol w:w="934"/>
        <w:gridCol w:w="934"/>
        <w:gridCol w:w="934"/>
        <w:gridCol w:w="934"/>
        <w:gridCol w:w="934"/>
        <w:gridCol w:w="946"/>
      </w:tblGrid>
      <w:tr w:rsidR="00000000">
        <w:tblPrEx>
          <w:tblCellMar>
            <w:top w:w="0" w:type="dxa"/>
            <w:bottom w:w="0" w:type="dxa"/>
          </w:tblCellMar>
        </w:tblPrEx>
        <w:trPr>
          <w:cantSplit/>
          <w:jc w:val="center"/>
        </w:trPr>
        <w:tc>
          <w:tcPr>
            <w:tcW w:w="934" w:type="dxa"/>
            <w:vMerge w:val="restart"/>
            <w:tcBorders>
              <w:top w:val="single" w:sz="4" w:space="0" w:color="auto"/>
              <w:left w:val="single" w:sz="4" w:space="0" w:color="auto"/>
              <w:right w:val="single" w:sz="8" w:space="0" w:color="000000"/>
            </w:tcBorders>
            <w:vAlign w:val="center"/>
          </w:tcPr>
          <w:p w:rsidR="00000000" w:rsidRDefault="00000000">
            <w:pPr>
              <w:ind w:firstLine="4"/>
              <w:jc w:val="center"/>
              <w:rPr>
                <w:b/>
                <w:noProof/>
                <w:color w:val="000000"/>
              </w:rPr>
            </w:pPr>
            <w:r>
              <w:rPr>
                <w:b/>
                <w:noProof/>
                <w:color w:val="000000"/>
              </w:rPr>
              <w:t>Año</w:t>
            </w:r>
          </w:p>
        </w:tc>
        <w:tc>
          <w:tcPr>
            <w:tcW w:w="2802" w:type="dxa"/>
            <w:gridSpan w:val="3"/>
            <w:tcBorders>
              <w:top w:val="single" w:sz="4" w:space="0" w:color="auto"/>
              <w:left w:val="single" w:sz="8" w:space="0" w:color="000000"/>
              <w:bottom w:val="single" w:sz="7" w:space="0" w:color="000000"/>
              <w:right w:val="single" w:sz="8" w:space="0" w:color="000000"/>
            </w:tcBorders>
            <w:vAlign w:val="center"/>
          </w:tcPr>
          <w:p w:rsidR="00000000" w:rsidRDefault="00000000">
            <w:pPr>
              <w:ind w:firstLine="4"/>
              <w:jc w:val="center"/>
              <w:rPr>
                <w:b/>
                <w:noProof/>
                <w:color w:val="000000"/>
              </w:rPr>
            </w:pPr>
            <w:r>
              <w:rPr>
                <w:b/>
                <w:noProof/>
                <w:color w:val="000000"/>
              </w:rPr>
              <w:t>Enseñanza Parvularia</w:t>
            </w:r>
          </w:p>
        </w:tc>
        <w:tc>
          <w:tcPr>
            <w:tcW w:w="2802" w:type="dxa"/>
            <w:gridSpan w:val="3"/>
            <w:tcBorders>
              <w:top w:val="single" w:sz="4" w:space="0" w:color="auto"/>
              <w:left w:val="single" w:sz="8" w:space="0" w:color="000000"/>
              <w:bottom w:val="single" w:sz="7" w:space="0" w:color="000000"/>
              <w:right w:val="single" w:sz="8" w:space="0" w:color="000000"/>
            </w:tcBorders>
            <w:vAlign w:val="center"/>
          </w:tcPr>
          <w:p w:rsidR="00000000" w:rsidRDefault="00000000">
            <w:pPr>
              <w:ind w:firstLine="4"/>
              <w:jc w:val="center"/>
              <w:rPr>
                <w:b/>
                <w:noProof/>
                <w:color w:val="000000"/>
              </w:rPr>
            </w:pPr>
            <w:r>
              <w:rPr>
                <w:b/>
                <w:noProof/>
                <w:color w:val="000000"/>
              </w:rPr>
              <w:t>Enseñanza Básica</w:t>
            </w:r>
          </w:p>
        </w:tc>
        <w:tc>
          <w:tcPr>
            <w:tcW w:w="2814" w:type="dxa"/>
            <w:gridSpan w:val="3"/>
            <w:tcBorders>
              <w:top w:val="single" w:sz="4" w:space="0" w:color="auto"/>
              <w:left w:val="single" w:sz="8" w:space="0" w:color="000000"/>
              <w:bottom w:val="single" w:sz="7" w:space="0" w:color="000000"/>
              <w:right w:val="single" w:sz="4" w:space="0" w:color="auto"/>
            </w:tcBorders>
            <w:vAlign w:val="center"/>
          </w:tcPr>
          <w:p w:rsidR="00000000" w:rsidRDefault="00000000">
            <w:pPr>
              <w:ind w:firstLine="4"/>
              <w:jc w:val="center"/>
              <w:rPr>
                <w:b/>
                <w:noProof/>
                <w:color w:val="000000"/>
              </w:rPr>
            </w:pPr>
            <w:r>
              <w:rPr>
                <w:b/>
                <w:noProof/>
                <w:color w:val="000000"/>
              </w:rPr>
              <w:t>Enseñanza Media</w:t>
            </w:r>
          </w:p>
        </w:tc>
      </w:tr>
      <w:tr w:rsidR="00000000">
        <w:tblPrEx>
          <w:tblCellMar>
            <w:top w:w="0" w:type="dxa"/>
            <w:bottom w:w="0" w:type="dxa"/>
          </w:tblCellMar>
        </w:tblPrEx>
        <w:trPr>
          <w:cantSplit/>
          <w:jc w:val="center"/>
        </w:trPr>
        <w:tc>
          <w:tcPr>
            <w:tcW w:w="934" w:type="dxa"/>
            <w:vMerge/>
            <w:tcBorders>
              <w:left w:val="single" w:sz="4" w:space="0" w:color="auto"/>
              <w:bottom w:val="single" w:sz="7" w:space="0" w:color="000000"/>
              <w:right w:val="single" w:sz="8" w:space="0" w:color="000000"/>
            </w:tcBorders>
            <w:vAlign w:val="center"/>
          </w:tcPr>
          <w:p w:rsidR="00000000" w:rsidRDefault="00000000">
            <w:pPr>
              <w:ind w:firstLine="4"/>
              <w:jc w:val="center"/>
              <w:rPr>
                <w:b/>
                <w:noProof/>
                <w:color w:val="000000"/>
              </w:rPr>
            </w:pPr>
          </w:p>
        </w:tc>
        <w:tc>
          <w:tcPr>
            <w:tcW w:w="934"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
                <w:noProof/>
                <w:color w:val="000000"/>
              </w:rPr>
            </w:pPr>
            <w:r>
              <w:rPr>
                <w:b/>
                <w:noProof/>
                <w:color w:val="000000"/>
              </w:rPr>
              <w:t>Niños</w:t>
            </w:r>
          </w:p>
        </w:tc>
        <w:tc>
          <w:tcPr>
            <w:tcW w:w="934"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
                <w:noProof/>
                <w:color w:val="000000"/>
              </w:rPr>
            </w:pPr>
            <w:r>
              <w:rPr>
                <w:b/>
                <w:noProof/>
                <w:color w:val="000000"/>
              </w:rPr>
              <w:t>Niñas</w:t>
            </w:r>
          </w:p>
        </w:tc>
        <w:tc>
          <w:tcPr>
            <w:tcW w:w="934"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
                <w:noProof/>
                <w:color w:val="000000"/>
              </w:rPr>
            </w:pPr>
            <w:r>
              <w:rPr>
                <w:b/>
                <w:noProof/>
                <w:color w:val="000000"/>
              </w:rPr>
              <w:t>Total</w:t>
            </w:r>
          </w:p>
        </w:tc>
        <w:tc>
          <w:tcPr>
            <w:tcW w:w="934"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
                <w:noProof/>
                <w:color w:val="000000"/>
              </w:rPr>
            </w:pPr>
            <w:r>
              <w:rPr>
                <w:b/>
                <w:noProof/>
                <w:color w:val="000000"/>
              </w:rPr>
              <w:t>Niños</w:t>
            </w:r>
          </w:p>
        </w:tc>
        <w:tc>
          <w:tcPr>
            <w:tcW w:w="934"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
                <w:noProof/>
                <w:color w:val="000000"/>
              </w:rPr>
            </w:pPr>
            <w:r>
              <w:rPr>
                <w:b/>
                <w:noProof/>
                <w:color w:val="000000"/>
              </w:rPr>
              <w:t>Niñas</w:t>
            </w:r>
          </w:p>
        </w:tc>
        <w:tc>
          <w:tcPr>
            <w:tcW w:w="934"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
                <w:noProof/>
                <w:color w:val="000000"/>
              </w:rPr>
            </w:pPr>
            <w:r>
              <w:rPr>
                <w:b/>
                <w:noProof/>
                <w:color w:val="000000"/>
              </w:rPr>
              <w:t>Total</w:t>
            </w:r>
          </w:p>
        </w:tc>
        <w:tc>
          <w:tcPr>
            <w:tcW w:w="934"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
                <w:noProof/>
                <w:color w:val="000000"/>
              </w:rPr>
            </w:pPr>
            <w:r>
              <w:rPr>
                <w:b/>
                <w:noProof/>
                <w:color w:val="000000"/>
              </w:rPr>
              <w:t>Niños</w:t>
            </w:r>
          </w:p>
        </w:tc>
        <w:tc>
          <w:tcPr>
            <w:tcW w:w="934"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
                <w:noProof/>
                <w:color w:val="000000"/>
              </w:rPr>
            </w:pPr>
            <w:r>
              <w:rPr>
                <w:b/>
                <w:noProof/>
                <w:color w:val="000000"/>
              </w:rPr>
              <w:t>Niñas</w:t>
            </w:r>
          </w:p>
        </w:tc>
        <w:tc>
          <w:tcPr>
            <w:tcW w:w="946" w:type="dxa"/>
            <w:tcBorders>
              <w:top w:val="single" w:sz="7" w:space="0" w:color="000000"/>
              <w:left w:val="single" w:sz="8" w:space="0" w:color="000000"/>
              <w:bottom w:val="single" w:sz="7" w:space="0" w:color="000000"/>
              <w:right w:val="single" w:sz="4" w:space="0" w:color="auto"/>
            </w:tcBorders>
            <w:vAlign w:val="center"/>
          </w:tcPr>
          <w:p w:rsidR="00000000" w:rsidRDefault="00000000">
            <w:pPr>
              <w:ind w:firstLine="4"/>
              <w:jc w:val="center"/>
              <w:rPr>
                <w:b/>
                <w:noProof/>
                <w:color w:val="000000"/>
              </w:rPr>
            </w:pPr>
            <w:r>
              <w:rPr>
                <w:b/>
                <w:noProof/>
                <w:color w:val="000000"/>
              </w:rPr>
              <w:t>Total</w:t>
            </w:r>
          </w:p>
        </w:tc>
      </w:tr>
      <w:tr w:rsidR="00000000">
        <w:tblPrEx>
          <w:tblCellMar>
            <w:top w:w="0" w:type="dxa"/>
            <w:bottom w:w="0" w:type="dxa"/>
          </w:tblCellMar>
        </w:tblPrEx>
        <w:trPr>
          <w:jc w:val="center"/>
        </w:trPr>
        <w:tc>
          <w:tcPr>
            <w:tcW w:w="934" w:type="dxa"/>
            <w:tcBorders>
              <w:top w:val="single" w:sz="7" w:space="0" w:color="000000"/>
              <w:left w:val="single" w:sz="4" w:space="0" w:color="auto"/>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1996</w:t>
            </w:r>
          </w:p>
        </w:tc>
        <w:tc>
          <w:tcPr>
            <w:tcW w:w="934"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29,0</w:t>
            </w:r>
          </w:p>
        </w:tc>
        <w:tc>
          <w:tcPr>
            <w:tcW w:w="934"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30,7</w:t>
            </w:r>
          </w:p>
        </w:tc>
        <w:tc>
          <w:tcPr>
            <w:tcW w:w="934"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29,8</w:t>
            </w:r>
          </w:p>
        </w:tc>
        <w:tc>
          <w:tcPr>
            <w:tcW w:w="934"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98,2</w:t>
            </w:r>
          </w:p>
        </w:tc>
        <w:tc>
          <w:tcPr>
            <w:tcW w:w="934"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98,1</w:t>
            </w:r>
          </w:p>
        </w:tc>
        <w:tc>
          <w:tcPr>
            <w:tcW w:w="934"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98,2</w:t>
            </w:r>
          </w:p>
        </w:tc>
        <w:tc>
          <w:tcPr>
            <w:tcW w:w="934"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84,7</w:t>
            </w:r>
          </w:p>
        </w:tc>
        <w:tc>
          <w:tcPr>
            <w:tcW w:w="934"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87,0</w:t>
            </w:r>
          </w:p>
        </w:tc>
        <w:tc>
          <w:tcPr>
            <w:tcW w:w="946" w:type="dxa"/>
            <w:tcBorders>
              <w:top w:val="single" w:sz="7" w:space="0" w:color="000000"/>
              <w:left w:val="single" w:sz="8" w:space="0" w:color="000000"/>
              <w:bottom w:val="single" w:sz="7" w:space="0" w:color="000000"/>
              <w:right w:val="single" w:sz="4" w:space="0" w:color="auto"/>
            </w:tcBorders>
            <w:vAlign w:val="center"/>
          </w:tcPr>
          <w:p w:rsidR="00000000" w:rsidRDefault="00000000">
            <w:pPr>
              <w:ind w:firstLine="4"/>
              <w:jc w:val="center"/>
              <w:rPr>
                <w:bCs/>
                <w:noProof/>
                <w:color w:val="000000"/>
              </w:rPr>
            </w:pPr>
            <w:r>
              <w:rPr>
                <w:bCs/>
                <w:noProof/>
                <w:color w:val="000000"/>
              </w:rPr>
              <w:t>85,9</w:t>
            </w:r>
          </w:p>
        </w:tc>
      </w:tr>
      <w:tr w:rsidR="00000000">
        <w:tblPrEx>
          <w:tblCellMar>
            <w:top w:w="0" w:type="dxa"/>
            <w:bottom w:w="0" w:type="dxa"/>
          </w:tblCellMar>
        </w:tblPrEx>
        <w:trPr>
          <w:jc w:val="center"/>
        </w:trPr>
        <w:tc>
          <w:tcPr>
            <w:tcW w:w="934" w:type="dxa"/>
            <w:tcBorders>
              <w:top w:val="single" w:sz="7" w:space="0" w:color="000000"/>
              <w:left w:val="single" w:sz="4" w:space="0" w:color="auto"/>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1998</w:t>
            </w:r>
          </w:p>
        </w:tc>
        <w:tc>
          <w:tcPr>
            <w:tcW w:w="934"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30,0</w:t>
            </w:r>
          </w:p>
        </w:tc>
        <w:tc>
          <w:tcPr>
            <w:tcW w:w="934"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30,6</w:t>
            </w:r>
          </w:p>
        </w:tc>
        <w:tc>
          <w:tcPr>
            <w:tcW w:w="934"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30,3</w:t>
            </w:r>
          </w:p>
        </w:tc>
        <w:tc>
          <w:tcPr>
            <w:tcW w:w="934"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98,2</w:t>
            </w:r>
          </w:p>
        </w:tc>
        <w:tc>
          <w:tcPr>
            <w:tcW w:w="934"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98,5</w:t>
            </w:r>
          </w:p>
        </w:tc>
        <w:tc>
          <w:tcPr>
            <w:tcW w:w="934"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98,3</w:t>
            </w:r>
          </w:p>
        </w:tc>
        <w:tc>
          <w:tcPr>
            <w:tcW w:w="934"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86,3</w:t>
            </w:r>
          </w:p>
        </w:tc>
        <w:tc>
          <w:tcPr>
            <w:tcW w:w="934"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87,4</w:t>
            </w:r>
          </w:p>
        </w:tc>
        <w:tc>
          <w:tcPr>
            <w:tcW w:w="946" w:type="dxa"/>
            <w:tcBorders>
              <w:top w:val="single" w:sz="7" w:space="0" w:color="000000"/>
              <w:left w:val="single" w:sz="8" w:space="0" w:color="000000"/>
              <w:bottom w:val="single" w:sz="7" w:space="0" w:color="000000"/>
              <w:right w:val="single" w:sz="4" w:space="0" w:color="auto"/>
            </w:tcBorders>
            <w:vAlign w:val="center"/>
          </w:tcPr>
          <w:p w:rsidR="00000000" w:rsidRDefault="00000000">
            <w:pPr>
              <w:ind w:firstLine="4"/>
              <w:jc w:val="center"/>
              <w:rPr>
                <w:bCs/>
                <w:noProof/>
                <w:color w:val="000000"/>
              </w:rPr>
            </w:pPr>
            <w:r>
              <w:rPr>
                <w:bCs/>
                <w:noProof/>
                <w:color w:val="000000"/>
              </w:rPr>
              <w:t>86,8</w:t>
            </w:r>
          </w:p>
        </w:tc>
      </w:tr>
      <w:tr w:rsidR="00000000">
        <w:tblPrEx>
          <w:tblCellMar>
            <w:top w:w="0" w:type="dxa"/>
            <w:bottom w:w="0" w:type="dxa"/>
          </w:tblCellMar>
        </w:tblPrEx>
        <w:trPr>
          <w:jc w:val="center"/>
        </w:trPr>
        <w:tc>
          <w:tcPr>
            <w:tcW w:w="934" w:type="dxa"/>
            <w:tcBorders>
              <w:top w:val="single" w:sz="7" w:space="0" w:color="000000"/>
              <w:left w:val="single" w:sz="4" w:space="0" w:color="auto"/>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2000</w:t>
            </w:r>
          </w:p>
        </w:tc>
        <w:tc>
          <w:tcPr>
            <w:tcW w:w="934"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33,0</w:t>
            </w:r>
          </w:p>
        </w:tc>
        <w:tc>
          <w:tcPr>
            <w:tcW w:w="934"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32,0</w:t>
            </w:r>
          </w:p>
        </w:tc>
        <w:tc>
          <w:tcPr>
            <w:tcW w:w="934"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32,4</w:t>
            </w:r>
          </w:p>
        </w:tc>
        <w:tc>
          <w:tcPr>
            <w:tcW w:w="934"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99,0</w:t>
            </w:r>
          </w:p>
        </w:tc>
        <w:tc>
          <w:tcPr>
            <w:tcW w:w="934"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99,0</w:t>
            </w:r>
          </w:p>
        </w:tc>
        <w:tc>
          <w:tcPr>
            <w:tcW w:w="934"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98,0</w:t>
            </w:r>
          </w:p>
        </w:tc>
        <w:tc>
          <w:tcPr>
            <w:tcW w:w="934"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90,0</w:t>
            </w:r>
          </w:p>
        </w:tc>
        <w:tc>
          <w:tcPr>
            <w:tcW w:w="934"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90,0</w:t>
            </w:r>
          </w:p>
        </w:tc>
        <w:tc>
          <w:tcPr>
            <w:tcW w:w="946" w:type="dxa"/>
            <w:tcBorders>
              <w:top w:val="single" w:sz="7" w:space="0" w:color="000000"/>
              <w:left w:val="single" w:sz="8" w:space="0" w:color="000000"/>
              <w:bottom w:val="single" w:sz="7" w:space="0" w:color="000000"/>
              <w:right w:val="single" w:sz="4" w:space="0" w:color="auto"/>
            </w:tcBorders>
            <w:vAlign w:val="center"/>
          </w:tcPr>
          <w:p w:rsidR="00000000" w:rsidRDefault="00000000">
            <w:pPr>
              <w:ind w:firstLine="4"/>
              <w:jc w:val="center"/>
              <w:rPr>
                <w:bCs/>
                <w:noProof/>
                <w:color w:val="000000"/>
              </w:rPr>
            </w:pPr>
            <w:r>
              <w:rPr>
                <w:bCs/>
                <w:noProof/>
                <w:color w:val="000000"/>
              </w:rPr>
              <w:t>90,0</w:t>
            </w:r>
          </w:p>
        </w:tc>
      </w:tr>
      <w:tr w:rsidR="00000000">
        <w:tblPrEx>
          <w:tblCellMar>
            <w:top w:w="0" w:type="dxa"/>
            <w:bottom w:w="0" w:type="dxa"/>
          </w:tblCellMar>
        </w:tblPrEx>
        <w:trPr>
          <w:jc w:val="center"/>
        </w:trPr>
        <w:tc>
          <w:tcPr>
            <w:tcW w:w="934" w:type="dxa"/>
            <w:tcBorders>
              <w:top w:val="single" w:sz="7" w:space="0" w:color="000000"/>
              <w:left w:val="single" w:sz="4" w:space="0" w:color="auto"/>
              <w:bottom w:val="single" w:sz="4" w:space="0" w:color="auto"/>
              <w:right w:val="single" w:sz="8" w:space="0" w:color="000000"/>
            </w:tcBorders>
            <w:vAlign w:val="center"/>
          </w:tcPr>
          <w:p w:rsidR="00000000" w:rsidRDefault="00000000">
            <w:pPr>
              <w:jc w:val="center"/>
              <w:rPr>
                <w:bCs/>
                <w:noProof/>
                <w:color w:val="000000"/>
              </w:rPr>
            </w:pPr>
            <w:r>
              <w:rPr>
                <w:bCs/>
                <w:noProof/>
                <w:color w:val="000000"/>
              </w:rPr>
              <w:t>2003</w:t>
            </w:r>
          </w:p>
        </w:tc>
        <w:tc>
          <w:tcPr>
            <w:tcW w:w="934" w:type="dxa"/>
            <w:tcBorders>
              <w:top w:val="single" w:sz="7" w:space="0" w:color="000000"/>
              <w:left w:val="single" w:sz="8" w:space="0" w:color="000000"/>
              <w:bottom w:val="single" w:sz="4" w:space="0" w:color="auto"/>
              <w:right w:val="single" w:sz="8" w:space="0" w:color="000000"/>
            </w:tcBorders>
            <w:vAlign w:val="center"/>
          </w:tcPr>
          <w:p w:rsidR="00000000" w:rsidRDefault="00000000">
            <w:pPr>
              <w:jc w:val="center"/>
              <w:rPr>
                <w:bCs/>
                <w:noProof/>
                <w:color w:val="000000"/>
              </w:rPr>
            </w:pPr>
            <w:r>
              <w:rPr>
                <w:bCs/>
                <w:noProof/>
                <w:color w:val="000000"/>
              </w:rPr>
              <w:t>34,8</w:t>
            </w:r>
          </w:p>
        </w:tc>
        <w:tc>
          <w:tcPr>
            <w:tcW w:w="934" w:type="dxa"/>
            <w:tcBorders>
              <w:top w:val="single" w:sz="7" w:space="0" w:color="000000"/>
              <w:left w:val="single" w:sz="8" w:space="0" w:color="000000"/>
              <w:bottom w:val="single" w:sz="4" w:space="0" w:color="auto"/>
              <w:right w:val="single" w:sz="8" w:space="0" w:color="000000"/>
            </w:tcBorders>
            <w:vAlign w:val="center"/>
          </w:tcPr>
          <w:p w:rsidR="00000000" w:rsidRDefault="00000000">
            <w:pPr>
              <w:jc w:val="center"/>
              <w:rPr>
                <w:bCs/>
                <w:noProof/>
                <w:color w:val="000000"/>
              </w:rPr>
            </w:pPr>
            <w:r>
              <w:rPr>
                <w:bCs/>
                <w:noProof/>
                <w:color w:val="000000"/>
              </w:rPr>
              <w:t>35,3</w:t>
            </w:r>
          </w:p>
        </w:tc>
        <w:tc>
          <w:tcPr>
            <w:tcW w:w="934" w:type="dxa"/>
            <w:tcBorders>
              <w:top w:val="single" w:sz="7" w:space="0" w:color="000000"/>
              <w:left w:val="single" w:sz="8" w:space="0" w:color="000000"/>
              <w:bottom w:val="single" w:sz="4" w:space="0" w:color="auto"/>
              <w:right w:val="single" w:sz="8" w:space="0" w:color="000000"/>
            </w:tcBorders>
            <w:vAlign w:val="center"/>
          </w:tcPr>
          <w:p w:rsidR="00000000" w:rsidRDefault="00000000">
            <w:pPr>
              <w:jc w:val="center"/>
              <w:rPr>
                <w:bCs/>
                <w:noProof/>
                <w:color w:val="000000"/>
              </w:rPr>
            </w:pPr>
            <w:r>
              <w:rPr>
                <w:bCs/>
                <w:noProof/>
                <w:color w:val="000000"/>
              </w:rPr>
              <w:t>35,1</w:t>
            </w:r>
          </w:p>
        </w:tc>
        <w:tc>
          <w:tcPr>
            <w:tcW w:w="934" w:type="dxa"/>
            <w:tcBorders>
              <w:top w:val="single" w:sz="7" w:space="0" w:color="000000"/>
              <w:left w:val="single" w:sz="8" w:space="0" w:color="000000"/>
              <w:bottom w:val="single" w:sz="4" w:space="0" w:color="auto"/>
              <w:right w:val="single" w:sz="8" w:space="0" w:color="000000"/>
            </w:tcBorders>
            <w:vAlign w:val="center"/>
          </w:tcPr>
          <w:p w:rsidR="00000000" w:rsidRDefault="00000000">
            <w:pPr>
              <w:jc w:val="center"/>
              <w:rPr>
                <w:bCs/>
                <w:noProof/>
                <w:color w:val="000000"/>
              </w:rPr>
            </w:pPr>
            <w:r>
              <w:rPr>
                <w:bCs/>
                <w:noProof/>
                <w:color w:val="000000"/>
              </w:rPr>
              <w:t>99,0</w:t>
            </w:r>
          </w:p>
        </w:tc>
        <w:tc>
          <w:tcPr>
            <w:tcW w:w="934" w:type="dxa"/>
            <w:tcBorders>
              <w:top w:val="single" w:sz="7" w:space="0" w:color="000000"/>
              <w:left w:val="single" w:sz="8" w:space="0" w:color="000000"/>
              <w:bottom w:val="single" w:sz="4" w:space="0" w:color="auto"/>
              <w:right w:val="single" w:sz="8" w:space="0" w:color="000000"/>
            </w:tcBorders>
            <w:vAlign w:val="center"/>
          </w:tcPr>
          <w:p w:rsidR="00000000" w:rsidRDefault="00000000">
            <w:pPr>
              <w:jc w:val="center"/>
              <w:rPr>
                <w:bCs/>
                <w:noProof/>
                <w:color w:val="000000"/>
              </w:rPr>
            </w:pPr>
            <w:r>
              <w:rPr>
                <w:bCs/>
                <w:noProof/>
                <w:color w:val="000000"/>
              </w:rPr>
              <w:t>99,1</w:t>
            </w:r>
          </w:p>
        </w:tc>
        <w:tc>
          <w:tcPr>
            <w:tcW w:w="934" w:type="dxa"/>
            <w:tcBorders>
              <w:top w:val="single" w:sz="7" w:space="0" w:color="000000"/>
              <w:left w:val="single" w:sz="8" w:space="0" w:color="000000"/>
              <w:bottom w:val="single" w:sz="4" w:space="0" w:color="auto"/>
              <w:right w:val="single" w:sz="8" w:space="0" w:color="000000"/>
            </w:tcBorders>
            <w:vAlign w:val="center"/>
          </w:tcPr>
          <w:p w:rsidR="00000000" w:rsidRDefault="00000000">
            <w:pPr>
              <w:jc w:val="center"/>
              <w:rPr>
                <w:bCs/>
                <w:noProof/>
                <w:color w:val="000000"/>
              </w:rPr>
            </w:pPr>
            <w:r>
              <w:rPr>
                <w:bCs/>
                <w:noProof/>
                <w:color w:val="000000"/>
              </w:rPr>
              <w:t>99,1</w:t>
            </w:r>
          </w:p>
        </w:tc>
        <w:tc>
          <w:tcPr>
            <w:tcW w:w="934" w:type="dxa"/>
            <w:tcBorders>
              <w:top w:val="single" w:sz="7" w:space="0" w:color="000000"/>
              <w:left w:val="single" w:sz="8" w:space="0" w:color="000000"/>
              <w:bottom w:val="single" w:sz="4" w:space="0" w:color="auto"/>
              <w:right w:val="single" w:sz="8" w:space="0" w:color="000000"/>
            </w:tcBorders>
            <w:vAlign w:val="center"/>
          </w:tcPr>
          <w:p w:rsidR="00000000" w:rsidRDefault="00000000">
            <w:pPr>
              <w:jc w:val="center"/>
              <w:rPr>
                <w:bCs/>
                <w:noProof/>
                <w:color w:val="000000"/>
              </w:rPr>
            </w:pPr>
            <w:r>
              <w:rPr>
                <w:bCs/>
                <w:noProof/>
                <w:color w:val="000000"/>
              </w:rPr>
              <w:t>92,6</w:t>
            </w:r>
          </w:p>
        </w:tc>
        <w:tc>
          <w:tcPr>
            <w:tcW w:w="934" w:type="dxa"/>
            <w:tcBorders>
              <w:top w:val="single" w:sz="7" w:space="0" w:color="000000"/>
              <w:left w:val="single" w:sz="8" w:space="0" w:color="000000"/>
              <w:bottom w:val="single" w:sz="4" w:space="0" w:color="auto"/>
              <w:right w:val="single" w:sz="8" w:space="0" w:color="000000"/>
            </w:tcBorders>
            <w:vAlign w:val="center"/>
          </w:tcPr>
          <w:p w:rsidR="00000000" w:rsidRDefault="00000000">
            <w:pPr>
              <w:jc w:val="center"/>
              <w:rPr>
                <w:bCs/>
                <w:noProof/>
                <w:color w:val="000000"/>
              </w:rPr>
            </w:pPr>
            <w:r>
              <w:rPr>
                <w:bCs/>
                <w:noProof/>
                <w:color w:val="000000"/>
              </w:rPr>
              <w:t>92,8</w:t>
            </w:r>
          </w:p>
        </w:tc>
        <w:tc>
          <w:tcPr>
            <w:tcW w:w="946" w:type="dxa"/>
            <w:tcBorders>
              <w:top w:val="single" w:sz="7" w:space="0" w:color="000000"/>
              <w:left w:val="single" w:sz="8" w:space="0" w:color="000000"/>
              <w:bottom w:val="single" w:sz="4" w:space="0" w:color="auto"/>
              <w:right w:val="single" w:sz="4" w:space="0" w:color="auto"/>
            </w:tcBorders>
            <w:vAlign w:val="center"/>
          </w:tcPr>
          <w:p w:rsidR="00000000" w:rsidRDefault="00000000">
            <w:pPr>
              <w:jc w:val="center"/>
              <w:rPr>
                <w:bCs/>
                <w:noProof/>
                <w:color w:val="000000"/>
              </w:rPr>
            </w:pPr>
            <w:r>
              <w:rPr>
                <w:bCs/>
                <w:noProof/>
                <w:color w:val="000000"/>
              </w:rPr>
              <w:t>92,7</w:t>
            </w:r>
          </w:p>
        </w:tc>
      </w:tr>
    </w:tbl>
    <w:p w:rsidR="00000000" w:rsidRDefault="00000000">
      <w:pPr>
        <w:spacing w:before="240" w:after="480"/>
        <w:rPr>
          <w:bCs/>
          <w:noProof/>
          <w:color w:val="000000"/>
        </w:rPr>
      </w:pPr>
      <w:r>
        <w:rPr>
          <w:bCs/>
          <w:i/>
          <w:iCs/>
          <w:noProof/>
          <w:color w:val="000000"/>
        </w:rPr>
        <w:t>Fuente</w:t>
      </w:r>
      <w:r>
        <w:rPr>
          <w:bCs/>
          <w:noProof/>
          <w:color w:val="000000"/>
        </w:rPr>
        <w:t>:  MIDEPLAN, Casen 1996, 1998, 2000 y 2003.</w:t>
      </w:r>
    </w:p>
    <w:p w:rsidR="00000000" w:rsidRDefault="00000000">
      <w:pPr>
        <w:spacing w:after="200"/>
        <w:jc w:val="center"/>
        <w:outlineLvl w:val="0"/>
        <w:rPr>
          <w:b/>
          <w:noProof/>
        </w:rPr>
      </w:pPr>
      <w:r>
        <w:rPr>
          <w:b/>
          <w:noProof/>
        </w:rPr>
        <w:t>Cuadro 48</w:t>
      </w:r>
    </w:p>
    <w:p w:rsidR="00000000" w:rsidRDefault="00000000">
      <w:pPr>
        <w:spacing w:after="240"/>
        <w:jc w:val="center"/>
        <w:outlineLvl w:val="0"/>
        <w:rPr>
          <w:bCs/>
          <w:noProof/>
        </w:rPr>
      </w:pPr>
      <w:r>
        <w:rPr>
          <w:b/>
          <w:noProof/>
        </w:rPr>
        <w:t>Matrícula de enseñanza básica según tasa de aprobación, reprobación y abandono</w:t>
      </w:r>
    </w:p>
    <w:tbl>
      <w:tblPr>
        <w:tblW w:w="0" w:type="auto"/>
        <w:jc w:val="center"/>
        <w:tblBorders>
          <w:top w:val="single" w:sz="4" w:space="0" w:color="auto"/>
          <w:left w:val="single" w:sz="4" w:space="0" w:color="auto"/>
          <w:bottom w:val="single" w:sz="4" w:space="0" w:color="auto"/>
          <w:right w:val="single" w:sz="4" w:space="0" w:color="auto"/>
          <w:insideH w:val="single" w:sz="8" w:space="0" w:color="000000"/>
          <w:insideV w:val="single" w:sz="8" w:space="0" w:color="000000"/>
        </w:tblBorders>
        <w:tblLayout w:type="fixed"/>
        <w:tblCellMar>
          <w:left w:w="28" w:type="dxa"/>
          <w:right w:w="28" w:type="dxa"/>
        </w:tblCellMar>
        <w:tblLook w:val="0000" w:firstRow="0" w:lastRow="0" w:firstColumn="0" w:lastColumn="0" w:noHBand="0" w:noVBand="0"/>
      </w:tblPr>
      <w:tblGrid>
        <w:gridCol w:w="1280"/>
        <w:gridCol w:w="2018"/>
        <w:gridCol w:w="2018"/>
        <w:gridCol w:w="2018"/>
        <w:gridCol w:w="2024"/>
      </w:tblGrid>
      <w:tr w:rsidR="00000000">
        <w:tblPrEx>
          <w:tblCellMar>
            <w:top w:w="0" w:type="dxa"/>
            <w:bottom w:w="0" w:type="dxa"/>
          </w:tblCellMar>
        </w:tblPrEx>
        <w:trPr>
          <w:jc w:val="center"/>
        </w:trPr>
        <w:tc>
          <w:tcPr>
            <w:tcW w:w="1280" w:type="dxa"/>
            <w:vAlign w:val="center"/>
          </w:tcPr>
          <w:p w:rsidR="00000000" w:rsidRDefault="00000000">
            <w:pPr>
              <w:ind w:firstLine="6"/>
              <w:jc w:val="center"/>
              <w:rPr>
                <w:b/>
                <w:noProof/>
                <w:color w:val="000000"/>
              </w:rPr>
            </w:pPr>
            <w:r>
              <w:rPr>
                <w:b/>
                <w:noProof/>
                <w:color w:val="000000"/>
              </w:rPr>
              <w:t>Años</w:t>
            </w:r>
          </w:p>
        </w:tc>
        <w:tc>
          <w:tcPr>
            <w:tcW w:w="2018" w:type="dxa"/>
            <w:vAlign w:val="center"/>
          </w:tcPr>
          <w:p w:rsidR="00000000" w:rsidRDefault="00000000">
            <w:pPr>
              <w:ind w:firstLine="6"/>
              <w:jc w:val="center"/>
              <w:rPr>
                <w:b/>
                <w:noProof/>
                <w:color w:val="000000"/>
              </w:rPr>
            </w:pPr>
            <w:r>
              <w:rPr>
                <w:b/>
                <w:noProof/>
                <w:color w:val="000000"/>
              </w:rPr>
              <w:t>Matrícula Enseñanza Básica</w:t>
            </w:r>
          </w:p>
        </w:tc>
        <w:tc>
          <w:tcPr>
            <w:tcW w:w="2018" w:type="dxa"/>
            <w:vAlign w:val="center"/>
          </w:tcPr>
          <w:p w:rsidR="00000000" w:rsidRDefault="00000000">
            <w:pPr>
              <w:ind w:firstLine="6"/>
              <w:jc w:val="center"/>
              <w:rPr>
                <w:b/>
                <w:noProof/>
                <w:color w:val="000000"/>
              </w:rPr>
            </w:pPr>
            <w:r>
              <w:rPr>
                <w:b/>
                <w:noProof/>
                <w:color w:val="000000"/>
              </w:rPr>
              <w:t>Tasa de Aprobación</w:t>
            </w:r>
          </w:p>
        </w:tc>
        <w:tc>
          <w:tcPr>
            <w:tcW w:w="2018" w:type="dxa"/>
            <w:vAlign w:val="center"/>
          </w:tcPr>
          <w:p w:rsidR="00000000" w:rsidRDefault="00000000">
            <w:pPr>
              <w:ind w:firstLine="6"/>
              <w:jc w:val="center"/>
              <w:rPr>
                <w:b/>
                <w:noProof/>
                <w:color w:val="000000"/>
              </w:rPr>
            </w:pPr>
            <w:r>
              <w:rPr>
                <w:b/>
                <w:noProof/>
                <w:color w:val="000000"/>
              </w:rPr>
              <w:t>Tasa de Reprobación</w:t>
            </w:r>
          </w:p>
        </w:tc>
        <w:tc>
          <w:tcPr>
            <w:tcW w:w="2024" w:type="dxa"/>
            <w:vAlign w:val="center"/>
          </w:tcPr>
          <w:p w:rsidR="00000000" w:rsidRDefault="00000000">
            <w:pPr>
              <w:ind w:firstLine="6"/>
              <w:jc w:val="center"/>
              <w:rPr>
                <w:b/>
                <w:noProof/>
                <w:color w:val="000000"/>
              </w:rPr>
            </w:pPr>
            <w:r>
              <w:rPr>
                <w:b/>
                <w:noProof/>
                <w:color w:val="000000"/>
              </w:rPr>
              <w:t>Tasa de Abandono</w:t>
            </w:r>
          </w:p>
        </w:tc>
      </w:tr>
      <w:tr w:rsidR="00000000">
        <w:tblPrEx>
          <w:tblCellMar>
            <w:top w:w="0" w:type="dxa"/>
            <w:bottom w:w="0" w:type="dxa"/>
          </w:tblCellMar>
        </w:tblPrEx>
        <w:trPr>
          <w:jc w:val="center"/>
        </w:trPr>
        <w:tc>
          <w:tcPr>
            <w:tcW w:w="1280" w:type="dxa"/>
          </w:tcPr>
          <w:p w:rsidR="00000000" w:rsidRDefault="00000000">
            <w:pPr>
              <w:ind w:firstLine="6"/>
              <w:jc w:val="center"/>
              <w:rPr>
                <w:bCs/>
                <w:noProof/>
                <w:color w:val="000000"/>
              </w:rPr>
            </w:pPr>
            <w:r>
              <w:rPr>
                <w:bCs/>
                <w:noProof/>
                <w:color w:val="000000"/>
              </w:rPr>
              <w:t>1990</w:t>
            </w:r>
          </w:p>
        </w:tc>
        <w:tc>
          <w:tcPr>
            <w:tcW w:w="2018" w:type="dxa"/>
          </w:tcPr>
          <w:p w:rsidR="00000000" w:rsidRDefault="00000000">
            <w:pPr>
              <w:ind w:firstLine="6"/>
              <w:jc w:val="center"/>
              <w:rPr>
                <w:bCs/>
                <w:noProof/>
                <w:color w:val="000000"/>
              </w:rPr>
            </w:pPr>
            <w:r>
              <w:rPr>
                <w:bCs/>
                <w:noProof/>
                <w:color w:val="000000"/>
              </w:rPr>
              <w:t>1.991.178</w:t>
            </w:r>
          </w:p>
        </w:tc>
        <w:tc>
          <w:tcPr>
            <w:tcW w:w="2018" w:type="dxa"/>
          </w:tcPr>
          <w:p w:rsidR="00000000" w:rsidRDefault="00000000">
            <w:pPr>
              <w:ind w:firstLine="6"/>
              <w:jc w:val="center"/>
              <w:rPr>
                <w:bCs/>
                <w:noProof/>
                <w:color w:val="000000"/>
              </w:rPr>
            </w:pPr>
            <w:r>
              <w:rPr>
                <w:bCs/>
                <w:noProof/>
                <w:color w:val="000000"/>
              </w:rPr>
              <w:t>89,9</w:t>
            </w:r>
          </w:p>
        </w:tc>
        <w:tc>
          <w:tcPr>
            <w:tcW w:w="2018" w:type="dxa"/>
          </w:tcPr>
          <w:p w:rsidR="00000000" w:rsidRDefault="00000000">
            <w:pPr>
              <w:ind w:firstLine="6"/>
              <w:jc w:val="center"/>
              <w:rPr>
                <w:bCs/>
                <w:noProof/>
                <w:color w:val="000000"/>
              </w:rPr>
            </w:pPr>
            <w:r>
              <w:rPr>
                <w:bCs/>
                <w:noProof/>
                <w:color w:val="000000"/>
              </w:rPr>
              <w:t>7,8</w:t>
            </w:r>
          </w:p>
        </w:tc>
        <w:tc>
          <w:tcPr>
            <w:tcW w:w="2024" w:type="dxa"/>
          </w:tcPr>
          <w:p w:rsidR="00000000" w:rsidRDefault="00000000">
            <w:pPr>
              <w:ind w:firstLine="6"/>
              <w:jc w:val="center"/>
              <w:rPr>
                <w:bCs/>
                <w:noProof/>
                <w:color w:val="000000"/>
              </w:rPr>
            </w:pPr>
            <w:r>
              <w:rPr>
                <w:bCs/>
                <w:noProof/>
                <w:color w:val="000000"/>
              </w:rPr>
              <w:t>2,3</w:t>
            </w:r>
          </w:p>
        </w:tc>
      </w:tr>
      <w:tr w:rsidR="00000000">
        <w:tblPrEx>
          <w:tblCellMar>
            <w:top w:w="0" w:type="dxa"/>
            <w:bottom w:w="0" w:type="dxa"/>
          </w:tblCellMar>
        </w:tblPrEx>
        <w:trPr>
          <w:jc w:val="center"/>
        </w:trPr>
        <w:tc>
          <w:tcPr>
            <w:tcW w:w="1280" w:type="dxa"/>
          </w:tcPr>
          <w:p w:rsidR="00000000" w:rsidRDefault="00000000">
            <w:pPr>
              <w:ind w:firstLine="6"/>
              <w:jc w:val="center"/>
              <w:rPr>
                <w:bCs/>
                <w:noProof/>
                <w:color w:val="000000"/>
              </w:rPr>
            </w:pPr>
            <w:r>
              <w:rPr>
                <w:bCs/>
                <w:noProof/>
                <w:color w:val="000000"/>
              </w:rPr>
              <w:t>1991</w:t>
            </w:r>
          </w:p>
        </w:tc>
        <w:tc>
          <w:tcPr>
            <w:tcW w:w="2018" w:type="dxa"/>
          </w:tcPr>
          <w:p w:rsidR="00000000" w:rsidRDefault="00000000">
            <w:pPr>
              <w:ind w:firstLine="6"/>
              <w:jc w:val="center"/>
              <w:rPr>
                <w:bCs/>
                <w:noProof/>
                <w:color w:val="000000"/>
              </w:rPr>
            </w:pPr>
            <w:r>
              <w:rPr>
                <w:bCs/>
                <w:noProof/>
                <w:color w:val="000000"/>
              </w:rPr>
              <w:t>2.002.948</w:t>
            </w:r>
          </w:p>
        </w:tc>
        <w:tc>
          <w:tcPr>
            <w:tcW w:w="2018" w:type="dxa"/>
          </w:tcPr>
          <w:p w:rsidR="00000000" w:rsidRDefault="00000000">
            <w:pPr>
              <w:ind w:firstLine="6"/>
              <w:jc w:val="center"/>
              <w:rPr>
                <w:bCs/>
                <w:noProof/>
                <w:color w:val="000000"/>
              </w:rPr>
            </w:pPr>
            <w:r>
              <w:rPr>
                <w:bCs/>
                <w:noProof/>
                <w:color w:val="000000"/>
              </w:rPr>
              <w:t>90,6</w:t>
            </w:r>
          </w:p>
        </w:tc>
        <w:tc>
          <w:tcPr>
            <w:tcW w:w="2018" w:type="dxa"/>
          </w:tcPr>
          <w:p w:rsidR="00000000" w:rsidRDefault="00000000">
            <w:pPr>
              <w:ind w:firstLine="6"/>
              <w:jc w:val="center"/>
              <w:rPr>
                <w:bCs/>
                <w:noProof/>
                <w:color w:val="000000"/>
              </w:rPr>
            </w:pPr>
            <w:r>
              <w:rPr>
                <w:bCs/>
                <w:noProof/>
                <w:color w:val="000000"/>
              </w:rPr>
              <w:t>7,4</w:t>
            </w:r>
          </w:p>
        </w:tc>
        <w:tc>
          <w:tcPr>
            <w:tcW w:w="2024" w:type="dxa"/>
          </w:tcPr>
          <w:p w:rsidR="00000000" w:rsidRDefault="00000000">
            <w:pPr>
              <w:ind w:firstLine="6"/>
              <w:jc w:val="center"/>
              <w:rPr>
                <w:bCs/>
                <w:noProof/>
                <w:color w:val="000000"/>
              </w:rPr>
            </w:pPr>
            <w:r>
              <w:rPr>
                <w:bCs/>
                <w:noProof/>
                <w:color w:val="000000"/>
              </w:rPr>
              <w:t>2,0</w:t>
            </w:r>
          </w:p>
        </w:tc>
      </w:tr>
      <w:tr w:rsidR="00000000">
        <w:tblPrEx>
          <w:tblCellMar>
            <w:top w:w="0" w:type="dxa"/>
            <w:bottom w:w="0" w:type="dxa"/>
          </w:tblCellMar>
        </w:tblPrEx>
        <w:trPr>
          <w:jc w:val="center"/>
        </w:trPr>
        <w:tc>
          <w:tcPr>
            <w:tcW w:w="1280" w:type="dxa"/>
          </w:tcPr>
          <w:p w:rsidR="00000000" w:rsidRDefault="00000000">
            <w:pPr>
              <w:ind w:firstLine="6"/>
              <w:jc w:val="center"/>
              <w:rPr>
                <w:bCs/>
                <w:noProof/>
                <w:color w:val="000000"/>
              </w:rPr>
            </w:pPr>
            <w:r>
              <w:rPr>
                <w:bCs/>
                <w:noProof/>
                <w:color w:val="000000"/>
              </w:rPr>
              <w:t>1992</w:t>
            </w:r>
          </w:p>
        </w:tc>
        <w:tc>
          <w:tcPr>
            <w:tcW w:w="2018" w:type="dxa"/>
          </w:tcPr>
          <w:p w:rsidR="00000000" w:rsidRDefault="00000000">
            <w:pPr>
              <w:ind w:firstLine="6"/>
              <w:jc w:val="center"/>
              <w:rPr>
                <w:bCs/>
                <w:noProof/>
                <w:color w:val="000000"/>
              </w:rPr>
            </w:pPr>
            <w:r>
              <w:rPr>
                <w:bCs/>
                <w:noProof/>
                <w:color w:val="000000"/>
              </w:rPr>
              <w:t>2.034.831</w:t>
            </w:r>
          </w:p>
        </w:tc>
        <w:tc>
          <w:tcPr>
            <w:tcW w:w="2018" w:type="dxa"/>
          </w:tcPr>
          <w:p w:rsidR="00000000" w:rsidRDefault="00000000">
            <w:pPr>
              <w:ind w:firstLine="6"/>
              <w:jc w:val="center"/>
              <w:rPr>
                <w:bCs/>
                <w:noProof/>
                <w:color w:val="000000"/>
              </w:rPr>
            </w:pPr>
            <w:r>
              <w:rPr>
                <w:bCs/>
                <w:noProof/>
                <w:color w:val="000000"/>
              </w:rPr>
              <w:t>90,8</w:t>
            </w:r>
          </w:p>
        </w:tc>
        <w:tc>
          <w:tcPr>
            <w:tcW w:w="2018" w:type="dxa"/>
          </w:tcPr>
          <w:p w:rsidR="00000000" w:rsidRDefault="00000000">
            <w:pPr>
              <w:ind w:firstLine="6"/>
              <w:jc w:val="center"/>
              <w:rPr>
                <w:bCs/>
                <w:noProof/>
                <w:color w:val="000000"/>
              </w:rPr>
            </w:pPr>
            <w:r>
              <w:rPr>
                <w:bCs/>
                <w:noProof/>
                <w:color w:val="000000"/>
              </w:rPr>
              <w:t>7,2</w:t>
            </w:r>
          </w:p>
        </w:tc>
        <w:tc>
          <w:tcPr>
            <w:tcW w:w="2024" w:type="dxa"/>
          </w:tcPr>
          <w:p w:rsidR="00000000" w:rsidRDefault="00000000">
            <w:pPr>
              <w:ind w:firstLine="6"/>
              <w:jc w:val="center"/>
              <w:rPr>
                <w:bCs/>
                <w:noProof/>
                <w:color w:val="000000"/>
              </w:rPr>
            </w:pPr>
            <w:r>
              <w:rPr>
                <w:bCs/>
                <w:noProof/>
                <w:color w:val="000000"/>
              </w:rPr>
              <w:t>1,9</w:t>
            </w:r>
          </w:p>
        </w:tc>
      </w:tr>
      <w:tr w:rsidR="00000000">
        <w:tblPrEx>
          <w:tblCellMar>
            <w:top w:w="0" w:type="dxa"/>
            <w:bottom w:w="0" w:type="dxa"/>
          </w:tblCellMar>
        </w:tblPrEx>
        <w:trPr>
          <w:jc w:val="center"/>
        </w:trPr>
        <w:tc>
          <w:tcPr>
            <w:tcW w:w="1280" w:type="dxa"/>
          </w:tcPr>
          <w:p w:rsidR="00000000" w:rsidRDefault="00000000">
            <w:pPr>
              <w:ind w:firstLine="6"/>
              <w:jc w:val="center"/>
              <w:rPr>
                <w:bCs/>
                <w:noProof/>
                <w:color w:val="000000"/>
              </w:rPr>
            </w:pPr>
            <w:r>
              <w:rPr>
                <w:bCs/>
                <w:noProof/>
                <w:color w:val="000000"/>
              </w:rPr>
              <w:t>1993</w:t>
            </w:r>
          </w:p>
        </w:tc>
        <w:tc>
          <w:tcPr>
            <w:tcW w:w="2018" w:type="dxa"/>
          </w:tcPr>
          <w:p w:rsidR="00000000" w:rsidRDefault="00000000">
            <w:pPr>
              <w:ind w:firstLine="6"/>
              <w:jc w:val="center"/>
              <w:rPr>
                <w:bCs/>
                <w:noProof/>
                <w:color w:val="000000"/>
              </w:rPr>
            </w:pPr>
            <w:r>
              <w:rPr>
                <w:bCs/>
                <w:noProof/>
                <w:color w:val="000000"/>
              </w:rPr>
              <w:t>2.066.037</w:t>
            </w:r>
          </w:p>
        </w:tc>
        <w:tc>
          <w:tcPr>
            <w:tcW w:w="2018" w:type="dxa"/>
          </w:tcPr>
          <w:p w:rsidR="00000000" w:rsidRDefault="00000000">
            <w:pPr>
              <w:ind w:firstLine="6"/>
              <w:jc w:val="center"/>
              <w:rPr>
                <w:bCs/>
                <w:noProof/>
                <w:color w:val="000000"/>
              </w:rPr>
            </w:pPr>
            <w:r>
              <w:rPr>
                <w:bCs/>
                <w:noProof/>
                <w:color w:val="000000"/>
              </w:rPr>
              <w:t>91,2</w:t>
            </w:r>
          </w:p>
        </w:tc>
        <w:tc>
          <w:tcPr>
            <w:tcW w:w="2018" w:type="dxa"/>
          </w:tcPr>
          <w:p w:rsidR="00000000" w:rsidRDefault="00000000">
            <w:pPr>
              <w:ind w:firstLine="6"/>
              <w:jc w:val="center"/>
              <w:rPr>
                <w:bCs/>
                <w:noProof/>
                <w:color w:val="000000"/>
              </w:rPr>
            </w:pPr>
            <w:r>
              <w:rPr>
                <w:bCs/>
                <w:noProof/>
                <w:color w:val="000000"/>
              </w:rPr>
              <w:t>6,9</w:t>
            </w:r>
          </w:p>
        </w:tc>
        <w:tc>
          <w:tcPr>
            <w:tcW w:w="2024" w:type="dxa"/>
          </w:tcPr>
          <w:p w:rsidR="00000000" w:rsidRDefault="00000000">
            <w:pPr>
              <w:ind w:firstLine="6"/>
              <w:jc w:val="center"/>
              <w:rPr>
                <w:bCs/>
                <w:noProof/>
                <w:color w:val="000000"/>
              </w:rPr>
            </w:pPr>
            <w:r>
              <w:rPr>
                <w:bCs/>
                <w:noProof/>
                <w:color w:val="000000"/>
              </w:rPr>
              <w:t>1,9</w:t>
            </w:r>
          </w:p>
        </w:tc>
      </w:tr>
      <w:tr w:rsidR="00000000">
        <w:tblPrEx>
          <w:tblCellMar>
            <w:top w:w="0" w:type="dxa"/>
            <w:bottom w:w="0" w:type="dxa"/>
          </w:tblCellMar>
        </w:tblPrEx>
        <w:trPr>
          <w:jc w:val="center"/>
        </w:trPr>
        <w:tc>
          <w:tcPr>
            <w:tcW w:w="1280" w:type="dxa"/>
          </w:tcPr>
          <w:p w:rsidR="00000000" w:rsidRDefault="00000000">
            <w:pPr>
              <w:ind w:firstLine="6"/>
              <w:jc w:val="center"/>
              <w:rPr>
                <w:bCs/>
                <w:noProof/>
                <w:color w:val="000000"/>
              </w:rPr>
            </w:pPr>
            <w:r>
              <w:rPr>
                <w:bCs/>
                <w:noProof/>
                <w:color w:val="000000"/>
              </w:rPr>
              <w:t>1994</w:t>
            </w:r>
          </w:p>
        </w:tc>
        <w:tc>
          <w:tcPr>
            <w:tcW w:w="2018" w:type="dxa"/>
          </w:tcPr>
          <w:p w:rsidR="00000000" w:rsidRDefault="00000000">
            <w:pPr>
              <w:ind w:firstLine="6"/>
              <w:jc w:val="center"/>
              <w:rPr>
                <w:bCs/>
                <w:noProof/>
                <w:color w:val="000000"/>
              </w:rPr>
            </w:pPr>
            <w:r>
              <w:rPr>
                <w:bCs/>
                <w:noProof/>
                <w:color w:val="000000"/>
              </w:rPr>
              <w:t>2.088.468</w:t>
            </w:r>
          </w:p>
        </w:tc>
        <w:tc>
          <w:tcPr>
            <w:tcW w:w="2018" w:type="dxa"/>
          </w:tcPr>
          <w:p w:rsidR="00000000" w:rsidRDefault="00000000">
            <w:pPr>
              <w:ind w:firstLine="6"/>
              <w:jc w:val="center"/>
              <w:rPr>
                <w:bCs/>
                <w:noProof/>
                <w:color w:val="000000"/>
              </w:rPr>
            </w:pPr>
            <w:r>
              <w:rPr>
                <w:bCs/>
                <w:noProof/>
                <w:color w:val="000000"/>
              </w:rPr>
              <w:t>91,2</w:t>
            </w:r>
          </w:p>
        </w:tc>
        <w:tc>
          <w:tcPr>
            <w:tcW w:w="2018" w:type="dxa"/>
          </w:tcPr>
          <w:p w:rsidR="00000000" w:rsidRDefault="00000000">
            <w:pPr>
              <w:ind w:firstLine="6"/>
              <w:jc w:val="center"/>
              <w:rPr>
                <w:bCs/>
                <w:noProof/>
                <w:color w:val="000000"/>
              </w:rPr>
            </w:pPr>
            <w:r>
              <w:rPr>
                <w:bCs/>
                <w:noProof/>
                <w:color w:val="000000"/>
              </w:rPr>
              <w:t>6,9</w:t>
            </w:r>
          </w:p>
        </w:tc>
        <w:tc>
          <w:tcPr>
            <w:tcW w:w="2024" w:type="dxa"/>
          </w:tcPr>
          <w:p w:rsidR="00000000" w:rsidRDefault="00000000">
            <w:pPr>
              <w:ind w:firstLine="6"/>
              <w:jc w:val="center"/>
              <w:rPr>
                <w:bCs/>
                <w:noProof/>
                <w:color w:val="000000"/>
              </w:rPr>
            </w:pPr>
            <w:r>
              <w:rPr>
                <w:bCs/>
                <w:noProof/>
                <w:color w:val="000000"/>
              </w:rPr>
              <w:t>1,9</w:t>
            </w:r>
          </w:p>
        </w:tc>
      </w:tr>
      <w:tr w:rsidR="00000000">
        <w:tblPrEx>
          <w:tblCellMar>
            <w:top w:w="0" w:type="dxa"/>
            <w:bottom w:w="0" w:type="dxa"/>
          </w:tblCellMar>
        </w:tblPrEx>
        <w:trPr>
          <w:jc w:val="center"/>
        </w:trPr>
        <w:tc>
          <w:tcPr>
            <w:tcW w:w="1280" w:type="dxa"/>
          </w:tcPr>
          <w:p w:rsidR="00000000" w:rsidRDefault="00000000">
            <w:pPr>
              <w:ind w:firstLine="6"/>
              <w:jc w:val="center"/>
              <w:rPr>
                <w:bCs/>
                <w:noProof/>
                <w:color w:val="000000"/>
              </w:rPr>
            </w:pPr>
            <w:r>
              <w:rPr>
                <w:bCs/>
                <w:noProof/>
                <w:color w:val="000000"/>
              </w:rPr>
              <w:t>1995</w:t>
            </w:r>
          </w:p>
        </w:tc>
        <w:tc>
          <w:tcPr>
            <w:tcW w:w="2018" w:type="dxa"/>
          </w:tcPr>
          <w:p w:rsidR="00000000" w:rsidRDefault="00000000">
            <w:pPr>
              <w:ind w:firstLine="6"/>
              <w:jc w:val="center"/>
              <w:rPr>
                <w:bCs/>
                <w:noProof/>
                <w:color w:val="000000"/>
              </w:rPr>
            </w:pPr>
            <w:r>
              <w:rPr>
                <w:bCs/>
                <w:noProof/>
                <w:color w:val="000000"/>
              </w:rPr>
              <w:t>2.144.800</w:t>
            </w:r>
          </w:p>
        </w:tc>
        <w:tc>
          <w:tcPr>
            <w:tcW w:w="2018" w:type="dxa"/>
          </w:tcPr>
          <w:p w:rsidR="00000000" w:rsidRDefault="00000000">
            <w:pPr>
              <w:ind w:firstLine="6"/>
              <w:jc w:val="center"/>
              <w:rPr>
                <w:bCs/>
                <w:noProof/>
                <w:color w:val="000000"/>
              </w:rPr>
            </w:pPr>
            <w:r>
              <w:rPr>
                <w:bCs/>
                <w:noProof/>
                <w:color w:val="000000"/>
              </w:rPr>
              <w:t>92,3</w:t>
            </w:r>
          </w:p>
        </w:tc>
        <w:tc>
          <w:tcPr>
            <w:tcW w:w="2018" w:type="dxa"/>
          </w:tcPr>
          <w:p w:rsidR="00000000" w:rsidRDefault="00000000">
            <w:pPr>
              <w:ind w:firstLine="6"/>
              <w:jc w:val="center"/>
              <w:rPr>
                <w:bCs/>
                <w:noProof/>
                <w:color w:val="000000"/>
              </w:rPr>
            </w:pPr>
            <w:r>
              <w:rPr>
                <w:bCs/>
                <w:noProof/>
                <w:color w:val="000000"/>
              </w:rPr>
              <w:t>6,0</w:t>
            </w:r>
          </w:p>
        </w:tc>
        <w:tc>
          <w:tcPr>
            <w:tcW w:w="2024" w:type="dxa"/>
          </w:tcPr>
          <w:p w:rsidR="00000000" w:rsidRDefault="00000000">
            <w:pPr>
              <w:ind w:firstLine="6"/>
              <w:jc w:val="center"/>
              <w:rPr>
                <w:bCs/>
                <w:noProof/>
                <w:color w:val="000000"/>
              </w:rPr>
            </w:pPr>
            <w:r>
              <w:rPr>
                <w:bCs/>
                <w:noProof/>
                <w:color w:val="000000"/>
              </w:rPr>
              <w:t>1,7</w:t>
            </w:r>
          </w:p>
        </w:tc>
      </w:tr>
      <w:tr w:rsidR="00000000">
        <w:tblPrEx>
          <w:tblCellMar>
            <w:top w:w="0" w:type="dxa"/>
            <w:bottom w:w="0" w:type="dxa"/>
          </w:tblCellMar>
        </w:tblPrEx>
        <w:trPr>
          <w:jc w:val="center"/>
        </w:trPr>
        <w:tc>
          <w:tcPr>
            <w:tcW w:w="1280" w:type="dxa"/>
          </w:tcPr>
          <w:p w:rsidR="00000000" w:rsidRDefault="00000000">
            <w:pPr>
              <w:ind w:firstLine="6"/>
              <w:jc w:val="center"/>
              <w:rPr>
                <w:bCs/>
                <w:noProof/>
                <w:color w:val="000000"/>
              </w:rPr>
            </w:pPr>
            <w:r>
              <w:rPr>
                <w:bCs/>
                <w:noProof/>
                <w:color w:val="000000"/>
              </w:rPr>
              <w:t>1996</w:t>
            </w:r>
          </w:p>
        </w:tc>
        <w:tc>
          <w:tcPr>
            <w:tcW w:w="2018" w:type="dxa"/>
          </w:tcPr>
          <w:p w:rsidR="00000000" w:rsidRDefault="00000000">
            <w:pPr>
              <w:ind w:firstLine="6"/>
              <w:jc w:val="center"/>
              <w:rPr>
                <w:bCs/>
                <w:noProof/>
                <w:color w:val="000000"/>
              </w:rPr>
            </w:pPr>
            <w:r>
              <w:rPr>
                <w:bCs/>
                <w:noProof/>
                <w:color w:val="000000"/>
              </w:rPr>
              <w:t>2.205.092</w:t>
            </w:r>
          </w:p>
        </w:tc>
        <w:tc>
          <w:tcPr>
            <w:tcW w:w="2018" w:type="dxa"/>
          </w:tcPr>
          <w:p w:rsidR="00000000" w:rsidRDefault="00000000">
            <w:pPr>
              <w:ind w:firstLine="6"/>
              <w:jc w:val="center"/>
              <w:rPr>
                <w:bCs/>
                <w:noProof/>
                <w:color w:val="000000"/>
              </w:rPr>
            </w:pPr>
            <w:r>
              <w:rPr>
                <w:bCs/>
                <w:noProof/>
                <w:color w:val="000000"/>
              </w:rPr>
              <w:t>92,5</w:t>
            </w:r>
          </w:p>
        </w:tc>
        <w:tc>
          <w:tcPr>
            <w:tcW w:w="2018" w:type="dxa"/>
          </w:tcPr>
          <w:p w:rsidR="00000000" w:rsidRDefault="00000000">
            <w:pPr>
              <w:ind w:firstLine="6"/>
              <w:jc w:val="center"/>
              <w:rPr>
                <w:bCs/>
                <w:noProof/>
                <w:color w:val="000000"/>
              </w:rPr>
            </w:pPr>
            <w:r>
              <w:rPr>
                <w:bCs/>
                <w:noProof/>
                <w:color w:val="000000"/>
              </w:rPr>
              <w:t>5,7</w:t>
            </w:r>
          </w:p>
        </w:tc>
        <w:tc>
          <w:tcPr>
            <w:tcW w:w="2024" w:type="dxa"/>
          </w:tcPr>
          <w:p w:rsidR="00000000" w:rsidRDefault="00000000">
            <w:pPr>
              <w:ind w:firstLine="6"/>
              <w:jc w:val="center"/>
              <w:rPr>
                <w:bCs/>
                <w:noProof/>
                <w:color w:val="000000"/>
              </w:rPr>
            </w:pPr>
            <w:r>
              <w:rPr>
                <w:bCs/>
                <w:noProof/>
                <w:color w:val="000000"/>
              </w:rPr>
              <w:t>1,8</w:t>
            </w:r>
          </w:p>
        </w:tc>
      </w:tr>
      <w:tr w:rsidR="00000000">
        <w:tblPrEx>
          <w:tblCellMar>
            <w:top w:w="0" w:type="dxa"/>
            <w:bottom w:w="0" w:type="dxa"/>
          </w:tblCellMar>
        </w:tblPrEx>
        <w:trPr>
          <w:jc w:val="center"/>
        </w:trPr>
        <w:tc>
          <w:tcPr>
            <w:tcW w:w="1280" w:type="dxa"/>
          </w:tcPr>
          <w:p w:rsidR="00000000" w:rsidRDefault="00000000">
            <w:pPr>
              <w:ind w:firstLine="6"/>
              <w:jc w:val="center"/>
              <w:rPr>
                <w:bCs/>
                <w:noProof/>
                <w:color w:val="000000"/>
              </w:rPr>
            </w:pPr>
            <w:r>
              <w:rPr>
                <w:bCs/>
                <w:noProof/>
                <w:color w:val="000000"/>
              </w:rPr>
              <w:t>1997</w:t>
            </w:r>
          </w:p>
        </w:tc>
        <w:tc>
          <w:tcPr>
            <w:tcW w:w="2018" w:type="dxa"/>
          </w:tcPr>
          <w:p w:rsidR="00000000" w:rsidRDefault="00000000">
            <w:pPr>
              <w:ind w:firstLine="6"/>
              <w:jc w:val="center"/>
              <w:rPr>
                <w:bCs/>
                <w:noProof/>
                <w:color w:val="000000"/>
              </w:rPr>
            </w:pPr>
            <w:r>
              <w:rPr>
                <w:bCs/>
                <w:noProof/>
                <w:color w:val="000000"/>
              </w:rPr>
              <w:t>2.234.608</w:t>
            </w:r>
          </w:p>
        </w:tc>
        <w:tc>
          <w:tcPr>
            <w:tcW w:w="2018" w:type="dxa"/>
          </w:tcPr>
          <w:p w:rsidR="00000000" w:rsidRDefault="00000000">
            <w:pPr>
              <w:ind w:firstLine="6"/>
              <w:jc w:val="center"/>
              <w:rPr>
                <w:bCs/>
                <w:noProof/>
                <w:color w:val="000000"/>
              </w:rPr>
            </w:pPr>
            <w:r>
              <w:rPr>
                <w:bCs/>
                <w:noProof/>
                <w:color w:val="000000"/>
              </w:rPr>
              <w:t>94,0</w:t>
            </w:r>
          </w:p>
        </w:tc>
        <w:tc>
          <w:tcPr>
            <w:tcW w:w="2018" w:type="dxa"/>
          </w:tcPr>
          <w:p w:rsidR="00000000" w:rsidRDefault="00000000">
            <w:pPr>
              <w:ind w:firstLine="6"/>
              <w:jc w:val="center"/>
              <w:rPr>
                <w:bCs/>
                <w:noProof/>
                <w:color w:val="000000"/>
              </w:rPr>
            </w:pPr>
            <w:r>
              <w:rPr>
                <w:bCs/>
                <w:noProof/>
                <w:color w:val="000000"/>
              </w:rPr>
              <w:t>4,4</w:t>
            </w:r>
          </w:p>
        </w:tc>
        <w:tc>
          <w:tcPr>
            <w:tcW w:w="2024" w:type="dxa"/>
          </w:tcPr>
          <w:p w:rsidR="00000000" w:rsidRDefault="00000000">
            <w:pPr>
              <w:ind w:firstLine="6"/>
              <w:jc w:val="center"/>
              <w:rPr>
                <w:bCs/>
                <w:noProof/>
                <w:color w:val="000000"/>
              </w:rPr>
            </w:pPr>
            <w:r>
              <w:rPr>
                <w:bCs/>
                <w:noProof/>
                <w:color w:val="000000"/>
              </w:rPr>
              <w:t>1,6</w:t>
            </w:r>
          </w:p>
        </w:tc>
      </w:tr>
      <w:tr w:rsidR="00000000">
        <w:tblPrEx>
          <w:tblCellMar>
            <w:top w:w="0" w:type="dxa"/>
            <w:bottom w:w="0" w:type="dxa"/>
          </w:tblCellMar>
        </w:tblPrEx>
        <w:trPr>
          <w:jc w:val="center"/>
        </w:trPr>
        <w:tc>
          <w:tcPr>
            <w:tcW w:w="1280" w:type="dxa"/>
          </w:tcPr>
          <w:p w:rsidR="00000000" w:rsidRDefault="00000000">
            <w:pPr>
              <w:ind w:firstLine="6"/>
              <w:jc w:val="center"/>
              <w:rPr>
                <w:bCs/>
                <w:noProof/>
                <w:color w:val="000000"/>
              </w:rPr>
            </w:pPr>
            <w:r>
              <w:rPr>
                <w:bCs/>
                <w:noProof/>
                <w:color w:val="000000"/>
              </w:rPr>
              <w:t>1998</w:t>
            </w:r>
          </w:p>
        </w:tc>
        <w:tc>
          <w:tcPr>
            <w:tcW w:w="2018" w:type="dxa"/>
          </w:tcPr>
          <w:p w:rsidR="00000000" w:rsidRDefault="00000000">
            <w:pPr>
              <w:ind w:firstLine="6"/>
              <w:jc w:val="center"/>
              <w:rPr>
                <w:bCs/>
                <w:noProof/>
                <w:color w:val="000000"/>
              </w:rPr>
            </w:pPr>
            <w:r>
              <w:rPr>
                <w:bCs/>
                <w:noProof/>
                <w:color w:val="000000"/>
              </w:rPr>
              <w:t>2.253.171</w:t>
            </w:r>
          </w:p>
        </w:tc>
        <w:tc>
          <w:tcPr>
            <w:tcW w:w="2018" w:type="dxa"/>
          </w:tcPr>
          <w:p w:rsidR="00000000" w:rsidRDefault="00000000">
            <w:pPr>
              <w:ind w:firstLine="6"/>
              <w:jc w:val="center"/>
              <w:rPr>
                <w:bCs/>
                <w:noProof/>
                <w:color w:val="000000"/>
              </w:rPr>
            </w:pPr>
            <w:r>
              <w:rPr>
                <w:bCs/>
                <w:noProof/>
                <w:color w:val="000000"/>
              </w:rPr>
              <w:t>95,0</w:t>
            </w:r>
          </w:p>
        </w:tc>
        <w:tc>
          <w:tcPr>
            <w:tcW w:w="2018" w:type="dxa"/>
          </w:tcPr>
          <w:p w:rsidR="00000000" w:rsidRDefault="00000000">
            <w:pPr>
              <w:ind w:firstLine="6"/>
              <w:jc w:val="center"/>
              <w:rPr>
                <w:bCs/>
                <w:noProof/>
                <w:color w:val="000000"/>
              </w:rPr>
            </w:pPr>
            <w:r>
              <w:rPr>
                <w:bCs/>
                <w:noProof/>
                <w:color w:val="000000"/>
              </w:rPr>
              <w:t>3,5</w:t>
            </w:r>
          </w:p>
        </w:tc>
        <w:tc>
          <w:tcPr>
            <w:tcW w:w="2024" w:type="dxa"/>
          </w:tcPr>
          <w:p w:rsidR="00000000" w:rsidRDefault="00000000">
            <w:pPr>
              <w:ind w:firstLine="6"/>
              <w:jc w:val="center"/>
              <w:rPr>
                <w:bCs/>
                <w:noProof/>
                <w:color w:val="000000"/>
              </w:rPr>
            </w:pPr>
            <w:r>
              <w:rPr>
                <w:bCs/>
                <w:noProof/>
                <w:color w:val="000000"/>
              </w:rPr>
              <w:t>1,5</w:t>
            </w:r>
          </w:p>
        </w:tc>
      </w:tr>
      <w:tr w:rsidR="00000000">
        <w:tblPrEx>
          <w:tblCellMar>
            <w:top w:w="0" w:type="dxa"/>
            <w:bottom w:w="0" w:type="dxa"/>
          </w:tblCellMar>
        </w:tblPrEx>
        <w:trPr>
          <w:jc w:val="center"/>
        </w:trPr>
        <w:tc>
          <w:tcPr>
            <w:tcW w:w="1280" w:type="dxa"/>
          </w:tcPr>
          <w:p w:rsidR="00000000" w:rsidRDefault="00000000">
            <w:pPr>
              <w:ind w:firstLine="6"/>
              <w:jc w:val="center"/>
              <w:rPr>
                <w:bCs/>
                <w:noProof/>
                <w:color w:val="000000"/>
              </w:rPr>
            </w:pPr>
            <w:r>
              <w:rPr>
                <w:bCs/>
                <w:noProof/>
                <w:color w:val="000000"/>
              </w:rPr>
              <w:t>1999</w:t>
            </w:r>
          </w:p>
        </w:tc>
        <w:tc>
          <w:tcPr>
            <w:tcW w:w="2018" w:type="dxa"/>
          </w:tcPr>
          <w:p w:rsidR="00000000" w:rsidRDefault="00000000">
            <w:pPr>
              <w:ind w:firstLine="6"/>
              <w:jc w:val="center"/>
              <w:rPr>
                <w:bCs/>
                <w:noProof/>
                <w:color w:val="000000"/>
              </w:rPr>
            </w:pPr>
            <w:r>
              <w:rPr>
                <w:bCs/>
                <w:noProof/>
                <w:color w:val="000000"/>
              </w:rPr>
              <w:t>2.305.459</w:t>
            </w:r>
          </w:p>
        </w:tc>
        <w:tc>
          <w:tcPr>
            <w:tcW w:w="2018" w:type="dxa"/>
          </w:tcPr>
          <w:p w:rsidR="00000000" w:rsidRDefault="00000000">
            <w:pPr>
              <w:ind w:firstLine="6"/>
              <w:jc w:val="center"/>
              <w:rPr>
                <w:bCs/>
                <w:noProof/>
                <w:color w:val="000000"/>
              </w:rPr>
            </w:pPr>
            <w:r>
              <w:rPr>
                <w:bCs/>
                <w:noProof/>
                <w:color w:val="000000"/>
              </w:rPr>
              <w:t>95,9</w:t>
            </w:r>
          </w:p>
        </w:tc>
        <w:tc>
          <w:tcPr>
            <w:tcW w:w="2018" w:type="dxa"/>
          </w:tcPr>
          <w:p w:rsidR="00000000" w:rsidRDefault="00000000">
            <w:pPr>
              <w:ind w:firstLine="6"/>
              <w:jc w:val="center"/>
              <w:rPr>
                <w:bCs/>
                <w:noProof/>
                <w:color w:val="000000"/>
              </w:rPr>
            </w:pPr>
            <w:r>
              <w:rPr>
                <w:bCs/>
                <w:noProof/>
                <w:color w:val="000000"/>
              </w:rPr>
              <w:t>2,8</w:t>
            </w:r>
          </w:p>
        </w:tc>
        <w:tc>
          <w:tcPr>
            <w:tcW w:w="2024" w:type="dxa"/>
          </w:tcPr>
          <w:p w:rsidR="00000000" w:rsidRDefault="00000000">
            <w:pPr>
              <w:ind w:firstLine="6"/>
              <w:jc w:val="center"/>
              <w:rPr>
                <w:bCs/>
                <w:noProof/>
                <w:color w:val="000000"/>
              </w:rPr>
            </w:pPr>
            <w:r>
              <w:rPr>
                <w:bCs/>
                <w:noProof/>
                <w:color w:val="000000"/>
              </w:rPr>
              <w:t>1,4</w:t>
            </w:r>
          </w:p>
        </w:tc>
      </w:tr>
      <w:tr w:rsidR="00000000">
        <w:tblPrEx>
          <w:tblCellMar>
            <w:top w:w="0" w:type="dxa"/>
            <w:bottom w:w="0" w:type="dxa"/>
          </w:tblCellMar>
        </w:tblPrEx>
        <w:trPr>
          <w:jc w:val="center"/>
        </w:trPr>
        <w:tc>
          <w:tcPr>
            <w:tcW w:w="1280" w:type="dxa"/>
          </w:tcPr>
          <w:p w:rsidR="00000000" w:rsidRDefault="00000000">
            <w:pPr>
              <w:ind w:firstLine="6"/>
              <w:jc w:val="center"/>
              <w:rPr>
                <w:bCs/>
                <w:noProof/>
                <w:color w:val="000000"/>
              </w:rPr>
            </w:pPr>
            <w:r>
              <w:rPr>
                <w:bCs/>
                <w:noProof/>
                <w:color w:val="000000"/>
              </w:rPr>
              <w:t>2000</w:t>
            </w:r>
          </w:p>
        </w:tc>
        <w:tc>
          <w:tcPr>
            <w:tcW w:w="2018" w:type="dxa"/>
          </w:tcPr>
          <w:p w:rsidR="00000000" w:rsidRDefault="00000000">
            <w:pPr>
              <w:ind w:firstLine="6"/>
              <w:jc w:val="center"/>
              <w:rPr>
                <w:bCs/>
                <w:noProof/>
                <w:color w:val="000000"/>
              </w:rPr>
            </w:pPr>
            <w:r>
              <w:rPr>
                <w:bCs/>
                <w:noProof/>
                <w:color w:val="000000"/>
              </w:rPr>
              <w:t>2.355.594</w:t>
            </w:r>
          </w:p>
        </w:tc>
        <w:tc>
          <w:tcPr>
            <w:tcW w:w="2018" w:type="dxa"/>
          </w:tcPr>
          <w:p w:rsidR="00000000" w:rsidRDefault="00000000">
            <w:pPr>
              <w:ind w:firstLine="6"/>
              <w:jc w:val="center"/>
              <w:rPr>
                <w:bCs/>
                <w:noProof/>
                <w:color w:val="000000"/>
              </w:rPr>
            </w:pPr>
            <w:r>
              <w:rPr>
                <w:bCs/>
                <w:noProof/>
                <w:color w:val="000000"/>
              </w:rPr>
              <w:t>95,7</w:t>
            </w:r>
          </w:p>
        </w:tc>
        <w:tc>
          <w:tcPr>
            <w:tcW w:w="2018" w:type="dxa"/>
          </w:tcPr>
          <w:p w:rsidR="00000000" w:rsidRDefault="00000000">
            <w:pPr>
              <w:ind w:firstLine="6"/>
              <w:jc w:val="center"/>
              <w:rPr>
                <w:bCs/>
                <w:noProof/>
                <w:color w:val="000000"/>
              </w:rPr>
            </w:pPr>
            <w:r>
              <w:rPr>
                <w:bCs/>
                <w:noProof/>
                <w:color w:val="000000"/>
              </w:rPr>
              <w:t>2,9</w:t>
            </w:r>
          </w:p>
        </w:tc>
        <w:tc>
          <w:tcPr>
            <w:tcW w:w="2024" w:type="dxa"/>
          </w:tcPr>
          <w:p w:rsidR="00000000" w:rsidRDefault="00000000">
            <w:pPr>
              <w:ind w:firstLine="6"/>
              <w:jc w:val="center"/>
              <w:rPr>
                <w:bCs/>
                <w:noProof/>
                <w:color w:val="000000"/>
              </w:rPr>
            </w:pPr>
            <w:r>
              <w:rPr>
                <w:bCs/>
                <w:noProof/>
                <w:color w:val="000000"/>
              </w:rPr>
              <w:t>1,4</w:t>
            </w:r>
          </w:p>
        </w:tc>
      </w:tr>
      <w:tr w:rsidR="00000000">
        <w:tblPrEx>
          <w:tblCellMar>
            <w:top w:w="0" w:type="dxa"/>
            <w:bottom w:w="0" w:type="dxa"/>
          </w:tblCellMar>
        </w:tblPrEx>
        <w:trPr>
          <w:jc w:val="center"/>
        </w:trPr>
        <w:tc>
          <w:tcPr>
            <w:tcW w:w="1280" w:type="dxa"/>
          </w:tcPr>
          <w:p w:rsidR="00000000" w:rsidRDefault="00000000">
            <w:pPr>
              <w:ind w:firstLine="6"/>
              <w:jc w:val="center"/>
              <w:rPr>
                <w:bCs/>
                <w:noProof/>
                <w:color w:val="000000"/>
              </w:rPr>
            </w:pPr>
            <w:r>
              <w:rPr>
                <w:bCs/>
                <w:noProof/>
                <w:color w:val="000000"/>
              </w:rPr>
              <w:t>2001</w:t>
            </w:r>
          </w:p>
        </w:tc>
        <w:tc>
          <w:tcPr>
            <w:tcW w:w="2018" w:type="dxa"/>
          </w:tcPr>
          <w:p w:rsidR="00000000" w:rsidRDefault="00000000">
            <w:pPr>
              <w:ind w:firstLine="6"/>
              <w:jc w:val="center"/>
              <w:rPr>
                <w:bCs/>
                <w:noProof/>
                <w:color w:val="000000"/>
              </w:rPr>
            </w:pPr>
            <w:r>
              <w:rPr>
                <w:bCs/>
                <w:noProof/>
                <w:color w:val="000000"/>
              </w:rPr>
              <w:t>2.361.721</w:t>
            </w:r>
          </w:p>
        </w:tc>
        <w:tc>
          <w:tcPr>
            <w:tcW w:w="2018" w:type="dxa"/>
          </w:tcPr>
          <w:p w:rsidR="00000000" w:rsidRDefault="00000000">
            <w:pPr>
              <w:ind w:firstLine="6"/>
              <w:jc w:val="center"/>
              <w:rPr>
                <w:bCs/>
                <w:noProof/>
                <w:color w:val="000000"/>
              </w:rPr>
            </w:pPr>
            <w:r>
              <w:rPr>
                <w:bCs/>
                <w:noProof/>
                <w:color w:val="000000"/>
              </w:rPr>
              <w:t>95,9</w:t>
            </w:r>
          </w:p>
        </w:tc>
        <w:tc>
          <w:tcPr>
            <w:tcW w:w="2018" w:type="dxa"/>
          </w:tcPr>
          <w:p w:rsidR="00000000" w:rsidRDefault="00000000">
            <w:pPr>
              <w:ind w:firstLine="6"/>
              <w:jc w:val="center"/>
              <w:rPr>
                <w:bCs/>
                <w:noProof/>
                <w:color w:val="000000"/>
              </w:rPr>
            </w:pPr>
            <w:r>
              <w:rPr>
                <w:bCs/>
                <w:noProof/>
                <w:color w:val="000000"/>
              </w:rPr>
              <w:t>2,8</w:t>
            </w:r>
          </w:p>
        </w:tc>
        <w:tc>
          <w:tcPr>
            <w:tcW w:w="2024" w:type="dxa"/>
          </w:tcPr>
          <w:p w:rsidR="00000000" w:rsidRDefault="00000000">
            <w:pPr>
              <w:ind w:firstLine="6"/>
              <w:jc w:val="center"/>
              <w:rPr>
                <w:bCs/>
                <w:noProof/>
                <w:color w:val="000000"/>
              </w:rPr>
            </w:pPr>
            <w:r>
              <w:rPr>
                <w:bCs/>
                <w:noProof/>
                <w:color w:val="000000"/>
              </w:rPr>
              <w:t>1,3</w:t>
            </w:r>
          </w:p>
        </w:tc>
      </w:tr>
    </w:tbl>
    <w:p w:rsidR="00000000" w:rsidRDefault="00000000">
      <w:pPr>
        <w:spacing w:before="240" w:after="360"/>
        <w:rPr>
          <w:bCs/>
          <w:noProof/>
          <w:color w:val="000000"/>
        </w:rPr>
      </w:pPr>
      <w:r>
        <w:rPr>
          <w:bCs/>
          <w:i/>
          <w:iCs/>
          <w:noProof/>
          <w:color w:val="000000"/>
        </w:rPr>
        <w:t>Fuente</w:t>
      </w:r>
      <w:r>
        <w:rPr>
          <w:bCs/>
          <w:noProof/>
          <w:color w:val="000000"/>
        </w:rPr>
        <w:t>:  MINEDUC. Estadísticas de educación, 2001.</w:t>
      </w:r>
    </w:p>
    <w:p w:rsidR="00000000" w:rsidRDefault="00000000">
      <w:pPr>
        <w:spacing w:after="200"/>
        <w:jc w:val="center"/>
        <w:outlineLvl w:val="0"/>
        <w:rPr>
          <w:b/>
          <w:noProof/>
          <w:color w:val="000000"/>
        </w:rPr>
      </w:pPr>
      <w:r>
        <w:rPr>
          <w:b/>
          <w:noProof/>
          <w:color w:val="000000"/>
        </w:rPr>
        <w:t>Cuadro 49</w:t>
      </w:r>
    </w:p>
    <w:p w:rsidR="00000000" w:rsidRDefault="00000000">
      <w:pPr>
        <w:spacing w:after="200"/>
        <w:jc w:val="center"/>
        <w:rPr>
          <w:b/>
          <w:noProof/>
          <w:color w:val="000000"/>
        </w:rPr>
      </w:pPr>
      <w:r>
        <w:rPr>
          <w:b/>
          <w:noProof/>
          <w:color w:val="000000"/>
        </w:rPr>
        <w:t>Becas de apoyo a la retención escolar</w:t>
      </w:r>
    </w:p>
    <w:tbl>
      <w:tblPr>
        <w:tblW w:w="0" w:type="auto"/>
        <w:jc w:val="center"/>
        <w:tblBorders>
          <w:top w:val="single" w:sz="4" w:space="0" w:color="auto"/>
          <w:left w:val="single" w:sz="4" w:space="0" w:color="auto"/>
          <w:bottom w:val="single" w:sz="4" w:space="0" w:color="auto"/>
          <w:right w:val="single" w:sz="4" w:space="0" w:color="auto"/>
          <w:insideH w:val="single" w:sz="8" w:space="0" w:color="000000"/>
          <w:insideV w:val="single" w:sz="8" w:space="0" w:color="000000"/>
        </w:tblBorders>
        <w:tblLayout w:type="fixed"/>
        <w:tblCellMar>
          <w:left w:w="120" w:type="dxa"/>
          <w:right w:w="120" w:type="dxa"/>
        </w:tblCellMar>
        <w:tblLook w:val="0000" w:firstRow="0" w:lastRow="0" w:firstColumn="0" w:lastColumn="0" w:noHBand="0" w:noVBand="0"/>
      </w:tblPr>
      <w:tblGrid>
        <w:gridCol w:w="1732"/>
        <w:gridCol w:w="2040"/>
        <w:gridCol w:w="3457"/>
      </w:tblGrid>
      <w:tr w:rsidR="00000000">
        <w:tblPrEx>
          <w:tblCellMar>
            <w:top w:w="0" w:type="dxa"/>
            <w:bottom w:w="0" w:type="dxa"/>
          </w:tblCellMar>
        </w:tblPrEx>
        <w:trPr>
          <w:jc w:val="center"/>
        </w:trPr>
        <w:tc>
          <w:tcPr>
            <w:tcW w:w="1732" w:type="dxa"/>
            <w:vAlign w:val="center"/>
          </w:tcPr>
          <w:p w:rsidR="00000000" w:rsidRDefault="00000000">
            <w:pPr>
              <w:ind w:firstLine="6"/>
              <w:jc w:val="center"/>
              <w:rPr>
                <w:b/>
                <w:noProof/>
                <w:color w:val="000000"/>
              </w:rPr>
            </w:pPr>
            <w:r>
              <w:rPr>
                <w:b/>
                <w:noProof/>
                <w:color w:val="000000"/>
              </w:rPr>
              <w:t>Año</w:t>
            </w:r>
          </w:p>
        </w:tc>
        <w:tc>
          <w:tcPr>
            <w:tcW w:w="2040" w:type="dxa"/>
            <w:vAlign w:val="center"/>
          </w:tcPr>
          <w:p w:rsidR="00000000" w:rsidRDefault="00000000">
            <w:pPr>
              <w:ind w:firstLine="6"/>
              <w:jc w:val="center"/>
              <w:rPr>
                <w:b/>
                <w:noProof/>
                <w:color w:val="000000"/>
              </w:rPr>
            </w:pPr>
            <w:r>
              <w:rPr>
                <w:b/>
                <w:noProof/>
                <w:color w:val="000000"/>
              </w:rPr>
              <w:t>Número de Beneficarios</w:t>
            </w:r>
          </w:p>
        </w:tc>
        <w:tc>
          <w:tcPr>
            <w:tcW w:w="3457" w:type="dxa"/>
            <w:vAlign w:val="center"/>
          </w:tcPr>
          <w:p w:rsidR="00000000" w:rsidRDefault="00000000">
            <w:pPr>
              <w:ind w:firstLine="6"/>
              <w:jc w:val="center"/>
              <w:rPr>
                <w:b/>
                <w:noProof/>
                <w:color w:val="000000"/>
              </w:rPr>
            </w:pPr>
            <w:r>
              <w:rPr>
                <w:b/>
                <w:noProof/>
                <w:color w:val="000000"/>
              </w:rPr>
              <w:t>Localización</w:t>
            </w:r>
          </w:p>
        </w:tc>
      </w:tr>
      <w:tr w:rsidR="00000000">
        <w:tblPrEx>
          <w:tblCellMar>
            <w:top w:w="0" w:type="dxa"/>
            <w:bottom w:w="0" w:type="dxa"/>
          </w:tblCellMar>
        </w:tblPrEx>
        <w:trPr>
          <w:jc w:val="center"/>
        </w:trPr>
        <w:tc>
          <w:tcPr>
            <w:tcW w:w="1732" w:type="dxa"/>
            <w:tcBorders>
              <w:bottom w:val="single" w:sz="8" w:space="0" w:color="000000"/>
            </w:tcBorders>
            <w:vAlign w:val="center"/>
          </w:tcPr>
          <w:p w:rsidR="00000000" w:rsidRDefault="00000000">
            <w:pPr>
              <w:ind w:firstLine="6"/>
              <w:jc w:val="center"/>
              <w:rPr>
                <w:bCs/>
                <w:noProof/>
                <w:color w:val="000000"/>
              </w:rPr>
            </w:pPr>
            <w:r>
              <w:rPr>
                <w:bCs/>
                <w:noProof/>
                <w:color w:val="000000"/>
              </w:rPr>
              <w:t>2000</w:t>
            </w:r>
          </w:p>
        </w:tc>
        <w:tc>
          <w:tcPr>
            <w:tcW w:w="2040" w:type="dxa"/>
            <w:tcBorders>
              <w:bottom w:val="single" w:sz="8" w:space="0" w:color="000000"/>
            </w:tcBorders>
            <w:vAlign w:val="center"/>
          </w:tcPr>
          <w:p w:rsidR="00000000" w:rsidRDefault="00000000">
            <w:pPr>
              <w:tabs>
                <w:tab w:val="decimal" w:pos="1201"/>
              </w:tabs>
              <w:ind w:firstLine="6"/>
              <w:rPr>
                <w:bCs/>
                <w:noProof/>
                <w:color w:val="000000"/>
              </w:rPr>
            </w:pPr>
            <w:r>
              <w:rPr>
                <w:bCs/>
                <w:noProof/>
                <w:color w:val="000000"/>
              </w:rPr>
              <w:t>3.000</w:t>
            </w:r>
          </w:p>
        </w:tc>
        <w:tc>
          <w:tcPr>
            <w:tcW w:w="3457" w:type="dxa"/>
            <w:tcBorders>
              <w:bottom w:val="single" w:sz="8" w:space="0" w:color="000000"/>
            </w:tcBorders>
            <w:vAlign w:val="center"/>
          </w:tcPr>
          <w:p w:rsidR="00000000" w:rsidRDefault="00000000">
            <w:pPr>
              <w:ind w:firstLine="6"/>
              <w:rPr>
                <w:bCs/>
                <w:noProof/>
                <w:color w:val="000000"/>
              </w:rPr>
            </w:pPr>
            <w:r>
              <w:rPr>
                <w:bCs/>
                <w:noProof/>
                <w:color w:val="000000"/>
              </w:rPr>
              <w:t>Regiones V, VII, IX, X y RM</w:t>
            </w:r>
          </w:p>
        </w:tc>
      </w:tr>
      <w:tr w:rsidR="00000000">
        <w:tblPrEx>
          <w:tblCellMar>
            <w:top w:w="0" w:type="dxa"/>
            <w:bottom w:w="0" w:type="dxa"/>
          </w:tblCellMar>
        </w:tblPrEx>
        <w:trPr>
          <w:trHeight w:hRule="exact" w:val="276"/>
          <w:jc w:val="center"/>
        </w:trPr>
        <w:tc>
          <w:tcPr>
            <w:tcW w:w="1732" w:type="dxa"/>
            <w:tcBorders>
              <w:top w:val="single" w:sz="8" w:space="0" w:color="000000"/>
              <w:bottom w:val="single" w:sz="4" w:space="0" w:color="auto"/>
            </w:tcBorders>
            <w:vAlign w:val="center"/>
          </w:tcPr>
          <w:p w:rsidR="00000000" w:rsidRDefault="00000000">
            <w:pPr>
              <w:ind w:firstLine="6"/>
              <w:jc w:val="center"/>
              <w:rPr>
                <w:bCs/>
                <w:noProof/>
                <w:color w:val="000000"/>
              </w:rPr>
            </w:pPr>
            <w:r>
              <w:rPr>
                <w:bCs/>
                <w:noProof/>
                <w:color w:val="000000"/>
              </w:rPr>
              <w:t>2001</w:t>
            </w:r>
          </w:p>
        </w:tc>
        <w:tc>
          <w:tcPr>
            <w:tcW w:w="2040" w:type="dxa"/>
            <w:tcBorders>
              <w:top w:val="single" w:sz="8" w:space="0" w:color="000000"/>
              <w:bottom w:val="single" w:sz="4" w:space="0" w:color="auto"/>
            </w:tcBorders>
            <w:vAlign w:val="center"/>
          </w:tcPr>
          <w:p w:rsidR="00000000" w:rsidRDefault="00000000">
            <w:pPr>
              <w:tabs>
                <w:tab w:val="decimal" w:pos="1201"/>
              </w:tabs>
              <w:ind w:firstLine="6"/>
              <w:rPr>
                <w:bCs/>
                <w:noProof/>
                <w:color w:val="000000"/>
              </w:rPr>
            </w:pPr>
            <w:r>
              <w:rPr>
                <w:bCs/>
                <w:noProof/>
                <w:color w:val="000000"/>
              </w:rPr>
              <w:t>6.125</w:t>
            </w:r>
          </w:p>
        </w:tc>
        <w:tc>
          <w:tcPr>
            <w:tcW w:w="3457" w:type="dxa"/>
            <w:tcBorders>
              <w:top w:val="single" w:sz="8" w:space="0" w:color="000000"/>
              <w:bottom w:val="single" w:sz="4" w:space="0" w:color="auto"/>
            </w:tcBorders>
            <w:vAlign w:val="center"/>
          </w:tcPr>
          <w:p w:rsidR="00000000" w:rsidRDefault="00000000">
            <w:pPr>
              <w:ind w:firstLine="6"/>
              <w:rPr>
                <w:bCs/>
                <w:noProof/>
                <w:color w:val="000000"/>
              </w:rPr>
            </w:pPr>
            <w:r>
              <w:rPr>
                <w:bCs/>
                <w:noProof/>
                <w:color w:val="000000"/>
              </w:rPr>
              <w:t>Todas las regiones</w:t>
            </w:r>
          </w:p>
        </w:tc>
      </w:tr>
      <w:tr w:rsidR="00000000">
        <w:tblPrEx>
          <w:tblCellMar>
            <w:top w:w="0" w:type="dxa"/>
            <w:bottom w:w="0" w:type="dxa"/>
          </w:tblCellMar>
        </w:tblPrEx>
        <w:trPr>
          <w:jc w:val="center"/>
        </w:trPr>
        <w:tc>
          <w:tcPr>
            <w:tcW w:w="1732" w:type="dxa"/>
            <w:tcBorders>
              <w:top w:val="single" w:sz="4" w:space="0" w:color="auto"/>
            </w:tcBorders>
            <w:vAlign w:val="center"/>
          </w:tcPr>
          <w:p w:rsidR="00000000" w:rsidRDefault="00000000">
            <w:pPr>
              <w:ind w:firstLine="6"/>
              <w:jc w:val="center"/>
              <w:rPr>
                <w:bCs/>
                <w:noProof/>
                <w:color w:val="000000"/>
              </w:rPr>
            </w:pPr>
            <w:r>
              <w:rPr>
                <w:bCs/>
                <w:noProof/>
                <w:color w:val="000000"/>
              </w:rPr>
              <w:t>2002</w:t>
            </w:r>
          </w:p>
        </w:tc>
        <w:tc>
          <w:tcPr>
            <w:tcW w:w="2040" w:type="dxa"/>
            <w:tcBorders>
              <w:top w:val="single" w:sz="4" w:space="0" w:color="auto"/>
            </w:tcBorders>
            <w:vAlign w:val="center"/>
          </w:tcPr>
          <w:p w:rsidR="00000000" w:rsidRDefault="00000000">
            <w:pPr>
              <w:tabs>
                <w:tab w:val="decimal" w:pos="1201"/>
              </w:tabs>
              <w:ind w:firstLine="6"/>
              <w:rPr>
                <w:bCs/>
                <w:noProof/>
                <w:color w:val="000000"/>
              </w:rPr>
            </w:pPr>
            <w:r>
              <w:rPr>
                <w:bCs/>
                <w:noProof/>
                <w:color w:val="000000"/>
              </w:rPr>
              <w:t>10.000</w:t>
            </w:r>
          </w:p>
        </w:tc>
        <w:tc>
          <w:tcPr>
            <w:tcW w:w="3457" w:type="dxa"/>
            <w:tcBorders>
              <w:top w:val="single" w:sz="4" w:space="0" w:color="auto"/>
            </w:tcBorders>
            <w:vAlign w:val="center"/>
          </w:tcPr>
          <w:p w:rsidR="00000000" w:rsidRDefault="00000000">
            <w:pPr>
              <w:ind w:firstLine="6"/>
              <w:rPr>
                <w:bCs/>
                <w:noProof/>
                <w:color w:val="000000"/>
              </w:rPr>
            </w:pPr>
            <w:r>
              <w:rPr>
                <w:bCs/>
                <w:noProof/>
                <w:color w:val="000000"/>
              </w:rPr>
              <w:t>Todas las regiones</w:t>
            </w:r>
          </w:p>
        </w:tc>
      </w:tr>
      <w:tr w:rsidR="00000000">
        <w:tblPrEx>
          <w:tblCellMar>
            <w:top w:w="0" w:type="dxa"/>
            <w:bottom w:w="0" w:type="dxa"/>
          </w:tblCellMar>
        </w:tblPrEx>
        <w:trPr>
          <w:jc w:val="center"/>
        </w:trPr>
        <w:tc>
          <w:tcPr>
            <w:tcW w:w="1732" w:type="dxa"/>
            <w:vAlign w:val="center"/>
          </w:tcPr>
          <w:p w:rsidR="00000000" w:rsidRDefault="00000000">
            <w:pPr>
              <w:ind w:firstLine="6"/>
              <w:jc w:val="center"/>
              <w:rPr>
                <w:bCs/>
                <w:noProof/>
                <w:color w:val="000000"/>
              </w:rPr>
            </w:pPr>
            <w:r>
              <w:rPr>
                <w:bCs/>
                <w:noProof/>
                <w:color w:val="000000"/>
              </w:rPr>
              <w:t>2003</w:t>
            </w:r>
          </w:p>
        </w:tc>
        <w:tc>
          <w:tcPr>
            <w:tcW w:w="2040" w:type="dxa"/>
            <w:vAlign w:val="center"/>
          </w:tcPr>
          <w:p w:rsidR="00000000" w:rsidRDefault="00000000">
            <w:pPr>
              <w:tabs>
                <w:tab w:val="decimal" w:pos="1201"/>
              </w:tabs>
              <w:ind w:firstLine="6"/>
              <w:rPr>
                <w:bCs/>
                <w:noProof/>
                <w:color w:val="000000"/>
              </w:rPr>
            </w:pPr>
            <w:r>
              <w:rPr>
                <w:bCs/>
                <w:noProof/>
                <w:color w:val="000000"/>
              </w:rPr>
              <w:t>13.000</w:t>
            </w:r>
          </w:p>
        </w:tc>
        <w:tc>
          <w:tcPr>
            <w:tcW w:w="3457" w:type="dxa"/>
            <w:vAlign w:val="center"/>
          </w:tcPr>
          <w:p w:rsidR="00000000" w:rsidRDefault="00000000">
            <w:pPr>
              <w:ind w:firstLine="6"/>
              <w:rPr>
                <w:bCs/>
                <w:noProof/>
                <w:color w:val="000000"/>
              </w:rPr>
            </w:pPr>
            <w:r>
              <w:rPr>
                <w:bCs/>
                <w:noProof/>
                <w:color w:val="000000"/>
              </w:rPr>
              <w:t>Todas las regiones</w:t>
            </w:r>
          </w:p>
        </w:tc>
      </w:tr>
    </w:tbl>
    <w:p w:rsidR="00000000" w:rsidRDefault="00000000">
      <w:pPr>
        <w:spacing w:before="240" w:after="360"/>
        <w:ind w:left="1134"/>
        <w:rPr>
          <w:bCs/>
          <w:noProof/>
          <w:color w:val="000000"/>
        </w:rPr>
      </w:pPr>
      <w:r>
        <w:rPr>
          <w:bCs/>
          <w:i/>
          <w:iCs/>
          <w:noProof/>
          <w:color w:val="000000"/>
        </w:rPr>
        <w:t>Fuente</w:t>
      </w:r>
      <w:r>
        <w:rPr>
          <w:bCs/>
          <w:noProof/>
          <w:color w:val="000000"/>
        </w:rPr>
        <w:t>:  MINEDUC.  Programa Liceo para Todos.</w:t>
      </w:r>
    </w:p>
    <w:p w:rsidR="00000000" w:rsidRDefault="00000000">
      <w:pPr>
        <w:tabs>
          <w:tab w:val="center" w:pos="4680"/>
          <w:tab w:val="left" w:pos="4956"/>
          <w:tab w:val="left" w:pos="5664"/>
          <w:tab w:val="left" w:pos="6372"/>
          <w:tab w:val="left" w:pos="7080"/>
          <w:tab w:val="left" w:pos="7788"/>
          <w:tab w:val="left" w:pos="8496"/>
        </w:tabs>
        <w:spacing w:after="200"/>
        <w:jc w:val="center"/>
        <w:outlineLvl w:val="0"/>
        <w:rPr>
          <w:b/>
          <w:noProof/>
          <w:color w:val="000000"/>
        </w:rPr>
      </w:pPr>
      <w:r>
        <w:rPr>
          <w:b/>
          <w:noProof/>
          <w:color w:val="000000"/>
        </w:rPr>
        <w:t>Cuadro 50</w:t>
      </w:r>
    </w:p>
    <w:p w:rsidR="00000000" w:rsidRDefault="00000000">
      <w:pPr>
        <w:tabs>
          <w:tab w:val="center" w:pos="4680"/>
          <w:tab w:val="left" w:pos="4956"/>
          <w:tab w:val="left" w:pos="5664"/>
          <w:tab w:val="left" w:pos="6372"/>
          <w:tab w:val="left" w:pos="7080"/>
          <w:tab w:val="left" w:pos="7788"/>
          <w:tab w:val="left" w:pos="8496"/>
        </w:tabs>
        <w:spacing w:after="200"/>
        <w:jc w:val="center"/>
        <w:outlineLvl w:val="0"/>
        <w:rPr>
          <w:b/>
          <w:noProof/>
          <w:color w:val="000000"/>
        </w:rPr>
      </w:pPr>
      <w:r>
        <w:rPr>
          <w:b/>
          <w:noProof/>
          <w:color w:val="000000"/>
        </w:rPr>
        <w:t>Número de becas a alumnos de enseñanza media</w:t>
      </w: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120" w:type="dxa"/>
          <w:right w:w="120" w:type="dxa"/>
        </w:tblCellMar>
        <w:tblLook w:val="0000" w:firstRow="0" w:lastRow="0" w:firstColumn="0" w:lastColumn="0" w:noHBand="0" w:noVBand="0"/>
      </w:tblPr>
      <w:tblGrid>
        <w:gridCol w:w="3118"/>
        <w:gridCol w:w="3118"/>
      </w:tblGrid>
      <w:tr w:rsidR="00000000">
        <w:tblPrEx>
          <w:tblCellMar>
            <w:top w:w="0" w:type="dxa"/>
            <w:bottom w:w="0" w:type="dxa"/>
          </w:tblCellMar>
        </w:tblPrEx>
        <w:trPr>
          <w:jc w:val="center"/>
        </w:trPr>
        <w:tc>
          <w:tcPr>
            <w:tcW w:w="3118" w:type="dxa"/>
          </w:tcPr>
          <w:p w:rsidR="00000000" w:rsidRDefault="00000000">
            <w:pPr>
              <w:ind w:firstLine="6"/>
              <w:jc w:val="center"/>
              <w:rPr>
                <w:b/>
                <w:noProof/>
                <w:color w:val="000000"/>
              </w:rPr>
            </w:pPr>
            <w:r>
              <w:rPr>
                <w:b/>
                <w:noProof/>
                <w:color w:val="000000"/>
              </w:rPr>
              <w:t>Años</w:t>
            </w:r>
          </w:p>
        </w:tc>
        <w:tc>
          <w:tcPr>
            <w:tcW w:w="3118" w:type="dxa"/>
          </w:tcPr>
          <w:p w:rsidR="00000000" w:rsidRDefault="00000000">
            <w:pPr>
              <w:ind w:firstLine="6"/>
              <w:jc w:val="center"/>
              <w:rPr>
                <w:b/>
                <w:noProof/>
                <w:color w:val="000000"/>
              </w:rPr>
            </w:pPr>
            <w:r>
              <w:rPr>
                <w:b/>
                <w:noProof/>
                <w:color w:val="000000"/>
              </w:rPr>
              <w:t>Becas a enseñanza media</w:t>
            </w:r>
          </w:p>
        </w:tc>
      </w:tr>
      <w:tr w:rsidR="00000000">
        <w:tblPrEx>
          <w:tblCellMar>
            <w:top w:w="0" w:type="dxa"/>
            <w:bottom w:w="0" w:type="dxa"/>
          </w:tblCellMar>
        </w:tblPrEx>
        <w:trPr>
          <w:jc w:val="center"/>
        </w:trPr>
        <w:tc>
          <w:tcPr>
            <w:tcW w:w="3118" w:type="dxa"/>
          </w:tcPr>
          <w:p w:rsidR="00000000" w:rsidRDefault="00000000">
            <w:pPr>
              <w:ind w:firstLine="6"/>
              <w:jc w:val="center"/>
              <w:rPr>
                <w:bCs/>
                <w:noProof/>
                <w:color w:val="000000"/>
              </w:rPr>
            </w:pPr>
            <w:r>
              <w:rPr>
                <w:bCs/>
                <w:noProof/>
                <w:color w:val="000000"/>
              </w:rPr>
              <w:t>1997</w:t>
            </w:r>
          </w:p>
        </w:tc>
        <w:tc>
          <w:tcPr>
            <w:tcW w:w="3118" w:type="dxa"/>
          </w:tcPr>
          <w:p w:rsidR="00000000" w:rsidRDefault="00000000">
            <w:pPr>
              <w:ind w:firstLine="6"/>
              <w:jc w:val="center"/>
              <w:rPr>
                <w:bCs/>
                <w:noProof/>
                <w:color w:val="000000"/>
              </w:rPr>
            </w:pPr>
            <w:r>
              <w:rPr>
                <w:bCs/>
                <w:noProof/>
                <w:color w:val="000000"/>
              </w:rPr>
              <w:t>13.369</w:t>
            </w:r>
          </w:p>
        </w:tc>
      </w:tr>
      <w:tr w:rsidR="00000000">
        <w:tblPrEx>
          <w:tblCellMar>
            <w:top w:w="0" w:type="dxa"/>
            <w:bottom w:w="0" w:type="dxa"/>
          </w:tblCellMar>
        </w:tblPrEx>
        <w:trPr>
          <w:jc w:val="center"/>
        </w:trPr>
        <w:tc>
          <w:tcPr>
            <w:tcW w:w="3118" w:type="dxa"/>
          </w:tcPr>
          <w:p w:rsidR="00000000" w:rsidRDefault="00000000">
            <w:pPr>
              <w:ind w:firstLine="6"/>
              <w:jc w:val="center"/>
              <w:rPr>
                <w:bCs/>
                <w:noProof/>
                <w:color w:val="000000"/>
              </w:rPr>
            </w:pPr>
            <w:r>
              <w:rPr>
                <w:bCs/>
                <w:noProof/>
                <w:color w:val="000000"/>
              </w:rPr>
              <w:t>1998</w:t>
            </w:r>
          </w:p>
        </w:tc>
        <w:tc>
          <w:tcPr>
            <w:tcW w:w="3118" w:type="dxa"/>
          </w:tcPr>
          <w:p w:rsidR="00000000" w:rsidRDefault="00000000">
            <w:pPr>
              <w:ind w:firstLine="6"/>
              <w:jc w:val="center"/>
              <w:rPr>
                <w:bCs/>
                <w:noProof/>
                <w:color w:val="000000"/>
              </w:rPr>
            </w:pPr>
            <w:r>
              <w:rPr>
                <w:bCs/>
                <w:noProof/>
                <w:color w:val="000000"/>
              </w:rPr>
              <w:t>15.194</w:t>
            </w:r>
          </w:p>
        </w:tc>
      </w:tr>
      <w:tr w:rsidR="00000000">
        <w:tblPrEx>
          <w:tblCellMar>
            <w:top w:w="0" w:type="dxa"/>
            <w:bottom w:w="0" w:type="dxa"/>
          </w:tblCellMar>
        </w:tblPrEx>
        <w:trPr>
          <w:jc w:val="center"/>
        </w:trPr>
        <w:tc>
          <w:tcPr>
            <w:tcW w:w="3118" w:type="dxa"/>
          </w:tcPr>
          <w:p w:rsidR="00000000" w:rsidRDefault="00000000">
            <w:pPr>
              <w:ind w:firstLine="6"/>
              <w:jc w:val="center"/>
              <w:rPr>
                <w:bCs/>
                <w:noProof/>
                <w:color w:val="000000"/>
              </w:rPr>
            </w:pPr>
            <w:r>
              <w:rPr>
                <w:bCs/>
                <w:noProof/>
                <w:color w:val="000000"/>
              </w:rPr>
              <w:t>1999</w:t>
            </w:r>
          </w:p>
        </w:tc>
        <w:tc>
          <w:tcPr>
            <w:tcW w:w="3118" w:type="dxa"/>
          </w:tcPr>
          <w:p w:rsidR="00000000" w:rsidRDefault="00000000">
            <w:pPr>
              <w:ind w:firstLine="6"/>
              <w:jc w:val="center"/>
              <w:rPr>
                <w:bCs/>
                <w:noProof/>
                <w:color w:val="000000"/>
              </w:rPr>
            </w:pPr>
            <w:r>
              <w:rPr>
                <w:bCs/>
                <w:noProof/>
                <w:color w:val="000000"/>
              </w:rPr>
              <w:t>18.194</w:t>
            </w:r>
          </w:p>
        </w:tc>
      </w:tr>
      <w:tr w:rsidR="00000000">
        <w:tblPrEx>
          <w:tblCellMar>
            <w:top w:w="0" w:type="dxa"/>
            <w:bottom w:w="0" w:type="dxa"/>
          </w:tblCellMar>
        </w:tblPrEx>
        <w:trPr>
          <w:jc w:val="center"/>
        </w:trPr>
        <w:tc>
          <w:tcPr>
            <w:tcW w:w="3118" w:type="dxa"/>
          </w:tcPr>
          <w:p w:rsidR="00000000" w:rsidRDefault="00000000">
            <w:pPr>
              <w:ind w:firstLine="6"/>
              <w:jc w:val="center"/>
              <w:rPr>
                <w:bCs/>
                <w:noProof/>
                <w:color w:val="000000"/>
              </w:rPr>
            </w:pPr>
            <w:r>
              <w:rPr>
                <w:bCs/>
                <w:noProof/>
                <w:color w:val="000000"/>
              </w:rPr>
              <w:t>2000</w:t>
            </w:r>
          </w:p>
        </w:tc>
        <w:tc>
          <w:tcPr>
            <w:tcW w:w="3118" w:type="dxa"/>
          </w:tcPr>
          <w:p w:rsidR="00000000" w:rsidRDefault="00000000">
            <w:pPr>
              <w:ind w:firstLine="6"/>
              <w:jc w:val="center"/>
              <w:rPr>
                <w:bCs/>
                <w:noProof/>
                <w:color w:val="000000"/>
              </w:rPr>
            </w:pPr>
            <w:r>
              <w:rPr>
                <w:bCs/>
                <w:noProof/>
                <w:color w:val="000000"/>
              </w:rPr>
              <w:t>19.288</w:t>
            </w:r>
          </w:p>
        </w:tc>
      </w:tr>
      <w:tr w:rsidR="00000000">
        <w:tblPrEx>
          <w:tblCellMar>
            <w:top w:w="0" w:type="dxa"/>
            <w:bottom w:w="0" w:type="dxa"/>
          </w:tblCellMar>
        </w:tblPrEx>
        <w:trPr>
          <w:jc w:val="center"/>
        </w:trPr>
        <w:tc>
          <w:tcPr>
            <w:tcW w:w="3118" w:type="dxa"/>
          </w:tcPr>
          <w:p w:rsidR="00000000" w:rsidRDefault="00000000">
            <w:pPr>
              <w:ind w:firstLine="6"/>
              <w:jc w:val="center"/>
              <w:rPr>
                <w:bCs/>
                <w:noProof/>
                <w:color w:val="000000"/>
              </w:rPr>
            </w:pPr>
            <w:r>
              <w:rPr>
                <w:bCs/>
                <w:noProof/>
                <w:color w:val="000000"/>
              </w:rPr>
              <w:t>2001</w:t>
            </w:r>
          </w:p>
        </w:tc>
        <w:tc>
          <w:tcPr>
            <w:tcW w:w="3118" w:type="dxa"/>
          </w:tcPr>
          <w:p w:rsidR="00000000" w:rsidRDefault="00000000">
            <w:pPr>
              <w:ind w:firstLine="6"/>
              <w:jc w:val="center"/>
              <w:rPr>
                <w:bCs/>
                <w:noProof/>
                <w:color w:val="000000"/>
              </w:rPr>
            </w:pPr>
            <w:r>
              <w:rPr>
                <w:bCs/>
                <w:noProof/>
                <w:color w:val="000000"/>
              </w:rPr>
              <w:t>22.951</w:t>
            </w:r>
          </w:p>
        </w:tc>
      </w:tr>
      <w:tr w:rsidR="00000000">
        <w:tblPrEx>
          <w:tblCellMar>
            <w:top w:w="0" w:type="dxa"/>
            <w:bottom w:w="0" w:type="dxa"/>
          </w:tblCellMar>
        </w:tblPrEx>
        <w:trPr>
          <w:jc w:val="center"/>
        </w:trPr>
        <w:tc>
          <w:tcPr>
            <w:tcW w:w="3118" w:type="dxa"/>
          </w:tcPr>
          <w:p w:rsidR="00000000" w:rsidRDefault="00000000">
            <w:pPr>
              <w:ind w:firstLine="6"/>
              <w:jc w:val="center"/>
              <w:rPr>
                <w:bCs/>
                <w:noProof/>
                <w:color w:val="000000"/>
              </w:rPr>
            </w:pPr>
            <w:r>
              <w:rPr>
                <w:bCs/>
                <w:noProof/>
                <w:color w:val="000000"/>
              </w:rPr>
              <w:t>2002</w:t>
            </w:r>
          </w:p>
        </w:tc>
        <w:tc>
          <w:tcPr>
            <w:tcW w:w="3118" w:type="dxa"/>
          </w:tcPr>
          <w:p w:rsidR="00000000" w:rsidRDefault="00000000">
            <w:pPr>
              <w:ind w:firstLine="6"/>
              <w:jc w:val="center"/>
              <w:rPr>
                <w:bCs/>
                <w:noProof/>
                <w:color w:val="000000"/>
              </w:rPr>
            </w:pPr>
            <w:r>
              <w:rPr>
                <w:bCs/>
                <w:noProof/>
                <w:color w:val="000000"/>
              </w:rPr>
              <w:t>22.668</w:t>
            </w:r>
          </w:p>
        </w:tc>
      </w:tr>
    </w:tbl>
    <w:p w:rsidR="00000000" w:rsidRDefault="00000000">
      <w:pPr>
        <w:spacing w:before="240" w:after="480"/>
        <w:ind w:left="1588"/>
        <w:rPr>
          <w:bCs/>
          <w:noProof/>
          <w:color w:val="000000"/>
        </w:rPr>
      </w:pPr>
      <w:r>
        <w:rPr>
          <w:bCs/>
          <w:i/>
          <w:iCs/>
          <w:noProof/>
          <w:color w:val="000000"/>
        </w:rPr>
        <w:t>Fuente</w:t>
      </w:r>
      <w:r>
        <w:rPr>
          <w:bCs/>
          <w:noProof/>
          <w:color w:val="000000"/>
        </w:rPr>
        <w:t>:  Ministerio del Interior, 2003.</w:t>
      </w:r>
    </w:p>
    <w:p w:rsidR="00000000" w:rsidRDefault="00000000">
      <w:pPr>
        <w:spacing w:after="240"/>
        <w:ind w:left="-4" w:firstLine="4"/>
        <w:jc w:val="center"/>
        <w:outlineLvl w:val="0"/>
        <w:rPr>
          <w:b/>
          <w:noProof/>
        </w:rPr>
      </w:pPr>
      <w:r>
        <w:rPr>
          <w:b/>
          <w:noProof/>
        </w:rPr>
        <w:t>Cuadro 51</w:t>
      </w:r>
    </w:p>
    <w:p w:rsidR="00000000" w:rsidRDefault="00000000">
      <w:pPr>
        <w:spacing w:after="240"/>
        <w:ind w:left="-4" w:firstLine="4"/>
        <w:jc w:val="center"/>
        <w:rPr>
          <w:bCs/>
          <w:noProof/>
        </w:rPr>
      </w:pPr>
      <w:r>
        <w:rPr>
          <w:b/>
          <w:noProof/>
        </w:rPr>
        <w:t>Evolución de la cobertura de la educación superior por quintil</w:t>
      </w:r>
      <w:r>
        <w:rPr>
          <w:b/>
          <w:noProof/>
        </w:rPr>
        <w:br/>
        <w:t>de ingreso autónomo per cápita nacional del hogar</w:t>
      </w:r>
    </w:p>
    <w:tbl>
      <w:tblPr>
        <w:tblW w:w="9472" w:type="dxa"/>
        <w:jc w:val="center"/>
        <w:tblLayout w:type="fixed"/>
        <w:tblCellMar>
          <w:left w:w="56" w:type="dxa"/>
          <w:right w:w="56" w:type="dxa"/>
        </w:tblCellMar>
        <w:tblLook w:val="0000" w:firstRow="0" w:lastRow="0" w:firstColumn="0" w:lastColumn="0" w:noHBand="0" w:noVBand="0"/>
      </w:tblPr>
      <w:tblGrid>
        <w:gridCol w:w="1998"/>
        <w:gridCol w:w="1214"/>
        <w:gridCol w:w="1226"/>
        <w:gridCol w:w="1226"/>
        <w:gridCol w:w="1226"/>
        <w:gridCol w:w="1226"/>
        <w:gridCol w:w="1356"/>
      </w:tblGrid>
      <w:tr w:rsidR="00000000">
        <w:tblPrEx>
          <w:tblCellMar>
            <w:top w:w="0" w:type="dxa"/>
            <w:bottom w:w="0" w:type="dxa"/>
          </w:tblCellMar>
        </w:tblPrEx>
        <w:trPr>
          <w:cantSplit/>
          <w:jc w:val="center"/>
        </w:trPr>
        <w:tc>
          <w:tcPr>
            <w:tcW w:w="1998" w:type="dxa"/>
            <w:vMerge w:val="restart"/>
            <w:tcBorders>
              <w:top w:val="single" w:sz="4" w:space="0" w:color="auto"/>
              <w:left w:val="single" w:sz="4" w:space="0" w:color="auto"/>
              <w:right w:val="single" w:sz="8" w:space="0" w:color="000000"/>
            </w:tcBorders>
            <w:vAlign w:val="center"/>
          </w:tcPr>
          <w:p w:rsidR="00000000" w:rsidRDefault="00000000">
            <w:pPr>
              <w:ind w:firstLine="4"/>
              <w:jc w:val="center"/>
              <w:rPr>
                <w:b/>
                <w:noProof/>
                <w:color w:val="000000"/>
              </w:rPr>
            </w:pPr>
            <w:r>
              <w:rPr>
                <w:b/>
                <w:noProof/>
                <w:color w:val="000000"/>
              </w:rPr>
              <w:t>Año</w:t>
            </w:r>
          </w:p>
        </w:tc>
        <w:tc>
          <w:tcPr>
            <w:tcW w:w="7474" w:type="dxa"/>
            <w:gridSpan w:val="6"/>
            <w:tcBorders>
              <w:top w:val="single" w:sz="4" w:space="0" w:color="auto"/>
              <w:left w:val="single" w:sz="8" w:space="0" w:color="000000"/>
              <w:bottom w:val="single" w:sz="6" w:space="0" w:color="FFFFFF"/>
              <w:right w:val="single" w:sz="4" w:space="0" w:color="auto"/>
            </w:tcBorders>
            <w:vAlign w:val="center"/>
          </w:tcPr>
          <w:p w:rsidR="00000000" w:rsidRDefault="00000000">
            <w:pPr>
              <w:ind w:firstLine="4"/>
              <w:jc w:val="center"/>
              <w:rPr>
                <w:b/>
                <w:noProof/>
                <w:color w:val="000000"/>
              </w:rPr>
            </w:pPr>
            <w:r>
              <w:rPr>
                <w:b/>
                <w:noProof/>
                <w:color w:val="000000"/>
              </w:rPr>
              <w:t>Quintil de ingreso</w:t>
            </w:r>
          </w:p>
        </w:tc>
      </w:tr>
      <w:tr w:rsidR="00000000">
        <w:tblPrEx>
          <w:tblCellMar>
            <w:top w:w="0" w:type="dxa"/>
            <w:bottom w:w="0" w:type="dxa"/>
          </w:tblCellMar>
        </w:tblPrEx>
        <w:trPr>
          <w:cantSplit/>
          <w:jc w:val="center"/>
        </w:trPr>
        <w:tc>
          <w:tcPr>
            <w:tcW w:w="1998" w:type="dxa"/>
            <w:vMerge/>
            <w:tcBorders>
              <w:left w:val="single" w:sz="4" w:space="0" w:color="auto"/>
              <w:bottom w:val="single" w:sz="6" w:space="0" w:color="FFFFFF"/>
              <w:right w:val="single" w:sz="8" w:space="0" w:color="000000"/>
            </w:tcBorders>
            <w:vAlign w:val="center"/>
          </w:tcPr>
          <w:p w:rsidR="00000000" w:rsidRDefault="00000000">
            <w:pPr>
              <w:ind w:firstLine="4"/>
              <w:jc w:val="center"/>
              <w:rPr>
                <w:b/>
                <w:noProof/>
                <w:color w:val="000000"/>
              </w:rPr>
            </w:pPr>
          </w:p>
        </w:tc>
        <w:tc>
          <w:tcPr>
            <w:tcW w:w="1214" w:type="dxa"/>
            <w:tcBorders>
              <w:top w:val="single" w:sz="7" w:space="0" w:color="000000"/>
              <w:left w:val="single" w:sz="8" w:space="0" w:color="000000"/>
              <w:bottom w:val="single" w:sz="6" w:space="0" w:color="FFFFFF"/>
              <w:right w:val="single" w:sz="8" w:space="0" w:color="000000"/>
            </w:tcBorders>
            <w:vAlign w:val="center"/>
          </w:tcPr>
          <w:p w:rsidR="00000000" w:rsidRDefault="00000000">
            <w:pPr>
              <w:ind w:firstLine="4"/>
              <w:jc w:val="center"/>
              <w:rPr>
                <w:b/>
                <w:noProof/>
                <w:color w:val="000000"/>
                <w:lang w:val="en-GB"/>
              </w:rPr>
            </w:pPr>
            <w:r>
              <w:rPr>
                <w:b/>
                <w:noProof/>
                <w:color w:val="000000"/>
                <w:lang w:val="en-GB"/>
              </w:rPr>
              <w:t>I</w:t>
            </w:r>
          </w:p>
        </w:tc>
        <w:tc>
          <w:tcPr>
            <w:tcW w:w="1226" w:type="dxa"/>
            <w:tcBorders>
              <w:top w:val="single" w:sz="7" w:space="0" w:color="000000"/>
              <w:left w:val="single" w:sz="8" w:space="0" w:color="000000"/>
              <w:bottom w:val="single" w:sz="6" w:space="0" w:color="FFFFFF"/>
              <w:right w:val="single" w:sz="8" w:space="0" w:color="000000"/>
            </w:tcBorders>
            <w:vAlign w:val="center"/>
          </w:tcPr>
          <w:p w:rsidR="00000000" w:rsidRDefault="00000000">
            <w:pPr>
              <w:ind w:firstLine="4"/>
              <w:jc w:val="center"/>
              <w:rPr>
                <w:b/>
                <w:noProof/>
                <w:color w:val="000000"/>
                <w:lang w:val="en-GB"/>
              </w:rPr>
            </w:pPr>
            <w:r>
              <w:rPr>
                <w:b/>
                <w:noProof/>
                <w:color w:val="000000"/>
                <w:lang w:val="en-GB"/>
              </w:rPr>
              <w:t>II</w:t>
            </w:r>
          </w:p>
        </w:tc>
        <w:tc>
          <w:tcPr>
            <w:tcW w:w="1226" w:type="dxa"/>
            <w:tcBorders>
              <w:top w:val="single" w:sz="7" w:space="0" w:color="000000"/>
              <w:left w:val="single" w:sz="8" w:space="0" w:color="000000"/>
              <w:bottom w:val="single" w:sz="6" w:space="0" w:color="FFFFFF"/>
              <w:right w:val="single" w:sz="8" w:space="0" w:color="000000"/>
            </w:tcBorders>
            <w:vAlign w:val="center"/>
          </w:tcPr>
          <w:p w:rsidR="00000000" w:rsidRDefault="00000000">
            <w:pPr>
              <w:ind w:firstLine="4"/>
              <w:jc w:val="center"/>
              <w:rPr>
                <w:b/>
                <w:noProof/>
                <w:color w:val="000000"/>
                <w:lang w:val="en-GB"/>
              </w:rPr>
            </w:pPr>
            <w:r>
              <w:rPr>
                <w:b/>
                <w:noProof/>
                <w:color w:val="000000"/>
                <w:lang w:val="en-GB"/>
              </w:rPr>
              <w:t>III</w:t>
            </w:r>
          </w:p>
        </w:tc>
        <w:tc>
          <w:tcPr>
            <w:tcW w:w="1226" w:type="dxa"/>
            <w:tcBorders>
              <w:top w:val="single" w:sz="7" w:space="0" w:color="000000"/>
              <w:left w:val="single" w:sz="8" w:space="0" w:color="000000"/>
              <w:bottom w:val="single" w:sz="6" w:space="0" w:color="FFFFFF"/>
              <w:right w:val="single" w:sz="8" w:space="0" w:color="000000"/>
            </w:tcBorders>
            <w:vAlign w:val="center"/>
          </w:tcPr>
          <w:p w:rsidR="00000000" w:rsidRDefault="00000000">
            <w:pPr>
              <w:ind w:firstLine="4"/>
              <w:jc w:val="center"/>
              <w:rPr>
                <w:b/>
                <w:noProof/>
                <w:color w:val="000000"/>
              </w:rPr>
            </w:pPr>
            <w:r>
              <w:rPr>
                <w:b/>
                <w:noProof/>
                <w:color w:val="000000"/>
              </w:rPr>
              <w:t>IV</w:t>
            </w:r>
          </w:p>
        </w:tc>
        <w:tc>
          <w:tcPr>
            <w:tcW w:w="1226" w:type="dxa"/>
            <w:tcBorders>
              <w:top w:val="single" w:sz="7" w:space="0" w:color="000000"/>
              <w:left w:val="single" w:sz="8" w:space="0" w:color="000000"/>
              <w:bottom w:val="single" w:sz="6" w:space="0" w:color="FFFFFF"/>
              <w:right w:val="single" w:sz="8" w:space="0" w:color="000000"/>
            </w:tcBorders>
            <w:vAlign w:val="center"/>
          </w:tcPr>
          <w:p w:rsidR="00000000" w:rsidRDefault="00000000">
            <w:pPr>
              <w:ind w:firstLine="4"/>
              <w:jc w:val="center"/>
              <w:rPr>
                <w:b/>
                <w:noProof/>
                <w:color w:val="000000"/>
              </w:rPr>
            </w:pPr>
            <w:r>
              <w:rPr>
                <w:b/>
                <w:noProof/>
                <w:color w:val="000000"/>
              </w:rPr>
              <w:t>V</w:t>
            </w:r>
          </w:p>
        </w:tc>
        <w:tc>
          <w:tcPr>
            <w:tcW w:w="1356" w:type="dxa"/>
            <w:tcBorders>
              <w:top w:val="single" w:sz="7" w:space="0" w:color="000000"/>
              <w:left w:val="single" w:sz="8" w:space="0" w:color="000000"/>
              <w:bottom w:val="single" w:sz="6" w:space="0" w:color="FFFFFF"/>
              <w:right w:val="single" w:sz="4" w:space="0" w:color="auto"/>
            </w:tcBorders>
            <w:vAlign w:val="center"/>
          </w:tcPr>
          <w:p w:rsidR="00000000" w:rsidRDefault="00000000">
            <w:pPr>
              <w:ind w:firstLine="4"/>
              <w:jc w:val="center"/>
              <w:rPr>
                <w:b/>
                <w:noProof/>
                <w:color w:val="000000"/>
              </w:rPr>
            </w:pPr>
            <w:r>
              <w:rPr>
                <w:b/>
                <w:noProof/>
                <w:color w:val="000000"/>
              </w:rPr>
              <w:t>Total</w:t>
            </w:r>
          </w:p>
        </w:tc>
      </w:tr>
      <w:tr w:rsidR="00000000">
        <w:tblPrEx>
          <w:tblCellMar>
            <w:top w:w="0" w:type="dxa"/>
            <w:bottom w:w="0" w:type="dxa"/>
          </w:tblCellMar>
        </w:tblPrEx>
        <w:trPr>
          <w:jc w:val="center"/>
        </w:trPr>
        <w:tc>
          <w:tcPr>
            <w:tcW w:w="1998" w:type="dxa"/>
            <w:tcBorders>
              <w:top w:val="single" w:sz="7" w:space="0" w:color="000000"/>
              <w:left w:val="single" w:sz="4" w:space="0" w:color="auto"/>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1996</w:t>
            </w:r>
          </w:p>
        </w:tc>
        <w:tc>
          <w:tcPr>
            <w:tcW w:w="1214" w:type="dxa"/>
            <w:tcBorders>
              <w:top w:val="single" w:sz="7" w:space="0" w:color="000000"/>
              <w:left w:val="single" w:sz="8" w:space="0" w:color="000000"/>
              <w:bottom w:val="single" w:sz="7" w:space="0" w:color="000000"/>
              <w:right w:val="single" w:sz="8" w:space="0" w:color="000000"/>
            </w:tcBorders>
            <w:vAlign w:val="center"/>
          </w:tcPr>
          <w:p w:rsidR="00000000" w:rsidRDefault="00000000">
            <w:pPr>
              <w:tabs>
                <w:tab w:val="decimal" w:pos="497"/>
              </w:tabs>
              <w:ind w:firstLine="4"/>
              <w:rPr>
                <w:bCs/>
                <w:noProof/>
                <w:color w:val="000000"/>
              </w:rPr>
            </w:pPr>
            <w:r>
              <w:rPr>
                <w:bCs/>
                <w:noProof/>
                <w:color w:val="000000"/>
              </w:rPr>
              <w:t>8,5</w:t>
            </w:r>
          </w:p>
        </w:tc>
        <w:tc>
          <w:tcPr>
            <w:tcW w:w="1226"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15,1</w:t>
            </w:r>
          </w:p>
        </w:tc>
        <w:tc>
          <w:tcPr>
            <w:tcW w:w="1226"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21,5</w:t>
            </w:r>
          </w:p>
        </w:tc>
        <w:tc>
          <w:tcPr>
            <w:tcW w:w="1226"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34,7</w:t>
            </w:r>
          </w:p>
        </w:tc>
        <w:tc>
          <w:tcPr>
            <w:tcW w:w="1226"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59,7</w:t>
            </w:r>
          </w:p>
        </w:tc>
        <w:tc>
          <w:tcPr>
            <w:tcW w:w="1356" w:type="dxa"/>
            <w:tcBorders>
              <w:top w:val="single" w:sz="7" w:space="0" w:color="000000"/>
              <w:left w:val="single" w:sz="8" w:space="0" w:color="000000"/>
              <w:bottom w:val="single" w:sz="7" w:space="0" w:color="000000"/>
              <w:right w:val="single" w:sz="4" w:space="0" w:color="auto"/>
            </w:tcBorders>
            <w:vAlign w:val="center"/>
          </w:tcPr>
          <w:p w:rsidR="00000000" w:rsidRDefault="00000000">
            <w:pPr>
              <w:tabs>
                <w:tab w:val="decimal" w:pos="647"/>
              </w:tabs>
              <w:ind w:firstLine="4"/>
              <w:rPr>
                <w:bCs/>
                <w:noProof/>
                <w:color w:val="000000"/>
              </w:rPr>
            </w:pPr>
            <w:r>
              <w:rPr>
                <w:bCs/>
                <w:noProof/>
                <w:color w:val="000000"/>
              </w:rPr>
              <w:t>27,8</w:t>
            </w:r>
          </w:p>
        </w:tc>
      </w:tr>
      <w:tr w:rsidR="00000000">
        <w:tblPrEx>
          <w:tblCellMar>
            <w:top w:w="0" w:type="dxa"/>
            <w:bottom w:w="0" w:type="dxa"/>
          </w:tblCellMar>
        </w:tblPrEx>
        <w:trPr>
          <w:jc w:val="center"/>
        </w:trPr>
        <w:tc>
          <w:tcPr>
            <w:tcW w:w="1998" w:type="dxa"/>
            <w:tcBorders>
              <w:top w:val="single" w:sz="7" w:space="0" w:color="000000"/>
              <w:left w:val="single" w:sz="4" w:space="0" w:color="auto"/>
              <w:bottom w:val="single" w:sz="7" w:space="0" w:color="000000"/>
              <w:right w:val="single" w:sz="8" w:space="0" w:color="000000"/>
            </w:tcBorders>
            <w:vAlign w:val="center"/>
          </w:tcPr>
          <w:p w:rsidR="00000000" w:rsidRDefault="00000000">
            <w:pPr>
              <w:jc w:val="center"/>
              <w:rPr>
                <w:bCs/>
                <w:noProof/>
                <w:color w:val="000000"/>
              </w:rPr>
            </w:pPr>
            <w:r>
              <w:rPr>
                <w:bCs/>
                <w:noProof/>
                <w:color w:val="000000"/>
              </w:rPr>
              <w:t>1998</w:t>
            </w:r>
          </w:p>
        </w:tc>
        <w:tc>
          <w:tcPr>
            <w:tcW w:w="1214" w:type="dxa"/>
            <w:tcBorders>
              <w:top w:val="single" w:sz="7" w:space="0" w:color="000000"/>
              <w:left w:val="single" w:sz="8" w:space="0" w:color="000000"/>
              <w:bottom w:val="single" w:sz="7" w:space="0" w:color="000000"/>
              <w:right w:val="single" w:sz="8" w:space="0" w:color="000000"/>
            </w:tcBorders>
            <w:vAlign w:val="center"/>
          </w:tcPr>
          <w:p w:rsidR="00000000" w:rsidRDefault="00000000">
            <w:pPr>
              <w:tabs>
                <w:tab w:val="decimal" w:pos="497"/>
              </w:tabs>
              <w:ind w:firstLine="4"/>
              <w:rPr>
                <w:bCs/>
                <w:noProof/>
                <w:color w:val="000000"/>
              </w:rPr>
            </w:pPr>
            <w:r>
              <w:rPr>
                <w:bCs/>
                <w:noProof/>
                <w:color w:val="000000"/>
              </w:rPr>
              <w:t>8,7</w:t>
            </w:r>
          </w:p>
        </w:tc>
        <w:tc>
          <w:tcPr>
            <w:tcW w:w="1226"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13,3</w:t>
            </w:r>
          </w:p>
        </w:tc>
        <w:tc>
          <w:tcPr>
            <w:tcW w:w="1226"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23,0</w:t>
            </w:r>
          </w:p>
        </w:tc>
        <w:tc>
          <w:tcPr>
            <w:tcW w:w="1226"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38,8</w:t>
            </w:r>
          </w:p>
        </w:tc>
        <w:tc>
          <w:tcPr>
            <w:tcW w:w="1226"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65,5</w:t>
            </w:r>
          </w:p>
        </w:tc>
        <w:tc>
          <w:tcPr>
            <w:tcW w:w="1356" w:type="dxa"/>
            <w:tcBorders>
              <w:top w:val="single" w:sz="7" w:space="0" w:color="000000"/>
              <w:left w:val="single" w:sz="8" w:space="0" w:color="000000"/>
              <w:bottom w:val="single" w:sz="7" w:space="0" w:color="000000"/>
              <w:right w:val="single" w:sz="4" w:space="0" w:color="auto"/>
            </w:tcBorders>
            <w:vAlign w:val="center"/>
          </w:tcPr>
          <w:p w:rsidR="00000000" w:rsidRDefault="00000000">
            <w:pPr>
              <w:tabs>
                <w:tab w:val="decimal" w:pos="647"/>
              </w:tabs>
              <w:ind w:firstLine="4"/>
              <w:rPr>
                <w:bCs/>
                <w:noProof/>
                <w:color w:val="000000"/>
              </w:rPr>
            </w:pPr>
            <w:r>
              <w:rPr>
                <w:bCs/>
                <w:noProof/>
                <w:color w:val="000000"/>
              </w:rPr>
              <w:t>29,3</w:t>
            </w:r>
          </w:p>
        </w:tc>
      </w:tr>
      <w:tr w:rsidR="00000000">
        <w:tblPrEx>
          <w:tblCellMar>
            <w:top w:w="0" w:type="dxa"/>
            <w:bottom w:w="0" w:type="dxa"/>
          </w:tblCellMar>
        </w:tblPrEx>
        <w:trPr>
          <w:jc w:val="center"/>
        </w:trPr>
        <w:tc>
          <w:tcPr>
            <w:tcW w:w="1998" w:type="dxa"/>
            <w:tcBorders>
              <w:top w:val="single" w:sz="7" w:space="0" w:color="000000"/>
              <w:left w:val="single" w:sz="4" w:space="0" w:color="auto"/>
              <w:bottom w:val="single" w:sz="7" w:space="0" w:color="000000"/>
              <w:right w:val="single" w:sz="8" w:space="0" w:color="000000"/>
            </w:tcBorders>
            <w:vAlign w:val="center"/>
          </w:tcPr>
          <w:p w:rsidR="00000000" w:rsidRDefault="00000000">
            <w:pPr>
              <w:jc w:val="center"/>
              <w:rPr>
                <w:bCs/>
                <w:noProof/>
                <w:color w:val="000000"/>
              </w:rPr>
            </w:pPr>
            <w:r>
              <w:rPr>
                <w:bCs/>
                <w:noProof/>
                <w:color w:val="000000"/>
              </w:rPr>
              <w:t>2000</w:t>
            </w:r>
          </w:p>
        </w:tc>
        <w:tc>
          <w:tcPr>
            <w:tcW w:w="1214" w:type="dxa"/>
            <w:tcBorders>
              <w:top w:val="single" w:sz="7" w:space="0" w:color="000000"/>
              <w:left w:val="single" w:sz="8" w:space="0" w:color="000000"/>
              <w:bottom w:val="single" w:sz="7" w:space="0" w:color="000000"/>
              <w:right w:val="single" w:sz="8" w:space="0" w:color="000000"/>
            </w:tcBorders>
            <w:vAlign w:val="center"/>
          </w:tcPr>
          <w:p w:rsidR="00000000" w:rsidRDefault="00000000">
            <w:pPr>
              <w:tabs>
                <w:tab w:val="decimal" w:pos="497"/>
              </w:tabs>
              <w:ind w:firstLine="4"/>
              <w:rPr>
                <w:bCs/>
                <w:noProof/>
                <w:color w:val="000000"/>
              </w:rPr>
            </w:pPr>
            <w:r>
              <w:rPr>
                <w:bCs/>
                <w:noProof/>
                <w:color w:val="000000"/>
              </w:rPr>
              <w:t>9,4</w:t>
            </w:r>
          </w:p>
        </w:tc>
        <w:tc>
          <w:tcPr>
            <w:tcW w:w="1226"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17,3</w:t>
            </w:r>
          </w:p>
        </w:tc>
        <w:tc>
          <w:tcPr>
            <w:tcW w:w="1226"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29,8</w:t>
            </w:r>
          </w:p>
        </w:tc>
        <w:tc>
          <w:tcPr>
            <w:tcW w:w="1226"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42,5</w:t>
            </w:r>
          </w:p>
        </w:tc>
        <w:tc>
          <w:tcPr>
            <w:tcW w:w="1226" w:type="dxa"/>
            <w:tcBorders>
              <w:top w:val="single" w:sz="7" w:space="0" w:color="000000"/>
              <w:left w:val="single" w:sz="8" w:space="0" w:color="000000"/>
              <w:bottom w:val="single" w:sz="7" w:space="0" w:color="000000"/>
              <w:right w:val="single" w:sz="8" w:space="0" w:color="000000"/>
            </w:tcBorders>
            <w:vAlign w:val="center"/>
          </w:tcPr>
          <w:p w:rsidR="00000000" w:rsidRDefault="00000000">
            <w:pPr>
              <w:ind w:firstLine="4"/>
              <w:jc w:val="center"/>
              <w:rPr>
                <w:bCs/>
                <w:noProof/>
                <w:color w:val="000000"/>
              </w:rPr>
            </w:pPr>
            <w:r>
              <w:rPr>
                <w:bCs/>
                <w:noProof/>
                <w:color w:val="000000"/>
              </w:rPr>
              <w:t>66,0</w:t>
            </w:r>
          </w:p>
        </w:tc>
        <w:tc>
          <w:tcPr>
            <w:tcW w:w="1356" w:type="dxa"/>
            <w:tcBorders>
              <w:top w:val="single" w:sz="7" w:space="0" w:color="000000"/>
              <w:left w:val="single" w:sz="8" w:space="0" w:color="000000"/>
              <w:bottom w:val="single" w:sz="7" w:space="0" w:color="000000"/>
              <w:right w:val="single" w:sz="4" w:space="0" w:color="auto"/>
            </w:tcBorders>
            <w:vAlign w:val="center"/>
          </w:tcPr>
          <w:p w:rsidR="00000000" w:rsidRDefault="00000000">
            <w:pPr>
              <w:tabs>
                <w:tab w:val="decimal" w:pos="647"/>
              </w:tabs>
              <w:ind w:firstLine="4"/>
              <w:rPr>
                <w:bCs/>
                <w:noProof/>
                <w:color w:val="000000"/>
              </w:rPr>
            </w:pPr>
            <w:r>
              <w:rPr>
                <w:bCs/>
                <w:noProof/>
                <w:color w:val="000000"/>
              </w:rPr>
              <w:t>32</w:t>
            </w:r>
          </w:p>
        </w:tc>
      </w:tr>
      <w:tr w:rsidR="00000000">
        <w:tblPrEx>
          <w:tblCellMar>
            <w:top w:w="0" w:type="dxa"/>
            <w:bottom w:w="0" w:type="dxa"/>
          </w:tblCellMar>
        </w:tblPrEx>
        <w:trPr>
          <w:jc w:val="center"/>
        </w:trPr>
        <w:tc>
          <w:tcPr>
            <w:tcW w:w="1998" w:type="dxa"/>
            <w:tcBorders>
              <w:top w:val="single" w:sz="7" w:space="0" w:color="000000"/>
              <w:left w:val="single" w:sz="4" w:space="0" w:color="auto"/>
              <w:bottom w:val="single" w:sz="4" w:space="0" w:color="auto"/>
              <w:right w:val="single" w:sz="8" w:space="0" w:color="000000"/>
            </w:tcBorders>
            <w:vAlign w:val="center"/>
          </w:tcPr>
          <w:p w:rsidR="00000000" w:rsidRDefault="00000000">
            <w:pPr>
              <w:jc w:val="center"/>
              <w:rPr>
                <w:bCs/>
                <w:noProof/>
                <w:color w:val="000000"/>
              </w:rPr>
            </w:pPr>
            <w:r>
              <w:rPr>
                <w:bCs/>
                <w:noProof/>
                <w:color w:val="000000"/>
              </w:rPr>
              <w:t>2003</w:t>
            </w:r>
          </w:p>
        </w:tc>
        <w:tc>
          <w:tcPr>
            <w:tcW w:w="1214" w:type="dxa"/>
            <w:tcBorders>
              <w:top w:val="single" w:sz="7" w:space="0" w:color="000000"/>
              <w:left w:val="single" w:sz="8" w:space="0" w:color="000000"/>
              <w:bottom w:val="single" w:sz="4" w:space="0" w:color="auto"/>
              <w:right w:val="single" w:sz="8" w:space="0" w:color="000000"/>
            </w:tcBorders>
            <w:vAlign w:val="center"/>
          </w:tcPr>
          <w:p w:rsidR="00000000" w:rsidRDefault="00000000">
            <w:pPr>
              <w:tabs>
                <w:tab w:val="decimal" w:pos="497"/>
              </w:tabs>
              <w:ind w:firstLine="4"/>
              <w:rPr>
                <w:bCs/>
                <w:noProof/>
                <w:color w:val="000000"/>
              </w:rPr>
            </w:pPr>
            <w:r>
              <w:rPr>
                <w:bCs/>
                <w:noProof/>
                <w:color w:val="000000"/>
              </w:rPr>
              <w:t>14,5</w:t>
            </w:r>
          </w:p>
        </w:tc>
        <w:tc>
          <w:tcPr>
            <w:tcW w:w="1226" w:type="dxa"/>
            <w:tcBorders>
              <w:top w:val="single" w:sz="7" w:space="0" w:color="000000"/>
              <w:left w:val="single" w:sz="8" w:space="0" w:color="000000"/>
              <w:bottom w:val="single" w:sz="4" w:space="0" w:color="auto"/>
              <w:right w:val="single" w:sz="8" w:space="0" w:color="000000"/>
            </w:tcBorders>
            <w:vAlign w:val="center"/>
          </w:tcPr>
          <w:p w:rsidR="00000000" w:rsidRDefault="00000000">
            <w:pPr>
              <w:jc w:val="center"/>
              <w:rPr>
                <w:bCs/>
                <w:noProof/>
                <w:color w:val="000000"/>
              </w:rPr>
            </w:pPr>
            <w:r>
              <w:rPr>
                <w:bCs/>
                <w:noProof/>
                <w:color w:val="000000"/>
              </w:rPr>
              <w:t>21,2</w:t>
            </w:r>
          </w:p>
        </w:tc>
        <w:tc>
          <w:tcPr>
            <w:tcW w:w="1226" w:type="dxa"/>
            <w:tcBorders>
              <w:top w:val="single" w:sz="7" w:space="0" w:color="000000"/>
              <w:left w:val="single" w:sz="8" w:space="0" w:color="000000"/>
              <w:bottom w:val="single" w:sz="4" w:space="0" w:color="auto"/>
              <w:right w:val="single" w:sz="8" w:space="0" w:color="000000"/>
            </w:tcBorders>
            <w:vAlign w:val="center"/>
          </w:tcPr>
          <w:p w:rsidR="00000000" w:rsidRDefault="00000000">
            <w:pPr>
              <w:jc w:val="center"/>
              <w:rPr>
                <w:bCs/>
                <w:noProof/>
                <w:color w:val="000000"/>
              </w:rPr>
            </w:pPr>
            <w:r>
              <w:rPr>
                <w:bCs/>
                <w:noProof/>
                <w:color w:val="000000"/>
              </w:rPr>
              <w:t>32,8</w:t>
            </w:r>
          </w:p>
        </w:tc>
        <w:tc>
          <w:tcPr>
            <w:tcW w:w="1226" w:type="dxa"/>
            <w:tcBorders>
              <w:top w:val="single" w:sz="7" w:space="0" w:color="000000"/>
              <w:left w:val="single" w:sz="8" w:space="0" w:color="000000"/>
              <w:bottom w:val="single" w:sz="4" w:space="0" w:color="auto"/>
              <w:right w:val="single" w:sz="8" w:space="0" w:color="000000"/>
            </w:tcBorders>
            <w:vAlign w:val="center"/>
          </w:tcPr>
          <w:p w:rsidR="00000000" w:rsidRDefault="00000000">
            <w:pPr>
              <w:jc w:val="center"/>
              <w:rPr>
                <w:bCs/>
                <w:noProof/>
                <w:color w:val="000000"/>
              </w:rPr>
            </w:pPr>
            <w:r>
              <w:rPr>
                <w:bCs/>
                <w:noProof/>
                <w:color w:val="000000"/>
              </w:rPr>
              <w:t>46,4</w:t>
            </w:r>
          </w:p>
        </w:tc>
        <w:tc>
          <w:tcPr>
            <w:tcW w:w="1226" w:type="dxa"/>
            <w:tcBorders>
              <w:top w:val="single" w:sz="7" w:space="0" w:color="000000"/>
              <w:left w:val="single" w:sz="8" w:space="0" w:color="000000"/>
              <w:bottom w:val="single" w:sz="4" w:space="0" w:color="auto"/>
              <w:right w:val="single" w:sz="8" w:space="0" w:color="000000"/>
            </w:tcBorders>
            <w:vAlign w:val="center"/>
          </w:tcPr>
          <w:p w:rsidR="00000000" w:rsidRDefault="00000000">
            <w:pPr>
              <w:jc w:val="center"/>
              <w:rPr>
                <w:bCs/>
                <w:noProof/>
                <w:color w:val="000000"/>
              </w:rPr>
            </w:pPr>
            <w:r>
              <w:rPr>
                <w:bCs/>
                <w:noProof/>
                <w:color w:val="000000"/>
              </w:rPr>
              <w:t>73,7</w:t>
            </w:r>
          </w:p>
        </w:tc>
        <w:tc>
          <w:tcPr>
            <w:tcW w:w="1356" w:type="dxa"/>
            <w:tcBorders>
              <w:top w:val="single" w:sz="7" w:space="0" w:color="000000"/>
              <w:left w:val="single" w:sz="8" w:space="0" w:color="000000"/>
              <w:bottom w:val="single" w:sz="4" w:space="0" w:color="auto"/>
              <w:right w:val="single" w:sz="4" w:space="0" w:color="auto"/>
            </w:tcBorders>
            <w:vAlign w:val="center"/>
          </w:tcPr>
          <w:p w:rsidR="00000000" w:rsidRDefault="00000000">
            <w:pPr>
              <w:tabs>
                <w:tab w:val="decimal" w:pos="647"/>
              </w:tabs>
              <w:ind w:firstLine="4"/>
              <w:rPr>
                <w:bCs/>
                <w:noProof/>
                <w:color w:val="000000"/>
              </w:rPr>
            </w:pPr>
            <w:r>
              <w:rPr>
                <w:bCs/>
                <w:noProof/>
                <w:color w:val="000000"/>
              </w:rPr>
              <w:t>37,5</w:t>
            </w:r>
          </w:p>
        </w:tc>
      </w:tr>
    </w:tbl>
    <w:p w:rsidR="00000000" w:rsidRDefault="00000000">
      <w:pPr>
        <w:spacing w:before="240" w:after="480"/>
        <w:rPr>
          <w:bCs/>
          <w:noProof/>
          <w:color w:val="000000"/>
        </w:rPr>
      </w:pPr>
      <w:r>
        <w:rPr>
          <w:bCs/>
          <w:i/>
          <w:iCs/>
          <w:noProof/>
          <w:color w:val="000000"/>
        </w:rPr>
        <w:t>Fuente</w:t>
      </w:r>
      <w:r>
        <w:rPr>
          <w:bCs/>
          <w:noProof/>
          <w:color w:val="000000"/>
        </w:rPr>
        <w:t>:  MIDEPLAN, Encuesta Casen 1996, 1998, 2000 y 2003.</w:t>
      </w:r>
    </w:p>
    <w:p w:rsidR="00000000" w:rsidRDefault="00000000">
      <w:pPr>
        <w:spacing w:after="240"/>
        <w:ind w:left="-4" w:firstLine="4"/>
        <w:jc w:val="center"/>
        <w:rPr>
          <w:b/>
          <w:noProof/>
          <w:color w:val="000000"/>
        </w:rPr>
      </w:pPr>
      <w:r>
        <w:rPr>
          <w:b/>
          <w:noProof/>
          <w:color w:val="000000"/>
        </w:rPr>
        <w:t>Cuadro 52</w:t>
      </w:r>
    </w:p>
    <w:p w:rsidR="00000000" w:rsidRDefault="00000000">
      <w:pPr>
        <w:spacing w:after="240"/>
        <w:ind w:left="-4" w:firstLine="4"/>
        <w:jc w:val="center"/>
        <w:rPr>
          <w:bCs/>
          <w:noProof/>
          <w:color w:val="000000"/>
        </w:rPr>
      </w:pPr>
      <w:r>
        <w:rPr>
          <w:b/>
          <w:noProof/>
          <w:color w:val="000000"/>
        </w:rPr>
        <w:t>Centros de administración directa del Servicio Nacional de Menores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712"/>
        <w:gridCol w:w="3741"/>
        <w:gridCol w:w="979"/>
        <w:gridCol w:w="979"/>
        <w:gridCol w:w="979"/>
        <w:gridCol w:w="979"/>
        <w:gridCol w:w="988"/>
      </w:tblGrid>
      <w:tr w:rsidR="00000000">
        <w:tblPrEx>
          <w:tblCellMar>
            <w:top w:w="0" w:type="dxa"/>
            <w:bottom w:w="0" w:type="dxa"/>
          </w:tblCellMar>
        </w:tblPrEx>
        <w:trPr>
          <w:jc w:val="center"/>
        </w:trPr>
        <w:tc>
          <w:tcPr>
            <w:tcW w:w="4453" w:type="dxa"/>
            <w:gridSpan w:val="2"/>
          </w:tcPr>
          <w:p w:rsidR="00000000" w:rsidRDefault="00000000">
            <w:pPr>
              <w:jc w:val="center"/>
              <w:rPr>
                <w:b/>
                <w:noProof/>
                <w:color w:val="000000"/>
              </w:rPr>
            </w:pPr>
            <w:r>
              <w:rPr>
                <w:b/>
                <w:noProof/>
                <w:color w:val="000000"/>
              </w:rPr>
              <w:t>Región</w:t>
            </w:r>
          </w:p>
        </w:tc>
        <w:tc>
          <w:tcPr>
            <w:tcW w:w="979" w:type="dxa"/>
          </w:tcPr>
          <w:p w:rsidR="00000000" w:rsidRDefault="00000000">
            <w:pPr>
              <w:jc w:val="center"/>
              <w:rPr>
                <w:b/>
                <w:noProof/>
                <w:color w:val="000000"/>
              </w:rPr>
            </w:pPr>
            <w:r>
              <w:rPr>
                <w:b/>
                <w:noProof/>
                <w:color w:val="000000"/>
              </w:rPr>
              <w:t>1999</w:t>
            </w:r>
          </w:p>
        </w:tc>
        <w:tc>
          <w:tcPr>
            <w:tcW w:w="979" w:type="dxa"/>
          </w:tcPr>
          <w:p w:rsidR="00000000" w:rsidRDefault="00000000">
            <w:pPr>
              <w:jc w:val="center"/>
              <w:rPr>
                <w:b/>
                <w:noProof/>
                <w:color w:val="000000"/>
              </w:rPr>
            </w:pPr>
            <w:r>
              <w:rPr>
                <w:b/>
                <w:noProof/>
                <w:color w:val="000000"/>
              </w:rPr>
              <w:t>2000</w:t>
            </w:r>
          </w:p>
        </w:tc>
        <w:tc>
          <w:tcPr>
            <w:tcW w:w="979" w:type="dxa"/>
          </w:tcPr>
          <w:p w:rsidR="00000000" w:rsidRDefault="00000000">
            <w:pPr>
              <w:jc w:val="center"/>
              <w:rPr>
                <w:b/>
                <w:noProof/>
                <w:color w:val="000000"/>
              </w:rPr>
            </w:pPr>
            <w:r>
              <w:rPr>
                <w:b/>
                <w:noProof/>
                <w:color w:val="000000"/>
              </w:rPr>
              <w:t>2001</w:t>
            </w:r>
          </w:p>
        </w:tc>
        <w:tc>
          <w:tcPr>
            <w:tcW w:w="979" w:type="dxa"/>
          </w:tcPr>
          <w:p w:rsidR="00000000" w:rsidRDefault="00000000">
            <w:pPr>
              <w:jc w:val="center"/>
              <w:rPr>
                <w:b/>
                <w:noProof/>
                <w:color w:val="000000"/>
              </w:rPr>
            </w:pPr>
            <w:r>
              <w:rPr>
                <w:b/>
                <w:noProof/>
                <w:color w:val="000000"/>
              </w:rPr>
              <w:t>2002</w:t>
            </w:r>
          </w:p>
        </w:tc>
        <w:tc>
          <w:tcPr>
            <w:tcW w:w="988" w:type="dxa"/>
          </w:tcPr>
          <w:p w:rsidR="00000000" w:rsidRDefault="00000000">
            <w:pPr>
              <w:jc w:val="center"/>
              <w:rPr>
                <w:b/>
                <w:noProof/>
                <w:color w:val="000000"/>
              </w:rPr>
            </w:pPr>
            <w:r>
              <w:rPr>
                <w:b/>
                <w:noProof/>
                <w:color w:val="000000"/>
              </w:rPr>
              <w:t>2003</w:t>
            </w:r>
          </w:p>
        </w:tc>
      </w:tr>
      <w:tr w:rsidR="00000000">
        <w:tblPrEx>
          <w:tblCellMar>
            <w:top w:w="0" w:type="dxa"/>
            <w:bottom w:w="0" w:type="dxa"/>
          </w:tblCellMar>
        </w:tblPrEx>
        <w:trPr>
          <w:jc w:val="center"/>
        </w:trPr>
        <w:tc>
          <w:tcPr>
            <w:tcW w:w="712" w:type="dxa"/>
          </w:tcPr>
          <w:p w:rsidR="00000000" w:rsidRDefault="00000000">
            <w:pPr>
              <w:jc w:val="center"/>
              <w:rPr>
                <w:bCs/>
                <w:noProof/>
                <w:color w:val="000000"/>
              </w:rPr>
            </w:pPr>
            <w:r>
              <w:rPr>
                <w:bCs/>
                <w:noProof/>
                <w:color w:val="000000"/>
              </w:rPr>
              <w:t>I</w:t>
            </w:r>
          </w:p>
        </w:tc>
        <w:tc>
          <w:tcPr>
            <w:tcW w:w="3741" w:type="dxa"/>
          </w:tcPr>
          <w:p w:rsidR="00000000" w:rsidRDefault="00000000">
            <w:pPr>
              <w:rPr>
                <w:bCs/>
                <w:noProof/>
                <w:color w:val="000000"/>
              </w:rPr>
            </w:pPr>
            <w:r>
              <w:rPr>
                <w:bCs/>
                <w:noProof/>
                <w:color w:val="000000"/>
              </w:rPr>
              <w:t>Tarapacá</w:t>
            </w:r>
          </w:p>
        </w:tc>
        <w:tc>
          <w:tcPr>
            <w:tcW w:w="979" w:type="dxa"/>
          </w:tcPr>
          <w:p w:rsidR="00000000" w:rsidRDefault="00000000">
            <w:pPr>
              <w:tabs>
                <w:tab w:val="decimal" w:pos="560"/>
              </w:tabs>
              <w:rPr>
                <w:bCs/>
                <w:noProof/>
                <w:color w:val="000000"/>
              </w:rPr>
            </w:pPr>
            <w:r>
              <w:rPr>
                <w:bCs/>
                <w:noProof/>
                <w:color w:val="000000"/>
              </w:rPr>
              <w:t>2</w:t>
            </w:r>
          </w:p>
        </w:tc>
        <w:tc>
          <w:tcPr>
            <w:tcW w:w="979" w:type="dxa"/>
          </w:tcPr>
          <w:p w:rsidR="00000000" w:rsidRDefault="00000000">
            <w:pPr>
              <w:tabs>
                <w:tab w:val="decimal" w:pos="574"/>
              </w:tabs>
              <w:rPr>
                <w:bCs/>
                <w:noProof/>
                <w:color w:val="000000"/>
              </w:rPr>
            </w:pPr>
            <w:r>
              <w:rPr>
                <w:bCs/>
                <w:noProof/>
                <w:color w:val="000000"/>
              </w:rPr>
              <w:t>2</w:t>
            </w:r>
          </w:p>
        </w:tc>
        <w:tc>
          <w:tcPr>
            <w:tcW w:w="979" w:type="dxa"/>
          </w:tcPr>
          <w:p w:rsidR="00000000" w:rsidRDefault="00000000">
            <w:pPr>
              <w:tabs>
                <w:tab w:val="decimal" w:pos="561"/>
              </w:tabs>
              <w:rPr>
                <w:bCs/>
                <w:noProof/>
                <w:color w:val="000000"/>
              </w:rPr>
            </w:pPr>
            <w:r>
              <w:rPr>
                <w:bCs/>
                <w:noProof/>
                <w:color w:val="000000"/>
              </w:rPr>
              <w:t>2</w:t>
            </w:r>
          </w:p>
        </w:tc>
        <w:tc>
          <w:tcPr>
            <w:tcW w:w="979" w:type="dxa"/>
          </w:tcPr>
          <w:p w:rsidR="00000000" w:rsidRDefault="00000000">
            <w:pPr>
              <w:tabs>
                <w:tab w:val="decimal" w:pos="562"/>
              </w:tabs>
              <w:rPr>
                <w:bCs/>
                <w:noProof/>
                <w:color w:val="000000"/>
              </w:rPr>
            </w:pPr>
            <w:r>
              <w:rPr>
                <w:bCs/>
                <w:noProof/>
                <w:color w:val="000000"/>
              </w:rPr>
              <w:t>2</w:t>
            </w:r>
          </w:p>
        </w:tc>
        <w:tc>
          <w:tcPr>
            <w:tcW w:w="988" w:type="dxa"/>
          </w:tcPr>
          <w:p w:rsidR="00000000" w:rsidRDefault="00000000">
            <w:pPr>
              <w:tabs>
                <w:tab w:val="decimal" w:pos="535"/>
              </w:tabs>
              <w:rPr>
                <w:bCs/>
                <w:noProof/>
                <w:color w:val="000000"/>
              </w:rPr>
            </w:pPr>
            <w:r>
              <w:rPr>
                <w:bCs/>
                <w:noProof/>
                <w:color w:val="000000"/>
              </w:rPr>
              <w:t>2</w:t>
            </w:r>
          </w:p>
        </w:tc>
      </w:tr>
      <w:tr w:rsidR="00000000">
        <w:tblPrEx>
          <w:tblCellMar>
            <w:top w:w="0" w:type="dxa"/>
            <w:bottom w:w="0" w:type="dxa"/>
          </w:tblCellMar>
        </w:tblPrEx>
        <w:trPr>
          <w:jc w:val="center"/>
        </w:trPr>
        <w:tc>
          <w:tcPr>
            <w:tcW w:w="712" w:type="dxa"/>
          </w:tcPr>
          <w:p w:rsidR="00000000" w:rsidRDefault="00000000">
            <w:pPr>
              <w:jc w:val="center"/>
              <w:rPr>
                <w:bCs/>
                <w:noProof/>
                <w:color w:val="000000"/>
              </w:rPr>
            </w:pPr>
            <w:r>
              <w:rPr>
                <w:bCs/>
                <w:noProof/>
                <w:color w:val="000000"/>
              </w:rPr>
              <w:t>II</w:t>
            </w:r>
          </w:p>
        </w:tc>
        <w:tc>
          <w:tcPr>
            <w:tcW w:w="3741" w:type="dxa"/>
          </w:tcPr>
          <w:p w:rsidR="00000000" w:rsidRDefault="00000000">
            <w:pPr>
              <w:rPr>
                <w:bCs/>
                <w:noProof/>
                <w:color w:val="000000"/>
              </w:rPr>
            </w:pPr>
            <w:r>
              <w:rPr>
                <w:bCs/>
                <w:noProof/>
                <w:color w:val="000000"/>
              </w:rPr>
              <w:t>Antofagasta</w:t>
            </w:r>
          </w:p>
        </w:tc>
        <w:tc>
          <w:tcPr>
            <w:tcW w:w="979" w:type="dxa"/>
          </w:tcPr>
          <w:p w:rsidR="00000000" w:rsidRDefault="00000000">
            <w:pPr>
              <w:tabs>
                <w:tab w:val="decimal" w:pos="560"/>
              </w:tabs>
              <w:rPr>
                <w:bCs/>
                <w:noProof/>
                <w:color w:val="000000"/>
              </w:rPr>
            </w:pPr>
            <w:r>
              <w:rPr>
                <w:bCs/>
                <w:noProof/>
                <w:color w:val="000000"/>
              </w:rPr>
              <w:t>1</w:t>
            </w:r>
          </w:p>
        </w:tc>
        <w:tc>
          <w:tcPr>
            <w:tcW w:w="979" w:type="dxa"/>
          </w:tcPr>
          <w:p w:rsidR="00000000" w:rsidRDefault="00000000">
            <w:pPr>
              <w:tabs>
                <w:tab w:val="decimal" w:pos="574"/>
              </w:tabs>
              <w:rPr>
                <w:bCs/>
                <w:noProof/>
                <w:color w:val="000000"/>
              </w:rPr>
            </w:pPr>
            <w:r>
              <w:rPr>
                <w:bCs/>
                <w:noProof/>
                <w:color w:val="000000"/>
              </w:rPr>
              <w:t>1</w:t>
            </w:r>
          </w:p>
        </w:tc>
        <w:tc>
          <w:tcPr>
            <w:tcW w:w="979" w:type="dxa"/>
          </w:tcPr>
          <w:p w:rsidR="00000000" w:rsidRDefault="00000000">
            <w:pPr>
              <w:tabs>
                <w:tab w:val="decimal" w:pos="561"/>
              </w:tabs>
              <w:rPr>
                <w:bCs/>
                <w:noProof/>
                <w:color w:val="000000"/>
              </w:rPr>
            </w:pPr>
            <w:r>
              <w:rPr>
                <w:bCs/>
                <w:noProof/>
                <w:color w:val="000000"/>
              </w:rPr>
              <w:t>1</w:t>
            </w:r>
          </w:p>
        </w:tc>
        <w:tc>
          <w:tcPr>
            <w:tcW w:w="979" w:type="dxa"/>
          </w:tcPr>
          <w:p w:rsidR="00000000" w:rsidRDefault="00000000">
            <w:pPr>
              <w:tabs>
                <w:tab w:val="decimal" w:pos="562"/>
              </w:tabs>
              <w:rPr>
                <w:bCs/>
                <w:noProof/>
                <w:color w:val="000000"/>
              </w:rPr>
            </w:pPr>
            <w:r>
              <w:rPr>
                <w:bCs/>
                <w:noProof/>
                <w:color w:val="000000"/>
              </w:rPr>
              <w:t>1</w:t>
            </w:r>
          </w:p>
        </w:tc>
        <w:tc>
          <w:tcPr>
            <w:tcW w:w="988" w:type="dxa"/>
          </w:tcPr>
          <w:p w:rsidR="00000000" w:rsidRDefault="00000000">
            <w:pPr>
              <w:tabs>
                <w:tab w:val="decimal" w:pos="535"/>
              </w:tabs>
              <w:rPr>
                <w:bCs/>
                <w:noProof/>
                <w:color w:val="000000"/>
              </w:rPr>
            </w:pPr>
            <w:r>
              <w:rPr>
                <w:bCs/>
                <w:noProof/>
                <w:color w:val="000000"/>
              </w:rPr>
              <w:t>1</w:t>
            </w:r>
          </w:p>
        </w:tc>
      </w:tr>
      <w:tr w:rsidR="00000000">
        <w:tblPrEx>
          <w:tblCellMar>
            <w:top w:w="0" w:type="dxa"/>
            <w:bottom w:w="0" w:type="dxa"/>
          </w:tblCellMar>
        </w:tblPrEx>
        <w:trPr>
          <w:jc w:val="center"/>
        </w:trPr>
        <w:tc>
          <w:tcPr>
            <w:tcW w:w="712" w:type="dxa"/>
          </w:tcPr>
          <w:p w:rsidR="00000000" w:rsidRDefault="00000000">
            <w:pPr>
              <w:jc w:val="center"/>
              <w:rPr>
                <w:bCs/>
                <w:noProof/>
                <w:color w:val="000000"/>
              </w:rPr>
            </w:pPr>
            <w:r>
              <w:rPr>
                <w:bCs/>
                <w:noProof/>
                <w:color w:val="000000"/>
              </w:rPr>
              <w:t>III</w:t>
            </w:r>
          </w:p>
        </w:tc>
        <w:tc>
          <w:tcPr>
            <w:tcW w:w="3741" w:type="dxa"/>
          </w:tcPr>
          <w:p w:rsidR="00000000" w:rsidRDefault="00000000">
            <w:pPr>
              <w:rPr>
                <w:bCs/>
                <w:noProof/>
                <w:color w:val="000000"/>
              </w:rPr>
            </w:pPr>
            <w:r>
              <w:rPr>
                <w:bCs/>
                <w:noProof/>
                <w:color w:val="000000"/>
              </w:rPr>
              <w:t>Atacama</w:t>
            </w:r>
          </w:p>
        </w:tc>
        <w:tc>
          <w:tcPr>
            <w:tcW w:w="979" w:type="dxa"/>
          </w:tcPr>
          <w:p w:rsidR="00000000" w:rsidRDefault="00000000">
            <w:pPr>
              <w:tabs>
                <w:tab w:val="decimal" w:pos="560"/>
              </w:tabs>
              <w:rPr>
                <w:bCs/>
                <w:noProof/>
                <w:color w:val="000000"/>
              </w:rPr>
            </w:pPr>
            <w:r>
              <w:rPr>
                <w:bCs/>
                <w:noProof/>
                <w:color w:val="000000"/>
              </w:rPr>
              <w:t>1</w:t>
            </w:r>
          </w:p>
        </w:tc>
        <w:tc>
          <w:tcPr>
            <w:tcW w:w="979" w:type="dxa"/>
          </w:tcPr>
          <w:p w:rsidR="00000000" w:rsidRDefault="00000000">
            <w:pPr>
              <w:tabs>
                <w:tab w:val="decimal" w:pos="574"/>
              </w:tabs>
              <w:rPr>
                <w:bCs/>
                <w:noProof/>
                <w:color w:val="000000"/>
              </w:rPr>
            </w:pPr>
            <w:r>
              <w:rPr>
                <w:bCs/>
                <w:noProof/>
                <w:color w:val="000000"/>
              </w:rPr>
              <w:t>1</w:t>
            </w:r>
          </w:p>
        </w:tc>
        <w:tc>
          <w:tcPr>
            <w:tcW w:w="979" w:type="dxa"/>
          </w:tcPr>
          <w:p w:rsidR="00000000" w:rsidRDefault="00000000">
            <w:pPr>
              <w:tabs>
                <w:tab w:val="decimal" w:pos="561"/>
              </w:tabs>
              <w:rPr>
                <w:bCs/>
                <w:noProof/>
                <w:color w:val="000000"/>
              </w:rPr>
            </w:pPr>
            <w:r>
              <w:rPr>
                <w:bCs/>
                <w:noProof/>
                <w:color w:val="000000"/>
              </w:rPr>
              <w:t>1</w:t>
            </w:r>
          </w:p>
        </w:tc>
        <w:tc>
          <w:tcPr>
            <w:tcW w:w="979" w:type="dxa"/>
          </w:tcPr>
          <w:p w:rsidR="00000000" w:rsidRDefault="00000000">
            <w:pPr>
              <w:tabs>
                <w:tab w:val="decimal" w:pos="562"/>
              </w:tabs>
              <w:rPr>
                <w:bCs/>
                <w:noProof/>
                <w:color w:val="000000"/>
              </w:rPr>
            </w:pPr>
            <w:r>
              <w:rPr>
                <w:bCs/>
                <w:noProof/>
                <w:color w:val="000000"/>
              </w:rPr>
              <w:t>1</w:t>
            </w:r>
          </w:p>
        </w:tc>
        <w:tc>
          <w:tcPr>
            <w:tcW w:w="988" w:type="dxa"/>
          </w:tcPr>
          <w:p w:rsidR="00000000" w:rsidRDefault="00000000">
            <w:pPr>
              <w:tabs>
                <w:tab w:val="decimal" w:pos="535"/>
              </w:tabs>
              <w:rPr>
                <w:bCs/>
                <w:noProof/>
                <w:color w:val="000000"/>
              </w:rPr>
            </w:pPr>
            <w:r>
              <w:rPr>
                <w:bCs/>
                <w:noProof/>
                <w:color w:val="000000"/>
              </w:rPr>
              <w:t>1</w:t>
            </w:r>
          </w:p>
        </w:tc>
      </w:tr>
      <w:tr w:rsidR="00000000">
        <w:tblPrEx>
          <w:tblCellMar>
            <w:top w:w="0" w:type="dxa"/>
            <w:bottom w:w="0" w:type="dxa"/>
          </w:tblCellMar>
        </w:tblPrEx>
        <w:trPr>
          <w:jc w:val="center"/>
        </w:trPr>
        <w:tc>
          <w:tcPr>
            <w:tcW w:w="712" w:type="dxa"/>
          </w:tcPr>
          <w:p w:rsidR="00000000" w:rsidRDefault="00000000">
            <w:pPr>
              <w:jc w:val="center"/>
              <w:rPr>
                <w:bCs/>
                <w:noProof/>
                <w:color w:val="000000"/>
              </w:rPr>
            </w:pPr>
            <w:r>
              <w:rPr>
                <w:bCs/>
                <w:noProof/>
                <w:color w:val="000000"/>
              </w:rPr>
              <w:t>IV</w:t>
            </w:r>
          </w:p>
        </w:tc>
        <w:tc>
          <w:tcPr>
            <w:tcW w:w="3741" w:type="dxa"/>
          </w:tcPr>
          <w:p w:rsidR="00000000" w:rsidRDefault="00000000">
            <w:pPr>
              <w:rPr>
                <w:bCs/>
                <w:noProof/>
                <w:color w:val="000000"/>
              </w:rPr>
            </w:pPr>
            <w:r>
              <w:rPr>
                <w:bCs/>
                <w:noProof/>
                <w:color w:val="000000"/>
              </w:rPr>
              <w:t>Coquimbo</w:t>
            </w:r>
          </w:p>
        </w:tc>
        <w:tc>
          <w:tcPr>
            <w:tcW w:w="979" w:type="dxa"/>
          </w:tcPr>
          <w:p w:rsidR="00000000" w:rsidRDefault="00000000">
            <w:pPr>
              <w:tabs>
                <w:tab w:val="decimal" w:pos="560"/>
              </w:tabs>
              <w:rPr>
                <w:bCs/>
                <w:noProof/>
                <w:color w:val="000000"/>
              </w:rPr>
            </w:pPr>
            <w:r>
              <w:rPr>
                <w:bCs/>
                <w:noProof/>
                <w:color w:val="000000"/>
              </w:rPr>
              <w:t>1</w:t>
            </w:r>
          </w:p>
        </w:tc>
        <w:tc>
          <w:tcPr>
            <w:tcW w:w="979" w:type="dxa"/>
          </w:tcPr>
          <w:p w:rsidR="00000000" w:rsidRDefault="00000000">
            <w:pPr>
              <w:tabs>
                <w:tab w:val="decimal" w:pos="574"/>
              </w:tabs>
              <w:rPr>
                <w:bCs/>
                <w:noProof/>
                <w:color w:val="000000"/>
              </w:rPr>
            </w:pPr>
            <w:r>
              <w:rPr>
                <w:bCs/>
                <w:noProof/>
                <w:color w:val="000000"/>
              </w:rPr>
              <w:t>1</w:t>
            </w:r>
          </w:p>
        </w:tc>
        <w:tc>
          <w:tcPr>
            <w:tcW w:w="979" w:type="dxa"/>
          </w:tcPr>
          <w:p w:rsidR="00000000" w:rsidRDefault="00000000">
            <w:pPr>
              <w:tabs>
                <w:tab w:val="decimal" w:pos="561"/>
              </w:tabs>
              <w:rPr>
                <w:bCs/>
                <w:noProof/>
                <w:color w:val="000000"/>
              </w:rPr>
            </w:pPr>
            <w:r>
              <w:rPr>
                <w:bCs/>
                <w:noProof/>
                <w:color w:val="000000"/>
              </w:rPr>
              <w:t>1</w:t>
            </w:r>
          </w:p>
        </w:tc>
        <w:tc>
          <w:tcPr>
            <w:tcW w:w="979" w:type="dxa"/>
          </w:tcPr>
          <w:p w:rsidR="00000000" w:rsidRDefault="00000000">
            <w:pPr>
              <w:tabs>
                <w:tab w:val="decimal" w:pos="562"/>
              </w:tabs>
              <w:rPr>
                <w:bCs/>
                <w:noProof/>
                <w:color w:val="000000"/>
              </w:rPr>
            </w:pPr>
            <w:r>
              <w:rPr>
                <w:bCs/>
                <w:noProof/>
                <w:color w:val="000000"/>
              </w:rPr>
              <w:t>1</w:t>
            </w:r>
          </w:p>
        </w:tc>
        <w:tc>
          <w:tcPr>
            <w:tcW w:w="988" w:type="dxa"/>
          </w:tcPr>
          <w:p w:rsidR="00000000" w:rsidRDefault="00000000">
            <w:pPr>
              <w:tabs>
                <w:tab w:val="decimal" w:pos="535"/>
              </w:tabs>
              <w:rPr>
                <w:bCs/>
                <w:noProof/>
                <w:color w:val="000000"/>
              </w:rPr>
            </w:pPr>
            <w:r>
              <w:rPr>
                <w:bCs/>
                <w:noProof/>
                <w:color w:val="000000"/>
              </w:rPr>
              <w:t>1</w:t>
            </w:r>
          </w:p>
        </w:tc>
      </w:tr>
      <w:tr w:rsidR="00000000">
        <w:tblPrEx>
          <w:tblCellMar>
            <w:top w:w="0" w:type="dxa"/>
            <w:bottom w:w="0" w:type="dxa"/>
          </w:tblCellMar>
        </w:tblPrEx>
        <w:trPr>
          <w:jc w:val="center"/>
        </w:trPr>
        <w:tc>
          <w:tcPr>
            <w:tcW w:w="712" w:type="dxa"/>
          </w:tcPr>
          <w:p w:rsidR="00000000" w:rsidRDefault="00000000">
            <w:pPr>
              <w:jc w:val="center"/>
              <w:rPr>
                <w:bCs/>
                <w:noProof/>
                <w:color w:val="000000"/>
              </w:rPr>
            </w:pPr>
            <w:r>
              <w:rPr>
                <w:bCs/>
                <w:noProof/>
                <w:color w:val="000000"/>
              </w:rPr>
              <w:t>V</w:t>
            </w:r>
          </w:p>
        </w:tc>
        <w:tc>
          <w:tcPr>
            <w:tcW w:w="3741" w:type="dxa"/>
          </w:tcPr>
          <w:p w:rsidR="00000000" w:rsidRDefault="00000000">
            <w:pPr>
              <w:rPr>
                <w:bCs/>
                <w:noProof/>
                <w:color w:val="000000"/>
              </w:rPr>
            </w:pPr>
            <w:r>
              <w:rPr>
                <w:bCs/>
                <w:noProof/>
                <w:color w:val="000000"/>
              </w:rPr>
              <w:t>Valparaíso</w:t>
            </w:r>
          </w:p>
        </w:tc>
        <w:tc>
          <w:tcPr>
            <w:tcW w:w="979" w:type="dxa"/>
          </w:tcPr>
          <w:p w:rsidR="00000000" w:rsidRDefault="00000000">
            <w:pPr>
              <w:tabs>
                <w:tab w:val="decimal" w:pos="560"/>
              </w:tabs>
              <w:rPr>
                <w:bCs/>
                <w:noProof/>
                <w:color w:val="000000"/>
              </w:rPr>
            </w:pPr>
            <w:r>
              <w:rPr>
                <w:bCs/>
                <w:noProof/>
                <w:color w:val="000000"/>
              </w:rPr>
              <w:t>1</w:t>
            </w:r>
          </w:p>
        </w:tc>
        <w:tc>
          <w:tcPr>
            <w:tcW w:w="979" w:type="dxa"/>
          </w:tcPr>
          <w:p w:rsidR="00000000" w:rsidRDefault="00000000">
            <w:pPr>
              <w:tabs>
                <w:tab w:val="decimal" w:pos="574"/>
              </w:tabs>
              <w:rPr>
                <w:bCs/>
                <w:noProof/>
                <w:color w:val="000000"/>
              </w:rPr>
            </w:pPr>
            <w:r>
              <w:rPr>
                <w:bCs/>
                <w:noProof/>
                <w:color w:val="000000"/>
              </w:rPr>
              <w:t>1</w:t>
            </w:r>
          </w:p>
        </w:tc>
        <w:tc>
          <w:tcPr>
            <w:tcW w:w="979" w:type="dxa"/>
          </w:tcPr>
          <w:p w:rsidR="00000000" w:rsidRDefault="00000000">
            <w:pPr>
              <w:tabs>
                <w:tab w:val="decimal" w:pos="561"/>
              </w:tabs>
              <w:rPr>
                <w:bCs/>
                <w:noProof/>
                <w:color w:val="000000"/>
              </w:rPr>
            </w:pPr>
            <w:r>
              <w:rPr>
                <w:bCs/>
                <w:noProof/>
                <w:color w:val="000000"/>
              </w:rPr>
              <w:t>2</w:t>
            </w:r>
          </w:p>
        </w:tc>
        <w:tc>
          <w:tcPr>
            <w:tcW w:w="979" w:type="dxa"/>
          </w:tcPr>
          <w:p w:rsidR="00000000" w:rsidRDefault="00000000">
            <w:pPr>
              <w:tabs>
                <w:tab w:val="decimal" w:pos="562"/>
              </w:tabs>
              <w:rPr>
                <w:bCs/>
                <w:noProof/>
                <w:color w:val="000000"/>
              </w:rPr>
            </w:pPr>
            <w:r>
              <w:rPr>
                <w:bCs/>
                <w:noProof/>
                <w:color w:val="000000"/>
              </w:rPr>
              <w:t>2</w:t>
            </w:r>
          </w:p>
        </w:tc>
        <w:tc>
          <w:tcPr>
            <w:tcW w:w="988" w:type="dxa"/>
          </w:tcPr>
          <w:p w:rsidR="00000000" w:rsidRDefault="00000000">
            <w:pPr>
              <w:tabs>
                <w:tab w:val="decimal" w:pos="535"/>
              </w:tabs>
              <w:rPr>
                <w:bCs/>
                <w:noProof/>
                <w:color w:val="000000"/>
              </w:rPr>
            </w:pPr>
            <w:r>
              <w:rPr>
                <w:bCs/>
                <w:noProof/>
                <w:color w:val="000000"/>
              </w:rPr>
              <w:t>2</w:t>
            </w:r>
          </w:p>
        </w:tc>
      </w:tr>
      <w:tr w:rsidR="00000000">
        <w:tblPrEx>
          <w:tblCellMar>
            <w:top w:w="0" w:type="dxa"/>
            <w:bottom w:w="0" w:type="dxa"/>
          </w:tblCellMar>
        </w:tblPrEx>
        <w:trPr>
          <w:jc w:val="center"/>
        </w:trPr>
        <w:tc>
          <w:tcPr>
            <w:tcW w:w="712" w:type="dxa"/>
          </w:tcPr>
          <w:p w:rsidR="00000000" w:rsidRDefault="00000000">
            <w:pPr>
              <w:jc w:val="center"/>
              <w:rPr>
                <w:bCs/>
                <w:noProof/>
                <w:color w:val="000000"/>
              </w:rPr>
            </w:pPr>
            <w:r>
              <w:rPr>
                <w:bCs/>
                <w:noProof/>
                <w:color w:val="000000"/>
              </w:rPr>
              <w:t>VI</w:t>
            </w:r>
          </w:p>
        </w:tc>
        <w:tc>
          <w:tcPr>
            <w:tcW w:w="3741" w:type="dxa"/>
          </w:tcPr>
          <w:p w:rsidR="00000000" w:rsidRDefault="00000000">
            <w:pPr>
              <w:rPr>
                <w:bCs/>
                <w:noProof/>
                <w:color w:val="000000"/>
              </w:rPr>
            </w:pPr>
            <w:r>
              <w:rPr>
                <w:bCs/>
                <w:noProof/>
                <w:color w:val="000000"/>
              </w:rPr>
              <w:t>Libertador Bernardo O'Higgins</w:t>
            </w:r>
          </w:p>
        </w:tc>
        <w:tc>
          <w:tcPr>
            <w:tcW w:w="979" w:type="dxa"/>
          </w:tcPr>
          <w:p w:rsidR="00000000" w:rsidRDefault="00000000">
            <w:pPr>
              <w:tabs>
                <w:tab w:val="decimal" w:pos="560"/>
              </w:tabs>
              <w:rPr>
                <w:bCs/>
                <w:noProof/>
                <w:color w:val="000000"/>
                <w:lang w:val="en-GB"/>
              </w:rPr>
            </w:pPr>
            <w:r>
              <w:rPr>
                <w:bCs/>
                <w:noProof/>
                <w:color w:val="000000"/>
                <w:lang w:val="en-GB"/>
              </w:rPr>
              <w:t>-</w:t>
            </w:r>
          </w:p>
        </w:tc>
        <w:tc>
          <w:tcPr>
            <w:tcW w:w="979" w:type="dxa"/>
          </w:tcPr>
          <w:p w:rsidR="00000000" w:rsidRDefault="00000000">
            <w:pPr>
              <w:tabs>
                <w:tab w:val="decimal" w:pos="574"/>
              </w:tabs>
              <w:rPr>
                <w:bCs/>
                <w:noProof/>
                <w:color w:val="000000"/>
                <w:lang w:val="en-GB"/>
              </w:rPr>
            </w:pPr>
            <w:r>
              <w:rPr>
                <w:bCs/>
                <w:noProof/>
                <w:color w:val="000000"/>
                <w:lang w:val="en-GB"/>
              </w:rPr>
              <w:t>-</w:t>
            </w:r>
          </w:p>
        </w:tc>
        <w:tc>
          <w:tcPr>
            <w:tcW w:w="979" w:type="dxa"/>
          </w:tcPr>
          <w:p w:rsidR="00000000" w:rsidRDefault="00000000">
            <w:pPr>
              <w:tabs>
                <w:tab w:val="decimal" w:pos="561"/>
              </w:tabs>
              <w:rPr>
                <w:bCs/>
                <w:noProof/>
                <w:color w:val="000000"/>
                <w:lang w:val="en-GB"/>
              </w:rPr>
            </w:pPr>
            <w:r>
              <w:rPr>
                <w:bCs/>
                <w:noProof/>
                <w:color w:val="000000"/>
                <w:lang w:val="en-GB"/>
              </w:rPr>
              <w:t>1</w:t>
            </w:r>
          </w:p>
        </w:tc>
        <w:tc>
          <w:tcPr>
            <w:tcW w:w="979" w:type="dxa"/>
          </w:tcPr>
          <w:p w:rsidR="00000000" w:rsidRDefault="00000000">
            <w:pPr>
              <w:tabs>
                <w:tab w:val="decimal" w:pos="562"/>
              </w:tabs>
              <w:rPr>
                <w:bCs/>
                <w:noProof/>
                <w:color w:val="000000"/>
                <w:lang w:val="en-GB"/>
              </w:rPr>
            </w:pPr>
            <w:r>
              <w:rPr>
                <w:bCs/>
                <w:noProof/>
                <w:color w:val="000000"/>
                <w:lang w:val="en-GB"/>
              </w:rPr>
              <w:t>1</w:t>
            </w:r>
          </w:p>
        </w:tc>
        <w:tc>
          <w:tcPr>
            <w:tcW w:w="988" w:type="dxa"/>
          </w:tcPr>
          <w:p w:rsidR="00000000" w:rsidRDefault="00000000">
            <w:pPr>
              <w:tabs>
                <w:tab w:val="decimal" w:pos="535"/>
              </w:tabs>
              <w:rPr>
                <w:bCs/>
                <w:noProof/>
                <w:color w:val="000000"/>
                <w:lang w:val="en-GB"/>
              </w:rPr>
            </w:pPr>
            <w:r>
              <w:rPr>
                <w:bCs/>
                <w:noProof/>
                <w:color w:val="000000"/>
                <w:lang w:val="en-GB"/>
              </w:rPr>
              <w:t>1</w:t>
            </w:r>
          </w:p>
        </w:tc>
      </w:tr>
      <w:tr w:rsidR="00000000">
        <w:tblPrEx>
          <w:tblCellMar>
            <w:top w:w="0" w:type="dxa"/>
            <w:bottom w:w="0" w:type="dxa"/>
          </w:tblCellMar>
        </w:tblPrEx>
        <w:trPr>
          <w:jc w:val="center"/>
        </w:trPr>
        <w:tc>
          <w:tcPr>
            <w:tcW w:w="712" w:type="dxa"/>
          </w:tcPr>
          <w:p w:rsidR="00000000" w:rsidRDefault="00000000">
            <w:pPr>
              <w:jc w:val="center"/>
              <w:rPr>
                <w:bCs/>
                <w:noProof/>
                <w:color w:val="000000"/>
                <w:lang w:val="en-GB"/>
              </w:rPr>
            </w:pPr>
            <w:r>
              <w:rPr>
                <w:bCs/>
                <w:noProof/>
                <w:color w:val="000000"/>
                <w:lang w:val="en-GB"/>
              </w:rPr>
              <w:t>VII</w:t>
            </w:r>
          </w:p>
        </w:tc>
        <w:tc>
          <w:tcPr>
            <w:tcW w:w="3741" w:type="dxa"/>
          </w:tcPr>
          <w:p w:rsidR="00000000" w:rsidRDefault="00000000">
            <w:pPr>
              <w:rPr>
                <w:bCs/>
                <w:noProof/>
                <w:color w:val="000000"/>
                <w:lang w:val="en-GB"/>
              </w:rPr>
            </w:pPr>
            <w:r>
              <w:rPr>
                <w:bCs/>
                <w:noProof/>
                <w:color w:val="000000"/>
                <w:lang w:val="en-GB"/>
              </w:rPr>
              <w:t>Maule</w:t>
            </w:r>
          </w:p>
        </w:tc>
        <w:tc>
          <w:tcPr>
            <w:tcW w:w="979" w:type="dxa"/>
          </w:tcPr>
          <w:p w:rsidR="00000000" w:rsidRDefault="00000000">
            <w:pPr>
              <w:tabs>
                <w:tab w:val="decimal" w:pos="560"/>
              </w:tabs>
              <w:rPr>
                <w:bCs/>
                <w:noProof/>
                <w:color w:val="000000"/>
                <w:lang w:val="en-GB"/>
              </w:rPr>
            </w:pPr>
            <w:r>
              <w:rPr>
                <w:bCs/>
                <w:noProof/>
                <w:color w:val="000000"/>
                <w:lang w:val="en-GB"/>
              </w:rPr>
              <w:t>2</w:t>
            </w:r>
          </w:p>
        </w:tc>
        <w:tc>
          <w:tcPr>
            <w:tcW w:w="979" w:type="dxa"/>
          </w:tcPr>
          <w:p w:rsidR="00000000" w:rsidRDefault="00000000">
            <w:pPr>
              <w:tabs>
                <w:tab w:val="decimal" w:pos="574"/>
              </w:tabs>
              <w:rPr>
                <w:bCs/>
                <w:noProof/>
                <w:color w:val="000000"/>
                <w:lang w:val="en-GB"/>
              </w:rPr>
            </w:pPr>
            <w:r>
              <w:rPr>
                <w:bCs/>
                <w:noProof/>
                <w:color w:val="000000"/>
                <w:lang w:val="en-GB"/>
              </w:rPr>
              <w:t>2</w:t>
            </w:r>
          </w:p>
        </w:tc>
        <w:tc>
          <w:tcPr>
            <w:tcW w:w="979" w:type="dxa"/>
          </w:tcPr>
          <w:p w:rsidR="00000000" w:rsidRDefault="00000000">
            <w:pPr>
              <w:tabs>
                <w:tab w:val="decimal" w:pos="561"/>
              </w:tabs>
              <w:rPr>
                <w:bCs/>
                <w:noProof/>
                <w:color w:val="000000"/>
                <w:lang w:val="en-GB"/>
              </w:rPr>
            </w:pPr>
            <w:r>
              <w:rPr>
                <w:bCs/>
                <w:noProof/>
                <w:color w:val="000000"/>
                <w:lang w:val="en-GB"/>
              </w:rPr>
              <w:t>2</w:t>
            </w:r>
          </w:p>
        </w:tc>
        <w:tc>
          <w:tcPr>
            <w:tcW w:w="979" w:type="dxa"/>
          </w:tcPr>
          <w:p w:rsidR="00000000" w:rsidRDefault="00000000">
            <w:pPr>
              <w:tabs>
                <w:tab w:val="decimal" w:pos="562"/>
              </w:tabs>
              <w:rPr>
                <w:bCs/>
                <w:noProof/>
                <w:color w:val="000000"/>
                <w:lang w:val="en-GB"/>
              </w:rPr>
            </w:pPr>
            <w:r>
              <w:rPr>
                <w:bCs/>
                <w:noProof/>
                <w:color w:val="000000"/>
                <w:lang w:val="en-GB"/>
              </w:rPr>
              <w:t>2</w:t>
            </w:r>
          </w:p>
        </w:tc>
        <w:tc>
          <w:tcPr>
            <w:tcW w:w="988" w:type="dxa"/>
          </w:tcPr>
          <w:p w:rsidR="00000000" w:rsidRDefault="00000000">
            <w:pPr>
              <w:tabs>
                <w:tab w:val="decimal" w:pos="535"/>
              </w:tabs>
              <w:rPr>
                <w:bCs/>
                <w:noProof/>
                <w:color w:val="000000"/>
                <w:lang w:val="en-GB"/>
              </w:rPr>
            </w:pPr>
            <w:r>
              <w:rPr>
                <w:bCs/>
                <w:noProof/>
                <w:color w:val="000000"/>
                <w:lang w:val="en-GB"/>
              </w:rPr>
              <w:t>2</w:t>
            </w:r>
          </w:p>
        </w:tc>
      </w:tr>
      <w:tr w:rsidR="00000000">
        <w:tblPrEx>
          <w:tblCellMar>
            <w:top w:w="0" w:type="dxa"/>
            <w:bottom w:w="0" w:type="dxa"/>
          </w:tblCellMar>
        </w:tblPrEx>
        <w:trPr>
          <w:jc w:val="center"/>
        </w:trPr>
        <w:tc>
          <w:tcPr>
            <w:tcW w:w="712" w:type="dxa"/>
          </w:tcPr>
          <w:p w:rsidR="00000000" w:rsidRDefault="00000000">
            <w:pPr>
              <w:jc w:val="center"/>
              <w:rPr>
                <w:bCs/>
                <w:noProof/>
                <w:color w:val="000000"/>
                <w:lang w:val="en-GB"/>
              </w:rPr>
            </w:pPr>
            <w:r>
              <w:rPr>
                <w:bCs/>
                <w:noProof/>
                <w:color w:val="000000"/>
                <w:lang w:val="en-GB"/>
              </w:rPr>
              <w:t>VIII</w:t>
            </w:r>
          </w:p>
        </w:tc>
        <w:tc>
          <w:tcPr>
            <w:tcW w:w="3741" w:type="dxa"/>
          </w:tcPr>
          <w:p w:rsidR="00000000" w:rsidRDefault="00000000">
            <w:pPr>
              <w:rPr>
                <w:bCs/>
                <w:noProof/>
                <w:color w:val="000000"/>
              </w:rPr>
            </w:pPr>
            <w:r>
              <w:rPr>
                <w:bCs/>
                <w:noProof/>
                <w:color w:val="000000"/>
              </w:rPr>
              <w:t>Bío-Bío</w:t>
            </w:r>
          </w:p>
        </w:tc>
        <w:tc>
          <w:tcPr>
            <w:tcW w:w="979" w:type="dxa"/>
          </w:tcPr>
          <w:p w:rsidR="00000000" w:rsidRDefault="00000000">
            <w:pPr>
              <w:tabs>
                <w:tab w:val="decimal" w:pos="560"/>
              </w:tabs>
              <w:rPr>
                <w:bCs/>
                <w:noProof/>
                <w:color w:val="000000"/>
              </w:rPr>
            </w:pPr>
            <w:r>
              <w:rPr>
                <w:bCs/>
                <w:noProof/>
                <w:color w:val="000000"/>
              </w:rPr>
              <w:t>3</w:t>
            </w:r>
          </w:p>
        </w:tc>
        <w:tc>
          <w:tcPr>
            <w:tcW w:w="979" w:type="dxa"/>
          </w:tcPr>
          <w:p w:rsidR="00000000" w:rsidRDefault="00000000">
            <w:pPr>
              <w:tabs>
                <w:tab w:val="decimal" w:pos="574"/>
              </w:tabs>
              <w:rPr>
                <w:bCs/>
                <w:noProof/>
                <w:color w:val="000000"/>
              </w:rPr>
            </w:pPr>
            <w:r>
              <w:rPr>
                <w:bCs/>
                <w:noProof/>
                <w:color w:val="000000"/>
              </w:rPr>
              <w:t>4</w:t>
            </w:r>
          </w:p>
        </w:tc>
        <w:tc>
          <w:tcPr>
            <w:tcW w:w="979" w:type="dxa"/>
          </w:tcPr>
          <w:p w:rsidR="00000000" w:rsidRDefault="00000000">
            <w:pPr>
              <w:tabs>
                <w:tab w:val="decimal" w:pos="561"/>
              </w:tabs>
              <w:rPr>
                <w:bCs/>
                <w:noProof/>
                <w:color w:val="000000"/>
              </w:rPr>
            </w:pPr>
            <w:r>
              <w:rPr>
                <w:bCs/>
                <w:noProof/>
                <w:color w:val="000000"/>
              </w:rPr>
              <w:t>4</w:t>
            </w:r>
          </w:p>
        </w:tc>
        <w:tc>
          <w:tcPr>
            <w:tcW w:w="979" w:type="dxa"/>
          </w:tcPr>
          <w:p w:rsidR="00000000" w:rsidRDefault="00000000">
            <w:pPr>
              <w:tabs>
                <w:tab w:val="decimal" w:pos="562"/>
              </w:tabs>
              <w:rPr>
                <w:bCs/>
                <w:noProof/>
                <w:color w:val="000000"/>
              </w:rPr>
            </w:pPr>
            <w:r>
              <w:rPr>
                <w:bCs/>
                <w:noProof/>
                <w:color w:val="000000"/>
              </w:rPr>
              <w:t>4</w:t>
            </w:r>
          </w:p>
        </w:tc>
        <w:tc>
          <w:tcPr>
            <w:tcW w:w="988" w:type="dxa"/>
          </w:tcPr>
          <w:p w:rsidR="00000000" w:rsidRDefault="00000000">
            <w:pPr>
              <w:tabs>
                <w:tab w:val="decimal" w:pos="535"/>
              </w:tabs>
              <w:rPr>
                <w:bCs/>
                <w:noProof/>
                <w:color w:val="000000"/>
              </w:rPr>
            </w:pPr>
            <w:r>
              <w:rPr>
                <w:bCs/>
                <w:noProof/>
                <w:color w:val="000000"/>
              </w:rPr>
              <w:t>4</w:t>
            </w:r>
          </w:p>
        </w:tc>
      </w:tr>
      <w:tr w:rsidR="00000000">
        <w:tblPrEx>
          <w:tblCellMar>
            <w:top w:w="0" w:type="dxa"/>
            <w:bottom w:w="0" w:type="dxa"/>
          </w:tblCellMar>
        </w:tblPrEx>
        <w:trPr>
          <w:jc w:val="center"/>
        </w:trPr>
        <w:tc>
          <w:tcPr>
            <w:tcW w:w="712" w:type="dxa"/>
          </w:tcPr>
          <w:p w:rsidR="00000000" w:rsidRDefault="00000000">
            <w:pPr>
              <w:jc w:val="center"/>
              <w:rPr>
                <w:bCs/>
                <w:noProof/>
                <w:color w:val="000000"/>
              </w:rPr>
            </w:pPr>
            <w:r>
              <w:rPr>
                <w:bCs/>
                <w:noProof/>
                <w:color w:val="000000"/>
              </w:rPr>
              <w:t>IX</w:t>
            </w:r>
          </w:p>
        </w:tc>
        <w:tc>
          <w:tcPr>
            <w:tcW w:w="3741" w:type="dxa"/>
          </w:tcPr>
          <w:p w:rsidR="00000000" w:rsidRDefault="00000000">
            <w:pPr>
              <w:rPr>
                <w:bCs/>
                <w:noProof/>
                <w:color w:val="000000"/>
              </w:rPr>
            </w:pPr>
            <w:r>
              <w:rPr>
                <w:bCs/>
                <w:noProof/>
                <w:color w:val="000000"/>
              </w:rPr>
              <w:t>Araucanía</w:t>
            </w:r>
          </w:p>
        </w:tc>
        <w:tc>
          <w:tcPr>
            <w:tcW w:w="979" w:type="dxa"/>
          </w:tcPr>
          <w:p w:rsidR="00000000" w:rsidRDefault="00000000">
            <w:pPr>
              <w:tabs>
                <w:tab w:val="decimal" w:pos="560"/>
              </w:tabs>
              <w:rPr>
                <w:bCs/>
                <w:noProof/>
                <w:color w:val="000000"/>
              </w:rPr>
            </w:pPr>
            <w:r>
              <w:rPr>
                <w:bCs/>
                <w:noProof/>
                <w:color w:val="000000"/>
              </w:rPr>
              <w:t>2</w:t>
            </w:r>
          </w:p>
        </w:tc>
        <w:tc>
          <w:tcPr>
            <w:tcW w:w="979" w:type="dxa"/>
          </w:tcPr>
          <w:p w:rsidR="00000000" w:rsidRDefault="00000000">
            <w:pPr>
              <w:tabs>
                <w:tab w:val="decimal" w:pos="574"/>
              </w:tabs>
              <w:rPr>
                <w:bCs/>
                <w:noProof/>
                <w:color w:val="000000"/>
              </w:rPr>
            </w:pPr>
            <w:r>
              <w:rPr>
                <w:bCs/>
                <w:noProof/>
                <w:color w:val="000000"/>
              </w:rPr>
              <w:t>2</w:t>
            </w:r>
          </w:p>
        </w:tc>
        <w:tc>
          <w:tcPr>
            <w:tcW w:w="979" w:type="dxa"/>
          </w:tcPr>
          <w:p w:rsidR="00000000" w:rsidRDefault="00000000">
            <w:pPr>
              <w:tabs>
                <w:tab w:val="decimal" w:pos="561"/>
              </w:tabs>
              <w:rPr>
                <w:bCs/>
                <w:noProof/>
                <w:color w:val="000000"/>
              </w:rPr>
            </w:pPr>
            <w:r>
              <w:rPr>
                <w:bCs/>
                <w:noProof/>
                <w:color w:val="000000"/>
              </w:rPr>
              <w:t>2</w:t>
            </w:r>
          </w:p>
        </w:tc>
        <w:tc>
          <w:tcPr>
            <w:tcW w:w="979" w:type="dxa"/>
          </w:tcPr>
          <w:p w:rsidR="00000000" w:rsidRDefault="00000000">
            <w:pPr>
              <w:tabs>
                <w:tab w:val="decimal" w:pos="562"/>
              </w:tabs>
              <w:rPr>
                <w:bCs/>
                <w:noProof/>
                <w:color w:val="000000"/>
              </w:rPr>
            </w:pPr>
            <w:r>
              <w:rPr>
                <w:bCs/>
                <w:noProof/>
                <w:color w:val="000000"/>
              </w:rPr>
              <w:t>2</w:t>
            </w:r>
          </w:p>
        </w:tc>
        <w:tc>
          <w:tcPr>
            <w:tcW w:w="988" w:type="dxa"/>
          </w:tcPr>
          <w:p w:rsidR="00000000" w:rsidRDefault="00000000">
            <w:pPr>
              <w:tabs>
                <w:tab w:val="decimal" w:pos="535"/>
              </w:tabs>
              <w:rPr>
                <w:bCs/>
                <w:noProof/>
                <w:color w:val="000000"/>
              </w:rPr>
            </w:pPr>
            <w:r>
              <w:rPr>
                <w:bCs/>
                <w:noProof/>
                <w:color w:val="000000"/>
              </w:rPr>
              <w:t>2</w:t>
            </w:r>
          </w:p>
        </w:tc>
      </w:tr>
      <w:tr w:rsidR="00000000">
        <w:tblPrEx>
          <w:tblCellMar>
            <w:top w:w="0" w:type="dxa"/>
            <w:bottom w:w="0" w:type="dxa"/>
          </w:tblCellMar>
        </w:tblPrEx>
        <w:trPr>
          <w:jc w:val="center"/>
        </w:trPr>
        <w:tc>
          <w:tcPr>
            <w:tcW w:w="712" w:type="dxa"/>
          </w:tcPr>
          <w:p w:rsidR="00000000" w:rsidRDefault="00000000">
            <w:pPr>
              <w:jc w:val="center"/>
              <w:rPr>
                <w:bCs/>
                <w:noProof/>
                <w:color w:val="000000"/>
              </w:rPr>
            </w:pPr>
            <w:r>
              <w:rPr>
                <w:bCs/>
                <w:noProof/>
                <w:color w:val="000000"/>
              </w:rPr>
              <w:t>X</w:t>
            </w:r>
          </w:p>
        </w:tc>
        <w:tc>
          <w:tcPr>
            <w:tcW w:w="3741" w:type="dxa"/>
          </w:tcPr>
          <w:p w:rsidR="00000000" w:rsidRDefault="00000000">
            <w:pPr>
              <w:rPr>
                <w:bCs/>
                <w:noProof/>
                <w:color w:val="000000"/>
              </w:rPr>
            </w:pPr>
            <w:r>
              <w:rPr>
                <w:bCs/>
                <w:noProof/>
                <w:color w:val="000000"/>
              </w:rPr>
              <w:t>Los Lagos</w:t>
            </w:r>
          </w:p>
        </w:tc>
        <w:tc>
          <w:tcPr>
            <w:tcW w:w="979" w:type="dxa"/>
          </w:tcPr>
          <w:p w:rsidR="00000000" w:rsidRDefault="00000000">
            <w:pPr>
              <w:tabs>
                <w:tab w:val="decimal" w:pos="560"/>
              </w:tabs>
              <w:rPr>
                <w:bCs/>
                <w:noProof/>
                <w:color w:val="000000"/>
              </w:rPr>
            </w:pPr>
            <w:r>
              <w:rPr>
                <w:bCs/>
                <w:noProof/>
                <w:color w:val="000000"/>
              </w:rPr>
              <w:t>1</w:t>
            </w:r>
          </w:p>
        </w:tc>
        <w:tc>
          <w:tcPr>
            <w:tcW w:w="979" w:type="dxa"/>
          </w:tcPr>
          <w:p w:rsidR="00000000" w:rsidRDefault="00000000">
            <w:pPr>
              <w:tabs>
                <w:tab w:val="decimal" w:pos="574"/>
              </w:tabs>
              <w:rPr>
                <w:bCs/>
                <w:noProof/>
                <w:color w:val="000000"/>
              </w:rPr>
            </w:pPr>
            <w:r>
              <w:rPr>
                <w:bCs/>
                <w:noProof/>
                <w:color w:val="000000"/>
              </w:rPr>
              <w:t>1</w:t>
            </w:r>
          </w:p>
        </w:tc>
        <w:tc>
          <w:tcPr>
            <w:tcW w:w="979" w:type="dxa"/>
          </w:tcPr>
          <w:p w:rsidR="00000000" w:rsidRDefault="00000000">
            <w:pPr>
              <w:tabs>
                <w:tab w:val="decimal" w:pos="561"/>
              </w:tabs>
              <w:rPr>
                <w:bCs/>
                <w:noProof/>
                <w:color w:val="000000"/>
              </w:rPr>
            </w:pPr>
            <w:r>
              <w:rPr>
                <w:bCs/>
                <w:noProof/>
                <w:color w:val="000000"/>
              </w:rPr>
              <w:t>2</w:t>
            </w:r>
          </w:p>
        </w:tc>
        <w:tc>
          <w:tcPr>
            <w:tcW w:w="979" w:type="dxa"/>
          </w:tcPr>
          <w:p w:rsidR="00000000" w:rsidRDefault="00000000">
            <w:pPr>
              <w:tabs>
                <w:tab w:val="decimal" w:pos="562"/>
              </w:tabs>
              <w:rPr>
                <w:bCs/>
                <w:noProof/>
                <w:color w:val="000000"/>
              </w:rPr>
            </w:pPr>
            <w:r>
              <w:rPr>
                <w:bCs/>
                <w:noProof/>
                <w:color w:val="000000"/>
              </w:rPr>
              <w:t>2</w:t>
            </w:r>
          </w:p>
        </w:tc>
        <w:tc>
          <w:tcPr>
            <w:tcW w:w="988" w:type="dxa"/>
          </w:tcPr>
          <w:p w:rsidR="00000000" w:rsidRDefault="00000000">
            <w:pPr>
              <w:tabs>
                <w:tab w:val="decimal" w:pos="535"/>
              </w:tabs>
              <w:rPr>
                <w:bCs/>
                <w:noProof/>
                <w:color w:val="000000"/>
              </w:rPr>
            </w:pPr>
            <w:r>
              <w:rPr>
                <w:bCs/>
                <w:noProof/>
                <w:color w:val="000000"/>
              </w:rPr>
              <w:t>2</w:t>
            </w:r>
          </w:p>
        </w:tc>
      </w:tr>
      <w:tr w:rsidR="00000000">
        <w:tblPrEx>
          <w:tblCellMar>
            <w:top w:w="0" w:type="dxa"/>
            <w:bottom w:w="0" w:type="dxa"/>
          </w:tblCellMar>
        </w:tblPrEx>
        <w:trPr>
          <w:jc w:val="center"/>
        </w:trPr>
        <w:tc>
          <w:tcPr>
            <w:tcW w:w="712" w:type="dxa"/>
          </w:tcPr>
          <w:p w:rsidR="00000000" w:rsidRDefault="00000000">
            <w:pPr>
              <w:jc w:val="center"/>
              <w:rPr>
                <w:bCs/>
                <w:noProof/>
                <w:color w:val="000000"/>
              </w:rPr>
            </w:pPr>
            <w:r>
              <w:rPr>
                <w:bCs/>
                <w:noProof/>
                <w:color w:val="000000"/>
              </w:rPr>
              <w:t>XI</w:t>
            </w:r>
          </w:p>
        </w:tc>
        <w:tc>
          <w:tcPr>
            <w:tcW w:w="3741" w:type="dxa"/>
          </w:tcPr>
          <w:p w:rsidR="00000000" w:rsidRDefault="00000000">
            <w:pPr>
              <w:rPr>
                <w:bCs/>
                <w:noProof/>
                <w:color w:val="000000"/>
              </w:rPr>
            </w:pPr>
            <w:r>
              <w:rPr>
                <w:bCs/>
                <w:noProof/>
                <w:color w:val="000000"/>
              </w:rPr>
              <w:t>Aysén del General Carlos Ibánez del Campo</w:t>
            </w:r>
          </w:p>
        </w:tc>
        <w:tc>
          <w:tcPr>
            <w:tcW w:w="979" w:type="dxa"/>
            <w:vAlign w:val="bottom"/>
          </w:tcPr>
          <w:p w:rsidR="00000000" w:rsidRDefault="00000000">
            <w:pPr>
              <w:tabs>
                <w:tab w:val="decimal" w:pos="560"/>
              </w:tabs>
              <w:rPr>
                <w:bCs/>
                <w:noProof/>
                <w:color w:val="000000"/>
              </w:rPr>
            </w:pPr>
            <w:r>
              <w:rPr>
                <w:bCs/>
                <w:noProof/>
                <w:color w:val="000000"/>
              </w:rPr>
              <w:t>-</w:t>
            </w:r>
          </w:p>
        </w:tc>
        <w:tc>
          <w:tcPr>
            <w:tcW w:w="979" w:type="dxa"/>
            <w:vAlign w:val="bottom"/>
          </w:tcPr>
          <w:p w:rsidR="00000000" w:rsidRDefault="00000000">
            <w:pPr>
              <w:tabs>
                <w:tab w:val="decimal" w:pos="574"/>
              </w:tabs>
              <w:rPr>
                <w:bCs/>
                <w:noProof/>
                <w:color w:val="000000"/>
              </w:rPr>
            </w:pPr>
            <w:r>
              <w:rPr>
                <w:bCs/>
                <w:noProof/>
                <w:color w:val="000000"/>
              </w:rPr>
              <w:t>-</w:t>
            </w:r>
          </w:p>
        </w:tc>
        <w:tc>
          <w:tcPr>
            <w:tcW w:w="979" w:type="dxa"/>
            <w:vAlign w:val="bottom"/>
          </w:tcPr>
          <w:p w:rsidR="00000000" w:rsidRDefault="00000000">
            <w:pPr>
              <w:tabs>
                <w:tab w:val="decimal" w:pos="561"/>
              </w:tabs>
              <w:rPr>
                <w:bCs/>
                <w:noProof/>
                <w:color w:val="000000"/>
              </w:rPr>
            </w:pPr>
            <w:r>
              <w:rPr>
                <w:bCs/>
                <w:noProof/>
                <w:color w:val="000000"/>
              </w:rPr>
              <w:t>-</w:t>
            </w:r>
          </w:p>
        </w:tc>
        <w:tc>
          <w:tcPr>
            <w:tcW w:w="979" w:type="dxa"/>
            <w:vAlign w:val="bottom"/>
          </w:tcPr>
          <w:p w:rsidR="00000000" w:rsidRDefault="00000000">
            <w:pPr>
              <w:tabs>
                <w:tab w:val="decimal" w:pos="562"/>
              </w:tabs>
              <w:rPr>
                <w:bCs/>
                <w:noProof/>
                <w:color w:val="000000"/>
              </w:rPr>
            </w:pPr>
            <w:r>
              <w:rPr>
                <w:bCs/>
                <w:noProof/>
                <w:color w:val="000000"/>
              </w:rPr>
              <w:t>-</w:t>
            </w:r>
          </w:p>
        </w:tc>
        <w:tc>
          <w:tcPr>
            <w:tcW w:w="988" w:type="dxa"/>
            <w:vAlign w:val="bottom"/>
          </w:tcPr>
          <w:p w:rsidR="00000000" w:rsidRDefault="00000000">
            <w:pPr>
              <w:tabs>
                <w:tab w:val="decimal" w:pos="535"/>
              </w:tabs>
              <w:rPr>
                <w:bCs/>
                <w:noProof/>
                <w:color w:val="000000"/>
              </w:rPr>
            </w:pPr>
            <w:r>
              <w:rPr>
                <w:bCs/>
                <w:noProof/>
                <w:color w:val="000000"/>
              </w:rPr>
              <w:t>1</w:t>
            </w:r>
          </w:p>
        </w:tc>
      </w:tr>
      <w:tr w:rsidR="00000000">
        <w:tblPrEx>
          <w:tblCellMar>
            <w:top w:w="0" w:type="dxa"/>
            <w:bottom w:w="0" w:type="dxa"/>
          </w:tblCellMar>
        </w:tblPrEx>
        <w:trPr>
          <w:jc w:val="center"/>
        </w:trPr>
        <w:tc>
          <w:tcPr>
            <w:tcW w:w="712" w:type="dxa"/>
          </w:tcPr>
          <w:p w:rsidR="00000000" w:rsidRDefault="00000000">
            <w:pPr>
              <w:jc w:val="center"/>
              <w:rPr>
                <w:bCs/>
                <w:noProof/>
                <w:color w:val="000000"/>
              </w:rPr>
            </w:pPr>
            <w:r>
              <w:rPr>
                <w:bCs/>
                <w:noProof/>
                <w:color w:val="000000"/>
              </w:rPr>
              <w:t>XII</w:t>
            </w:r>
          </w:p>
        </w:tc>
        <w:tc>
          <w:tcPr>
            <w:tcW w:w="3741" w:type="dxa"/>
          </w:tcPr>
          <w:p w:rsidR="00000000" w:rsidRDefault="00000000">
            <w:pPr>
              <w:rPr>
                <w:bCs/>
                <w:noProof/>
                <w:color w:val="000000"/>
              </w:rPr>
            </w:pPr>
            <w:r>
              <w:rPr>
                <w:bCs/>
                <w:noProof/>
                <w:color w:val="000000"/>
              </w:rPr>
              <w:t>Magallanes y Antártica Chilena</w:t>
            </w:r>
          </w:p>
        </w:tc>
        <w:tc>
          <w:tcPr>
            <w:tcW w:w="979" w:type="dxa"/>
          </w:tcPr>
          <w:p w:rsidR="00000000" w:rsidRDefault="00000000">
            <w:pPr>
              <w:tabs>
                <w:tab w:val="decimal" w:pos="560"/>
              </w:tabs>
              <w:rPr>
                <w:bCs/>
                <w:noProof/>
                <w:color w:val="000000"/>
              </w:rPr>
            </w:pPr>
            <w:r>
              <w:rPr>
                <w:bCs/>
                <w:noProof/>
                <w:color w:val="000000"/>
              </w:rPr>
              <w:t>-</w:t>
            </w:r>
          </w:p>
        </w:tc>
        <w:tc>
          <w:tcPr>
            <w:tcW w:w="979" w:type="dxa"/>
          </w:tcPr>
          <w:p w:rsidR="00000000" w:rsidRDefault="00000000">
            <w:pPr>
              <w:tabs>
                <w:tab w:val="decimal" w:pos="574"/>
              </w:tabs>
              <w:rPr>
                <w:bCs/>
                <w:noProof/>
                <w:color w:val="000000"/>
              </w:rPr>
            </w:pPr>
            <w:r>
              <w:rPr>
                <w:bCs/>
                <w:noProof/>
                <w:color w:val="000000"/>
              </w:rPr>
              <w:t>-</w:t>
            </w:r>
          </w:p>
        </w:tc>
        <w:tc>
          <w:tcPr>
            <w:tcW w:w="979" w:type="dxa"/>
          </w:tcPr>
          <w:p w:rsidR="00000000" w:rsidRDefault="00000000">
            <w:pPr>
              <w:tabs>
                <w:tab w:val="decimal" w:pos="561"/>
              </w:tabs>
              <w:rPr>
                <w:bCs/>
                <w:noProof/>
                <w:color w:val="000000"/>
              </w:rPr>
            </w:pPr>
            <w:r>
              <w:rPr>
                <w:bCs/>
                <w:noProof/>
                <w:color w:val="000000"/>
              </w:rPr>
              <w:t>-</w:t>
            </w:r>
          </w:p>
        </w:tc>
        <w:tc>
          <w:tcPr>
            <w:tcW w:w="979" w:type="dxa"/>
          </w:tcPr>
          <w:p w:rsidR="00000000" w:rsidRDefault="00000000">
            <w:pPr>
              <w:tabs>
                <w:tab w:val="decimal" w:pos="562"/>
              </w:tabs>
              <w:rPr>
                <w:bCs/>
                <w:noProof/>
                <w:color w:val="000000"/>
              </w:rPr>
            </w:pPr>
            <w:r>
              <w:rPr>
                <w:bCs/>
                <w:noProof/>
                <w:color w:val="000000"/>
              </w:rPr>
              <w:t>-</w:t>
            </w:r>
          </w:p>
        </w:tc>
        <w:tc>
          <w:tcPr>
            <w:tcW w:w="988" w:type="dxa"/>
          </w:tcPr>
          <w:p w:rsidR="00000000" w:rsidRDefault="00000000">
            <w:pPr>
              <w:tabs>
                <w:tab w:val="decimal" w:pos="535"/>
              </w:tabs>
              <w:rPr>
                <w:bCs/>
                <w:noProof/>
                <w:color w:val="000000"/>
              </w:rPr>
            </w:pPr>
            <w:r>
              <w:rPr>
                <w:bCs/>
                <w:noProof/>
                <w:color w:val="000000"/>
              </w:rPr>
              <w:t>1</w:t>
            </w:r>
          </w:p>
        </w:tc>
      </w:tr>
      <w:tr w:rsidR="00000000">
        <w:tblPrEx>
          <w:tblCellMar>
            <w:top w:w="0" w:type="dxa"/>
            <w:bottom w:w="0" w:type="dxa"/>
          </w:tblCellMar>
        </w:tblPrEx>
        <w:trPr>
          <w:jc w:val="center"/>
        </w:trPr>
        <w:tc>
          <w:tcPr>
            <w:tcW w:w="712" w:type="dxa"/>
          </w:tcPr>
          <w:p w:rsidR="00000000" w:rsidRDefault="00000000">
            <w:pPr>
              <w:jc w:val="center"/>
              <w:rPr>
                <w:bCs/>
                <w:noProof/>
                <w:color w:val="000000"/>
              </w:rPr>
            </w:pPr>
            <w:r>
              <w:rPr>
                <w:bCs/>
                <w:noProof/>
                <w:color w:val="000000"/>
              </w:rPr>
              <w:t>XIII</w:t>
            </w:r>
          </w:p>
        </w:tc>
        <w:tc>
          <w:tcPr>
            <w:tcW w:w="3741" w:type="dxa"/>
          </w:tcPr>
          <w:p w:rsidR="00000000" w:rsidRDefault="00000000">
            <w:pPr>
              <w:rPr>
                <w:bCs/>
                <w:noProof/>
                <w:color w:val="000000"/>
              </w:rPr>
            </w:pPr>
            <w:r>
              <w:rPr>
                <w:bCs/>
                <w:noProof/>
                <w:color w:val="000000"/>
              </w:rPr>
              <w:t>Región Metropolitana</w:t>
            </w:r>
          </w:p>
        </w:tc>
        <w:tc>
          <w:tcPr>
            <w:tcW w:w="979" w:type="dxa"/>
          </w:tcPr>
          <w:p w:rsidR="00000000" w:rsidRDefault="00000000">
            <w:pPr>
              <w:tabs>
                <w:tab w:val="decimal" w:pos="560"/>
              </w:tabs>
              <w:rPr>
                <w:bCs/>
                <w:noProof/>
                <w:color w:val="000000"/>
              </w:rPr>
            </w:pPr>
            <w:r>
              <w:rPr>
                <w:bCs/>
                <w:noProof/>
                <w:color w:val="000000"/>
              </w:rPr>
              <w:t>8</w:t>
            </w:r>
          </w:p>
        </w:tc>
        <w:tc>
          <w:tcPr>
            <w:tcW w:w="979" w:type="dxa"/>
          </w:tcPr>
          <w:p w:rsidR="00000000" w:rsidRDefault="00000000">
            <w:pPr>
              <w:tabs>
                <w:tab w:val="decimal" w:pos="574"/>
              </w:tabs>
              <w:rPr>
                <w:bCs/>
                <w:noProof/>
                <w:color w:val="000000"/>
              </w:rPr>
            </w:pPr>
            <w:r>
              <w:rPr>
                <w:bCs/>
                <w:noProof/>
                <w:color w:val="000000"/>
              </w:rPr>
              <w:t>8</w:t>
            </w:r>
          </w:p>
        </w:tc>
        <w:tc>
          <w:tcPr>
            <w:tcW w:w="979" w:type="dxa"/>
          </w:tcPr>
          <w:p w:rsidR="00000000" w:rsidRDefault="00000000">
            <w:pPr>
              <w:tabs>
                <w:tab w:val="decimal" w:pos="561"/>
              </w:tabs>
              <w:rPr>
                <w:bCs/>
                <w:noProof/>
                <w:color w:val="000000"/>
              </w:rPr>
            </w:pPr>
            <w:r>
              <w:rPr>
                <w:bCs/>
                <w:noProof/>
                <w:color w:val="000000"/>
              </w:rPr>
              <w:t>8</w:t>
            </w:r>
          </w:p>
        </w:tc>
        <w:tc>
          <w:tcPr>
            <w:tcW w:w="979" w:type="dxa"/>
          </w:tcPr>
          <w:p w:rsidR="00000000" w:rsidRDefault="00000000">
            <w:pPr>
              <w:tabs>
                <w:tab w:val="decimal" w:pos="562"/>
              </w:tabs>
              <w:rPr>
                <w:bCs/>
                <w:noProof/>
                <w:color w:val="000000"/>
              </w:rPr>
            </w:pPr>
            <w:r>
              <w:rPr>
                <w:bCs/>
                <w:noProof/>
                <w:color w:val="000000"/>
              </w:rPr>
              <w:t>8</w:t>
            </w:r>
          </w:p>
        </w:tc>
        <w:tc>
          <w:tcPr>
            <w:tcW w:w="988" w:type="dxa"/>
          </w:tcPr>
          <w:p w:rsidR="00000000" w:rsidRDefault="00000000">
            <w:pPr>
              <w:tabs>
                <w:tab w:val="decimal" w:pos="535"/>
              </w:tabs>
              <w:rPr>
                <w:bCs/>
                <w:noProof/>
                <w:color w:val="000000"/>
              </w:rPr>
            </w:pPr>
            <w:r>
              <w:rPr>
                <w:bCs/>
                <w:noProof/>
                <w:color w:val="000000"/>
              </w:rPr>
              <w:t>8</w:t>
            </w:r>
          </w:p>
        </w:tc>
      </w:tr>
      <w:tr w:rsidR="00000000">
        <w:tblPrEx>
          <w:tblCellMar>
            <w:top w:w="0" w:type="dxa"/>
            <w:bottom w:w="0" w:type="dxa"/>
          </w:tblCellMar>
        </w:tblPrEx>
        <w:trPr>
          <w:jc w:val="center"/>
        </w:trPr>
        <w:tc>
          <w:tcPr>
            <w:tcW w:w="4453" w:type="dxa"/>
            <w:gridSpan w:val="2"/>
          </w:tcPr>
          <w:p w:rsidR="00000000" w:rsidRDefault="00000000">
            <w:pPr>
              <w:tabs>
                <w:tab w:val="left" w:pos="425"/>
              </w:tabs>
              <w:ind w:left="425" w:hanging="425"/>
              <w:rPr>
                <w:bCs/>
                <w:noProof/>
                <w:color w:val="000000"/>
              </w:rPr>
            </w:pPr>
            <w:r>
              <w:rPr>
                <w:bCs/>
                <w:noProof/>
                <w:color w:val="000000"/>
              </w:rPr>
              <w:tab/>
              <w:t>Total de Centros administrados directamente por SENAME</w:t>
            </w:r>
          </w:p>
        </w:tc>
        <w:tc>
          <w:tcPr>
            <w:tcW w:w="979" w:type="dxa"/>
            <w:vAlign w:val="bottom"/>
          </w:tcPr>
          <w:p w:rsidR="00000000" w:rsidRDefault="00000000">
            <w:pPr>
              <w:tabs>
                <w:tab w:val="decimal" w:pos="560"/>
              </w:tabs>
              <w:rPr>
                <w:bCs/>
                <w:noProof/>
                <w:color w:val="000000"/>
              </w:rPr>
            </w:pPr>
            <w:r>
              <w:rPr>
                <w:bCs/>
                <w:noProof/>
                <w:color w:val="000000"/>
              </w:rPr>
              <w:t>22</w:t>
            </w:r>
          </w:p>
        </w:tc>
        <w:tc>
          <w:tcPr>
            <w:tcW w:w="979" w:type="dxa"/>
            <w:vAlign w:val="bottom"/>
          </w:tcPr>
          <w:p w:rsidR="00000000" w:rsidRDefault="00000000">
            <w:pPr>
              <w:tabs>
                <w:tab w:val="decimal" w:pos="574"/>
              </w:tabs>
              <w:rPr>
                <w:bCs/>
                <w:noProof/>
                <w:color w:val="000000"/>
              </w:rPr>
            </w:pPr>
            <w:r>
              <w:rPr>
                <w:bCs/>
                <w:noProof/>
                <w:color w:val="000000"/>
              </w:rPr>
              <w:t>23</w:t>
            </w:r>
          </w:p>
        </w:tc>
        <w:tc>
          <w:tcPr>
            <w:tcW w:w="979" w:type="dxa"/>
            <w:vAlign w:val="bottom"/>
          </w:tcPr>
          <w:p w:rsidR="00000000" w:rsidRDefault="00000000">
            <w:pPr>
              <w:tabs>
                <w:tab w:val="decimal" w:pos="561"/>
              </w:tabs>
              <w:rPr>
                <w:bCs/>
                <w:noProof/>
                <w:color w:val="000000"/>
              </w:rPr>
            </w:pPr>
            <w:r>
              <w:rPr>
                <w:bCs/>
                <w:noProof/>
                <w:color w:val="000000"/>
              </w:rPr>
              <w:t>26</w:t>
            </w:r>
          </w:p>
        </w:tc>
        <w:tc>
          <w:tcPr>
            <w:tcW w:w="979" w:type="dxa"/>
            <w:vAlign w:val="bottom"/>
          </w:tcPr>
          <w:p w:rsidR="00000000" w:rsidRDefault="00000000">
            <w:pPr>
              <w:tabs>
                <w:tab w:val="decimal" w:pos="562"/>
              </w:tabs>
              <w:rPr>
                <w:bCs/>
                <w:noProof/>
                <w:color w:val="000000"/>
              </w:rPr>
            </w:pPr>
            <w:r>
              <w:rPr>
                <w:bCs/>
                <w:noProof/>
                <w:color w:val="000000"/>
              </w:rPr>
              <w:t>26</w:t>
            </w:r>
          </w:p>
        </w:tc>
        <w:tc>
          <w:tcPr>
            <w:tcW w:w="988" w:type="dxa"/>
            <w:vAlign w:val="bottom"/>
          </w:tcPr>
          <w:p w:rsidR="00000000" w:rsidRDefault="00000000">
            <w:pPr>
              <w:tabs>
                <w:tab w:val="decimal" w:pos="535"/>
              </w:tabs>
              <w:rPr>
                <w:bCs/>
                <w:noProof/>
                <w:color w:val="000000"/>
              </w:rPr>
            </w:pPr>
            <w:r>
              <w:rPr>
                <w:bCs/>
                <w:noProof/>
                <w:color w:val="000000"/>
              </w:rPr>
              <w:t>28</w:t>
            </w:r>
          </w:p>
        </w:tc>
      </w:tr>
    </w:tbl>
    <w:p w:rsidR="00000000" w:rsidRDefault="00000000">
      <w:pPr>
        <w:spacing w:before="240" w:after="480"/>
        <w:rPr>
          <w:bCs/>
          <w:noProof/>
          <w:color w:val="000000"/>
        </w:rPr>
      </w:pPr>
      <w:r>
        <w:rPr>
          <w:bCs/>
          <w:i/>
          <w:iCs/>
          <w:noProof/>
          <w:color w:val="000000"/>
        </w:rPr>
        <w:t>Fuente</w:t>
      </w:r>
      <w:r>
        <w:rPr>
          <w:bCs/>
          <w:noProof/>
          <w:color w:val="000000"/>
        </w:rPr>
        <w:t>:  SENAME, 2004.</w:t>
      </w:r>
    </w:p>
    <w:p w:rsidR="00000000" w:rsidRDefault="00000000">
      <w:pPr>
        <w:keepNext/>
        <w:keepLines/>
        <w:spacing w:after="180"/>
        <w:jc w:val="center"/>
        <w:rPr>
          <w:b/>
          <w:noProof/>
          <w:color w:val="000000"/>
          <w:sz w:val="20"/>
        </w:rPr>
      </w:pPr>
      <w:r>
        <w:rPr>
          <w:b/>
          <w:noProof/>
          <w:color w:val="000000"/>
          <w:sz w:val="20"/>
        </w:rPr>
        <w:t>Cuadro 53</w:t>
      </w:r>
    </w:p>
    <w:p w:rsidR="00000000" w:rsidRDefault="00000000">
      <w:pPr>
        <w:keepNext/>
        <w:keepLines/>
        <w:spacing w:after="180"/>
        <w:jc w:val="center"/>
        <w:rPr>
          <w:b/>
        </w:rPr>
      </w:pPr>
      <w:r>
        <w:rPr>
          <w:b/>
          <w:noProof/>
          <w:sz w:val="20"/>
        </w:rPr>
        <w:t xml:space="preserve">Niños y niñas del área de responsabilidad juvenil, según sexo, </w:t>
      </w:r>
      <w:r>
        <w:rPr>
          <w:b/>
          <w:sz w:val="20"/>
        </w:rPr>
        <w:t>2000-2003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322"/>
        <w:gridCol w:w="840"/>
        <w:gridCol w:w="1080"/>
        <w:gridCol w:w="960"/>
        <w:gridCol w:w="1120"/>
        <w:gridCol w:w="920"/>
        <w:gridCol w:w="1158"/>
        <w:gridCol w:w="882"/>
        <w:gridCol w:w="1077"/>
      </w:tblGrid>
      <w:tr w:rsidR="00000000">
        <w:tblPrEx>
          <w:tblCellMar>
            <w:top w:w="0" w:type="dxa"/>
            <w:bottom w:w="0" w:type="dxa"/>
          </w:tblCellMar>
        </w:tblPrEx>
        <w:trPr>
          <w:cantSplit/>
          <w:trHeight w:val="20"/>
          <w:jc w:val="center"/>
        </w:trPr>
        <w:tc>
          <w:tcPr>
            <w:tcW w:w="1322" w:type="dxa"/>
            <w:vMerge w:val="restart"/>
            <w:vAlign w:val="center"/>
          </w:tcPr>
          <w:p w:rsidR="00000000" w:rsidRDefault="00000000">
            <w:pPr>
              <w:keepNext/>
              <w:keepLines/>
              <w:ind w:firstLine="4"/>
              <w:rPr>
                <w:bCs/>
                <w:noProof/>
                <w:color w:val="000000"/>
                <w:sz w:val="20"/>
              </w:rPr>
            </w:pPr>
          </w:p>
        </w:tc>
        <w:tc>
          <w:tcPr>
            <w:tcW w:w="1920" w:type="dxa"/>
            <w:gridSpan w:val="2"/>
            <w:vAlign w:val="center"/>
          </w:tcPr>
          <w:p w:rsidR="00000000" w:rsidRDefault="00000000">
            <w:pPr>
              <w:keepNext/>
              <w:keepLines/>
              <w:ind w:firstLine="4"/>
              <w:jc w:val="center"/>
              <w:rPr>
                <w:b/>
                <w:noProof/>
                <w:color w:val="000000"/>
                <w:sz w:val="20"/>
              </w:rPr>
            </w:pPr>
            <w:r>
              <w:rPr>
                <w:b/>
                <w:noProof/>
                <w:color w:val="000000"/>
                <w:sz w:val="20"/>
              </w:rPr>
              <w:t>2000</w:t>
            </w:r>
          </w:p>
        </w:tc>
        <w:tc>
          <w:tcPr>
            <w:tcW w:w="2080" w:type="dxa"/>
            <w:gridSpan w:val="2"/>
            <w:vAlign w:val="center"/>
          </w:tcPr>
          <w:p w:rsidR="00000000" w:rsidRDefault="00000000">
            <w:pPr>
              <w:keepNext/>
              <w:keepLines/>
              <w:ind w:firstLine="4"/>
              <w:jc w:val="center"/>
              <w:rPr>
                <w:b/>
                <w:noProof/>
                <w:color w:val="000000"/>
                <w:sz w:val="20"/>
              </w:rPr>
            </w:pPr>
            <w:r>
              <w:rPr>
                <w:b/>
                <w:noProof/>
                <w:color w:val="000000"/>
                <w:sz w:val="20"/>
              </w:rPr>
              <w:t>2001</w:t>
            </w:r>
          </w:p>
        </w:tc>
        <w:tc>
          <w:tcPr>
            <w:tcW w:w="2078" w:type="dxa"/>
            <w:gridSpan w:val="2"/>
            <w:vAlign w:val="center"/>
          </w:tcPr>
          <w:p w:rsidR="00000000" w:rsidRDefault="00000000">
            <w:pPr>
              <w:keepNext/>
              <w:keepLines/>
              <w:ind w:firstLine="4"/>
              <w:jc w:val="center"/>
              <w:rPr>
                <w:b/>
                <w:noProof/>
                <w:color w:val="000000"/>
                <w:sz w:val="20"/>
              </w:rPr>
            </w:pPr>
            <w:r>
              <w:rPr>
                <w:b/>
                <w:noProof/>
                <w:color w:val="000000"/>
                <w:sz w:val="20"/>
              </w:rPr>
              <w:t>2002</w:t>
            </w:r>
          </w:p>
        </w:tc>
        <w:tc>
          <w:tcPr>
            <w:tcW w:w="1959" w:type="dxa"/>
            <w:gridSpan w:val="2"/>
            <w:vAlign w:val="center"/>
          </w:tcPr>
          <w:p w:rsidR="00000000" w:rsidRDefault="00000000">
            <w:pPr>
              <w:keepNext/>
              <w:keepLines/>
              <w:ind w:firstLine="4"/>
              <w:jc w:val="center"/>
              <w:rPr>
                <w:b/>
                <w:noProof/>
                <w:color w:val="000000"/>
                <w:sz w:val="20"/>
              </w:rPr>
            </w:pPr>
            <w:r>
              <w:rPr>
                <w:b/>
                <w:noProof/>
                <w:color w:val="000000"/>
                <w:sz w:val="20"/>
              </w:rPr>
              <w:t>2003</w:t>
            </w:r>
          </w:p>
        </w:tc>
      </w:tr>
      <w:tr w:rsidR="00000000">
        <w:tblPrEx>
          <w:tblCellMar>
            <w:top w:w="0" w:type="dxa"/>
            <w:bottom w:w="0" w:type="dxa"/>
          </w:tblCellMar>
        </w:tblPrEx>
        <w:trPr>
          <w:cantSplit/>
          <w:trHeight w:val="20"/>
          <w:jc w:val="center"/>
        </w:trPr>
        <w:tc>
          <w:tcPr>
            <w:tcW w:w="1322" w:type="dxa"/>
            <w:vMerge/>
            <w:vAlign w:val="center"/>
          </w:tcPr>
          <w:p w:rsidR="00000000" w:rsidRDefault="00000000">
            <w:pPr>
              <w:keepNext/>
              <w:keepLines/>
              <w:rPr>
                <w:bCs/>
                <w:noProof/>
                <w:color w:val="000000"/>
                <w:sz w:val="20"/>
              </w:rPr>
            </w:pPr>
          </w:p>
        </w:tc>
        <w:tc>
          <w:tcPr>
            <w:tcW w:w="840" w:type="dxa"/>
            <w:vAlign w:val="center"/>
          </w:tcPr>
          <w:p w:rsidR="00000000" w:rsidRDefault="00000000">
            <w:pPr>
              <w:keepNext/>
              <w:keepLines/>
              <w:jc w:val="center"/>
              <w:rPr>
                <w:b/>
                <w:noProof/>
                <w:color w:val="000000"/>
                <w:sz w:val="20"/>
              </w:rPr>
            </w:pPr>
            <w:r>
              <w:rPr>
                <w:b/>
                <w:noProof/>
                <w:color w:val="000000"/>
                <w:sz w:val="20"/>
              </w:rPr>
              <w:t>Número</w:t>
            </w:r>
          </w:p>
        </w:tc>
        <w:tc>
          <w:tcPr>
            <w:tcW w:w="1080" w:type="dxa"/>
            <w:vAlign w:val="center"/>
          </w:tcPr>
          <w:p w:rsidR="00000000" w:rsidRDefault="00000000">
            <w:pPr>
              <w:keepNext/>
              <w:keepLines/>
              <w:jc w:val="center"/>
              <w:rPr>
                <w:b/>
                <w:noProof/>
                <w:color w:val="000000"/>
                <w:sz w:val="20"/>
              </w:rPr>
            </w:pPr>
            <w:r>
              <w:rPr>
                <w:b/>
                <w:noProof/>
                <w:color w:val="000000"/>
                <w:sz w:val="20"/>
              </w:rPr>
              <w:t>Porcentaje</w:t>
            </w:r>
          </w:p>
        </w:tc>
        <w:tc>
          <w:tcPr>
            <w:tcW w:w="960" w:type="dxa"/>
            <w:vAlign w:val="center"/>
          </w:tcPr>
          <w:p w:rsidR="00000000" w:rsidRDefault="00000000">
            <w:pPr>
              <w:keepNext/>
              <w:keepLines/>
              <w:jc w:val="center"/>
              <w:rPr>
                <w:b/>
                <w:noProof/>
                <w:color w:val="000000"/>
                <w:sz w:val="20"/>
              </w:rPr>
            </w:pPr>
            <w:r>
              <w:rPr>
                <w:b/>
                <w:noProof/>
                <w:color w:val="000000"/>
                <w:sz w:val="20"/>
              </w:rPr>
              <w:t>Número</w:t>
            </w:r>
          </w:p>
        </w:tc>
        <w:tc>
          <w:tcPr>
            <w:tcW w:w="1120" w:type="dxa"/>
            <w:vAlign w:val="center"/>
          </w:tcPr>
          <w:p w:rsidR="00000000" w:rsidRDefault="00000000">
            <w:pPr>
              <w:keepNext/>
              <w:keepLines/>
              <w:jc w:val="center"/>
              <w:rPr>
                <w:b/>
                <w:noProof/>
                <w:color w:val="000000"/>
                <w:sz w:val="20"/>
              </w:rPr>
            </w:pPr>
            <w:r>
              <w:rPr>
                <w:b/>
                <w:noProof/>
                <w:color w:val="000000"/>
                <w:sz w:val="20"/>
              </w:rPr>
              <w:t>Porcentaje</w:t>
            </w:r>
          </w:p>
        </w:tc>
        <w:tc>
          <w:tcPr>
            <w:tcW w:w="920" w:type="dxa"/>
            <w:vAlign w:val="center"/>
          </w:tcPr>
          <w:p w:rsidR="00000000" w:rsidRDefault="00000000">
            <w:pPr>
              <w:keepNext/>
              <w:keepLines/>
              <w:jc w:val="center"/>
              <w:rPr>
                <w:b/>
                <w:noProof/>
                <w:color w:val="000000"/>
                <w:sz w:val="20"/>
              </w:rPr>
            </w:pPr>
            <w:r>
              <w:rPr>
                <w:b/>
                <w:noProof/>
                <w:color w:val="000000"/>
                <w:sz w:val="20"/>
              </w:rPr>
              <w:t>Número</w:t>
            </w:r>
          </w:p>
        </w:tc>
        <w:tc>
          <w:tcPr>
            <w:tcW w:w="1158" w:type="dxa"/>
            <w:vAlign w:val="center"/>
          </w:tcPr>
          <w:p w:rsidR="00000000" w:rsidRDefault="00000000">
            <w:pPr>
              <w:keepNext/>
              <w:keepLines/>
              <w:jc w:val="center"/>
              <w:rPr>
                <w:b/>
                <w:noProof/>
                <w:color w:val="000000"/>
                <w:sz w:val="20"/>
              </w:rPr>
            </w:pPr>
            <w:r>
              <w:rPr>
                <w:b/>
                <w:noProof/>
                <w:color w:val="000000"/>
                <w:sz w:val="20"/>
              </w:rPr>
              <w:t>Porcentaje</w:t>
            </w:r>
          </w:p>
        </w:tc>
        <w:tc>
          <w:tcPr>
            <w:tcW w:w="882" w:type="dxa"/>
            <w:vAlign w:val="center"/>
          </w:tcPr>
          <w:p w:rsidR="00000000" w:rsidRDefault="00000000">
            <w:pPr>
              <w:keepNext/>
              <w:keepLines/>
              <w:jc w:val="center"/>
              <w:rPr>
                <w:b/>
                <w:noProof/>
                <w:color w:val="000000"/>
                <w:sz w:val="20"/>
              </w:rPr>
            </w:pPr>
            <w:r>
              <w:rPr>
                <w:b/>
                <w:noProof/>
                <w:color w:val="000000"/>
                <w:sz w:val="20"/>
              </w:rPr>
              <w:t>Número</w:t>
            </w:r>
          </w:p>
        </w:tc>
        <w:tc>
          <w:tcPr>
            <w:tcW w:w="1077" w:type="dxa"/>
            <w:vAlign w:val="center"/>
          </w:tcPr>
          <w:p w:rsidR="00000000" w:rsidRDefault="00000000">
            <w:pPr>
              <w:keepNext/>
              <w:keepLines/>
              <w:jc w:val="center"/>
              <w:rPr>
                <w:b/>
                <w:noProof/>
                <w:color w:val="000000"/>
                <w:sz w:val="20"/>
              </w:rPr>
            </w:pPr>
            <w:r>
              <w:rPr>
                <w:b/>
                <w:noProof/>
                <w:color w:val="000000"/>
                <w:sz w:val="20"/>
              </w:rPr>
              <w:t>Porcentaje</w:t>
            </w:r>
          </w:p>
        </w:tc>
      </w:tr>
      <w:tr w:rsidR="00000000">
        <w:tblPrEx>
          <w:tblCellMar>
            <w:top w:w="0" w:type="dxa"/>
            <w:bottom w:w="0" w:type="dxa"/>
          </w:tblCellMar>
        </w:tblPrEx>
        <w:trPr>
          <w:trHeight w:val="20"/>
          <w:jc w:val="center"/>
        </w:trPr>
        <w:tc>
          <w:tcPr>
            <w:tcW w:w="1322" w:type="dxa"/>
            <w:vAlign w:val="center"/>
          </w:tcPr>
          <w:p w:rsidR="00000000" w:rsidRDefault="00000000">
            <w:pPr>
              <w:keepNext/>
              <w:keepLines/>
              <w:ind w:firstLine="4"/>
              <w:rPr>
                <w:bCs/>
                <w:noProof/>
                <w:color w:val="000000"/>
                <w:sz w:val="20"/>
              </w:rPr>
            </w:pPr>
            <w:r>
              <w:rPr>
                <w:bCs/>
                <w:noProof/>
                <w:color w:val="000000"/>
                <w:sz w:val="20"/>
              </w:rPr>
              <w:t>Niñas</w:t>
            </w:r>
          </w:p>
        </w:tc>
        <w:tc>
          <w:tcPr>
            <w:tcW w:w="840" w:type="dxa"/>
            <w:vAlign w:val="center"/>
          </w:tcPr>
          <w:p w:rsidR="00000000" w:rsidRDefault="00000000">
            <w:pPr>
              <w:keepNext/>
              <w:keepLines/>
              <w:ind w:firstLine="4"/>
              <w:jc w:val="center"/>
              <w:rPr>
                <w:bCs/>
                <w:noProof/>
                <w:color w:val="000000"/>
                <w:sz w:val="20"/>
              </w:rPr>
            </w:pPr>
            <w:r>
              <w:rPr>
                <w:bCs/>
                <w:noProof/>
                <w:color w:val="000000"/>
                <w:sz w:val="20"/>
              </w:rPr>
              <w:t>1.631</w:t>
            </w:r>
          </w:p>
        </w:tc>
        <w:tc>
          <w:tcPr>
            <w:tcW w:w="1080" w:type="dxa"/>
            <w:vAlign w:val="center"/>
          </w:tcPr>
          <w:p w:rsidR="00000000" w:rsidRDefault="00000000">
            <w:pPr>
              <w:keepNext/>
              <w:keepLines/>
              <w:tabs>
                <w:tab w:val="decimal" w:pos="626"/>
              </w:tabs>
              <w:ind w:firstLine="4"/>
              <w:rPr>
                <w:bCs/>
                <w:noProof/>
                <w:color w:val="000000"/>
                <w:sz w:val="20"/>
              </w:rPr>
            </w:pPr>
            <w:r>
              <w:rPr>
                <w:bCs/>
                <w:noProof/>
                <w:color w:val="000000"/>
                <w:sz w:val="20"/>
              </w:rPr>
              <w:t>23,6</w:t>
            </w:r>
          </w:p>
        </w:tc>
        <w:tc>
          <w:tcPr>
            <w:tcW w:w="960" w:type="dxa"/>
            <w:vAlign w:val="center"/>
          </w:tcPr>
          <w:p w:rsidR="00000000" w:rsidRDefault="00000000">
            <w:pPr>
              <w:keepNext/>
              <w:keepLines/>
              <w:ind w:firstLine="4"/>
              <w:jc w:val="center"/>
              <w:rPr>
                <w:bCs/>
                <w:noProof/>
                <w:color w:val="000000"/>
                <w:sz w:val="20"/>
              </w:rPr>
            </w:pPr>
            <w:r>
              <w:rPr>
                <w:bCs/>
                <w:noProof/>
                <w:color w:val="000000"/>
                <w:sz w:val="20"/>
              </w:rPr>
              <w:t>1.505</w:t>
            </w:r>
          </w:p>
        </w:tc>
        <w:tc>
          <w:tcPr>
            <w:tcW w:w="1120" w:type="dxa"/>
            <w:vAlign w:val="center"/>
          </w:tcPr>
          <w:p w:rsidR="00000000" w:rsidRDefault="00000000">
            <w:pPr>
              <w:keepNext/>
              <w:keepLines/>
              <w:tabs>
                <w:tab w:val="decimal" w:pos="570"/>
              </w:tabs>
              <w:ind w:firstLine="4"/>
              <w:rPr>
                <w:bCs/>
                <w:noProof/>
                <w:color w:val="000000"/>
                <w:sz w:val="20"/>
              </w:rPr>
            </w:pPr>
            <w:r>
              <w:rPr>
                <w:bCs/>
                <w:noProof/>
                <w:color w:val="000000"/>
                <w:sz w:val="20"/>
              </w:rPr>
              <w:t>22,7</w:t>
            </w:r>
          </w:p>
        </w:tc>
        <w:tc>
          <w:tcPr>
            <w:tcW w:w="920" w:type="dxa"/>
            <w:vAlign w:val="center"/>
          </w:tcPr>
          <w:p w:rsidR="00000000" w:rsidRDefault="00000000">
            <w:pPr>
              <w:keepNext/>
              <w:keepLines/>
              <w:tabs>
                <w:tab w:val="decimal" w:pos="635"/>
              </w:tabs>
              <w:ind w:firstLine="4"/>
              <w:rPr>
                <w:bCs/>
                <w:noProof/>
                <w:color w:val="000000"/>
                <w:sz w:val="20"/>
              </w:rPr>
            </w:pPr>
            <w:r>
              <w:rPr>
                <w:bCs/>
                <w:noProof/>
                <w:color w:val="000000"/>
                <w:sz w:val="20"/>
              </w:rPr>
              <w:t>746</w:t>
            </w:r>
          </w:p>
        </w:tc>
        <w:tc>
          <w:tcPr>
            <w:tcW w:w="1158" w:type="dxa"/>
            <w:vAlign w:val="center"/>
          </w:tcPr>
          <w:p w:rsidR="00000000" w:rsidRDefault="00000000">
            <w:pPr>
              <w:keepNext/>
              <w:keepLines/>
              <w:tabs>
                <w:tab w:val="decimal" w:pos="664"/>
              </w:tabs>
              <w:ind w:firstLine="4"/>
              <w:rPr>
                <w:bCs/>
                <w:noProof/>
                <w:color w:val="000000"/>
                <w:sz w:val="20"/>
              </w:rPr>
            </w:pPr>
            <w:r>
              <w:rPr>
                <w:bCs/>
                <w:noProof/>
                <w:color w:val="000000"/>
                <w:sz w:val="20"/>
              </w:rPr>
              <w:t>13,7</w:t>
            </w:r>
          </w:p>
        </w:tc>
        <w:tc>
          <w:tcPr>
            <w:tcW w:w="882" w:type="dxa"/>
            <w:vAlign w:val="center"/>
          </w:tcPr>
          <w:p w:rsidR="00000000" w:rsidRDefault="00000000">
            <w:pPr>
              <w:keepNext/>
              <w:keepLines/>
              <w:tabs>
                <w:tab w:val="decimal" w:pos="595"/>
              </w:tabs>
              <w:ind w:firstLine="4"/>
              <w:rPr>
                <w:bCs/>
                <w:noProof/>
                <w:color w:val="000000"/>
                <w:sz w:val="20"/>
              </w:rPr>
            </w:pPr>
            <w:r>
              <w:rPr>
                <w:bCs/>
                <w:noProof/>
                <w:color w:val="000000"/>
                <w:sz w:val="20"/>
              </w:rPr>
              <w:t>512</w:t>
            </w:r>
          </w:p>
        </w:tc>
        <w:tc>
          <w:tcPr>
            <w:tcW w:w="1077" w:type="dxa"/>
            <w:vAlign w:val="center"/>
          </w:tcPr>
          <w:p w:rsidR="00000000" w:rsidRDefault="00000000">
            <w:pPr>
              <w:keepNext/>
              <w:keepLines/>
              <w:tabs>
                <w:tab w:val="decimal" w:pos="533"/>
              </w:tabs>
              <w:ind w:firstLine="4"/>
              <w:rPr>
                <w:bCs/>
                <w:noProof/>
                <w:color w:val="000000"/>
                <w:sz w:val="20"/>
              </w:rPr>
            </w:pPr>
            <w:r>
              <w:rPr>
                <w:bCs/>
                <w:noProof/>
                <w:color w:val="000000"/>
                <w:sz w:val="20"/>
              </w:rPr>
              <w:t>9,8</w:t>
            </w:r>
          </w:p>
        </w:tc>
      </w:tr>
      <w:tr w:rsidR="00000000">
        <w:tblPrEx>
          <w:tblCellMar>
            <w:top w:w="0" w:type="dxa"/>
            <w:bottom w:w="0" w:type="dxa"/>
          </w:tblCellMar>
        </w:tblPrEx>
        <w:trPr>
          <w:trHeight w:val="20"/>
          <w:jc w:val="center"/>
        </w:trPr>
        <w:tc>
          <w:tcPr>
            <w:tcW w:w="1322" w:type="dxa"/>
            <w:vAlign w:val="center"/>
          </w:tcPr>
          <w:p w:rsidR="00000000" w:rsidRDefault="00000000">
            <w:pPr>
              <w:keepNext/>
              <w:keepLines/>
              <w:ind w:firstLine="4"/>
              <w:rPr>
                <w:bCs/>
                <w:noProof/>
                <w:color w:val="000000"/>
                <w:sz w:val="20"/>
              </w:rPr>
            </w:pPr>
            <w:r>
              <w:rPr>
                <w:bCs/>
                <w:noProof/>
                <w:color w:val="000000"/>
                <w:sz w:val="20"/>
              </w:rPr>
              <w:t>Niños</w:t>
            </w:r>
          </w:p>
        </w:tc>
        <w:tc>
          <w:tcPr>
            <w:tcW w:w="840" w:type="dxa"/>
            <w:vAlign w:val="center"/>
          </w:tcPr>
          <w:p w:rsidR="00000000" w:rsidRDefault="00000000">
            <w:pPr>
              <w:keepNext/>
              <w:keepLines/>
              <w:ind w:firstLine="4"/>
              <w:jc w:val="center"/>
              <w:rPr>
                <w:bCs/>
                <w:noProof/>
                <w:color w:val="000000"/>
                <w:sz w:val="20"/>
              </w:rPr>
            </w:pPr>
            <w:r>
              <w:rPr>
                <w:bCs/>
                <w:noProof/>
                <w:color w:val="000000"/>
                <w:sz w:val="20"/>
              </w:rPr>
              <w:t>5.322</w:t>
            </w:r>
          </w:p>
        </w:tc>
        <w:tc>
          <w:tcPr>
            <w:tcW w:w="1080" w:type="dxa"/>
            <w:vAlign w:val="center"/>
          </w:tcPr>
          <w:p w:rsidR="00000000" w:rsidRDefault="00000000">
            <w:pPr>
              <w:keepNext/>
              <w:keepLines/>
              <w:tabs>
                <w:tab w:val="decimal" w:pos="626"/>
              </w:tabs>
              <w:ind w:firstLine="4"/>
              <w:rPr>
                <w:bCs/>
                <w:noProof/>
                <w:color w:val="000000"/>
                <w:sz w:val="20"/>
              </w:rPr>
            </w:pPr>
            <w:r>
              <w:rPr>
                <w:bCs/>
                <w:noProof/>
                <w:color w:val="000000"/>
                <w:sz w:val="20"/>
              </w:rPr>
              <w:t>76,5</w:t>
            </w:r>
          </w:p>
        </w:tc>
        <w:tc>
          <w:tcPr>
            <w:tcW w:w="960" w:type="dxa"/>
            <w:vAlign w:val="center"/>
          </w:tcPr>
          <w:p w:rsidR="00000000" w:rsidRDefault="00000000">
            <w:pPr>
              <w:keepNext/>
              <w:keepLines/>
              <w:ind w:firstLine="4"/>
              <w:jc w:val="center"/>
              <w:rPr>
                <w:bCs/>
                <w:noProof/>
                <w:color w:val="000000"/>
                <w:sz w:val="20"/>
              </w:rPr>
            </w:pPr>
            <w:r>
              <w:rPr>
                <w:bCs/>
                <w:noProof/>
                <w:color w:val="000000"/>
                <w:sz w:val="20"/>
              </w:rPr>
              <w:t>5.464</w:t>
            </w:r>
          </w:p>
        </w:tc>
        <w:tc>
          <w:tcPr>
            <w:tcW w:w="1120" w:type="dxa"/>
            <w:vAlign w:val="center"/>
          </w:tcPr>
          <w:p w:rsidR="00000000" w:rsidRDefault="00000000">
            <w:pPr>
              <w:keepNext/>
              <w:keepLines/>
              <w:tabs>
                <w:tab w:val="decimal" w:pos="570"/>
              </w:tabs>
              <w:ind w:firstLine="4"/>
              <w:rPr>
                <w:bCs/>
                <w:noProof/>
                <w:color w:val="000000"/>
                <w:sz w:val="20"/>
              </w:rPr>
            </w:pPr>
            <w:r>
              <w:rPr>
                <w:bCs/>
                <w:noProof/>
                <w:color w:val="000000"/>
                <w:sz w:val="20"/>
              </w:rPr>
              <w:t>81,8</w:t>
            </w:r>
          </w:p>
        </w:tc>
        <w:tc>
          <w:tcPr>
            <w:tcW w:w="920" w:type="dxa"/>
            <w:vAlign w:val="center"/>
          </w:tcPr>
          <w:p w:rsidR="00000000" w:rsidRDefault="00000000">
            <w:pPr>
              <w:keepNext/>
              <w:keepLines/>
              <w:tabs>
                <w:tab w:val="decimal" w:pos="635"/>
              </w:tabs>
              <w:ind w:firstLine="4"/>
              <w:rPr>
                <w:bCs/>
                <w:noProof/>
                <w:color w:val="000000"/>
                <w:sz w:val="20"/>
              </w:rPr>
            </w:pPr>
            <w:r>
              <w:rPr>
                <w:bCs/>
                <w:noProof/>
                <w:color w:val="000000"/>
                <w:sz w:val="20"/>
              </w:rPr>
              <w:t>4.406</w:t>
            </w:r>
          </w:p>
        </w:tc>
        <w:tc>
          <w:tcPr>
            <w:tcW w:w="1158" w:type="dxa"/>
            <w:vAlign w:val="center"/>
          </w:tcPr>
          <w:p w:rsidR="00000000" w:rsidRDefault="00000000">
            <w:pPr>
              <w:keepNext/>
              <w:keepLines/>
              <w:tabs>
                <w:tab w:val="decimal" w:pos="664"/>
              </w:tabs>
              <w:ind w:firstLine="4"/>
              <w:rPr>
                <w:bCs/>
                <w:noProof/>
                <w:color w:val="000000"/>
                <w:sz w:val="20"/>
              </w:rPr>
            </w:pPr>
            <w:r>
              <w:rPr>
                <w:bCs/>
                <w:noProof/>
                <w:color w:val="000000"/>
                <w:sz w:val="20"/>
              </w:rPr>
              <w:t>86,3</w:t>
            </w:r>
          </w:p>
        </w:tc>
        <w:tc>
          <w:tcPr>
            <w:tcW w:w="882" w:type="dxa"/>
            <w:vAlign w:val="center"/>
          </w:tcPr>
          <w:p w:rsidR="00000000" w:rsidRDefault="00000000">
            <w:pPr>
              <w:keepNext/>
              <w:keepLines/>
              <w:tabs>
                <w:tab w:val="decimal" w:pos="595"/>
              </w:tabs>
              <w:ind w:firstLine="4"/>
              <w:rPr>
                <w:bCs/>
                <w:noProof/>
                <w:color w:val="000000"/>
                <w:sz w:val="20"/>
              </w:rPr>
            </w:pPr>
            <w:r>
              <w:rPr>
                <w:bCs/>
                <w:noProof/>
                <w:color w:val="000000"/>
                <w:sz w:val="20"/>
              </w:rPr>
              <w:t>4.716</w:t>
            </w:r>
          </w:p>
        </w:tc>
        <w:tc>
          <w:tcPr>
            <w:tcW w:w="1077" w:type="dxa"/>
            <w:vAlign w:val="center"/>
          </w:tcPr>
          <w:p w:rsidR="00000000" w:rsidRDefault="00000000">
            <w:pPr>
              <w:keepNext/>
              <w:keepLines/>
              <w:tabs>
                <w:tab w:val="decimal" w:pos="533"/>
              </w:tabs>
              <w:ind w:firstLine="4"/>
              <w:rPr>
                <w:bCs/>
                <w:noProof/>
                <w:color w:val="000000"/>
                <w:sz w:val="20"/>
              </w:rPr>
            </w:pPr>
            <w:r>
              <w:rPr>
                <w:bCs/>
                <w:noProof/>
                <w:color w:val="000000"/>
                <w:sz w:val="20"/>
              </w:rPr>
              <w:t>90,2</w:t>
            </w:r>
          </w:p>
        </w:tc>
      </w:tr>
      <w:tr w:rsidR="00000000">
        <w:tblPrEx>
          <w:tblCellMar>
            <w:top w:w="0" w:type="dxa"/>
            <w:bottom w:w="0" w:type="dxa"/>
          </w:tblCellMar>
        </w:tblPrEx>
        <w:trPr>
          <w:trHeight w:val="20"/>
          <w:jc w:val="center"/>
        </w:trPr>
        <w:tc>
          <w:tcPr>
            <w:tcW w:w="1322" w:type="dxa"/>
            <w:vAlign w:val="center"/>
          </w:tcPr>
          <w:p w:rsidR="00000000" w:rsidRDefault="00000000">
            <w:pPr>
              <w:keepNext/>
              <w:keepLines/>
              <w:tabs>
                <w:tab w:val="left" w:pos="306"/>
              </w:tabs>
              <w:ind w:firstLine="4"/>
              <w:rPr>
                <w:bCs/>
                <w:noProof/>
                <w:color w:val="000000"/>
                <w:sz w:val="20"/>
              </w:rPr>
            </w:pPr>
            <w:r>
              <w:rPr>
                <w:bCs/>
                <w:noProof/>
                <w:color w:val="000000"/>
                <w:sz w:val="20"/>
              </w:rPr>
              <w:tab/>
              <w:t>Total</w:t>
            </w:r>
          </w:p>
        </w:tc>
        <w:tc>
          <w:tcPr>
            <w:tcW w:w="840" w:type="dxa"/>
            <w:vAlign w:val="center"/>
          </w:tcPr>
          <w:p w:rsidR="00000000" w:rsidRDefault="00000000">
            <w:pPr>
              <w:keepNext/>
              <w:keepLines/>
              <w:ind w:firstLine="4"/>
              <w:jc w:val="center"/>
              <w:rPr>
                <w:bCs/>
                <w:noProof/>
                <w:color w:val="000000"/>
                <w:sz w:val="20"/>
              </w:rPr>
            </w:pPr>
            <w:r>
              <w:rPr>
                <w:bCs/>
                <w:noProof/>
                <w:color w:val="000000"/>
                <w:sz w:val="20"/>
              </w:rPr>
              <w:t>6.953</w:t>
            </w:r>
          </w:p>
        </w:tc>
        <w:tc>
          <w:tcPr>
            <w:tcW w:w="1080" w:type="dxa"/>
            <w:vAlign w:val="center"/>
          </w:tcPr>
          <w:p w:rsidR="00000000" w:rsidRDefault="00000000">
            <w:pPr>
              <w:keepNext/>
              <w:keepLines/>
              <w:ind w:firstLine="4"/>
              <w:jc w:val="center"/>
              <w:rPr>
                <w:bCs/>
                <w:noProof/>
                <w:color w:val="000000"/>
                <w:sz w:val="20"/>
              </w:rPr>
            </w:pPr>
            <w:r>
              <w:rPr>
                <w:bCs/>
                <w:noProof/>
                <w:color w:val="000000"/>
                <w:sz w:val="20"/>
              </w:rPr>
              <w:t>100</w:t>
            </w:r>
          </w:p>
        </w:tc>
        <w:tc>
          <w:tcPr>
            <w:tcW w:w="960" w:type="dxa"/>
            <w:vAlign w:val="center"/>
          </w:tcPr>
          <w:p w:rsidR="00000000" w:rsidRDefault="00000000">
            <w:pPr>
              <w:keepNext/>
              <w:keepLines/>
              <w:ind w:firstLine="4"/>
              <w:jc w:val="center"/>
              <w:rPr>
                <w:bCs/>
                <w:noProof/>
                <w:color w:val="000000"/>
                <w:sz w:val="20"/>
              </w:rPr>
            </w:pPr>
            <w:r>
              <w:rPr>
                <w:bCs/>
                <w:noProof/>
                <w:color w:val="000000"/>
                <w:sz w:val="20"/>
              </w:rPr>
              <w:t>6.679</w:t>
            </w:r>
          </w:p>
        </w:tc>
        <w:tc>
          <w:tcPr>
            <w:tcW w:w="1120" w:type="dxa"/>
            <w:vAlign w:val="center"/>
          </w:tcPr>
          <w:p w:rsidR="00000000" w:rsidRDefault="00000000">
            <w:pPr>
              <w:keepNext/>
              <w:keepLines/>
              <w:tabs>
                <w:tab w:val="decimal" w:pos="570"/>
              </w:tabs>
              <w:ind w:firstLine="4"/>
              <w:rPr>
                <w:bCs/>
                <w:noProof/>
                <w:color w:val="000000"/>
                <w:sz w:val="20"/>
              </w:rPr>
            </w:pPr>
            <w:r>
              <w:rPr>
                <w:bCs/>
                <w:noProof/>
                <w:color w:val="000000"/>
                <w:sz w:val="20"/>
              </w:rPr>
              <w:t>100</w:t>
            </w:r>
          </w:p>
        </w:tc>
        <w:tc>
          <w:tcPr>
            <w:tcW w:w="920" w:type="dxa"/>
            <w:vAlign w:val="center"/>
          </w:tcPr>
          <w:p w:rsidR="00000000" w:rsidRDefault="00000000">
            <w:pPr>
              <w:keepNext/>
              <w:keepLines/>
              <w:tabs>
                <w:tab w:val="decimal" w:pos="635"/>
              </w:tabs>
              <w:ind w:firstLine="4"/>
              <w:rPr>
                <w:bCs/>
                <w:noProof/>
                <w:color w:val="000000"/>
                <w:sz w:val="20"/>
              </w:rPr>
            </w:pPr>
            <w:r>
              <w:rPr>
                <w:bCs/>
                <w:noProof/>
                <w:color w:val="000000"/>
                <w:sz w:val="20"/>
              </w:rPr>
              <w:t>5.462</w:t>
            </w:r>
          </w:p>
        </w:tc>
        <w:tc>
          <w:tcPr>
            <w:tcW w:w="1158" w:type="dxa"/>
            <w:vAlign w:val="center"/>
          </w:tcPr>
          <w:p w:rsidR="00000000" w:rsidRDefault="00000000">
            <w:pPr>
              <w:keepNext/>
              <w:keepLines/>
              <w:ind w:firstLine="4"/>
              <w:jc w:val="center"/>
              <w:rPr>
                <w:bCs/>
                <w:noProof/>
                <w:color w:val="000000"/>
                <w:sz w:val="20"/>
              </w:rPr>
            </w:pPr>
            <w:r>
              <w:rPr>
                <w:bCs/>
                <w:noProof/>
                <w:color w:val="000000"/>
                <w:sz w:val="20"/>
              </w:rPr>
              <w:t>100</w:t>
            </w:r>
          </w:p>
        </w:tc>
        <w:tc>
          <w:tcPr>
            <w:tcW w:w="882" w:type="dxa"/>
            <w:vAlign w:val="center"/>
          </w:tcPr>
          <w:p w:rsidR="00000000" w:rsidRDefault="00000000">
            <w:pPr>
              <w:keepNext/>
              <w:keepLines/>
              <w:tabs>
                <w:tab w:val="decimal" w:pos="595"/>
              </w:tabs>
              <w:ind w:firstLine="4"/>
              <w:rPr>
                <w:bCs/>
                <w:noProof/>
                <w:color w:val="000000"/>
                <w:sz w:val="20"/>
              </w:rPr>
            </w:pPr>
            <w:r>
              <w:rPr>
                <w:bCs/>
                <w:noProof/>
                <w:color w:val="000000"/>
                <w:sz w:val="20"/>
              </w:rPr>
              <w:t>5.228</w:t>
            </w:r>
          </w:p>
        </w:tc>
        <w:tc>
          <w:tcPr>
            <w:tcW w:w="1077" w:type="dxa"/>
            <w:vAlign w:val="center"/>
          </w:tcPr>
          <w:p w:rsidR="00000000" w:rsidRDefault="00000000">
            <w:pPr>
              <w:keepNext/>
              <w:keepLines/>
              <w:tabs>
                <w:tab w:val="decimal" w:pos="533"/>
              </w:tabs>
              <w:ind w:firstLine="4"/>
              <w:rPr>
                <w:bCs/>
                <w:noProof/>
                <w:color w:val="000000"/>
                <w:sz w:val="20"/>
              </w:rPr>
            </w:pPr>
            <w:r>
              <w:rPr>
                <w:bCs/>
                <w:noProof/>
                <w:color w:val="000000"/>
                <w:sz w:val="20"/>
              </w:rPr>
              <w:t>100</w:t>
            </w:r>
          </w:p>
        </w:tc>
      </w:tr>
    </w:tbl>
    <w:p w:rsidR="00000000" w:rsidRDefault="00000000">
      <w:pPr>
        <w:keepNext/>
        <w:keepLines/>
        <w:spacing w:before="200" w:after="400"/>
        <w:rPr>
          <w:bCs/>
          <w:noProof/>
          <w:color w:val="000000"/>
          <w:sz w:val="20"/>
        </w:rPr>
      </w:pPr>
      <w:r>
        <w:rPr>
          <w:bCs/>
          <w:i/>
          <w:iCs/>
          <w:noProof/>
          <w:color w:val="000000"/>
          <w:sz w:val="20"/>
        </w:rPr>
        <w:t>Fuente</w:t>
      </w:r>
      <w:r>
        <w:rPr>
          <w:bCs/>
          <w:noProof/>
          <w:color w:val="000000"/>
          <w:sz w:val="20"/>
        </w:rPr>
        <w:t>:  SENAME, 2004.</w:t>
      </w:r>
    </w:p>
    <w:p w:rsidR="00000000" w:rsidRDefault="00000000">
      <w:pPr>
        <w:spacing w:after="240"/>
        <w:ind w:left="-4" w:firstLine="4"/>
        <w:jc w:val="center"/>
        <w:outlineLvl w:val="0"/>
        <w:rPr>
          <w:b/>
          <w:noProof/>
          <w:color w:val="000000"/>
        </w:rPr>
      </w:pPr>
      <w:r>
        <w:rPr>
          <w:b/>
          <w:noProof/>
          <w:color w:val="000000"/>
        </w:rPr>
        <w:t>Cuadro 54</w:t>
      </w:r>
    </w:p>
    <w:p w:rsidR="00000000" w:rsidRDefault="00000000">
      <w:pPr>
        <w:spacing w:after="240"/>
        <w:ind w:left="-4" w:firstLine="4"/>
        <w:jc w:val="center"/>
        <w:rPr>
          <w:bCs/>
          <w:noProof/>
          <w:color w:val="000000"/>
        </w:rPr>
      </w:pPr>
      <w:r>
        <w:rPr>
          <w:b/>
          <w:noProof/>
          <w:color w:val="000000"/>
        </w:rPr>
        <w:t>Niños, niñas y adolescentes del área de responsabilidad juvenil,</w:t>
      </w:r>
      <w:r>
        <w:rPr>
          <w:b/>
          <w:noProof/>
          <w:color w:val="000000"/>
        </w:rPr>
        <w:br/>
        <w:t>según edad, 2001-2002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073"/>
        <w:gridCol w:w="1668"/>
        <w:gridCol w:w="1870"/>
        <w:gridCol w:w="1870"/>
        <w:gridCol w:w="1876"/>
      </w:tblGrid>
      <w:tr w:rsidR="00000000">
        <w:tblPrEx>
          <w:tblCellMar>
            <w:top w:w="0" w:type="dxa"/>
            <w:bottom w:w="0" w:type="dxa"/>
          </w:tblCellMar>
        </w:tblPrEx>
        <w:trPr>
          <w:cantSplit/>
          <w:jc w:val="center"/>
        </w:trPr>
        <w:tc>
          <w:tcPr>
            <w:tcW w:w="2073" w:type="dxa"/>
            <w:vMerge w:val="restart"/>
            <w:vAlign w:val="center"/>
          </w:tcPr>
          <w:p w:rsidR="00000000" w:rsidRDefault="00000000">
            <w:pPr>
              <w:ind w:firstLine="6"/>
              <w:jc w:val="center"/>
              <w:rPr>
                <w:b/>
                <w:noProof/>
                <w:color w:val="000000"/>
              </w:rPr>
            </w:pPr>
            <w:r>
              <w:rPr>
                <w:b/>
                <w:noProof/>
                <w:color w:val="000000"/>
              </w:rPr>
              <w:t>Edad</w:t>
            </w:r>
          </w:p>
        </w:tc>
        <w:tc>
          <w:tcPr>
            <w:tcW w:w="3538" w:type="dxa"/>
            <w:gridSpan w:val="2"/>
            <w:vAlign w:val="center"/>
          </w:tcPr>
          <w:p w:rsidR="00000000" w:rsidRDefault="00000000">
            <w:pPr>
              <w:ind w:firstLine="6"/>
              <w:jc w:val="center"/>
              <w:rPr>
                <w:b/>
                <w:noProof/>
                <w:color w:val="000000"/>
              </w:rPr>
            </w:pPr>
            <w:r>
              <w:rPr>
                <w:b/>
                <w:noProof/>
                <w:color w:val="000000"/>
              </w:rPr>
              <w:t>2001</w:t>
            </w:r>
          </w:p>
        </w:tc>
        <w:tc>
          <w:tcPr>
            <w:tcW w:w="3746" w:type="dxa"/>
            <w:gridSpan w:val="2"/>
            <w:vAlign w:val="center"/>
          </w:tcPr>
          <w:p w:rsidR="00000000" w:rsidRDefault="00000000">
            <w:pPr>
              <w:ind w:firstLine="6"/>
              <w:jc w:val="center"/>
              <w:rPr>
                <w:b/>
                <w:noProof/>
                <w:color w:val="000000"/>
              </w:rPr>
            </w:pPr>
            <w:r>
              <w:rPr>
                <w:b/>
                <w:noProof/>
                <w:color w:val="000000"/>
              </w:rPr>
              <w:t>2002</w:t>
            </w:r>
          </w:p>
        </w:tc>
      </w:tr>
      <w:tr w:rsidR="00000000">
        <w:tblPrEx>
          <w:tblCellMar>
            <w:top w:w="0" w:type="dxa"/>
            <w:bottom w:w="0" w:type="dxa"/>
          </w:tblCellMar>
        </w:tblPrEx>
        <w:trPr>
          <w:cantSplit/>
          <w:jc w:val="center"/>
        </w:trPr>
        <w:tc>
          <w:tcPr>
            <w:tcW w:w="2073" w:type="dxa"/>
            <w:vMerge/>
            <w:vAlign w:val="center"/>
          </w:tcPr>
          <w:p w:rsidR="00000000" w:rsidRDefault="00000000">
            <w:pPr>
              <w:ind w:firstLine="6"/>
              <w:jc w:val="center"/>
              <w:rPr>
                <w:b/>
                <w:noProof/>
                <w:color w:val="000000"/>
              </w:rPr>
            </w:pPr>
          </w:p>
        </w:tc>
        <w:tc>
          <w:tcPr>
            <w:tcW w:w="1668" w:type="dxa"/>
            <w:vAlign w:val="center"/>
          </w:tcPr>
          <w:p w:rsidR="00000000" w:rsidRDefault="00000000">
            <w:pPr>
              <w:keepNext/>
              <w:keepLines/>
              <w:jc w:val="center"/>
              <w:rPr>
                <w:b/>
                <w:noProof/>
                <w:color w:val="000000"/>
              </w:rPr>
            </w:pPr>
            <w:r>
              <w:rPr>
                <w:b/>
                <w:noProof/>
                <w:color w:val="000000"/>
              </w:rPr>
              <w:t>Número</w:t>
            </w:r>
          </w:p>
        </w:tc>
        <w:tc>
          <w:tcPr>
            <w:tcW w:w="1870" w:type="dxa"/>
            <w:vAlign w:val="center"/>
          </w:tcPr>
          <w:p w:rsidR="00000000" w:rsidRDefault="00000000">
            <w:pPr>
              <w:keepNext/>
              <w:keepLines/>
              <w:jc w:val="center"/>
              <w:rPr>
                <w:b/>
                <w:noProof/>
                <w:color w:val="000000"/>
              </w:rPr>
            </w:pPr>
            <w:r>
              <w:rPr>
                <w:b/>
                <w:noProof/>
                <w:color w:val="000000"/>
              </w:rPr>
              <w:t>Porcentaje</w:t>
            </w:r>
          </w:p>
        </w:tc>
        <w:tc>
          <w:tcPr>
            <w:tcW w:w="1870" w:type="dxa"/>
            <w:vAlign w:val="center"/>
          </w:tcPr>
          <w:p w:rsidR="00000000" w:rsidRDefault="00000000">
            <w:pPr>
              <w:keepNext/>
              <w:keepLines/>
              <w:jc w:val="center"/>
              <w:rPr>
                <w:b/>
                <w:noProof/>
                <w:color w:val="000000"/>
              </w:rPr>
            </w:pPr>
            <w:r>
              <w:rPr>
                <w:b/>
                <w:noProof/>
                <w:color w:val="000000"/>
              </w:rPr>
              <w:t>Número</w:t>
            </w:r>
          </w:p>
        </w:tc>
        <w:tc>
          <w:tcPr>
            <w:tcW w:w="1876" w:type="dxa"/>
            <w:vAlign w:val="center"/>
          </w:tcPr>
          <w:p w:rsidR="00000000" w:rsidRDefault="00000000">
            <w:pPr>
              <w:keepNext/>
              <w:keepLines/>
              <w:jc w:val="center"/>
              <w:rPr>
                <w:b/>
                <w:noProof/>
                <w:color w:val="000000"/>
              </w:rPr>
            </w:pPr>
            <w:r>
              <w:rPr>
                <w:b/>
                <w:noProof/>
                <w:color w:val="000000"/>
              </w:rPr>
              <w:t>Porcentaje</w:t>
            </w:r>
          </w:p>
        </w:tc>
      </w:tr>
      <w:tr w:rsidR="00000000">
        <w:tblPrEx>
          <w:tblCellMar>
            <w:top w:w="0" w:type="dxa"/>
            <w:bottom w:w="0" w:type="dxa"/>
          </w:tblCellMar>
        </w:tblPrEx>
        <w:trPr>
          <w:jc w:val="center"/>
        </w:trPr>
        <w:tc>
          <w:tcPr>
            <w:tcW w:w="2073" w:type="dxa"/>
            <w:vAlign w:val="bottom"/>
          </w:tcPr>
          <w:p w:rsidR="00000000" w:rsidRDefault="00000000">
            <w:pPr>
              <w:ind w:firstLine="6"/>
              <w:rPr>
                <w:bCs/>
                <w:noProof/>
                <w:color w:val="000000"/>
              </w:rPr>
            </w:pPr>
            <w:r>
              <w:rPr>
                <w:bCs/>
                <w:noProof/>
                <w:color w:val="000000"/>
              </w:rPr>
              <w:t>7 a 8</w:t>
            </w:r>
          </w:p>
        </w:tc>
        <w:tc>
          <w:tcPr>
            <w:tcW w:w="1668" w:type="dxa"/>
            <w:vAlign w:val="bottom"/>
          </w:tcPr>
          <w:p w:rsidR="00000000" w:rsidRDefault="00000000">
            <w:pPr>
              <w:tabs>
                <w:tab w:val="decimal" w:pos="944"/>
              </w:tabs>
              <w:ind w:firstLine="6"/>
              <w:rPr>
                <w:bCs/>
                <w:noProof/>
                <w:color w:val="000000"/>
              </w:rPr>
            </w:pPr>
            <w:r>
              <w:rPr>
                <w:bCs/>
                <w:noProof/>
                <w:color w:val="000000"/>
              </w:rPr>
              <w:t>1</w:t>
            </w:r>
          </w:p>
        </w:tc>
        <w:tc>
          <w:tcPr>
            <w:tcW w:w="1870" w:type="dxa"/>
            <w:vAlign w:val="bottom"/>
          </w:tcPr>
          <w:p w:rsidR="00000000" w:rsidRDefault="00000000">
            <w:pPr>
              <w:tabs>
                <w:tab w:val="decimal" w:pos="774"/>
              </w:tabs>
              <w:ind w:firstLine="6"/>
              <w:rPr>
                <w:bCs/>
                <w:noProof/>
                <w:color w:val="000000"/>
              </w:rPr>
            </w:pPr>
            <w:r>
              <w:rPr>
                <w:bCs/>
                <w:noProof/>
                <w:color w:val="000000"/>
              </w:rPr>
              <w:t>0,0</w:t>
            </w:r>
          </w:p>
        </w:tc>
        <w:tc>
          <w:tcPr>
            <w:tcW w:w="1870" w:type="dxa"/>
            <w:vAlign w:val="bottom"/>
          </w:tcPr>
          <w:p w:rsidR="00000000" w:rsidRDefault="00000000">
            <w:pPr>
              <w:tabs>
                <w:tab w:val="decimal" w:pos="1045"/>
              </w:tabs>
              <w:ind w:firstLine="6"/>
              <w:rPr>
                <w:bCs/>
                <w:noProof/>
                <w:color w:val="000000"/>
              </w:rPr>
            </w:pPr>
            <w:r>
              <w:rPr>
                <w:bCs/>
                <w:noProof/>
                <w:color w:val="000000"/>
              </w:rPr>
              <w:t>-</w:t>
            </w:r>
          </w:p>
        </w:tc>
        <w:tc>
          <w:tcPr>
            <w:tcW w:w="1876" w:type="dxa"/>
            <w:vAlign w:val="bottom"/>
          </w:tcPr>
          <w:p w:rsidR="00000000" w:rsidRDefault="00000000">
            <w:pPr>
              <w:tabs>
                <w:tab w:val="decimal" w:pos="855"/>
              </w:tabs>
              <w:ind w:firstLine="6"/>
              <w:rPr>
                <w:bCs/>
                <w:noProof/>
                <w:color w:val="000000"/>
              </w:rPr>
            </w:pPr>
            <w:r>
              <w:rPr>
                <w:bCs/>
                <w:noProof/>
                <w:color w:val="000000"/>
              </w:rPr>
              <w:t>-</w:t>
            </w:r>
          </w:p>
        </w:tc>
      </w:tr>
      <w:tr w:rsidR="00000000">
        <w:tblPrEx>
          <w:tblCellMar>
            <w:top w:w="0" w:type="dxa"/>
            <w:bottom w:w="0" w:type="dxa"/>
          </w:tblCellMar>
        </w:tblPrEx>
        <w:trPr>
          <w:jc w:val="center"/>
        </w:trPr>
        <w:tc>
          <w:tcPr>
            <w:tcW w:w="2073" w:type="dxa"/>
            <w:vAlign w:val="bottom"/>
          </w:tcPr>
          <w:p w:rsidR="00000000" w:rsidRDefault="00000000">
            <w:pPr>
              <w:ind w:firstLine="6"/>
              <w:rPr>
                <w:bCs/>
                <w:noProof/>
                <w:color w:val="000000"/>
              </w:rPr>
            </w:pPr>
            <w:r>
              <w:rPr>
                <w:bCs/>
                <w:noProof/>
                <w:color w:val="000000"/>
              </w:rPr>
              <w:t>9 y 10</w:t>
            </w:r>
          </w:p>
        </w:tc>
        <w:tc>
          <w:tcPr>
            <w:tcW w:w="1668" w:type="dxa"/>
            <w:vAlign w:val="bottom"/>
          </w:tcPr>
          <w:p w:rsidR="00000000" w:rsidRDefault="00000000">
            <w:pPr>
              <w:tabs>
                <w:tab w:val="decimal" w:pos="944"/>
              </w:tabs>
              <w:ind w:firstLine="6"/>
              <w:rPr>
                <w:bCs/>
                <w:noProof/>
                <w:color w:val="000000"/>
              </w:rPr>
            </w:pPr>
            <w:r>
              <w:rPr>
                <w:bCs/>
                <w:noProof/>
                <w:color w:val="000000"/>
              </w:rPr>
              <w:t>13</w:t>
            </w:r>
          </w:p>
        </w:tc>
        <w:tc>
          <w:tcPr>
            <w:tcW w:w="1870" w:type="dxa"/>
            <w:vAlign w:val="bottom"/>
          </w:tcPr>
          <w:p w:rsidR="00000000" w:rsidRDefault="00000000">
            <w:pPr>
              <w:tabs>
                <w:tab w:val="decimal" w:pos="774"/>
              </w:tabs>
              <w:ind w:firstLine="6"/>
              <w:rPr>
                <w:bCs/>
                <w:noProof/>
                <w:color w:val="000000"/>
              </w:rPr>
            </w:pPr>
            <w:r>
              <w:rPr>
                <w:bCs/>
                <w:noProof/>
                <w:color w:val="000000"/>
              </w:rPr>
              <w:t>0,2</w:t>
            </w:r>
          </w:p>
        </w:tc>
        <w:tc>
          <w:tcPr>
            <w:tcW w:w="1870" w:type="dxa"/>
            <w:vAlign w:val="bottom"/>
          </w:tcPr>
          <w:p w:rsidR="00000000" w:rsidRDefault="00000000">
            <w:pPr>
              <w:tabs>
                <w:tab w:val="decimal" w:pos="1045"/>
              </w:tabs>
              <w:ind w:firstLine="6"/>
              <w:rPr>
                <w:bCs/>
                <w:noProof/>
                <w:color w:val="000000"/>
              </w:rPr>
            </w:pPr>
            <w:r>
              <w:rPr>
                <w:bCs/>
                <w:noProof/>
                <w:color w:val="000000"/>
              </w:rPr>
              <w:t>-</w:t>
            </w:r>
          </w:p>
        </w:tc>
        <w:tc>
          <w:tcPr>
            <w:tcW w:w="1876" w:type="dxa"/>
            <w:vAlign w:val="bottom"/>
          </w:tcPr>
          <w:p w:rsidR="00000000" w:rsidRDefault="00000000">
            <w:pPr>
              <w:tabs>
                <w:tab w:val="decimal" w:pos="855"/>
              </w:tabs>
              <w:ind w:firstLine="6"/>
              <w:rPr>
                <w:bCs/>
                <w:noProof/>
                <w:color w:val="000000"/>
              </w:rPr>
            </w:pPr>
            <w:r>
              <w:rPr>
                <w:bCs/>
                <w:noProof/>
                <w:color w:val="000000"/>
              </w:rPr>
              <w:t>-</w:t>
            </w:r>
          </w:p>
        </w:tc>
      </w:tr>
      <w:tr w:rsidR="00000000">
        <w:tblPrEx>
          <w:tblCellMar>
            <w:top w:w="0" w:type="dxa"/>
            <w:bottom w:w="0" w:type="dxa"/>
          </w:tblCellMar>
        </w:tblPrEx>
        <w:trPr>
          <w:jc w:val="center"/>
        </w:trPr>
        <w:tc>
          <w:tcPr>
            <w:tcW w:w="2073" w:type="dxa"/>
            <w:vAlign w:val="bottom"/>
          </w:tcPr>
          <w:p w:rsidR="00000000" w:rsidRDefault="00000000">
            <w:pPr>
              <w:ind w:firstLine="6"/>
              <w:rPr>
                <w:bCs/>
                <w:noProof/>
                <w:color w:val="000000"/>
              </w:rPr>
            </w:pPr>
            <w:r>
              <w:rPr>
                <w:bCs/>
                <w:noProof/>
                <w:color w:val="000000"/>
              </w:rPr>
              <w:t>11 y12</w:t>
            </w:r>
          </w:p>
        </w:tc>
        <w:tc>
          <w:tcPr>
            <w:tcW w:w="1668" w:type="dxa"/>
            <w:vAlign w:val="bottom"/>
          </w:tcPr>
          <w:p w:rsidR="00000000" w:rsidRDefault="00000000">
            <w:pPr>
              <w:tabs>
                <w:tab w:val="decimal" w:pos="944"/>
              </w:tabs>
              <w:ind w:firstLine="6"/>
              <w:rPr>
                <w:bCs/>
                <w:noProof/>
                <w:color w:val="000000"/>
              </w:rPr>
            </w:pPr>
            <w:r>
              <w:rPr>
                <w:bCs/>
                <w:noProof/>
                <w:color w:val="000000"/>
              </w:rPr>
              <w:t>183</w:t>
            </w:r>
          </w:p>
        </w:tc>
        <w:tc>
          <w:tcPr>
            <w:tcW w:w="1870" w:type="dxa"/>
            <w:vAlign w:val="bottom"/>
          </w:tcPr>
          <w:p w:rsidR="00000000" w:rsidRDefault="00000000">
            <w:pPr>
              <w:tabs>
                <w:tab w:val="decimal" w:pos="774"/>
              </w:tabs>
              <w:ind w:firstLine="6"/>
              <w:rPr>
                <w:bCs/>
                <w:noProof/>
                <w:color w:val="000000"/>
              </w:rPr>
            </w:pPr>
            <w:r>
              <w:rPr>
                <w:bCs/>
                <w:noProof/>
                <w:color w:val="000000"/>
              </w:rPr>
              <w:t>2,7</w:t>
            </w:r>
          </w:p>
        </w:tc>
        <w:tc>
          <w:tcPr>
            <w:tcW w:w="1870" w:type="dxa"/>
            <w:vAlign w:val="bottom"/>
          </w:tcPr>
          <w:p w:rsidR="00000000" w:rsidRDefault="00000000">
            <w:pPr>
              <w:tabs>
                <w:tab w:val="decimal" w:pos="1045"/>
              </w:tabs>
              <w:ind w:firstLine="6"/>
              <w:rPr>
                <w:bCs/>
                <w:noProof/>
                <w:color w:val="000000"/>
              </w:rPr>
            </w:pPr>
            <w:r>
              <w:rPr>
                <w:bCs/>
                <w:noProof/>
                <w:color w:val="000000"/>
              </w:rPr>
              <w:t>30</w:t>
            </w:r>
          </w:p>
        </w:tc>
        <w:tc>
          <w:tcPr>
            <w:tcW w:w="1876" w:type="dxa"/>
            <w:vAlign w:val="bottom"/>
          </w:tcPr>
          <w:p w:rsidR="00000000" w:rsidRDefault="00000000">
            <w:pPr>
              <w:tabs>
                <w:tab w:val="decimal" w:pos="855"/>
              </w:tabs>
              <w:ind w:firstLine="6"/>
              <w:rPr>
                <w:bCs/>
                <w:noProof/>
                <w:color w:val="000000"/>
              </w:rPr>
            </w:pPr>
            <w:r>
              <w:rPr>
                <w:bCs/>
                <w:noProof/>
                <w:color w:val="000000"/>
              </w:rPr>
              <w:t>0,5</w:t>
            </w:r>
          </w:p>
        </w:tc>
      </w:tr>
      <w:tr w:rsidR="00000000">
        <w:tblPrEx>
          <w:tblCellMar>
            <w:top w:w="0" w:type="dxa"/>
            <w:bottom w:w="0" w:type="dxa"/>
          </w:tblCellMar>
        </w:tblPrEx>
        <w:trPr>
          <w:jc w:val="center"/>
        </w:trPr>
        <w:tc>
          <w:tcPr>
            <w:tcW w:w="2073" w:type="dxa"/>
            <w:vAlign w:val="bottom"/>
          </w:tcPr>
          <w:p w:rsidR="00000000" w:rsidRDefault="00000000">
            <w:pPr>
              <w:ind w:firstLine="6"/>
              <w:rPr>
                <w:bCs/>
                <w:noProof/>
                <w:color w:val="000000"/>
              </w:rPr>
            </w:pPr>
            <w:r>
              <w:rPr>
                <w:bCs/>
                <w:noProof/>
                <w:color w:val="000000"/>
              </w:rPr>
              <w:t>13 y 14</w:t>
            </w:r>
          </w:p>
        </w:tc>
        <w:tc>
          <w:tcPr>
            <w:tcW w:w="1668" w:type="dxa"/>
            <w:vAlign w:val="bottom"/>
          </w:tcPr>
          <w:p w:rsidR="00000000" w:rsidRDefault="00000000">
            <w:pPr>
              <w:tabs>
                <w:tab w:val="decimal" w:pos="944"/>
              </w:tabs>
              <w:ind w:firstLine="6"/>
              <w:rPr>
                <w:bCs/>
                <w:noProof/>
                <w:color w:val="000000"/>
              </w:rPr>
            </w:pPr>
            <w:r>
              <w:rPr>
                <w:bCs/>
                <w:noProof/>
                <w:color w:val="000000"/>
              </w:rPr>
              <w:t>1.210</w:t>
            </w:r>
          </w:p>
        </w:tc>
        <w:tc>
          <w:tcPr>
            <w:tcW w:w="1870" w:type="dxa"/>
            <w:vAlign w:val="bottom"/>
          </w:tcPr>
          <w:p w:rsidR="00000000" w:rsidRDefault="00000000">
            <w:pPr>
              <w:tabs>
                <w:tab w:val="decimal" w:pos="774"/>
              </w:tabs>
              <w:ind w:firstLine="6"/>
              <w:rPr>
                <w:bCs/>
                <w:noProof/>
                <w:color w:val="000000"/>
              </w:rPr>
            </w:pPr>
            <w:r>
              <w:rPr>
                <w:bCs/>
                <w:noProof/>
                <w:color w:val="000000"/>
              </w:rPr>
              <w:t>18,1</w:t>
            </w:r>
          </w:p>
        </w:tc>
        <w:tc>
          <w:tcPr>
            <w:tcW w:w="1870" w:type="dxa"/>
            <w:vAlign w:val="bottom"/>
          </w:tcPr>
          <w:p w:rsidR="00000000" w:rsidRDefault="00000000">
            <w:pPr>
              <w:tabs>
                <w:tab w:val="decimal" w:pos="1045"/>
              </w:tabs>
              <w:ind w:firstLine="6"/>
              <w:rPr>
                <w:bCs/>
                <w:noProof/>
                <w:color w:val="000000"/>
              </w:rPr>
            </w:pPr>
            <w:r>
              <w:rPr>
                <w:bCs/>
                <w:noProof/>
                <w:color w:val="000000"/>
              </w:rPr>
              <w:t>748</w:t>
            </w:r>
          </w:p>
        </w:tc>
        <w:tc>
          <w:tcPr>
            <w:tcW w:w="1876" w:type="dxa"/>
            <w:vAlign w:val="bottom"/>
          </w:tcPr>
          <w:p w:rsidR="00000000" w:rsidRDefault="00000000">
            <w:pPr>
              <w:tabs>
                <w:tab w:val="decimal" w:pos="855"/>
              </w:tabs>
              <w:ind w:firstLine="6"/>
              <w:rPr>
                <w:bCs/>
                <w:noProof/>
                <w:color w:val="000000"/>
              </w:rPr>
            </w:pPr>
            <w:r>
              <w:rPr>
                <w:bCs/>
                <w:noProof/>
                <w:color w:val="000000"/>
              </w:rPr>
              <w:t>13,7</w:t>
            </w:r>
          </w:p>
        </w:tc>
      </w:tr>
      <w:tr w:rsidR="00000000">
        <w:tblPrEx>
          <w:tblCellMar>
            <w:top w:w="0" w:type="dxa"/>
            <w:bottom w:w="0" w:type="dxa"/>
          </w:tblCellMar>
        </w:tblPrEx>
        <w:trPr>
          <w:jc w:val="center"/>
        </w:trPr>
        <w:tc>
          <w:tcPr>
            <w:tcW w:w="2073" w:type="dxa"/>
            <w:vAlign w:val="bottom"/>
          </w:tcPr>
          <w:p w:rsidR="00000000" w:rsidRDefault="00000000">
            <w:pPr>
              <w:ind w:firstLine="6"/>
              <w:rPr>
                <w:bCs/>
                <w:noProof/>
                <w:color w:val="000000"/>
              </w:rPr>
            </w:pPr>
            <w:r>
              <w:rPr>
                <w:bCs/>
                <w:noProof/>
                <w:color w:val="000000"/>
              </w:rPr>
              <w:t>15 y 16</w:t>
            </w:r>
          </w:p>
        </w:tc>
        <w:tc>
          <w:tcPr>
            <w:tcW w:w="1668" w:type="dxa"/>
            <w:vAlign w:val="bottom"/>
          </w:tcPr>
          <w:p w:rsidR="00000000" w:rsidRDefault="00000000">
            <w:pPr>
              <w:tabs>
                <w:tab w:val="decimal" w:pos="944"/>
              </w:tabs>
              <w:ind w:firstLine="6"/>
              <w:rPr>
                <w:bCs/>
                <w:noProof/>
                <w:color w:val="000000"/>
              </w:rPr>
            </w:pPr>
            <w:r>
              <w:rPr>
                <w:bCs/>
                <w:noProof/>
                <w:color w:val="000000"/>
              </w:rPr>
              <w:t>2.868</w:t>
            </w:r>
          </w:p>
        </w:tc>
        <w:tc>
          <w:tcPr>
            <w:tcW w:w="1870" w:type="dxa"/>
            <w:vAlign w:val="bottom"/>
          </w:tcPr>
          <w:p w:rsidR="00000000" w:rsidRDefault="00000000">
            <w:pPr>
              <w:tabs>
                <w:tab w:val="decimal" w:pos="774"/>
              </w:tabs>
              <w:ind w:firstLine="6"/>
              <w:rPr>
                <w:bCs/>
                <w:noProof/>
                <w:color w:val="000000"/>
              </w:rPr>
            </w:pPr>
            <w:r>
              <w:rPr>
                <w:bCs/>
                <w:noProof/>
                <w:color w:val="000000"/>
              </w:rPr>
              <w:t>42,9</w:t>
            </w:r>
          </w:p>
        </w:tc>
        <w:tc>
          <w:tcPr>
            <w:tcW w:w="1870" w:type="dxa"/>
            <w:vAlign w:val="bottom"/>
          </w:tcPr>
          <w:p w:rsidR="00000000" w:rsidRDefault="00000000">
            <w:pPr>
              <w:tabs>
                <w:tab w:val="decimal" w:pos="1045"/>
              </w:tabs>
              <w:ind w:firstLine="6"/>
              <w:rPr>
                <w:bCs/>
                <w:noProof/>
                <w:color w:val="000000"/>
              </w:rPr>
            </w:pPr>
            <w:r>
              <w:rPr>
                <w:bCs/>
                <w:noProof/>
                <w:color w:val="000000"/>
              </w:rPr>
              <w:t>2.667</w:t>
            </w:r>
          </w:p>
        </w:tc>
        <w:tc>
          <w:tcPr>
            <w:tcW w:w="1876" w:type="dxa"/>
            <w:vAlign w:val="bottom"/>
          </w:tcPr>
          <w:p w:rsidR="00000000" w:rsidRDefault="00000000">
            <w:pPr>
              <w:tabs>
                <w:tab w:val="decimal" w:pos="855"/>
              </w:tabs>
              <w:ind w:firstLine="6"/>
              <w:rPr>
                <w:bCs/>
                <w:noProof/>
                <w:color w:val="000000"/>
              </w:rPr>
            </w:pPr>
            <w:r>
              <w:rPr>
                <w:bCs/>
                <w:noProof/>
                <w:color w:val="000000"/>
              </w:rPr>
              <w:t>48,8</w:t>
            </w:r>
          </w:p>
        </w:tc>
      </w:tr>
      <w:tr w:rsidR="00000000">
        <w:tblPrEx>
          <w:tblCellMar>
            <w:top w:w="0" w:type="dxa"/>
            <w:bottom w:w="0" w:type="dxa"/>
          </w:tblCellMar>
        </w:tblPrEx>
        <w:trPr>
          <w:jc w:val="center"/>
        </w:trPr>
        <w:tc>
          <w:tcPr>
            <w:tcW w:w="2073" w:type="dxa"/>
            <w:vAlign w:val="bottom"/>
          </w:tcPr>
          <w:p w:rsidR="00000000" w:rsidRDefault="00000000">
            <w:pPr>
              <w:ind w:firstLine="6"/>
              <w:rPr>
                <w:bCs/>
                <w:noProof/>
                <w:color w:val="000000"/>
              </w:rPr>
            </w:pPr>
            <w:r>
              <w:rPr>
                <w:bCs/>
                <w:noProof/>
                <w:color w:val="000000"/>
              </w:rPr>
              <w:t>17</w:t>
            </w:r>
          </w:p>
        </w:tc>
        <w:tc>
          <w:tcPr>
            <w:tcW w:w="1668" w:type="dxa"/>
            <w:vAlign w:val="bottom"/>
          </w:tcPr>
          <w:p w:rsidR="00000000" w:rsidRDefault="00000000">
            <w:pPr>
              <w:tabs>
                <w:tab w:val="decimal" w:pos="944"/>
              </w:tabs>
              <w:ind w:firstLine="6"/>
              <w:rPr>
                <w:bCs/>
                <w:noProof/>
                <w:color w:val="000000"/>
              </w:rPr>
            </w:pPr>
            <w:r>
              <w:rPr>
                <w:bCs/>
                <w:noProof/>
                <w:color w:val="000000"/>
              </w:rPr>
              <w:t>1.680</w:t>
            </w:r>
          </w:p>
        </w:tc>
        <w:tc>
          <w:tcPr>
            <w:tcW w:w="1870" w:type="dxa"/>
            <w:vAlign w:val="bottom"/>
          </w:tcPr>
          <w:p w:rsidR="00000000" w:rsidRDefault="00000000">
            <w:pPr>
              <w:tabs>
                <w:tab w:val="decimal" w:pos="774"/>
              </w:tabs>
              <w:ind w:firstLine="6"/>
              <w:rPr>
                <w:bCs/>
                <w:noProof/>
                <w:color w:val="000000"/>
              </w:rPr>
            </w:pPr>
            <w:r>
              <w:rPr>
                <w:bCs/>
                <w:noProof/>
                <w:color w:val="000000"/>
              </w:rPr>
              <w:t>25,2</w:t>
            </w:r>
          </w:p>
        </w:tc>
        <w:tc>
          <w:tcPr>
            <w:tcW w:w="1870" w:type="dxa"/>
            <w:vAlign w:val="bottom"/>
          </w:tcPr>
          <w:p w:rsidR="00000000" w:rsidRDefault="00000000">
            <w:pPr>
              <w:tabs>
                <w:tab w:val="decimal" w:pos="1045"/>
              </w:tabs>
              <w:ind w:firstLine="6"/>
              <w:rPr>
                <w:bCs/>
                <w:noProof/>
                <w:color w:val="000000"/>
              </w:rPr>
            </w:pPr>
            <w:r>
              <w:rPr>
                <w:bCs/>
                <w:noProof/>
                <w:color w:val="000000"/>
              </w:rPr>
              <w:t>1.625</w:t>
            </w:r>
          </w:p>
        </w:tc>
        <w:tc>
          <w:tcPr>
            <w:tcW w:w="1876" w:type="dxa"/>
            <w:vAlign w:val="bottom"/>
          </w:tcPr>
          <w:p w:rsidR="00000000" w:rsidRDefault="00000000">
            <w:pPr>
              <w:tabs>
                <w:tab w:val="decimal" w:pos="855"/>
              </w:tabs>
              <w:ind w:firstLine="6"/>
              <w:rPr>
                <w:bCs/>
                <w:noProof/>
                <w:color w:val="000000"/>
              </w:rPr>
            </w:pPr>
            <w:r>
              <w:rPr>
                <w:bCs/>
                <w:noProof/>
                <w:color w:val="000000"/>
              </w:rPr>
              <w:t>29,8</w:t>
            </w:r>
          </w:p>
        </w:tc>
      </w:tr>
      <w:tr w:rsidR="00000000">
        <w:tblPrEx>
          <w:tblCellMar>
            <w:top w:w="0" w:type="dxa"/>
            <w:bottom w:w="0" w:type="dxa"/>
          </w:tblCellMar>
        </w:tblPrEx>
        <w:trPr>
          <w:jc w:val="center"/>
        </w:trPr>
        <w:tc>
          <w:tcPr>
            <w:tcW w:w="2073" w:type="dxa"/>
            <w:vAlign w:val="bottom"/>
          </w:tcPr>
          <w:p w:rsidR="00000000" w:rsidRDefault="00000000">
            <w:pPr>
              <w:ind w:firstLine="6"/>
              <w:rPr>
                <w:bCs/>
                <w:noProof/>
                <w:color w:val="000000"/>
              </w:rPr>
            </w:pPr>
            <w:r>
              <w:rPr>
                <w:bCs/>
                <w:noProof/>
                <w:color w:val="000000"/>
              </w:rPr>
              <w:t>18 y más años</w:t>
            </w:r>
          </w:p>
        </w:tc>
        <w:tc>
          <w:tcPr>
            <w:tcW w:w="1668" w:type="dxa"/>
            <w:vAlign w:val="bottom"/>
          </w:tcPr>
          <w:p w:rsidR="00000000" w:rsidRDefault="00000000">
            <w:pPr>
              <w:tabs>
                <w:tab w:val="decimal" w:pos="944"/>
              </w:tabs>
              <w:ind w:firstLine="6"/>
              <w:rPr>
                <w:bCs/>
                <w:noProof/>
                <w:color w:val="000000"/>
              </w:rPr>
            </w:pPr>
            <w:r>
              <w:rPr>
                <w:bCs/>
                <w:noProof/>
                <w:color w:val="000000"/>
              </w:rPr>
              <w:t>620</w:t>
            </w:r>
          </w:p>
        </w:tc>
        <w:tc>
          <w:tcPr>
            <w:tcW w:w="1870" w:type="dxa"/>
            <w:vAlign w:val="bottom"/>
          </w:tcPr>
          <w:p w:rsidR="00000000" w:rsidRDefault="00000000">
            <w:pPr>
              <w:tabs>
                <w:tab w:val="decimal" w:pos="774"/>
              </w:tabs>
              <w:ind w:firstLine="6"/>
              <w:rPr>
                <w:bCs/>
                <w:noProof/>
                <w:color w:val="000000"/>
              </w:rPr>
            </w:pPr>
            <w:r>
              <w:rPr>
                <w:bCs/>
                <w:noProof/>
                <w:color w:val="000000"/>
              </w:rPr>
              <w:t>9,3</w:t>
            </w:r>
          </w:p>
        </w:tc>
        <w:tc>
          <w:tcPr>
            <w:tcW w:w="1870" w:type="dxa"/>
            <w:vAlign w:val="bottom"/>
          </w:tcPr>
          <w:p w:rsidR="00000000" w:rsidRDefault="00000000">
            <w:pPr>
              <w:tabs>
                <w:tab w:val="decimal" w:pos="1045"/>
              </w:tabs>
              <w:ind w:firstLine="6"/>
              <w:rPr>
                <w:bCs/>
                <w:noProof/>
                <w:color w:val="000000"/>
              </w:rPr>
            </w:pPr>
            <w:r>
              <w:rPr>
                <w:bCs/>
                <w:noProof/>
                <w:color w:val="000000"/>
              </w:rPr>
              <w:t>346</w:t>
            </w:r>
          </w:p>
        </w:tc>
        <w:tc>
          <w:tcPr>
            <w:tcW w:w="1876" w:type="dxa"/>
            <w:vAlign w:val="bottom"/>
          </w:tcPr>
          <w:p w:rsidR="00000000" w:rsidRDefault="00000000">
            <w:pPr>
              <w:tabs>
                <w:tab w:val="decimal" w:pos="855"/>
              </w:tabs>
              <w:ind w:firstLine="6"/>
              <w:rPr>
                <w:bCs/>
                <w:noProof/>
                <w:color w:val="000000"/>
              </w:rPr>
            </w:pPr>
            <w:r>
              <w:rPr>
                <w:bCs/>
                <w:noProof/>
                <w:color w:val="000000"/>
              </w:rPr>
              <w:t>6,3</w:t>
            </w:r>
          </w:p>
        </w:tc>
      </w:tr>
      <w:tr w:rsidR="00000000">
        <w:tblPrEx>
          <w:tblCellMar>
            <w:top w:w="0" w:type="dxa"/>
            <w:bottom w:w="0" w:type="dxa"/>
          </w:tblCellMar>
        </w:tblPrEx>
        <w:trPr>
          <w:jc w:val="center"/>
        </w:trPr>
        <w:tc>
          <w:tcPr>
            <w:tcW w:w="2073" w:type="dxa"/>
            <w:vAlign w:val="bottom"/>
          </w:tcPr>
          <w:p w:rsidR="00000000" w:rsidRDefault="00000000">
            <w:pPr>
              <w:ind w:firstLine="6"/>
              <w:rPr>
                <w:bCs/>
                <w:noProof/>
                <w:color w:val="000000"/>
              </w:rPr>
            </w:pPr>
            <w:r>
              <w:rPr>
                <w:bCs/>
                <w:noProof/>
                <w:color w:val="000000"/>
              </w:rPr>
              <w:t>Sin dato edad</w:t>
            </w:r>
          </w:p>
        </w:tc>
        <w:tc>
          <w:tcPr>
            <w:tcW w:w="1668" w:type="dxa"/>
            <w:vAlign w:val="bottom"/>
          </w:tcPr>
          <w:p w:rsidR="00000000" w:rsidRDefault="00000000">
            <w:pPr>
              <w:tabs>
                <w:tab w:val="decimal" w:pos="944"/>
              </w:tabs>
              <w:ind w:firstLine="6"/>
              <w:rPr>
                <w:bCs/>
                <w:noProof/>
                <w:color w:val="000000"/>
              </w:rPr>
            </w:pPr>
            <w:r>
              <w:rPr>
                <w:bCs/>
                <w:noProof/>
                <w:color w:val="000000"/>
              </w:rPr>
              <w:t>104</w:t>
            </w:r>
          </w:p>
        </w:tc>
        <w:tc>
          <w:tcPr>
            <w:tcW w:w="1870" w:type="dxa"/>
            <w:vAlign w:val="bottom"/>
          </w:tcPr>
          <w:p w:rsidR="00000000" w:rsidRDefault="00000000">
            <w:pPr>
              <w:tabs>
                <w:tab w:val="decimal" w:pos="774"/>
              </w:tabs>
              <w:ind w:firstLine="6"/>
              <w:rPr>
                <w:bCs/>
                <w:noProof/>
                <w:color w:val="000000"/>
              </w:rPr>
            </w:pPr>
            <w:r>
              <w:rPr>
                <w:bCs/>
                <w:noProof/>
                <w:color w:val="000000"/>
              </w:rPr>
              <w:t>9,3</w:t>
            </w:r>
          </w:p>
        </w:tc>
        <w:tc>
          <w:tcPr>
            <w:tcW w:w="1870" w:type="dxa"/>
            <w:vAlign w:val="bottom"/>
          </w:tcPr>
          <w:p w:rsidR="00000000" w:rsidRDefault="00000000">
            <w:pPr>
              <w:tabs>
                <w:tab w:val="decimal" w:pos="1045"/>
              </w:tabs>
              <w:ind w:firstLine="6"/>
              <w:rPr>
                <w:bCs/>
                <w:noProof/>
                <w:color w:val="000000"/>
              </w:rPr>
            </w:pPr>
            <w:r>
              <w:rPr>
                <w:bCs/>
                <w:noProof/>
                <w:color w:val="000000"/>
              </w:rPr>
              <w:t>46</w:t>
            </w:r>
          </w:p>
        </w:tc>
        <w:tc>
          <w:tcPr>
            <w:tcW w:w="1876" w:type="dxa"/>
            <w:vAlign w:val="bottom"/>
          </w:tcPr>
          <w:p w:rsidR="00000000" w:rsidRDefault="00000000">
            <w:pPr>
              <w:tabs>
                <w:tab w:val="decimal" w:pos="855"/>
              </w:tabs>
              <w:ind w:firstLine="6"/>
              <w:rPr>
                <w:bCs/>
                <w:noProof/>
                <w:color w:val="000000"/>
              </w:rPr>
            </w:pPr>
            <w:r>
              <w:rPr>
                <w:bCs/>
                <w:noProof/>
                <w:color w:val="000000"/>
              </w:rPr>
              <w:t>0,8</w:t>
            </w:r>
          </w:p>
        </w:tc>
      </w:tr>
      <w:tr w:rsidR="00000000">
        <w:tblPrEx>
          <w:tblCellMar>
            <w:top w:w="0" w:type="dxa"/>
            <w:bottom w:w="0" w:type="dxa"/>
          </w:tblCellMar>
        </w:tblPrEx>
        <w:trPr>
          <w:jc w:val="center"/>
        </w:trPr>
        <w:tc>
          <w:tcPr>
            <w:tcW w:w="2073" w:type="dxa"/>
            <w:vAlign w:val="bottom"/>
          </w:tcPr>
          <w:p w:rsidR="00000000" w:rsidRDefault="00000000">
            <w:pPr>
              <w:tabs>
                <w:tab w:val="left" w:pos="481"/>
              </w:tabs>
              <w:ind w:firstLine="6"/>
              <w:rPr>
                <w:bCs/>
                <w:noProof/>
                <w:color w:val="000000"/>
              </w:rPr>
            </w:pPr>
            <w:r>
              <w:rPr>
                <w:bCs/>
                <w:noProof/>
                <w:color w:val="000000"/>
              </w:rPr>
              <w:tab/>
              <w:t>Total</w:t>
            </w:r>
          </w:p>
        </w:tc>
        <w:tc>
          <w:tcPr>
            <w:tcW w:w="1668" w:type="dxa"/>
            <w:vAlign w:val="bottom"/>
          </w:tcPr>
          <w:p w:rsidR="00000000" w:rsidRDefault="00000000">
            <w:pPr>
              <w:tabs>
                <w:tab w:val="decimal" w:pos="944"/>
              </w:tabs>
              <w:ind w:firstLine="6"/>
              <w:rPr>
                <w:bCs/>
                <w:noProof/>
                <w:color w:val="000000"/>
              </w:rPr>
            </w:pPr>
            <w:r>
              <w:rPr>
                <w:bCs/>
                <w:noProof/>
                <w:color w:val="000000"/>
              </w:rPr>
              <w:t>6.679</w:t>
            </w:r>
          </w:p>
        </w:tc>
        <w:tc>
          <w:tcPr>
            <w:tcW w:w="1870" w:type="dxa"/>
            <w:vAlign w:val="bottom"/>
          </w:tcPr>
          <w:p w:rsidR="00000000" w:rsidRDefault="00000000">
            <w:pPr>
              <w:tabs>
                <w:tab w:val="decimal" w:pos="774"/>
              </w:tabs>
              <w:ind w:firstLine="6"/>
              <w:rPr>
                <w:bCs/>
                <w:noProof/>
                <w:color w:val="000000"/>
              </w:rPr>
            </w:pPr>
            <w:r>
              <w:rPr>
                <w:bCs/>
                <w:noProof/>
                <w:color w:val="000000"/>
              </w:rPr>
              <w:t>1,6</w:t>
            </w:r>
          </w:p>
        </w:tc>
        <w:tc>
          <w:tcPr>
            <w:tcW w:w="1870" w:type="dxa"/>
            <w:vAlign w:val="bottom"/>
          </w:tcPr>
          <w:p w:rsidR="00000000" w:rsidRDefault="00000000">
            <w:pPr>
              <w:tabs>
                <w:tab w:val="decimal" w:pos="1045"/>
              </w:tabs>
              <w:ind w:firstLine="6"/>
              <w:rPr>
                <w:bCs/>
                <w:noProof/>
                <w:color w:val="000000"/>
              </w:rPr>
            </w:pPr>
            <w:r>
              <w:rPr>
                <w:bCs/>
                <w:noProof/>
                <w:color w:val="000000"/>
              </w:rPr>
              <w:t>5.462</w:t>
            </w:r>
          </w:p>
        </w:tc>
        <w:tc>
          <w:tcPr>
            <w:tcW w:w="1876" w:type="dxa"/>
            <w:vAlign w:val="bottom"/>
          </w:tcPr>
          <w:p w:rsidR="00000000" w:rsidRDefault="00000000">
            <w:pPr>
              <w:tabs>
                <w:tab w:val="decimal" w:pos="855"/>
              </w:tabs>
              <w:ind w:firstLine="6"/>
              <w:rPr>
                <w:bCs/>
                <w:noProof/>
                <w:color w:val="000000"/>
              </w:rPr>
            </w:pPr>
            <w:r>
              <w:rPr>
                <w:bCs/>
                <w:noProof/>
                <w:color w:val="000000"/>
              </w:rPr>
              <w:t>100,0</w:t>
            </w:r>
          </w:p>
        </w:tc>
      </w:tr>
    </w:tbl>
    <w:p w:rsidR="00000000" w:rsidRDefault="00000000">
      <w:pPr>
        <w:spacing w:before="240" w:after="480"/>
        <w:rPr>
          <w:bCs/>
          <w:noProof/>
          <w:color w:val="000000"/>
        </w:rPr>
      </w:pPr>
      <w:r>
        <w:rPr>
          <w:bCs/>
          <w:i/>
          <w:iCs/>
          <w:noProof/>
          <w:color w:val="000000"/>
        </w:rPr>
        <w:t>Fuente</w:t>
      </w:r>
      <w:r>
        <w:rPr>
          <w:bCs/>
          <w:noProof/>
          <w:color w:val="000000"/>
        </w:rPr>
        <w:t>:  SENAME, 2004.</w:t>
      </w:r>
    </w:p>
    <w:p w:rsidR="00000000" w:rsidRDefault="00000000">
      <w:pPr>
        <w:spacing w:after="240"/>
        <w:ind w:left="-4" w:firstLine="4"/>
        <w:jc w:val="center"/>
        <w:outlineLvl w:val="0"/>
        <w:rPr>
          <w:b/>
          <w:noProof/>
          <w:color w:val="000000"/>
        </w:rPr>
      </w:pPr>
      <w:r>
        <w:rPr>
          <w:b/>
          <w:noProof/>
          <w:color w:val="000000"/>
        </w:rPr>
        <w:t>Cuadro 55</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ind w:left="-4" w:firstLine="4"/>
        <w:jc w:val="center"/>
        <w:rPr>
          <w:bCs/>
          <w:noProof/>
          <w:color w:val="000000"/>
        </w:rPr>
      </w:pPr>
      <w:r>
        <w:rPr>
          <w:b/>
          <w:noProof/>
          <w:color w:val="000000"/>
        </w:rPr>
        <w:t>Niños, niñas y adolescentes del área de responsabilidad juvenil,</w:t>
      </w:r>
      <w:r>
        <w:rPr>
          <w:b/>
          <w:noProof/>
          <w:color w:val="000000"/>
        </w:rPr>
        <w:br/>
        <w:t>según edad, 2003</w:t>
      </w:r>
    </w:p>
    <w:tbl>
      <w:tblPr>
        <w:tblW w:w="0" w:type="auto"/>
        <w:jc w:val="center"/>
        <w:tblInd w:w="1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760"/>
        <w:gridCol w:w="2164"/>
        <w:gridCol w:w="1988"/>
      </w:tblGrid>
      <w:tr w:rsidR="00000000">
        <w:tblPrEx>
          <w:tblCellMar>
            <w:top w:w="0" w:type="dxa"/>
            <w:bottom w:w="0" w:type="dxa"/>
          </w:tblCellMar>
        </w:tblPrEx>
        <w:trPr>
          <w:jc w:val="center"/>
        </w:trPr>
        <w:tc>
          <w:tcPr>
            <w:tcW w:w="2760" w:type="dxa"/>
          </w:tcPr>
          <w:p w:rsidR="00000000" w:rsidRDefault="00000000">
            <w:pPr>
              <w:ind w:firstLine="6"/>
              <w:jc w:val="center"/>
              <w:rPr>
                <w:b/>
                <w:noProof/>
                <w:color w:val="000000"/>
              </w:rPr>
            </w:pPr>
            <w:r>
              <w:rPr>
                <w:b/>
                <w:noProof/>
                <w:color w:val="000000"/>
              </w:rPr>
              <w:t>Edad</w:t>
            </w:r>
          </w:p>
        </w:tc>
        <w:tc>
          <w:tcPr>
            <w:tcW w:w="2164" w:type="dxa"/>
          </w:tcPr>
          <w:p w:rsidR="00000000" w:rsidRDefault="00000000">
            <w:pPr>
              <w:ind w:firstLine="6"/>
              <w:jc w:val="center"/>
              <w:rPr>
                <w:b/>
                <w:noProof/>
                <w:color w:val="000000"/>
              </w:rPr>
            </w:pPr>
            <w:r>
              <w:rPr>
                <w:b/>
                <w:noProof/>
                <w:color w:val="000000"/>
              </w:rPr>
              <w:t>Total</w:t>
            </w:r>
          </w:p>
        </w:tc>
        <w:tc>
          <w:tcPr>
            <w:tcW w:w="1988" w:type="dxa"/>
          </w:tcPr>
          <w:p w:rsidR="00000000" w:rsidRDefault="00000000">
            <w:pPr>
              <w:ind w:firstLine="6"/>
              <w:jc w:val="center"/>
              <w:rPr>
                <w:b/>
                <w:noProof/>
                <w:color w:val="000000"/>
              </w:rPr>
            </w:pPr>
            <w:r>
              <w:rPr>
                <w:b/>
                <w:noProof/>
                <w:color w:val="000000"/>
              </w:rPr>
              <w:t>Porcentaje</w:t>
            </w:r>
          </w:p>
        </w:tc>
      </w:tr>
      <w:tr w:rsidR="00000000">
        <w:tblPrEx>
          <w:tblCellMar>
            <w:top w:w="0" w:type="dxa"/>
            <w:bottom w:w="0" w:type="dxa"/>
          </w:tblCellMar>
        </w:tblPrEx>
        <w:trPr>
          <w:jc w:val="center"/>
        </w:trPr>
        <w:tc>
          <w:tcPr>
            <w:tcW w:w="2760" w:type="dxa"/>
          </w:tcPr>
          <w:p w:rsidR="00000000" w:rsidRDefault="00000000">
            <w:pPr>
              <w:ind w:firstLine="6"/>
              <w:rPr>
                <w:bCs/>
                <w:noProof/>
                <w:color w:val="000000"/>
              </w:rPr>
            </w:pPr>
            <w:r>
              <w:rPr>
                <w:bCs/>
                <w:noProof/>
                <w:color w:val="000000"/>
              </w:rPr>
              <w:t>10 y 11</w:t>
            </w:r>
          </w:p>
        </w:tc>
        <w:tc>
          <w:tcPr>
            <w:tcW w:w="2164" w:type="dxa"/>
          </w:tcPr>
          <w:p w:rsidR="00000000" w:rsidRDefault="00000000">
            <w:pPr>
              <w:tabs>
                <w:tab w:val="decimal" w:pos="1219"/>
              </w:tabs>
              <w:ind w:firstLine="6"/>
              <w:rPr>
                <w:bCs/>
                <w:noProof/>
                <w:color w:val="000000"/>
              </w:rPr>
            </w:pPr>
            <w:r>
              <w:rPr>
                <w:bCs/>
                <w:noProof/>
                <w:color w:val="000000"/>
              </w:rPr>
              <w:t>1</w:t>
            </w:r>
          </w:p>
        </w:tc>
        <w:tc>
          <w:tcPr>
            <w:tcW w:w="1988" w:type="dxa"/>
          </w:tcPr>
          <w:p w:rsidR="00000000" w:rsidRDefault="00000000">
            <w:pPr>
              <w:tabs>
                <w:tab w:val="decimal" w:pos="902"/>
              </w:tabs>
              <w:ind w:firstLine="6"/>
              <w:rPr>
                <w:bCs/>
                <w:noProof/>
                <w:color w:val="000000"/>
              </w:rPr>
            </w:pPr>
            <w:r>
              <w:rPr>
                <w:bCs/>
                <w:noProof/>
                <w:color w:val="000000"/>
              </w:rPr>
              <w:t>0,</w:t>
            </w:r>
          </w:p>
        </w:tc>
      </w:tr>
      <w:tr w:rsidR="00000000">
        <w:tblPrEx>
          <w:tblCellMar>
            <w:top w:w="0" w:type="dxa"/>
            <w:bottom w:w="0" w:type="dxa"/>
          </w:tblCellMar>
        </w:tblPrEx>
        <w:trPr>
          <w:jc w:val="center"/>
        </w:trPr>
        <w:tc>
          <w:tcPr>
            <w:tcW w:w="2760" w:type="dxa"/>
          </w:tcPr>
          <w:p w:rsidR="00000000" w:rsidRDefault="00000000">
            <w:pPr>
              <w:ind w:firstLine="6"/>
              <w:rPr>
                <w:bCs/>
                <w:noProof/>
                <w:color w:val="000000"/>
              </w:rPr>
            </w:pPr>
            <w:r>
              <w:rPr>
                <w:bCs/>
                <w:noProof/>
                <w:color w:val="000000"/>
              </w:rPr>
              <w:t>12 y 13</w:t>
            </w:r>
          </w:p>
        </w:tc>
        <w:tc>
          <w:tcPr>
            <w:tcW w:w="2164" w:type="dxa"/>
          </w:tcPr>
          <w:p w:rsidR="00000000" w:rsidRDefault="00000000">
            <w:pPr>
              <w:tabs>
                <w:tab w:val="decimal" w:pos="1219"/>
              </w:tabs>
              <w:ind w:firstLine="6"/>
              <w:rPr>
                <w:bCs/>
                <w:noProof/>
                <w:color w:val="000000"/>
              </w:rPr>
            </w:pPr>
            <w:r>
              <w:rPr>
                <w:bCs/>
                <w:noProof/>
                <w:color w:val="000000"/>
              </w:rPr>
              <w:t>74</w:t>
            </w:r>
          </w:p>
        </w:tc>
        <w:tc>
          <w:tcPr>
            <w:tcW w:w="1988" w:type="dxa"/>
          </w:tcPr>
          <w:p w:rsidR="00000000" w:rsidRDefault="00000000">
            <w:pPr>
              <w:tabs>
                <w:tab w:val="decimal" w:pos="902"/>
              </w:tabs>
              <w:ind w:firstLine="6"/>
              <w:rPr>
                <w:bCs/>
                <w:noProof/>
                <w:color w:val="000000"/>
              </w:rPr>
            </w:pPr>
            <w:r>
              <w:rPr>
                <w:bCs/>
                <w:noProof/>
                <w:color w:val="000000"/>
              </w:rPr>
              <w:t>1,4</w:t>
            </w:r>
          </w:p>
        </w:tc>
      </w:tr>
      <w:tr w:rsidR="00000000">
        <w:tblPrEx>
          <w:tblCellMar>
            <w:top w:w="0" w:type="dxa"/>
            <w:bottom w:w="0" w:type="dxa"/>
          </w:tblCellMar>
        </w:tblPrEx>
        <w:trPr>
          <w:jc w:val="center"/>
        </w:trPr>
        <w:tc>
          <w:tcPr>
            <w:tcW w:w="2760" w:type="dxa"/>
          </w:tcPr>
          <w:p w:rsidR="00000000" w:rsidRDefault="00000000">
            <w:pPr>
              <w:ind w:firstLine="6"/>
              <w:rPr>
                <w:bCs/>
                <w:noProof/>
                <w:color w:val="000000"/>
              </w:rPr>
            </w:pPr>
            <w:r>
              <w:rPr>
                <w:bCs/>
                <w:noProof/>
                <w:color w:val="000000"/>
              </w:rPr>
              <w:t>14 y 15</w:t>
            </w:r>
          </w:p>
        </w:tc>
        <w:tc>
          <w:tcPr>
            <w:tcW w:w="2164" w:type="dxa"/>
          </w:tcPr>
          <w:p w:rsidR="00000000" w:rsidRDefault="00000000">
            <w:pPr>
              <w:tabs>
                <w:tab w:val="decimal" w:pos="1219"/>
              </w:tabs>
              <w:ind w:firstLine="6"/>
              <w:rPr>
                <w:bCs/>
                <w:noProof/>
                <w:color w:val="000000"/>
              </w:rPr>
            </w:pPr>
            <w:r>
              <w:rPr>
                <w:bCs/>
                <w:noProof/>
                <w:color w:val="000000"/>
              </w:rPr>
              <w:t>1.713</w:t>
            </w:r>
          </w:p>
        </w:tc>
        <w:tc>
          <w:tcPr>
            <w:tcW w:w="1988" w:type="dxa"/>
          </w:tcPr>
          <w:p w:rsidR="00000000" w:rsidRDefault="00000000">
            <w:pPr>
              <w:tabs>
                <w:tab w:val="decimal" w:pos="902"/>
              </w:tabs>
              <w:ind w:firstLine="6"/>
              <w:rPr>
                <w:bCs/>
                <w:noProof/>
                <w:color w:val="000000"/>
              </w:rPr>
            </w:pPr>
            <w:r>
              <w:rPr>
                <w:bCs/>
                <w:noProof/>
                <w:color w:val="000000"/>
              </w:rPr>
              <w:t>32,8</w:t>
            </w:r>
          </w:p>
        </w:tc>
      </w:tr>
      <w:tr w:rsidR="00000000">
        <w:tblPrEx>
          <w:tblCellMar>
            <w:top w:w="0" w:type="dxa"/>
            <w:bottom w:w="0" w:type="dxa"/>
          </w:tblCellMar>
        </w:tblPrEx>
        <w:trPr>
          <w:jc w:val="center"/>
        </w:trPr>
        <w:tc>
          <w:tcPr>
            <w:tcW w:w="2760" w:type="dxa"/>
          </w:tcPr>
          <w:p w:rsidR="00000000" w:rsidRDefault="00000000">
            <w:pPr>
              <w:ind w:firstLine="6"/>
              <w:rPr>
                <w:bCs/>
                <w:noProof/>
                <w:color w:val="000000"/>
              </w:rPr>
            </w:pPr>
            <w:r>
              <w:rPr>
                <w:bCs/>
                <w:noProof/>
                <w:color w:val="000000"/>
              </w:rPr>
              <w:t>16 y 17</w:t>
            </w:r>
          </w:p>
        </w:tc>
        <w:tc>
          <w:tcPr>
            <w:tcW w:w="2164" w:type="dxa"/>
          </w:tcPr>
          <w:p w:rsidR="00000000" w:rsidRDefault="00000000">
            <w:pPr>
              <w:tabs>
                <w:tab w:val="decimal" w:pos="1219"/>
              </w:tabs>
              <w:ind w:firstLine="6"/>
              <w:rPr>
                <w:bCs/>
                <w:noProof/>
                <w:color w:val="000000"/>
              </w:rPr>
            </w:pPr>
            <w:r>
              <w:rPr>
                <w:bCs/>
                <w:noProof/>
                <w:color w:val="000000"/>
              </w:rPr>
              <w:t>3.070</w:t>
            </w:r>
          </w:p>
        </w:tc>
        <w:tc>
          <w:tcPr>
            <w:tcW w:w="1988" w:type="dxa"/>
          </w:tcPr>
          <w:p w:rsidR="00000000" w:rsidRDefault="00000000">
            <w:pPr>
              <w:tabs>
                <w:tab w:val="decimal" w:pos="902"/>
              </w:tabs>
              <w:ind w:firstLine="6"/>
              <w:rPr>
                <w:bCs/>
                <w:noProof/>
                <w:color w:val="000000"/>
              </w:rPr>
            </w:pPr>
            <w:r>
              <w:rPr>
                <w:bCs/>
                <w:noProof/>
                <w:color w:val="000000"/>
              </w:rPr>
              <w:t>58,7</w:t>
            </w:r>
          </w:p>
        </w:tc>
      </w:tr>
      <w:tr w:rsidR="00000000">
        <w:tblPrEx>
          <w:tblCellMar>
            <w:top w:w="0" w:type="dxa"/>
            <w:bottom w:w="0" w:type="dxa"/>
          </w:tblCellMar>
        </w:tblPrEx>
        <w:trPr>
          <w:jc w:val="center"/>
        </w:trPr>
        <w:tc>
          <w:tcPr>
            <w:tcW w:w="2760" w:type="dxa"/>
          </w:tcPr>
          <w:p w:rsidR="00000000" w:rsidRDefault="00000000">
            <w:pPr>
              <w:ind w:firstLine="6"/>
              <w:rPr>
                <w:bCs/>
                <w:noProof/>
                <w:color w:val="000000"/>
              </w:rPr>
            </w:pPr>
            <w:r>
              <w:rPr>
                <w:bCs/>
                <w:noProof/>
                <w:color w:val="000000"/>
              </w:rPr>
              <w:t>18 y más años</w:t>
            </w:r>
          </w:p>
        </w:tc>
        <w:tc>
          <w:tcPr>
            <w:tcW w:w="2164" w:type="dxa"/>
          </w:tcPr>
          <w:p w:rsidR="00000000" w:rsidRDefault="00000000">
            <w:pPr>
              <w:tabs>
                <w:tab w:val="decimal" w:pos="1219"/>
              </w:tabs>
              <w:ind w:firstLine="6"/>
              <w:rPr>
                <w:bCs/>
                <w:noProof/>
                <w:color w:val="000000"/>
              </w:rPr>
            </w:pPr>
            <w:r>
              <w:rPr>
                <w:bCs/>
                <w:noProof/>
                <w:color w:val="000000"/>
              </w:rPr>
              <w:t>362</w:t>
            </w:r>
          </w:p>
        </w:tc>
        <w:tc>
          <w:tcPr>
            <w:tcW w:w="1988" w:type="dxa"/>
          </w:tcPr>
          <w:p w:rsidR="00000000" w:rsidRDefault="00000000">
            <w:pPr>
              <w:tabs>
                <w:tab w:val="decimal" w:pos="902"/>
              </w:tabs>
              <w:ind w:firstLine="6"/>
              <w:rPr>
                <w:bCs/>
                <w:noProof/>
                <w:color w:val="000000"/>
              </w:rPr>
            </w:pPr>
            <w:r>
              <w:rPr>
                <w:bCs/>
                <w:noProof/>
                <w:color w:val="000000"/>
              </w:rPr>
              <w:t>6,9</w:t>
            </w:r>
          </w:p>
        </w:tc>
      </w:tr>
      <w:tr w:rsidR="00000000">
        <w:tblPrEx>
          <w:tblCellMar>
            <w:top w:w="0" w:type="dxa"/>
            <w:bottom w:w="0" w:type="dxa"/>
          </w:tblCellMar>
        </w:tblPrEx>
        <w:trPr>
          <w:jc w:val="center"/>
        </w:trPr>
        <w:tc>
          <w:tcPr>
            <w:tcW w:w="2760" w:type="dxa"/>
          </w:tcPr>
          <w:p w:rsidR="00000000" w:rsidRDefault="00000000">
            <w:pPr>
              <w:ind w:firstLine="6"/>
              <w:rPr>
                <w:bCs/>
                <w:noProof/>
                <w:color w:val="000000"/>
              </w:rPr>
            </w:pPr>
            <w:r>
              <w:rPr>
                <w:bCs/>
                <w:noProof/>
                <w:color w:val="000000"/>
              </w:rPr>
              <w:t>Sin información</w:t>
            </w:r>
          </w:p>
        </w:tc>
        <w:tc>
          <w:tcPr>
            <w:tcW w:w="2164" w:type="dxa"/>
          </w:tcPr>
          <w:p w:rsidR="00000000" w:rsidRDefault="00000000">
            <w:pPr>
              <w:tabs>
                <w:tab w:val="decimal" w:pos="1219"/>
              </w:tabs>
              <w:ind w:firstLine="6"/>
              <w:rPr>
                <w:bCs/>
                <w:noProof/>
                <w:color w:val="000000"/>
              </w:rPr>
            </w:pPr>
            <w:r>
              <w:rPr>
                <w:bCs/>
                <w:noProof/>
                <w:color w:val="000000"/>
              </w:rPr>
              <w:t>8</w:t>
            </w:r>
          </w:p>
        </w:tc>
        <w:tc>
          <w:tcPr>
            <w:tcW w:w="1988" w:type="dxa"/>
          </w:tcPr>
          <w:p w:rsidR="00000000" w:rsidRDefault="00000000">
            <w:pPr>
              <w:tabs>
                <w:tab w:val="decimal" w:pos="902"/>
              </w:tabs>
              <w:ind w:firstLine="6"/>
              <w:rPr>
                <w:bCs/>
                <w:noProof/>
                <w:color w:val="000000"/>
              </w:rPr>
            </w:pPr>
            <w:r>
              <w:rPr>
                <w:bCs/>
                <w:noProof/>
                <w:color w:val="000000"/>
              </w:rPr>
              <w:t>0,2</w:t>
            </w:r>
          </w:p>
        </w:tc>
      </w:tr>
      <w:tr w:rsidR="00000000">
        <w:tblPrEx>
          <w:tblCellMar>
            <w:top w:w="0" w:type="dxa"/>
            <w:bottom w:w="0" w:type="dxa"/>
          </w:tblCellMar>
        </w:tblPrEx>
        <w:trPr>
          <w:jc w:val="center"/>
        </w:trPr>
        <w:tc>
          <w:tcPr>
            <w:tcW w:w="2760" w:type="dxa"/>
          </w:tcPr>
          <w:p w:rsidR="00000000" w:rsidRDefault="00000000">
            <w:pPr>
              <w:tabs>
                <w:tab w:val="left" w:pos="409"/>
              </w:tabs>
              <w:ind w:firstLine="6"/>
              <w:rPr>
                <w:bCs/>
                <w:noProof/>
                <w:color w:val="000000"/>
              </w:rPr>
            </w:pPr>
            <w:r>
              <w:rPr>
                <w:bCs/>
                <w:noProof/>
                <w:color w:val="000000"/>
              </w:rPr>
              <w:tab/>
              <w:t>Total</w:t>
            </w:r>
          </w:p>
        </w:tc>
        <w:tc>
          <w:tcPr>
            <w:tcW w:w="2164" w:type="dxa"/>
          </w:tcPr>
          <w:p w:rsidR="00000000" w:rsidRDefault="00000000">
            <w:pPr>
              <w:tabs>
                <w:tab w:val="decimal" w:pos="1219"/>
              </w:tabs>
              <w:ind w:firstLine="6"/>
              <w:rPr>
                <w:bCs/>
                <w:noProof/>
                <w:color w:val="000000"/>
              </w:rPr>
            </w:pPr>
            <w:r>
              <w:rPr>
                <w:bCs/>
                <w:noProof/>
                <w:color w:val="000000"/>
              </w:rPr>
              <w:t>5.228</w:t>
            </w:r>
          </w:p>
        </w:tc>
        <w:tc>
          <w:tcPr>
            <w:tcW w:w="1988" w:type="dxa"/>
          </w:tcPr>
          <w:p w:rsidR="00000000" w:rsidRDefault="00000000">
            <w:pPr>
              <w:tabs>
                <w:tab w:val="decimal" w:pos="902"/>
              </w:tabs>
              <w:ind w:firstLine="6"/>
              <w:rPr>
                <w:bCs/>
                <w:noProof/>
                <w:color w:val="000000"/>
              </w:rPr>
            </w:pPr>
            <w:r>
              <w:rPr>
                <w:bCs/>
                <w:noProof/>
                <w:color w:val="000000"/>
              </w:rPr>
              <w:t>100,0</w:t>
            </w:r>
          </w:p>
        </w:tc>
      </w:tr>
    </w:tbl>
    <w:p w:rsidR="00000000" w:rsidRDefault="00000000">
      <w:pPr>
        <w:tabs>
          <w:tab w:val="left" w:pos="1200"/>
        </w:tabs>
        <w:spacing w:before="240" w:after="480"/>
        <w:ind w:left="-6" w:firstLine="6"/>
        <w:rPr>
          <w:bCs/>
          <w:noProof/>
          <w:color w:val="000000"/>
        </w:rPr>
      </w:pPr>
      <w:r>
        <w:rPr>
          <w:bCs/>
          <w:noProof/>
          <w:color w:val="000000"/>
        </w:rPr>
        <w:tab/>
      </w:r>
      <w:r>
        <w:rPr>
          <w:bCs/>
          <w:i/>
          <w:iCs/>
          <w:noProof/>
          <w:color w:val="000000"/>
        </w:rPr>
        <w:t>Fuente</w:t>
      </w:r>
      <w:r>
        <w:rPr>
          <w:bCs/>
          <w:noProof/>
          <w:color w:val="000000"/>
        </w:rPr>
        <w:t>:  SENAME, 2004.</w:t>
      </w:r>
    </w:p>
    <w:p w:rsidR="00000000" w:rsidRDefault="00000000">
      <w:pPr>
        <w:spacing w:after="220"/>
        <w:jc w:val="center"/>
        <w:outlineLvl w:val="0"/>
        <w:rPr>
          <w:b/>
          <w:noProof/>
          <w:color w:val="000000"/>
        </w:rPr>
      </w:pPr>
      <w:r>
        <w:rPr>
          <w:b/>
          <w:noProof/>
          <w:color w:val="000000"/>
        </w:rPr>
        <w:t>Cuadro 56</w:t>
      </w:r>
    </w:p>
    <w:p w:rsidR="00000000" w:rsidRDefault="00000000">
      <w:pPr>
        <w:spacing w:after="220"/>
        <w:ind w:left="-6" w:firstLine="6"/>
        <w:jc w:val="center"/>
        <w:rPr>
          <w:bCs/>
          <w:noProof/>
          <w:color w:val="000000"/>
        </w:rPr>
      </w:pPr>
      <w:r>
        <w:rPr>
          <w:b/>
          <w:noProof/>
          <w:color w:val="000000"/>
        </w:rPr>
        <w:t>Niños, niñas y adolescentes del área de responsabilidad juvenil,</w:t>
      </w:r>
      <w:r>
        <w:rPr>
          <w:b/>
          <w:noProof/>
          <w:color w:val="000000"/>
        </w:rPr>
        <w:br/>
        <w:t>según región, 2001-2003</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681"/>
        <w:gridCol w:w="1162"/>
        <w:gridCol w:w="1358"/>
        <w:gridCol w:w="1139"/>
        <w:gridCol w:w="1381"/>
        <w:gridCol w:w="1217"/>
        <w:gridCol w:w="1418"/>
      </w:tblGrid>
      <w:tr w:rsidR="00000000">
        <w:tblPrEx>
          <w:tblCellMar>
            <w:top w:w="0" w:type="dxa"/>
            <w:bottom w:w="0" w:type="dxa"/>
          </w:tblCellMar>
        </w:tblPrEx>
        <w:trPr>
          <w:cantSplit/>
          <w:jc w:val="center"/>
        </w:trPr>
        <w:tc>
          <w:tcPr>
            <w:tcW w:w="1681" w:type="dxa"/>
            <w:vMerge w:val="restart"/>
            <w:vAlign w:val="center"/>
          </w:tcPr>
          <w:p w:rsidR="00000000" w:rsidRDefault="00000000">
            <w:pPr>
              <w:ind w:firstLine="4"/>
              <w:jc w:val="center"/>
              <w:rPr>
                <w:b/>
                <w:noProof/>
                <w:color w:val="000000"/>
              </w:rPr>
            </w:pPr>
            <w:r>
              <w:rPr>
                <w:b/>
                <w:noProof/>
                <w:color w:val="000000"/>
              </w:rPr>
              <w:t>Regiones</w:t>
            </w:r>
          </w:p>
        </w:tc>
        <w:tc>
          <w:tcPr>
            <w:tcW w:w="2520" w:type="dxa"/>
            <w:gridSpan w:val="2"/>
          </w:tcPr>
          <w:p w:rsidR="00000000" w:rsidRDefault="00000000">
            <w:pPr>
              <w:ind w:firstLine="6"/>
              <w:jc w:val="center"/>
              <w:rPr>
                <w:b/>
                <w:noProof/>
                <w:color w:val="000000"/>
              </w:rPr>
            </w:pPr>
            <w:r>
              <w:rPr>
                <w:b/>
                <w:noProof/>
                <w:color w:val="000000"/>
              </w:rPr>
              <w:t>2001</w:t>
            </w:r>
          </w:p>
        </w:tc>
        <w:tc>
          <w:tcPr>
            <w:tcW w:w="2520" w:type="dxa"/>
            <w:gridSpan w:val="2"/>
          </w:tcPr>
          <w:p w:rsidR="00000000" w:rsidRDefault="00000000">
            <w:pPr>
              <w:ind w:firstLine="6"/>
              <w:jc w:val="center"/>
              <w:rPr>
                <w:b/>
                <w:noProof/>
                <w:color w:val="000000"/>
              </w:rPr>
            </w:pPr>
            <w:r>
              <w:rPr>
                <w:b/>
                <w:noProof/>
                <w:color w:val="000000"/>
              </w:rPr>
              <w:t>2002</w:t>
            </w:r>
          </w:p>
        </w:tc>
        <w:tc>
          <w:tcPr>
            <w:tcW w:w="2635" w:type="dxa"/>
            <w:gridSpan w:val="2"/>
          </w:tcPr>
          <w:p w:rsidR="00000000" w:rsidRDefault="00000000">
            <w:pPr>
              <w:ind w:firstLine="6"/>
              <w:jc w:val="center"/>
              <w:rPr>
                <w:b/>
                <w:noProof/>
                <w:color w:val="000000"/>
              </w:rPr>
            </w:pPr>
            <w:r>
              <w:rPr>
                <w:b/>
                <w:noProof/>
                <w:color w:val="000000"/>
              </w:rPr>
              <w:t>2003</w:t>
            </w:r>
          </w:p>
        </w:tc>
      </w:tr>
      <w:tr w:rsidR="00000000">
        <w:tblPrEx>
          <w:tblCellMar>
            <w:top w:w="0" w:type="dxa"/>
            <w:bottom w:w="0" w:type="dxa"/>
          </w:tblCellMar>
        </w:tblPrEx>
        <w:trPr>
          <w:cantSplit/>
          <w:jc w:val="center"/>
        </w:trPr>
        <w:tc>
          <w:tcPr>
            <w:tcW w:w="1681" w:type="dxa"/>
            <w:vMerge/>
          </w:tcPr>
          <w:p w:rsidR="00000000" w:rsidRDefault="00000000">
            <w:pPr>
              <w:ind w:firstLine="4"/>
              <w:rPr>
                <w:b/>
                <w:noProof/>
                <w:color w:val="000000"/>
              </w:rPr>
            </w:pPr>
          </w:p>
        </w:tc>
        <w:tc>
          <w:tcPr>
            <w:tcW w:w="1162" w:type="dxa"/>
            <w:vAlign w:val="center"/>
          </w:tcPr>
          <w:p w:rsidR="00000000" w:rsidRDefault="00000000">
            <w:pPr>
              <w:keepNext/>
              <w:keepLines/>
              <w:jc w:val="center"/>
              <w:rPr>
                <w:b/>
                <w:noProof/>
                <w:color w:val="000000"/>
              </w:rPr>
            </w:pPr>
            <w:r>
              <w:rPr>
                <w:b/>
                <w:noProof/>
                <w:color w:val="000000"/>
              </w:rPr>
              <w:t>Número</w:t>
            </w:r>
          </w:p>
        </w:tc>
        <w:tc>
          <w:tcPr>
            <w:tcW w:w="1358" w:type="dxa"/>
            <w:vAlign w:val="center"/>
          </w:tcPr>
          <w:p w:rsidR="00000000" w:rsidRDefault="00000000">
            <w:pPr>
              <w:keepNext/>
              <w:keepLines/>
              <w:jc w:val="center"/>
              <w:rPr>
                <w:b/>
                <w:noProof/>
                <w:color w:val="000000"/>
              </w:rPr>
            </w:pPr>
            <w:r>
              <w:rPr>
                <w:b/>
                <w:noProof/>
                <w:color w:val="000000"/>
              </w:rPr>
              <w:t>Porcentaje</w:t>
            </w:r>
          </w:p>
        </w:tc>
        <w:tc>
          <w:tcPr>
            <w:tcW w:w="1139" w:type="dxa"/>
            <w:vAlign w:val="center"/>
          </w:tcPr>
          <w:p w:rsidR="00000000" w:rsidRDefault="00000000">
            <w:pPr>
              <w:keepNext/>
              <w:keepLines/>
              <w:jc w:val="center"/>
              <w:rPr>
                <w:b/>
                <w:noProof/>
                <w:color w:val="000000"/>
              </w:rPr>
            </w:pPr>
            <w:r>
              <w:rPr>
                <w:b/>
                <w:noProof/>
                <w:color w:val="000000"/>
              </w:rPr>
              <w:t>Número</w:t>
            </w:r>
          </w:p>
        </w:tc>
        <w:tc>
          <w:tcPr>
            <w:tcW w:w="1381" w:type="dxa"/>
            <w:vAlign w:val="center"/>
          </w:tcPr>
          <w:p w:rsidR="00000000" w:rsidRDefault="00000000">
            <w:pPr>
              <w:keepNext/>
              <w:keepLines/>
              <w:jc w:val="center"/>
              <w:rPr>
                <w:b/>
                <w:noProof/>
                <w:color w:val="000000"/>
              </w:rPr>
            </w:pPr>
            <w:r>
              <w:rPr>
                <w:b/>
                <w:noProof/>
                <w:color w:val="000000"/>
              </w:rPr>
              <w:t>Porcentaje</w:t>
            </w:r>
          </w:p>
        </w:tc>
        <w:tc>
          <w:tcPr>
            <w:tcW w:w="1217" w:type="dxa"/>
            <w:vAlign w:val="center"/>
          </w:tcPr>
          <w:p w:rsidR="00000000" w:rsidRDefault="00000000">
            <w:pPr>
              <w:keepNext/>
              <w:keepLines/>
              <w:jc w:val="center"/>
              <w:rPr>
                <w:b/>
                <w:noProof/>
                <w:color w:val="000000"/>
              </w:rPr>
            </w:pPr>
            <w:r>
              <w:rPr>
                <w:b/>
                <w:noProof/>
                <w:color w:val="000000"/>
              </w:rPr>
              <w:t>Número</w:t>
            </w:r>
          </w:p>
        </w:tc>
        <w:tc>
          <w:tcPr>
            <w:tcW w:w="1418" w:type="dxa"/>
            <w:vAlign w:val="center"/>
          </w:tcPr>
          <w:p w:rsidR="00000000" w:rsidRDefault="00000000">
            <w:pPr>
              <w:keepNext/>
              <w:keepLines/>
              <w:jc w:val="center"/>
              <w:rPr>
                <w:b/>
                <w:noProof/>
                <w:color w:val="000000"/>
              </w:rPr>
            </w:pPr>
            <w:r>
              <w:rPr>
                <w:b/>
                <w:noProof/>
                <w:color w:val="000000"/>
              </w:rPr>
              <w:t>Porcentaje</w:t>
            </w:r>
          </w:p>
        </w:tc>
      </w:tr>
      <w:tr w:rsidR="00000000">
        <w:tblPrEx>
          <w:tblCellMar>
            <w:top w:w="0" w:type="dxa"/>
            <w:bottom w:w="0" w:type="dxa"/>
          </w:tblCellMar>
        </w:tblPrEx>
        <w:trPr>
          <w:jc w:val="center"/>
        </w:trPr>
        <w:tc>
          <w:tcPr>
            <w:tcW w:w="1681" w:type="dxa"/>
          </w:tcPr>
          <w:p w:rsidR="00000000" w:rsidRDefault="00000000">
            <w:pPr>
              <w:ind w:firstLine="4"/>
              <w:rPr>
                <w:bCs/>
                <w:noProof/>
                <w:color w:val="000000"/>
              </w:rPr>
            </w:pPr>
            <w:r>
              <w:rPr>
                <w:bCs/>
                <w:noProof/>
                <w:color w:val="000000"/>
              </w:rPr>
              <w:t>I</w:t>
            </w:r>
          </w:p>
        </w:tc>
        <w:tc>
          <w:tcPr>
            <w:tcW w:w="1162" w:type="dxa"/>
          </w:tcPr>
          <w:p w:rsidR="00000000" w:rsidRDefault="00000000">
            <w:pPr>
              <w:tabs>
                <w:tab w:val="decimal" w:pos="720"/>
              </w:tabs>
              <w:ind w:firstLine="4"/>
              <w:rPr>
                <w:bCs/>
                <w:noProof/>
                <w:color w:val="000000"/>
              </w:rPr>
            </w:pPr>
            <w:r>
              <w:rPr>
                <w:bCs/>
                <w:noProof/>
                <w:color w:val="000000"/>
              </w:rPr>
              <w:t>452</w:t>
            </w:r>
          </w:p>
        </w:tc>
        <w:tc>
          <w:tcPr>
            <w:tcW w:w="1358" w:type="dxa"/>
          </w:tcPr>
          <w:p w:rsidR="00000000" w:rsidRDefault="00000000">
            <w:pPr>
              <w:tabs>
                <w:tab w:val="decimal" w:pos="594"/>
              </w:tabs>
              <w:ind w:firstLine="4"/>
              <w:rPr>
                <w:bCs/>
                <w:noProof/>
                <w:color w:val="000000"/>
              </w:rPr>
            </w:pPr>
            <w:r>
              <w:rPr>
                <w:bCs/>
                <w:noProof/>
                <w:color w:val="000000"/>
              </w:rPr>
              <w:t>6,8</w:t>
            </w:r>
          </w:p>
        </w:tc>
        <w:tc>
          <w:tcPr>
            <w:tcW w:w="1139" w:type="dxa"/>
          </w:tcPr>
          <w:p w:rsidR="00000000" w:rsidRDefault="00000000">
            <w:pPr>
              <w:tabs>
                <w:tab w:val="decimal" w:pos="720"/>
              </w:tabs>
              <w:ind w:firstLine="4"/>
              <w:rPr>
                <w:bCs/>
                <w:noProof/>
                <w:color w:val="000000"/>
              </w:rPr>
            </w:pPr>
            <w:r>
              <w:rPr>
                <w:bCs/>
                <w:noProof/>
                <w:color w:val="000000"/>
              </w:rPr>
              <w:t>317</w:t>
            </w:r>
          </w:p>
        </w:tc>
        <w:tc>
          <w:tcPr>
            <w:tcW w:w="1381" w:type="dxa"/>
          </w:tcPr>
          <w:p w:rsidR="00000000" w:rsidRDefault="00000000">
            <w:pPr>
              <w:tabs>
                <w:tab w:val="decimal" w:pos="700"/>
              </w:tabs>
              <w:ind w:firstLine="4"/>
              <w:rPr>
                <w:bCs/>
                <w:noProof/>
                <w:color w:val="000000"/>
              </w:rPr>
            </w:pPr>
            <w:r>
              <w:rPr>
                <w:bCs/>
                <w:noProof/>
                <w:color w:val="000000"/>
              </w:rPr>
              <w:t>5,8</w:t>
            </w:r>
          </w:p>
        </w:tc>
        <w:tc>
          <w:tcPr>
            <w:tcW w:w="1217" w:type="dxa"/>
          </w:tcPr>
          <w:p w:rsidR="00000000" w:rsidRDefault="00000000">
            <w:pPr>
              <w:tabs>
                <w:tab w:val="decimal" w:pos="720"/>
              </w:tabs>
              <w:ind w:firstLine="4"/>
              <w:rPr>
                <w:bCs/>
                <w:noProof/>
                <w:color w:val="000000"/>
              </w:rPr>
            </w:pPr>
            <w:r>
              <w:rPr>
                <w:bCs/>
                <w:noProof/>
                <w:color w:val="000000"/>
              </w:rPr>
              <w:t>179</w:t>
            </w:r>
          </w:p>
        </w:tc>
        <w:tc>
          <w:tcPr>
            <w:tcW w:w="1418" w:type="dxa"/>
          </w:tcPr>
          <w:p w:rsidR="00000000" w:rsidRDefault="00000000">
            <w:pPr>
              <w:tabs>
                <w:tab w:val="decimal" w:pos="703"/>
              </w:tabs>
              <w:ind w:firstLine="4"/>
              <w:rPr>
                <w:bCs/>
                <w:noProof/>
                <w:color w:val="000000"/>
              </w:rPr>
            </w:pPr>
            <w:r>
              <w:rPr>
                <w:bCs/>
                <w:noProof/>
                <w:color w:val="000000"/>
              </w:rPr>
              <w:t>3,4</w:t>
            </w:r>
          </w:p>
        </w:tc>
      </w:tr>
      <w:tr w:rsidR="00000000">
        <w:tblPrEx>
          <w:tblCellMar>
            <w:top w:w="0" w:type="dxa"/>
            <w:bottom w:w="0" w:type="dxa"/>
          </w:tblCellMar>
        </w:tblPrEx>
        <w:trPr>
          <w:jc w:val="center"/>
        </w:trPr>
        <w:tc>
          <w:tcPr>
            <w:tcW w:w="1681" w:type="dxa"/>
          </w:tcPr>
          <w:p w:rsidR="00000000" w:rsidRDefault="00000000">
            <w:pPr>
              <w:ind w:firstLine="4"/>
              <w:rPr>
                <w:bCs/>
                <w:noProof/>
                <w:color w:val="000000"/>
              </w:rPr>
            </w:pPr>
            <w:r>
              <w:rPr>
                <w:bCs/>
                <w:noProof/>
                <w:color w:val="000000"/>
              </w:rPr>
              <w:t>II</w:t>
            </w:r>
          </w:p>
        </w:tc>
        <w:tc>
          <w:tcPr>
            <w:tcW w:w="1162" w:type="dxa"/>
          </w:tcPr>
          <w:p w:rsidR="00000000" w:rsidRDefault="00000000">
            <w:pPr>
              <w:tabs>
                <w:tab w:val="decimal" w:pos="720"/>
              </w:tabs>
              <w:ind w:firstLine="4"/>
              <w:rPr>
                <w:bCs/>
                <w:noProof/>
                <w:color w:val="000000"/>
              </w:rPr>
            </w:pPr>
            <w:r>
              <w:rPr>
                <w:bCs/>
                <w:noProof/>
                <w:color w:val="000000"/>
              </w:rPr>
              <w:t>330</w:t>
            </w:r>
          </w:p>
        </w:tc>
        <w:tc>
          <w:tcPr>
            <w:tcW w:w="1358" w:type="dxa"/>
          </w:tcPr>
          <w:p w:rsidR="00000000" w:rsidRDefault="00000000">
            <w:pPr>
              <w:tabs>
                <w:tab w:val="decimal" w:pos="594"/>
              </w:tabs>
              <w:ind w:firstLine="4"/>
              <w:rPr>
                <w:bCs/>
                <w:noProof/>
                <w:color w:val="000000"/>
              </w:rPr>
            </w:pPr>
            <w:r>
              <w:rPr>
                <w:bCs/>
                <w:noProof/>
                <w:color w:val="000000"/>
              </w:rPr>
              <w:t>4,9</w:t>
            </w:r>
          </w:p>
        </w:tc>
        <w:tc>
          <w:tcPr>
            <w:tcW w:w="1139" w:type="dxa"/>
          </w:tcPr>
          <w:p w:rsidR="00000000" w:rsidRDefault="00000000">
            <w:pPr>
              <w:tabs>
                <w:tab w:val="decimal" w:pos="720"/>
              </w:tabs>
              <w:ind w:firstLine="4"/>
              <w:rPr>
                <w:bCs/>
                <w:noProof/>
                <w:color w:val="000000"/>
              </w:rPr>
            </w:pPr>
            <w:r>
              <w:rPr>
                <w:bCs/>
                <w:noProof/>
                <w:color w:val="000000"/>
              </w:rPr>
              <w:t>246</w:t>
            </w:r>
          </w:p>
        </w:tc>
        <w:tc>
          <w:tcPr>
            <w:tcW w:w="1381" w:type="dxa"/>
          </w:tcPr>
          <w:p w:rsidR="00000000" w:rsidRDefault="00000000">
            <w:pPr>
              <w:tabs>
                <w:tab w:val="decimal" w:pos="700"/>
              </w:tabs>
              <w:ind w:firstLine="4"/>
              <w:rPr>
                <w:bCs/>
                <w:noProof/>
                <w:color w:val="000000"/>
              </w:rPr>
            </w:pPr>
            <w:r>
              <w:rPr>
                <w:bCs/>
                <w:noProof/>
                <w:color w:val="000000"/>
              </w:rPr>
              <w:t>4,5</w:t>
            </w:r>
          </w:p>
        </w:tc>
        <w:tc>
          <w:tcPr>
            <w:tcW w:w="1217" w:type="dxa"/>
          </w:tcPr>
          <w:p w:rsidR="00000000" w:rsidRDefault="00000000">
            <w:pPr>
              <w:tabs>
                <w:tab w:val="decimal" w:pos="720"/>
              </w:tabs>
              <w:ind w:firstLine="4"/>
              <w:rPr>
                <w:bCs/>
                <w:noProof/>
                <w:color w:val="000000"/>
              </w:rPr>
            </w:pPr>
            <w:r>
              <w:rPr>
                <w:bCs/>
                <w:noProof/>
                <w:color w:val="000000"/>
              </w:rPr>
              <w:t>219</w:t>
            </w:r>
          </w:p>
        </w:tc>
        <w:tc>
          <w:tcPr>
            <w:tcW w:w="1418" w:type="dxa"/>
          </w:tcPr>
          <w:p w:rsidR="00000000" w:rsidRDefault="00000000">
            <w:pPr>
              <w:tabs>
                <w:tab w:val="decimal" w:pos="703"/>
              </w:tabs>
              <w:ind w:firstLine="4"/>
              <w:rPr>
                <w:bCs/>
                <w:noProof/>
                <w:color w:val="000000"/>
              </w:rPr>
            </w:pPr>
            <w:r>
              <w:rPr>
                <w:bCs/>
                <w:noProof/>
                <w:color w:val="000000"/>
              </w:rPr>
              <w:t>4,2</w:t>
            </w:r>
          </w:p>
        </w:tc>
      </w:tr>
      <w:tr w:rsidR="00000000">
        <w:tblPrEx>
          <w:tblCellMar>
            <w:top w:w="0" w:type="dxa"/>
            <w:bottom w:w="0" w:type="dxa"/>
          </w:tblCellMar>
        </w:tblPrEx>
        <w:trPr>
          <w:jc w:val="center"/>
        </w:trPr>
        <w:tc>
          <w:tcPr>
            <w:tcW w:w="1681" w:type="dxa"/>
          </w:tcPr>
          <w:p w:rsidR="00000000" w:rsidRDefault="00000000">
            <w:pPr>
              <w:ind w:firstLine="4"/>
              <w:rPr>
                <w:bCs/>
                <w:noProof/>
                <w:color w:val="000000"/>
              </w:rPr>
            </w:pPr>
            <w:r>
              <w:rPr>
                <w:bCs/>
                <w:noProof/>
                <w:color w:val="000000"/>
              </w:rPr>
              <w:t>III</w:t>
            </w:r>
          </w:p>
        </w:tc>
        <w:tc>
          <w:tcPr>
            <w:tcW w:w="1162" w:type="dxa"/>
          </w:tcPr>
          <w:p w:rsidR="00000000" w:rsidRDefault="00000000">
            <w:pPr>
              <w:tabs>
                <w:tab w:val="decimal" w:pos="720"/>
              </w:tabs>
              <w:ind w:firstLine="4"/>
              <w:rPr>
                <w:bCs/>
                <w:noProof/>
                <w:color w:val="000000"/>
              </w:rPr>
            </w:pPr>
            <w:r>
              <w:rPr>
                <w:bCs/>
                <w:noProof/>
                <w:color w:val="000000"/>
              </w:rPr>
              <w:t>130</w:t>
            </w:r>
          </w:p>
        </w:tc>
        <w:tc>
          <w:tcPr>
            <w:tcW w:w="1358" w:type="dxa"/>
          </w:tcPr>
          <w:p w:rsidR="00000000" w:rsidRDefault="00000000">
            <w:pPr>
              <w:tabs>
                <w:tab w:val="decimal" w:pos="594"/>
              </w:tabs>
              <w:ind w:firstLine="4"/>
              <w:rPr>
                <w:bCs/>
                <w:noProof/>
                <w:color w:val="000000"/>
              </w:rPr>
            </w:pPr>
            <w:r>
              <w:rPr>
                <w:bCs/>
                <w:noProof/>
                <w:color w:val="000000"/>
              </w:rPr>
              <w:t>1,9</w:t>
            </w:r>
          </w:p>
        </w:tc>
        <w:tc>
          <w:tcPr>
            <w:tcW w:w="1139" w:type="dxa"/>
          </w:tcPr>
          <w:p w:rsidR="00000000" w:rsidRDefault="00000000">
            <w:pPr>
              <w:tabs>
                <w:tab w:val="decimal" w:pos="720"/>
              </w:tabs>
              <w:ind w:firstLine="4"/>
              <w:rPr>
                <w:bCs/>
                <w:noProof/>
                <w:color w:val="000000"/>
              </w:rPr>
            </w:pPr>
            <w:r>
              <w:rPr>
                <w:bCs/>
                <w:noProof/>
                <w:color w:val="000000"/>
              </w:rPr>
              <w:t>129</w:t>
            </w:r>
          </w:p>
        </w:tc>
        <w:tc>
          <w:tcPr>
            <w:tcW w:w="1381" w:type="dxa"/>
          </w:tcPr>
          <w:p w:rsidR="00000000" w:rsidRDefault="00000000">
            <w:pPr>
              <w:tabs>
                <w:tab w:val="decimal" w:pos="700"/>
              </w:tabs>
              <w:ind w:firstLine="4"/>
              <w:rPr>
                <w:bCs/>
                <w:noProof/>
                <w:color w:val="000000"/>
              </w:rPr>
            </w:pPr>
            <w:r>
              <w:rPr>
                <w:bCs/>
                <w:noProof/>
                <w:color w:val="000000"/>
              </w:rPr>
              <w:t>2,4</w:t>
            </w:r>
          </w:p>
        </w:tc>
        <w:tc>
          <w:tcPr>
            <w:tcW w:w="1217" w:type="dxa"/>
          </w:tcPr>
          <w:p w:rsidR="00000000" w:rsidRDefault="00000000">
            <w:pPr>
              <w:tabs>
                <w:tab w:val="decimal" w:pos="720"/>
              </w:tabs>
              <w:ind w:firstLine="4"/>
              <w:rPr>
                <w:bCs/>
                <w:noProof/>
                <w:color w:val="000000"/>
              </w:rPr>
            </w:pPr>
            <w:r>
              <w:rPr>
                <w:bCs/>
                <w:noProof/>
                <w:color w:val="000000"/>
              </w:rPr>
              <w:t>143</w:t>
            </w:r>
          </w:p>
        </w:tc>
        <w:tc>
          <w:tcPr>
            <w:tcW w:w="1418" w:type="dxa"/>
          </w:tcPr>
          <w:p w:rsidR="00000000" w:rsidRDefault="00000000">
            <w:pPr>
              <w:tabs>
                <w:tab w:val="decimal" w:pos="703"/>
              </w:tabs>
              <w:ind w:firstLine="4"/>
              <w:rPr>
                <w:bCs/>
                <w:noProof/>
                <w:color w:val="000000"/>
              </w:rPr>
            </w:pPr>
            <w:r>
              <w:rPr>
                <w:bCs/>
                <w:noProof/>
                <w:color w:val="000000"/>
              </w:rPr>
              <w:t>2,7</w:t>
            </w:r>
          </w:p>
        </w:tc>
      </w:tr>
      <w:tr w:rsidR="00000000">
        <w:tblPrEx>
          <w:tblCellMar>
            <w:top w:w="0" w:type="dxa"/>
            <w:bottom w:w="0" w:type="dxa"/>
          </w:tblCellMar>
        </w:tblPrEx>
        <w:trPr>
          <w:jc w:val="center"/>
        </w:trPr>
        <w:tc>
          <w:tcPr>
            <w:tcW w:w="1681" w:type="dxa"/>
          </w:tcPr>
          <w:p w:rsidR="00000000" w:rsidRDefault="00000000">
            <w:pPr>
              <w:ind w:firstLine="4"/>
              <w:rPr>
                <w:bCs/>
                <w:noProof/>
                <w:color w:val="000000"/>
              </w:rPr>
            </w:pPr>
            <w:r>
              <w:rPr>
                <w:bCs/>
                <w:noProof/>
                <w:color w:val="000000"/>
              </w:rPr>
              <w:t>IV</w:t>
            </w:r>
          </w:p>
        </w:tc>
        <w:tc>
          <w:tcPr>
            <w:tcW w:w="1162" w:type="dxa"/>
          </w:tcPr>
          <w:p w:rsidR="00000000" w:rsidRDefault="00000000">
            <w:pPr>
              <w:tabs>
                <w:tab w:val="decimal" w:pos="720"/>
              </w:tabs>
              <w:ind w:firstLine="4"/>
              <w:rPr>
                <w:bCs/>
                <w:noProof/>
                <w:color w:val="000000"/>
              </w:rPr>
            </w:pPr>
            <w:r>
              <w:rPr>
                <w:bCs/>
                <w:noProof/>
                <w:color w:val="000000"/>
              </w:rPr>
              <w:t>470</w:t>
            </w:r>
          </w:p>
        </w:tc>
        <w:tc>
          <w:tcPr>
            <w:tcW w:w="1358" w:type="dxa"/>
          </w:tcPr>
          <w:p w:rsidR="00000000" w:rsidRDefault="00000000">
            <w:pPr>
              <w:tabs>
                <w:tab w:val="decimal" w:pos="594"/>
              </w:tabs>
              <w:ind w:firstLine="4"/>
              <w:rPr>
                <w:bCs/>
                <w:noProof/>
                <w:color w:val="000000"/>
              </w:rPr>
            </w:pPr>
            <w:r>
              <w:rPr>
                <w:bCs/>
                <w:noProof/>
                <w:color w:val="000000"/>
              </w:rPr>
              <w:t>7</w:t>
            </w:r>
          </w:p>
        </w:tc>
        <w:tc>
          <w:tcPr>
            <w:tcW w:w="1139" w:type="dxa"/>
          </w:tcPr>
          <w:p w:rsidR="00000000" w:rsidRDefault="00000000">
            <w:pPr>
              <w:tabs>
                <w:tab w:val="decimal" w:pos="720"/>
              </w:tabs>
              <w:ind w:firstLine="4"/>
              <w:rPr>
                <w:bCs/>
                <w:noProof/>
                <w:color w:val="000000"/>
              </w:rPr>
            </w:pPr>
            <w:r>
              <w:rPr>
                <w:bCs/>
                <w:noProof/>
                <w:color w:val="000000"/>
              </w:rPr>
              <w:t>290</w:t>
            </w:r>
          </w:p>
        </w:tc>
        <w:tc>
          <w:tcPr>
            <w:tcW w:w="1381" w:type="dxa"/>
          </w:tcPr>
          <w:p w:rsidR="00000000" w:rsidRDefault="00000000">
            <w:pPr>
              <w:tabs>
                <w:tab w:val="decimal" w:pos="700"/>
              </w:tabs>
              <w:ind w:firstLine="4"/>
              <w:rPr>
                <w:bCs/>
                <w:noProof/>
                <w:color w:val="000000"/>
              </w:rPr>
            </w:pPr>
            <w:r>
              <w:rPr>
                <w:bCs/>
                <w:noProof/>
                <w:color w:val="000000"/>
              </w:rPr>
              <w:t>5,3</w:t>
            </w:r>
          </w:p>
        </w:tc>
        <w:tc>
          <w:tcPr>
            <w:tcW w:w="1217" w:type="dxa"/>
          </w:tcPr>
          <w:p w:rsidR="00000000" w:rsidRDefault="00000000">
            <w:pPr>
              <w:tabs>
                <w:tab w:val="decimal" w:pos="720"/>
              </w:tabs>
              <w:ind w:firstLine="4"/>
              <w:rPr>
                <w:bCs/>
                <w:noProof/>
                <w:color w:val="000000"/>
              </w:rPr>
            </w:pPr>
            <w:r>
              <w:rPr>
                <w:bCs/>
                <w:noProof/>
                <w:color w:val="000000"/>
              </w:rPr>
              <w:t>222</w:t>
            </w:r>
          </w:p>
        </w:tc>
        <w:tc>
          <w:tcPr>
            <w:tcW w:w="1418" w:type="dxa"/>
          </w:tcPr>
          <w:p w:rsidR="00000000" w:rsidRDefault="00000000">
            <w:pPr>
              <w:tabs>
                <w:tab w:val="decimal" w:pos="703"/>
              </w:tabs>
              <w:ind w:firstLine="4"/>
              <w:rPr>
                <w:bCs/>
                <w:noProof/>
                <w:color w:val="000000"/>
              </w:rPr>
            </w:pPr>
            <w:r>
              <w:rPr>
                <w:bCs/>
                <w:noProof/>
                <w:color w:val="000000"/>
              </w:rPr>
              <w:t>4,2</w:t>
            </w:r>
          </w:p>
        </w:tc>
      </w:tr>
      <w:tr w:rsidR="00000000">
        <w:tblPrEx>
          <w:tblCellMar>
            <w:top w:w="0" w:type="dxa"/>
            <w:bottom w:w="0" w:type="dxa"/>
          </w:tblCellMar>
        </w:tblPrEx>
        <w:trPr>
          <w:jc w:val="center"/>
        </w:trPr>
        <w:tc>
          <w:tcPr>
            <w:tcW w:w="1681" w:type="dxa"/>
          </w:tcPr>
          <w:p w:rsidR="00000000" w:rsidRDefault="00000000">
            <w:pPr>
              <w:ind w:firstLine="4"/>
              <w:rPr>
                <w:bCs/>
                <w:noProof/>
                <w:color w:val="000000"/>
              </w:rPr>
            </w:pPr>
            <w:r>
              <w:rPr>
                <w:bCs/>
                <w:noProof/>
                <w:color w:val="000000"/>
              </w:rPr>
              <w:t>V</w:t>
            </w:r>
          </w:p>
        </w:tc>
        <w:tc>
          <w:tcPr>
            <w:tcW w:w="1162" w:type="dxa"/>
          </w:tcPr>
          <w:p w:rsidR="00000000" w:rsidRDefault="00000000">
            <w:pPr>
              <w:tabs>
                <w:tab w:val="decimal" w:pos="720"/>
              </w:tabs>
              <w:ind w:firstLine="4"/>
              <w:rPr>
                <w:bCs/>
                <w:noProof/>
                <w:color w:val="000000"/>
              </w:rPr>
            </w:pPr>
            <w:r>
              <w:rPr>
                <w:bCs/>
                <w:noProof/>
                <w:color w:val="000000"/>
              </w:rPr>
              <w:t>905</w:t>
            </w:r>
          </w:p>
        </w:tc>
        <w:tc>
          <w:tcPr>
            <w:tcW w:w="1358" w:type="dxa"/>
          </w:tcPr>
          <w:p w:rsidR="00000000" w:rsidRDefault="00000000">
            <w:pPr>
              <w:tabs>
                <w:tab w:val="decimal" w:pos="594"/>
              </w:tabs>
              <w:ind w:firstLine="4"/>
              <w:rPr>
                <w:bCs/>
                <w:noProof/>
                <w:color w:val="000000"/>
              </w:rPr>
            </w:pPr>
            <w:r>
              <w:rPr>
                <w:bCs/>
                <w:noProof/>
                <w:color w:val="000000"/>
              </w:rPr>
              <w:t>13,5</w:t>
            </w:r>
          </w:p>
        </w:tc>
        <w:tc>
          <w:tcPr>
            <w:tcW w:w="1139" w:type="dxa"/>
          </w:tcPr>
          <w:p w:rsidR="00000000" w:rsidRDefault="00000000">
            <w:pPr>
              <w:tabs>
                <w:tab w:val="decimal" w:pos="720"/>
              </w:tabs>
              <w:ind w:firstLine="4"/>
              <w:rPr>
                <w:bCs/>
                <w:noProof/>
                <w:color w:val="000000"/>
              </w:rPr>
            </w:pPr>
            <w:r>
              <w:rPr>
                <w:bCs/>
                <w:noProof/>
                <w:color w:val="000000"/>
              </w:rPr>
              <w:t>820</w:t>
            </w:r>
          </w:p>
        </w:tc>
        <w:tc>
          <w:tcPr>
            <w:tcW w:w="1381" w:type="dxa"/>
          </w:tcPr>
          <w:p w:rsidR="00000000" w:rsidRDefault="00000000">
            <w:pPr>
              <w:tabs>
                <w:tab w:val="decimal" w:pos="700"/>
              </w:tabs>
              <w:ind w:firstLine="4"/>
              <w:rPr>
                <w:bCs/>
                <w:noProof/>
                <w:color w:val="000000"/>
              </w:rPr>
            </w:pPr>
            <w:r>
              <w:rPr>
                <w:bCs/>
                <w:noProof/>
                <w:color w:val="000000"/>
              </w:rPr>
              <w:t>15</w:t>
            </w:r>
          </w:p>
        </w:tc>
        <w:tc>
          <w:tcPr>
            <w:tcW w:w="1217" w:type="dxa"/>
          </w:tcPr>
          <w:p w:rsidR="00000000" w:rsidRDefault="00000000">
            <w:pPr>
              <w:tabs>
                <w:tab w:val="decimal" w:pos="720"/>
              </w:tabs>
              <w:ind w:firstLine="4"/>
              <w:rPr>
                <w:bCs/>
                <w:noProof/>
                <w:color w:val="000000"/>
              </w:rPr>
            </w:pPr>
            <w:r>
              <w:rPr>
                <w:bCs/>
                <w:noProof/>
                <w:color w:val="000000"/>
              </w:rPr>
              <w:t>619</w:t>
            </w:r>
          </w:p>
        </w:tc>
        <w:tc>
          <w:tcPr>
            <w:tcW w:w="1418" w:type="dxa"/>
          </w:tcPr>
          <w:p w:rsidR="00000000" w:rsidRDefault="00000000">
            <w:pPr>
              <w:tabs>
                <w:tab w:val="decimal" w:pos="703"/>
              </w:tabs>
              <w:ind w:firstLine="4"/>
              <w:rPr>
                <w:bCs/>
                <w:noProof/>
                <w:color w:val="000000"/>
              </w:rPr>
            </w:pPr>
            <w:r>
              <w:rPr>
                <w:bCs/>
                <w:noProof/>
                <w:color w:val="000000"/>
              </w:rPr>
              <w:t>11,8</w:t>
            </w:r>
          </w:p>
        </w:tc>
      </w:tr>
      <w:tr w:rsidR="00000000">
        <w:tblPrEx>
          <w:tblCellMar>
            <w:top w:w="0" w:type="dxa"/>
            <w:bottom w:w="0" w:type="dxa"/>
          </w:tblCellMar>
        </w:tblPrEx>
        <w:trPr>
          <w:jc w:val="center"/>
        </w:trPr>
        <w:tc>
          <w:tcPr>
            <w:tcW w:w="1681" w:type="dxa"/>
          </w:tcPr>
          <w:p w:rsidR="00000000" w:rsidRDefault="00000000">
            <w:pPr>
              <w:ind w:firstLine="4"/>
              <w:rPr>
                <w:bCs/>
                <w:noProof/>
                <w:color w:val="000000"/>
              </w:rPr>
            </w:pPr>
            <w:r>
              <w:rPr>
                <w:bCs/>
                <w:noProof/>
                <w:color w:val="000000"/>
              </w:rPr>
              <w:t>VI</w:t>
            </w:r>
          </w:p>
        </w:tc>
        <w:tc>
          <w:tcPr>
            <w:tcW w:w="1162" w:type="dxa"/>
          </w:tcPr>
          <w:p w:rsidR="00000000" w:rsidRDefault="00000000">
            <w:pPr>
              <w:tabs>
                <w:tab w:val="decimal" w:pos="720"/>
              </w:tabs>
              <w:ind w:firstLine="4"/>
              <w:rPr>
                <w:bCs/>
                <w:noProof/>
                <w:color w:val="000000"/>
              </w:rPr>
            </w:pPr>
            <w:r>
              <w:rPr>
                <w:bCs/>
                <w:noProof/>
                <w:color w:val="000000"/>
              </w:rPr>
              <w:t>142</w:t>
            </w:r>
          </w:p>
        </w:tc>
        <w:tc>
          <w:tcPr>
            <w:tcW w:w="1358" w:type="dxa"/>
          </w:tcPr>
          <w:p w:rsidR="00000000" w:rsidRDefault="00000000">
            <w:pPr>
              <w:tabs>
                <w:tab w:val="decimal" w:pos="594"/>
              </w:tabs>
              <w:ind w:firstLine="4"/>
              <w:rPr>
                <w:bCs/>
                <w:noProof/>
                <w:color w:val="000000"/>
              </w:rPr>
            </w:pPr>
            <w:r>
              <w:rPr>
                <w:bCs/>
                <w:noProof/>
                <w:color w:val="000000"/>
              </w:rPr>
              <w:t>2,1</w:t>
            </w:r>
          </w:p>
        </w:tc>
        <w:tc>
          <w:tcPr>
            <w:tcW w:w="1139" w:type="dxa"/>
          </w:tcPr>
          <w:p w:rsidR="00000000" w:rsidRDefault="00000000">
            <w:pPr>
              <w:tabs>
                <w:tab w:val="decimal" w:pos="720"/>
              </w:tabs>
              <w:ind w:firstLine="4"/>
              <w:rPr>
                <w:bCs/>
                <w:noProof/>
                <w:color w:val="000000"/>
              </w:rPr>
            </w:pPr>
            <w:r>
              <w:rPr>
                <w:bCs/>
                <w:noProof/>
                <w:color w:val="000000"/>
              </w:rPr>
              <w:t>191</w:t>
            </w:r>
          </w:p>
        </w:tc>
        <w:tc>
          <w:tcPr>
            <w:tcW w:w="1381" w:type="dxa"/>
          </w:tcPr>
          <w:p w:rsidR="00000000" w:rsidRDefault="00000000">
            <w:pPr>
              <w:tabs>
                <w:tab w:val="decimal" w:pos="700"/>
              </w:tabs>
              <w:ind w:firstLine="4"/>
              <w:rPr>
                <w:bCs/>
                <w:noProof/>
                <w:color w:val="000000"/>
              </w:rPr>
            </w:pPr>
            <w:r>
              <w:rPr>
                <w:bCs/>
                <w:noProof/>
                <w:color w:val="000000"/>
              </w:rPr>
              <w:t>3,5</w:t>
            </w:r>
          </w:p>
        </w:tc>
        <w:tc>
          <w:tcPr>
            <w:tcW w:w="1217" w:type="dxa"/>
          </w:tcPr>
          <w:p w:rsidR="00000000" w:rsidRDefault="00000000">
            <w:pPr>
              <w:tabs>
                <w:tab w:val="decimal" w:pos="720"/>
              </w:tabs>
              <w:ind w:firstLine="4"/>
              <w:rPr>
                <w:bCs/>
                <w:noProof/>
                <w:color w:val="000000"/>
              </w:rPr>
            </w:pPr>
            <w:r>
              <w:rPr>
                <w:bCs/>
                <w:noProof/>
                <w:color w:val="000000"/>
              </w:rPr>
              <w:t>208</w:t>
            </w:r>
          </w:p>
        </w:tc>
        <w:tc>
          <w:tcPr>
            <w:tcW w:w="1418" w:type="dxa"/>
          </w:tcPr>
          <w:p w:rsidR="00000000" w:rsidRDefault="00000000">
            <w:pPr>
              <w:tabs>
                <w:tab w:val="decimal" w:pos="703"/>
              </w:tabs>
              <w:ind w:firstLine="4"/>
              <w:rPr>
                <w:bCs/>
                <w:noProof/>
                <w:color w:val="000000"/>
              </w:rPr>
            </w:pPr>
            <w:r>
              <w:rPr>
                <w:bCs/>
                <w:noProof/>
                <w:color w:val="000000"/>
              </w:rPr>
              <w:t>4</w:t>
            </w:r>
          </w:p>
        </w:tc>
      </w:tr>
      <w:tr w:rsidR="00000000">
        <w:tblPrEx>
          <w:tblCellMar>
            <w:top w:w="0" w:type="dxa"/>
            <w:bottom w:w="0" w:type="dxa"/>
          </w:tblCellMar>
        </w:tblPrEx>
        <w:trPr>
          <w:jc w:val="center"/>
        </w:trPr>
        <w:tc>
          <w:tcPr>
            <w:tcW w:w="1681" w:type="dxa"/>
          </w:tcPr>
          <w:p w:rsidR="00000000" w:rsidRDefault="00000000">
            <w:pPr>
              <w:ind w:firstLine="4"/>
              <w:rPr>
                <w:bCs/>
                <w:noProof/>
                <w:color w:val="000000"/>
              </w:rPr>
            </w:pPr>
            <w:r>
              <w:rPr>
                <w:bCs/>
                <w:noProof/>
                <w:color w:val="000000"/>
              </w:rPr>
              <w:t>VII</w:t>
            </w:r>
          </w:p>
        </w:tc>
        <w:tc>
          <w:tcPr>
            <w:tcW w:w="1162" w:type="dxa"/>
          </w:tcPr>
          <w:p w:rsidR="00000000" w:rsidRDefault="00000000">
            <w:pPr>
              <w:tabs>
                <w:tab w:val="decimal" w:pos="720"/>
              </w:tabs>
              <w:ind w:firstLine="4"/>
              <w:rPr>
                <w:bCs/>
                <w:noProof/>
                <w:color w:val="000000"/>
              </w:rPr>
            </w:pPr>
            <w:r>
              <w:rPr>
                <w:bCs/>
                <w:noProof/>
                <w:color w:val="000000"/>
              </w:rPr>
              <w:t>362</w:t>
            </w:r>
          </w:p>
        </w:tc>
        <w:tc>
          <w:tcPr>
            <w:tcW w:w="1358" w:type="dxa"/>
          </w:tcPr>
          <w:p w:rsidR="00000000" w:rsidRDefault="00000000">
            <w:pPr>
              <w:tabs>
                <w:tab w:val="decimal" w:pos="594"/>
              </w:tabs>
              <w:ind w:firstLine="4"/>
              <w:rPr>
                <w:bCs/>
                <w:noProof/>
                <w:color w:val="000000"/>
              </w:rPr>
            </w:pPr>
            <w:r>
              <w:rPr>
                <w:bCs/>
                <w:noProof/>
                <w:color w:val="000000"/>
              </w:rPr>
              <w:t>5,4</w:t>
            </w:r>
          </w:p>
        </w:tc>
        <w:tc>
          <w:tcPr>
            <w:tcW w:w="1139" w:type="dxa"/>
          </w:tcPr>
          <w:p w:rsidR="00000000" w:rsidRDefault="00000000">
            <w:pPr>
              <w:tabs>
                <w:tab w:val="decimal" w:pos="720"/>
              </w:tabs>
              <w:ind w:firstLine="4"/>
              <w:rPr>
                <w:bCs/>
                <w:noProof/>
                <w:color w:val="000000"/>
              </w:rPr>
            </w:pPr>
            <w:r>
              <w:rPr>
                <w:bCs/>
                <w:noProof/>
                <w:color w:val="000000"/>
              </w:rPr>
              <w:t>295</w:t>
            </w:r>
          </w:p>
        </w:tc>
        <w:tc>
          <w:tcPr>
            <w:tcW w:w="1381" w:type="dxa"/>
          </w:tcPr>
          <w:p w:rsidR="00000000" w:rsidRDefault="00000000">
            <w:pPr>
              <w:tabs>
                <w:tab w:val="decimal" w:pos="700"/>
              </w:tabs>
              <w:ind w:firstLine="4"/>
              <w:rPr>
                <w:bCs/>
                <w:noProof/>
                <w:color w:val="000000"/>
              </w:rPr>
            </w:pPr>
            <w:r>
              <w:rPr>
                <w:bCs/>
                <w:noProof/>
                <w:color w:val="000000"/>
              </w:rPr>
              <w:t>5,4</w:t>
            </w:r>
          </w:p>
        </w:tc>
        <w:tc>
          <w:tcPr>
            <w:tcW w:w="1217" w:type="dxa"/>
          </w:tcPr>
          <w:p w:rsidR="00000000" w:rsidRDefault="00000000">
            <w:pPr>
              <w:tabs>
                <w:tab w:val="decimal" w:pos="720"/>
              </w:tabs>
              <w:ind w:firstLine="4"/>
              <w:rPr>
                <w:bCs/>
                <w:noProof/>
                <w:color w:val="000000"/>
              </w:rPr>
            </w:pPr>
            <w:r>
              <w:rPr>
                <w:bCs/>
                <w:noProof/>
                <w:color w:val="000000"/>
              </w:rPr>
              <w:t>331</w:t>
            </w:r>
          </w:p>
        </w:tc>
        <w:tc>
          <w:tcPr>
            <w:tcW w:w="1418" w:type="dxa"/>
          </w:tcPr>
          <w:p w:rsidR="00000000" w:rsidRDefault="00000000">
            <w:pPr>
              <w:tabs>
                <w:tab w:val="decimal" w:pos="703"/>
              </w:tabs>
              <w:ind w:firstLine="4"/>
              <w:rPr>
                <w:bCs/>
                <w:noProof/>
                <w:color w:val="000000"/>
              </w:rPr>
            </w:pPr>
            <w:r>
              <w:rPr>
                <w:bCs/>
                <w:noProof/>
                <w:color w:val="000000"/>
              </w:rPr>
              <w:t>6,3</w:t>
            </w:r>
          </w:p>
        </w:tc>
      </w:tr>
      <w:tr w:rsidR="00000000">
        <w:tblPrEx>
          <w:tblCellMar>
            <w:top w:w="0" w:type="dxa"/>
            <w:bottom w:w="0" w:type="dxa"/>
          </w:tblCellMar>
        </w:tblPrEx>
        <w:trPr>
          <w:jc w:val="center"/>
        </w:trPr>
        <w:tc>
          <w:tcPr>
            <w:tcW w:w="1681" w:type="dxa"/>
          </w:tcPr>
          <w:p w:rsidR="00000000" w:rsidRDefault="00000000">
            <w:pPr>
              <w:ind w:firstLine="4"/>
              <w:rPr>
                <w:bCs/>
                <w:noProof/>
                <w:color w:val="000000"/>
              </w:rPr>
            </w:pPr>
            <w:r>
              <w:rPr>
                <w:bCs/>
                <w:noProof/>
                <w:color w:val="000000"/>
              </w:rPr>
              <w:t>VIII</w:t>
            </w:r>
          </w:p>
        </w:tc>
        <w:tc>
          <w:tcPr>
            <w:tcW w:w="1162" w:type="dxa"/>
          </w:tcPr>
          <w:p w:rsidR="00000000" w:rsidRDefault="00000000">
            <w:pPr>
              <w:tabs>
                <w:tab w:val="decimal" w:pos="720"/>
              </w:tabs>
              <w:ind w:firstLine="4"/>
              <w:rPr>
                <w:bCs/>
                <w:noProof/>
                <w:color w:val="000000"/>
              </w:rPr>
            </w:pPr>
            <w:r>
              <w:rPr>
                <w:bCs/>
                <w:noProof/>
                <w:color w:val="000000"/>
              </w:rPr>
              <w:t>1.109</w:t>
            </w:r>
          </w:p>
        </w:tc>
        <w:tc>
          <w:tcPr>
            <w:tcW w:w="1358" w:type="dxa"/>
          </w:tcPr>
          <w:p w:rsidR="00000000" w:rsidRDefault="00000000">
            <w:pPr>
              <w:tabs>
                <w:tab w:val="decimal" w:pos="594"/>
              </w:tabs>
              <w:ind w:firstLine="4"/>
              <w:rPr>
                <w:bCs/>
                <w:noProof/>
                <w:color w:val="000000"/>
              </w:rPr>
            </w:pPr>
            <w:r>
              <w:rPr>
                <w:bCs/>
                <w:noProof/>
                <w:color w:val="000000"/>
              </w:rPr>
              <w:t>16,6</w:t>
            </w:r>
          </w:p>
        </w:tc>
        <w:tc>
          <w:tcPr>
            <w:tcW w:w="1139" w:type="dxa"/>
          </w:tcPr>
          <w:p w:rsidR="00000000" w:rsidRDefault="00000000">
            <w:pPr>
              <w:tabs>
                <w:tab w:val="decimal" w:pos="720"/>
              </w:tabs>
              <w:ind w:firstLine="4"/>
              <w:rPr>
                <w:bCs/>
                <w:noProof/>
                <w:color w:val="000000"/>
              </w:rPr>
            </w:pPr>
            <w:r>
              <w:rPr>
                <w:bCs/>
                <w:noProof/>
                <w:color w:val="000000"/>
              </w:rPr>
              <w:t>735</w:t>
            </w:r>
          </w:p>
        </w:tc>
        <w:tc>
          <w:tcPr>
            <w:tcW w:w="1381" w:type="dxa"/>
          </w:tcPr>
          <w:p w:rsidR="00000000" w:rsidRDefault="00000000">
            <w:pPr>
              <w:tabs>
                <w:tab w:val="decimal" w:pos="700"/>
              </w:tabs>
              <w:ind w:firstLine="4"/>
              <w:rPr>
                <w:bCs/>
                <w:noProof/>
                <w:color w:val="000000"/>
              </w:rPr>
            </w:pPr>
            <w:r>
              <w:rPr>
                <w:bCs/>
                <w:noProof/>
                <w:color w:val="000000"/>
              </w:rPr>
              <w:t>13,5</w:t>
            </w:r>
          </w:p>
        </w:tc>
        <w:tc>
          <w:tcPr>
            <w:tcW w:w="1217" w:type="dxa"/>
          </w:tcPr>
          <w:p w:rsidR="00000000" w:rsidRDefault="00000000">
            <w:pPr>
              <w:tabs>
                <w:tab w:val="decimal" w:pos="720"/>
              </w:tabs>
              <w:ind w:firstLine="4"/>
              <w:rPr>
                <w:bCs/>
                <w:noProof/>
                <w:color w:val="000000"/>
              </w:rPr>
            </w:pPr>
            <w:r>
              <w:rPr>
                <w:bCs/>
                <w:noProof/>
                <w:color w:val="000000"/>
              </w:rPr>
              <w:t>816</w:t>
            </w:r>
          </w:p>
        </w:tc>
        <w:tc>
          <w:tcPr>
            <w:tcW w:w="1418" w:type="dxa"/>
          </w:tcPr>
          <w:p w:rsidR="00000000" w:rsidRDefault="00000000">
            <w:pPr>
              <w:tabs>
                <w:tab w:val="decimal" w:pos="703"/>
              </w:tabs>
              <w:ind w:firstLine="4"/>
              <w:rPr>
                <w:bCs/>
                <w:noProof/>
                <w:color w:val="000000"/>
              </w:rPr>
            </w:pPr>
            <w:r>
              <w:rPr>
                <w:bCs/>
                <w:noProof/>
                <w:color w:val="000000"/>
              </w:rPr>
              <w:t>15,6</w:t>
            </w:r>
          </w:p>
        </w:tc>
      </w:tr>
      <w:tr w:rsidR="00000000">
        <w:tblPrEx>
          <w:tblCellMar>
            <w:top w:w="0" w:type="dxa"/>
            <w:bottom w:w="0" w:type="dxa"/>
          </w:tblCellMar>
        </w:tblPrEx>
        <w:trPr>
          <w:jc w:val="center"/>
        </w:trPr>
        <w:tc>
          <w:tcPr>
            <w:tcW w:w="1681" w:type="dxa"/>
          </w:tcPr>
          <w:p w:rsidR="00000000" w:rsidRDefault="00000000">
            <w:pPr>
              <w:ind w:firstLine="4"/>
              <w:rPr>
                <w:bCs/>
                <w:noProof/>
                <w:color w:val="000000"/>
              </w:rPr>
            </w:pPr>
            <w:r>
              <w:rPr>
                <w:bCs/>
                <w:noProof/>
                <w:color w:val="000000"/>
              </w:rPr>
              <w:t>IX</w:t>
            </w:r>
          </w:p>
        </w:tc>
        <w:tc>
          <w:tcPr>
            <w:tcW w:w="1162" w:type="dxa"/>
          </w:tcPr>
          <w:p w:rsidR="00000000" w:rsidRDefault="00000000">
            <w:pPr>
              <w:tabs>
                <w:tab w:val="decimal" w:pos="720"/>
              </w:tabs>
              <w:ind w:firstLine="4"/>
              <w:rPr>
                <w:bCs/>
                <w:noProof/>
                <w:color w:val="000000"/>
              </w:rPr>
            </w:pPr>
            <w:r>
              <w:rPr>
                <w:bCs/>
                <w:noProof/>
                <w:color w:val="000000"/>
              </w:rPr>
              <w:t>111</w:t>
            </w:r>
          </w:p>
        </w:tc>
        <w:tc>
          <w:tcPr>
            <w:tcW w:w="1358" w:type="dxa"/>
          </w:tcPr>
          <w:p w:rsidR="00000000" w:rsidRDefault="00000000">
            <w:pPr>
              <w:tabs>
                <w:tab w:val="decimal" w:pos="594"/>
              </w:tabs>
              <w:ind w:firstLine="4"/>
              <w:rPr>
                <w:bCs/>
                <w:noProof/>
                <w:color w:val="000000"/>
              </w:rPr>
            </w:pPr>
            <w:r>
              <w:rPr>
                <w:bCs/>
                <w:noProof/>
                <w:color w:val="000000"/>
              </w:rPr>
              <w:t>1,7</w:t>
            </w:r>
          </w:p>
        </w:tc>
        <w:tc>
          <w:tcPr>
            <w:tcW w:w="1139" w:type="dxa"/>
          </w:tcPr>
          <w:p w:rsidR="00000000" w:rsidRDefault="00000000">
            <w:pPr>
              <w:tabs>
                <w:tab w:val="decimal" w:pos="720"/>
              </w:tabs>
              <w:ind w:firstLine="4"/>
              <w:rPr>
                <w:bCs/>
                <w:noProof/>
                <w:color w:val="000000"/>
              </w:rPr>
            </w:pPr>
            <w:r>
              <w:rPr>
                <w:bCs/>
                <w:noProof/>
                <w:color w:val="000000"/>
              </w:rPr>
              <w:t>187</w:t>
            </w:r>
          </w:p>
        </w:tc>
        <w:tc>
          <w:tcPr>
            <w:tcW w:w="1381" w:type="dxa"/>
          </w:tcPr>
          <w:p w:rsidR="00000000" w:rsidRDefault="00000000">
            <w:pPr>
              <w:tabs>
                <w:tab w:val="decimal" w:pos="700"/>
              </w:tabs>
              <w:ind w:firstLine="4"/>
              <w:rPr>
                <w:bCs/>
                <w:noProof/>
                <w:color w:val="000000"/>
              </w:rPr>
            </w:pPr>
            <w:r>
              <w:rPr>
                <w:bCs/>
                <w:noProof/>
                <w:color w:val="000000"/>
              </w:rPr>
              <w:t>3,4</w:t>
            </w:r>
          </w:p>
        </w:tc>
        <w:tc>
          <w:tcPr>
            <w:tcW w:w="1217" w:type="dxa"/>
          </w:tcPr>
          <w:p w:rsidR="00000000" w:rsidRDefault="00000000">
            <w:pPr>
              <w:tabs>
                <w:tab w:val="decimal" w:pos="720"/>
              </w:tabs>
              <w:ind w:firstLine="4"/>
              <w:rPr>
                <w:bCs/>
                <w:noProof/>
                <w:color w:val="000000"/>
              </w:rPr>
            </w:pPr>
            <w:r>
              <w:rPr>
                <w:bCs/>
                <w:noProof/>
                <w:color w:val="000000"/>
              </w:rPr>
              <w:t>264</w:t>
            </w:r>
          </w:p>
        </w:tc>
        <w:tc>
          <w:tcPr>
            <w:tcW w:w="1418" w:type="dxa"/>
          </w:tcPr>
          <w:p w:rsidR="00000000" w:rsidRDefault="00000000">
            <w:pPr>
              <w:tabs>
                <w:tab w:val="decimal" w:pos="703"/>
              </w:tabs>
              <w:ind w:firstLine="4"/>
              <w:rPr>
                <w:bCs/>
                <w:noProof/>
                <w:color w:val="000000"/>
              </w:rPr>
            </w:pPr>
            <w:r>
              <w:rPr>
                <w:bCs/>
                <w:noProof/>
                <w:color w:val="000000"/>
              </w:rPr>
              <w:t>5</w:t>
            </w:r>
          </w:p>
        </w:tc>
      </w:tr>
      <w:tr w:rsidR="00000000">
        <w:tblPrEx>
          <w:tblCellMar>
            <w:top w:w="0" w:type="dxa"/>
            <w:bottom w:w="0" w:type="dxa"/>
          </w:tblCellMar>
        </w:tblPrEx>
        <w:trPr>
          <w:jc w:val="center"/>
        </w:trPr>
        <w:tc>
          <w:tcPr>
            <w:tcW w:w="1681" w:type="dxa"/>
          </w:tcPr>
          <w:p w:rsidR="00000000" w:rsidRDefault="00000000">
            <w:pPr>
              <w:ind w:firstLine="4"/>
              <w:rPr>
                <w:bCs/>
                <w:noProof/>
                <w:color w:val="000000"/>
              </w:rPr>
            </w:pPr>
            <w:r>
              <w:rPr>
                <w:bCs/>
                <w:noProof/>
                <w:color w:val="000000"/>
              </w:rPr>
              <w:t>X</w:t>
            </w:r>
          </w:p>
        </w:tc>
        <w:tc>
          <w:tcPr>
            <w:tcW w:w="1162" w:type="dxa"/>
          </w:tcPr>
          <w:p w:rsidR="00000000" w:rsidRDefault="00000000">
            <w:pPr>
              <w:tabs>
                <w:tab w:val="decimal" w:pos="720"/>
              </w:tabs>
              <w:ind w:firstLine="4"/>
              <w:rPr>
                <w:bCs/>
                <w:noProof/>
                <w:color w:val="000000"/>
              </w:rPr>
            </w:pPr>
            <w:r>
              <w:rPr>
                <w:bCs/>
                <w:noProof/>
                <w:color w:val="000000"/>
              </w:rPr>
              <w:t>620</w:t>
            </w:r>
          </w:p>
        </w:tc>
        <w:tc>
          <w:tcPr>
            <w:tcW w:w="1358" w:type="dxa"/>
          </w:tcPr>
          <w:p w:rsidR="00000000" w:rsidRDefault="00000000">
            <w:pPr>
              <w:tabs>
                <w:tab w:val="decimal" w:pos="594"/>
              </w:tabs>
              <w:ind w:firstLine="4"/>
              <w:rPr>
                <w:bCs/>
                <w:noProof/>
                <w:color w:val="000000"/>
              </w:rPr>
            </w:pPr>
            <w:r>
              <w:rPr>
                <w:bCs/>
                <w:noProof/>
                <w:color w:val="000000"/>
              </w:rPr>
              <w:t>9,3</w:t>
            </w:r>
          </w:p>
        </w:tc>
        <w:tc>
          <w:tcPr>
            <w:tcW w:w="1139" w:type="dxa"/>
          </w:tcPr>
          <w:p w:rsidR="00000000" w:rsidRDefault="00000000">
            <w:pPr>
              <w:tabs>
                <w:tab w:val="decimal" w:pos="720"/>
              </w:tabs>
              <w:ind w:firstLine="4"/>
              <w:rPr>
                <w:bCs/>
                <w:noProof/>
                <w:color w:val="000000"/>
              </w:rPr>
            </w:pPr>
            <w:r>
              <w:rPr>
                <w:bCs/>
                <w:noProof/>
                <w:color w:val="000000"/>
              </w:rPr>
              <w:t>585</w:t>
            </w:r>
          </w:p>
        </w:tc>
        <w:tc>
          <w:tcPr>
            <w:tcW w:w="1381" w:type="dxa"/>
          </w:tcPr>
          <w:p w:rsidR="00000000" w:rsidRDefault="00000000">
            <w:pPr>
              <w:tabs>
                <w:tab w:val="decimal" w:pos="700"/>
              </w:tabs>
              <w:ind w:firstLine="4"/>
              <w:rPr>
                <w:bCs/>
                <w:noProof/>
                <w:color w:val="000000"/>
              </w:rPr>
            </w:pPr>
            <w:r>
              <w:rPr>
                <w:bCs/>
                <w:noProof/>
                <w:color w:val="000000"/>
              </w:rPr>
              <w:t>10,7</w:t>
            </w:r>
          </w:p>
        </w:tc>
        <w:tc>
          <w:tcPr>
            <w:tcW w:w="1217" w:type="dxa"/>
          </w:tcPr>
          <w:p w:rsidR="00000000" w:rsidRDefault="00000000">
            <w:pPr>
              <w:tabs>
                <w:tab w:val="decimal" w:pos="720"/>
              </w:tabs>
              <w:ind w:firstLine="4"/>
              <w:rPr>
                <w:bCs/>
                <w:noProof/>
                <w:color w:val="000000"/>
              </w:rPr>
            </w:pPr>
            <w:r>
              <w:rPr>
                <w:bCs/>
                <w:noProof/>
                <w:color w:val="000000"/>
              </w:rPr>
              <w:t>463</w:t>
            </w:r>
          </w:p>
        </w:tc>
        <w:tc>
          <w:tcPr>
            <w:tcW w:w="1418" w:type="dxa"/>
          </w:tcPr>
          <w:p w:rsidR="00000000" w:rsidRDefault="00000000">
            <w:pPr>
              <w:tabs>
                <w:tab w:val="decimal" w:pos="703"/>
              </w:tabs>
              <w:ind w:firstLine="4"/>
              <w:rPr>
                <w:bCs/>
                <w:noProof/>
                <w:color w:val="000000"/>
              </w:rPr>
            </w:pPr>
            <w:r>
              <w:rPr>
                <w:bCs/>
                <w:noProof/>
                <w:color w:val="000000"/>
              </w:rPr>
              <w:t>8,9</w:t>
            </w:r>
          </w:p>
        </w:tc>
      </w:tr>
      <w:tr w:rsidR="00000000">
        <w:tblPrEx>
          <w:tblCellMar>
            <w:top w:w="0" w:type="dxa"/>
            <w:bottom w:w="0" w:type="dxa"/>
          </w:tblCellMar>
        </w:tblPrEx>
        <w:trPr>
          <w:jc w:val="center"/>
        </w:trPr>
        <w:tc>
          <w:tcPr>
            <w:tcW w:w="1681" w:type="dxa"/>
          </w:tcPr>
          <w:p w:rsidR="00000000" w:rsidRDefault="00000000">
            <w:pPr>
              <w:ind w:firstLine="4"/>
              <w:rPr>
                <w:bCs/>
                <w:noProof/>
                <w:color w:val="000000"/>
              </w:rPr>
            </w:pPr>
            <w:r>
              <w:rPr>
                <w:bCs/>
                <w:noProof/>
                <w:color w:val="000000"/>
              </w:rPr>
              <w:t>XI</w:t>
            </w:r>
          </w:p>
        </w:tc>
        <w:tc>
          <w:tcPr>
            <w:tcW w:w="1162" w:type="dxa"/>
          </w:tcPr>
          <w:p w:rsidR="00000000" w:rsidRDefault="00000000">
            <w:pPr>
              <w:tabs>
                <w:tab w:val="decimal" w:pos="720"/>
              </w:tabs>
              <w:ind w:firstLine="4"/>
              <w:rPr>
                <w:bCs/>
                <w:noProof/>
                <w:color w:val="000000"/>
              </w:rPr>
            </w:pPr>
            <w:r>
              <w:rPr>
                <w:bCs/>
                <w:noProof/>
                <w:color w:val="000000"/>
              </w:rPr>
              <w:t>24</w:t>
            </w:r>
          </w:p>
        </w:tc>
        <w:tc>
          <w:tcPr>
            <w:tcW w:w="1358" w:type="dxa"/>
          </w:tcPr>
          <w:p w:rsidR="00000000" w:rsidRDefault="00000000">
            <w:pPr>
              <w:tabs>
                <w:tab w:val="decimal" w:pos="594"/>
              </w:tabs>
              <w:ind w:firstLine="4"/>
              <w:rPr>
                <w:bCs/>
                <w:noProof/>
                <w:color w:val="000000"/>
              </w:rPr>
            </w:pPr>
            <w:r>
              <w:rPr>
                <w:bCs/>
                <w:noProof/>
                <w:color w:val="000000"/>
              </w:rPr>
              <w:t>0,4</w:t>
            </w:r>
          </w:p>
        </w:tc>
        <w:tc>
          <w:tcPr>
            <w:tcW w:w="1139" w:type="dxa"/>
          </w:tcPr>
          <w:p w:rsidR="00000000" w:rsidRDefault="00000000">
            <w:pPr>
              <w:tabs>
                <w:tab w:val="decimal" w:pos="720"/>
              </w:tabs>
              <w:ind w:firstLine="4"/>
              <w:rPr>
                <w:bCs/>
                <w:noProof/>
                <w:color w:val="000000"/>
              </w:rPr>
            </w:pPr>
            <w:r>
              <w:rPr>
                <w:bCs/>
                <w:noProof/>
                <w:color w:val="000000"/>
              </w:rPr>
              <w:t>77</w:t>
            </w:r>
          </w:p>
        </w:tc>
        <w:tc>
          <w:tcPr>
            <w:tcW w:w="1381" w:type="dxa"/>
          </w:tcPr>
          <w:p w:rsidR="00000000" w:rsidRDefault="00000000">
            <w:pPr>
              <w:tabs>
                <w:tab w:val="decimal" w:pos="700"/>
              </w:tabs>
              <w:ind w:firstLine="4"/>
              <w:rPr>
                <w:bCs/>
                <w:noProof/>
                <w:color w:val="000000"/>
              </w:rPr>
            </w:pPr>
            <w:r>
              <w:rPr>
                <w:bCs/>
                <w:noProof/>
                <w:color w:val="000000"/>
              </w:rPr>
              <w:t>1,4</w:t>
            </w:r>
          </w:p>
        </w:tc>
        <w:tc>
          <w:tcPr>
            <w:tcW w:w="1217" w:type="dxa"/>
          </w:tcPr>
          <w:p w:rsidR="00000000" w:rsidRDefault="00000000">
            <w:pPr>
              <w:tabs>
                <w:tab w:val="decimal" w:pos="720"/>
              </w:tabs>
              <w:ind w:firstLine="4"/>
              <w:rPr>
                <w:bCs/>
                <w:noProof/>
                <w:color w:val="000000"/>
              </w:rPr>
            </w:pPr>
            <w:r>
              <w:rPr>
                <w:bCs/>
                <w:noProof/>
                <w:color w:val="000000"/>
              </w:rPr>
              <w:t>76</w:t>
            </w:r>
          </w:p>
        </w:tc>
        <w:tc>
          <w:tcPr>
            <w:tcW w:w="1418" w:type="dxa"/>
          </w:tcPr>
          <w:p w:rsidR="00000000" w:rsidRDefault="00000000">
            <w:pPr>
              <w:tabs>
                <w:tab w:val="decimal" w:pos="703"/>
              </w:tabs>
              <w:ind w:firstLine="4"/>
              <w:rPr>
                <w:bCs/>
                <w:noProof/>
                <w:color w:val="000000"/>
              </w:rPr>
            </w:pPr>
            <w:r>
              <w:rPr>
                <w:bCs/>
                <w:noProof/>
                <w:color w:val="000000"/>
              </w:rPr>
              <w:t>1,6</w:t>
            </w:r>
          </w:p>
        </w:tc>
      </w:tr>
      <w:tr w:rsidR="00000000">
        <w:tblPrEx>
          <w:tblCellMar>
            <w:top w:w="0" w:type="dxa"/>
            <w:bottom w:w="0" w:type="dxa"/>
          </w:tblCellMar>
        </w:tblPrEx>
        <w:trPr>
          <w:jc w:val="center"/>
        </w:trPr>
        <w:tc>
          <w:tcPr>
            <w:tcW w:w="1681" w:type="dxa"/>
          </w:tcPr>
          <w:p w:rsidR="00000000" w:rsidRDefault="00000000">
            <w:pPr>
              <w:ind w:firstLine="4"/>
              <w:rPr>
                <w:bCs/>
                <w:noProof/>
                <w:color w:val="000000"/>
              </w:rPr>
            </w:pPr>
            <w:r>
              <w:rPr>
                <w:bCs/>
                <w:noProof/>
                <w:color w:val="000000"/>
              </w:rPr>
              <w:t>XII</w:t>
            </w:r>
          </w:p>
        </w:tc>
        <w:tc>
          <w:tcPr>
            <w:tcW w:w="1162" w:type="dxa"/>
          </w:tcPr>
          <w:p w:rsidR="00000000" w:rsidRDefault="00000000">
            <w:pPr>
              <w:tabs>
                <w:tab w:val="decimal" w:pos="720"/>
              </w:tabs>
              <w:ind w:firstLine="4"/>
              <w:rPr>
                <w:bCs/>
                <w:noProof/>
                <w:color w:val="000000"/>
              </w:rPr>
            </w:pPr>
            <w:r>
              <w:rPr>
                <w:bCs/>
                <w:noProof/>
                <w:color w:val="000000"/>
              </w:rPr>
              <w:t>123</w:t>
            </w:r>
          </w:p>
        </w:tc>
        <w:tc>
          <w:tcPr>
            <w:tcW w:w="1358" w:type="dxa"/>
          </w:tcPr>
          <w:p w:rsidR="00000000" w:rsidRDefault="00000000">
            <w:pPr>
              <w:tabs>
                <w:tab w:val="decimal" w:pos="594"/>
              </w:tabs>
              <w:ind w:firstLine="4"/>
              <w:rPr>
                <w:bCs/>
                <w:noProof/>
                <w:color w:val="000000"/>
              </w:rPr>
            </w:pPr>
            <w:r>
              <w:rPr>
                <w:bCs/>
                <w:noProof/>
                <w:color w:val="000000"/>
              </w:rPr>
              <w:t>1,8</w:t>
            </w:r>
          </w:p>
        </w:tc>
        <w:tc>
          <w:tcPr>
            <w:tcW w:w="1139" w:type="dxa"/>
          </w:tcPr>
          <w:p w:rsidR="00000000" w:rsidRDefault="00000000">
            <w:pPr>
              <w:tabs>
                <w:tab w:val="decimal" w:pos="720"/>
              </w:tabs>
              <w:ind w:firstLine="4"/>
              <w:rPr>
                <w:bCs/>
                <w:noProof/>
                <w:color w:val="000000"/>
              </w:rPr>
            </w:pPr>
            <w:r>
              <w:rPr>
                <w:bCs/>
                <w:noProof/>
                <w:color w:val="000000"/>
              </w:rPr>
              <w:t>95</w:t>
            </w:r>
          </w:p>
        </w:tc>
        <w:tc>
          <w:tcPr>
            <w:tcW w:w="1381" w:type="dxa"/>
          </w:tcPr>
          <w:p w:rsidR="00000000" w:rsidRDefault="00000000">
            <w:pPr>
              <w:tabs>
                <w:tab w:val="decimal" w:pos="700"/>
              </w:tabs>
              <w:ind w:firstLine="4"/>
              <w:rPr>
                <w:bCs/>
                <w:noProof/>
                <w:color w:val="000000"/>
              </w:rPr>
            </w:pPr>
            <w:r>
              <w:rPr>
                <w:bCs/>
                <w:noProof/>
                <w:color w:val="000000"/>
              </w:rPr>
              <w:t>1,7</w:t>
            </w:r>
          </w:p>
        </w:tc>
        <w:tc>
          <w:tcPr>
            <w:tcW w:w="1217" w:type="dxa"/>
          </w:tcPr>
          <w:p w:rsidR="00000000" w:rsidRDefault="00000000">
            <w:pPr>
              <w:tabs>
                <w:tab w:val="decimal" w:pos="720"/>
              </w:tabs>
              <w:ind w:firstLine="4"/>
              <w:rPr>
                <w:bCs/>
                <w:noProof/>
                <w:color w:val="000000"/>
              </w:rPr>
            </w:pPr>
            <w:r>
              <w:rPr>
                <w:bCs/>
                <w:noProof/>
                <w:color w:val="000000"/>
              </w:rPr>
              <w:t>70</w:t>
            </w:r>
          </w:p>
        </w:tc>
        <w:tc>
          <w:tcPr>
            <w:tcW w:w="1418" w:type="dxa"/>
          </w:tcPr>
          <w:p w:rsidR="00000000" w:rsidRDefault="00000000">
            <w:pPr>
              <w:tabs>
                <w:tab w:val="decimal" w:pos="703"/>
              </w:tabs>
              <w:ind w:firstLine="4"/>
              <w:rPr>
                <w:bCs/>
                <w:noProof/>
                <w:color w:val="000000"/>
              </w:rPr>
            </w:pPr>
            <w:r>
              <w:rPr>
                <w:bCs/>
                <w:noProof/>
                <w:color w:val="000000"/>
              </w:rPr>
              <w:t>1,4</w:t>
            </w:r>
          </w:p>
        </w:tc>
      </w:tr>
      <w:tr w:rsidR="00000000">
        <w:tblPrEx>
          <w:tblCellMar>
            <w:top w:w="0" w:type="dxa"/>
            <w:bottom w:w="0" w:type="dxa"/>
          </w:tblCellMar>
        </w:tblPrEx>
        <w:trPr>
          <w:jc w:val="center"/>
        </w:trPr>
        <w:tc>
          <w:tcPr>
            <w:tcW w:w="1681" w:type="dxa"/>
          </w:tcPr>
          <w:p w:rsidR="00000000" w:rsidRDefault="00000000">
            <w:pPr>
              <w:ind w:firstLine="4"/>
              <w:rPr>
                <w:bCs/>
                <w:noProof/>
                <w:color w:val="000000"/>
              </w:rPr>
            </w:pPr>
            <w:r>
              <w:rPr>
                <w:bCs/>
                <w:noProof/>
                <w:color w:val="000000"/>
              </w:rPr>
              <w:t>Metropolitana</w:t>
            </w:r>
          </w:p>
        </w:tc>
        <w:tc>
          <w:tcPr>
            <w:tcW w:w="1162" w:type="dxa"/>
          </w:tcPr>
          <w:p w:rsidR="00000000" w:rsidRDefault="00000000">
            <w:pPr>
              <w:tabs>
                <w:tab w:val="decimal" w:pos="720"/>
              </w:tabs>
              <w:ind w:firstLine="4"/>
              <w:rPr>
                <w:bCs/>
                <w:noProof/>
                <w:color w:val="000000"/>
              </w:rPr>
            </w:pPr>
            <w:r>
              <w:rPr>
                <w:bCs/>
                <w:noProof/>
                <w:color w:val="000000"/>
              </w:rPr>
              <w:t>1.901</w:t>
            </w:r>
          </w:p>
        </w:tc>
        <w:tc>
          <w:tcPr>
            <w:tcW w:w="1358" w:type="dxa"/>
          </w:tcPr>
          <w:p w:rsidR="00000000" w:rsidRDefault="00000000">
            <w:pPr>
              <w:tabs>
                <w:tab w:val="decimal" w:pos="594"/>
              </w:tabs>
              <w:ind w:firstLine="4"/>
              <w:rPr>
                <w:bCs/>
                <w:noProof/>
                <w:color w:val="000000"/>
              </w:rPr>
            </w:pPr>
            <w:r>
              <w:rPr>
                <w:bCs/>
                <w:noProof/>
                <w:color w:val="000000"/>
              </w:rPr>
              <w:t>28,5</w:t>
            </w:r>
          </w:p>
        </w:tc>
        <w:tc>
          <w:tcPr>
            <w:tcW w:w="1139" w:type="dxa"/>
          </w:tcPr>
          <w:p w:rsidR="00000000" w:rsidRDefault="00000000">
            <w:pPr>
              <w:tabs>
                <w:tab w:val="decimal" w:pos="720"/>
              </w:tabs>
              <w:ind w:firstLine="4"/>
              <w:rPr>
                <w:bCs/>
                <w:noProof/>
                <w:color w:val="000000"/>
              </w:rPr>
            </w:pPr>
            <w:r>
              <w:rPr>
                <w:bCs/>
                <w:noProof/>
                <w:color w:val="000000"/>
              </w:rPr>
              <w:t>1.495</w:t>
            </w:r>
          </w:p>
        </w:tc>
        <w:tc>
          <w:tcPr>
            <w:tcW w:w="1381" w:type="dxa"/>
          </w:tcPr>
          <w:p w:rsidR="00000000" w:rsidRDefault="00000000">
            <w:pPr>
              <w:tabs>
                <w:tab w:val="decimal" w:pos="700"/>
              </w:tabs>
              <w:ind w:firstLine="4"/>
              <w:rPr>
                <w:bCs/>
                <w:noProof/>
                <w:color w:val="000000"/>
              </w:rPr>
            </w:pPr>
            <w:r>
              <w:rPr>
                <w:bCs/>
                <w:noProof/>
                <w:color w:val="000000"/>
              </w:rPr>
              <w:t>27</w:t>
            </w:r>
          </w:p>
        </w:tc>
        <w:tc>
          <w:tcPr>
            <w:tcW w:w="1217" w:type="dxa"/>
          </w:tcPr>
          <w:p w:rsidR="00000000" w:rsidRDefault="00000000">
            <w:pPr>
              <w:tabs>
                <w:tab w:val="decimal" w:pos="720"/>
              </w:tabs>
              <w:ind w:firstLine="4"/>
              <w:rPr>
                <w:bCs/>
                <w:noProof/>
                <w:color w:val="000000"/>
              </w:rPr>
            </w:pPr>
            <w:r>
              <w:rPr>
                <w:bCs/>
                <w:noProof/>
                <w:color w:val="000000"/>
              </w:rPr>
              <w:t>1.618</w:t>
            </w:r>
          </w:p>
        </w:tc>
        <w:tc>
          <w:tcPr>
            <w:tcW w:w="1418" w:type="dxa"/>
          </w:tcPr>
          <w:p w:rsidR="00000000" w:rsidRDefault="00000000">
            <w:pPr>
              <w:tabs>
                <w:tab w:val="decimal" w:pos="703"/>
              </w:tabs>
              <w:ind w:firstLine="4"/>
              <w:rPr>
                <w:bCs/>
                <w:noProof/>
                <w:color w:val="000000"/>
              </w:rPr>
            </w:pPr>
            <w:r>
              <w:rPr>
                <w:bCs/>
                <w:noProof/>
                <w:color w:val="000000"/>
              </w:rPr>
              <w:t>31</w:t>
            </w:r>
          </w:p>
        </w:tc>
      </w:tr>
      <w:tr w:rsidR="00000000">
        <w:tblPrEx>
          <w:tblCellMar>
            <w:top w:w="0" w:type="dxa"/>
            <w:bottom w:w="0" w:type="dxa"/>
          </w:tblCellMar>
        </w:tblPrEx>
        <w:trPr>
          <w:jc w:val="center"/>
        </w:trPr>
        <w:tc>
          <w:tcPr>
            <w:tcW w:w="1681" w:type="dxa"/>
          </w:tcPr>
          <w:p w:rsidR="00000000" w:rsidRDefault="00000000">
            <w:pPr>
              <w:tabs>
                <w:tab w:val="left" w:pos="455"/>
              </w:tabs>
              <w:ind w:firstLine="4"/>
              <w:rPr>
                <w:bCs/>
                <w:noProof/>
                <w:color w:val="000000"/>
              </w:rPr>
            </w:pPr>
            <w:r>
              <w:rPr>
                <w:bCs/>
                <w:noProof/>
                <w:color w:val="000000"/>
              </w:rPr>
              <w:tab/>
              <w:t>Total</w:t>
            </w:r>
          </w:p>
        </w:tc>
        <w:tc>
          <w:tcPr>
            <w:tcW w:w="1162" w:type="dxa"/>
          </w:tcPr>
          <w:p w:rsidR="00000000" w:rsidRDefault="00000000">
            <w:pPr>
              <w:tabs>
                <w:tab w:val="decimal" w:pos="720"/>
              </w:tabs>
              <w:ind w:firstLine="4"/>
              <w:rPr>
                <w:bCs/>
                <w:noProof/>
                <w:color w:val="000000"/>
              </w:rPr>
            </w:pPr>
            <w:r>
              <w:rPr>
                <w:bCs/>
                <w:noProof/>
                <w:color w:val="000000"/>
              </w:rPr>
              <w:t>6.679</w:t>
            </w:r>
          </w:p>
        </w:tc>
        <w:tc>
          <w:tcPr>
            <w:tcW w:w="1358" w:type="dxa"/>
          </w:tcPr>
          <w:p w:rsidR="00000000" w:rsidRDefault="00000000">
            <w:pPr>
              <w:tabs>
                <w:tab w:val="decimal" w:pos="594"/>
              </w:tabs>
              <w:ind w:firstLine="4"/>
              <w:rPr>
                <w:bCs/>
                <w:noProof/>
                <w:color w:val="000000"/>
              </w:rPr>
            </w:pPr>
            <w:r>
              <w:rPr>
                <w:bCs/>
                <w:noProof/>
                <w:color w:val="000000"/>
              </w:rPr>
              <w:t>100</w:t>
            </w:r>
          </w:p>
        </w:tc>
        <w:tc>
          <w:tcPr>
            <w:tcW w:w="1139" w:type="dxa"/>
          </w:tcPr>
          <w:p w:rsidR="00000000" w:rsidRDefault="00000000">
            <w:pPr>
              <w:tabs>
                <w:tab w:val="decimal" w:pos="720"/>
              </w:tabs>
              <w:ind w:firstLine="4"/>
              <w:rPr>
                <w:bCs/>
                <w:noProof/>
                <w:color w:val="000000"/>
              </w:rPr>
            </w:pPr>
            <w:r>
              <w:rPr>
                <w:bCs/>
                <w:noProof/>
                <w:color w:val="000000"/>
              </w:rPr>
              <w:t>5.462</w:t>
            </w:r>
          </w:p>
        </w:tc>
        <w:tc>
          <w:tcPr>
            <w:tcW w:w="1381" w:type="dxa"/>
          </w:tcPr>
          <w:p w:rsidR="00000000" w:rsidRDefault="00000000">
            <w:pPr>
              <w:tabs>
                <w:tab w:val="decimal" w:pos="700"/>
              </w:tabs>
              <w:ind w:firstLine="4"/>
              <w:rPr>
                <w:bCs/>
                <w:noProof/>
                <w:color w:val="000000"/>
              </w:rPr>
            </w:pPr>
            <w:r>
              <w:rPr>
                <w:bCs/>
                <w:noProof/>
                <w:color w:val="000000"/>
              </w:rPr>
              <w:t>100</w:t>
            </w:r>
          </w:p>
        </w:tc>
        <w:tc>
          <w:tcPr>
            <w:tcW w:w="1217" w:type="dxa"/>
          </w:tcPr>
          <w:p w:rsidR="00000000" w:rsidRDefault="00000000">
            <w:pPr>
              <w:tabs>
                <w:tab w:val="decimal" w:pos="720"/>
              </w:tabs>
              <w:ind w:firstLine="4"/>
              <w:rPr>
                <w:bCs/>
                <w:noProof/>
                <w:color w:val="000000"/>
              </w:rPr>
            </w:pPr>
            <w:r>
              <w:rPr>
                <w:bCs/>
                <w:noProof/>
                <w:color w:val="000000"/>
              </w:rPr>
              <w:t>5.228</w:t>
            </w:r>
          </w:p>
        </w:tc>
        <w:tc>
          <w:tcPr>
            <w:tcW w:w="1418" w:type="dxa"/>
          </w:tcPr>
          <w:p w:rsidR="00000000" w:rsidRDefault="00000000">
            <w:pPr>
              <w:tabs>
                <w:tab w:val="decimal" w:pos="703"/>
              </w:tabs>
              <w:ind w:firstLine="4"/>
              <w:rPr>
                <w:bCs/>
                <w:noProof/>
                <w:color w:val="000000"/>
              </w:rPr>
            </w:pPr>
            <w:r>
              <w:rPr>
                <w:bCs/>
                <w:noProof/>
                <w:color w:val="000000"/>
              </w:rPr>
              <w:t>100</w:t>
            </w:r>
          </w:p>
        </w:tc>
      </w:tr>
    </w:tbl>
    <w:p w:rsidR="00000000" w:rsidRDefault="00000000">
      <w:pPr>
        <w:tabs>
          <w:tab w:val="center" w:pos="4680"/>
          <w:tab w:val="left" w:pos="4956"/>
          <w:tab w:val="left" w:pos="5664"/>
          <w:tab w:val="left" w:pos="6372"/>
          <w:tab w:val="left" w:pos="7080"/>
          <w:tab w:val="left" w:pos="7788"/>
          <w:tab w:val="left" w:pos="8496"/>
        </w:tabs>
        <w:spacing w:before="220" w:after="440"/>
        <w:rPr>
          <w:bCs/>
          <w:noProof/>
          <w:color w:val="000000"/>
        </w:rPr>
      </w:pPr>
      <w:r>
        <w:rPr>
          <w:bCs/>
          <w:i/>
          <w:iCs/>
          <w:noProof/>
          <w:color w:val="000000"/>
        </w:rPr>
        <w:t>Fuente</w:t>
      </w:r>
      <w:r>
        <w:rPr>
          <w:bCs/>
          <w:noProof/>
          <w:color w:val="000000"/>
        </w:rPr>
        <w:t>:  SENAME, 2004.</w:t>
      </w:r>
    </w:p>
    <w:p w:rsidR="00000000" w:rsidRDefault="00000000">
      <w:pPr>
        <w:spacing w:after="220"/>
        <w:jc w:val="center"/>
        <w:rPr>
          <w:b/>
          <w:noProof/>
          <w:color w:val="000000"/>
        </w:rPr>
      </w:pPr>
      <w:r>
        <w:rPr>
          <w:b/>
          <w:noProof/>
          <w:color w:val="000000"/>
        </w:rPr>
        <w:t>Cuadro 57</w:t>
      </w:r>
    </w:p>
    <w:p w:rsidR="00000000" w:rsidRDefault="00000000">
      <w:pPr>
        <w:spacing w:after="220"/>
        <w:ind w:left="-6" w:firstLine="6"/>
        <w:jc w:val="center"/>
        <w:rPr>
          <w:bCs/>
          <w:noProof/>
          <w:color w:val="000000"/>
        </w:rPr>
      </w:pPr>
      <w:r>
        <w:rPr>
          <w:b/>
          <w:noProof/>
          <w:color w:val="000000"/>
        </w:rPr>
        <w:t>Número de adolescentes ingresados a proyectos de defensa</w:t>
      </w:r>
      <w:r>
        <w:rPr>
          <w:b/>
          <w:noProof/>
          <w:color w:val="000000"/>
        </w:rPr>
        <w:br/>
        <w:t>entre el 1º de enero y el 31 de mayo del año 2003</w:t>
      </w:r>
    </w:p>
    <w:tbl>
      <w:tblPr>
        <w:tblW w:w="0" w:type="auto"/>
        <w:tblInd w:w="15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261"/>
        <w:gridCol w:w="3259"/>
      </w:tblGrid>
      <w:tr w:rsidR="00000000">
        <w:tblPrEx>
          <w:tblCellMar>
            <w:top w:w="0" w:type="dxa"/>
            <w:bottom w:w="0" w:type="dxa"/>
          </w:tblCellMar>
        </w:tblPrEx>
        <w:trPr>
          <w:tblHeader/>
        </w:trPr>
        <w:tc>
          <w:tcPr>
            <w:tcW w:w="3261"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jc w:val="center"/>
              <w:rPr>
                <w:b/>
                <w:noProof/>
                <w:color w:val="000000"/>
              </w:rPr>
            </w:pPr>
            <w:r>
              <w:rPr>
                <w:b/>
                <w:noProof/>
                <w:color w:val="000000"/>
              </w:rPr>
              <w:t>Región</w:t>
            </w:r>
          </w:p>
        </w:tc>
        <w:tc>
          <w:tcPr>
            <w:tcW w:w="3259"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jc w:val="center"/>
              <w:rPr>
                <w:b/>
                <w:noProof/>
                <w:color w:val="000000"/>
              </w:rPr>
            </w:pPr>
            <w:r>
              <w:rPr>
                <w:b/>
                <w:noProof/>
                <w:color w:val="000000"/>
              </w:rPr>
              <w:t>Número de adolescentes</w:t>
            </w:r>
          </w:p>
        </w:tc>
      </w:tr>
      <w:tr w:rsidR="00000000">
        <w:tblPrEx>
          <w:tblCellMar>
            <w:top w:w="0" w:type="dxa"/>
            <w:bottom w:w="0" w:type="dxa"/>
          </w:tblCellMar>
        </w:tblPrEx>
        <w:tc>
          <w:tcPr>
            <w:tcW w:w="3261"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rPr>
                <w:bCs/>
                <w:noProof/>
                <w:color w:val="000000"/>
                <w:lang w:val="en-GB"/>
              </w:rPr>
            </w:pPr>
            <w:r>
              <w:rPr>
                <w:bCs/>
                <w:noProof/>
                <w:color w:val="000000"/>
                <w:lang w:val="en-GB"/>
              </w:rPr>
              <w:t>I</w:t>
            </w:r>
          </w:p>
        </w:tc>
        <w:tc>
          <w:tcPr>
            <w:tcW w:w="3259" w:type="dxa"/>
          </w:tcPr>
          <w:p w:rsidR="00000000" w:rsidRDefault="00000000">
            <w:pPr>
              <w:tabs>
                <w:tab w:val="decimal" w:pos="1738"/>
              </w:tabs>
              <w:rPr>
                <w:bCs/>
                <w:noProof/>
                <w:color w:val="000000"/>
                <w:lang w:val="en-GB"/>
              </w:rPr>
            </w:pPr>
            <w:r>
              <w:rPr>
                <w:bCs/>
                <w:noProof/>
                <w:color w:val="000000"/>
                <w:lang w:val="en-GB"/>
              </w:rPr>
              <w:t>78</w:t>
            </w:r>
          </w:p>
        </w:tc>
      </w:tr>
      <w:tr w:rsidR="00000000">
        <w:tblPrEx>
          <w:tblCellMar>
            <w:top w:w="0" w:type="dxa"/>
            <w:bottom w:w="0" w:type="dxa"/>
          </w:tblCellMar>
        </w:tblPrEx>
        <w:tc>
          <w:tcPr>
            <w:tcW w:w="3261"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rPr>
                <w:bCs/>
                <w:noProof/>
                <w:color w:val="000000"/>
                <w:lang w:val="en-GB"/>
              </w:rPr>
            </w:pPr>
            <w:r>
              <w:rPr>
                <w:bCs/>
                <w:noProof/>
                <w:color w:val="000000"/>
                <w:lang w:val="en-GB"/>
              </w:rPr>
              <w:t>II</w:t>
            </w:r>
          </w:p>
        </w:tc>
        <w:tc>
          <w:tcPr>
            <w:tcW w:w="3259" w:type="dxa"/>
          </w:tcPr>
          <w:p w:rsidR="00000000" w:rsidRDefault="00000000">
            <w:pPr>
              <w:tabs>
                <w:tab w:val="decimal" w:pos="1738"/>
              </w:tabs>
              <w:rPr>
                <w:bCs/>
                <w:noProof/>
                <w:color w:val="000000"/>
                <w:lang w:val="en-GB"/>
              </w:rPr>
            </w:pPr>
            <w:r>
              <w:rPr>
                <w:bCs/>
                <w:noProof/>
                <w:color w:val="000000"/>
                <w:lang w:val="en-GB"/>
              </w:rPr>
              <w:t>182</w:t>
            </w:r>
          </w:p>
        </w:tc>
      </w:tr>
      <w:tr w:rsidR="00000000">
        <w:tblPrEx>
          <w:tblCellMar>
            <w:top w:w="0" w:type="dxa"/>
            <w:bottom w:w="0" w:type="dxa"/>
          </w:tblCellMar>
        </w:tblPrEx>
        <w:tc>
          <w:tcPr>
            <w:tcW w:w="3261"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rPr>
                <w:bCs/>
                <w:noProof/>
                <w:color w:val="000000"/>
                <w:lang w:val="en-GB"/>
              </w:rPr>
            </w:pPr>
            <w:r>
              <w:rPr>
                <w:bCs/>
                <w:noProof/>
                <w:color w:val="000000"/>
                <w:lang w:val="en-GB"/>
              </w:rPr>
              <w:t>III</w:t>
            </w:r>
          </w:p>
        </w:tc>
        <w:tc>
          <w:tcPr>
            <w:tcW w:w="3259" w:type="dxa"/>
          </w:tcPr>
          <w:p w:rsidR="00000000" w:rsidRDefault="00000000">
            <w:pPr>
              <w:tabs>
                <w:tab w:val="decimal" w:pos="1738"/>
              </w:tabs>
              <w:rPr>
                <w:bCs/>
                <w:noProof/>
                <w:color w:val="000000"/>
              </w:rPr>
            </w:pPr>
            <w:r>
              <w:rPr>
                <w:bCs/>
                <w:noProof/>
                <w:color w:val="000000"/>
              </w:rPr>
              <w:t>104</w:t>
            </w:r>
          </w:p>
        </w:tc>
      </w:tr>
      <w:tr w:rsidR="00000000">
        <w:tblPrEx>
          <w:tblCellMar>
            <w:top w:w="0" w:type="dxa"/>
            <w:bottom w:w="0" w:type="dxa"/>
          </w:tblCellMar>
        </w:tblPrEx>
        <w:tc>
          <w:tcPr>
            <w:tcW w:w="3261"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rPr>
                <w:bCs/>
                <w:noProof/>
                <w:color w:val="000000"/>
              </w:rPr>
            </w:pPr>
            <w:r>
              <w:rPr>
                <w:bCs/>
                <w:noProof/>
                <w:color w:val="000000"/>
              </w:rPr>
              <w:t>IV</w:t>
            </w:r>
          </w:p>
        </w:tc>
        <w:tc>
          <w:tcPr>
            <w:tcW w:w="3259" w:type="dxa"/>
          </w:tcPr>
          <w:p w:rsidR="00000000" w:rsidRDefault="00000000">
            <w:pPr>
              <w:tabs>
                <w:tab w:val="decimal" w:pos="1738"/>
              </w:tabs>
              <w:rPr>
                <w:bCs/>
                <w:noProof/>
                <w:color w:val="000000"/>
              </w:rPr>
            </w:pPr>
            <w:r>
              <w:rPr>
                <w:bCs/>
                <w:noProof/>
                <w:color w:val="000000"/>
              </w:rPr>
              <w:t>147</w:t>
            </w:r>
          </w:p>
        </w:tc>
      </w:tr>
      <w:tr w:rsidR="00000000">
        <w:tblPrEx>
          <w:tblCellMar>
            <w:top w:w="0" w:type="dxa"/>
            <w:bottom w:w="0" w:type="dxa"/>
          </w:tblCellMar>
        </w:tblPrEx>
        <w:tc>
          <w:tcPr>
            <w:tcW w:w="3261"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rPr>
                <w:bCs/>
                <w:noProof/>
                <w:color w:val="000000"/>
              </w:rPr>
            </w:pPr>
            <w:r>
              <w:rPr>
                <w:bCs/>
                <w:noProof/>
                <w:color w:val="000000"/>
              </w:rPr>
              <w:t>V</w:t>
            </w:r>
          </w:p>
        </w:tc>
        <w:tc>
          <w:tcPr>
            <w:tcW w:w="3259" w:type="dxa"/>
          </w:tcPr>
          <w:p w:rsidR="00000000" w:rsidRDefault="00000000">
            <w:pPr>
              <w:tabs>
                <w:tab w:val="decimal" w:pos="1738"/>
              </w:tabs>
              <w:rPr>
                <w:bCs/>
                <w:noProof/>
                <w:color w:val="000000"/>
              </w:rPr>
            </w:pPr>
            <w:r>
              <w:rPr>
                <w:bCs/>
                <w:noProof/>
                <w:color w:val="000000"/>
              </w:rPr>
              <w:t>719</w:t>
            </w:r>
          </w:p>
        </w:tc>
      </w:tr>
      <w:tr w:rsidR="00000000">
        <w:tblPrEx>
          <w:tblCellMar>
            <w:top w:w="0" w:type="dxa"/>
            <w:bottom w:w="0" w:type="dxa"/>
          </w:tblCellMar>
        </w:tblPrEx>
        <w:tc>
          <w:tcPr>
            <w:tcW w:w="3261"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rPr>
                <w:bCs/>
                <w:noProof/>
                <w:color w:val="000000"/>
              </w:rPr>
            </w:pPr>
            <w:r>
              <w:rPr>
                <w:bCs/>
                <w:noProof/>
                <w:color w:val="000000"/>
              </w:rPr>
              <w:t>VI</w:t>
            </w:r>
          </w:p>
        </w:tc>
        <w:tc>
          <w:tcPr>
            <w:tcW w:w="3259" w:type="dxa"/>
          </w:tcPr>
          <w:p w:rsidR="00000000" w:rsidRDefault="00000000">
            <w:pPr>
              <w:tabs>
                <w:tab w:val="decimal" w:pos="1738"/>
              </w:tabs>
              <w:rPr>
                <w:bCs/>
                <w:noProof/>
                <w:color w:val="000000"/>
              </w:rPr>
            </w:pPr>
            <w:r>
              <w:rPr>
                <w:bCs/>
                <w:noProof/>
                <w:color w:val="000000"/>
              </w:rPr>
              <w:t>154</w:t>
            </w:r>
          </w:p>
        </w:tc>
      </w:tr>
      <w:tr w:rsidR="00000000">
        <w:tblPrEx>
          <w:tblCellMar>
            <w:top w:w="0" w:type="dxa"/>
            <w:bottom w:w="0" w:type="dxa"/>
          </w:tblCellMar>
        </w:tblPrEx>
        <w:tc>
          <w:tcPr>
            <w:tcW w:w="3261"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rPr>
                <w:bCs/>
                <w:noProof/>
                <w:color w:val="000000"/>
              </w:rPr>
            </w:pPr>
            <w:r>
              <w:rPr>
                <w:bCs/>
                <w:noProof/>
                <w:color w:val="000000"/>
              </w:rPr>
              <w:t>VII</w:t>
            </w:r>
          </w:p>
        </w:tc>
        <w:tc>
          <w:tcPr>
            <w:tcW w:w="3259" w:type="dxa"/>
          </w:tcPr>
          <w:p w:rsidR="00000000" w:rsidRDefault="00000000">
            <w:pPr>
              <w:tabs>
                <w:tab w:val="decimal" w:pos="1738"/>
              </w:tabs>
              <w:rPr>
                <w:bCs/>
                <w:noProof/>
                <w:color w:val="000000"/>
              </w:rPr>
            </w:pPr>
            <w:r>
              <w:rPr>
                <w:bCs/>
                <w:noProof/>
                <w:color w:val="000000"/>
              </w:rPr>
              <w:t>203</w:t>
            </w:r>
          </w:p>
        </w:tc>
      </w:tr>
      <w:tr w:rsidR="00000000">
        <w:tblPrEx>
          <w:tblCellMar>
            <w:top w:w="0" w:type="dxa"/>
            <w:bottom w:w="0" w:type="dxa"/>
          </w:tblCellMar>
        </w:tblPrEx>
        <w:tc>
          <w:tcPr>
            <w:tcW w:w="3261"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rPr>
                <w:bCs/>
                <w:noProof/>
                <w:color w:val="000000"/>
              </w:rPr>
            </w:pPr>
            <w:r>
              <w:rPr>
                <w:bCs/>
                <w:noProof/>
                <w:color w:val="000000"/>
              </w:rPr>
              <w:t>VIII</w:t>
            </w:r>
          </w:p>
        </w:tc>
        <w:tc>
          <w:tcPr>
            <w:tcW w:w="3259" w:type="dxa"/>
          </w:tcPr>
          <w:p w:rsidR="00000000" w:rsidRDefault="00000000">
            <w:pPr>
              <w:tabs>
                <w:tab w:val="decimal" w:pos="1738"/>
              </w:tabs>
              <w:rPr>
                <w:bCs/>
                <w:noProof/>
                <w:color w:val="000000"/>
              </w:rPr>
            </w:pPr>
            <w:r>
              <w:rPr>
                <w:bCs/>
                <w:noProof/>
                <w:color w:val="000000"/>
              </w:rPr>
              <w:t>308</w:t>
            </w:r>
          </w:p>
        </w:tc>
      </w:tr>
      <w:tr w:rsidR="00000000">
        <w:tblPrEx>
          <w:tblCellMar>
            <w:top w:w="0" w:type="dxa"/>
            <w:bottom w:w="0" w:type="dxa"/>
          </w:tblCellMar>
        </w:tblPrEx>
        <w:tc>
          <w:tcPr>
            <w:tcW w:w="3261"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rPr>
                <w:bCs/>
                <w:noProof/>
                <w:color w:val="000000"/>
              </w:rPr>
            </w:pPr>
            <w:r>
              <w:rPr>
                <w:bCs/>
                <w:noProof/>
                <w:color w:val="000000"/>
              </w:rPr>
              <w:t>VIII</w:t>
            </w:r>
          </w:p>
        </w:tc>
        <w:tc>
          <w:tcPr>
            <w:tcW w:w="3259" w:type="dxa"/>
          </w:tcPr>
          <w:p w:rsidR="00000000" w:rsidRDefault="00000000">
            <w:pPr>
              <w:tabs>
                <w:tab w:val="decimal" w:pos="1738"/>
              </w:tabs>
              <w:rPr>
                <w:bCs/>
                <w:noProof/>
                <w:color w:val="000000"/>
              </w:rPr>
            </w:pPr>
            <w:r>
              <w:rPr>
                <w:bCs/>
                <w:noProof/>
                <w:color w:val="000000"/>
              </w:rPr>
              <w:t>108</w:t>
            </w:r>
          </w:p>
        </w:tc>
      </w:tr>
      <w:tr w:rsidR="00000000">
        <w:tblPrEx>
          <w:tblCellMar>
            <w:top w:w="0" w:type="dxa"/>
            <w:bottom w:w="0" w:type="dxa"/>
          </w:tblCellMar>
        </w:tblPrEx>
        <w:trPr>
          <w:trHeight w:val="285"/>
        </w:trPr>
        <w:tc>
          <w:tcPr>
            <w:tcW w:w="3261"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rPr>
                <w:bCs/>
                <w:noProof/>
                <w:color w:val="000000"/>
              </w:rPr>
            </w:pPr>
            <w:r>
              <w:rPr>
                <w:bCs/>
                <w:noProof/>
                <w:color w:val="000000"/>
              </w:rPr>
              <w:t>IX</w:t>
            </w:r>
          </w:p>
        </w:tc>
        <w:tc>
          <w:tcPr>
            <w:tcW w:w="3259" w:type="dxa"/>
          </w:tcPr>
          <w:p w:rsidR="00000000" w:rsidRDefault="00000000">
            <w:pPr>
              <w:tabs>
                <w:tab w:val="decimal" w:pos="1738"/>
              </w:tabs>
              <w:rPr>
                <w:bCs/>
                <w:noProof/>
                <w:color w:val="000000"/>
              </w:rPr>
            </w:pPr>
            <w:r>
              <w:rPr>
                <w:bCs/>
                <w:noProof/>
                <w:color w:val="000000"/>
              </w:rPr>
              <w:t>108</w:t>
            </w:r>
          </w:p>
        </w:tc>
      </w:tr>
      <w:tr w:rsidR="00000000">
        <w:tblPrEx>
          <w:tblCellMar>
            <w:top w:w="0" w:type="dxa"/>
            <w:bottom w:w="0" w:type="dxa"/>
          </w:tblCellMar>
        </w:tblPrEx>
        <w:tc>
          <w:tcPr>
            <w:tcW w:w="3261"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rPr>
                <w:bCs/>
                <w:noProof/>
                <w:color w:val="000000"/>
              </w:rPr>
            </w:pPr>
            <w:r>
              <w:rPr>
                <w:bCs/>
                <w:noProof/>
                <w:color w:val="000000"/>
              </w:rPr>
              <w:t>X</w:t>
            </w:r>
          </w:p>
        </w:tc>
        <w:tc>
          <w:tcPr>
            <w:tcW w:w="3259" w:type="dxa"/>
          </w:tcPr>
          <w:p w:rsidR="00000000" w:rsidRDefault="00000000">
            <w:pPr>
              <w:tabs>
                <w:tab w:val="decimal" w:pos="1738"/>
              </w:tabs>
              <w:rPr>
                <w:bCs/>
                <w:noProof/>
                <w:color w:val="000000"/>
              </w:rPr>
            </w:pPr>
            <w:r>
              <w:rPr>
                <w:bCs/>
                <w:noProof/>
                <w:color w:val="000000"/>
              </w:rPr>
              <w:t>108</w:t>
            </w:r>
          </w:p>
        </w:tc>
      </w:tr>
      <w:tr w:rsidR="00000000">
        <w:tblPrEx>
          <w:tblCellMar>
            <w:top w:w="0" w:type="dxa"/>
            <w:bottom w:w="0" w:type="dxa"/>
          </w:tblCellMar>
        </w:tblPrEx>
        <w:tc>
          <w:tcPr>
            <w:tcW w:w="3261"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rPr>
                <w:bCs/>
                <w:noProof/>
                <w:color w:val="000000"/>
              </w:rPr>
            </w:pPr>
            <w:r>
              <w:rPr>
                <w:bCs/>
                <w:noProof/>
                <w:color w:val="000000"/>
              </w:rPr>
              <w:t>X</w:t>
            </w:r>
          </w:p>
        </w:tc>
        <w:tc>
          <w:tcPr>
            <w:tcW w:w="3259" w:type="dxa"/>
          </w:tcPr>
          <w:p w:rsidR="00000000" w:rsidRDefault="00000000">
            <w:pPr>
              <w:tabs>
                <w:tab w:val="decimal" w:pos="1738"/>
              </w:tabs>
              <w:rPr>
                <w:bCs/>
                <w:noProof/>
                <w:color w:val="000000"/>
              </w:rPr>
            </w:pPr>
            <w:r>
              <w:rPr>
                <w:bCs/>
                <w:noProof/>
                <w:color w:val="000000"/>
              </w:rPr>
              <w:t>115</w:t>
            </w:r>
          </w:p>
        </w:tc>
      </w:tr>
      <w:tr w:rsidR="00000000">
        <w:tblPrEx>
          <w:tblCellMar>
            <w:top w:w="0" w:type="dxa"/>
            <w:bottom w:w="0" w:type="dxa"/>
          </w:tblCellMar>
        </w:tblPrEx>
        <w:tc>
          <w:tcPr>
            <w:tcW w:w="3261"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rPr>
                <w:bCs/>
                <w:noProof/>
                <w:color w:val="000000"/>
              </w:rPr>
            </w:pPr>
            <w:r>
              <w:rPr>
                <w:bCs/>
                <w:noProof/>
                <w:color w:val="000000"/>
              </w:rPr>
              <w:t>Región Metropolitana</w:t>
            </w:r>
          </w:p>
        </w:tc>
        <w:tc>
          <w:tcPr>
            <w:tcW w:w="3259" w:type="dxa"/>
          </w:tcPr>
          <w:p w:rsidR="00000000" w:rsidRDefault="00000000">
            <w:pPr>
              <w:tabs>
                <w:tab w:val="decimal" w:pos="1738"/>
              </w:tabs>
              <w:rPr>
                <w:bCs/>
                <w:noProof/>
                <w:color w:val="000000"/>
              </w:rPr>
            </w:pPr>
            <w:r>
              <w:rPr>
                <w:bCs/>
                <w:noProof/>
                <w:color w:val="000000"/>
              </w:rPr>
              <w:t>1.971</w:t>
            </w:r>
          </w:p>
        </w:tc>
      </w:tr>
      <w:tr w:rsidR="00000000">
        <w:tblPrEx>
          <w:tblCellMar>
            <w:top w:w="0" w:type="dxa"/>
            <w:bottom w:w="0" w:type="dxa"/>
          </w:tblCellMar>
        </w:tblPrEx>
        <w:tc>
          <w:tcPr>
            <w:tcW w:w="3261"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rPr>
                <w:bCs/>
                <w:noProof/>
                <w:color w:val="000000"/>
              </w:rPr>
            </w:pPr>
            <w:r>
              <w:rPr>
                <w:bCs/>
                <w:noProof/>
                <w:color w:val="000000"/>
              </w:rPr>
              <w:t>XII</w:t>
            </w:r>
          </w:p>
        </w:tc>
        <w:tc>
          <w:tcPr>
            <w:tcW w:w="3259" w:type="dxa"/>
          </w:tcPr>
          <w:p w:rsidR="00000000" w:rsidRDefault="00000000">
            <w:pPr>
              <w:tabs>
                <w:tab w:val="decimal" w:pos="1738"/>
              </w:tabs>
              <w:rPr>
                <w:bCs/>
                <w:noProof/>
                <w:color w:val="000000"/>
              </w:rPr>
            </w:pPr>
            <w:r>
              <w:rPr>
                <w:bCs/>
                <w:noProof/>
                <w:color w:val="000000"/>
              </w:rPr>
              <w:t>23</w:t>
            </w:r>
          </w:p>
        </w:tc>
      </w:tr>
      <w:tr w:rsidR="00000000">
        <w:tblPrEx>
          <w:tblCellMar>
            <w:top w:w="0" w:type="dxa"/>
            <w:bottom w:w="0" w:type="dxa"/>
          </w:tblCellMar>
        </w:tblPrEx>
        <w:tc>
          <w:tcPr>
            <w:tcW w:w="3261" w:type="dxa"/>
          </w:tcPr>
          <w:p w:rsidR="00000000" w:rsidRDefault="00000000">
            <w:pPr>
              <w:rPr>
                <w:bCs/>
                <w:noProof/>
                <w:color w:val="000000"/>
              </w:rPr>
            </w:pPr>
            <w:r>
              <w:rPr>
                <w:bCs/>
                <w:noProof/>
                <w:color w:val="000000"/>
              </w:rPr>
              <w:tab/>
              <w:t>Totales</w:t>
            </w:r>
          </w:p>
        </w:tc>
        <w:tc>
          <w:tcPr>
            <w:tcW w:w="3259" w:type="dxa"/>
          </w:tcPr>
          <w:p w:rsidR="00000000" w:rsidRDefault="00000000">
            <w:pPr>
              <w:tabs>
                <w:tab w:val="decimal" w:pos="1738"/>
              </w:tabs>
              <w:rPr>
                <w:bCs/>
                <w:noProof/>
                <w:color w:val="000000"/>
              </w:rPr>
            </w:pPr>
            <w:r>
              <w:rPr>
                <w:bCs/>
                <w:noProof/>
                <w:color w:val="000000"/>
              </w:rPr>
              <w:t>4.332</w:t>
            </w:r>
          </w:p>
        </w:tc>
      </w:tr>
    </w:tbl>
    <w:p w:rsidR="00000000" w:rsidRDefault="00000000">
      <w:pPr>
        <w:spacing w:before="220"/>
        <w:ind w:left="1418"/>
        <w:rPr>
          <w:bCs/>
          <w:noProof/>
          <w:color w:val="000000"/>
        </w:rPr>
      </w:pPr>
      <w:r>
        <w:rPr>
          <w:bCs/>
          <w:i/>
          <w:iCs/>
          <w:noProof/>
          <w:color w:val="000000"/>
        </w:rPr>
        <w:t>Fuente</w:t>
      </w:r>
      <w:r>
        <w:rPr>
          <w:bCs/>
          <w:noProof/>
          <w:color w:val="000000"/>
        </w:rPr>
        <w:t>:  SENAME, 2004.</w:t>
      </w:r>
    </w:p>
    <w:p w:rsidR="00000000" w:rsidRDefault="00000000">
      <w:pPr>
        <w:spacing w:after="240"/>
        <w:ind w:left="-4" w:firstLine="4"/>
        <w:jc w:val="center"/>
        <w:outlineLvl w:val="0"/>
        <w:rPr>
          <w:b/>
          <w:noProof/>
          <w:color w:val="000000"/>
        </w:rPr>
      </w:pPr>
      <w:r>
        <w:rPr>
          <w:b/>
          <w:noProof/>
          <w:color w:val="000000"/>
        </w:rPr>
        <w:t>Cuadro 58</w:t>
      </w:r>
    </w:p>
    <w:p w:rsidR="00000000" w:rsidRDefault="00000000">
      <w:pPr>
        <w:keepNext/>
        <w:spacing w:after="240"/>
        <w:ind w:left="-6" w:firstLine="6"/>
        <w:jc w:val="center"/>
        <w:rPr>
          <w:bCs/>
          <w:noProof/>
          <w:color w:val="000000"/>
        </w:rPr>
      </w:pPr>
      <w:r>
        <w:rPr>
          <w:b/>
          <w:noProof/>
          <w:color w:val="000000"/>
        </w:rPr>
        <w:t>Distribución urbana rural de los casos fiscalizados de trabajo infantil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340"/>
        <w:gridCol w:w="2340"/>
        <w:gridCol w:w="2340"/>
        <w:gridCol w:w="2340"/>
      </w:tblGrid>
      <w:tr w:rsidR="00000000">
        <w:tblPrEx>
          <w:tblCellMar>
            <w:top w:w="0" w:type="dxa"/>
            <w:bottom w:w="0" w:type="dxa"/>
          </w:tblCellMar>
        </w:tblPrEx>
        <w:trPr>
          <w:jc w:val="center"/>
        </w:trPr>
        <w:tc>
          <w:tcPr>
            <w:tcW w:w="2340" w:type="dxa"/>
          </w:tcPr>
          <w:p w:rsidR="00000000" w:rsidRDefault="00000000">
            <w:pPr>
              <w:ind w:firstLine="6"/>
              <w:jc w:val="center"/>
              <w:rPr>
                <w:b/>
                <w:noProof/>
                <w:color w:val="000000"/>
              </w:rPr>
            </w:pPr>
            <w:r>
              <w:rPr>
                <w:b/>
                <w:noProof/>
                <w:color w:val="000000"/>
              </w:rPr>
              <w:t>Años</w:t>
            </w:r>
          </w:p>
        </w:tc>
        <w:tc>
          <w:tcPr>
            <w:tcW w:w="2340" w:type="dxa"/>
          </w:tcPr>
          <w:p w:rsidR="00000000" w:rsidRDefault="00000000">
            <w:pPr>
              <w:ind w:firstLine="6"/>
              <w:jc w:val="center"/>
              <w:rPr>
                <w:b/>
                <w:noProof/>
                <w:color w:val="000000"/>
              </w:rPr>
            </w:pPr>
            <w:r>
              <w:rPr>
                <w:b/>
                <w:noProof/>
                <w:color w:val="000000"/>
              </w:rPr>
              <w:t>Urbana</w:t>
            </w:r>
          </w:p>
        </w:tc>
        <w:tc>
          <w:tcPr>
            <w:tcW w:w="2340" w:type="dxa"/>
          </w:tcPr>
          <w:p w:rsidR="00000000" w:rsidRDefault="00000000">
            <w:pPr>
              <w:ind w:firstLine="6"/>
              <w:jc w:val="center"/>
              <w:rPr>
                <w:b/>
                <w:noProof/>
                <w:color w:val="000000"/>
              </w:rPr>
            </w:pPr>
            <w:r>
              <w:rPr>
                <w:b/>
                <w:noProof/>
                <w:color w:val="000000"/>
              </w:rPr>
              <w:t>Rural</w:t>
            </w:r>
          </w:p>
        </w:tc>
        <w:tc>
          <w:tcPr>
            <w:tcW w:w="2340" w:type="dxa"/>
          </w:tcPr>
          <w:p w:rsidR="00000000" w:rsidRDefault="00000000">
            <w:pPr>
              <w:ind w:firstLine="6"/>
              <w:jc w:val="center"/>
              <w:rPr>
                <w:b/>
                <w:noProof/>
                <w:color w:val="000000"/>
              </w:rPr>
            </w:pPr>
            <w:r>
              <w:rPr>
                <w:b/>
                <w:noProof/>
                <w:color w:val="000000"/>
              </w:rPr>
              <w:t>Total</w:t>
            </w:r>
          </w:p>
        </w:tc>
      </w:tr>
      <w:tr w:rsidR="00000000">
        <w:tblPrEx>
          <w:tblCellMar>
            <w:top w:w="0" w:type="dxa"/>
            <w:bottom w:w="0" w:type="dxa"/>
          </w:tblCellMar>
        </w:tblPrEx>
        <w:trPr>
          <w:jc w:val="center"/>
        </w:trPr>
        <w:tc>
          <w:tcPr>
            <w:tcW w:w="2340" w:type="dxa"/>
          </w:tcPr>
          <w:p w:rsidR="00000000" w:rsidRDefault="00000000">
            <w:pPr>
              <w:ind w:firstLine="6"/>
              <w:jc w:val="center"/>
              <w:rPr>
                <w:bCs/>
                <w:noProof/>
                <w:color w:val="000000"/>
              </w:rPr>
            </w:pPr>
            <w:r>
              <w:rPr>
                <w:bCs/>
                <w:noProof/>
                <w:color w:val="000000"/>
              </w:rPr>
              <w:t>2000</w:t>
            </w:r>
          </w:p>
        </w:tc>
        <w:tc>
          <w:tcPr>
            <w:tcW w:w="2340" w:type="dxa"/>
          </w:tcPr>
          <w:p w:rsidR="00000000" w:rsidRDefault="00000000">
            <w:pPr>
              <w:tabs>
                <w:tab w:val="decimal" w:pos="1263"/>
              </w:tabs>
              <w:ind w:firstLine="6"/>
              <w:rPr>
                <w:bCs/>
                <w:noProof/>
                <w:color w:val="000000"/>
              </w:rPr>
            </w:pPr>
            <w:r>
              <w:rPr>
                <w:bCs/>
                <w:noProof/>
                <w:color w:val="000000"/>
              </w:rPr>
              <w:t>468</w:t>
            </w:r>
          </w:p>
        </w:tc>
        <w:tc>
          <w:tcPr>
            <w:tcW w:w="2340" w:type="dxa"/>
          </w:tcPr>
          <w:p w:rsidR="00000000" w:rsidRDefault="00000000">
            <w:pPr>
              <w:tabs>
                <w:tab w:val="decimal" w:pos="1323"/>
              </w:tabs>
              <w:ind w:firstLine="6"/>
              <w:rPr>
                <w:bCs/>
                <w:noProof/>
                <w:color w:val="000000"/>
              </w:rPr>
            </w:pPr>
            <w:r>
              <w:rPr>
                <w:bCs/>
                <w:noProof/>
                <w:color w:val="000000"/>
              </w:rPr>
              <w:t>253</w:t>
            </w:r>
          </w:p>
        </w:tc>
        <w:tc>
          <w:tcPr>
            <w:tcW w:w="2340" w:type="dxa"/>
          </w:tcPr>
          <w:p w:rsidR="00000000" w:rsidRDefault="00000000">
            <w:pPr>
              <w:tabs>
                <w:tab w:val="decimal" w:pos="1263"/>
              </w:tabs>
              <w:ind w:firstLine="6"/>
              <w:rPr>
                <w:bCs/>
                <w:noProof/>
                <w:color w:val="000000"/>
              </w:rPr>
            </w:pPr>
            <w:r>
              <w:rPr>
                <w:bCs/>
                <w:noProof/>
                <w:color w:val="000000"/>
              </w:rPr>
              <w:t>721</w:t>
            </w:r>
          </w:p>
        </w:tc>
      </w:tr>
      <w:tr w:rsidR="00000000">
        <w:tblPrEx>
          <w:tblCellMar>
            <w:top w:w="0" w:type="dxa"/>
            <w:bottom w:w="0" w:type="dxa"/>
          </w:tblCellMar>
        </w:tblPrEx>
        <w:trPr>
          <w:jc w:val="center"/>
        </w:trPr>
        <w:tc>
          <w:tcPr>
            <w:tcW w:w="2340" w:type="dxa"/>
          </w:tcPr>
          <w:p w:rsidR="00000000" w:rsidRDefault="00000000">
            <w:pPr>
              <w:ind w:firstLine="6"/>
              <w:jc w:val="center"/>
              <w:rPr>
                <w:bCs/>
                <w:noProof/>
                <w:color w:val="000000"/>
              </w:rPr>
            </w:pPr>
            <w:r>
              <w:rPr>
                <w:bCs/>
                <w:noProof/>
                <w:color w:val="000000"/>
              </w:rPr>
              <w:t>2001</w:t>
            </w:r>
          </w:p>
        </w:tc>
        <w:tc>
          <w:tcPr>
            <w:tcW w:w="2340" w:type="dxa"/>
          </w:tcPr>
          <w:p w:rsidR="00000000" w:rsidRDefault="00000000">
            <w:pPr>
              <w:tabs>
                <w:tab w:val="decimal" w:pos="1263"/>
              </w:tabs>
              <w:ind w:firstLine="6"/>
              <w:rPr>
                <w:bCs/>
                <w:noProof/>
                <w:color w:val="000000"/>
              </w:rPr>
            </w:pPr>
            <w:r>
              <w:rPr>
                <w:bCs/>
                <w:noProof/>
                <w:color w:val="000000"/>
              </w:rPr>
              <w:t>526</w:t>
            </w:r>
          </w:p>
        </w:tc>
        <w:tc>
          <w:tcPr>
            <w:tcW w:w="2340" w:type="dxa"/>
          </w:tcPr>
          <w:p w:rsidR="00000000" w:rsidRDefault="00000000">
            <w:pPr>
              <w:tabs>
                <w:tab w:val="decimal" w:pos="1323"/>
              </w:tabs>
              <w:ind w:firstLine="6"/>
              <w:rPr>
                <w:bCs/>
                <w:noProof/>
                <w:color w:val="000000"/>
              </w:rPr>
            </w:pPr>
            <w:r>
              <w:rPr>
                <w:bCs/>
                <w:noProof/>
                <w:color w:val="000000"/>
              </w:rPr>
              <w:t>1.342</w:t>
            </w:r>
          </w:p>
        </w:tc>
        <w:tc>
          <w:tcPr>
            <w:tcW w:w="2340" w:type="dxa"/>
          </w:tcPr>
          <w:p w:rsidR="00000000" w:rsidRDefault="00000000">
            <w:pPr>
              <w:tabs>
                <w:tab w:val="decimal" w:pos="1263"/>
              </w:tabs>
              <w:ind w:firstLine="6"/>
              <w:rPr>
                <w:bCs/>
                <w:noProof/>
                <w:color w:val="000000"/>
              </w:rPr>
            </w:pPr>
            <w:r>
              <w:rPr>
                <w:bCs/>
                <w:noProof/>
                <w:color w:val="000000"/>
              </w:rPr>
              <w:t>1.868</w:t>
            </w:r>
            <w:r>
              <w:rPr>
                <w:rStyle w:val="FootnoteReference"/>
                <w:bCs/>
                <w:noProof/>
                <w:color w:val="000000"/>
              </w:rPr>
              <w:footnoteReference w:customMarkFollows="1" w:id="19"/>
              <w:t>19</w:t>
            </w:r>
          </w:p>
        </w:tc>
      </w:tr>
      <w:tr w:rsidR="00000000">
        <w:tblPrEx>
          <w:tblCellMar>
            <w:top w:w="0" w:type="dxa"/>
            <w:bottom w:w="0" w:type="dxa"/>
          </w:tblCellMar>
        </w:tblPrEx>
        <w:trPr>
          <w:jc w:val="center"/>
        </w:trPr>
        <w:tc>
          <w:tcPr>
            <w:tcW w:w="2340" w:type="dxa"/>
          </w:tcPr>
          <w:p w:rsidR="00000000" w:rsidRDefault="00000000">
            <w:pPr>
              <w:ind w:firstLine="6"/>
              <w:jc w:val="center"/>
              <w:rPr>
                <w:bCs/>
                <w:noProof/>
                <w:color w:val="000000"/>
              </w:rPr>
            </w:pPr>
            <w:r>
              <w:rPr>
                <w:bCs/>
                <w:noProof/>
                <w:color w:val="000000"/>
              </w:rPr>
              <w:t>2002</w:t>
            </w:r>
          </w:p>
        </w:tc>
        <w:tc>
          <w:tcPr>
            <w:tcW w:w="2340" w:type="dxa"/>
          </w:tcPr>
          <w:p w:rsidR="00000000" w:rsidRDefault="00000000">
            <w:pPr>
              <w:tabs>
                <w:tab w:val="decimal" w:pos="1263"/>
              </w:tabs>
              <w:ind w:firstLine="6"/>
              <w:rPr>
                <w:bCs/>
                <w:noProof/>
                <w:color w:val="000000"/>
              </w:rPr>
            </w:pPr>
            <w:r>
              <w:rPr>
                <w:bCs/>
                <w:noProof/>
                <w:color w:val="000000"/>
              </w:rPr>
              <w:t>74</w:t>
            </w:r>
          </w:p>
        </w:tc>
        <w:tc>
          <w:tcPr>
            <w:tcW w:w="2340" w:type="dxa"/>
          </w:tcPr>
          <w:p w:rsidR="00000000" w:rsidRDefault="00000000">
            <w:pPr>
              <w:tabs>
                <w:tab w:val="decimal" w:pos="1323"/>
              </w:tabs>
              <w:ind w:firstLine="6"/>
              <w:rPr>
                <w:bCs/>
                <w:noProof/>
                <w:color w:val="000000"/>
              </w:rPr>
            </w:pPr>
            <w:r>
              <w:rPr>
                <w:bCs/>
                <w:noProof/>
                <w:color w:val="000000"/>
              </w:rPr>
              <w:t>51</w:t>
            </w:r>
          </w:p>
        </w:tc>
        <w:tc>
          <w:tcPr>
            <w:tcW w:w="2340" w:type="dxa"/>
          </w:tcPr>
          <w:p w:rsidR="00000000" w:rsidRDefault="00000000">
            <w:pPr>
              <w:tabs>
                <w:tab w:val="decimal" w:pos="1263"/>
              </w:tabs>
              <w:ind w:firstLine="6"/>
              <w:rPr>
                <w:bCs/>
                <w:noProof/>
                <w:color w:val="000000"/>
              </w:rPr>
            </w:pPr>
            <w:r>
              <w:rPr>
                <w:bCs/>
                <w:noProof/>
                <w:color w:val="000000"/>
              </w:rPr>
              <w:t>125</w:t>
            </w:r>
          </w:p>
        </w:tc>
      </w:tr>
      <w:tr w:rsidR="00000000">
        <w:tblPrEx>
          <w:tblCellMar>
            <w:top w:w="0" w:type="dxa"/>
            <w:bottom w:w="0" w:type="dxa"/>
          </w:tblCellMar>
        </w:tblPrEx>
        <w:trPr>
          <w:jc w:val="center"/>
        </w:trPr>
        <w:tc>
          <w:tcPr>
            <w:tcW w:w="2340" w:type="dxa"/>
          </w:tcPr>
          <w:p w:rsidR="00000000" w:rsidRDefault="00000000">
            <w:pPr>
              <w:ind w:firstLine="6"/>
              <w:jc w:val="center"/>
              <w:rPr>
                <w:bCs/>
                <w:noProof/>
                <w:color w:val="000000"/>
              </w:rPr>
            </w:pPr>
            <w:r>
              <w:rPr>
                <w:bCs/>
                <w:noProof/>
                <w:color w:val="000000"/>
              </w:rPr>
              <w:t>2003</w:t>
            </w:r>
          </w:p>
        </w:tc>
        <w:tc>
          <w:tcPr>
            <w:tcW w:w="2340" w:type="dxa"/>
          </w:tcPr>
          <w:p w:rsidR="00000000" w:rsidRDefault="00000000">
            <w:pPr>
              <w:tabs>
                <w:tab w:val="decimal" w:pos="1263"/>
              </w:tabs>
              <w:ind w:firstLine="6"/>
              <w:rPr>
                <w:bCs/>
                <w:noProof/>
                <w:color w:val="000000"/>
              </w:rPr>
            </w:pPr>
            <w:r>
              <w:rPr>
                <w:bCs/>
                <w:noProof/>
                <w:color w:val="000000"/>
              </w:rPr>
              <w:t>17</w:t>
            </w:r>
          </w:p>
        </w:tc>
        <w:tc>
          <w:tcPr>
            <w:tcW w:w="2340" w:type="dxa"/>
          </w:tcPr>
          <w:p w:rsidR="00000000" w:rsidRDefault="00000000">
            <w:pPr>
              <w:tabs>
                <w:tab w:val="decimal" w:pos="1323"/>
              </w:tabs>
              <w:ind w:firstLine="6"/>
              <w:rPr>
                <w:bCs/>
                <w:noProof/>
                <w:color w:val="000000"/>
              </w:rPr>
            </w:pPr>
            <w:r>
              <w:rPr>
                <w:bCs/>
                <w:noProof/>
                <w:color w:val="000000"/>
              </w:rPr>
              <w:t>14</w:t>
            </w:r>
          </w:p>
        </w:tc>
        <w:tc>
          <w:tcPr>
            <w:tcW w:w="2340" w:type="dxa"/>
          </w:tcPr>
          <w:p w:rsidR="00000000" w:rsidRDefault="00000000">
            <w:pPr>
              <w:tabs>
                <w:tab w:val="decimal" w:pos="1263"/>
              </w:tabs>
              <w:ind w:firstLine="6"/>
              <w:rPr>
                <w:bCs/>
                <w:noProof/>
                <w:color w:val="000000"/>
              </w:rPr>
            </w:pPr>
            <w:r>
              <w:rPr>
                <w:bCs/>
                <w:noProof/>
                <w:color w:val="000000"/>
              </w:rPr>
              <w:t>31</w:t>
            </w:r>
            <w:r>
              <w:rPr>
                <w:rStyle w:val="FootnoteReference"/>
                <w:bCs/>
                <w:noProof/>
                <w:color w:val="000000"/>
              </w:rPr>
              <w:footnoteReference w:customMarkFollows="1" w:id="20"/>
              <w:t>20</w:t>
            </w:r>
          </w:p>
        </w:tc>
      </w:tr>
    </w:tbl>
    <w:p w:rsidR="00000000" w:rsidRDefault="00000000">
      <w:pPr>
        <w:spacing w:before="240" w:after="480"/>
        <w:rPr>
          <w:bCs/>
          <w:noProof/>
          <w:color w:val="000000"/>
        </w:rPr>
      </w:pPr>
      <w:r>
        <w:rPr>
          <w:bCs/>
          <w:i/>
          <w:iCs/>
          <w:noProof/>
          <w:color w:val="000000"/>
        </w:rPr>
        <w:t>Fuente</w:t>
      </w:r>
      <w:r>
        <w:rPr>
          <w:bCs/>
          <w:noProof/>
          <w:color w:val="000000"/>
        </w:rPr>
        <w:t>:  Dirección del Trabajo, 2004.</w:t>
      </w:r>
    </w:p>
    <w:p w:rsidR="00000000" w:rsidRDefault="00000000">
      <w:pPr>
        <w:pStyle w:val="BodyText2"/>
        <w:spacing w:after="240"/>
        <w:jc w:val="center"/>
        <w:rPr>
          <w:rFonts w:ascii="Times New Roman" w:hAnsi="Times New Roman"/>
          <w:i w:val="0"/>
          <w:color w:val="auto"/>
          <w:sz w:val="24"/>
          <w:lang w:val="es-ES"/>
        </w:rPr>
      </w:pPr>
      <w:r>
        <w:rPr>
          <w:rFonts w:ascii="Times New Roman" w:hAnsi="Times New Roman"/>
          <w:i w:val="0"/>
          <w:color w:val="auto"/>
          <w:sz w:val="24"/>
          <w:lang w:val="es-ES"/>
        </w:rPr>
        <w:t>Cuadro 59</w:t>
      </w:r>
    </w:p>
    <w:p w:rsidR="00000000" w:rsidRDefault="00000000">
      <w:pPr>
        <w:pStyle w:val="BodyText2"/>
        <w:spacing w:after="240"/>
        <w:jc w:val="center"/>
        <w:rPr>
          <w:rFonts w:ascii="Times New Roman" w:hAnsi="Times New Roman"/>
          <w:b w:val="0"/>
          <w:bCs/>
          <w:i w:val="0"/>
          <w:color w:val="auto"/>
          <w:sz w:val="24"/>
          <w:lang w:val="es-ES"/>
        </w:rPr>
      </w:pPr>
      <w:r>
        <w:rPr>
          <w:rFonts w:ascii="Times New Roman" w:hAnsi="Times New Roman"/>
          <w:i w:val="0"/>
          <w:color w:val="auto"/>
          <w:sz w:val="24"/>
          <w:lang w:val="es-ES"/>
        </w:rPr>
        <w:t>Niños y niñas en trabajos inaceptables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60"/>
        <w:gridCol w:w="1320"/>
        <w:gridCol w:w="1320"/>
        <w:gridCol w:w="1080"/>
        <w:gridCol w:w="1320"/>
        <w:gridCol w:w="1320"/>
        <w:gridCol w:w="1436"/>
      </w:tblGrid>
      <w:tr w:rsidR="00000000">
        <w:tblPrEx>
          <w:tblCellMar>
            <w:top w:w="0" w:type="dxa"/>
            <w:bottom w:w="0" w:type="dxa"/>
          </w:tblCellMar>
        </w:tblPrEx>
        <w:tc>
          <w:tcPr>
            <w:tcW w:w="1560" w:type="dxa"/>
            <w:vAlign w:val="center"/>
          </w:tcPr>
          <w:p w:rsidR="00000000" w:rsidRDefault="00000000">
            <w:pPr>
              <w:pStyle w:val="BodyText2"/>
              <w:jc w:val="center"/>
              <w:rPr>
                <w:rFonts w:ascii="Times New Roman" w:hAnsi="Times New Roman"/>
                <w:i w:val="0"/>
                <w:color w:val="auto"/>
                <w:sz w:val="24"/>
                <w:lang w:val="es-ES"/>
              </w:rPr>
            </w:pPr>
            <w:r>
              <w:rPr>
                <w:rFonts w:ascii="Times New Roman" w:hAnsi="Times New Roman"/>
                <w:i w:val="0"/>
                <w:color w:val="auto"/>
                <w:sz w:val="24"/>
                <w:lang w:val="es-ES"/>
              </w:rPr>
              <w:t>Sexo</w:t>
            </w:r>
          </w:p>
        </w:tc>
        <w:tc>
          <w:tcPr>
            <w:tcW w:w="2640" w:type="dxa"/>
            <w:gridSpan w:val="2"/>
            <w:vAlign w:val="center"/>
          </w:tcPr>
          <w:p w:rsidR="00000000" w:rsidRDefault="00000000">
            <w:pPr>
              <w:pStyle w:val="BodyText2"/>
              <w:jc w:val="center"/>
              <w:rPr>
                <w:rFonts w:ascii="Times New Roman" w:hAnsi="Times New Roman"/>
                <w:i w:val="0"/>
                <w:color w:val="auto"/>
                <w:sz w:val="24"/>
                <w:lang w:val="es-ES"/>
              </w:rPr>
            </w:pPr>
            <w:r>
              <w:rPr>
                <w:rFonts w:ascii="Times New Roman" w:hAnsi="Times New Roman"/>
                <w:i w:val="0"/>
                <w:color w:val="auto"/>
                <w:sz w:val="24"/>
                <w:lang w:val="es-ES"/>
              </w:rPr>
              <w:t>Trabajo inaceptable</w:t>
            </w:r>
            <w:r>
              <w:rPr>
                <w:rFonts w:ascii="Times New Roman" w:hAnsi="Times New Roman"/>
                <w:i w:val="0"/>
                <w:color w:val="auto"/>
                <w:sz w:val="24"/>
                <w:lang w:val="es-ES"/>
              </w:rPr>
              <w:br/>
              <w:t>5 a 14 años</w:t>
            </w:r>
          </w:p>
        </w:tc>
        <w:tc>
          <w:tcPr>
            <w:tcW w:w="2400" w:type="dxa"/>
            <w:gridSpan w:val="2"/>
            <w:vAlign w:val="center"/>
          </w:tcPr>
          <w:p w:rsidR="00000000" w:rsidRDefault="00000000">
            <w:pPr>
              <w:pStyle w:val="BodyText2"/>
              <w:jc w:val="center"/>
              <w:rPr>
                <w:rFonts w:ascii="Times New Roman" w:hAnsi="Times New Roman"/>
                <w:i w:val="0"/>
                <w:color w:val="auto"/>
                <w:sz w:val="24"/>
                <w:lang w:val="es-ES"/>
              </w:rPr>
            </w:pPr>
            <w:r>
              <w:rPr>
                <w:rFonts w:ascii="Times New Roman" w:hAnsi="Times New Roman"/>
                <w:i w:val="0"/>
                <w:color w:val="auto"/>
                <w:sz w:val="24"/>
                <w:lang w:val="es-ES"/>
              </w:rPr>
              <w:t>Trabajo inaceptable</w:t>
            </w:r>
            <w:r>
              <w:rPr>
                <w:rFonts w:ascii="Times New Roman" w:hAnsi="Times New Roman"/>
                <w:i w:val="0"/>
                <w:color w:val="auto"/>
                <w:sz w:val="24"/>
                <w:lang w:val="es-ES"/>
              </w:rPr>
              <w:br/>
              <w:t>15 a 17 años</w:t>
            </w:r>
          </w:p>
        </w:tc>
        <w:tc>
          <w:tcPr>
            <w:tcW w:w="2756" w:type="dxa"/>
            <w:gridSpan w:val="2"/>
            <w:vAlign w:val="center"/>
          </w:tcPr>
          <w:p w:rsidR="00000000" w:rsidRDefault="00000000">
            <w:pPr>
              <w:pStyle w:val="BodyText2"/>
              <w:jc w:val="center"/>
              <w:rPr>
                <w:rFonts w:ascii="Times New Roman" w:hAnsi="Times New Roman"/>
                <w:i w:val="0"/>
                <w:color w:val="auto"/>
                <w:sz w:val="24"/>
                <w:lang w:val="es-ES"/>
              </w:rPr>
            </w:pPr>
            <w:r>
              <w:rPr>
                <w:rFonts w:ascii="Times New Roman" w:hAnsi="Times New Roman"/>
                <w:i w:val="0"/>
                <w:color w:val="auto"/>
                <w:sz w:val="24"/>
                <w:lang w:val="es-ES"/>
              </w:rPr>
              <w:t>Total trabajo inaceptable</w:t>
            </w:r>
            <w:r>
              <w:rPr>
                <w:rFonts w:ascii="Times New Roman" w:hAnsi="Times New Roman"/>
                <w:i w:val="0"/>
                <w:color w:val="auto"/>
                <w:sz w:val="24"/>
                <w:lang w:val="es-ES"/>
              </w:rPr>
              <w:br/>
              <w:t>5 a 17 años</w:t>
            </w:r>
          </w:p>
        </w:tc>
      </w:tr>
      <w:tr w:rsidR="00000000">
        <w:tblPrEx>
          <w:tblCellMar>
            <w:top w:w="0" w:type="dxa"/>
            <w:bottom w:w="0" w:type="dxa"/>
          </w:tblCellMar>
        </w:tblPrEx>
        <w:trPr>
          <w:cantSplit/>
        </w:trPr>
        <w:tc>
          <w:tcPr>
            <w:tcW w:w="1560" w:type="dxa"/>
          </w:tcPr>
          <w:p w:rsidR="00000000" w:rsidRDefault="00000000">
            <w:pPr>
              <w:pStyle w:val="BodyText2"/>
              <w:jc w:val="left"/>
              <w:rPr>
                <w:rFonts w:ascii="Times New Roman" w:hAnsi="Times New Roman"/>
                <w:b w:val="0"/>
                <w:bCs/>
                <w:i w:val="0"/>
                <w:color w:val="auto"/>
                <w:sz w:val="24"/>
                <w:lang w:val="es-ES"/>
              </w:rPr>
            </w:pPr>
          </w:p>
        </w:tc>
        <w:tc>
          <w:tcPr>
            <w:tcW w:w="1320" w:type="dxa"/>
            <w:vAlign w:val="center"/>
          </w:tcPr>
          <w:p w:rsidR="00000000" w:rsidRDefault="00000000">
            <w:pPr>
              <w:keepNext/>
              <w:keepLines/>
              <w:jc w:val="center"/>
              <w:rPr>
                <w:b/>
                <w:noProof/>
                <w:color w:val="000000"/>
              </w:rPr>
            </w:pPr>
            <w:r>
              <w:rPr>
                <w:b/>
                <w:noProof/>
                <w:color w:val="000000"/>
              </w:rPr>
              <w:t>Número</w:t>
            </w:r>
          </w:p>
        </w:tc>
        <w:tc>
          <w:tcPr>
            <w:tcW w:w="1320" w:type="dxa"/>
            <w:vAlign w:val="center"/>
          </w:tcPr>
          <w:p w:rsidR="00000000" w:rsidRDefault="00000000">
            <w:pPr>
              <w:keepNext/>
              <w:keepLines/>
              <w:jc w:val="center"/>
              <w:rPr>
                <w:b/>
                <w:noProof/>
                <w:color w:val="000000"/>
              </w:rPr>
            </w:pPr>
            <w:r>
              <w:rPr>
                <w:b/>
                <w:noProof/>
                <w:color w:val="000000"/>
              </w:rPr>
              <w:t>Porcentaje</w:t>
            </w:r>
          </w:p>
        </w:tc>
        <w:tc>
          <w:tcPr>
            <w:tcW w:w="1080" w:type="dxa"/>
            <w:vAlign w:val="center"/>
          </w:tcPr>
          <w:p w:rsidR="00000000" w:rsidRDefault="00000000">
            <w:pPr>
              <w:keepNext/>
              <w:keepLines/>
              <w:jc w:val="center"/>
              <w:rPr>
                <w:b/>
                <w:noProof/>
                <w:color w:val="000000"/>
              </w:rPr>
            </w:pPr>
            <w:r>
              <w:rPr>
                <w:b/>
                <w:noProof/>
                <w:color w:val="000000"/>
              </w:rPr>
              <w:t>Número</w:t>
            </w:r>
          </w:p>
        </w:tc>
        <w:tc>
          <w:tcPr>
            <w:tcW w:w="1320" w:type="dxa"/>
            <w:vAlign w:val="center"/>
          </w:tcPr>
          <w:p w:rsidR="00000000" w:rsidRDefault="00000000">
            <w:pPr>
              <w:keepNext/>
              <w:keepLines/>
              <w:jc w:val="center"/>
              <w:rPr>
                <w:b/>
                <w:noProof/>
                <w:color w:val="000000"/>
              </w:rPr>
            </w:pPr>
            <w:r>
              <w:rPr>
                <w:b/>
                <w:noProof/>
                <w:color w:val="000000"/>
              </w:rPr>
              <w:t>Porcentaje</w:t>
            </w:r>
          </w:p>
        </w:tc>
        <w:tc>
          <w:tcPr>
            <w:tcW w:w="1320" w:type="dxa"/>
            <w:vAlign w:val="center"/>
          </w:tcPr>
          <w:p w:rsidR="00000000" w:rsidRDefault="00000000">
            <w:pPr>
              <w:keepNext/>
              <w:keepLines/>
              <w:jc w:val="center"/>
              <w:rPr>
                <w:b/>
                <w:noProof/>
                <w:color w:val="000000"/>
              </w:rPr>
            </w:pPr>
            <w:r>
              <w:rPr>
                <w:b/>
                <w:noProof/>
                <w:color w:val="000000"/>
              </w:rPr>
              <w:t>Número</w:t>
            </w:r>
          </w:p>
        </w:tc>
        <w:tc>
          <w:tcPr>
            <w:tcW w:w="1436" w:type="dxa"/>
            <w:vAlign w:val="center"/>
          </w:tcPr>
          <w:p w:rsidR="00000000" w:rsidRDefault="00000000">
            <w:pPr>
              <w:keepNext/>
              <w:keepLines/>
              <w:jc w:val="center"/>
              <w:rPr>
                <w:b/>
                <w:noProof/>
                <w:color w:val="000000"/>
              </w:rPr>
            </w:pPr>
            <w:r>
              <w:rPr>
                <w:b/>
                <w:noProof/>
                <w:color w:val="000000"/>
              </w:rPr>
              <w:t>Porcentaje</w:t>
            </w:r>
          </w:p>
        </w:tc>
      </w:tr>
      <w:tr w:rsidR="00000000">
        <w:tblPrEx>
          <w:tblCellMar>
            <w:top w:w="0" w:type="dxa"/>
            <w:bottom w:w="0" w:type="dxa"/>
          </w:tblCellMar>
        </w:tblPrEx>
        <w:trPr>
          <w:cantSplit/>
        </w:trPr>
        <w:tc>
          <w:tcPr>
            <w:tcW w:w="1560" w:type="dxa"/>
          </w:tcPr>
          <w:p w:rsidR="00000000" w:rsidRDefault="00000000">
            <w:pPr>
              <w:pStyle w:val="BodyText2"/>
              <w:jc w:val="left"/>
              <w:rPr>
                <w:rFonts w:ascii="Times New Roman" w:hAnsi="Times New Roman"/>
                <w:b w:val="0"/>
                <w:bCs/>
                <w:i w:val="0"/>
                <w:color w:val="auto"/>
                <w:sz w:val="24"/>
                <w:lang w:val="es-ES"/>
              </w:rPr>
            </w:pPr>
            <w:r>
              <w:rPr>
                <w:rFonts w:ascii="Times New Roman" w:hAnsi="Times New Roman"/>
                <w:b w:val="0"/>
                <w:bCs/>
                <w:i w:val="0"/>
                <w:color w:val="auto"/>
                <w:sz w:val="24"/>
                <w:lang w:val="es-ES"/>
              </w:rPr>
              <w:t>Niños</w:t>
            </w:r>
          </w:p>
        </w:tc>
        <w:tc>
          <w:tcPr>
            <w:tcW w:w="1320" w:type="dxa"/>
          </w:tcPr>
          <w:p w:rsidR="00000000" w:rsidRDefault="00000000">
            <w:pPr>
              <w:pStyle w:val="BodyText2"/>
              <w:jc w:val="center"/>
              <w:rPr>
                <w:rFonts w:ascii="Times New Roman" w:hAnsi="Times New Roman"/>
                <w:b w:val="0"/>
                <w:bCs/>
                <w:i w:val="0"/>
                <w:color w:val="auto"/>
                <w:sz w:val="24"/>
                <w:lang w:val="es-ES"/>
              </w:rPr>
            </w:pPr>
            <w:r>
              <w:rPr>
                <w:rFonts w:ascii="Times New Roman" w:hAnsi="Times New Roman"/>
                <w:b w:val="0"/>
                <w:bCs/>
                <w:i w:val="0"/>
                <w:color w:val="auto"/>
                <w:sz w:val="24"/>
                <w:lang w:val="es-ES"/>
              </w:rPr>
              <w:t>44.300</w:t>
            </w:r>
          </w:p>
        </w:tc>
        <w:tc>
          <w:tcPr>
            <w:tcW w:w="1320" w:type="dxa"/>
          </w:tcPr>
          <w:p w:rsidR="00000000" w:rsidRDefault="00000000">
            <w:pPr>
              <w:pStyle w:val="BodyText2"/>
              <w:jc w:val="center"/>
              <w:rPr>
                <w:rFonts w:ascii="Times New Roman" w:hAnsi="Times New Roman"/>
                <w:b w:val="0"/>
                <w:bCs/>
                <w:i w:val="0"/>
                <w:color w:val="auto"/>
                <w:sz w:val="24"/>
                <w:lang w:val="es-ES"/>
              </w:rPr>
            </w:pPr>
            <w:r>
              <w:rPr>
                <w:rFonts w:ascii="Times New Roman" w:hAnsi="Times New Roman"/>
                <w:b w:val="0"/>
                <w:bCs/>
                <w:i w:val="0"/>
                <w:color w:val="auto"/>
                <w:sz w:val="24"/>
                <w:lang w:val="es-ES"/>
              </w:rPr>
              <w:t>3,1</w:t>
            </w:r>
          </w:p>
        </w:tc>
        <w:tc>
          <w:tcPr>
            <w:tcW w:w="1080" w:type="dxa"/>
          </w:tcPr>
          <w:p w:rsidR="00000000" w:rsidRDefault="00000000">
            <w:pPr>
              <w:pStyle w:val="BodyText2"/>
              <w:jc w:val="center"/>
              <w:rPr>
                <w:rFonts w:ascii="Times New Roman" w:hAnsi="Times New Roman"/>
                <w:b w:val="0"/>
                <w:bCs/>
                <w:i w:val="0"/>
                <w:color w:val="auto"/>
                <w:sz w:val="24"/>
                <w:lang w:val="es-ES"/>
              </w:rPr>
            </w:pPr>
            <w:r>
              <w:rPr>
                <w:rFonts w:ascii="Times New Roman" w:hAnsi="Times New Roman"/>
                <w:b w:val="0"/>
                <w:bCs/>
                <w:i w:val="0"/>
                <w:color w:val="auto"/>
                <w:sz w:val="24"/>
                <w:lang w:val="es-ES"/>
              </w:rPr>
              <w:t>29.336</w:t>
            </w:r>
          </w:p>
        </w:tc>
        <w:tc>
          <w:tcPr>
            <w:tcW w:w="1320" w:type="dxa"/>
          </w:tcPr>
          <w:p w:rsidR="00000000" w:rsidRDefault="00000000">
            <w:pPr>
              <w:pStyle w:val="BodyText2"/>
              <w:jc w:val="center"/>
              <w:rPr>
                <w:rFonts w:ascii="Times New Roman" w:hAnsi="Times New Roman"/>
                <w:b w:val="0"/>
                <w:bCs/>
                <w:i w:val="0"/>
                <w:color w:val="auto"/>
                <w:sz w:val="24"/>
                <w:lang w:val="es-ES"/>
              </w:rPr>
            </w:pPr>
            <w:r>
              <w:rPr>
                <w:rFonts w:ascii="Times New Roman" w:hAnsi="Times New Roman"/>
                <w:b w:val="0"/>
                <w:bCs/>
                <w:i w:val="0"/>
                <w:color w:val="auto"/>
                <w:sz w:val="24"/>
                <w:lang w:val="es-ES"/>
              </w:rPr>
              <w:t>7,1</w:t>
            </w:r>
          </w:p>
        </w:tc>
        <w:tc>
          <w:tcPr>
            <w:tcW w:w="1320" w:type="dxa"/>
          </w:tcPr>
          <w:p w:rsidR="00000000" w:rsidRDefault="00000000">
            <w:pPr>
              <w:pStyle w:val="BodyText2"/>
              <w:jc w:val="center"/>
              <w:rPr>
                <w:rFonts w:ascii="Times New Roman" w:hAnsi="Times New Roman"/>
                <w:b w:val="0"/>
                <w:bCs/>
                <w:i w:val="0"/>
                <w:color w:val="auto"/>
                <w:sz w:val="24"/>
                <w:lang w:val="es-ES"/>
              </w:rPr>
            </w:pPr>
            <w:r>
              <w:rPr>
                <w:rFonts w:ascii="Times New Roman" w:hAnsi="Times New Roman"/>
                <w:b w:val="0"/>
                <w:bCs/>
                <w:i w:val="0"/>
                <w:color w:val="auto"/>
                <w:sz w:val="24"/>
                <w:lang w:val="es-ES"/>
              </w:rPr>
              <w:t>73.636</w:t>
            </w:r>
          </w:p>
        </w:tc>
        <w:tc>
          <w:tcPr>
            <w:tcW w:w="1436" w:type="dxa"/>
          </w:tcPr>
          <w:p w:rsidR="00000000" w:rsidRDefault="00000000">
            <w:pPr>
              <w:pStyle w:val="BodyText2"/>
              <w:jc w:val="center"/>
              <w:rPr>
                <w:rFonts w:ascii="Times New Roman" w:hAnsi="Times New Roman"/>
                <w:b w:val="0"/>
                <w:bCs/>
                <w:i w:val="0"/>
                <w:color w:val="auto"/>
                <w:sz w:val="24"/>
                <w:lang w:val="es-ES"/>
              </w:rPr>
            </w:pPr>
            <w:r>
              <w:rPr>
                <w:rFonts w:ascii="Times New Roman" w:hAnsi="Times New Roman"/>
                <w:b w:val="0"/>
                <w:bCs/>
                <w:i w:val="0"/>
                <w:color w:val="auto"/>
                <w:sz w:val="24"/>
                <w:lang w:val="es-ES"/>
              </w:rPr>
              <w:t>4,0</w:t>
            </w:r>
          </w:p>
        </w:tc>
      </w:tr>
      <w:tr w:rsidR="00000000">
        <w:tblPrEx>
          <w:tblCellMar>
            <w:top w:w="0" w:type="dxa"/>
            <w:bottom w:w="0" w:type="dxa"/>
          </w:tblCellMar>
        </w:tblPrEx>
        <w:trPr>
          <w:cantSplit/>
        </w:trPr>
        <w:tc>
          <w:tcPr>
            <w:tcW w:w="1560" w:type="dxa"/>
          </w:tcPr>
          <w:p w:rsidR="00000000" w:rsidRDefault="00000000">
            <w:pPr>
              <w:pStyle w:val="BodyText2"/>
              <w:jc w:val="left"/>
              <w:rPr>
                <w:rFonts w:ascii="Times New Roman" w:hAnsi="Times New Roman"/>
                <w:b w:val="0"/>
                <w:bCs/>
                <w:i w:val="0"/>
                <w:color w:val="auto"/>
                <w:sz w:val="24"/>
                <w:lang w:val="es-ES"/>
              </w:rPr>
            </w:pPr>
            <w:r>
              <w:rPr>
                <w:rFonts w:ascii="Times New Roman" w:hAnsi="Times New Roman"/>
                <w:b w:val="0"/>
                <w:bCs/>
                <w:i w:val="0"/>
                <w:color w:val="auto"/>
                <w:sz w:val="24"/>
                <w:lang w:val="es-ES"/>
              </w:rPr>
              <w:t>Niñas</w:t>
            </w:r>
          </w:p>
        </w:tc>
        <w:tc>
          <w:tcPr>
            <w:tcW w:w="1320" w:type="dxa"/>
          </w:tcPr>
          <w:p w:rsidR="00000000" w:rsidRDefault="00000000">
            <w:pPr>
              <w:pStyle w:val="BodyText2"/>
              <w:jc w:val="center"/>
              <w:rPr>
                <w:rFonts w:ascii="Times New Roman" w:hAnsi="Times New Roman"/>
                <w:b w:val="0"/>
                <w:bCs/>
                <w:i w:val="0"/>
                <w:color w:val="auto"/>
                <w:sz w:val="24"/>
                <w:lang w:val="es-ES"/>
              </w:rPr>
            </w:pPr>
            <w:r>
              <w:rPr>
                <w:rFonts w:ascii="Times New Roman" w:hAnsi="Times New Roman"/>
                <w:b w:val="0"/>
                <w:bCs/>
                <w:i w:val="0"/>
                <w:color w:val="auto"/>
                <w:sz w:val="24"/>
                <w:lang w:val="es-ES"/>
              </w:rPr>
              <w:t>23.829</w:t>
            </w:r>
          </w:p>
        </w:tc>
        <w:tc>
          <w:tcPr>
            <w:tcW w:w="1320" w:type="dxa"/>
          </w:tcPr>
          <w:p w:rsidR="00000000" w:rsidRDefault="00000000">
            <w:pPr>
              <w:pStyle w:val="BodyText2"/>
              <w:jc w:val="center"/>
              <w:rPr>
                <w:rFonts w:ascii="Times New Roman" w:hAnsi="Times New Roman"/>
                <w:b w:val="0"/>
                <w:bCs/>
                <w:i w:val="0"/>
                <w:color w:val="auto"/>
                <w:sz w:val="24"/>
                <w:lang w:val="es-ES"/>
              </w:rPr>
            </w:pPr>
            <w:r>
              <w:rPr>
                <w:rFonts w:ascii="Times New Roman" w:hAnsi="Times New Roman"/>
                <w:b w:val="0"/>
                <w:bCs/>
                <w:i w:val="0"/>
                <w:color w:val="auto"/>
                <w:sz w:val="24"/>
                <w:lang w:val="es-ES"/>
              </w:rPr>
              <w:t>1,7</w:t>
            </w:r>
          </w:p>
        </w:tc>
        <w:tc>
          <w:tcPr>
            <w:tcW w:w="1080" w:type="dxa"/>
          </w:tcPr>
          <w:p w:rsidR="00000000" w:rsidRDefault="00000000">
            <w:pPr>
              <w:pStyle w:val="BodyText2"/>
              <w:jc w:val="center"/>
              <w:rPr>
                <w:rFonts w:ascii="Times New Roman" w:hAnsi="Times New Roman"/>
                <w:b w:val="0"/>
                <w:bCs/>
                <w:i w:val="0"/>
                <w:color w:val="auto"/>
                <w:sz w:val="24"/>
                <w:lang w:val="es-ES"/>
              </w:rPr>
            </w:pPr>
            <w:r>
              <w:rPr>
                <w:rFonts w:ascii="Times New Roman" w:hAnsi="Times New Roman"/>
                <w:b w:val="0"/>
                <w:bCs/>
                <w:i w:val="0"/>
                <w:color w:val="auto"/>
                <w:sz w:val="24"/>
                <w:lang w:val="es-ES"/>
              </w:rPr>
              <w:t>10.211</w:t>
            </w:r>
          </w:p>
        </w:tc>
        <w:tc>
          <w:tcPr>
            <w:tcW w:w="1320" w:type="dxa"/>
          </w:tcPr>
          <w:p w:rsidR="00000000" w:rsidRDefault="00000000">
            <w:pPr>
              <w:pStyle w:val="BodyText2"/>
              <w:jc w:val="center"/>
              <w:rPr>
                <w:rFonts w:ascii="Times New Roman" w:hAnsi="Times New Roman"/>
                <w:b w:val="0"/>
                <w:bCs/>
                <w:i w:val="0"/>
                <w:color w:val="auto"/>
                <w:sz w:val="24"/>
                <w:lang w:val="es-ES"/>
              </w:rPr>
            </w:pPr>
            <w:r>
              <w:rPr>
                <w:rFonts w:ascii="Times New Roman" w:hAnsi="Times New Roman"/>
                <w:b w:val="0"/>
                <w:bCs/>
                <w:i w:val="0"/>
                <w:color w:val="auto"/>
                <w:sz w:val="24"/>
                <w:lang w:val="es-ES"/>
              </w:rPr>
              <w:t>2,6</w:t>
            </w:r>
          </w:p>
        </w:tc>
        <w:tc>
          <w:tcPr>
            <w:tcW w:w="1320" w:type="dxa"/>
          </w:tcPr>
          <w:p w:rsidR="00000000" w:rsidRDefault="00000000">
            <w:pPr>
              <w:pStyle w:val="BodyText2"/>
              <w:tabs>
                <w:tab w:val="decimal" w:pos="959"/>
              </w:tabs>
              <w:jc w:val="left"/>
              <w:rPr>
                <w:rFonts w:ascii="Times New Roman" w:hAnsi="Times New Roman"/>
                <w:b w:val="0"/>
                <w:bCs/>
                <w:i w:val="0"/>
                <w:color w:val="auto"/>
                <w:sz w:val="24"/>
                <w:lang w:val="es-ES"/>
              </w:rPr>
            </w:pPr>
            <w:r>
              <w:rPr>
                <w:rFonts w:ascii="Times New Roman" w:hAnsi="Times New Roman"/>
                <w:b w:val="0"/>
                <w:bCs/>
                <w:i w:val="0"/>
                <w:color w:val="auto"/>
                <w:sz w:val="24"/>
                <w:lang w:val="es-ES"/>
              </w:rPr>
              <w:t>34.040</w:t>
            </w:r>
          </w:p>
        </w:tc>
        <w:tc>
          <w:tcPr>
            <w:tcW w:w="1436" w:type="dxa"/>
          </w:tcPr>
          <w:p w:rsidR="00000000" w:rsidRDefault="00000000">
            <w:pPr>
              <w:pStyle w:val="BodyText2"/>
              <w:jc w:val="center"/>
              <w:rPr>
                <w:rFonts w:ascii="Times New Roman" w:hAnsi="Times New Roman"/>
                <w:b w:val="0"/>
                <w:bCs/>
                <w:i w:val="0"/>
                <w:color w:val="auto"/>
                <w:sz w:val="24"/>
                <w:lang w:val="es-ES"/>
              </w:rPr>
            </w:pPr>
            <w:r>
              <w:rPr>
                <w:rFonts w:ascii="Times New Roman" w:hAnsi="Times New Roman"/>
                <w:b w:val="0"/>
                <w:bCs/>
                <w:i w:val="0"/>
                <w:color w:val="auto"/>
                <w:sz w:val="24"/>
                <w:lang w:val="es-ES"/>
              </w:rPr>
              <w:t>1,9</w:t>
            </w:r>
          </w:p>
        </w:tc>
      </w:tr>
      <w:tr w:rsidR="00000000">
        <w:tblPrEx>
          <w:tblCellMar>
            <w:top w:w="0" w:type="dxa"/>
            <w:bottom w:w="0" w:type="dxa"/>
          </w:tblCellMar>
        </w:tblPrEx>
        <w:trPr>
          <w:cantSplit/>
        </w:trPr>
        <w:tc>
          <w:tcPr>
            <w:tcW w:w="1560" w:type="dxa"/>
          </w:tcPr>
          <w:p w:rsidR="00000000" w:rsidRDefault="00000000">
            <w:pPr>
              <w:pStyle w:val="BodyText2"/>
              <w:tabs>
                <w:tab w:val="left" w:pos="410"/>
              </w:tabs>
              <w:jc w:val="left"/>
              <w:rPr>
                <w:rFonts w:ascii="Times New Roman" w:hAnsi="Times New Roman"/>
                <w:b w:val="0"/>
                <w:bCs/>
                <w:i w:val="0"/>
                <w:color w:val="auto"/>
                <w:sz w:val="24"/>
                <w:lang w:val="es-ES"/>
              </w:rPr>
            </w:pPr>
            <w:r>
              <w:rPr>
                <w:rFonts w:ascii="Times New Roman" w:hAnsi="Times New Roman"/>
                <w:b w:val="0"/>
                <w:bCs/>
                <w:i w:val="0"/>
                <w:color w:val="auto"/>
                <w:sz w:val="24"/>
                <w:lang w:val="es-ES"/>
              </w:rPr>
              <w:tab/>
              <w:t>Total</w:t>
            </w:r>
          </w:p>
        </w:tc>
        <w:tc>
          <w:tcPr>
            <w:tcW w:w="1320" w:type="dxa"/>
          </w:tcPr>
          <w:p w:rsidR="00000000" w:rsidRDefault="00000000">
            <w:pPr>
              <w:pStyle w:val="BodyText2"/>
              <w:jc w:val="center"/>
              <w:rPr>
                <w:rFonts w:ascii="Times New Roman" w:hAnsi="Times New Roman"/>
                <w:b w:val="0"/>
                <w:bCs/>
                <w:i w:val="0"/>
                <w:color w:val="auto"/>
                <w:sz w:val="24"/>
                <w:lang w:val="es-ES"/>
              </w:rPr>
            </w:pPr>
            <w:r>
              <w:rPr>
                <w:rFonts w:ascii="Times New Roman" w:hAnsi="Times New Roman"/>
                <w:b w:val="0"/>
                <w:bCs/>
                <w:i w:val="0"/>
                <w:color w:val="auto"/>
                <w:sz w:val="24"/>
                <w:lang w:val="es-ES"/>
              </w:rPr>
              <w:t>68.129</w:t>
            </w:r>
          </w:p>
        </w:tc>
        <w:tc>
          <w:tcPr>
            <w:tcW w:w="1320" w:type="dxa"/>
          </w:tcPr>
          <w:p w:rsidR="00000000" w:rsidRDefault="00000000">
            <w:pPr>
              <w:pStyle w:val="BodyText2"/>
              <w:jc w:val="center"/>
              <w:rPr>
                <w:rFonts w:ascii="Times New Roman" w:hAnsi="Times New Roman"/>
                <w:b w:val="0"/>
                <w:bCs/>
                <w:i w:val="0"/>
                <w:color w:val="auto"/>
                <w:sz w:val="24"/>
                <w:lang w:val="es-ES"/>
              </w:rPr>
            </w:pPr>
            <w:r>
              <w:rPr>
                <w:rFonts w:ascii="Times New Roman" w:hAnsi="Times New Roman"/>
                <w:b w:val="0"/>
                <w:bCs/>
                <w:i w:val="0"/>
                <w:color w:val="auto"/>
                <w:sz w:val="24"/>
                <w:lang w:val="es-ES"/>
              </w:rPr>
              <w:t>2,4</w:t>
            </w:r>
          </w:p>
        </w:tc>
        <w:tc>
          <w:tcPr>
            <w:tcW w:w="1080" w:type="dxa"/>
          </w:tcPr>
          <w:p w:rsidR="00000000" w:rsidRDefault="00000000">
            <w:pPr>
              <w:pStyle w:val="BodyText2"/>
              <w:jc w:val="center"/>
              <w:rPr>
                <w:rFonts w:ascii="Times New Roman" w:hAnsi="Times New Roman"/>
                <w:b w:val="0"/>
                <w:bCs/>
                <w:i w:val="0"/>
                <w:color w:val="auto"/>
                <w:sz w:val="24"/>
                <w:lang w:val="es-ES"/>
              </w:rPr>
            </w:pPr>
            <w:r>
              <w:rPr>
                <w:rFonts w:ascii="Times New Roman" w:hAnsi="Times New Roman"/>
                <w:b w:val="0"/>
                <w:bCs/>
                <w:i w:val="0"/>
                <w:color w:val="auto"/>
                <w:sz w:val="24"/>
                <w:lang w:val="es-ES"/>
              </w:rPr>
              <w:t>39.547</w:t>
            </w:r>
          </w:p>
        </w:tc>
        <w:tc>
          <w:tcPr>
            <w:tcW w:w="1320" w:type="dxa"/>
          </w:tcPr>
          <w:p w:rsidR="00000000" w:rsidRDefault="00000000">
            <w:pPr>
              <w:pStyle w:val="BodyText2"/>
              <w:jc w:val="center"/>
              <w:rPr>
                <w:rFonts w:ascii="Times New Roman" w:hAnsi="Times New Roman"/>
                <w:b w:val="0"/>
                <w:bCs/>
                <w:i w:val="0"/>
                <w:color w:val="auto"/>
                <w:sz w:val="24"/>
                <w:lang w:val="es-ES"/>
              </w:rPr>
            </w:pPr>
            <w:r>
              <w:rPr>
                <w:rFonts w:ascii="Times New Roman" w:hAnsi="Times New Roman"/>
                <w:b w:val="0"/>
                <w:bCs/>
                <w:i w:val="0"/>
                <w:color w:val="auto"/>
                <w:sz w:val="24"/>
                <w:lang w:val="es-ES"/>
              </w:rPr>
              <w:t>4,9</w:t>
            </w:r>
          </w:p>
        </w:tc>
        <w:tc>
          <w:tcPr>
            <w:tcW w:w="1320" w:type="dxa"/>
          </w:tcPr>
          <w:p w:rsidR="00000000" w:rsidRDefault="00000000">
            <w:pPr>
              <w:pStyle w:val="BodyText2"/>
              <w:tabs>
                <w:tab w:val="decimal" w:pos="959"/>
              </w:tabs>
              <w:jc w:val="left"/>
              <w:rPr>
                <w:rFonts w:ascii="Times New Roman" w:hAnsi="Times New Roman"/>
                <w:b w:val="0"/>
                <w:bCs/>
                <w:i w:val="0"/>
                <w:color w:val="auto"/>
                <w:sz w:val="24"/>
                <w:lang w:val="es-ES"/>
              </w:rPr>
            </w:pPr>
            <w:r>
              <w:rPr>
                <w:rFonts w:ascii="Times New Roman" w:hAnsi="Times New Roman"/>
                <w:b w:val="0"/>
                <w:bCs/>
                <w:i w:val="0"/>
                <w:color w:val="auto"/>
                <w:sz w:val="24"/>
                <w:lang w:val="es-ES"/>
              </w:rPr>
              <w:t>107.676</w:t>
            </w:r>
          </w:p>
        </w:tc>
        <w:tc>
          <w:tcPr>
            <w:tcW w:w="1436" w:type="dxa"/>
          </w:tcPr>
          <w:p w:rsidR="00000000" w:rsidRDefault="00000000">
            <w:pPr>
              <w:pStyle w:val="BodyText2"/>
              <w:jc w:val="center"/>
              <w:rPr>
                <w:rFonts w:ascii="Times New Roman" w:hAnsi="Times New Roman"/>
                <w:b w:val="0"/>
                <w:bCs/>
                <w:i w:val="0"/>
                <w:color w:val="auto"/>
                <w:sz w:val="24"/>
                <w:lang w:val="es-ES"/>
              </w:rPr>
            </w:pPr>
            <w:r>
              <w:rPr>
                <w:rFonts w:ascii="Times New Roman" w:hAnsi="Times New Roman"/>
                <w:b w:val="0"/>
                <w:bCs/>
                <w:i w:val="0"/>
                <w:color w:val="auto"/>
                <w:sz w:val="24"/>
                <w:lang w:val="es-ES"/>
              </w:rPr>
              <w:t>3,0</w:t>
            </w:r>
          </w:p>
        </w:tc>
      </w:tr>
    </w:tbl>
    <w:p w:rsidR="00000000" w:rsidRDefault="00000000">
      <w:pPr>
        <w:pStyle w:val="BodyText2"/>
        <w:spacing w:before="240" w:after="480"/>
        <w:jc w:val="left"/>
        <w:rPr>
          <w:rFonts w:ascii="Times New Roman" w:hAnsi="Times New Roman"/>
          <w:b w:val="0"/>
          <w:bCs/>
          <w:i w:val="0"/>
          <w:color w:val="auto"/>
          <w:sz w:val="24"/>
          <w:lang w:val="es-ES"/>
        </w:rPr>
      </w:pPr>
      <w:r>
        <w:rPr>
          <w:rFonts w:ascii="Times New Roman" w:hAnsi="Times New Roman"/>
          <w:b w:val="0"/>
          <w:bCs/>
          <w:iCs/>
          <w:color w:val="auto"/>
          <w:sz w:val="24"/>
          <w:lang w:val="es-ES"/>
        </w:rPr>
        <w:t>Fuente</w:t>
      </w:r>
      <w:r>
        <w:rPr>
          <w:rFonts w:ascii="Times New Roman" w:hAnsi="Times New Roman"/>
          <w:b w:val="0"/>
          <w:bCs/>
          <w:i w:val="0"/>
          <w:color w:val="auto"/>
          <w:sz w:val="24"/>
          <w:lang w:val="es-ES"/>
        </w:rPr>
        <w:t>:  OIT, MINTRAB, INE, SENAME.  Trabajo infantil y adolescente en cifras.  Tasa sobre el total de niños y adolescentes.</w:t>
      </w:r>
    </w:p>
    <w:p w:rsidR="00000000" w:rsidRDefault="00000000">
      <w:pPr>
        <w:pStyle w:val="BodyText2"/>
        <w:widowControl/>
        <w:spacing w:after="240"/>
        <w:jc w:val="center"/>
        <w:rPr>
          <w:rFonts w:ascii="Times New Roman" w:hAnsi="Times New Roman"/>
          <w:i w:val="0"/>
          <w:color w:val="auto"/>
          <w:sz w:val="24"/>
          <w:lang w:val="es-ES"/>
        </w:rPr>
      </w:pPr>
      <w:r>
        <w:rPr>
          <w:rFonts w:ascii="Times New Roman" w:hAnsi="Times New Roman"/>
          <w:i w:val="0"/>
          <w:color w:val="auto"/>
          <w:sz w:val="24"/>
          <w:lang w:val="es-ES"/>
        </w:rPr>
        <w:t>Cuadro 60</w:t>
      </w:r>
    </w:p>
    <w:p w:rsidR="00000000" w:rsidRDefault="00000000">
      <w:pPr>
        <w:pStyle w:val="BodyText2"/>
        <w:widowControl/>
        <w:spacing w:after="240"/>
        <w:jc w:val="center"/>
        <w:rPr>
          <w:rFonts w:ascii="Times New Roman" w:hAnsi="Times New Roman"/>
          <w:i w:val="0"/>
          <w:color w:val="auto"/>
          <w:sz w:val="24"/>
          <w:lang w:val="es-ES"/>
        </w:rPr>
      </w:pPr>
      <w:r>
        <w:rPr>
          <w:rFonts w:ascii="Times New Roman" w:hAnsi="Times New Roman"/>
          <w:i w:val="0"/>
          <w:color w:val="auto"/>
          <w:sz w:val="24"/>
          <w:lang w:val="es-ES"/>
        </w:rPr>
        <w:t>Niños y niñas en quehaceres del propio hogar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50"/>
        <w:gridCol w:w="1440"/>
        <w:gridCol w:w="1320"/>
        <w:gridCol w:w="2580"/>
      </w:tblGrid>
      <w:tr w:rsidR="00000000">
        <w:tblPrEx>
          <w:tblCellMar>
            <w:top w:w="0" w:type="dxa"/>
            <w:bottom w:w="0" w:type="dxa"/>
          </w:tblCellMar>
        </w:tblPrEx>
        <w:trPr>
          <w:cantSplit/>
          <w:jc w:val="center"/>
        </w:trPr>
        <w:tc>
          <w:tcPr>
            <w:tcW w:w="3550" w:type="dxa"/>
            <w:vAlign w:val="center"/>
          </w:tcPr>
          <w:p w:rsidR="00000000" w:rsidRDefault="00000000">
            <w:pPr>
              <w:pStyle w:val="BodyText2"/>
              <w:widowControl/>
              <w:jc w:val="center"/>
              <w:rPr>
                <w:rFonts w:ascii="Times New Roman" w:hAnsi="Times New Roman"/>
                <w:i w:val="0"/>
                <w:color w:val="auto"/>
                <w:sz w:val="24"/>
                <w:lang w:val="es-ES"/>
              </w:rPr>
            </w:pPr>
          </w:p>
        </w:tc>
        <w:tc>
          <w:tcPr>
            <w:tcW w:w="1440" w:type="dxa"/>
            <w:vAlign w:val="center"/>
          </w:tcPr>
          <w:p w:rsidR="00000000" w:rsidRDefault="00000000">
            <w:pPr>
              <w:pStyle w:val="BodyText2"/>
              <w:widowControl/>
              <w:jc w:val="center"/>
              <w:rPr>
                <w:rFonts w:ascii="Times New Roman" w:hAnsi="Times New Roman"/>
                <w:i w:val="0"/>
                <w:color w:val="auto"/>
                <w:sz w:val="24"/>
                <w:lang w:val="es-ES"/>
              </w:rPr>
            </w:pPr>
            <w:r>
              <w:rPr>
                <w:rFonts w:ascii="Times New Roman" w:hAnsi="Times New Roman"/>
                <w:i w:val="0"/>
                <w:color w:val="auto"/>
                <w:sz w:val="24"/>
                <w:lang w:val="es-ES"/>
              </w:rPr>
              <w:t>Número</w:t>
            </w:r>
          </w:p>
        </w:tc>
        <w:tc>
          <w:tcPr>
            <w:tcW w:w="1320" w:type="dxa"/>
            <w:vAlign w:val="center"/>
          </w:tcPr>
          <w:p w:rsidR="00000000" w:rsidRDefault="00000000">
            <w:pPr>
              <w:pStyle w:val="BodyText2"/>
              <w:widowControl/>
              <w:jc w:val="center"/>
              <w:rPr>
                <w:rFonts w:ascii="Times New Roman" w:hAnsi="Times New Roman"/>
                <w:i w:val="0"/>
                <w:color w:val="auto"/>
                <w:sz w:val="24"/>
                <w:lang w:val="es-ES"/>
              </w:rPr>
            </w:pPr>
            <w:r>
              <w:rPr>
                <w:rFonts w:ascii="Times New Roman" w:hAnsi="Times New Roman"/>
                <w:i w:val="0"/>
                <w:color w:val="auto"/>
                <w:sz w:val="24"/>
                <w:lang w:val="es-ES"/>
              </w:rPr>
              <w:t>Porcentaje</w:t>
            </w:r>
          </w:p>
        </w:tc>
        <w:tc>
          <w:tcPr>
            <w:tcW w:w="2580" w:type="dxa"/>
            <w:vAlign w:val="center"/>
          </w:tcPr>
          <w:p w:rsidR="00000000" w:rsidRDefault="00000000">
            <w:pPr>
              <w:pStyle w:val="BodyText2"/>
              <w:widowControl/>
              <w:jc w:val="center"/>
              <w:rPr>
                <w:rFonts w:ascii="Times New Roman" w:hAnsi="Times New Roman"/>
                <w:i w:val="0"/>
                <w:color w:val="auto"/>
                <w:sz w:val="24"/>
                <w:lang w:val="es-ES"/>
              </w:rPr>
            </w:pPr>
            <w:r>
              <w:rPr>
                <w:rFonts w:ascii="Times New Roman" w:hAnsi="Times New Roman"/>
                <w:i w:val="0"/>
                <w:color w:val="auto"/>
                <w:sz w:val="24"/>
                <w:lang w:val="es-ES"/>
              </w:rPr>
              <w:t>Tasa sobre el total de niños y adolescentes</w:t>
            </w:r>
          </w:p>
        </w:tc>
      </w:tr>
      <w:tr w:rsidR="00000000">
        <w:tblPrEx>
          <w:tblCellMar>
            <w:top w:w="0" w:type="dxa"/>
            <w:bottom w:w="0" w:type="dxa"/>
          </w:tblCellMar>
        </w:tblPrEx>
        <w:trPr>
          <w:cantSplit/>
          <w:jc w:val="center"/>
        </w:trPr>
        <w:tc>
          <w:tcPr>
            <w:tcW w:w="3550" w:type="dxa"/>
          </w:tcPr>
          <w:p w:rsidR="00000000" w:rsidRDefault="00000000">
            <w:pPr>
              <w:pStyle w:val="BodyText2"/>
              <w:widowControl/>
              <w:jc w:val="left"/>
              <w:rPr>
                <w:rFonts w:ascii="Times New Roman" w:hAnsi="Times New Roman"/>
                <w:b w:val="0"/>
                <w:bCs/>
                <w:i w:val="0"/>
                <w:color w:val="auto"/>
                <w:sz w:val="24"/>
                <w:lang w:val="es-ES"/>
              </w:rPr>
            </w:pPr>
            <w:r>
              <w:rPr>
                <w:rFonts w:ascii="Times New Roman" w:hAnsi="Times New Roman"/>
                <w:b w:val="0"/>
                <w:bCs/>
                <w:i w:val="0"/>
                <w:color w:val="auto"/>
                <w:sz w:val="24"/>
                <w:lang w:val="es-ES"/>
              </w:rPr>
              <w:t>Niños</w:t>
            </w:r>
          </w:p>
        </w:tc>
        <w:tc>
          <w:tcPr>
            <w:tcW w:w="1440" w:type="dxa"/>
          </w:tcPr>
          <w:p w:rsidR="00000000" w:rsidRDefault="00000000">
            <w:pPr>
              <w:pStyle w:val="BodyText2"/>
              <w:widowControl/>
              <w:tabs>
                <w:tab w:val="decimal" w:pos="1010"/>
              </w:tabs>
              <w:jc w:val="left"/>
              <w:rPr>
                <w:rFonts w:ascii="Times New Roman" w:hAnsi="Times New Roman"/>
                <w:b w:val="0"/>
                <w:bCs/>
                <w:i w:val="0"/>
                <w:color w:val="auto"/>
                <w:sz w:val="24"/>
                <w:lang w:val="es-ES"/>
              </w:rPr>
            </w:pPr>
            <w:r>
              <w:rPr>
                <w:rFonts w:ascii="Times New Roman" w:hAnsi="Times New Roman"/>
                <w:b w:val="0"/>
                <w:bCs/>
                <w:i w:val="0"/>
                <w:color w:val="auto"/>
                <w:sz w:val="24"/>
                <w:lang w:val="es-ES"/>
              </w:rPr>
              <w:t>6.394</w:t>
            </w:r>
          </w:p>
        </w:tc>
        <w:tc>
          <w:tcPr>
            <w:tcW w:w="1320" w:type="dxa"/>
          </w:tcPr>
          <w:p w:rsidR="00000000" w:rsidRDefault="00000000">
            <w:pPr>
              <w:pStyle w:val="BodyText2"/>
              <w:widowControl/>
              <w:tabs>
                <w:tab w:val="decimal" w:pos="624"/>
              </w:tabs>
              <w:jc w:val="left"/>
              <w:rPr>
                <w:rFonts w:ascii="Times New Roman" w:hAnsi="Times New Roman"/>
                <w:b w:val="0"/>
                <w:bCs/>
                <w:i w:val="0"/>
                <w:color w:val="auto"/>
                <w:sz w:val="24"/>
                <w:lang w:val="es-ES"/>
              </w:rPr>
            </w:pPr>
            <w:r>
              <w:rPr>
                <w:rFonts w:ascii="Times New Roman" w:hAnsi="Times New Roman"/>
                <w:b w:val="0"/>
                <w:bCs/>
                <w:i w:val="0"/>
                <w:color w:val="auto"/>
                <w:sz w:val="24"/>
                <w:lang w:val="es-ES"/>
              </w:rPr>
              <w:t>15,2</w:t>
            </w:r>
          </w:p>
        </w:tc>
        <w:tc>
          <w:tcPr>
            <w:tcW w:w="2580" w:type="dxa"/>
          </w:tcPr>
          <w:p w:rsidR="00000000" w:rsidRDefault="00000000">
            <w:pPr>
              <w:pStyle w:val="BodyText2"/>
              <w:widowControl/>
              <w:tabs>
                <w:tab w:val="decimal" w:pos="1250"/>
              </w:tabs>
              <w:jc w:val="left"/>
              <w:rPr>
                <w:rFonts w:ascii="Times New Roman" w:hAnsi="Times New Roman"/>
                <w:b w:val="0"/>
                <w:bCs/>
                <w:i w:val="0"/>
                <w:color w:val="auto"/>
                <w:sz w:val="24"/>
                <w:lang w:val="es-ES"/>
              </w:rPr>
            </w:pPr>
            <w:r>
              <w:rPr>
                <w:rFonts w:ascii="Times New Roman" w:hAnsi="Times New Roman"/>
                <w:b w:val="0"/>
                <w:bCs/>
                <w:i w:val="0"/>
                <w:color w:val="auto"/>
                <w:sz w:val="24"/>
                <w:lang w:val="es-ES"/>
              </w:rPr>
              <w:t>0,3</w:t>
            </w:r>
          </w:p>
        </w:tc>
      </w:tr>
      <w:tr w:rsidR="00000000">
        <w:tblPrEx>
          <w:tblCellMar>
            <w:top w:w="0" w:type="dxa"/>
            <w:bottom w:w="0" w:type="dxa"/>
          </w:tblCellMar>
        </w:tblPrEx>
        <w:trPr>
          <w:cantSplit/>
          <w:jc w:val="center"/>
        </w:trPr>
        <w:tc>
          <w:tcPr>
            <w:tcW w:w="3550" w:type="dxa"/>
          </w:tcPr>
          <w:p w:rsidR="00000000" w:rsidRDefault="00000000">
            <w:pPr>
              <w:pStyle w:val="BodyText2"/>
              <w:widowControl/>
              <w:jc w:val="left"/>
              <w:rPr>
                <w:rFonts w:ascii="Times New Roman" w:hAnsi="Times New Roman"/>
                <w:b w:val="0"/>
                <w:bCs/>
                <w:i w:val="0"/>
                <w:color w:val="auto"/>
                <w:sz w:val="24"/>
                <w:lang w:val="es-ES"/>
              </w:rPr>
            </w:pPr>
            <w:r>
              <w:rPr>
                <w:rFonts w:ascii="Times New Roman" w:hAnsi="Times New Roman"/>
                <w:b w:val="0"/>
                <w:bCs/>
                <w:i w:val="0"/>
                <w:color w:val="auto"/>
                <w:sz w:val="24"/>
                <w:lang w:val="es-ES"/>
              </w:rPr>
              <w:t>Niñas</w:t>
            </w:r>
          </w:p>
        </w:tc>
        <w:tc>
          <w:tcPr>
            <w:tcW w:w="1440" w:type="dxa"/>
          </w:tcPr>
          <w:p w:rsidR="00000000" w:rsidRDefault="00000000">
            <w:pPr>
              <w:pStyle w:val="BodyText2"/>
              <w:widowControl/>
              <w:tabs>
                <w:tab w:val="decimal" w:pos="1010"/>
              </w:tabs>
              <w:jc w:val="left"/>
              <w:rPr>
                <w:rFonts w:ascii="Times New Roman" w:hAnsi="Times New Roman"/>
                <w:b w:val="0"/>
                <w:bCs/>
                <w:i w:val="0"/>
                <w:color w:val="auto"/>
                <w:sz w:val="24"/>
                <w:lang w:val="es-ES"/>
              </w:rPr>
            </w:pPr>
            <w:r>
              <w:rPr>
                <w:rFonts w:ascii="Times New Roman" w:hAnsi="Times New Roman"/>
                <w:b w:val="0"/>
                <w:bCs/>
                <w:i w:val="0"/>
                <w:color w:val="auto"/>
                <w:sz w:val="24"/>
                <w:lang w:val="es-ES"/>
              </w:rPr>
              <w:t>25.541</w:t>
            </w:r>
          </w:p>
        </w:tc>
        <w:tc>
          <w:tcPr>
            <w:tcW w:w="1320" w:type="dxa"/>
          </w:tcPr>
          <w:p w:rsidR="00000000" w:rsidRDefault="00000000">
            <w:pPr>
              <w:pStyle w:val="BodyText2"/>
              <w:widowControl/>
              <w:tabs>
                <w:tab w:val="decimal" w:pos="624"/>
              </w:tabs>
              <w:jc w:val="left"/>
              <w:rPr>
                <w:rFonts w:ascii="Times New Roman" w:hAnsi="Times New Roman"/>
                <w:b w:val="0"/>
                <w:bCs/>
                <w:i w:val="0"/>
                <w:color w:val="auto"/>
                <w:sz w:val="24"/>
                <w:lang w:val="es-ES"/>
              </w:rPr>
            </w:pPr>
            <w:r>
              <w:rPr>
                <w:rFonts w:ascii="Times New Roman" w:hAnsi="Times New Roman"/>
                <w:b w:val="0"/>
                <w:bCs/>
                <w:i w:val="0"/>
                <w:color w:val="auto"/>
                <w:sz w:val="24"/>
                <w:lang w:val="es-ES"/>
              </w:rPr>
              <w:t>60,7</w:t>
            </w:r>
          </w:p>
        </w:tc>
        <w:tc>
          <w:tcPr>
            <w:tcW w:w="2580" w:type="dxa"/>
          </w:tcPr>
          <w:p w:rsidR="00000000" w:rsidRDefault="00000000">
            <w:pPr>
              <w:pStyle w:val="BodyText2"/>
              <w:widowControl/>
              <w:tabs>
                <w:tab w:val="decimal" w:pos="1250"/>
              </w:tabs>
              <w:jc w:val="left"/>
              <w:rPr>
                <w:rFonts w:ascii="Times New Roman" w:hAnsi="Times New Roman"/>
                <w:b w:val="0"/>
                <w:bCs/>
                <w:i w:val="0"/>
                <w:color w:val="auto"/>
                <w:sz w:val="24"/>
                <w:lang w:val="es-ES"/>
              </w:rPr>
            </w:pPr>
            <w:r>
              <w:rPr>
                <w:rFonts w:ascii="Times New Roman" w:hAnsi="Times New Roman"/>
                <w:b w:val="0"/>
                <w:bCs/>
                <w:i w:val="0"/>
                <w:color w:val="auto"/>
                <w:sz w:val="24"/>
                <w:lang w:val="es-ES"/>
              </w:rPr>
              <w:t>1,5</w:t>
            </w:r>
          </w:p>
        </w:tc>
      </w:tr>
      <w:tr w:rsidR="00000000">
        <w:tblPrEx>
          <w:tblCellMar>
            <w:top w:w="0" w:type="dxa"/>
            <w:bottom w:w="0" w:type="dxa"/>
          </w:tblCellMar>
        </w:tblPrEx>
        <w:trPr>
          <w:cantSplit/>
          <w:jc w:val="center"/>
        </w:trPr>
        <w:tc>
          <w:tcPr>
            <w:tcW w:w="3550" w:type="dxa"/>
          </w:tcPr>
          <w:p w:rsidR="00000000" w:rsidRDefault="00000000">
            <w:pPr>
              <w:pStyle w:val="BodyText2"/>
              <w:widowControl/>
              <w:jc w:val="left"/>
              <w:rPr>
                <w:rFonts w:ascii="Times New Roman" w:hAnsi="Times New Roman"/>
                <w:b w:val="0"/>
                <w:bCs/>
                <w:i w:val="0"/>
                <w:color w:val="auto"/>
                <w:sz w:val="24"/>
                <w:lang w:val="es-ES"/>
              </w:rPr>
            </w:pPr>
            <w:r>
              <w:rPr>
                <w:rFonts w:ascii="Times New Roman" w:hAnsi="Times New Roman"/>
                <w:b w:val="0"/>
                <w:bCs/>
                <w:i w:val="0"/>
                <w:color w:val="auto"/>
                <w:sz w:val="24"/>
                <w:lang w:val="es-ES"/>
              </w:rPr>
              <w:t>Madres adolescentes, casadas y convivientes</w:t>
            </w:r>
          </w:p>
        </w:tc>
        <w:tc>
          <w:tcPr>
            <w:tcW w:w="1440" w:type="dxa"/>
            <w:vAlign w:val="bottom"/>
          </w:tcPr>
          <w:p w:rsidR="00000000" w:rsidRDefault="00000000">
            <w:pPr>
              <w:pStyle w:val="BodyText2"/>
              <w:widowControl/>
              <w:tabs>
                <w:tab w:val="decimal" w:pos="1010"/>
              </w:tabs>
              <w:jc w:val="left"/>
              <w:rPr>
                <w:rFonts w:ascii="Times New Roman" w:hAnsi="Times New Roman"/>
                <w:b w:val="0"/>
                <w:bCs/>
                <w:i w:val="0"/>
                <w:color w:val="auto"/>
                <w:sz w:val="24"/>
                <w:lang w:val="es-ES"/>
              </w:rPr>
            </w:pPr>
            <w:r>
              <w:rPr>
                <w:rFonts w:ascii="Times New Roman" w:hAnsi="Times New Roman"/>
                <w:b w:val="0"/>
                <w:bCs/>
                <w:i w:val="0"/>
                <w:color w:val="auto"/>
                <w:sz w:val="24"/>
                <w:lang w:val="es-ES"/>
              </w:rPr>
              <w:t>10.148</w:t>
            </w:r>
          </w:p>
        </w:tc>
        <w:tc>
          <w:tcPr>
            <w:tcW w:w="1320" w:type="dxa"/>
            <w:vAlign w:val="bottom"/>
          </w:tcPr>
          <w:p w:rsidR="00000000" w:rsidRDefault="00000000">
            <w:pPr>
              <w:pStyle w:val="BodyText2"/>
              <w:widowControl/>
              <w:tabs>
                <w:tab w:val="decimal" w:pos="624"/>
              </w:tabs>
              <w:jc w:val="left"/>
              <w:rPr>
                <w:rFonts w:ascii="Times New Roman" w:hAnsi="Times New Roman"/>
                <w:b w:val="0"/>
                <w:bCs/>
                <w:i w:val="0"/>
                <w:color w:val="auto"/>
                <w:sz w:val="24"/>
                <w:lang w:val="es-ES"/>
              </w:rPr>
            </w:pPr>
            <w:r>
              <w:rPr>
                <w:rFonts w:ascii="Times New Roman" w:hAnsi="Times New Roman"/>
                <w:b w:val="0"/>
                <w:bCs/>
                <w:i w:val="0"/>
                <w:color w:val="auto"/>
                <w:sz w:val="24"/>
                <w:lang w:val="es-ES"/>
              </w:rPr>
              <w:t>24,1</w:t>
            </w:r>
          </w:p>
        </w:tc>
        <w:tc>
          <w:tcPr>
            <w:tcW w:w="2580" w:type="dxa"/>
            <w:vAlign w:val="bottom"/>
          </w:tcPr>
          <w:p w:rsidR="00000000" w:rsidRDefault="00000000">
            <w:pPr>
              <w:pStyle w:val="BodyText2"/>
              <w:widowControl/>
              <w:tabs>
                <w:tab w:val="decimal" w:pos="1250"/>
              </w:tabs>
              <w:jc w:val="left"/>
              <w:rPr>
                <w:rFonts w:ascii="Times New Roman" w:hAnsi="Times New Roman"/>
                <w:b w:val="0"/>
                <w:bCs/>
                <w:i w:val="0"/>
                <w:color w:val="auto"/>
                <w:sz w:val="24"/>
                <w:lang w:val="es-ES"/>
              </w:rPr>
            </w:pPr>
            <w:r>
              <w:rPr>
                <w:rFonts w:ascii="Times New Roman" w:hAnsi="Times New Roman"/>
                <w:b w:val="0"/>
                <w:bCs/>
                <w:i w:val="0"/>
                <w:color w:val="auto"/>
                <w:sz w:val="24"/>
                <w:lang w:val="es-ES"/>
              </w:rPr>
              <w:t>43,3</w:t>
            </w:r>
          </w:p>
        </w:tc>
      </w:tr>
      <w:tr w:rsidR="00000000">
        <w:tblPrEx>
          <w:tblCellMar>
            <w:top w:w="0" w:type="dxa"/>
            <w:bottom w:w="0" w:type="dxa"/>
          </w:tblCellMar>
        </w:tblPrEx>
        <w:trPr>
          <w:cantSplit/>
          <w:jc w:val="center"/>
        </w:trPr>
        <w:tc>
          <w:tcPr>
            <w:tcW w:w="3550" w:type="dxa"/>
          </w:tcPr>
          <w:p w:rsidR="00000000" w:rsidRDefault="00000000">
            <w:pPr>
              <w:pStyle w:val="BodyText2"/>
              <w:widowControl/>
              <w:tabs>
                <w:tab w:val="left" w:pos="410"/>
              </w:tabs>
              <w:jc w:val="left"/>
              <w:rPr>
                <w:rFonts w:ascii="Times New Roman" w:hAnsi="Times New Roman"/>
                <w:b w:val="0"/>
                <w:bCs/>
                <w:i w:val="0"/>
                <w:color w:val="auto"/>
                <w:sz w:val="24"/>
                <w:lang w:val="es-ES"/>
              </w:rPr>
            </w:pPr>
            <w:r>
              <w:rPr>
                <w:rFonts w:ascii="Times New Roman" w:hAnsi="Times New Roman"/>
                <w:b w:val="0"/>
                <w:bCs/>
                <w:i w:val="0"/>
                <w:color w:val="auto"/>
                <w:sz w:val="24"/>
                <w:lang w:val="es-ES"/>
              </w:rPr>
              <w:tab/>
              <w:t>Total</w:t>
            </w:r>
          </w:p>
        </w:tc>
        <w:tc>
          <w:tcPr>
            <w:tcW w:w="1440" w:type="dxa"/>
          </w:tcPr>
          <w:p w:rsidR="00000000" w:rsidRDefault="00000000">
            <w:pPr>
              <w:pStyle w:val="BodyText2"/>
              <w:widowControl/>
              <w:tabs>
                <w:tab w:val="decimal" w:pos="1010"/>
              </w:tabs>
              <w:jc w:val="left"/>
              <w:rPr>
                <w:rFonts w:ascii="Times New Roman" w:hAnsi="Times New Roman"/>
                <w:b w:val="0"/>
                <w:bCs/>
                <w:i w:val="0"/>
                <w:color w:val="auto"/>
                <w:sz w:val="24"/>
                <w:lang w:val="es-ES"/>
              </w:rPr>
            </w:pPr>
            <w:r>
              <w:rPr>
                <w:rFonts w:ascii="Times New Roman" w:hAnsi="Times New Roman"/>
                <w:b w:val="0"/>
                <w:bCs/>
                <w:i w:val="0"/>
                <w:color w:val="auto"/>
                <w:sz w:val="24"/>
                <w:lang w:val="es-ES"/>
              </w:rPr>
              <w:t>42.083</w:t>
            </w:r>
          </w:p>
        </w:tc>
        <w:tc>
          <w:tcPr>
            <w:tcW w:w="1320" w:type="dxa"/>
          </w:tcPr>
          <w:p w:rsidR="00000000" w:rsidRDefault="00000000">
            <w:pPr>
              <w:pStyle w:val="BodyText2"/>
              <w:widowControl/>
              <w:tabs>
                <w:tab w:val="decimal" w:pos="624"/>
              </w:tabs>
              <w:jc w:val="left"/>
              <w:rPr>
                <w:rFonts w:ascii="Times New Roman" w:hAnsi="Times New Roman"/>
                <w:b w:val="0"/>
                <w:bCs/>
                <w:i w:val="0"/>
                <w:color w:val="auto"/>
                <w:sz w:val="24"/>
                <w:lang w:val="es-ES"/>
              </w:rPr>
            </w:pPr>
            <w:r>
              <w:rPr>
                <w:rFonts w:ascii="Times New Roman" w:hAnsi="Times New Roman"/>
                <w:b w:val="0"/>
                <w:bCs/>
                <w:i w:val="0"/>
                <w:color w:val="auto"/>
                <w:sz w:val="24"/>
                <w:lang w:val="es-ES"/>
              </w:rPr>
              <w:t>100,0</w:t>
            </w:r>
          </w:p>
        </w:tc>
        <w:tc>
          <w:tcPr>
            <w:tcW w:w="2580" w:type="dxa"/>
          </w:tcPr>
          <w:p w:rsidR="00000000" w:rsidRDefault="00000000">
            <w:pPr>
              <w:pStyle w:val="BodyText2"/>
              <w:widowControl/>
              <w:tabs>
                <w:tab w:val="decimal" w:pos="1250"/>
              </w:tabs>
              <w:jc w:val="left"/>
              <w:rPr>
                <w:rFonts w:ascii="Times New Roman" w:hAnsi="Times New Roman"/>
                <w:b w:val="0"/>
                <w:bCs/>
                <w:i w:val="0"/>
                <w:color w:val="auto"/>
                <w:sz w:val="24"/>
                <w:lang w:val="es-ES"/>
              </w:rPr>
            </w:pPr>
            <w:r>
              <w:rPr>
                <w:rFonts w:ascii="Times New Roman" w:hAnsi="Times New Roman"/>
                <w:b w:val="0"/>
                <w:bCs/>
                <w:i w:val="0"/>
                <w:color w:val="auto"/>
                <w:sz w:val="24"/>
                <w:lang w:val="es-ES"/>
              </w:rPr>
              <w:t>1,2</w:t>
            </w:r>
          </w:p>
        </w:tc>
      </w:tr>
    </w:tbl>
    <w:p w:rsidR="00000000" w:rsidRDefault="00000000">
      <w:pPr>
        <w:pStyle w:val="BodyText2"/>
        <w:widowControl/>
        <w:spacing w:before="240" w:after="240"/>
        <w:ind w:left="227"/>
        <w:jc w:val="left"/>
        <w:rPr>
          <w:rFonts w:ascii="Times New Roman" w:hAnsi="Times New Roman"/>
          <w:b w:val="0"/>
          <w:bCs/>
          <w:i w:val="0"/>
          <w:color w:val="auto"/>
          <w:sz w:val="24"/>
          <w:lang w:val="es-ES"/>
        </w:rPr>
      </w:pPr>
      <w:r>
        <w:rPr>
          <w:rFonts w:ascii="Times New Roman" w:hAnsi="Times New Roman"/>
          <w:b w:val="0"/>
          <w:bCs/>
          <w:iCs/>
          <w:color w:val="auto"/>
          <w:sz w:val="24"/>
          <w:lang w:val="es-ES"/>
        </w:rPr>
        <w:t>Fuente</w:t>
      </w:r>
      <w:r>
        <w:rPr>
          <w:rFonts w:ascii="Times New Roman" w:hAnsi="Times New Roman"/>
          <w:b w:val="0"/>
          <w:bCs/>
          <w:i w:val="0"/>
          <w:color w:val="auto"/>
          <w:sz w:val="24"/>
          <w:lang w:val="es-ES"/>
        </w:rPr>
        <w:t>:  OIT, MINTRAB, INE, SENAME.  Trabajo infantil y adolescente en cifras, 2004.  Tasa sobre el total de niños y adolescentes.</w:t>
      </w:r>
    </w:p>
    <w:p w:rsidR="00000000" w:rsidRDefault="00000000">
      <w:pPr>
        <w:spacing w:after="200"/>
        <w:jc w:val="center"/>
        <w:outlineLvl w:val="0"/>
        <w:rPr>
          <w:b/>
          <w:noProof/>
        </w:rPr>
      </w:pPr>
      <w:r>
        <w:rPr>
          <w:b/>
          <w:noProof/>
        </w:rPr>
        <w:t>Cuadro 61</w:t>
      </w:r>
    </w:p>
    <w:p w:rsidR="00000000" w:rsidRDefault="00000000">
      <w:pPr>
        <w:spacing w:after="240"/>
        <w:ind w:left="-4" w:firstLine="4"/>
        <w:jc w:val="center"/>
        <w:rPr>
          <w:bCs/>
          <w:noProof/>
        </w:rPr>
      </w:pPr>
      <w:r>
        <w:rPr>
          <w:b/>
          <w:noProof/>
        </w:rPr>
        <w:t>Prevalencia del consumo de drogas en la población escolar, año 2003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263"/>
        <w:gridCol w:w="2350"/>
        <w:gridCol w:w="2498"/>
      </w:tblGrid>
      <w:tr w:rsidR="00000000">
        <w:tblPrEx>
          <w:tblCellMar>
            <w:top w:w="0" w:type="dxa"/>
            <w:bottom w:w="0" w:type="dxa"/>
          </w:tblCellMar>
        </w:tblPrEx>
        <w:trPr>
          <w:jc w:val="center"/>
        </w:trPr>
        <w:tc>
          <w:tcPr>
            <w:tcW w:w="3263" w:type="dxa"/>
            <w:vAlign w:val="center"/>
          </w:tcPr>
          <w:p w:rsidR="00000000" w:rsidRDefault="00000000">
            <w:pPr>
              <w:ind w:firstLine="4"/>
              <w:jc w:val="center"/>
              <w:rPr>
                <w:b/>
                <w:noProof/>
                <w:color w:val="000000"/>
              </w:rPr>
            </w:pPr>
            <w:r>
              <w:rPr>
                <w:b/>
                <w:noProof/>
                <w:color w:val="000000"/>
              </w:rPr>
              <w:t>Tipo de droga</w:t>
            </w:r>
          </w:p>
        </w:tc>
        <w:tc>
          <w:tcPr>
            <w:tcW w:w="2350" w:type="dxa"/>
            <w:vAlign w:val="center"/>
          </w:tcPr>
          <w:p w:rsidR="00000000" w:rsidRDefault="00000000">
            <w:pPr>
              <w:ind w:firstLine="4"/>
              <w:jc w:val="center"/>
              <w:rPr>
                <w:b/>
                <w:noProof/>
                <w:color w:val="000000"/>
              </w:rPr>
            </w:pPr>
            <w:r>
              <w:rPr>
                <w:b/>
                <w:noProof/>
                <w:color w:val="000000"/>
              </w:rPr>
              <w:t>Prevalencia de vida</w:t>
            </w:r>
          </w:p>
        </w:tc>
        <w:tc>
          <w:tcPr>
            <w:tcW w:w="2498" w:type="dxa"/>
            <w:vAlign w:val="center"/>
          </w:tcPr>
          <w:p w:rsidR="00000000" w:rsidRDefault="00000000">
            <w:pPr>
              <w:ind w:firstLine="4"/>
              <w:jc w:val="center"/>
              <w:rPr>
                <w:b/>
                <w:noProof/>
                <w:color w:val="000000"/>
              </w:rPr>
            </w:pPr>
            <w:r>
              <w:rPr>
                <w:b/>
                <w:noProof/>
                <w:color w:val="000000"/>
              </w:rPr>
              <w:t>Prevalencia de</w:t>
            </w:r>
            <w:r>
              <w:rPr>
                <w:b/>
                <w:noProof/>
                <w:color w:val="000000"/>
              </w:rPr>
              <w:br/>
              <w:t>último año</w:t>
            </w:r>
          </w:p>
        </w:tc>
      </w:tr>
      <w:tr w:rsidR="00000000">
        <w:tblPrEx>
          <w:tblCellMar>
            <w:top w:w="0" w:type="dxa"/>
            <w:bottom w:w="0" w:type="dxa"/>
          </w:tblCellMar>
        </w:tblPrEx>
        <w:trPr>
          <w:jc w:val="center"/>
        </w:trPr>
        <w:tc>
          <w:tcPr>
            <w:tcW w:w="3263" w:type="dxa"/>
          </w:tcPr>
          <w:p w:rsidR="00000000" w:rsidRDefault="00000000">
            <w:pPr>
              <w:ind w:firstLine="4"/>
              <w:rPr>
                <w:bCs/>
                <w:noProof/>
                <w:color w:val="000000"/>
              </w:rPr>
            </w:pPr>
            <w:r>
              <w:rPr>
                <w:bCs/>
                <w:noProof/>
                <w:color w:val="000000"/>
              </w:rPr>
              <w:t>Alcohol</w:t>
            </w:r>
          </w:p>
        </w:tc>
        <w:tc>
          <w:tcPr>
            <w:tcW w:w="2350" w:type="dxa"/>
          </w:tcPr>
          <w:p w:rsidR="00000000" w:rsidRDefault="00000000">
            <w:pPr>
              <w:tabs>
                <w:tab w:val="decimal" w:pos="1141"/>
              </w:tabs>
              <w:ind w:firstLine="4"/>
              <w:rPr>
                <w:bCs/>
                <w:noProof/>
                <w:color w:val="000000"/>
              </w:rPr>
            </w:pPr>
            <w:r>
              <w:rPr>
                <w:bCs/>
                <w:noProof/>
                <w:color w:val="000000"/>
              </w:rPr>
              <w:t>78,7</w:t>
            </w:r>
          </w:p>
        </w:tc>
        <w:tc>
          <w:tcPr>
            <w:tcW w:w="2498" w:type="dxa"/>
          </w:tcPr>
          <w:p w:rsidR="00000000" w:rsidRDefault="00000000">
            <w:pPr>
              <w:tabs>
                <w:tab w:val="decimal" w:pos="1226"/>
              </w:tabs>
              <w:ind w:firstLine="4"/>
              <w:rPr>
                <w:bCs/>
                <w:noProof/>
                <w:color w:val="000000"/>
              </w:rPr>
            </w:pPr>
            <w:r>
              <w:rPr>
                <w:bCs/>
                <w:noProof/>
                <w:color w:val="000000"/>
              </w:rPr>
              <w:t>61,1</w:t>
            </w:r>
          </w:p>
        </w:tc>
      </w:tr>
      <w:tr w:rsidR="00000000">
        <w:tblPrEx>
          <w:tblCellMar>
            <w:top w:w="0" w:type="dxa"/>
            <w:bottom w:w="0" w:type="dxa"/>
          </w:tblCellMar>
        </w:tblPrEx>
        <w:trPr>
          <w:jc w:val="center"/>
        </w:trPr>
        <w:tc>
          <w:tcPr>
            <w:tcW w:w="3263" w:type="dxa"/>
          </w:tcPr>
          <w:p w:rsidR="00000000" w:rsidRDefault="00000000">
            <w:pPr>
              <w:ind w:firstLine="4"/>
              <w:rPr>
                <w:bCs/>
                <w:noProof/>
                <w:color w:val="000000"/>
              </w:rPr>
            </w:pPr>
            <w:r>
              <w:rPr>
                <w:bCs/>
                <w:noProof/>
                <w:color w:val="000000"/>
              </w:rPr>
              <w:t>Tabaco</w:t>
            </w:r>
          </w:p>
        </w:tc>
        <w:tc>
          <w:tcPr>
            <w:tcW w:w="2350" w:type="dxa"/>
          </w:tcPr>
          <w:p w:rsidR="00000000" w:rsidRDefault="00000000">
            <w:pPr>
              <w:tabs>
                <w:tab w:val="decimal" w:pos="1141"/>
              </w:tabs>
              <w:ind w:firstLine="4"/>
              <w:rPr>
                <w:bCs/>
                <w:noProof/>
                <w:color w:val="000000"/>
              </w:rPr>
            </w:pPr>
            <w:r>
              <w:rPr>
                <w:bCs/>
                <w:noProof/>
                <w:color w:val="000000"/>
              </w:rPr>
              <w:t>75,0</w:t>
            </w:r>
          </w:p>
        </w:tc>
        <w:tc>
          <w:tcPr>
            <w:tcW w:w="2498" w:type="dxa"/>
          </w:tcPr>
          <w:p w:rsidR="00000000" w:rsidRDefault="00000000">
            <w:pPr>
              <w:tabs>
                <w:tab w:val="decimal" w:pos="1226"/>
              </w:tabs>
              <w:ind w:firstLine="4"/>
              <w:rPr>
                <w:bCs/>
                <w:noProof/>
                <w:color w:val="000000"/>
              </w:rPr>
            </w:pPr>
            <w:r>
              <w:rPr>
                <w:bCs/>
                <w:noProof/>
                <w:color w:val="000000"/>
              </w:rPr>
              <w:t>51,4</w:t>
            </w:r>
          </w:p>
        </w:tc>
      </w:tr>
      <w:tr w:rsidR="00000000">
        <w:tblPrEx>
          <w:tblCellMar>
            <w:top w:w="0" w:type="dxa"/>
            <w:bottom w:w="0" w:type="dxa"/>
          </w:tblCellMar>
        </w:tblPrEx>
        <w:trPr>
          <w:jc w:val="center"/>
        </w:trPr>
        <w:tc>
          <w:tcPr>
            <w:tcW w:w="3263" w:type="dxa"/>
          </w:tcPr>
          <w:p w:rsidR="00000000" w:rsidRDefault="00000000">
            <w:pPr>
              <w:ind w:firstLine="4"/>
              <w:rPr>
                <w:bCs/>
                <w:noProof/>
                <w:color w:val="000000"/>
              </w:rPr>
            </w:pPr>
            <w:r>
              <w:rPr>
                <w:bCs/>
                <w:noProof/>
                <w:color w:val="000000"/>
              </w:rPr>
              <w:t>Marihuana</w:t>
            </w:r>
          </w:p>
        </w:tc>
        <w:tc>
          <w:tcPr>
            <w:tcW w:w="2350" w:type="dxa"/>
          </w:tcPr>
          <w:p w:rsidR="00000000" w:rsidRDefault="00000000">
            <w:pPr>
              <w:tabs>
                <w:tab w:val="decimal" w:pos="1141"/>
              </w:tabs>
              <w:ind w:firstLine="4"/>
              <w:rPr>
                <w:bCs/>
                <w:noProof/>
                <w:color w:val="000000"/>
              </w:rPr>
            </w:pPr>
            <w:r>
              <w:rPr>
                <w:bCs/>
                <w:noProof/>
                <w:color w:val="000000"/>
              </w:rPr>
              <w:t>21,8</w:t>
            </w:r>
          </w:p>
        </w:tc>
        <w:tc>
          <w:tcPr>
            <w:tcW w:w="2498" w:type="dxa"/>
          </w:tcPr>
          <w:p w:rsidR="00000000" w:rsidRDefault="00000000">
            <w:pPr>
              <w:tabs>
                <w:tab w:val="decimal" w:pos="1226"/>
              </w:tabs>
              <w:ind w:firstLine="4"/>
              <w:rPr>
                <w:bCs/>
                <w:noProof/>
                <w:color w:val="000000"/>
              </w:rPr>
            </w:pPr>
            <w:r>
              <w:rPr>
                <w:bCs/>
                <w:noProof/>
                <w:color w:val="000000"/>
              </w:rPr>
              <w:t>12,9</w:t>
            </w:r>
          </w:p>
        </w:tc>
      </w:tr>
      <w:tr w:rsidR="00000000">
        <w:tblPrEx>
          <w:tblCellMar>
            <w:top w:w="0" w:type="dxa"/>
            <w:bottom w:w="0" w:type="dxa"/>
          </w:tblCellMar>
        </w:tblPrEx>
        <w:trPr>
          <w:jc w:val="center"/>
        </w:trPr>
        <w:tc>
          <w:tcPr>
            <w:tcW w:w="3263" w:type="dxa"/>
          </w:tcPr>
          <w:p w:rsidR="00000000" w:rsidRDefault="00000000">
            <w:pPr>
              <w:ind w:firstLine="4"/>
              <w:rPr>
                <w:bCs/>
                <w:noProof/>
                <w:color w:val="000000"/>
              </w:rPr>
            </w:pPr>
            <w:r>
              <w:rPr>
                <w:bCs/>
                <w:noProof/>
                <w:color w:val="000000"/>
              </w:rPr>
              <w:t>Pasta Base</w:t>
            </w:r>
          </w:p>
        </w:tc>
        <w:tc>
          <w:tcPr>
            <w:tcW w:w="2350" w:type="dxa"/>
          </w:tcPr>
          <w:p w:rsidR="00000000" w:rsidRDefault="00000000">
            <w:pPr>
              <w:tabs>
                <w:tab w:val="decimal" w:pos="1141"/>
              </w:tabs>
              <w:ind w:firstLine="4"/>
              <w:rPr>
                <w:bCs/>
                <w:noProof/>
                <w:color w:val="000000"/>
              </w:rPr>
            </w:pPr>
            <w:r>
              <w:rPr>
                <w:bCs/>
                <w:noProof/>
                <w:color w:val="000000"/>
              </w:rPr>
              <w:t>5,0</w:t>
            </w:r>
          </w:p>
        </w:tc>
        <w:tc>
          <w:tcPr>
            <w:tcW w:w="2498" w:type="dxa"/>
          </w:tcPr>
          <w:p w:rsidR="00000000" w:rsidRDefault="00000000">
            <w:pPr>
              <w:tabs>
                <w:tab w:val="decimal" w:pos="1226"/>
              </w:tabs>
              <w:ind w:firstLine="4"/>
              <w:rPr>
                <w:bCs/>
                <w:noProof/>
                <w:color w:val="000000"/>
              </w:rPr>
            </w:pPr>
            <w:r>
              <w:rPr>
                <w:bCs/>
                <w:noProof/>
                <w:color w:val="000000"/>
              </w:rPr>
              <w:t>2,3</w:t>
            </w:r>
          </w:p>
        </w:tc>
      </w:tr>
      <w:tr w:rsidR="00000000">
        <w:tblPrEx>
          <w:tblCellMar>
            <w:top w:w="0" w:type="dxa"/>
            <w:bottom w:w="0" w:type="dxa"/>
          </w:tblCellMar>
        </w:tblPrEx>
        <w:trPr>
          <w:trHeight w:val="234"/>
          <w:jc w:val="center"/>
        </w:trPr>
        <w:tc>
          <w:tcPr>
            <w:tcW w:w="3263" w:type="dxa"/>
          </w:tcPr>
          <w:p w:rsidR="00000000" w:rsidRDefault="00000000">
            <w:pPr>
              <w:ind w:firstLine="4"/>
              <w:rPr>
                <w:bCs/>
                <w:noProof/>
                <w:color w:val="000000"/>
              </w:rPr>
            </w:pPr>
            <w:r>
              <w:rPr>
                <w:bCs/>
                <w:noProof/>
                <w:color w:val="000000"/>
              </w:rPr>
              <w:t>Cocaina</w:t>
            </w:r>
          </w:p>
        </w:tc>
        <w:tc>
          <w:tcPr>
            <w:tcW w:w="2350" w:type="dxa"/>
          </w:tcPr>
          <w:p w:rsidR="00000000" w:rsidRDefault="00000000">
            <w:pPr>
              <w:tabs>
                <w:tab w:val="decimal" w:pos="1141"/>
              </w:tabs>
              <w:ind w:firstLine="4"/>
              <w:rPr>
                <w:bCs/>
                <w:noProof/>
                <w:color w:val="000000"/>
              </w:rPr>
            </w:pPr>
            <w:r>
              <w:rPr>
                <w:bCs/>
                <w:noProof/>
                <w:color w:val="000000"/>
              </w:rPr>
              <w:t>5,7</w:t>
            </w:r>
          </w:p>
        </w:tc>
        <w:tc>
          <w:tcPr>
            <w:tcW w:w="2498" w:type="dxa"/>
          </w:tcPr>
          <w:p w:rsidR="00000000" w:rsidRDefault="00000000">
            <w:pPr>
              <w:tabs>
                <w:tab w:val="decimal" w:pos="1226"/>
              </w:tabs>
              <w:ind w:firstLine="4"/>
              <w:rPr>
                <w:bCs/>
                <w:noProof/>
                <w:color w:val="000000"/>
              </w:rPr>
            </w:pPr>
            <w:r>
              <w:rPr>
                <w:bCs/>
                <w:noProof/>
                <w:color w:val="000000"/>
              </w:rPr>
              <w:t>3,0</w:t>
            </w:r>
          </w:p>
        </w:tc>
      </w:tr>
      <w:tr w:rsidR="00000000">
        <w:tblPrEx>
          <w:tblCellMar>
            <w:top w:w="0" w:type="dxa"/>
            <w:bottom w:w="0" w:type="dxa"/>
          </w:tblCellMar>
        </w:tblPrEx>
        <w:trPr>
          <w:jc w:val="center"/>
        </w:trPr>
        <w:tc>
          <w:tcPr>
            <w:tcW w:w="3263" w:type="dxa"/>
          </w:tcPr>
          <w:p w:rsidR="00000000" w:rsidRDefault="00000000">
            <w:pPr>
              <w:rPr>
                <w:bCs/>
                <w:noProof/>
                <w:color w:val="000000"/>
              </w:rPr>
            </w:pPr>
            <w:r>
              <w:rPr>
                <w:bCs/>
                <w:noProof/>
                <w:color w:val="000000"/>
              </w:rPr>
              <w:t>Tranquilizantes sin receta</w:t>
            </w:r>
          </w:p>
        </w:tc>
        <w:tc>
          <w:tcPr>
            <w:tcW w:w="2350" w:type="dxa"/>
          </w:tcPr>
          <w:p w:rsidR="00000000" w:rsidRDefault="00000000">
            <w:pPr>
              <w:tabs>
                <w:tab w:val="decimal" w:pos="1141"/>
              </w:tabs>
              <w:ind w:firstLine="4"/>
              <w:rPr>
                <w:bCs/>
                <w:noProof/>
                <w:color w:val="000000"/>
              </w:rPr>
            </w:pPr>
            <w:r>
              <w:rPr>
                <w:bCs/>
                <w:noProof/>
                <w:color w:val="000000"/>
              </w:rPr>
              <w:t>9,1</w:t>
            </w:r>
          </w:p>
        </w:tc>
        <w:tc>
          <w:tcPr>
            <w:tcW w:w="2498" w:type="dxa"/>
          </w:tcPr>
          <w:p w:rsidR="00000000" w:rsidRDefault="00000000">
            <w:pPr>
              <w:tabs>
                <w:tab w:val="decimal" w:pos="1226"/>
              </w:tabs>
              <w:ind w:firstLine="4"/>
              <w:rPr>
                <w:bCs/>
                <w:noProof/>
                <w:color w:val="000000"/>
              </w:rPr>
            </w:pPr>
            <w:r>
              <w:rPr>
                <w:bCs/>
                <w:noProof/>
                <w:color w:val="000000"/>
              </w:rPr>
              <w:t>3,9</w:t>
            </w:r>
          </w:p>
        </w:tc>
      </w:tr>
      <w:tr w:rsidR="00000000">
        <w:tblPrEx>
          <w:tblCellMar>
            <w:top w:w="0" w:type="dxa"/>
            <w:bottom w:w="0" w:type="dxa"/>
          </w:tblCellMar>
        </w:tblPrEx>
        <w:trPr>
          <w:jc w:val="center"/>
        </w:trPr>
        <w:tc>
          <w:tcPr>
            <w:tcW w:w="3263" w:type="dxa"/>
          </w:tcPr>
          <w:p w:rsidR="00000000" w:rsidRDefault="00000000">
            <w:pPr>
              <w:rPr>
                <w:bCs/>
                <w:noProof/>
                <w:color w:val="000000"/>
              </w:rPr>
            </w:pPr>
            <w:r>
              <w:rPr>
                <w:bCs/>
                <w:noProof/>
                <w:color w:val="000000"/>
              </w:rPr>
              <w:t>Estimulantes sin receta</w:t>
            </w:r>
          </w:p>
        </w:tc>
        <w:tc>
          <w:tcPr>
            <w:tcW w:w="2350" w:type="dxa"/>
          </w:tcPr>
          <w:p w:rsidR="00000000" w:rsidRDefault="00000000">
            <w:pPr>
              <w:tabs>
                <w:tab w:val="decimal" w:pos="1141"/>
              </w:tabs>
              <w:ind w:firstLine="4"/>
              <w:rPr>
                <w:bCs/>
                <w:noProof/>
                <w:color w:val="000000"/>
              </w:rPr>
            </w:pPr>
            <w:r>
              <w:rPr>
                <w:bCs/>
                <w:noProof/>
                <w:color w:val="000000"/>
              </w:rPr>
              <w:t>5,9</w:t>
            </w:r>
          </w:p>
        </w:tc>
        <w:tc>
          <w:tcPr>
            <w:tcW w:w="2498" w:type="dxa"/>
          </w:tcPr>
          <w:p w:rsidR="00000000" w:rsidRDefault="00000000">
            <w:pPr>
              <w:tabs>
                <w:tab w:val="decimal" w:pos="1226"/>
              </w:tabs>
              <w:ind w:firstLine="4"/>
              <w:rPr>
                <w:bCs/>
                <w:noProof/>
                <w:color w:val="000000"/>
              </w:rPr>
            </w:pPr>
            <w:r>
              <w:rPr>
                <w:bCs/>
                <w:noProof/>
                <w:color w:val="000000"/>
              </w:rPr>
              <w:t>2,3</w:t>
            </w:r>
          </w:p>
        </w:tc>
      </w:tr>
      <w:tr w:rsidR="00000000">
        <w:tblPrEx>
          <w:tblCellMar>
            <w:top w:w="0" w:type="dxa"/>
            <w:bottom w:w="0" w:type="dxa"/>
          </w:tblCellMar>
        </w:tblPrEx>
        <w:trPr>
          <w:jc w:val="center"/>
        </w:trPr>
        <w:tc>
          <w:tcPr>
            <w:tcW w:w="3263" w:type="dxa"/>
          </w:tcPr>
          <w:p w:rsidR="00000000" w:rsidRDefault="00000000">
            <w:pPr>
              <w:ind w:firstLine="4"/>
              <w:rPr>
                <w:bCs/>
                <w:noProof/>
                <w:color w:val="000000"/>
              </w:rPr>
            </w:pPr>
            <w:r>
              <w:rPr>
                <w:bCs/>
                <w:noProof/>
                <w:color w:val="000000"/>
              </w:rPr>
              <w:t>Inhalables</w:t>
            </w:r>
          </w:p>
        </w:tc>
        <w:tc>
          <w:tcPr>
            <w:tcW w:w="2350" w:type="dxa"/>
          </w:tcPr>
          <w:p w:rsidR="00000000" w:rsidRDefault="00000000">
            <w:pPr>
              <w:tabs>
                <w:tab w:val="decimal" w:pos="1141"/>
              </w:tabs>
              <w:ind w:firstLine="4"/>
              <w:rPr>
                <w:bCs/>
                <w:noProof/>
                <w:color w:val="000000"/>
              </w:rPr>
            </w:pPr>
            <w:r>
              <w:rPr>
                <w:bCs/>
                <w:noProof/>
                <w:color w:val="000000"/>
              </w:rPr>
              <w:t>7,9</w:t>
            </w:r>
          </w:p>
        </w:tc>
        <w:tc>
          <w:tcPr>
            <w:tcW w:w="2498" w:type="dxa"/>
          </w:tcPr>
          <w:p w:rsidR="00000000" w:rsidRDefault="00000000">
            <w:pPr>
              <w:tabs>
                <w:tab w:val="decimal" w:pos="1226"/>
              </w:tabs>
              <w:ind w:firstLine="4"/>
              <w:rPr>
                <w:bCs/>
                <w:noProof/>
                <w:color w:val="000000"/>
              </w:rPr>
            </w:pPr>
            <w:r>
              <w:rPr>
                <w:bCs/>
                <w:noProof/>
                <w:color w:val="000000"/>
              </w:rPr>
              <w:t>3,1</w:t>
            </w:r>
          </w:p>
        </w:tc>
      </w:tr>
    </w:tbl>
    <w:p w:rsidR="00000000" w:rsidRDefault="00000000">
      <w:pPr>
        <w:spacing w:before="200" w:after="320"/>
        <w:rPr>
          <w:bCs/>
          <w:noProof/>
          <w:color w:val="000000"/>
        </w:rPr>
      </w:pPr>
      <w:r>
        <w:rPr>
          <w:bCs/>
          <w:noProof/>
          <w:color w:val="000000"/>
        </w:rPr>
        <w:tab/>
      </w:r>
      <w:r>
        <w:rPr>
          <w:bCs/>
          <w:i/>
          <w:iCs/>
          <w:noProof/>
          <w:color w:val="000000"/>
        </w:rPr>
        <w:t>Fuente</w:t>
      </w:r>
      <w:r>
        <w:rPr>
          <w:bCs/>
          <w:noProof/>
          <w:color w:val="000000"/>
        </w:rPr>
        <w:t>:  CONACE, 2004.</w:t>
      </w:r>
    </w:p>
    <w:p w:rsidR="00000000" w:rsidRDefault="00000000">
      <w:pPr>
        <w:spacing w:after="220"/>
        <w:ind w:left="-6" w:firstLine="6"/>
        <w:jc w:val="center"/>
        <w:outlineLvl w:val="0"/>
        <w:rPr>
          <w:b/>
          <w:noProof/>
          <w:color w:val="000000"/>
        </w:rPr>
      </w:pPr>
      <w:r>
        <w:rPr>
          <w:b/>
          <w:noProof/>
          <w:color w:val="000000"/>
        </w:rPr>
        <w:t>Cuadro 62</w:t>
      </w:r>
    </w:p>
    <w:p w:rsidR="00000000" w:rsidRDefault="00000000">
      <w:pPr>
        <w:spacing w:after="220"/>
        <w:ind w:left="-6" w:firstLine="6"/>
        <w:jc w:val="center"/>
        <w:outlineLvl w:val="0"/>
        <w:rPr>
          <w:bCs/>
          <w:noProof/>
        </w:rPr>
      </w:pPr>
      <w:r>
        <w:rPr>
          <w:b/>
          <w:noProof/>
        </w:rPr>
        <w:t>Programas de Prevención del consumo de drogas en establecimientos</w:t>
      </w:r>
      <w:r>
        <w:rPr>
          <w:b/>
          <w:noProof/>
        </w:rPr>
        <w:br/>
        <w:t>educacionales, año 2003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435"/>
        <w:gridCol w:w="2376"/>
        <w:gridCol w:w="1569"/>
        <w:gridCol w:w="1978"/>
      </w:tblGrid>
      <w:tr w:rsidR="00000000">
        <w:tblPrEx>
          <w:tblCellMar>
            <w:top w:w="0" w:type="dxa"/>
            <w:bottom w:w="0" w:type="dxa"/>
          </w:tblCellMar>
        </w:tblPrEx>
        <w:trPr>
          <w:jc w:val="center"/>
        </w:trPr>
        <w:tc>
          <w:tcPr>
            <w:tcW w:w="3435" w:type="dxa"/>
          </w:tcPr>
          <w:p w:rsidR="00000000" w:rsidRDefault="00000000">
            <w:pPr>
              <w:ind w:firstLine="6"/>
              <w:jc w:val="center"/>
              <w:rPr>
                <w:b/>
                <w:noProof/>
                <w:color w:val="000000"/>
              </w:rPr>
            </w:pPr>
            <w:r>
              <w:rPr>
                <w:b/>
                <w:noProof/>
                <w:color w:val="000000"/>
              </w:rPr>
              <w:t>Programa</w:t>
            </w:r>
          </w:p>
        </w:tc>
        <w:tc>
          <w:tcPr>
            <w:tcW w:w="2376" w:type="dxa"/>
          </w:tcPr>
          <w:p w:rsidR="00000000" w:rsidRDefault="00000000">
            <w:pPr>
              <w:ind w:firstLine="6"/>
              <w:jc w:val="center"/>
              <w:rPr>
                <w:b/>
                <w:noProof/>
                <w:color w:val="000000"/>
              </w:rPr>
            </w:pPr>
            <w:r>
              <w:rPr>
                <w:b/>
                <w:noProof/>
                <w:color w:val="000000"/>
              </w:rPr>
              <w:t>Establecimiento</w:t>
            </w:r>
          </w:p>
        </w:tc>
        <w:tc>
          <w:tcPr>
            <w:tcW w:w="1569" w:type="dxa"/>
          </w:tcPr>
          <w:p w:rsidR="00000000" w:rsidRDefault="00000000">
            <w:pPr>
              <w:ind w:firstLine="6"/>
              <w:jc w:val="center"/>
              <w:rPr>
                <w:b/>
                <w:noProof/>
                <w:color w:val="000000"/>
              </w:rPr>
            </w:pPr>
            <w:r>
              <w:rPr>
                <w:b/>
                <w:noProof/>
                <w:color w:val="000000"/>
              </w:rPr>
              <w:t>Profesores</w:t>
            </w:r>
          </w:p>
        </w:tc>
        <w:tc>
          <w:tcPr>
            <w:tcW w:w="1978" w:type="dxa"/>
          </w:tcPr>
          <w:p w:rsidR="00000000" w:rsidRDefault="00000000">
            <w:pPr>
              <w:ind w:firstLine="6"/>
              <w:jc w:val="center"/>
              <w:rPr>
                <w:b/>
                <w:noProof/>
                <w:color w:val="000000"/>
              </w:rPr>
            </w:pPr>
            <w:r>
              <w:rPr>
                <w:b/>
                <w:noProof/>
                <w:color w:val="000000"/>
              </w:rPr>
              <w:t>Alumnos</w:t>
            </w:r>
          </w:p>
        </w:tc>
      </w:tr>
      <w:tr w:rsidR="00000000">
        <w:tblPrEx>
          <w:tblCellMar>
            <w:top w:w="0" w:type="dxa"/>
            <w:bottom w:w="0" w:type="dxa"/>
          </w:tblCellMar>
        </w:tblPrEx>
        <w:trPr>
          <w:jc w:val="center"/>
        </w:trPr>
        <w:tc>
          <w:tcPr>
            <w:tcW w:w="3435" w:type="dxa"/>
          </w:tcPr>
          <w:p w:rsidR="00000000" w:rsidRDefault="00000000">
            <w:pPr>
              <w:ind w:firstLine="6"/>
              <w:rPr>
                <w:bCs/>
                <w:noProof/>
                <w:color w:val="000000"/>
              </w:rPr>
            </w:pPr>
            <w:r>
              <w:rPr>
                <w:bCs/>
                <w:noProof/>
                <w:color w:val="000000"/>
              </w:rPr>
              <w:t>"En busca del Tesoro" (educación preescolar)</w:t>
            </w:r>
          </w:p>
        </w:tc>
        <w:tc>
          <w:tcPr>
            <w:tcW w:w="2376" w:type="dxa"/>
          </w:tcPr>
          <w:p w:rsidR="00000000" w:rsidRDefault="00000000">
            <w:pPr>
              <w:tabs>
                <w:tab w:val="decimal" w:pos="1367"/>
              </w:tabs>
              <w:ind w:firstLine="6"/>
              <w:rPr>
                <w:bCs/>
                <w:noProof/>
                <w:color w:val="000000"/>
              </w:rPr>
            </w:pPr>
            <w:r>
              <w:rPr>
                <w:bCs/>
                <w:noProof/>
                <w:color w:val="000000"/>
              </w:rPr>
              <w:t>3.500</w:t>
            </w:r>
          </w:p>
        </w:tc>
        <w:tc>
          <w:tcPr>
            <w:tcW w:w="1569" w:type="dxa"/>
          </w:tcPr>
          <w:p w:rsidR="00000000" w:rsidRDefault="00000000">
            <w:pPr>
              <w:tabs>
                <w:tab w:val="decimal" w:pos="958"/>
              </w:tabs>
              <w:ind w:firstLine="6"/>
              <w:rPr>
                <w:bCs/>
                <w:noProof/>
                <w:color w:val="000000"/>
              </w:rPr>
            </w:pPr>
            <w:r>
              <w:rPr>
                <w:bCs/>
                <w:noProof/>
                <w:color w:val="000000"/>
              </w:rPr>
              <w:t>7.000</w:t>
            </w:r>
          </w:p>
        </w:tc>
        <w:tc>
          <w:tcPr>
            <w:tcW w:w="1978" w:type="dxa"/>
          </w:tcPr>
          <w:p w:rsidR="00000000" w:rsidRDefault="00000000">
            <w:pPr>
              <w:tabs>
                <w:tab w:val="decimal" w:pos="1335"/>
              </w:tabs>
              <w:ind w:firstLine="6"/>
              <w:rPr>
                <w:bCs/>
                <w:noProof/>
                <w:color w:val="000000"/>
              </w:rPr>
            </w:pPr>
            <w:r>
              <w:rPr>
                <w:bCs/>
                <w:noProof/>
                <w:color w:val="000000"/>
              </w:rPr>
              <w:t>210.000</w:t>
            </w:r>
          </w:p>
        </w:tc>
      </w:tr>
      <w:tr w:rsidR="00000000">
        <w:tblPrEx>
          <w:tblCellMar>
            <w:top w:w="0" w:type="dxa"/>
            <w:bottom w:w="0" w:type="dxa"/>
          </w:tblCellMar>
        </w:tblPrEx>
        <w:trPr>
          <w:jc w:val="center"/>
        </w:trPr>
        <w:tc>
          <w:tcPr>
            <w:tcW w:w="3435" w:type="dxa"/>
          </w:tcPr>
          <w:p w:rsidR="00000000" w:rsidRDefault="00000000">
            <w:pPr>
              <w:ind w:firstLine="6"/>
              <w:rPr>
                <w:bCs/>
                <w:noProof/>
                <w:color w:val="000000"/>
              </w:rPr>
            </w:pPr>
            <w:r>
              <w:rPr>
                <w:bCs/>
                <w:noProof/>
                <w:color w:val="000000"/>
              </w:rPr>
              <w:t>"Marori y Tutibu" (primer ciclo básico 1º a 4º)</w:t>
            </w:r>
          </w:p>
        </w:tc>
        <w:tc>
          <w:tcPr>
            <w:tcW w:w="2376" w:type="dxa"/>
          </w:tcPr>
          <w:p w:rsidR="00000000" w:rsidRDefault="00000000">
            <w:pPr>
              <w:tabs>
                <w:tab w:val="decimal" w:pos="1367"/>
              </w:tabs>
              <w:ind w:firstLine="6"/>
              <w:rPr>
                <w:bCs/>
                <w:noProof/>
                <w:color w:val="000000"/>
              </w:rPr>
            </w:pPr>
            <w:r>
              <w:rPr>
                <w:bCs/>
                <w:noProof/>
                <w:color w:val="000000"/>
              </w:rPr>
              <w:t>2.000</w:t>
            </w:r>
          </w:p>
        </w:tc>
        <w:tc>
          <w:tcPr>
            <w:tcW w:w="1569" w:type="dxa"/>
          </w:tcPr>
          <w:p w:rsidR="00000000" w:rsidRDefault="00000000">
            <w:pPr>
              <w:tabs>
                <w:tab w:val="decimal" w:pos="958"/>
              </w:tabs>
              <w:ind w:firstLine="6"/>
              <w:rPr>
                <w:bCs/>
                <w:noProof/>
                <w:color w:val="000000"/>
              </w:rPr>
            </w:pPr>
            <w:r>
              <w:rPr>
                <w:bCs/>
                <w:noProof/>
                <w:color w:val="000000"/>
              </w:rPr>
              <w:t>4.000</w:t>
            </w:r>
          </w:p>
        </w:tc>
        <w:tc>
          <w:tcPr>
            <w:tcW w:w="1978" w:type="dxa"/>
          </w:tcPr>
          <w:p w:rsidR="00000000" w:rsidRDefault="00000000">
            <w:pPr>
              <w:tabs>
                <w:tab w:val="decimal" w:pos="1335"/>
              </w:tabs>
              <w:ind w:firstLine="6"/>
              <w:rPr>
                <w:bCs/>
                <w:noProof/>
                <w:color w:val="000000"/>
              </w:rPr>
            </w:pPr>
            <w:r>
              <w:rPr>
                <w:bCs/>
                <w:noProof/>
                <w:color w:val="000000"/>
              </w:rPr>
              <w:t>720.000</w:t>
            </w:r>
          </w:p>
        </w:tc>
      </w:tr>
      <w:tr w:rsidR="00000000">
        <w:tblPrEx>
          <w:tblCellMar>
            <w:top w:w="0" w:type="dxa"/>
            <w:bottom w:w="0" w:type="dxa"/>
          </w:tblCellMar>
        </w:tblPrEx>
        <w:trPr>
          <w:jc w:val="center"/>
        </w:trPr>
        <w:tc>
          <w:tcPr>
            <w:tcW w:w="3435" w:type="dxa"/>
          </w:tcPr>
          <w:p w:rsidR="00000000" w:rsidRDefault="00000000">
            <w:pPr>
              <w:ind w:firstLine="6"/>
              <w:rPr>
                <w:bCs/>
                <w:noProof/>
                <w:color w:val="000000"/>
              </w:rPr>
            </w:pPr>
            <w:r>
              <w:rPr>
                <w:bCs/>
                <w:noProof/>
                <w:color w:val="000000"/>
              </w:rPr>
              <w:t>"Quiero Ser" (segundo ciclo básico 5º a 8º )</w:t>
            </w:r>
          </w:p>
        </w:tc>
        <w:tc>
          <w:tcPr>
            <w:tcW w:w="2376" w:type="dxa"/>
          </w:tcPr>
          <w:p w:rsidR="00000000" w:rsidRDefault="00000000">
            <w:pPr>
              <w:tabs>
                <w:tab w:val="decimal" w:pos="1367"/>
              </w:tabs>
              <w:ind w:firstLine="6"/>
              <w:rPr>
                <w:bCs/>
                <w:noProof/>
                <w:color w:val="000000"/>
              </w:rPr>
            </w:pPr>
            <w:r>
              <w:rPr>
                <w:bCs/>
                <w:noProof/>
                <w:color w:val="000000"/>
              </w:rPr>
              <w:t>5.000</w:t>
            </w:r>
          </w:p>
        </w:tc>
        <w:tc>
          <w:tcPr>
            <w:tcW w:w="1569" w:type="dxa"/>
          </w:tcPr>
          <w:p w:rsidR="00000000" w:rsidRDefault="00000000">
            <w:pPr>
              <w:tabs>
                <w:tab w:val="decimal" w:pos="958"/>
              </w:tabs>
              <w:ind w:firstLine="6"/>
              <w:rPr>
                <w:bCs/>
                <w:noProof/>
                <w:color w:val="000000"/>
              </w:rPr>
            </w:pPr>
            <w:r>
              <w:rPr>
                <w:bCs/>
                <w:noProof/>
                <w:color w:val="000000"/>
              </w:rPr>
              <w:t>15.000</w:t>
            </w:r>
          </w:p>
        </w:tc>
        <w:tc>
          <w:tcPr>
            <w:tcW w:w="1978" w:type="dxa"/>
          </w:tcPr>
          <w:p w:rsidR="00000000" w:rsidRDefault="00000000">
            <w:pPr>
              <w:tabs>
                <w:tab w:val="decimal" w:pos="1335"/>
              </w:tabs>
              <w:ind w:firstLine="6"/>
              <w:rPr>
                <w:bCs/>
                <w:noProof/>
                <w:color w:val="000000"/>
              </w:rPr>
            </w:pPr>
            <w:r>
              <w:rPr>
                <w:bCs/>
                <w:noProof/>
                <w:color w:val="000000"/>
              </w:rPr>
              <w:t>1.800.000</w:t>
            </w:r>
          </w:p>
        </w:tc>
      </w:tr>
      <w:tr w:rsidR="00000000">
        <w:tblPrEx>
          <w:tblCellMar>
            <w:top w:w="0" w:type="dxa"/>
            <w:bottom w:w="0" w:type="dxa"/>
          </w:tblCellMar>
        </w:tblPrEx>
        <w:trPr>
          <w:jc w:val="center"/>
        </w:trPr>
        <w:tc>
          <w:tcPr>
            <w:tcW w:w="3435" w:type="dxa"/>
          </w:tcPr>
          <w:p w:rsidR="00000000" w:rsidRDefault="00000000">
            <w:pPr>
              <w:ind w:firstLine="6"/>
              <w:rPr>
                <w:bCs/>
                <w:noProof/>
                <w:color w:val="000000"/>
              </w:rPr>
            </w:pPr>
            <w:r>
              <w:rPr>
                <w:bCs/>
                <w:noProof/>
                <w:color w:val="000000"/>
              </w:rPr>
              <w:t>Yo decido (Enseñanza media)</w:t>
            </w:r>
          </w:p>
        </w:tc>
        <w:tc>
          <w:tcPr>
            <w:tcW w:w="2376" w:type="dxa"/>
          </w:tcPr>
          <w:p w:rsidR="00000000" w:rsidRDefault="00000000">
            <w:pPr>
              <w:tabs>
                <w:tab w:val="decimal" w:pos="1367"/>
              </w:tabs>
              <w:ind w:firstLine="6"/>
              <w:rPr>
                <w:bCs/>
                <w:noProof/>
                <w:color w:val="000000"/>
              </w:rPr>
            </w:pPr>
            <w:r>
              <w:rPr>
                <w:bCs/>
                <w:noProof/>
                <w:color w:val="000000"/>
              </w:rPr>
              <w:t>1.000</w:t>
            </w:r>
          </w:p>
        </w:tc>
        <w:tc>
          <w:tcPr>
            <w:tcW w:w="1569" w:type="dxa"/>
          </w:tcPr>
          <w:p w:rsidR="00000000" w:rsidRDefault="00000000">
            <w:pPr>
              <w:tabs>
                <w:tab w:val="decimal" w:pos="958"/>
              </w:tabs>
              <w:ind w:firstLine="6"/>
              <w:rPr>
                <w:bCs/>
                <w:noProof/>
                <w:color w:val="000000"/>
              </w:rPr>
            </w:pPr>
            <w:r>
              <w:rPr>
                <w:bCs/>
                <w:noProof/>
                <w:color w:val="000000"/>
              </w:rPr>
              <w:t>8.000</w:t>
            </w:r>
          </w:p>
        </w:tc>
        <w:tc>
          <w:tcPr>
            <w:tcW w:w="1978" w:type="dxa"/>
          </w:tcPr>
          <w:p w:rsidR="00000000" w:rsidRDefault="00000000">
            <w:pPr>
              <w:tabs>
                <w:tab w:val="decimal" w:pos="1335"/>
              </w:tabs>
              <w:ind w:firstLine="6"/>
              <w:rPr>
                <w:bCs/>
                <w:noProof/>
                <w:color w:val="000000"/>
              </w:rPr>
            </w:pPr>
            <w:r>
              <w:rPr>
                <w:bCs/>
                <w:noProof/>
                <w:color w:val="000000"/>
              </w:rPr>
              <w:t>360.000</w:t>
            </w:r>
          </w:p>
        </w:tc>
      </w:tr>
      <w:tr w:rsidR="00000000">
        <w:tblPrEx>
          <w:tblCellMar>
            <w:top w:w="0" w:type="dxa"/>
            <w:bottom w:w="0" w:type="dxa"/>
          </w:tblCellMar>
        </w:tblPrEx>
        <w:trPr>
          <w:jc w:val="center"/>
        </w:trPr>
        <w:tc>
          <w:tcPr>
            <w:tcW w:w="3435" w:type="dxa"/>
          </w:tcPr>
          <w:p w:rsidR="00000000" w:rsidRDefault="00000000">
            <w:pPr>
              <w:ind w:firstLine="6"/>
              <w:rPr>
                <w:bCs/>
                <w:noProof/>
                <w:color w:val="000000"/>
              </w:rPr>
            </w:pPr>
            <w:r>
              <w:rPr>
                <w:bCs/>
                <w:noProof/>
                <w:color w:val="000000"/>
              </w:rPr>
              <w:tab/>
              <w:t>Total</w:t>
            </w:r>
          </w:p>
        </w:tc>
        <w:tc>
          <w:tcPr>
            <w:tcW w:w="2376" w:type="dxa"/>
          </w:tcPr>
          <w:p w:rsidR="00000000" w:rsidRDefault="00000000">
            <w:pPr>
              <w:tabs>
                <w:tab w:val="decimal" w:pos="1367"/>
              </w:tabs>
              <w:ind w:firstLine="6"/>
              <w:rPr>
                <w:bCs/>
                <w:noProof/>
                <w:color w:val="000000"/>
              </w:rPr>
            </w:pPr>
            <w:r>
              <w:rPr>
                <w:bCs/>
                <w:noProof/>
                <w:color w:val="000000"/>
              </w:rPr>
              <w:t>11.500</w:t>
            </w:r>
          </w:p>
        </w:tc>
        <w:tc>
          <w:tcPr>
            <w:tcW w:w="1569" w:type="dxa"/>
          </w:tcPr>
          <w:p w:rsidR="00000000" w:rsidRDefault="00000000">
            <w:pPr>
              <w:tabs>
                <w:tab w:val="decimal" w:pos="958"/>
              </w:tabs>
              <w:ind w:firstLine="6"/>
              <w:rPr>
                <w:bCs/>
                <w:noProof/>
                <w:color w:val="000000"/>
              </w:rPr>
            </w:pPr>
            <w:r>
              <w:rPr>
                <w:bCs/>
                <w:noProof/>
                <w:color w:val="000000"/>
              </w:rPr>
              <w:t>34.000</w:t>
            </w:r>
          </w:p>
        </w:tc>
        <w:tc>
          <w:tcPr>
            <w:tcW w:w="1978" w:type="dxa"/>
          </w:tcPr>
          <w:p w:rsidR="00000000" w:rsidRDefault="00000000">
            <w:pPr>
              <w:tabs>
                <w:tab w:val="decimal" w:pos="1335"/>
              </w:tabs>
              <w:ind w:firstLine="6"/>
              <w:rPr>
                <w:bCs/>
                <w:noProof/>
                <w:color w:val="000000"/>
              </w:rPr>
            </w:pPr>
            <w:r>
              <w:rPr>
                <w:bCs/>
                <w:noProof/>
                <w:color w:val="000000"/>
              </w:rPr>
              <w:t>3.090.000</w:t>
            </w:r>
          </w:p>
        </w:tc>
      </w:tr>
    </w:tbl>
    <w:p w:rsidR="00000000" w:rsidRDefault="00000000">
      <w:pPr>
        <w:spacing w:before="200" w:after="300"/>
        <w:rPr>
          <w:bCs/>
          <w:noProof/>
          <w:color w:val="000000"/>
        </w:rPr>
      </w:pPr>
      <w:r>
        <w:rPr>
          <w:bCs/>
          <w:i/>
          <w:iCs/>
          <w:noProof/>
          <w:color w:val="000000"/>
        </w:rPr>
        <w:t>Fuente</w:t>
      </w:r>
      <w:r>
        <w:rPr>
          <w:bCs/>
          <w:noProof/>
          <w:color w:val="000000"/>
        </w:rPr>
        <w:t>:  CONACE, 2004.</w:t>
      </w:r>
    </w:p>
    <w:p w:rsidR="00000000" w:rsidRDefault="00000000">
      <w:pPr>
        <w:spacing w:after="220"/>
        <w:ind w:left="-6" w:firstLine="6"/>
        <w:jc w:val="center"/>
        <w:outlineLvl w:val="0"/>
        <w:rPr>
          <w:b/>
          <w:noProof/>
        </w:rPr>
      </w:pPr>
      <w:r>
        <w:rPr>
          <w:b/>
          <w:noProof/>
        </w:rPr>
        <w:t>Cuadro 63</w:t>
      </w:r>
    </w:p>
    <w:p w:rsidR="00000000" w:rsidRDefault="00000000">
      <w:pPr>
        <w:spacing w:after="240"/>
        <w:ind w:left="-4" w:firstLine="4"/>
        <w:jc w:val="center"/>
        <w:rPr>
          <w:b/>
          <w:bCs/>
        </w:rPr>
      </w:pPr>
      <w:r>
        <w:rPr>
          <w:b/>
          <w:bCs/>
          <w:noProof/>
        </w:rPr>
        <w:t>Estadística de estudiantes con ascendencia i</w:t>
      </w:r>
      <w:r>
        <w:rPr>
          <w:b/>
          <w:bCs/>
        </w:rPr>
        <w:t>ndígena aymara y mapuche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340"/>
        <w:gridCol w:w="2340"/>
        <w:gridCol w:w="2340"/>
        <w:gridCol w:w="2340"/>
      </w:tblGrid>
      <w:tr w:rsidR="00000000">
        <w:tblPrEx>
          <w:tblCellMar>
            <w:top w:w="0" w:type="dxa"/>
            <w:bottom w:w="0" w:type="dxa"/>
          </w:tblCellMar>
        </w:tblPrEx>
        <w:trPr>
          <w:jc w:val="center"/>
        </w:trPr>
        <w:tc>
          <w:tcPr>
            <w:tcW w:w="2340" w:type="dxa"/>
          </w:tcPr>
          <w:p w:rsidR="00000000" w:rsidRDefault="00000000">
            <w:pPr>
              <w:ind w:firstLine="6"/>
              <w:jc w:val="center"/>
              <w:rPr>
                <w:b/>
                <w:noProof/>
                <w:color w:val="000000"/>
              </w:rPr>
            </w:pPr>
            <w:r>
              <w:rPr>
                <w:b/>
                <w:noProof/>
                <w:color w:val="000000"/>
              </w:rPr>
              <w:t>Región</w:t>
            </w:r>
          </w:p>
        </w:tc>
        <w:tc>
          <w:tcPr>
            <w:tcW w:w="2340" w:type="dxa"/>
          </w:tcPr>
          <w:p w:rsidR="00000000" w:rsidRDefault="00000000">
            <w:pPr>
              <w:ind w:firstLine="6"/>
              <w:jc w:val="center"/>
              <w:rPr>
                <w:b/>
                <w:noProof/>
                <w:color w:val="000000"/>
              </w:rPr>
            </w:pPr>
            <w:r>
              <w:rPr>
                <w:b/>
                <w:noProof/>
                <w:color w:val="000000"/>
              </w:rPr>
              <w:t>Aymaras</w:t>
            </w:r>
          </w:p>
        </w:tc>
        <w:tc>
          <w:tcPr>
            <w:tcW w:w="2340" w:type="dxa"/>
          </w:tcPr>
          <w:p w:rsidR="00000000" w:rsidRDefault="00000000">
            <w:pPr>
              <w:ind w:firstLine="6"/>
              <w:jc w:val="center"/>
              <w:rPr>
                <w:b/>
                <w:noProof/>
                <w:color w:val="000000"/>
              </w:rPr>
            </w:pPr>
            <w:r>
              <w:rPr>
                <w:b/>
                <w:noProof/>
                <w:color w:val="000000"/>
              </w:rPr>
              <w:t>Mapuche</w:t>
            </w:r>
          </w:p>
        </w:tc>
        <w:tc>
          <w:tcPr>
            <w:tcW w:w="2340" w:type="dxa"/>
          </w:tcPr>
          <w:p w:rsidR="00000000" w:rsidRDefault="00000000">
            <w:pPr>
              <w:ind w:firstLine="6"/>
              <w:jc w:val="center"/>
              <w:rPr>
                <w:b/>
                <w:noProof/>
                <w:color w:val="000000"/>
              </w:rPr>
            </w:pPr>
            <w:r>
              <w:rPr>
                <w:b/>
                <w:noProof/>
                <w:color w:val="000000"/>
              </w:rPr>
              <w:t>Total indígenas</w:t>
            </w:r>
          </w:p>
        </w:tc>
      </w:tr>
      <w:tr w:rsidR="00000000">
        <w:tblPrEx>
          <w:tblCellMar>
            <w:top w:w="0" w:type="dxa"/>
            <w:bottom w:w="0" w:type="dxa"/>
          </w:tblCellMar>
        </w:tblPrEx>
        <w:trPr>
          <w:jc w:val="center"/>
        </w:trPr>
        <w:tc>
          <w:tcPr>
            <w:tcW w:w="2340" w:type="dxa"/>
          </w:tcPr>
          <w:p w:rsidR="00000000" w:rsidRDefault="00000000">
            <w:pPr>
              <w:ind w:firstLine="6"/>
              <w:rPr>
                <w:bCs/>
                <w:noProof/>
                <w:color w:val="000000"/>
              </w:rPr>
            </w:pPr>
            <w:r>
              <w:rPr>
                <w:bCs/>
                <w:noProof/>
                <w:color w:val="000000"/>
              </w:rPr>
              <w:t>I</w:t>
            </w:r>
          </w:p>
        </w:tc>
        <w:tc>
          <w:tcPr>
            <w:tcW w:w="2340" w:type="dxa"/>
          </w:tcPr>
          <w:p w:rsidR="00000000" w:rsidRDefault="00000000">
            <w:pPr>
              <w:tabs>
                <w:tab w:val="decimal" w:pos="1141"/>
              </w:tabs>
              <w:ind w:firstLine="6"/>
              <w:rPr>
                <w:bCs/>
                <w:noProof/>
                <w:color w:val="000000"/>
              </w:rPr>
            </w:pPr>
            <w:r>
              <w:rPr>
                <w:bCs/>
                <w:noProof/>
                <w:color w:val="000000"/>
              </w:rPr>
              <w:t>52</w:t>
            </w:r>
          </w:p>
        </w:tc>
        <w:tc>
          <w:tcPr>
            <w:tcW w:w="2340" w:type="dxa"/>
          </w:tcPr>
          <w:p w:rsidR="00000000" w:rsidRDefault="00000000">
            <w:pPr>
              <w:ind w:firstLine="6"/>
              <w:jc w:val="center"/>
              <w:rPr>
                <w:bCs/>
                <w:noProof/>
                <w:color w:val="000000"/>
              </w:rPr>
            </w:pPr>
          </w:p>
        </w:tc>
        <w:tc>
          <w:tcPr>
            <w:tcW w:w="2340" w:type="dxa"/>
          </w:tcPr>
          <w:p w:rsidR="00000000" w:rsidRDefault="00000000">
            <w:pPr>
              <w:tabs>
                <w:tab w:val="decimal" w:pos="1206"/>
              </w:tabs>
              <w:ind w:firstLine="6"/>
              <w:rPr>
                <w:bCs/>
                <w:noProof/>
                <w:color w:val="000000"/>
              </w:rPr>
            </w:pPr>
            <w:r>
              <w:rPr>
                <w:bCs/>
                <w:noProof/>
                <w:color w:val="000000"/>
              </w:rPr>
              <w:t>52</w:t>
            </w:r>
          </w:p>
        </w:tc>
      </w:tr>
      <w:tr w:rsidR="00000000">
        <w:tblPrEx>
          <w:tblCellMar>
            <w:top w:w="0" w:type="dxa"/>
            <w:bottom w:w="0" w:type="dxa"/>
          </w:tblCellMar>
        </w:tblPrEx>
        <w:trPr>
          <w:jc w:val="center"/>
        </w:trPr>
        <w:tc>
          <w:tcPr>
            <w:tcW w:w="2340" w:type="dxa"/>
          </w:tcPr>
          <w:p w:rsidR="00000000" w:rsidRDefault="00000000">
            <w:pPr>
              <w:ind w:firstLine="6"/>
              <w:rPr>
                <w:bCs/>
                <w:noProof/>
                <w:color w:val="000000"/>
              </w:rPr>
            </w:pPr>
            <w:r>
              <w:rPr>
                <w:bCs/>
                <w:noProof/>
                <w:color w:val="000000"/>
              </w:rPr>
              <w:t>III</w:t>
            </w:r>
          </w:p>
        </w:tc>
        <w:tc>
          <w:tcPr>
            <w:tcW w:w="2340" w:type="dxa"/>
          </w:tcPr>
          <w:p w:rsidR="00000000" w:rsidRDefault="00000000">
            <w:pPr>
              <w:tabs>
                <w:tab w:val="decimal" w:pos="1141"/>
              </w:tabs>
              <w:ind w:firstLine="6"/>
              <w:rPr>
                <w:bCs/>
                <w:noProof/>
                <w:color w:val="000000"/>
              </w:rPr>
            </w:pPr>
          </w:p>
        </w:tc>
        <w:tc>
          <w:tcPr>
            <w:tcW w:w="2340" w:type="dxa"/>
          </w:tcPr>
          <w:p w:rsidR="00000000" w:rsidRDefault="00000000">
            <w:pPr>
              <w:tabs>
                <w:tab w:val="decimal" w:pos="1152"/>
              </w:tabs>
              <w:ind w:firstLine="6"/>
              <w:rPr>
                <w:bCs/>
                <w:noProof/>
                <w:color w:val="000000"/>
              </w:rPr>
            </w:pPr>
            <w:r>
              <w:rPr>
                <w:bCs/>
                <w:noProof/>
                <w:color w:val="000000"/>
              </w:rPr>
              <w:t>1</w:t>
            </w:r>
          </w:p>
        </w:tc>
        <w:tc>
          <w:tcPr>
            <w:tcW w:w="2340" w:type="dxa"/>
          </w:tcPr>
          <w:p w:rsidR="00000000" w:rsidRDefault="00000000">
            <w:pPr>
              <w:tabs>
                <w:tab w:val="decimal" w:pos="1206"/>
              </w:tabs>
              <w:ind w:firstLine="6"/>
              <w:rPr>
                <w:bCs/>
                <w:noProof/>
                <w:color w:val="000000"/>
              </w:rPr>
            </w:pPr>
            <w:r>
              <w:rPr>
                <w:bCs/>
                <w:noProof/>
                <w:color w:val="000000"/>
              </w:rPr>
              <w:t>1</w:t>
            </w:r>
          </w:p>
        </w:tc>
      </w:tr>
      <w:tr w:rsidR="00000000">
        <w:tblPrEx>
          <w:tblCellMar>
            <w:top w:w="0" w:type="dxa"/>
            <w:bottom w:w="0" w:type="dxa"/>
          </w:tblCellMar>
        </w:tblPrEx>
        <w:trPr>
          <w:jc w:val="center"/>
        </w:trPr>
        <w:tc>
          <w:tcPr>
            <w:tcW w:w="2340" w:type="dxa"/>
          </w:tcPr>
          <w:p w:rsidR="00000000" w:rsidRDefault="00000000">
            <w:pPr>
              <w:ind w:firstLine="6"/>
              <w:rPr>
                <w:bCs/>
                <w:noProof/>
                <w:color w:val="000000"/>
              </w:rPr>
            </w:pPr>
            <w:r>
              <w:rPr>
                <w:bCs/>
                <w:noProof/>
                <w:color w:val="000000"/>
              </w:rPr>
              <w:t>IV</w:t>
            </w:r>
          </w:p>
        </w:tc>
        <w:tc>
          <w:tcPr>
            <w:tcW w:w="2340" w:type="dxa"/>
          </w:tcPr>
          <w:p w:rsidR="00000000" w:rsidRDefault="00000000">
            <w:pPr>
              <w:tabs>
                <w:tab w:val="decimal" w:pos="1141"/>
              </w:tabs>
              <w:ind w:firstLine="6"/>
              <w:rPr>
                <w:bCs/>
                <w:noProof/>
                <w:color w:val="000000"/>
              </w:rPr>
            </w:pPr>
            <w:r>
              <w:rPr>
                <w:bCs/>
                <w:noProof/>
                <w:color w:val="000000"/>
              </w:rPr>
              <w:t>1</w:t>
            </w:r>
          </w:p>
        </w:tc>
        <w:tc>
          <w:tcPr>
            <w:tcW w:w="2340" w:type="dxa"/>
          </w:tcPr>
          <w:p w:rsidR="00000000" w:rsidRDefault="00000000">
            <w:pPr>
              <w:tabs>
                <w:tab w:val="decimal" w:pos="1152"/>
              </w:tabs>
              <w:ind w:firstLine="6"/>
              <w:rPr>
                <w:bCs/>
                <w:noProof/>
                <w:color w:val="000000"/>
              </w:rPr>
            </w:pPr>
            <w:r>
              <w:rPr>
                <w:bCs/>
                <w:noProof/>
                <w:color w:val="000000"/>
              </w:rPr>
              <w:t>1</w:t>
            </w:r>
          </w:p>
        </w:tc>
        <w:tc>
          <w:tcPr>
            <w:tcW w:w="2340" w:type="dxa"/>
          </w:tcPr>
          <w:p w:rsidR="00000000" w:rsidRDefault="00000000">
            <w:pPr>
              <w:tabs>
                <w:tab w:val="decimal" w:pos="1206"/>
              </w:tabs>
              <w:ind w:firstLine="6"/>
              <w:rPr>
                <w:bCs/>
                <w:noProof/>
                <w:color w:val="000000"/>
              </w:rPr>
            </w:pPr>
            <w:r>
              <w:rPr>
                <w:bCs/>
                <w:noProof/>
                <w:color w:val="000000"/>
              </w:rPr>
              <w:t>2</w:t>
            </w:r>
          </w:p>
        </w:tc>
      </w:tr>
      <w:tr w:rsidR="00000000">
        <w:tblPrEx>
          <w:tblCellMar>
            <w:top w:w="0" w:type="dxa"/>
            <w:bottom w:w="0" w:type="dxa"/>
          </w:tblCellMar>
        </w:tblPrEx>
        <w:trPr>
          <w:jc w:val="center"/>
        </w:trPr>
        <w:tc>
          <w:tcPr>
            <w:tcW w:w="2340" w:type="dxa"/>
          </w:tcPr>
          <w:p w:rsidR="00000000" w:rsidRDefault="00000000">
            <w:pPr>
              <w:ind w:firstLine="6"/>
              <w:rPr>
                <w:bCs/>
                <w:noProof/>
                <w:color w:val="000000"/>
              </w:rPr>
            </w:pPr>
            <w:r>
              <w:rPr>
                <w:bCs/>
                <w:noProof/>
                <w:color w:val="000000"/>
              </w:rPr>
              <w:t>V</w:t>
            </w:r>
          </w:p>
        </w:tc>
        <w:tc>
          <w:tcPr>
            <w:tcW w:w="2340" w:type="dxa"/>
          </w:tcPr>
          <w:p w:rsidR="00000000" w:rsidRDefault="00000000">
            <w:pPr>
              <w:tabs>
                <w:tab w:val="decimal" w:pos="1141"/>
              </w:tabs>
              <w:ind w:firstLine="6"/>
              <w:rPr>
                <w:bCs/>
                <w:noProof/>
                <w:color w:val="000000"/>
              </w:rPr>
            </w:pPr>
            <w:r>
              <w:rPr>
                <w:bCs/>
                <w:noProof/>
                <w:color w:val="000000"/>
              </w:rPr>
              <w:t>0</w:t>
            </w:r>
          </w:p>
        </w:tc>
        <w:tc>
          <w:tcPr>
            <w:tcW w:w="2340" w:type="dxa"/>
          </w:tcPr>
          <w:p w:rsidR="00000000" w:rsidRDefault="00000000">
            <w:pPr>
              <w:tabs>
                <w:tab w:val="decimal" w:pos="1152"/>
              </w:tabs>
              <w:ind w:firstLine="6"/>
              <w:rPr>
                <w:bCs/>
                <w:noProof/>
                <w:color w:val="000000"/>
              </w:rPr>
            </w:pPr>
            <w:r>
              <w:rPr>
                <w:bCs/>
                <w:noProof/>
                <w:color w:val="000000"/>
              </w:rPr>
              <w:t>3</w:t>
            </w:r>
          </w:p>
        </w:tc>
        <w:tc>
          <w:tcPr>
            <w:tcW w:w="2340" w:type="dxa"/>
          </w:tcPr>
          <w:p w:rsidR="00000000" w:rsidRDefault="00000000">
            <w:pPr>
              <w:tabs>
                <w:tab w:val="decimal" w:pos="1206"/>
              </w:tabs>
              <w:ind w:firstLine="6"/>
              <w:rPr>
                <w:bCs/>
                <w:noProof/>
                <w:color w:val="000000"/>
              </w:rPr>
            </w:pPr>
            <w:r>
              <w:rPr>
                <w:bCs/>
                <w:noProof/>
                <w:color w:val="000000"/>
              </w:rPr>
              <w:t>3</w:t>
            </w:r>
          </w:p>
        </w:tc>
      </w:tr>
      <w:tr w:rsidR="00000000">
        <w:tblPrEx>
          <w:tblCellMar>
            <w:top w:w="0" w:type="dxa"/>
            <w:bottom w:w="0" w:type="dxa"/>
          </w:tblCellMar>
        </w:tblPrEx>
        <w:trPr>
          <w:jc w:val="center"/>
        </w:trPr>
        <w:tc>
          <w:tcPr>
            <w:tcW w:w="2340" w:type="dxa"/>
          </w:tcPr>
          <w:p w:rsidR="00000000" w:rsidRDefault="00000000">
            <w:pPr>
              <w:ind w:firstLine="6"/>
              <w:rPr>
                <w:bCs/>
                <w:noProof/>
                <w:color w:val="000000"/>
              </w:rPr>
            </w:pPr>
            <w:r>
              <w:rPr>
                <w:bCs/>
                <w:noProof/>
                <w:color w:val="000000"/>
              </w:rPr>
              <w:t>IX</w:t>
            </w:r>
          </w:p>
        </w:tc>
        <w:tc>
          <w:tcPr>
            <w:tcW w:w="2340" w:type="dxa"/>
          </w:tcPr>
          <w:p w:rsidR="00000000" w:rsidRDefault="00000000">
            <w:pPr>
              <w:tabs>
                <w:tab w:val="decimal" w:pos="1141"/>
              </w:tabs>
              <w:ind w:firstLine="6"/>
              <w:rPr>
                <w:bCs/>
                <w:noProof/>
                <w:color w:val="000000"/>
              </w:rPr>
            </w:pPr>
          </w:p>
        </w:tc>
        <w:tc>
          <w:tcPr>
            <w:tcW w:w="2340" w:type="dxa"/>
          </w:tcPr>
          <w:p w:rsidR="00000000" w:rsidRDefault="00000000">
            <w:pPr>
              <w:tabs>
                <w:tab w:val="decimal" w:pos="1152"/>
              </w:tabs>
              <w:ind w:firstLine="6"/>
              <w:rPr>
                <w:bCs/>
                <w:noProof/>
                <w:color w:val="000000"/>
              </w:rPr>
            </w:pPr>
            <w:r>
              <w:rPr>
                <w:bCs/>
                <w:noProof/>
                <w:color w:val="000000"/>
              </w:rPr>
              <w:t>339</w:t>
            </w:r>
          </w:p>
        </w:tc>
        <w:tc>
          <w:tcPr>
            <w:tcW w:w="2340" w:type="dxa"/>
          </w:tcPr>
          <w:p w:rsidR="00000000" w:rsidRDefault="00000000">
            <w:pPr>
              <w:tabs>
                <w:tab w:val="decimal" w:pos="1206"/>
              </w:tabs>
              <w:ind w:firstLine="6"/>
              <w:rPr>
                <w:bCs/>
                <w:noProof/>
                <w:color w:val="000000"/>
              </w:rPr>
            </w:pPr>
            <w:r>
              <w:rPr>
                <w:bCs/>
                <w:noProof/>
                <w:color w:val="000000"/>
              </w:rPr>
              <w:t>339</w:t>
            </w:r>
          </w:p>
        </w:tc>
      </w:tr>
      <w:tr w:rsidR="00000000">
        <w:tblPrEx>
          <w:tblCellMar>
            <w:top w:w="0" w:type="dxa"/>
            <w:bottom w:w="0" w:type="dxa"/>
          </w:tblCellMar>
        </w:tblPrEx>
        <w:trPr>
          <w:jc w:val="center"/>
        </w:trPr>
        <w:tc>
          <w:tcPr>
            <w:tcW w:w="2340" w:type="dxa"/>
          </w:tcPr>
          <w:p w:rsidR="00000000" w:rsidRDefault="00000000">
            <w:pPr>
              <w:ind w:firstLine="6"/>
              <w:rPr>
                <w:bCs/>
                <w:noProof/>
                <w:color w:val="000000"/>
              </w:rPr>
            </w:pPr>
          </w:p>
        </w:tc>
        <w:tc>
          <w:tcPr>
            <w:tcW w:w="2340" w:type="dxa"/>
          </w:tcPr>
          <w:p w:rsidR="00000000" w:rsidRDefault="00000000">
            <w:pPr>
              <w:tabs>
                <w:tab w:val="decimal" w:pos="1141"/>
              </w:tabs>
              <w:ind w:firstLine="6"/>
              <w:rPr>
                <w:bCs/>
                <w:noProof/>
                <w:color w:val="000000"/>
              </w:rPr>
            </w:pPr>
            <w:r>
              <w:rPr>
                <w:bCs/>
                <w:noProof/>
                <w:color w:val="000000"/>
              </w:rPr>
              <w:t>53</w:t>
            </w:r>
          </w:p>
        </w:tc>
        <w:tc>
          <w:tcPr>
            <w:tcW w:w="2340" w:type="dxa"/>
          </w:tcPr>
          <w:p w:rsidR="00000000" w:rsidRDefault="00000000">
            <w:pPr>
              <w:tabs>
                <w:tab w:val="decimal" w:pos="1152"/>
              </w:tabs>
              <w:ind w:firstLine="6"/>
              <w:rPr>
                <w:bCs/>
                <w:noProof/>
                <w:color w:val="000000"/>
              </w:rPr>
            </w:pPr>
            <w:r>
              <w:rPr>
                <w:bCs/>
                <w:noProof/>
                <w:color w:val="000000"/>
              </w:rPr>
              <w:t>344</w:t>
            </w:r>
          </w:p>
        </w:tc>
        <w:tc>
          <w:tcPr>
            <w:tcW w:w="2340" w:type="dxa"/>
          </w:tcPr>
          <w:p w:rsidR="00000000" w:rsidRDefault="00000000">
            <w:pPr>
              <w:tabs>
                <w:tab w:val="decimal" w:pos="1206"/>
              </w:tabs>
              <w:ind w:firstLine="6"/>
              <w:rPr>
                <w:bCs/>
                <w:noProof/>
                <w:color w:val="000000"/>
              </w:rPr>
            </w:pPr>
            <w:r>
              <w:rPr>
                <w:bCs/>
                <w:noProof/>
                <w:color w:val="000000"/>
              </w:rPr>
              <w:t>397</w:t>
            </w:r>
          </w:p>
        </w:tc>
      </w:tr>
    </w:tbl>
    <w:p w:rsidR="00000000" w:rsidRDefault="00000000">
      <w:pPr>
        <w:spacing w:before="200" w:after="120"/>
        <w:ind w:left="-6" w:firstLine="6"/>
        <w:rPr>
          <w:bCs/>
          <w:noProof/>
          <w:color w:val="000000"/>
        </w:rPr>
      </w:pPr>
      <w:r>
        <w:rPr>
          <w:bCs/>
          <w:i/>
          <w:iCs/>
          <w:noProof/>
          <w:color w:val="000000"/>
        </w:rPr>
        <w:t>Fuente</w:t>
      </w:r>
      <w:r>
        <w:rPr>
          <w:bCs/>
          <w:noProof/>
          <w:color w:val="000000"/>
        </w:rPr>
        <w:t>:  JUNAEB, 2003.</w:t>
      </w:r>
    </w:p>
    <w:p w:rsidR="00000000" w:rsidRDefault="00000000">
      <w:pPr>
        <w:jc w:val="center"/>
      </w:pPr>
      <w:r>
        <w:rPr>
          <w:bCs/>
          <w:noProof/>
          <w:color w:val="000000"/>
        </w:rPr>
        <w:t>-----</w:t>
      </w:r>
    </w:p>
    <w:sectPr w:rsidR="00000000">
      <w:headerReference w:type="even" r:id="rId24"/>
      <w:headerReference w:type="default" r:id="rId25"/>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w:t>
      </w:r>
      <w:r>
        <w:rPr>
          <w:bCs/>
          <w:lang w:val="es-ES_tradnl"/>
        </w:rPr>
        <w:t>Para el tercer informe periódico presentado por el Gobierno del Chile, véase el documento CRC/C/65/Add.13; para su consideración por el Comité, véanse los documentos CRC/C/SR.763 y 764 y CRC/C/15/Add.173.</w:t>
      </w:r>
    </w:p>
  </w:footnote>
  <w:footnote w:id="2">
    <w:p w:rsidR="00000000" w:rsidRDefault="00000000">
      <w:pPr>
        <w:pStyle w:val="FootnoteText"/>
        <w:spacing w:after="480" w:line="240" w:lineRule="auto"/>
        <w:rPr>
          <w:bCs/>
          <w:lang w:val="es-ES_tradnl"/>
        </w:rPr>
      </w:pPr>
      <w:r>
        <w:rPr>
          <w:rStyle w:val="FootnoteReference"/>
        </w:rPr>
        <w:t>**</w:t>
      </w:r>
      <w:r>
        <w:t xml:space="preserve"> </w:t>
      </w:r>
      <w:r>
        <w:rPr>
          <w:bCs/>
          <w:lang w:val="es-ES_tradnl"/>
        </w:rPr>
        <w:t>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after="0" w:line="240" w:lineRule="auto"/>
      </w:pPr>
      <w:r>
        <w:rPr>
          <w:bCs/>
          <w:lang w:val="es-ES_tradnl"/>
        </w:rPr>
        <w:t>GE.05-45620  (S)    221205    240106</w:t>
      </w:r>
    </w:p>
  </w:footnote>
  <w:footnote w:id="3">
    <w:p w:rsidR="00000000" w:rsidRDefault="00000000">
      <w:pPr>
        <w:pStyle w:val="FootnoteText"/>
        <w:spacing w:line="240" w:lineRule="auto"/>
      </w:pPr>
      <w:r>
        <w:rPr>
          <w:rStyle w:val="FootnoteReference"/>
        </w:rPr>
        <w:footnoteRef/>
      </w:r>
      <w:r>
        <w:t xml:space="preserve"> Segundo informe </w:t>
      </w:r>
      <w:r>
        <w:rPr>
          <w:noProof/>
        </w:rPr>
        <w:t>sobre las medidas adoptadas por el Estado de Chile para dar efecto a los derechos reconocidos en la Convención sobre los Derechos de los Niños". República de Chile, noviembre de 1998.  Documento CRC/C/65/Add.13 del Comité de los Derechos del Niño.</w:t>
      </w:r>
    </w:p>
  </w:footnote>
  <w:footnote w:id="4">
    <w:p w:rsidR="00000000" w:rsidRDefault="00000000">
      <w:pPr>
        <w:pStyle w:val="FootnoteText"/>
        <w:spacing w:line="240" w:lineRule="auto"/>
      </w:pPr>
      <w:r>
        <w:rPr>
          <w:rStyle w:val="FootnoteReference"/>
        </w:rPr>
        <w:footnoteRef/>
      </w:r>
      <w:r>
        <w:t xml:space="preserve"> </w:t>
      </w:r>
      <w:r>
        <w:rPr>
          <w:noProof/>
        </w:rPr>
        <w:t>Al respecto remítase al párrafo 36 del documento CRC/C/58 en el presente informe.</w:t>
      </w:r>
    </w:p>
  </w:footnote>
  <w:footnote w:id="5">
    <w:p w:rsidR="00000000" w:rsidRDefault="00000000">
      <w:pPr>
        <w:pStyle w:val="FootnoteText"/>
        <w:spacing w:line="240" w:lineRule="auto"/>
      </w:pPr>
      <w:r>
        <w:rPr>
          <w:rStyle w:val="FootnoteReference"/>
        </w:rPr>
        <w:footnoteRef/>
      </w:r>
      <w:r>
        <w:t xml:space="preserve"> </w:t>
      </w:r>
      <w:r>
        <w:rPr>
          <w:noProof/>
        </w:rPr>
        <w:t>Al respecto remítase a la respuesta del párrafo 93 del documento CRC/C/58 en el presente informe.</w:t>
      </w:r>
    </w:p>
  </w:footnote>
  <w:footnote w:id="6">
    <w:p w:rsidR="00000000" w:rsidRDefault="00000000">
      <w:pPr>
        <w:pStyle w:val="FootnoteText"/>
        <w:spacing w:line="240" w:lineRule="auto"/>
      </w:pPr>
      <w:r>
        <w:rPr>
          <w:rStyle w:val="FootnoteReference"/>
        </w:rPr>
        <w:footnoteRef/>
      </w:r>
      <w:r>
        <w:t xml:space="preserve"> E</w:t>
      </w:r>
      <w:r>
        <w:rPr>
          <w:noProof/>
          <w:color w:val="000000"/>
        </w:rPr>
        <w:t>ncuesta CASEN, año 2000.</w:t>
      </w:r>
    </w:p>
  </w:footnote>
  <w:footnote w:id="7">
    <w:p w:rsidR="00000000" w:rsidRDefault="00000000">
      <w:pPr>
        <w:pStyle w:val="FootnoteText"/>
        <w:spacing w:line="240" w:lineRule="auto"/>
      </w:pPr>
      <w:r>
        <w:rPr>
          <w:rStyle w:val="FootnoteReference"/>
        </w:rPr>
        <w:footnoteRef/>
      </w:r>
      <w:r>
        <w:t xml:space="preserve"> </w:t>
      </w:r>
      <w:r>
        <w:rPr>
          <w:noProof/>
        </w:rPr>
        <w:t>A menos que esté técnicamente determinado y aprobado por el Tribunal competente, que el niño o niña no puede tener contacto con su familia.</w:t>
      </w:r>
    </w:p>
  </w:footnote>
  <w:footnote w:id="8">
    <w:p w:rsidR="00000000" w:rsidRDefault="00000000">
      <w:pPr>
        <w:pStyle w:val="FootnoteText"/>
        <w:spacing w:line="240" w:lineRule="auto"/>
      </w:pPr>
      <w:r>
        <w:rPr>
          <w:rStyle w:val="FootnoteReference"/>
        </w:rPr>
        <w:footnoteRef/>
      </w:r>
      <w:r>
        <w:t xml:space="preserve"> </w:t>
      </w:r>
      <w:r>
        <w:rPr>
          <w:noProof/>
        </w:rPr>
        <w:t>Al respecto ver el segundo informe, mismo párrafo del documento CRC/C/58.</w:t>
      </w:r>
    </w:p>
  </w:footnote>
  <w:footnote w:id="9">
    <w:p w:rsidR="00000000" w:rsidRDefault="00000000">
      <w:pPr>
        <w:pStyle w:val="FootnoteText"/>
        <w:spacing w:line="240" w:lineRule="auto"/>
      </w:pPr>
      <w:r>
        <w:rPr>
          <w:rStyle w:val="FootnoteReference"/>
        </w:rPr>
        <w:footnoteRef/>
      </w:r>
      <w:r>
        <w:t xml:space="preserve"> </w:t>
      </w:r>
      <w:r>
        <w:rPr>
          <w:noProof/>
        </w:rPr>
        <w:t>La Comisión Nacional del SIDA, CONASIDA -entidad responsable de la elaboración y coordinación ejecutiva del Programa de Prevención y Control del SIDA, y de las Enfermedades Transmisión Sexual.</w:t>
      </w:r>
    </w:p>
  </w:footnote>
  <w:footnote w:id="10">
    <w:p w:rsidR="00000000" w:rsidRDefault="00000000">
      <w:pPr>
        <w:pStyle w:val="FootnoteText"/>
        <w:spacing w:line="240" w:lineRule="auto"/>
      </w:pPr>
      <w:r>
        <w:rPr>
          <w:rStyle w:val="FootnoteReference"/>
        </w:rPr>
        <w:footnoteRef/>
      </w:r>
      <w:r>
        <w:t xml:space="preserve"> </w:t>
      </w:r>
      <w:r>
        <w:rPr>
          <w:noProof/>
        </w:rPr>
        <w:t>Se refiere al número de personas asintomáticas viviendo con VIH notificadas, y no refleja necesariamente la situación real de la infección por VIH.</w:t>
      </w:r>
    </w:p>
  </w:footnote>
  <w:footnote w:id="11">
    <w:p w:rsidR="00000000" w:rsidRDefault="00000000">
      <w:pPr>
        <w:pStyle w:val="FootnoteText"/>
        <w:spacing w:line="240" w:lineRule="auto"/>
      </w:pPr>
      <w:r>
        <w:rPr>
          <w:rStyle w:val="FootnoteReference"/>
        </w:rPr>
        <w:footnoteRef/>
      </w:r>
      <w:r>
        <w:t xml:space="preserve"> </w:t>
      </w:r>
      <w:r>
        <w:rPr>
          <w:noProof/>
        </w:rPr>
        <w:t>Para mayor información acerca de la Jornada Escolar Completa remítase al segundo informe.</w:t>
      </w:r>
    </w:p>
  </w:footnote>
  <w:footnote w:id="12">
    <w:p w:rsidR="00000000" w:rsidRDefault="00000000">
      <w:pPr>
        <w:pStyle w:val="FootnoteText"/>
        <w:spacing w:line="240" w:lineRule="auto"/>
      </w:pPr>
      <w:r>
        <w:rPr>
          <w:rStyle w:val="FootnoteReference"/>
        </w:rPr>
        <w:footnoteRef/>
      </w:r>
      <w:r>
        <w:t xml:space="preserve"> </w:t>
      </w:r>
      <w:r>
        <w:rPr>
          <w:noProof/>
        </w:rPr>
        <w:t>Vulnerabilidad:  se refiere al riesgo biológico, psicológico, socioeconómico y cultural que afecta la calidad de vida, bienestar y capacidad de aprendizaje de los escolares. Para medirlo se utiliza el Indice de Vulnerabilidad, el cual es el porcentaje promedio ponderado, de las necesidades insatisfechas de los escolares que se encuentran en el establecimiento, tales como necesidad médica, necesidad dental, déficit del peso para la edad.</w:t>
      </w:r>
    </w:p>
  </w:footnote>
  <w:footnote w:id="13">
    <w:p w:rsidR="00000000" w:rsidRDefault="00000000">
      <w:pPr>
        <w:pStyle w:val="FootnoteText"/>
        <w:spacing w:line="240" w:lineRule="auto"/>
      </w:pPr>
      <w:r>
        <w:rPr>
          <w:rStyle w:val="FootnoteReference"/>
        </w:rPr>
        <w:footnoteRef/>
      </w:r>
      <w:r>
        <w:t xml:space="preserve"> </w:t>
      </w:r>
      <w:r>
        <w:rPr>
          <w:noProof/>
        </w:rPr>
        <w:t>Los liceos participantes han contado con un aporte adicional a la subvención equivalente a 8 </w:t>
      </w:r>
      <w:r>
        <w:rPr>
          <w:bCs/>
          <w:noProof/>
          <w:szCs w:val="22"/>
        </w:rPr>
        <w:t xml:space="preserve">dólares de los EE.UU. </w:t>
      </w:r>
      <w:r>
        <w:rPr>
          <w:noProof/>
        </w:rPr>
        <w:t>mensuales por alumno durante el período de desarrollo de su proyecto.</w:t>
      </w:r>
    </w:p>
  </w:footnote>
  <w:footnote w:id="14">
    <w:p w:rsidR="00000000" w:rsidRDefault="00000000">
      <w:pPr>
        <w:pStyle w:val="FootnoteText"/>
        <w:spacing w:line="240" w:lineRule="auto"/>
      </w:pPr>
      <w:r>
        <w:rPr>
          <w:rStyle w:val="FootnoteReference"/>
        </w:rPr>
        <w:footnoteRef/>
      </w:r>
      <w:r>
        <w:t xml:space="preserve"> </w:t>
      </w:r>
      <w:r>
        <w:rPr>
          <w:noProof/>
        </w:rPr>
        <w:t>Acerca de las características de los PME ver el segundo informe, mismo párrafo del documento CRC/C/58.</w:t>
      </w:r>
    </w:p>
  </w:footnote>
  <w:footnote w:id="15">
    <w:p w:rsidR="00000000" w:rsidRDefault="00000000">
      <w:pPr>
        <w:pStyle w:val="FootnoteText"/>
        <w:spacing w:line="240" w:lineRule="auto"/>
      </w:pPr>
      <w:r>
        <w:rPr>
          <w:rStyle w:val="FootnoteReference"/>
        </w:rPr>
        <w:footnoteRef/>
      </w:r>
      <w:r>
        <w:t xml:space="preserve"> </w:t>
      </w:r>
      <w:r>
        <w:rPr>
          <w:noProof/>
        </w:rPr>
        <w:t>Más información al respecto en la respuesta al párrafo 80 del documento CRC/C/58 en el presente informe.</w:t>
      </w:r>
    </w:p>
  </w:footnote>
  <w:footnote w:id="16">
    <w:p w:rsidR="00000000" w:rsidRDefault="00000000">
      <w:pPr>
        <w:pStyle w:val="FootnoteText"/>
        <w:spacing w:line="240" w:lineRule="auto"/>
      </w:pPr>
      <w:r>
        <w:rPr>
          <w:rStyle w:val="FootnoteReference"/>
        </w:rPr>
        <w:footnoteRef/>
      </w:r>
      <w:r>
        <w:t xml:space="preserve"> </w:t>
      </w:r>
      <w:r>
        <w:rPr>
          <w:noProof/>
        </w:rPr>
        <w:t>Para la descripción del programa de Campamentos Escolares, ver el segundo informe, párrafo 117 del documento CRC/C/58.</w:t>
      </w:r>
    </w:p>
  </w:footnote>
  <w:footnote w:id="17">
    <w:p w:rsidR="00000000" w:rsidRDefault="00000000">
      <w:pPr>
        <w:pStyle w:val="FootnoteText"/>
        <w:spacing w:line="240" w:lineRule="auto"/>
      </w:pPr>
      <w:r>
        <w:rPr>
          <w:rStyle w:val="FootnoteReference"/>
        </w:rPr>
        <w:footnoteRef/>
      </w:r>
      <w:r>
        <w:t xml:space="preserve"> </w:t>
      </w:r>
      <w:r>
        <w:rPr>
          <w:noProof/>
        </w:rPr>
        <w:t>Al respecto véase respuesta al párrafo 12 del documento CRC/C/58 en el presente informe.</w:t>
      </w:r>
    </w:p>
  </w:footnote>
  <w:footnote w:id="18">
    <w:p w:rsidR="00000000" w:rsidRDefault="00000000">
      <w:pPr>
        <w:pStyle w:val="FootnoteText"/>
        <w:spacing w:line="240" w:lineRule="auto"/>
      </w:pPr>
      <w:r>
        <w:rPr>
          <w:rStyle w:val="FootnoteReference"/>
        </w:rPr>
        <w:footnoteRef/>
      </w:r>
      <w:r>
        <w:t xml:space="preserve"> </w:t>
      </w:r>
      <w:r>
        <w:rPr>
          <w:i/>
        </w:rPr>
        <w:t>Trabajo aceptable</w:t>
      </w:r>
      <w:r>
        <w:t xml:space="preserve"> es el que se realiza cumpliendo la ley, por parte de adolescentes de 15 años y más.  También se incluye en esta categoría el trabajo liviano, o de pocas horas, que pueden realizar, de manera protegida, los niños entre 12 y 14 años.  Todas aquellas actividades que no se ajustan a estas características constituyen </w:t>
      </w:r>
      <w:r>
        <w:rPr>
          <w:i/>
        </w:rPr>
        <w:t>Trabajo inaceptable.</w:t>
      </w:r>
    </w:p>
  </w:footnote>
  <w:footnote w:id="19">
    <w:p w:rsidR="00000000" w:rsidRDefault="00000000">
      <w:pPr>
        <w:pStyle w:val="FootnoteText"/>
        <w:spacing w:line="240" w:lineRule="auto"/>
      </w:pPr>
      <w:r>
        <w:rPr>
          <w:rStyle w:val="FootnoteReference"/>
        </w:rPr>
        <w:t>19</w:t>
      </w:r>
      <w:r>
        <w:t xml:space="preserve"> </w:t>
      </w:r>
      <w:r>
        <w:rPr>
          <w:noProof/>
        </w:rPr>
        <w:t>El incremento se debe al programa nacional aplicado a la actividad agrícola de temprada en diciembre 2000 a marzo 2001.</w:t>
      </w:r>
    </w:p>
  </w:footnote>
  <w:footnote w:id="20">
    <w:p w:rsidR="00000000" w:rsidRDefault="00000000">
      <w:pPr>
        <w:pStyle w:val="FootnoteText"/>
        <w:spacing w:line="240" w:lineRule="auto"/>
      </w:pPr>
      <w:r>
        <w:rPr>
          <w:rStyle w:val="FootnoteReference"/>
        </w:rPr>
        <w:t>20</w:t>
      </w:r>
      <w:r>
        <w:t xml:space="preserve"> </w:t>
      </w:r>
      <w:r>
        <w:rPr>
          <w:noProof/>
        </w:rPr>
        <w:t>Datos corresponden al período enero a mayo de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CRC/C/CHL/3</w:t>
    </w:r>
  </w:p>
  <w:p w:rsidR="00000000" w:rsidRDefault="00000000">
    <w:pPr>
      <w:pStyle w:val="Header"/>
    </w:pPr>
    <w:r>
      <w:t xml:space="preserve">página </w:t>
    </w:r>
    <w:r>
      <w:fldChar w:fldCharType="begin"/>
    </w:r>
    <w:r>
      <w:instrText xml:space="preserve"> PAGE  \* MERGEFORMAT </w:instrText>
    </w:r>
    <w:r>
      <w:fldChar w:fldCharType="separate"/>
    </w:r>
    <w:r>
      <w:rPr>
        <w:noProof/>
      </w:rPr>
      <w:t>120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00"/>
      </w:tabs>
      <w:rPr>
        <w:lang w:val="en-GB"/>
      </w:rPr>
    </w:pPr>
    <w:r>
      <w:tab/>
    </w:r>
    <w:r>
      <w:rPr>
        <w:lang w:val="en-GB"/>
      </w:rPr>
      <w:t>CRC/C/CHL/3</w:t>
    </w:r>
  </w:p>
  <w:p w:rsidR="00000000" w:rsidRDefault="00000000">
    <w:pPr>
      <w:tabs>
        <w:tab w:val="left" w:pos="7800"/>
      </w:tabs>
    </w:pPr>
    <w:r>
      <w:rPr>
        <w:lang w:val="en-GB"/>
      </w:rPr>
      <w:tab/>
    </w:r>
    <w:r>
      <w:t xml:space="preserve">página </w:t>
    </w:r>
    <w:r>
      <w:fldChar w:fldCharType="begin"/>
    </w:r>
    <w:r>
      <w:instrText xml:space="preserve"> PAGE  \* MERGEFORMAT </w:instrText>
    </w:r>
    <w:r>
      <w:fldChar w:fldCharType="separate"/>
    </w:r>
    <w:r>
      <w:rPr>
        <w:noProof/>
      </w:rPr>
      <w:t>121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80798"/>
    <w:multiLevelType w:val="hybridMultilevel"/>
    <w:tmpl w:val="10ACDFCC"/>
    <w:lvl w:ilvl="0" w:tplc="57AEFF10">
      <w:start w:val="145"/>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60804CB"/>
    <w:multiLevelType w:val="hybridMultilevel"/>
    <w:tmpl w:val="5E6E0446"/>
    <w:lvl w:ilvl="0" w:tplc="FFFFFFFF">
      <w:start w:val="1"/>
      <w:numFmt w:val="bullet"/>
      <w:lvlText w:val=""/>
      <w:lvlJc w:val="left"/>
      <w:pPr>
        <w:tabs>
          <w:tab w:val="num" w:pos="76"/>
        </w:tabs>
        <w:ind w:left="76" w:hanging="360"/>
      </w:pPr>
      <w:rPr>
        <w:rFonts w:ascii="Wingdings" w:hAnsi="Wingdings" w:hint="default"/>
      </w:rPr>
    </w:lvl>
    <w:lvl w:ilvl="1" w:tplc="FFFFFFFF">
      <w:start w:val="1"/>
      <w:numFmt w:val="bullet"/>
      <w:lvlText w:val="o"/>
      <w:lvlJc w:val="left"/>
      <w:pPr>
        <w:tabs>
          <w:tab w:val="num" w:pos="796"/>
        </w:tabs>
        <w:ind w:left="796" w:hanging="360"/>
      </w:pPr>
      <w:rPr>
        <w:rFonts w:ascii="Courier New" w:hAnsi="Courier New" w:cs="Courier New" w:hint="default"/>
      </w:rPr>
    </w:lvl>
    <w:lvl w:ilvl="2" w:tplc="FFFFFFFF" w:tentative="1">
      <w:start w:val="1"/>
      <w:numFmt w:val="bullet"/>
      <w:lvlText w:val=""/>
      <w:lvlJc w:val="left"/>
      <w:pPr>
        <w:tabs>
          <w:tab w:val="num" w:pos="1516"/>
        </w:tabs>
        <w:ind w:left="1516" w:hanging="360"/>
      </w:pPr>
      <w:rPr>
        <w:rFonts w:ascii="Wingdings" w:hAnsi="Wingdings" w:hint="default"/>
      </w:rPr>
    </w:lvl>
    <w:lvl w:ilvl="3" w:tplc="FFFFFFFF" w:tentative="1">
      <w:start w:val="1"/>
      <w:numFmt w:val="bullet"/>
      <w:lvlText w:val=""/>
      <w:lvlJc w:val="left"/>
      <w:pPr>
        <w:tabs>
          <w:tab w:val="num" w:pos="2236"/>
        </w:tabs>
        <w:ind w:left="2236" w:hanging="360"/>
      </w:pPr>
      <w:rPr>
        <w:rFonts w:ascii="Symbol" w:hAnsi="Symbol" w:hint="default"/>
      </w:rPr>
    </w:lvl>
    <w:lvl w:ilvl="4" w:tplc="FFFFFFFF" w:tentative="1">
      <w:start w:val="1"/>
      <w:numFmt w:val="bullet"/>
      <w:lvlText w:val="o"/>
      <w:lvlJc w:val="left"/>
      <w:pPr>
        <w:tabs>
          <w:tab w:val="num" w:pos="2956"/>
        </w:tabs>
        <w:ind w:left="2956" w:hanging="360"/>
      </w:pPr>
      <w:rPr>
        <w:rFonts w:ascii="Courier New" w:hAnsi="Courier New" w:cs="Courier New" w:hint="default"/>
      </w:rPr>
    </w:lvl>
    <w:lvl w:ilvl="5" w:tplc="FFFFFFFF" w:tentative="1">
      <w:start w:val="1"/>
      <w:numFmt w:val="bullet"/>
      <w:lvlText w:val=""/>
      <w:lvlJc w:val="left"/>
      <w:pPr>
        <w:tabs>
          <w:tab w:val="num" w:pos="3676"/>
        </w:tabs>
        <w:ind w:left="3676" w:hanging="360"/>
      </w:pPr>
      <w:rPr>
        <w:rFonts w:ascii="Wingdings" w:hAnsi="Wingdings" w:hint="default"/>
      </w:rPr>
    </w:lvl>
    <w:lvl w:ilvl="6" w:tplc="FFFFFFFF" w:tentative="1">
      <w:start w:val="1"/>
      <w:numFmt w:val="bullet"/>
      <w:lvlText w:val=""/>
      <w:lvlJc w:val="left"/>
      <w:pPr>
        <w:tabs>
          <w:tab w:val="num" w:pos="4396"/>
        </w:tabs>
        <w:ind w:left="4396" w:hanging="360"/>
      </w:pPr>
      <w:rPr>
        <w:rFonts w:ascii="Symbol" w:hAnsi="Symbol" w:hint="default"/>
      </w:rPr>
    </w:lvl>
    <w:lvl w:ilvl="7" w:tplc="FFFFFFFF" w:tentative="1">
      <w:start w:val="1"/>
      <w:numFmt w:val="bullet"/>
      <w:lvlText w:val="o"/>
      <w:lvlJc w:val="left"/>
      <w:pPr>
        <w:tabs>
          <w:tab w:val="num" w:pos="5116"/>
        </w:tabs>
        <w:ind w:left="5116" w:hanging="360"/>
      </w:pPr>
      <w:rPr>
        <w:rFonts w:ascii="Courier New" w:hAnsi="Courier New" w:cs="Courier New" w:hint="default"/>
      </w:rPr>
    </w:lvl>
    <w:lvl w:ilvl="8" w:tplc="FFFFFFFF" w:tentative="1">
      <w:start w:val="1"/>
      <w:numFmt w:val="bullet"/>
      <w:lvlText w:val=""/>
      <w:lvlJc w:val="left"/>
      <w:pPr>
        <w:tabs>
          <w:tab w:val="num" w:pos="5836"/>
        </w:tabs>
        <w:ind w:left="5836" w:hanging="360"/>
      </w:pPr>
      <w:rPr>
        <w:rFonts w:ascii="Wingdings" w:hAnsi="Wingdings" w:hint="default"/>
      </w:rPr>
    </w:lvl>
  </w:abstractNum>
  <w:abstractNum w:abstractNumId="2">
    <w:nsid w:val="09996F47"/>
    <w:multiLevelType w:val="singleLevel"/>
    <w:tmpl w:val="6CE4C0DC"/>
    <w:lvl w:ilvl="0">
      <w:start w:val="236"/>
      <w:numFmt w:val="decimal"/>
      <w:lvlText w:val="%1."/>
      <w:lvlJc w:val="left"/>
      <w:pPr>
        <w:tabs>
          <w:tab w:val="num" w:pos="705"/>
        </w:tabs>
        <w:ind w:left="705" w:hanging="705"/>
      </w:pPr>
      <w:rPr>
        <w:rFonts w:hint="default"/>
      </w:rPr>
    </w:lvl>
  </w:abstractNum>
  <w:abstractNum w:abstractNumId="3">
    <w:nsid w:val="0ACF56BA"/>
    <w:multiLevelType w:val="hybridMultilevel"/>
    <w:tmpl w:val="51EA053A"/>
    <w:lvl w:ilvl="0" w:tplc="7A76751C">
      <w:start w:val="43"/>
      <w:numFmt w:val="decimal"/>
      <w:lvlText w:val="%1."/>
      <w:lvlJc w:val="left"/>
      <w:pPr>
        <w:tabs>
          <w:tab w:val="num" w:pos="1080"/>
        </w:tabs>
        <w:ind w:left="1080" w:hanging="720"/>
      </w:pPr>
      <w:rPr>
        <w:rFonts w:hint="default"/>
        <w:b w:val="0"/>
        <w:i w:val="0"/>
      </w:rPr>
    </w:lvl>
    <w:lvl w:ilvl="1" w:tplc="E3700606">
      <w:start w:val="1"/>
      <w:numFmt w:val="lowerLetter"/>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0DC56B3B"/>
    <w:multiLevelType w:val="hybridMultilevel"/>
    <w:tmpl w:val="548256B4"/>
    <w:lvl w:ilvl="0" w:tplc="BD00489C">
      <w:start w:val="28"/>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022116C"/>
    <w:multiLevelType w:val="hybridMultilevel"/>
    <w:tmpl w:val="834EBDE8"/>
    <w:lvl w:ilvl="0" w:tplc="B0F29F44">
      <w:start w:val="2"/>
      <w:numFmt w:val="upperLetter"/>
      <w:lvlText w:val="%1."/>
      <w:lvlJc w:val="left"/>
      <w:pPr>
        <w:tabs>
          <w:tab w:val="num" w:pos="1414"/>
        </w:tabs>
        <w:ind w:left="1414" w:hanging="705"/>
      </w:pPr>
      <w:rPr>
        <w:rFonts w:hint="default"/>
      </w:rPr>
    </w:lvl>
    <w:lvl w:ilvl="1" w:tplc="0C0A0019">
      <w:start w:val="1"/>
      <w:numFmt w:val="lowerLetter"/>
      <w:lvlText w:val="%2."/>
      <w:lvlJc w:val="left"/>
      <w:pPr>
        <w:tabs>
          <w:tab w:val="num" w:pos="1789"/>
        </w:tabs>
        <w:ind w:left="1789" w:hanging="360"/>
      </w:pPr>
    </w:lvl>
    <w:lvl w:ilvl="2" w:tplc="0C0A001B">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6">
    <w:nsid w:val="114835B6"/>
    <w:multiLevelType w:val="hybridMultilevel"/>
    <w:tmpl w:val="1E224520"/>
    <w:lvl w:ilvl="0" w:tplc="FFFFFFFF">
      <w:start w:val="1"/>
      <w:numFmt w:val="bullet"/>
      <w:lvlText w:val=""/>
      <w:lvlJc w:val="left"/>
      <w:pPr>
        <w:tabs>
          <w:tab w:val="num" w:pos="360"/>
        </w:tabs>
        <w:ind w:left="360" w:hanging="360"/>
      </w:pPr>
      <w:rPr>
        <w:rFonts w:ascii="Wingdings" w:hAnsi="Wingdings" w:hint="default"/>
      </w:rPr>
    </w:lvl>
    <w:lvl w:ilvl="1" w:tplc="FFFFFFFF">
      <w:start w:val="1"/>
      <w:numFmt w:val="decimal"/>
      <w:lvlText w:val="%2."/>
      <w:lvlJc w:val="left"/>
      <w:pPr>
        <w:tabs>
          <w:tab w:val="num" w:pos="1440"/>
        </w:tabs>
        <w:ind w:left="1440" w:hanging="360"/>
      </w:pPr>
      <w:rPr>
        <w:rFonts w:hint="default"/>
      </w:rPr>
    </w:lvl>
    <w:lvl w:ilvl="2" w:tplc="169A923C">
      <w:start w:val="2"/>
      <w:numFmt w:val="lowerLetter"/>
      <w:lvlText w:val="%3."/>
      <w:lvlJc w:val="left"/>
      <w:pPr>
        <w:tabs>
          <w:tab w:val="num" w:pos="2160"/>
        </w:tabs>
        <w:ind w:left="2160" w:hanging="360"/>
      </w:pPr>
      <w:rPr>
        <w:rFonts w:hint="default"/>
      </w:rPr>
    </w:lvl>
    <w:lvl w:ilvl="3" w:tplc="4D3C54FE">
      <w:start w:val="3"/>
      <w:numFmt w:val="bullet"/>
      <w:lvlText w:val="-"/>
      <w:lvlJc w:val="left"/>
      <w:pPr>
        <w:tabs>
          <w:tab w:val="num" w:pos="3240"/>
        </w:tabs>
        <w:ind w:left="3240" w:hanging="720"/>
      </w:pPr>
      <w:rPr>
        <w:rFonts w:ascii="Arial" w:eastAsia="Times New Roman" w:hAnsi="Arial" w:cs="Aria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12770155"/>
    <w:multiLevelType w:val="singleLevel"/>
    <w:tmpl w:val="8410BE14"/>
    <w:lvl w:ilvl="0">
      <w:start w:val="3"/>
      <w:numFmt w:val="upperLetter"/>
      <w:lvlText w:val="%1."/>
      <w:lvlJc w:val="left"/>
      <w:pPr>
        <w:tabs>
          <w:tab w:val="num" w:pos="1415"/>
        </w:tabs>
        <w:ind w:left="1415" w:hanging="705"/>
      </w:pPr>
      <w:rPr>
        <w:rFonts w:hint="default"/>
      </w:rPr>
    </w:lvl>
  </w:abstractNum>
  <w:abstractNum w:abstractNumId="8">
    <w:nsid w:val="16FD13D6"/>
    <w:multiLevelType w:val="singleLevel"/>
    <w:tmpl w:val="7B4206E6"/>
    <w:lvl w:ilvl="0">
      <w:start w:val="3"/>
      <w:numFmt w:val="upperLetter"/>
      <w:lvlText w:val="%1."/>
      <w:lvlJc w:val="left"/>
      <w:pPr>
        <w:tabs>
          <w:tab w:val="num" w:pos="1413"/>
        </w:tabs>
        <w:ind w:left="1413" w:hanging="705"/>
      </w:pPr>
      <w:rPr>
        <w:rFonts w:hint="default"/>
      </w:rPr>
    </w:lvl>
  </w:abstractNum>
  <w:abstractNum w:abstractNumId="9">
    <w:nsid w:val="177F12B6"/>
    <w:multiLevelType w:val="singleLevel"/>
    <w:tmpl w:val="1020E962"/>
    <w:lvl w:ilvl="0">
      <w:start w:val="3"/>
      <w:numFmt w:val="lowerLetter"/>
      <w:lvlText w:val="%1."/>
      <w:lvlJc w:val="left"/>
      <w:pPr>
        <w:tabs>
          <w:tab w:val="num" w:pos="705"/>
        </w:tabs>
        <w:ind w:left="705" w:hanging="705"/>
      </w:pPr>
      <w:rPr>
        <w:rFonts w:hint="default"/>
      </w:rPr>
    </w:lvl>
  </w:abstractNum>
  <w:abstractNum w:abstractNumId="10">
    <w:nsid w:val="1A46233F"/>
    <w:multiLevelType w:val="hybridMultilevel"/>
    <w:tmpl w:val="9C248D02"/>
    <w:lvl w:ilvl="0" w:tplc="74D48AE0">
      <w:start w:val="34"/>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1BB649F4"/>
    <w:multiLevelType w:val="hybridMultilevel"/>
    <w:tmpl w:val="C5445CD8"/>
    <w:lvl w:ilvl="0" w:tplc="4216C0A2">
      <w:start w:val="24"/>
      <w:numFmt w:val="decimal"/>
      <w:lvlText w:val="%1."/>
      <w:lvlJc w:val="left"/>
      <w:pPr>
        <w:tabs>
          <w:tab w:val="num" w:pos="720"/>
        </w:tabs>
        <w:ind w:left="720" w:hanging="72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nsid w:val="245343F2"/>
    <w:multiLevelType w:val="hybridMultilevel"/>
    <w:tmpl w:val="8EC6B3D2"/>
    <w:lvl w:ilvl="0" w:tplc="8CB47F1A">
      <w:start w:val="245"/>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2AF35793"/>
    <w:multiLevelType w:val="singleLevel"/>
    <w:tmpl w:val="FB429A78"/>
    <w:lvl w:ilvl="0">
      <w:start w:val="2"/>
      <w:numFmt w:val="lowerLetter"/>
      <w:lvlText w:val="%1."/>
      <w:lvlJc w:val="left"/>
      <w:pPr>
        <w:tabs>
          <w:tab w:val="num" w:pos="705"/>
        </w:tabs>
        <w:ind w:left="705" w:hanging="705"/>
      </w:pPr>
      <w:rPr>
        <w:rFonts w:hint="default"/>
      </w:rPr>
    </w:lvl>
  </w:abstractNum>
  <w:abstractNum w:abstractNumId="14">
    <w:nsid w:val="2BA91E05"/>
    <w:multiLevelType w:val="hybridMultilevel"/>
    <w:tmpl w:val="1C9E4C78"/>
    <w:lvl w:ilvl="0" w:tplc="3B8E1BC2">
      <w:start w:val="10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2BC2642A"/>
    <w:multiLevelType w:val="hybridMultilevel"/>
    <w:tmpl w:val="885843A0"/>
    <w:lvl w:ilvl="0" w:tplc="D9A4F1B4">
      <w:start w:val="75"/>
      <w:numFmt w:val="decimal"/>
      <w:lvlText w:val="%1."/>
      <w:lvlJc w:val="left"/>
      <w:pPr>
        <w:tabs>
          <w:tab w:val="num" w:pos="1080"/>
        </w:tabs>
        <w:ind w:left="1080" w:hanging="720"/>
      </w:pPr>
      <w:rPr>
        <w:rFonts w:hint="default"/>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35E42E3B"/>
    <w:multiLevelType w:val="hybridMultilevel"/>
    <w:tmpl w:val="57BC4F1A"/>
    <w:lvl w:ilvl="0" w:tplc="A3BC11DA">
      <w:start w:val="195"/>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42C54580"/>
    <w:multiLevelType w:val="hybridMultilevel"/>
    <w:tmpl w:val="E56CE6D2"/>
    <w:lvl w:ilvl="0" w:tplc="5C86DC84">
      <w:start w:val="19"/>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44F234A7"/>
    <w:multiLevelType w:val="hybridMultilevel"/>
    <w:tmpl w:val="18CC8B3E"/>
    <w:lvl w:ilvl="0" w:tplc="FFFFFFFF">
      <w:start w:val="1"/>
      <w:numFmt w:val="bullet"/>
      <w:lvlText w:val=""/>
      <w:lvlJc w:val="left"/>
      <w:pPr>
        <w:tabs>
          <w:tab w:val="num" w:pos="360"/>
        </w:tabs>
        <w:ind w:left="360" w:hanging="360"/>
      </w:pPr>
      <w:rPr>
        <w:rFonts w:ascii="Wingdings" w:hAnsi="Wingdings" w:hint="default"/>
      </w:rPr>
    </w:lvl>
    <w:lvl w:ilvl="1" w:tplc="FFFFFFFF">
      <w:start w:val="1"/>
      <w:numFmt w:val="bullet"/>
      <w:lvlText w:val="-"/>
      <w:lvlJc w:val="left"/>
      <w:pPr>
        <w:tabs>
          <w:tab w:val="num" w:pos="1080"/>
        </w:tabs>
        <w:ind w:left="1080" w:hanging="360"/>
      </w:pPr>
      <w:rPr>
        <w:rFonts w:ascii="Vrinda" w:hAnsi="Vrind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nsid w:val="49E05224"/>
    <w:multiLevelType w:val="hybridMultilevel"/>
    <w:tmpl w:val="15A474E2"/>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nsid w:val="4A764FD2"/>
    <w:multiLevelType w:val="hybridMultilevel"/>
    <w:tmpl w:val="7328449E"/>
    <w:lvl w:ilvl="0" w:tplc="A926BB8C">
      <w:start w:val="2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4E4D2226"/>
    <w:multiLevelType w:val="hybridMultilevel"/>
    <w:tmpl w:val="F61EA248"/>
    <w:lvl w:ilvl="0" w:tplc="E5101E4C">
      <w:start w:val="3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50812CAD"/>
    <w:multiLevelType w:val="hybridMultilevel"/>
    <w:tmpl w:val="FA32D4BA"/>
    <w:lvl w:ilvl="0" w:tplc="607AA766">
      <w:start w:val="40"/>
      <w:numFmt w:val="decimal"/>
      <w:lvlText w:val="%1."/>
      <w:lvlJc w:val="left"/>
      <w:pPr>
        <w:tabs>
          <w:tab w:val="num" w:pos="1080"/>
        </w:tabs>
        <w:ind w:left="1080" w:hanging="720"/>
      </w:pPr>
      <w:rPr>
        <w:rFonts w:hint="default"/>
      </w:rPr>
    </w:lvl>
    <w:lvl w:ilvl="1" w:tplc="96DE624C">
      <w:start w:val="3"/>
      <w:numFmt w:val="upperLetter"/>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57814A85"/>
    <w:multiLevelType w:val="multilevel"/>
    <w:tmpl w:val="57BC4F1A"/>
    <w:lvl w:ilvl="0">
      <w:start w:val="195"/>
      <w:numFmt w:val="decimal"/>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5A3B4A44"/>
    <w:multiLevelType w:val="hybridMultilevel"/>
    <w:tmpl w:val="A73408B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5B9408D2"/>
    <w:multiLevelType w:val="hybridMultilevel"/>
    <w:tmpl w:val="198EDCDE"/>
    <w:lvl w:ilvl="0" w:tplc="21F2A606">
      <w:start w:val="1"/>
      <w:numFmt w:val="bullet"/>
      <w:lvlText w:val="-"/>
      <w:lvlJc w:val="left"/>
      <w:pPr>
        <w:tabs>
          <w:tab w:val="num" w:pos="360"/>
        </w:tabs>
        <w:ind w:left="360" w:hanging="360"/>
      </w:pPr>
      <w:rPr>
        <w:rFonts w:ascii="Courier New" w:hAnsi="Courier New" w:hint="default"/>
      </w:rPr>
    </w:lvl>
    <w:lvl w:ilvl="1" w:tplc="0C0A0003" w:tentative="1">
      <w:start w:val="1"/>
      <w:numFmt w:val="bullet"/>
      <w:lvlText w:val="o"/>
      <w:lvlJc w:val="left"/>
      <w:pPr>
        <w:tabs>
          <w:tab w:val="num" w:pos="720"/>
        </w:tabs>
        <w:ind w:left="720" w:hanging="360"/>
      </w:pPr>
      <w:rPr>
        <w:rFonts w:ascii="Courier New" w:hAnsi="Courier New" w:cs="Courier New"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26">
    <w:nsid w:val="5CB30B80"/>
    <w:multiLevelType w:val="singleLevel"/>
    <w:tmpl w:val="C9764448"/>
    <w:lvl w:ilvl="0">
      <w:start w:val="10"/>
      <w:numFmt w:val="upperLetter"/>
      <w:lvlText w:val="%1."/>
      <w:lvlJc w:val="left"/>
      <w:pPr>
        <w:tabs>
          <w:tab w:val="num" w:pos="1080"/>
        </w:tabs>
        <w:ind w:left="1080" w:hanging="360"/>
      </w:pPr>
      <w:rPr>
        <w:rFonts w:hint="default"/>
      </w:rPr>
    </w:lvl>
  </w:abstractNum>
  <w:abstractNum w:abstractNumId="27">
    <w:nsid w:val="68BE14FC"/>
    <w:multiLevelType w:val="singleLevel"/>
    <w:tmpl w:val="78D8738C"/>
    <w:lvl w:ilvl="0">
      <w:start w:val="8"/>
      <w:numFmt w:val="upperLetter"/>
      <w:lvlText w:val="%1."/>
      <w:lvlJc w:val="left"/>
      <w:pPr>
        <w:tabs>
          <w:tab w:val="num" w:pos="1440"/>
        </w:tabs>
        <w:ind w:left="1440" w:hanging="720"/>
      </w:pPr>
      <w:rPr>
        <w:rFonts w:hint="default"/>
      </w:rPr>
    </w:lvl>
  </w:abstractNum>
  <w:abstractNum w:abstractNumId="28">
    <w:nsid w:val="6AD654A6"/>
    <w:multiLevelType w:val="singleLevel"/>
    <w:tmpl w:val="707CD5E8"/>
    <w:lvl w:ilvl="0">
      <w:start w:val="2"/>
      <w:numFmt w:val="decimal"/>
      <w:lvlText w:val="%1."/>
      <w:lvlJc w:val="left"/>
      <w:pPr>
        <w:tabs>
          <w:tab w:val="num" w:pos="2125"/>
        </w:tabs>
        <w:ind w:left="2125" w:hanging="705"/>
      </w:pPr>
      <w:rPr>
        <w:rFonts w:hint="default"/>
      </w:rPr>
    </w:lvl>
  </w:abstractNum>
  <w:abstractNum w:abstractNumId="29">
    <w:nsid w:val="6D580EE2"/>
    <w:multiLevelType w:val="singleLevel"/>
    <w:tmpl w:val="45B0F432"/>
    <w:lvl w:ilvl="0">
      <w:start w:val="2"/>
      <w:numFmt w:val="decimal"/>
      <w:lvlText w:val="%1."/>
      <w:lvlJc w:val="left"/>
      <w:pPr>
        <w:tabs>
          <w:tab w:val="num" w:pos="1773"/>
        </w:tabs>
        <w:ind w:left="1773" w:hanging="360"/>
      </w:pPr>
      <w:rPr>
        <w:rFonts w:hint="default"/>
      </w:rPr>
    </w:lvl>
  </w:abstractNum>
  <w:abstractNum w:abstractNumId="30">
    <w:nsid w:val="717F723A"/>
    <w:multiLevelType w:val="hybridMultilevel"/>
    <w:tmpl w:val="002A9470"/>
    <w:lvl w:ilvl="0" w:tplc="4886C070">
      <w:start w:val="174"/>
      <w:numFmt w:val="decimal"/>
      <w:lvlText w:val="%1."/>
      <w:lvlJc w:val="left"/>
      <w:pPr>
        <w:tabs>
          <w:tab w:val="num" w:pos="780"/>
        </w:tabs>
        <w:ind w:left="780" w:hanging="4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nsid w:val="78A938E6"/>
    <w:multiLevelType w:val="multilevel"/>
    <w:tmpl w:val="40CAFC52"/>
    <w:lvl w:ilvl="0">
      <w:start w:val="264"/>
      <w:numFmt w:val="decimal"/>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79CE2483"/>
    <w:multiLevelType w:val="singleLevel"/>
    <w:tmpl w:val="CB5C1130"/>
    <w:lvl w:ilvl="0">
      <w:start w:val="1"/>
      <w:numFmt w:val="decimal"/>
      <w:lvlText w:val="%1."/>
      <w:lvlJc w:val="left"/>
      <w:pPr>
        <w:tabs>
          <w:tab w:val="num" w:pos="2136"/>
        </w:tabs>
        <w:ind w:left="2136" w:hanging="720"/>
      </w:pPr>
      <w:rPr>
        <w:rFonts w:hint="default"/>
      </w:rPr>
    </w:lvl>
  </w:abstractNum>
  <w:abstractNum w:abstractNumId="33">
    <w:nsid w:val="7C22779B"/>
    <w:multiLevelType w:val="hybridMultilevel"/>
    <w:tmpl w:val="40CAFC52"/>
    <w:lvl w:ilvl="0" w:tplc="867CD40A">
      <w:start w:val="264"/>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nsid w:val="7DAC15E1"/>
    <w:multiLevelType w:val="hybridMultilevel"/>
    <w:tmpl w:val="8258CEFA"/>
    <w:lvl w:ilvl="0" w:tplc="05C848D4">
      <w:start w:val="5"/>
      <w:numFmt w:val="lowerLetter"/>
      <w:lvlText w:val="%1."/>
      <w:lvlJc w:val="left"/>
      <w:pPr>
        <w:tabs>
          <w:tab w:val="num" w:pos="720"/>
        </w:tabs>
        <w:ind w:left="720" w:hanging="360"/>
      </w:pPr>
      <w:rPr>
        <w:rFonts w:hint="default"/>
        <w:color w:val="00000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nsid w:val="7FE55070"/>
    <w:multiLevelType w:val="hybridMultilevel"/>
    <w:tmpl w:val="5AF0416C"/>
    <w:lvl w:ilvl="0" w:tplc="83362A94">
      <w:start w:val="199"/>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9"/>
  </w:num>
  <w:num w:numId="2">
    <w:abstractNumId w:val="1"/>
  </w:num>
  <w:num w:numId="3">
    <w:abstractNumId w:val="18"/>
  </w:num>
  <w:num w:numId="4">
    <w:abstractNumId w:val="6"/>
  </w:num>
  <w:num w:numId="5">
    <w:abstractNumId w:val="9"/>
  </w:num>
  <w:num w:numId="6">
    <w:abstractNumId w:val="2"/>
  </w:num>
  <w:num w:numId="7">
    <w:abstractNumId w:val="13"/>
  </w:num>
  <w:num w:numId="8">
    <w:abstractNumId w:val="27"/>
  </w:num>
  <w:num w:numId="9">
    <w:abstractNumId w:val="7"/>
  </w:num>
  <w:num w:numId="10">
    <w:abstractNumId w:val="8"/>
  </w:num>
  <w:num w:numId="11">
    <w:abstractNumId w:val="32"/>
  </w:num>
  <w:num w:numId="12">
    <w:abstractNumId w:val="26"/>
  </w:num>
  <w:num w:numId="13">
    <w:abstractNumId w:val="29"/>
  </w:num>
  <w:num w:numId="14">
    <w:abstractNumId w:val="28"/>
  </w:num>
  <w:num w:numId="15">
    <w:abstractNumId w:val="16"/>
  </w:num>
  <w:num w:numId="16">
    <w:abstractNumId w:val="33"/>
  </w:num>
  <w:num w:numId="17">
    <w:abstractNumId w:val="34"/>
  </w:num>
  <w:num w:numId="18">
    <w:abstractNumId w:val="11"/>
  </w:num>
  <w:num w:numId="19">
    <w:abstractNumId w:val="25"/>
  </w:num>
  <w:num w:numId="20">
    <w:abstractNumId w:val="17"/>
  </w:num>
  <w:num w:numId="21">
    <w:abstractNumId w:val="20"/>
  </w:num>
  <w:num w:numId="22">
    <w:abstractNumId w:val="4"/>
  </w:num>
  <w:num w:numId="23">
    <w:abstractNumId w:val="21"/>
  </w:num>
  <w:num w:numId="24">
    <w:abstractNumId w:val="10"/>
  </w:num>
  <w:num w:numId="25">
    <w:abstractNumId w:val="22"/>
  </w:num>
  <w:num w:numId="26">
    <w:abstractNumId w:val="3"/>
  </w:num>
  <w:num w:numId="27">
    <w:abstractNumId w:val="15"/>
  </w:num>
  <w:num w:numId="28">
    <w:abstractNumId w:val="14"/>
  </w:num>
  <w:num w:numId="29">
    <w:abstractNumId w:val="23"/>
  </w:num>
  <w:num w:numId="30">
    <w:abstractNumId w:val="0"/>
  </w:num>
  <w:num w:numId="31">
    <w:abstractNumId w:val="30"/>
  </w:num>
  <w:num w:numId="32">
    <w:abstractNumId w:val="31"/>
  </w:num>
  <w:num w:numId="33">
    <w:abstractNumId w:val="35"/>
  </w:num>
  <w:num w:numId="34">
    <w:abstractNumId w:val="12"/>
  </w:num>
  <w:num w:numId="35">
    <w:abstractNumId w:val="5"/>
  </w:num>
  <w:num w:numId="3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widowControl w:val="0"/>
      <w:tabs>
        <w:tab w:val="center" w:pos="4873"/>
      </w:tabs>
      <w:suppressAutoHyphens/>
      <w:autoSpaceDE w:val="0"/>
      <w:autoSpaceDN w:val="0"/>
      <w:adjustRightInd w:val="0"/>
      <w:spacing w:line="240" w:lineRule="atLeast"/>
      <w:jc w:val="center"/>
      <w:outlineLvl w:val="0"/>
    </w:pPr>
    <w:rPr>
      <w:u w:val="single"/>
      <w:lang w:val="en-GB" w:eastAsia="en-US"/>
    </w:rPr>
  </w:style>
  <w:style w:type="paragraph" w:styleId="Heading2">
    <w:name w:val="heading 2"/>
    <w:basedOn w:val="Normal"/>
    <w:next w:val="Normal"/>
    <w:qFormat/>
    <w:pPr>
      <w:keepNext/>
      <w:jc w:val="center"/>
      <w:outlineLvl w:val="1"/>
    </w:pPr>
    <w:rPr>
      <w:b/>
      <w:caps/>
      <w:szCs w:val="20"/>
      <w:lang w:val="en-GB" w:eastAsia="en-US"/>
    </w:rPr>
  </w:style>
  <w:style w:type="paragraph" w:styleId="Heading3">
    <w:name w:val="heading 3"/>
    <w:basedOn w:val="Normal"/>
    <w:next w:val="Normal"/>
    <w:qFormat/>
    <w:pPr>
      <w:keepNext/>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2"/>
    </w:pPr>
    <w:rPr>
      <w:rFonts w:ascii="Bookman Old Style" w:hAnsi="Bookman Old Style"/>
      <w:b/>
      <w:noProof/>
      <w:snapToGrid w:val="0"/>
      <w:szCs w:val="20"/>
      <w:lang w:val="en-US"/>
    </w:rPr>
  </w:style>
  <w:style w:type="paragraph" w:styleId="Heading4">
    <w:name w:val="heading 4"/>
    <w:basedOn w:val="Normal"/>
    <w:next w:val="Normal"/>
    <w:qFormat/>
    <w:pPr>
      <w:keepNext/>
      <w:widowControl w:val="0"/>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outlineLvl w:val="3"/>
    </w:pPr>
    <w:rPr>
      <w:rFonts w:ascii="Bookman Old Style" w:hAnsi="Bookman Old Style"/>
      <w:b/>
      <w:noProof/>
      <w:snapToGrid w:val="0"/>
      <w:color w:val="000000"/>
      <w:szCs w:val="20"/>
      <w:lang w:val="en-US"/>
    </w:rPr>
  </w:style>
  <w:style w:type="paragraph" w:styleId="Heading5">
    <w:name w:val="heading 5"/>
    <w:basedOn w:val="Normal"/>
    <w:next w:val="Normal"/>
    <w:qFormat/>
    <w:pPr>
      <w:keepNext/>
      <w:widowControl w:val="0"/>
      <w:spacing w:after="56"/>
      <w:ind w:left="5" w:hanging="5"/>
      <w:jc w:val="center"/>
      <w:outlineLvl w:val="4"/>
    </w:pPr>
    <w:rPr>
      <w:rFonts w:ascii="Bookman Old Style" w:hAnsi="Bookman Old Style"/>
      <w:b/>
      <w:noProof/>
      <w:snapToGrid w:val="0"/>
      <w:color w:val="000000"/>
      <w:sz w:val="20"/>
      <w:szCs w:val="20"/>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widowControl w:val="0"/>
      <w:jc w:val="both"/>
    </w:pPr>
    <w:rPr>
      <w:rFonts w:ascii="Bookman Old Style" w:hAnsi="Bookman Old Style"/>
      <w:noProof/>
      <w:snapToGrid w:val="0"/>
      <w:color w:val="000000"/>
      <w:szCs w:val="20"/>
      <w:lang w:val="en-US"/>
    </w:rPr>
  </w:style>
  <w:style w:type="character" w:styleId="Hyperlink">
    <w:name w:val="Hyperlink"/>
    <w:semiHidden/>
    <w:rPr>
      <w:color w:val="0000FF"/>
      <w:u w:val="single"/>
    </w:rPr>
  </w:style>
  <w:style w:type="paragraph" w:styleId="BodyTextIndent">
    <w:name w:val="Body Text Indent"/>
    <w:basedOn w:val="Normal"/>
    <w:semiHidden/>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27" w:lineRule="auto"/>
      <w:ind w:left="-4" w:firstLine="4"/>
      <w:jc w:val="both"/>
    </w:pPr>
    <w:rPr>
      <w:rFonts w:ascii="Bookman Old Style" w:hAnsi="Bookman Old Style"/>
      <w:noProof/>
      <w:snapToGrid w:val="0"/>
      <w:color w:val="000000"/>
      <w:szCs w:val="20"/>
      <w:lang w:val="en-US"/>
    </w:rPr>
  </w:style>
  <w:style w:type="paragraph" w:styleId="BodyText2">
    <w:name w:val="Body Text 2"/>
    <w:basedOn w:val="Normal"/>
    <w:semiHidden/>
    <w:pPr>
      <w:widowControl w:val="0"/>
      <w:jc w:val="both"/>
    </w:pPr>
    <w:rPr>
      <w:rFonts w:ascii="Bookman Old Style" w:hAnsi="Bookman Old Style"/>
      <w:b/>
      <w:i/>
      <w:noProof/>
      <w:snapToGrid w:val="0"/>
      <w:color w:val="FF0000"/>
      <w:sz w:val="28"/>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3.wmf"/><Relationship Id="rId18" Type="http://schemas.openxmlformats.org/officeDocument/2006/relationships/oleObject" Target="embeddings/oleObject3.bin"/><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7.wmf"/><Relationship Id="rId7" Type="http://schemas.openxmlformats.org/officeDocument/2006/relationships/image" Target="media/image1.png"/><Relationship Id="rId12" Type="http://schemas.openxmlformats.org/officeDocument/2006/relationships/oleObject" Target="embeddings/Microsoft_Excel_Chart1.xls"/><Relationship Id="rId17" Type="http://schemas.openxmlformats.org/officeDocument/2006/relationships/image" Target="media/image5.wmf"/><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oleObject" Target="embeddings/oleObject2.bin"/><Relationship Id="rId20"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4.wmf"/><Relationship Id="rId23" Type="http://schemas.openxmlformats.org/officeDocument/2006/relationships/oleObject" Target="embeddings/Microsoft_Excel_Chart3.xls"/><Relationship Id="rId10" Type="http://schemas.openxmlformats.org/officeDocument/2006/relationships/hyperlink" Target="http://www.mineduc.cl" TargetMode="External"/><Relationship Id="rId19" Type="http://schemas.openxmlformats.org/officeDocument/2006/relationships/image" Target="media/image6.wmf"/><Relationship Id="rId4" Type="http://schemas.openxmlformats.org/officeDocument/2006/relationships/webSettings" Target="webSettings.xml"/><Relationship Id="rId9" Type="http://schemas.openxmlformats.org/officeDocument/2006/relationships/hyperlink" Target="http://www.bcentral.cl)" TargetMode="External"/><Relationship Id="rId14" Type="http://schemas.openxmlformats.org/officeDocument/2006/relationships/oleObject" Target="embeddings/Microsoft_Excel_Chart2.xls"/><Relationship Id="rId22" Type="http://schemas.openxmlformats.org/officeDocument/2006/relationships/image" Target="media/image8.wmf"/><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121</Pages>
  <Words>43842</Words>
  <Characters>249904</Characters>
  <Application>Microsoft Office Word</Application>
  <DocSecurity>4</DocSecurity>
  <Lines>2082</Lines>
  <Paragraphs>499</Paragraphs>
  <ScaleCrop>false</ScaleCrop>
  <HeadingPairs>
    <vt:vector size="2" baseType="variant">
      <vt:variant>
        <vt:lpstr>Título</vt:lpstr>
      </vt:variant>
      <vt:variant>
        <vt:i4>1</vt:i4>
      </vt:variant>
    </vt:vector>
  </HeadingPairs>
  <TitlesOfParts>
    <vt:vector size="1" baseType="lpstr">
      <vt:lpstr>CRC/C/CHL/3 - 05-45620</vt:lpstr>
    </vt:vector>
  </TitlesOfParts>
  <Company>ONU</Company>
  <LinksUpToDate>false</LinksUpToDate>
  <CharactersWithSpaces>306899</CharactersWithSpaces>
  <SharedDoc>false</SharedDoc>
  <HLinks>
    <vt:vector size="12" baseType="variant">
      <vt:variant>
        <vt:i4>6488171</vt:i4>
      </vt:variant>
      <vt:variant>
        <vt:i4>3</vt:i4>
      </vt:variant>
      <vt:variant>
        <vt:i4>0</vt:i4>
      </vt:variant>
      <vt:variant>
        <vt:i4>5</vt:i4>
      </vt:variant>
      <vt:variant>
        <vt:lpwstr>http://www.mineduc.cl/</vt:lpwstr>
      </vt:variant>
      <vt:variant>
        <vt:lpwstr/>
      </vt:variant>
      <vt:variant>
        <vt:i4>5505033</vt:i4>
      </vt:variant>
      <vt:variant>
        <vt:i4>0</vt:i4>
      </vt:variant>
      <vt:variant>
        <vt:i4>0</vt:i4>
      </vt:variant>
      <vt:variant>
        <vt:i4>5</vt:i4>
      </vt:variant>
      <vt:variant>
        <vt:lpwstr>http://www.bcentral.cl)/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CRC/C/CHL/3 - 05-45620</dc:title>
  <dc:subject/>
  <dc:creator>RSM</dc:creator>
  <cp:keywords/>
  <dc:description/>
  <cp:lastModifiedBy>PDF</cp:lastModifiedBy>
  <cp:revision>2</cp:revision>
  <cp:lastPrinted>2006-01-24T08:51:00Z</cp:lastPrinted>
  <dcterms:created xsi:type="dcterms:W3CDTF">2006-01-24T14:29:00Z</dcterms:created>
  <dcterms:modified xsi:type="dcterms:W3CDTF">2006-01-24T14:29:00Z</dcterms:modified>
</cp:coreProperties>
</file>