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085109D7" w14:textId="77777777" w:rsidTr="00AB52AE">
        <w:trPr>
          <w:cantSplit/>
          <w:trHeight w:hRule="exact" w:val="851"/>
        </w:trPr>
        <w:tc>
          <w:tcPr>
            <w:tcW w:w="1276" w:type="dxa"/>
            <w:tcBorders>
              <w:bottom w:val="single" w:sz="4" w:space="0" w:color="auto"/>
            </w:tcBorders>
            <w:vAlign w:val="bottom"/>
          </w:tcPr>
          <w:p w14:paraId="2F26F7A7"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04F79B96"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A187BC5" w14:textId="77777777" w:rsidR="00271924" w:rsidRDefault="00C436F0" w:rsidP="00C436F0">
            <w:pPr>
              <w:suppressAutoHyphens w:val="0"/>
              <w:spacing w:after="20"/>
              <w:jc w:val="right"/>
            </w:pPr>
            <w:r w:rsidRPr="00C436F0">
              <w:rPr>
                <w:sz w:val="40"/>
              </w:rPr>
              <w:t>CMW</w:t>
            </w:r>
            <w:r>
              <w:t>/C/KGZ/CO/2</w:t>
            </w:r>
          </w:p>
        </w:tc>
      </w:tr>
      <w:tr w:rsidR="00271924" w14:paraId="054C3FA2" w14:textId="77777777" w:rsidTr="00AB52AE">
        <w:trPr>
          <w:cantSplit/>
          <w:trHeight w:hRule="exact" w:val="2835"/>
        </w:trPr>
        <w:tc>
          <w:tcPr>
            <w:tcW w:w="1276" w:type="dxa"/>
            <w:tcBorders>
              <w:top w:val="single" w:sz="4" w:space="0" w:color="auto"/>
              <w:bottom w:val="single" w:sz="12" w:space="0" w:color="auto"/>
            </w:tcBorders>
          </w:tcPr>
          <w:p w14:paraId="27F32558" w14:textId="77777777" w:rsidR="00271924" w:rsidRDefault="00271924" w:rsidP="00AB52AE">
            <w:pPr>
              <w:spacing w:before="120"/>
              <w:jc w:val="center"/>
            </w:pPr>
            <w:r>
              <w:rPr>
                <w:noProof/>
                <w:lang w:val="fr-CH" w:eastAsia="fr-CH"/>
              </w:rPr>
              <w:drawing>
                <wp:inline distT="0" distB="0" distL="0" distR="0" wp14:anchorId="5AF9724B" wp14:editId="2EA29AD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EC6933"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7710E260" w14:textId="77777777" w:rsidR="00C436F0" w:rsidRPr="00E2447D" w:rsidRDefault="00C436F0" w:rsidP="00C436F0">
            <w:pPr>
              <w:suppressAutoHyphens w:val="0"/>
              <w:spacing w:before="240" w:line="240" w:lineRule="exact"/>
            </w:pPr>
            <w:r w:rsidRPr="00E2447D">
              <w:t xml:space="preserve">Distr.: </w:t>
            </w:r>
            <w:r>
              <w:t>General</w:t>
            </w:r>
          </w:p>
          <w:p w14:paraId="5DC97A61" w14:textId="537629FC" w:rsidR="00C436F0" w:rsidRPr="00E2447D" w:rsidRDefault="00C436F0" w:rsidP="00C436F0">
            <w:pPr>
              <w:suppressAutoHyphens w:val="0"/>
            </w:pPr>
            <w:r>
              <w:t>2</w:t>
            </w:r>
            <w:r>
              <w:t>6</w:t>
            </w:r>
            <w:r w:rsidRPr="00E3678F">
              <w:t xml:space="preserve"> December 2023</w:t>
            </w:r>
          </w:p>
          <w:p w14:paraId="1568BEAC" w14:textId="77777777" w:rsidR="00C436F0" w:rsidRPr="00E2447D" w:rsidRDefault="00C436F0" w:rsidP="00C436F0">
            <w:pPr>
              <w:suppressAutoHyphens w:val="0"/>
            </w:pPr>
          </w:p>
          <w:p w14:paraId="5F8826FA" w14:textId="6E678162" w:rsidR="00C436F0" w:rsidRDefault="00C436F0" w:rsidP="00C436F0">
            <w:pPr>
              <w:suppressAutoHyphens w:val="0"/>
            </w:pPr>
            <w:r w:rsidRPr="00E2447D">
              <w:t>Original: English</w:t>
            </w:r>
          </w:p>
        </w:tc>
      </w:tr>
    </w:tbl>
    <w:p w14:paraId="4F505B5F" w14:textId="77777777" w:rsidR="00C436F0" w:rsidRDefault="00C436F0" w:rsidP="00C436F0">
      <w:pPr>
        <w:spacing w:before="120"/>
        <w:rPr>
          <w:b/>
          <w:sz w:val="24"/>
        </w:rPr>
      </w:pPr>
      <w:r>
        <w:rPr>
          <w:b/>
          <w:sz w:val="24"/>
        </w:rPr>
        <w:t>Committee on the Protection of the Rights of All</w:t>
      </w:r>
      <w:r>
        <w:rPr>
          <w:b/>
          <w:sz w:val="24"/>
        </w:rPr>
        <w:br/>
        <w:t>Migrant Workers and Members of Their Families</w:t>
      </w:r>
    </w:p>
    <w:p w14:paraId="58CE2BA5" w14:textId="77777777" w:rsidR="00C436F0" w:rsidRDefault="00C436F0" w:rsidP="00C436F0">
      <w:pPr>
        <w:pStyle w:val="HChG"/>
      </w:pPr>
      <w:r>
        <w:tab/>
      </w:r>
      <w:r>
        <w:tab/>
        <w:t>Concluding observations on the second periodic report of Kyrgyzstan</w:t>
      </w:r>
      <w:r w:rsidRPr="002477CB">
        <w:rPr>
          <w:rStyle w:val="FootnoteReference"/>
          <w:b w:val="0"/>
          <w:bCs/>
          <w:sz w:val="20"/>
          <w:vertAlign w:val="baseline"/>
        </w:rPr>
        <w:footnoteReference w:customMarkFollows="1" w:id="1"/>
        <w:t>*</w:t>
      </w:r>
    </w:p>
    <w:p w14:paraId="1084115B" w14:textId="16D9802D" w:rsidR="00C436F0" w:rsidRPr="005C194F" w:rsidRDefault="00C436F0" w:rsidP="00C436F0">
      <w:pPr>
        <w:pStyle w:val="SingleTxtG"/>
      </w:pPr>
      <w:r w:rsidRPr="005C194F">
        <w:t>1.</w:t>
      </w:r>
      <w:r w:rsidRPr="005C194F">
        <w:tab/>
        <w:t>The Committee considered the second periodic report of Kyrgyzstan</w:t>
      </w:r>
      <w:r>
        <w:rPr>
          <w:rStyle w:val="FootnoteReference"/>
        </w:rPr>
        <w:footnoteReference w:id="2"/>
      </w:r>
      <w:r w:rsidRPr="005C194F">
        <w:t xml:space="preserve"> at its 536th and 537th meetings,</w:t>
      </w:r>
      <w:r>
        <w:rPr>
          <w:rStyle w:val="FootnoteReference"/>
        </w:rPr>
        <w:footnoteReference w:id="3"/>
      </w:r>
      <w:r w:rsidRPr="005C194F">
        <w:t xml:space="preserve"> held on 29 and 30 November 2023. At its 5</w:t>
      </w:r>
      <w:r>
        <w:t>50</w:t>
      </w:r>
      <w:r w:rsidRPr="005C194F">
        <w:t xml:space="preserve">th meeting, held on </w:t>
      </w:r>
      <w:r>
        <w:t>8</w:t>
      </w:r>
      <w:r w:rsidR="00486256">
        <w:t> </w:t>
      </w:r>
      <w:r w:rsidRPr="005C194F">
        <w:t xml:space="preserve">December 2023, it adopted the </w:t>
      </w:r>
      <w:r>
        <w:t>present</w:t>
      </w:r>
      <w:r w:rsidRPr="005C194F">
        <w:t xml:space="preserve"> concluding observations.</w:t>
      </w:r>
    </w:p>
    <w:p w14:paraId="359A9777" w14:textId="77777777" w:rsidR="00C436F0" w:rsidRPr="005C194F" w:rsidRDefault="00C436F0" w:rsidP="00C436F0">
      <w:pPr>
        <w:pStyle w:val="H1G"/>
      </w:pPr>
      <w:r>
        <w:tab/>
      </w:r>
      <w:r w:rsidRPr="005C194F">
        <w:t>A.</w:t>
      </w:r>
      <w:r w:rsidRPr="005C194F">
        <w:tab/>
        <w:t>Introduction</w:t>
      </w:r>
    </w:p>
    <w:p w14:paraId="06B18E0B" w14:textId="77777777" w:rsidR="00C436F0" w:rsidRPr="005C194F" w:rsidRDefault="00C436F0" w:rsidP="00C436F0">
      <w:pPr>
        <w:pStyle w:val="SingleTxtG"/>
      </w:pPr>
      <w:r w:rsidRPr="005C194F">
        <w:t>2.</w:t>
      </w:r>
      <w:r w:rsidRPr="005C194F">
        <w:tab/>
        <w:t>The Committee welcomes the submission of the second periodic report of the State party, which was prepared in response to the list of issues prior to reporting</w:t>
      </w:r>
      <w:r>
        <w:t>.</w:t>
      </w:r>
      <w:r>
        <w:rPr>
          <w:rStyle w:val="FootnoteReference"/>
        </w:rPr>
        <w:footnoteReference w:id="4"/>
      </w:r>
      <w:r w:rsidRPr="005C194F">
        <w:t xml:space="preserve"> </w:t>
      </w:r>
      <w:r>
        <w:t>The Committee also welcomes</w:t>
      </w:r>
      <w:r w:rsidRPr="005C194F">
        <w:t xml:space="preserve"> </w:t>
      </w:r>
      <w:r>
        <w:t>the information received from the State party on</w:t>
      </w:r>
      <w:r w:rsidRPr="005C194F">
        <w:t xml:space="preserve"> follow-up to the </w:t>
      </w:r>
      <w:r>
        <w:t>concluding observations on its</w:t>
      </w:r>
      <w:r w:rsidRPr="005C194F">
        <w:t xml:space="preserve"> </w:t>
      </w:r>
      <w:r>
        <w:t>initial</w:t>
      </w:r>
      <w:r w:rsidRPr="005C194F">
        <w:t xml:space="preserve"> report</w:t>
      </w:r>
      <w:r>
        <w:t>,</w:t>
      </w:r>
      <w:r>
        <w:rPr>
          <w:rStyle w:val="FootnoteReference"/>
        </w:rPr>
        <w:footnoteReference w:id="5"/>
      </w:r>
      <w:r w:rsidRPr="005C194F">
        <w:t xml:space="preserve"> and </w:t>
      </w:r>
      <w:r>
        <w:t xml:space="preserve">the </w:t>
      </w:r>
      <w:r w:rsidRPr="005C194F">
        <w:t>additional information provided by the high-level and multisectoral delegation, which was headed by First Deputy Minister of Labour, Social Security and Migration, Nurdoolot Bazarbaev</w:t>
      </w:r>
      <w:r>
        <w:t>,</w:t>
      </w:r>
      <w:r w:rsidRPr="005C194F">
        <w:t xml:space="preserve"> and comprised the Permanent Representative and officials from the Permanent Mission of Kyrgyz</w:t>
      </w:r>
      <w:r>
        <w:t>stan</w:t>
      </w:r>
      <w:r w:rsidRPr="005C194F">
        <w:t xml:space="preserve"> to the United Nations Office </w:t>
      </w:r>
      <w:r w:rsidRPr="00463024">
        <w:t>and other international organizations in</w:t>
      </w:r>
      <w:r w:rsidRPr="005C194F">
        <w:t xml:space="preserve"> Geneva. </w:t>
      </w:r>
    </w:p>
    <w:p w14:paraId="64A2FF5B" w14:textId="77777777" w:rsidR="00C436F0" w:rsidRPr="005C194F" w:rsidRDefault="00C436F0" w:rsidP="00C436F0">
      <w:pPr>
        <w:pStyle w:val="SingleTxtG"/>
      </w:pPr>
      <w:r w:rsidRPr="005C194F">
        <w:t>3.</w:t>
      </w:r>
      <w:r w:rsidRPr="005C194F">
        <w:tab/>
        <w:t>The Committee appreciates the open and constructive dialogue held with the delegation, the extensive information provided by the State party’s representatives and the constructive approach to the meetings, which allowed for joint analysis and reflection. The Committee is also grateful for the efforts made by the State party to submit replies and additional information within 24 hours of the dialogue.</w:t>
      </w:r>
    </w:p>
    <w:p w14:paraId="5C2B2B36" w14:textId="77777777" w:rsidR="00C436F0" w:rsidRPr="005C194F" w:rsidRDefault="00C436F0" w:rsidP="00C436F0">
      <w:pPr>
        <w:pStyle w:val="SingleTxtG"/>
      </w:pPr>
      <w:r w:rsidRPr="005C194F">
        <w:t>4.</w:t>
      </w:r>
      <w:r w:rsidRPr="005C194F">
        <w:tab/>
        <w:t xml:space="preserve">The Committee notes that some countries </w:t>
      </w:r>
      <w:r>
        <w:t>in which</w:t>
      </w:r>
      <w:r w:rsidRPr="005C194F">
        <w:t xml:space="preserve"> Kyrgyz migrant workers are employed, such as </w:t>
      </w:r>
      <w:r>
        <w:t>Canada</w:t>
      </w:r>
      <w:r w:rsidRPr="005C194F">
        <w:t>, Kazakhstan, the Republic of Korea</w:t>
      </w:r>
      <w:r>
        <w:t>,</w:t>
      </w:r>
      <w:r w:rsidRPr="005C194F">
        <w:t xml:space="preserve"> the Russian Federation</w:t>
      </w:r>
      <w:r>
        <w:t xml:space="preserve"> and</w:t>
      </w:r>
      <w:r w:rsidRPr="005C194F">
        <w:t xml:space="preserve"> the United States of America, are not parties to the Convention</w:t>
      </w:r>
      <w:r>
        <w:t>.</w:t>
      </w:r>
    </w:p>
    <w:p w14:paraId="7F2598B2" w14:textId="77777777" w:rsidR="00C436F0" w:rsidRPr="005C194F" w:rsidRDefault="00C436F0" w:rsidP="00C436F0">
      <w:pPr>
        <w:pStyle w:val="SingleTxtG"/>
      </w:pPr>
      <w:r w:rsidRPr="005C194F">
        <w:t>5.</w:t>
      </w:r>
      <w:r w:rsidRPr="005C194F">
        <w:tab/>
        <w:t xml:space="preserve">The Committee is aware that Kyrgyzstan, as a country of origin of migrant workers, has made progress in protecting the rights of its nationals abroad. However, the Committee also notes that, as a country of origin and </w:t>
      </w:r>
      <w:r>
        <w:t xml:space="preserve">of </w:t>
      </w:r>
      <w:r w:rsidRPr="005C194F">
        <w:t>return, the State party faces a number of challenges in respect of the protection of the rights of migrant workers and members of their families.</w:t>
      </w:r>
    </w:p>
    <w:p w14:paraId="605FDBF3" w14:textId="77777777" w:rsidR="00C436F0" w:rsidRPr="007E14E5" w:rsidRDefault="00C436F0" w:rsidP="00C436F0">
      <w:pPr>
        <w:pStyle w:val="H1G"/>
      </w:pPr>
      <w:r>
        <w:tab/>
      </w:r>
      <w:r w:rsidRPr="007E14E5">
        <w:t>B.</w:t>
      </w:r>
      <w:r w:rsidRPr="007E14E5">
        <w:tab/>
        <w:t>Positive aspects</w:t>
      </w:r>
    </w:p>
    <w:p w14:paraId="5885D9B5" w14:textId="77777777" w:rsidR="00C436F0" w:rsidRPr="005C194F" w:rsidRDefault="00C436F0" w:rsidP="00C436F0">
      <w:pPr>
        <w:pStyle w:val="SingleTxtG"/>
      </w:pPr>
      <w:r w:rsidRPr="005C194F">
        <w:t>6.</w:t>
      </w:r>
      <w:r w:rsidRPr="005C194F">
        <w:tab/>
        <w:t xml:space="preserve">The Committee notes that the State party has concluded some bilateral and multilateral agreements at the regional and international levels, and encourages the conclusion of such </w:t>
      </w:r>
      <w:r w:rsidRPr="005C194F">
        <w:lastRenderedPageBreak/>
        <w:t>agreements insofar as they promote and protect the rights of migrant workers and members of their families. The Committee notes</w:t>
      </w:r>
      <w:r w:rsidRPr="008C37B1">
        <w:t xml:space="preserve"> </w:t>
      </w:r>
      <w:r>
        <w:t>with appreciation,</w:t>
      </w:r>
      <w:r w:rsidRPr="005C194F">
        <w:t xml:space="preserve"> in particular:</w:t>
      </w:r>
    </w:p>
    <w:p w14:paraId="21FDEC31" w14:textId="77777777" w:rsidR="00C436F0" w:rsidRPr="005C194F" w:rsidRDefault="00C436F0" w:rsidP="00C436F0">
      <w:pPr>
        <w:pStyle w:val="SingleTxtG"/>
      </w:pPr>
      <w:r>
        <w:tab/>
      </w:r>
      <w:r w:rsidRPr="005C194F">
        <w:t>(a)</w:t>
      </w:r>
      <w:r w:rsidRPr="005C194F">
        <w:tab/>
        <w:t>The ratification of the Protocol of 2014 to the Forced Labour Convention, 1930 (No. 29)</w:t>
      </w:r>
      <w:r>
        <w:t xml:space="preserve"> of the International Labour Organizations (ILO)</w:t>
      </w:r>
      <w:r w:rsidRPr="005C194F">
        <w:t>, on 6 October 2020;</w:t>
      </w:r>
    </w:p>
    <w:p w14:paraId="255ADBCF" w14:textId="77777777" w:rsidR="00C436F0" w:rsidRPr="005C194F" w:rsidRDefault="00C436F0" w:rsidP="00C436F0">
      <w:pPr>
        <w:pStyle w:val="SingleTxtG"/>
      </w:pPr>
      <w:r>
        <w:tab/>
      </w:r>
      <w:r w:rsidRPr="005C194F">
        <w:t>(b)</w:t>
      </w:r>
      <w:r w:rsidRPr="005C194F">
        <w:tab/>
        <w:t>The ratification of the Paris Agreement</w:t>
      </w:r>
      <w:r>
        <w:t>,</w:t>
      </w:r>
      <w:r w:rsidRPr="005C194F">
        <w:t xml:space="preserve"> on 18 February 2020;</w:t>
      </w:r>
    </w:p>
    <w:p w14:paraId="29AF5D08" w14:textId="77777777" w:rsidR="00C436F0" w:rsidRPr="005C194F" w:rsidRDefault="00C436F0" w:rsidP="00C436F0">
      <w:pPr>
        <w:pStyle w:val="SingleTxtG"/>
      </w:pPr>
      <w:r>
        <w:tab/>
      </w:r>
      <w:r w:rsidRPr="005C194F">
        <w:t>(c)</w:t>
      </w:r>
      <w:r w:rsidRPr="005C194F">
        <w:tab/>
        <w:t>The ratification of the Convention on the Rights of Persons with Disabilities</w:t>
      </w:r>
      <w:r>
        <w:t>,</w:t>
      </w:r>
      <w:r w:rsidRPr="005C194F">
        <w:t xml:space="preserve"> on 16 May 2019;</w:t>
      </w:r>
    </w:p>
    <w:p w14:paraId="4790C4A9" w14:textId="77777777" w:rsidR="00C436F0" w:rsidRPr="005C194F" w:rsidRDefault="00C436F0" w:rsidP="00C436F0">
      <w:pPr>
        <w:pStyle w:val="SingleTxtG"/>
      </w:pPr>
      <w:r>
        <w:tab/>
      </w:r>
      <w:r w:rsidRPr="005C194F">
        <w:t>(d)</w:t>
      </w:r>
      <w:r w:rsidRPr="005C194F">
        <w:tab/>
        <w:t>The accession to the Convention on the Privileges and Immunities of the Specialized Agencies</w:t>
      </w:r>
      <w:r>
        <w:t>,</w:t>
      </w:r>
      <w:r w:rsidRPr="005C194F">
        <w:t xml:space="preserve"> deposited </w:t>
      </w:r>
      <w:r>
        <w:t>with</w:t>
      </w:r>
      <w:r w:rsidRPr="005C194F">
        <w:t xml:space="preserve"> the </w:t>
      </w:r>
      <w:r>
        <w:t>Secretary-General</w:t>
      </w:r>
      <w:r w:rsidRPr="005C194F">
        <w:t xml:space="preserve"> on 7 June 2016;</w:t>
      </w:r>
    </w:p>
    <w:p w14:paraId="17D56F8C" w14:textId="77777777" w:rsidR="00C436F0" w:rsidRPr="005C194F" w:rsidRDefault="00C436F0" w:rsidP="00C436F0">
      <w:pPr>
        <w:pStyle w:val="SingleTxtG"/>
      </w:pPr>
      <w:r>
        <w:tab/>
      </w:r>
      <w:r w:rsidRPr="005C194F">
        <w:t>(e)</w:t>
      </w:r>
      <w:r w:rsidRPr="005C194F">
        <w:tab/>
        <w:t xml:space="preserve">The </w:t>
      </w:r>
      <w:r w:rsidRPr="0083476D">
        <w:t>accession to the Eurasian Economic Union</w:t>
      </w:r>
      <w:r>
        <w:t>,</w:t>
      </w:r>
      <w:r w:rsidRPr="0083476D">
        <w:t xml:space="preserve"> on 12 August 2015</w:t>
      </w:r>
      <w:r w:rsidRPr="005C194F">
        <w:t xml:space="preserve">, </w:t>
      </w:r>
      <w:r>
        <w:t xml:space="preserve">within </w:t>
      </w:r>
      <w:r w:rsidRPr="005C194F">
        <w:t xml:space="preserve">which migrant workers and members of their families </w:t>
      </w:r>
      <w:r>
        <w:t>are entitled to benefits</w:t>
      </w:r>
      <w:r w:rsidRPr="005C194F">
        <w:t>.</w:t>
      </w:r>
    </w:p>
    <w:p w14:paraId="722513C4" w14:textId="77777777" w:rsidR="00C436F0" w:rsidRPr="005C194F" w:rsidRDefault="00C436F0" w:rsidP="00C436F0">
      <w:pPr>
        <w:pStyle w:val="SingleTxtG"/>
      </w:pPr>
      <w:r w:rsidRPr="005C194F">
        <w:t>7.</w:t>
      </w:r>
      <w:r w:rsidRPr="005C194F">
        <w:tab/>
        <w:t xml:space="preserve">The Committee welcomes the adoption of the following legislative measures: </w:t>
      </w:r>
    </w:p>
    <w:p w14:paraId="1374321A" w14:textId="77777777" w:rsidR="00C436F0" w:rsidRPr="005C194F" w:rsidRDefault="00C436F0" w:rsidP="00C436F0">
      <w:pPr>
        <w:pStyle w:val="SingleTxtG"/>
      </w:pPr>
      <w:r>
        <w:tab/>
      </w:r>
      <w:r w:rsidRPr="005C194F">
        <w:t>(a)</w:t>
      </w:r>
      <w:r w:rsidRPr="005C194F">
        <w:tab/>
        <w:t>Government Order No. 169 of 23 April 2021</w:t>
      </w:r>
      <w:r>
        <w:t>,</w:t>
      </w:r>
      <w:r w:rsidRPr="005C194F">
        <w:t xml:space="preserve"> on covering the costs of repatriating the bodies of Kyrgyz citizens who have died abroad;</w:t>
      </w:r>
    </w:p>
    <w:p w14:paraId="6BB2D880" w14:textId="77777777" w:rsidR="00C436F0" w:rsidRPr="005C194F" w:rsidRDefault="00C436F0" w:rsidP="00C436F0">
      <w:pPr>
        <w:pStyle w:val="SingleTxtG"/>
      </w:pPr>
      <w:r>
        <w:tab/>
      </w:r>
      <w:r w:rsidRPr="005C194F">
        <w:t>(b)</w:t>
      </w:r>
      <w:r w:rsidRPr="005C194F">
        <w:tab/>
        <w:t>The provisions in the Constitution of the Kyrgyz Republic, adopted by referendum on 11 April 2021,</w:t>
      </w:r>
      <w:r>
        <w:t xml:space="preserve"> as amended,</w:t>
      </w:r>
      <w:r w:rsidRPr="005C194F">
        <w:t xml:space="preserve"> on the right of citizens to return </w:t>
      </w:r>
      <w:r>
        <w:t xml:space="preserve">to the country without </w:t>
      </w:r>
      <w:r w:rsidRPr="005C194F">
        <w:t>hind</w:t>
      </w:r>
      <w:r>
        <w:t>rance</w:t>
      </w:r>
      <w:r w:rsidRPr="005C194F">
        <w:t>;</w:t>
      </w:r>
    </w:p>
    <w:p w14:paraId="47288429" w14:textId="77777777" w:rsidR="00C436F0" w:rsidRPr="005C194F" w:rsidRDefault="00C436F0" w:rsidP="00C436F0">
      <w:pPr>
        <w:pStyle w:val="SingleTxtG"/>
      </w:pPr>
      <w:r>
        <w:tab/>
      </w:r>
      <w:r w:rsidRPr="005C194F">
        <w:t>(c)</w:t>
      </w:r>
      <w:r w:rsidRPr="005C194F">
        <w:tab/>
        <w:t>Presidential Decree No. 4 of 29 January 2021</w:t>
      </w:r>
      <w:r>
        <w:t>,</w:t>
      </w:r>
      <w:r w:rsidRPr="005C194F">
        <w:t xml:space="preserve"> on the adoption of measures to improve the migration situation, </w:t>
      </w:r>
      <w:r>
        <w:t>which highlights</w:t>
      </w:r>
      <w:r w:rsidRPr="005C194F">
        <w:t xml:space="preserve"> the importance of </w:t>
      </w:r>
      <w:r>
        <w:t>providing</w:t>
      </w:r>
      <w:r w:rsidRPr="005C194F">
        <w:t xml:space="preserve"> support to migrant workers abroad and in the State party;</w:t>
      </w:r>
    </w:p>
    <w:p w14:paraId="7862F4D4" w14:textId="77777777" w:rsidR="00C436F0" w:rsidRPr="005C194F" w:rsidRDefault="00C436F0" w:rsidP="00C436F0">
      <w:pPr>
        <w:pStyle w:val="SingleTxtG"/>
      </w:pPr>
      <w:r>
        <w:tab/>
      </w:r>
      <w:r w:rsidRPr="005C194F">
        <w:t>(d)</w:t>
      </w:r>
      <w:r w:rsidRPr="005C194F">
        <w:tab/>
        <w:t xml:space="preserve">The </w:t>
      </w:r>
      <w:r>
        <w:t>a</w:t>
      </w:r>
      <w:r w:rsidRPr="005C194F">
        <w:t xml:space="preserve">greement on pension </w:t>
      </w:r>
      <w:r>
        <w:t>provision</w:t>
      </w:r>
      <w:r w:rsidRPr="005C194F">
        <w:t xml:space="preserve"> </w:t>
      </w:r>
      <w:r>
        <w:t>for</w:t>
      </w:r>
      <w:r w:rsidRPr="005C194F">
        <w:t xml:space="preserve"> workers</w:t>
      </w:r>
      <w:r>
        <w:t xml:space="preserve"> of the States members of the </w:t>
      </w:r>
      <w:r w:rsidRPr="00276ABE">
        <w:t>Eurasian</w:t>
      </w:r>
      <w:r>
        <w:t xml:space="preserve"> Economic Union</w:t>
      </w:r>
      <w:r w:rsidRPr="005C194F">
        <w:t>, signed on 20 December 2019;</w:t>
      </w:r>
    </w:p>
    <w:p w14:paraId="0757645A" w14:textId="77777777" w:rsidR="00C436F0" w:rsidRPr="005C194F" w:rsidRDefault="00C436F0" w:rsidP="00C436F0">
      <w:pPr>
        <w:pStyle w:val="SingleTxtG"/>
      </w:pPr>
      <w:r>
        <w:tab/>
      </w:r>
      <w:r w:rsidRPr="005C194F">
        <w:t>(e)</w:t>
      </w:r>
      <w:r w:rsidRPr="005C194F">
        <w:tab/>
        <w:t xml:space="preserve">Government </w:t>
      </w:r>
      <w:r>
        <w:t>Decision</w:t>
      </w:r>
      <w:r w:rsidRPr="005C194F">
        <w:t xml:space="preserve"> No. 175 of </w:t>
      </w:r>
      <w:r>
        <w:t xml:space="preserve">16 </w:t>
      </w:r>
      <w:r w:rsidRPr="005C194F">
        <w:t>April 2019, introducing regulat</w:t>
      </w:r>
      <w:r>
        <w:t>ions</w:t>
      </w:r>
      <w:r w:rsidRPr="005C194F">
        <w:t xml:space="preserve"> </w:t>
      </w:r>
      <w:r>
        <w:t xml:space="preserve">on the procedures for </w:t>
      </w:r>
      <w:r w:rsidRPr="005C194F">
        <w:t xml:space="preserve">the employment of foreign citizens and stateless persons in the </w:t>
      </w:r>
      <w:r>
        <w:t>State party</w:t>
      </w:r>
      <w:r w:rsidRPr="005C194F">
        <w:t xml:space="preserve"> and of Kyrgyz citizens abroad.</w:t>
      </w:r>
    </w:p>
    <w:p w14:paraId="3EB18392" w14:textId="2F55FB26" w:rsidR="00C436F0" w:rsidRPr="005C194F" w:rsidRDefault="00C436F0" w:rsidP="00D31F33">
      <w:pPr>
        <w:pStyle w:val="SingleTxtG"/>
        <w:tabs>
          <w:tab w:val="right" w:pos="8505"/>
        </w:tabs>
      </w:pPr>
      <w:r w:rsidRPr="005C194F">
        <w:t>8.</w:t>
      </w:r>
      <w:r w:rsidRPr="005C194F">
        <w:tab/>
      </w:r>
      <w:r w:rsidRPr="00817765">
        <w:t>The Committee also welcomes the following institutional and policy measures</w:t>
      </w:r>
      <w:r w:rsidR="00D31F33">
        <w:t>:</w:t>
      </w:r>
    </w:p>
    <w:p w14:paraId="3B115EB1" w14:textId="77777777" w:rsidR="00C436F0" w:rsidRPr="005C194F" w:rsidRDefault="00C436F0" w:rsidP="00C436F0">
      <w:pPr>
        <w:pStyle w:val="SingleTxtG"/>
      </w:pPr>
      <w:r>
        <w:tab/>
      </w:r>
      <w:r w:rsidRPr="005C194F">
        <w:t>(a)</w:t>
      </w:r>
      <w:r w:rsidRPr="005C194F">
        <w:tab/>
        <w:t xml:space="preserve">The Migration Policy </w:t>
      </w:r>
      <w:r>
        <w:t>Framework</w:t>
      </w:r>
      <w:r w:rsidRPr="005C194F">
        <w:t xml:space="preserve"> for 2021</w:t>
      </w:r>
      <w:r>
        <w:t>–</w:t>
      </w:r>
      <w:r w:rsidRPr="005C194F">
        <w:t xml:space="preserve">2030, adopted by Government </w:t>
      </w:r>
      <w:r>
        <w:t>Decision</w:t>
      </w:r>
      <w:r w:rsidRPr="005C194F">
        <w:t xml:space="preserve"> No. 191 of 4 May 2021, and </w:t>
      </w:r>
      <w:r>
        <w:t>the</w:t>
      </w:r>
      <w:r w:rsidRPr="005C194F">
        <w:t xml:space="preserve"> </w:t>
      </w:r>
      <w:r>
        <w:t>a</w:t>
      </w:r>
      <w:r w:rsidRPr="005C194F">
        <w:t xml:space="preserve">ction </w:t>
      </w:r>
      <w:r>
        <w:t>p</w:t>
      </w:r>
      <w:r w:rsidRPr="005C194F">
        <w:t>lan</w:t>
      </w:r>
      <w:r>
        <w:t xml:space="preserve"> for the first phase of the Framework</w:t>
      </w:r>
      <w:r w:rsidRPr="005C194F">
        <w:t xml:space="preserve"> </w:t>
      </w:r>
      <w:r>
        <w:t>(</w:t>
      </w:r>
      <w:r w:rsidRPr="005C194F">
        <w:t>2022</w:t>
      </w:r>
      <w:r>
        <w:t>–</w:t>
      </w:r>
      <w:r w:rsidRPr="005C194F">
        <w:t>2025</w:t>
      </w:r>
      <w:r>
        <w:t>)</w:t>
      </w:r>
      <w:r w:rsidRPr="005C194F">
        <w:t xml:space="preserve">, </w:t>
      </w:r>
      <w:r>
        <w:t>approved</w:t>
      </w:r>
      <w:r w:rsidRPr="005C194F">
        <w:t xml:space="preserve"> by </w:t>
      </w:r>
      <w:r>
        <w:t>Order of the Cabinet of Ministers</w:t>
      </w:r>
      <w:r w:rsidRPr="005C194F">
        <w:t xml:space="preserve"> No. 191 of 13 April 2022; </w:t>
      </w:r>
    </w:p>
    <w:p w14:paraId="246A804C" w14:textId="77777777" w:rsidR="00C436F0" w:rsidRPr="005C194F" w:rsidRDefault="00C436F0" w:rsidP="00C436F0">
      <w:pPr>
        <w:pStyle w:val="SingleTxtG"/>
      </w:pPr>
      <w:r>
        <w:tab/>
      </w:r>
      <w:r w:rsidRPr="005C194F">
        <w:t>(b)</w:t>
      </w:r>
      <w:r w:rsidRPr="005C194F">
        <w:tab/>
        <w:t xml:space="preserve">The National Development Programme </w:t>
      </w:r>
      <w:r>
        <w:t xml:space="preserve">until </w:t>
      </w:r>
      <w:r w:rsidRPr="005C194F">
        <w:t xml:space="preserve">2026, </w:t>
      </w:r>
      <w:r>
        <w:t>approved</w:t>
      </w:r>
      <w:r w:rsidRPr="005C194F">
        <w:t xml:space="preserve"> by Presidential Decree No. 435 of 12 October 2021, </w:t>
      </w:r>
      <w:r>
        <w:t>which highlights</w:t>
      </w:r>
      <w:r w:rsidRPr="005C194F">
        <w:t xml:space="preserve"> the need to ensure safe, orderly and regular migration;</w:t>
      </w:r>
    </w:p>
    <w:p w14:paraId="24C8AED7" w14:textId="77777777" w:rsidR="00C436F0" w:rsidRPr="005C194F" w:rsidRDefault="00C436F0" w:rsidP="00C436F0">
      <w:pPr>
        <w:pStyle w:val="SingleTxtG"/>
      </w:pPr>
      <w:r>
        <w:tab/>
      </w:r>
      <w:r w:rsidRPr="005C194F">
        <w:t>(c)</w:t>
      </w:r>
      <w:r w:rsidRPr="005C194F">
        <w:tab/>
        <w:t xml:space="preserve">The </w:t>
      </w:r>
      <w:r>
        <w:t>Cabinet of Ministers</w:t>
      </w:r>
      <w:r w:rsidRPr="005C194F">
        <w:t xml:space="preserve"> Programme </w:t>
      </w:r>
      <w:r>
        <w:t>to Combat</w:t>
      </w:r>
      <w:r w:rsidRPr="005C194F">
        <w:t xml:space="preserve"> Trafficking in Persons</w:t>
      </w:r>
      <w:r>
        <w:t xml:space="preserve"> for 2022–2025</w:t>
      </w:r>
      <w:r w:rsidRPr="005C194F">
        <w:t xml:space="preserve"> and </w:t>
      </w:r>
      <w:r>
        <w:t>the</w:t>
      </w:r>
      <w:r w:rsidRPr="005C194F">
        <w:t xml:space="preserve"> </w:t>
      </w:r>
      <w:r>
        <w:t>a</w:t>
      </w:r>
      <w:r w:rsidRPr="005C194F">
        <w:t xml:space="preserve">ction </w:t>
      </w:r>
      <w:r>
        <w:t>p</w:t>
      </w:r>
      <w:r w:rsidRPr="005C194F">
        <w:t xml:space="preserve">lan for </w:t>
      </w:r>
      <w:r>
        <w:t>its implementation</w:t>
      </w:r>
      <w:r w:rsidRPr="005C194F">
        <w:t>.</w:t>
      </w:r>
    </w:p>
    <w:p w14:paraId="41E82FAB" w14:textId="77777777" w:rsidR="00C436F0" w:rsidRPr="00F259E4" w:rsidRDefault="00C436F0" w:rsidP="00C436F0">
      <w:pPr>
        <w:pStyle w:val="H1G"/>
      </w:pPr>
      <w:r>
        <w:tab/>
      </w:r>
      <w:r w:rsidRPr="00F259E4">
        <w:t>C.</w:t>
      </w:r>
      <w:r w:rsidRPr="00F259E4">
        <w:tab/>
      </w:r>
      <w:r w:rsidRPr="00F259E4">
        <w:tab/>
        <w:t>Principal subjects of concern and recommendations</w:t>
      </w:r>
    </w:p>
    <w:p w14:paraId="03798A7E" w14:textId="77777777" w:rsidR="00C436F0" w:rsidRPr="00DF37BC" w:rsidRDefault="00C436F0" w:rsidP="00C436F0">
      <w:pPr>
        <w:pStyle w:val="H23G"/>
      </w:pPr>
      <w:r w:rsidRPr="00F259E4">
        <w:tab/>
        <w:t>1.</w:t>
      </w:r>
      <w:r w:rsidRPr="00F259E4">
        <w:tab/>
        <w:t>General measures of implementation (arts. 73 and 84)</w:t>
      </w:r>
    </w:p>
    <w:p w14:paraId="68C2AF4E" w14:textId="77777777" w:rsidR="00C436F0" w:rsidRPr="006E0BCF" w:rsidRDefault="00C436F0" w:rsidP="00C436F0">
      <w:pPr>
        <w:pStyle w:val="H23G"/>
      </w:pPr>
      <w:r>
        <w:tab/>
      </w:r>
      <w:r>
        <w:tab/>
      </w:r>
      <w:r w:rsidRPr="006E0BCF">
        <w:t xml:space="preserve">Protection of </w:t>
      </w:r>
      <w:r>
        <w:t>r</w:t>
      </w:r>
      <w:r w:rsidRPr="008B2DBA">
        <w:t>ights in t</w:t>
      </w:r>
      <w:r>
        <w:t>imes of crisis</w:t>
      </w:r>
    </w:p>
    <w:p w14:paraId="0FCC31A2" w14:textId="77777777" w:rsidR="00C436F0" w:rsidRPr="006E0BCF" w:rsidRDefault="00C436F0" w:rsidP="00C436F0">
      <w:pPr>
        <w:pStyle w:val="SingleTxtG"/>
      </w:pPr>
      <w:r w:rsidRPr="006E0BCF">
        <w:t>9.</w:t>
      </w:r>
      <w:r w:rsidRPr="006E0BCF">
        <w:tab/>
      </w:r>
      <w:r w:rsidRPr="008B2DBA">
        <w:t xml:space="preserve">The Committee </w:t>
      </w:r>
      <w:r>
        <w:t xml:space="preserve">notes the information provided by the State party on the measures taken to ensure the protection of migrant workers in the territory and abroad during </w:t>
      </w:r>
      <w:r w:rsidRPr="00F259E4">
        <w:t>the coronavirus disease (COVID-19) pandemic</w:t>
      </w:r>
      <w:r>
        <w:t xml:space="preserve"> and in the context of the armed conflict between </w:t>
      </w:r>
      <w:r w:rsidRPr="00F259E4">
        <w:t>the Russian Federation</w:t>
      </w:r>
      <w:r>
        <w:t xml:space="preserve"> and Ukraine. However, the Committee remains concerned about the lack of information on the existence of a specific framework to ensure the rights of migrant workers in times of crisis.</w:t>
      </w:r>
    </w:p>
    <w:p w14:paraId="2798D5B7" w14:textId="77777777" w:rsidR="00C436F0" w:rsidRPr="008B2DBA" w:rsidRDefault="00C436F0" w:rsidP="00C436F0">
      <w:pPr>
        <w:pStyle w:val="SingleTxtG"/>
      </w:pPr>
      <w:r w:rsidRPr="008B2DBA">
        <w:t>10.</w:t>
      </w:r>
      <w:r w:rsidRPr="008B2DBA">
        <w:tab/>
      </w:r>
      <w:r w:rsidRPr="005C194F">
        <w:rPr>
          <w:b/>
          <w:bCs/>
        </w:rPr>
        <w:t xml:space="preserve">The Committee recommends that the State party take all </w:t>
      </w:r>
      <w:r>
        <w:rPr>
          <w:b/>
          <w:bCs/>
        </w:rPr>
        <w:t>the</w:t>
      </w:r>
      <w:r w:rsidRPr="005C194F">
        <w:rPr>
          <w:b/>
          <w:bCs/>
        </w:rPr>
        <w:t xml:space="preserve"> measures</w:t>
      </w:r>
      <w:r w:rsidRPr="00F259E4">
        <w:rPr>
          <w:b/>
          <w:bCs/>
        </w:rPr>
        <w:t xml:space="preserve"> </w:t>
      </w:r>
      <w:r w:rsidRPr="005C194F">
        <w:rPr>
          <w:b/>
          <w:bCs/>
        </w:rPr>
        <w:t xml:space="preserve">necessary to develop and implement a framework to ensure the continued protection of the rights of migrant workers and members of their families in times of crisis such as wars, natural catastrophes and pandemics, including through the safe and rapid repatriation of </w:t>
      </w:r>
      <w:r w:rsidRPr="005C194F">
        <w:rPr>
          <w:b/>
          <w:bCs/>
        </w:rPr>
        <w:lastRenderedPageBreak/>
        <w:t xml:space="preserve">Kyrgyz migrant workers and members of their families when necessary, and to mitigate the adverse effects of such events on the enjoyment of rights </w:t>
      </w:r>
      <w:r>
        <w:rPr>
          <w:b/>
          <w:bCs/>
        </w:rPr>
        <w:t>by</w:t>
      </w:r>
      <w:r w:rsidRPr="005C194F">
        <w:rPr>
          <w:b/>
          <w:bCs/>
        </w:rPr>
        <w:t xml:space="preserve"> migrant workers and members of their families. </w:t>
      </w:r>
    </w:p>
    <w:p w14:paraId="2D4B9A5C" w14:textId="77777777" w:rsidR="00C436F0" w:rsidRPr="005C194F" w:rsidRDefault="00C436F0" w:rsidP="00C436F0">
      <w:pPr>
        <w:pStyle w:val="H23G"/>
      </w:pPr>
      <w:r>
        <w:tab/>
      </w:r>
      <w:r>
        <w:tab/>
      </w:r>
      <w:r w:rsidRPr="00F259E4">
        <w:t>Legislation and application</w:t>
      </w:r>
    </w:p>
    <w:p w14:paraId="486D7CD6" w14:textId="77777777" w:rsidR="00C436F0" w:rsidRPr="009660F3" w:rsidRDefault="00C436F0" w:rsidP="00C436F0">
      <w:pPr>
        <w:spacing w:after="120" w:line="240" w:lineRule="auto"/>
        <w:ind w:left="1134" w:right="1134"/>
        <w:jc w:val="both"/>
      </w:pPr>
      <w:r w:rsidRPr="005C194F">
        <w:rPr>
          <w:rStyle w:val="SingleTxtGChar"/>
        </w:rPr>
        <w:t>11.</w:t>
      </w:r>
      <w:r w:rsidRPr="005C194F">
        <w:rPr>
          <w:rStyle w:val="SingleTxtGChar"/>
        </w:rPr>
        <w:tab/>
        <w:t xml:space="preserve">The Committee notes with concern that the definition of </w:t>
      </w:r>
      <w:r>
        <w:rPr>
          <w:rStyle w:val="SingleTxtGChar"/>
        </w:rPr>
        <w:t xml:space="preserve">a </w:t>
      </w:r>
      <w:r w:rsidRPr="005C194F">
        <w:rPr>
          <w:rStyle w:val="SingleTxtGChar"/>
        </w:rPr>
        <w:t xml:space="preserve">migrant worker in the State party’s legislation is not in line with the Convention </w:t>
      </w:r>
      <w:r>
        <w:rPr>
          <w:rStyle w:val="SingleTxtGChar"/>
        </w:rPr>
        <w:t>(</w:t>
      </w:r>
      <w:r w:rsidRPr="005C194F">
        <w:rPr>
          <w:rStyle w:val="SingleTxtGChar"/>
        </w:rPr>
        <w:t>arts</w:t>
      </w:r>
      <w:r>
        <w:rPr>
          <w:rStyle w:val="SingleTxtGChar"/>
        </w:rPr>
        <w:t>.</w:t>
      </w:r>
      <w:r w:rsidRPr="005C194F">
        <w:rPr>
          <w:rStyle w:val="SingleTxtGChar"/>
        </w:rPr>
        <w:t xml:space="preserve"> 2 and 5</w:t>
      </w:r>
      <w:r>
        <w:rPr>
          <w:rStyle w:val="SingleTxtGChar"/>
        </w:rPr>
        <w:t>)</w:t>
      </w:r>
      <w:r w:rsidRPr="005C194F">
        <w:rPr>
          <w:rStyle w:val="SingleTxtGChar"/>
        </w:rPr>
        <w:t>, as it includes only migrant workers who are documented or in a regular situation</w:t>
      </w:r>
      <w:r w:rsidRPr="009660F3">
        <w:t xml:space="preserve">. </w:t>
      </w:r>
    </w:p>
    <w:p w14:paraId="2B5AE72C" w14:textId="77777777" w:rsidR="00C436F0" w:rsidRDefault="00C436F0" w:rsidP="00C436F0">
      <w:pPr>
        <w:pStyle w:val="SingleTxtG"/>
      </w:pPr>
      <w:r w:rsidRPr="009660F3">
        <w:t>1</w:t>
      </w:r>
      <w:r>
        <w:t>2</w:t>
      </w:r>
      <w:r w:rsidRPr="009660F3">
        <w:t>.</w:t>
      </w:r>
      <w:r w:rsidRPr="009660F3">
        <w:tab/>
      </w:r>
      <w:r w:rsidRPr="005C194F">
        <w:rPr>
          <w:b/>
          <w:bCs/>
        </w:rPr>
        <w:t>Reiterating its previous recommendations,</w:t>
      </w:r>
      <w:r w:rsidRPr="00120AEE">
        <w:rPr>
          <w:rStyle w:val="FootnoteReference"/>
        </w:rPr>
        <w:footnoteReference w:id="6"/>
      </w:r>
      <w:r w:rsidRPr="00120AEE">
        <w:t xml:space="preserve"> </w:t>
      </w:r>
      <w:r w:rsidRPr="005C194F">
        <w:rPr>
          <w:b/>
          <w:bCs/>
        </w:rPr>
        <w:t xml:space="preserve">the Committee recommends that the State party take the steps necessary to ensure that its national laws and policies are in line with the provisions of the Convention, including amending the definition of </w:t>
      </w:r>
      <w:r>
        <w:rPr>
          <w:b/>
          <w:bCs/>
        </w:rPr>
        <w:t xml:space="preserve">a </w:t>
      </w:r>
      <w:r w:rsidRPr="005C194F">
        <w:rPr>
          <w:b/>
          <w:bCs/>
        </w:rPr>
        <w:t xml:space="preserve">migrant worker in legislation to include those in an irregular situation, to ensure protection of the rights of all migrant workers, </w:t>
      </w:r>
      <w:r>
        <w:rPr>
          <w:b/>
          <w:bCs/>
        </w:rPr>
        <w:t xml:space="preserve">in </w:t>
      </w:r>
      <w:r w:rsidRPr="005C194F">
        <w:rPr>
          <w:b/>
          <w:bCs/>
        </w:rPr>
        <w:t>both regular and irregular situations, in accordance with the Convention.</w:t>
      </w:r>
    </w:p>
    <w:p w14:paraId="59635D1F" w14:textId="77777777" w:rsidR="00C436F0" w:rsidRPr="003A0761" w:rsidRDefault="00C436F0" w:rsidP="00C436F0">
      <w:pPr>
        <w:pStyle w:val="SingleTxtG"/>
      </w:pPr>
      <w:r w:rsidRPr="003A0761">
        <w:t>13.</w:t>
      </w:r>
      <w:r w:rsidRPr="003A0761">
        <w:tab/>
        <w:t xml:space="preserve">The Committee is concerned about the lack of information on the application of the Convention by domestic courts and </w:t>
      </w:r>
      <w:r>
        <w:t>about</w:t>
      </w:r>
      <w:r w:rsidRPr="003A0761">
        <w:t xml:space="preserve"> the declaration </w:t>
      </w:r>
      <w:r>
        <w:t>by</w:t>
      </w:r>
      <w:r w:rsidRPr="003A0761">
        <w:t xml:space="preserve"> the State party in its report that </w:t>
      </w:r>
      <w:r>
        <w:t>there</w:t>
      </w:r>
      <w:r w:rsidRPr="003A0761">
        <w:t xml:space="preserve"> is no </w:t>
      </w:r>
      <w:r>
        <w:t>need</w:t>
      </w:r>
      <w:r w:rsidRPr="003A0761">
        <w:t xml:space="preserve"> </w:t>
      </w:r>
      <w:r>
        <w:t>for</w:t>
      </w:r>
      <w:r w:rsidRPr="003A0761">
        <w:t xml:space="preserve"> a direct reference to the Convention</w:t>
      </w:r>
      <w:r>
        <w:t xml:space="preserve"> in national legislation</w:t>
      </w:r>
      <w:r w:rsidRPr="003A0761">
        <w:t>.</w:t>
      </w:r>
    </w:p>
    <w:p w14:paraId="53F85BCE" w14:textId="77777777" w:rsidR="00C436F0" w:rsidRPr="00974D49" w:rsidRDefault="00C436F0" w:rsidP="00C436F0">
      <w:pPr>
        <w:pStyle w:val="SingleTxtG"/>
      </w:pPr>
      <w:r w:rsidRPr="00974D49">
        <w:t>1</w:t>
      </w:r>
      <w:r>
        <w:t>4</w:t>
      </w:r>
      <w:r w:rsidRPr="00974D49">
        <w:t>.</w:t>
      </w:r>
      <w:r w:rsidRPr="00974D49">
        <w:tab/>
      </w:r>
      <w:r w:rsidRPr="005C194F">
        <w:rPr>
          <w:b/>
          <w:bCs/>
        </w:rPr>
        <w:t>Reiterating its previous recommendations,</w:t>
      </w:r>
      <w:r w:rsidRPr="00120AEE">
        <w:rPr>
          <w:rStyle w:val="FootnoteReference"/>
        </w:rPr>
        <w:footnoteReference w:id="7"/>
      </w:r>
      <w:r w:rsidRPr="005C194F">
        <w:rPr>
          <w:b/>
          <w:bCs/>
        </w:rPr>
        <w:t xml:space="preserve"> the Committee invites the State party to provide </w:t>
      </w:r>
      <w:r>
        <w:rPr>
          <w:b/>
          <w:bCs/>
        </w:rPr>
        <w:t xml:space="preserve">detailed </w:t>
      </w:r>
      <w:r w:rsidRPr="005C194F">
        <w:rPr>
          <w:b/>
          <w:bCs/>
        </w:rPr>
        <w:t xml:space="preserve">information on the </w:t>
      </w:r>
      <w:r>
        <w:rPr>
          <w:b/>
          <w:bCs/>
        </w:rPr>
        <w:t xml:space="preserve">direct </w:t>
      </w:r>
      <w:r w:rsidRPr="005C194F">
        <w:rPr>
          <w:b/>
          <w:bCs/>
        </w:rPr>
        <w:t>application of the Convention</w:t>
      </w:r>
      <w:r>
        <w:rPr>
          <w:b/>
          <w:bCs/>
        </w:rPr>
        <w:t>, particularly</w:t>
      </w:r>
      <w:r w:rsidRPr="005C194F">
        <w:rPr>
          <w:b/>
          <w:bCs/>
        </w:rPr>
        <w:t xml:space="preserve"> by domestic courts</w:t>
      </w:r>
      <w:r>
        <w:rPr>
          <w:b/>
          <w:bCs/>
        </w:rPr>
        <w:t>,</w:t>
      </w:r>
      <w:r w:rsidRPr="005C194F">
        <w:rPr>
          <w:b/>
          <w:bCs/>
        </w:rPr>
        <w:t xml:space="preserve"> in its next periodic report.</w:t>
      </w:r>
    </w:p>
    <w:p w14:paraId="79E6DD1A" w14:textId="77777777" w:rsidR="00C436F0" w:rsidRPr="00B56D50" w:rsidRDefault="00C436F0" w:rsidP="00C436F0">
      <w:pPr>
        <w:pStyle w:val="H23G"/>
      </w:pPr>
      <w:r>
        <w:tab/>
      </w:r>
      <w:r>
        <w:tab/>
      </w:r>
      <w:r w:rsidRPr="00E22FC5">
        <w:t>Articles 76–77</w:t>
      </w:r>
    </w:p>
    <w:p w14:paraId="28BD2489" w14:textId="77777777" w:rsidR="00C436F0" w:rsidRPr="0028477E" w:rsidRDefault="00C436F0" w:rsidP="00C436F0">
      <w:pPr>
        <w:pStyle w:val="SingleTxtG"/>
      </w:pPr>
      <w:r>
        <w:t>15.</w:t>
      </w:r>
      <w:r>
        <w:tab/>
      </w:r>
      <w:r w:rsidRPr="0056413B">
        <w:t>The Committee notes that the State party has yet to make the declarations provided for in articles 76 and 77 of the Convention, recognizing the competence of the Committee to receive communications from States parties and individuals.</w:t>
      </w:r>
    </w:p>
    <w:p w14:paraId="7B2F596F" w14:textId="77777777" w:rsidR="00C436F0" w:rsidRPr="0028477E" w:rsidRDefault="00C436F0" w:rsidP="00C436F0">
      <w:pPr>
        <w:pStyle w:val="SingleTxtG"/>
      </w:pPr>
      <w:r>
        <w:t>16.</w:t>
      </w:r>
      <w:r>
        <w:tab/>
      </w:r>
      <w:r w:rsidRPr="005C194F">
        <w:rPr>
          <w:b/>
          <w:bCs/>
        </w:rPr>
        <w:t>Reiterating its previous recommendations,</w:t>
      </w:r>
      <w:r w:rsidRPr="00120AEE">
        <w:rPr>
          <w:rStyle w:val="FootnoteReference"/>
        </w:rPr>
        <w:footnoteReference w:id="8"/>
      </w:r>
      <w:r w:rsidRPr="005C194F">
        <w:rPr>
          <w:b/>
          <w:bCs/>
        </w:rPr>
        <w:t xml:space="preserve"> the Committee recommends that the State party make the declarations provided for in articles 76 and 77 of the Convention.</w:t>
      </w:r>
    </w:p>
    <w:p w14:paraId="6286E3F8" w14:textId="77777777" w:rsidR="00C436F0" w:rsidRPr="00E22FC5" w:rsidRDefault="00C436F0" w:rsidP="00C436F0">
      <w:pPr>
        <w:pStyle w:val="H23G"/>
      </w:pPr>
      <w:r>
        <w:tab/>
      </w:r>
      <w:r>
        <w:tab/>
      </w:r>
      <w:r w:rsidRPr="00E22FC5">
        <w:t>Ratification of relevant instruments</w:t>
      </w:r>
    </w:p>
    <w:p w14:paraId="6BE4899E" w14:textId="77777777" w:rsidR="00C436F0" w:rsidRPr="0028477E" w:rsidRDefault="00C436F0" w:rsidP="00C436F0">
      <w:pPr>
        <w:pStyle w:val="SingleTxtG"/>
      </w:pPr>
      <w:r w:rsidRPr="00E22FC5">
        <w:t>17.</w:t>
      </w:r>
      <w:r w:rsidRPr="00E22FC5">
        <w:tab/>
        <w:t>The Committee notes that the State party has not yet ratified or acceded to the ILO Migration Workers (Supplementary Provisions) Convention, 1975 (No. 143), the ILO Private Employment Agencies Convention, 1997 (No. 181), or the ILO Domestic Workers Convention, 2011 (No. 189)</w:t>
      </w:r>
      <w:r>
        <w:t>.</w:t>
      </w:r>
    </w:p>
    <w:p w14:paraId="39805B26" w14:textId="77777777" w:rsidR="00C436F0" w:rsidRPr="0041473B" w:rsidRDefault="00C436F0" w:rsidP="00C436F0">
      <w:pPr>
        <w:pStyle w:val="SingleTxtG"/>
        <w:rPr>
          <w:b/>
          <w:bCs/>
        </w:rPr>
      </w:pPr>
      <w:r>
        <w:t>18.</w:t>
      </w:r>
      <w:r>
        <w:tab/>
      </w:r>
      <w:r w:rsidRPr="005C194F">
        <w:rPr>
          <w:b/>
          <w:bCs/>
        </w:rPr>
        <w:t xml:space="preserve">Reiterating its previous </w:t>
      </w:r>
      <w:r w:rsidRPr="00E22FC5">
        <w:rPr>
          <w:b/>
          <w:bCs/>
        </w:rPr>
        <w:t>recommendations,</w:t>
      </w:r>
      <w:r w:rsidRPr="00120AEE">
        <w:rPr>
          <w:rStyle w:val="FootnoteReference"/>
        </w:rPr>
        <w:footnoteReference w:id="9"/>
      </w:r>
      <w:r w:rsidRPr="00E22FC5">
        <w:rPr>
          <w:b/>
          <w:bCs/>
        </w:rPr>
        <w:t xml:space="preserve"> the Committee recommends that the State party </w:t>
      </w:r>
      <w:r>
        <w:rPr>
          <w:b/>
          <w:bCs/>
        </w:rPr>
        <w:t xml:space="preserve">consider </w:t>
      </w:r>
      <w:r w:rsidRPr="00E22FC5">
        <w:rPr>
          <w:b/>
          <w:bCs/>
        </w:rPr>
        <w:t>ratify</w:t>
      </w:r>
      <w:r>
        <w:rPr>
          <w:b/>
          <w:bCs/>
        </w:rPr>
        <w:t>ing</w:t>
      </w:r>
      <w:r w:rsidRPr="00E22FC5">
        <w:rPr>
          <w:b/>
          <w:bCs/>
        </w:rPr>
        <w:t xml:space="preserve"> or acced</w:t>
      </w:r>
      <w:r>
        <w:rPr>
          <w:b/>
          <w:bCs/>
        </w:rPr>
        <w:t>ing</w:t>
      </w:r>
      <w:r w:rsidRPr="00E22FC5">
        <w:rPr>
          <w:b/>
          <w:bCs/>
        </w:rPr>
        <w:t xml:space="preserve"> to the above-mentioned instruments as soon as possible</w:t>
      </w:r>
      <w:r w:rsidRPr="0041473B">
        <w:rPr>
          <w:b/>
          <w:bCs/>
        </w:rPr>
        <w:t>.</w:t>
      </w:r>
    </w:p>
    <w:p w14:paraId="0C359840" w14:textId="77777777" w:rsidR="00C436F0" w:rsidRPr="0049681F" w:rsidRDefault="00C436F0" w:rsidP="00C436F0">
      <w:pPr>
        <w:pStyle w:val="H23G"/>
      </w:pPr>
      <w:r w:rsidRPr="00E22FC5">
        <w:tab/>
      </w:r>
      <w:r w:rsidRPr="00E22FC5">
        <w:tab/>
        <w:t>Data collection</w:t>
      </w:r>
      <w:r w:rsidRPr="0049681F">
        <w:t xml:space="preserve"> </w:t>
      </w:r>
    </w:p>
    <w:p w14:paraId="7F1E81C0" w14:textId="77777777" w:rsidR="00C436F0" w:rsidRPr="005C194F" w:rsidRDefault="00C436F0" w:rsidP="00C436F0">
      <w:pPr>
        <w:pStyle w:val="SingleTxtG"/>
      </w:pPr>
      <w:r w:rsidRPr="005C194F">
        <w:t>19.</w:t>
      </w:r>
      <w:r w:rsidRPr="005C194F">
        <w:tab/>
        <w:t xml:space="preserve">The Committee welcomes the efforts of the State party to collect information and statistical data on migration issues but remains concerned about the lack of sufficient information on migration flows and on other migration-related issues. It regrets the lack of information on the various criteria </w:t>
      </w:r>
      <w:r>
        <w:t>required</w:t>
      </w:r>
      <w:r w:rsidRPr="005C194F">
        <w:t xml:space="preserve"> </w:t>
      </w:r>
      <w:r>
        <w:t>to</w:t>
      </w:r>
      <w:r w:rsidRPr="005C194F">
        <w:t xml:space="preserve"> enable it to fully assess the extent and manner </w:t>
      </w:r>
      <w:r>
        <w:t>of implementation of</w:t>
      </w:r>
      <w:r w:rsidRPr="005C194F">
        <w:t xml:space="preserve"> the Convention in the State party, in particular with regard to </w:t>
      </w:r>
      <w:r>
        <w:t xml:space="preserve">the rights of </w:t>
      </w:r>
      <w:r w:rsidRPr="005C194F">
        <w:t>migrant women, unaccompanied migrant children and migrant workers both in and from the State party.</w:t>
      </w:r>
    </w:p>
    <w:p w14:paraId="50648CEC" w14:textId="77777777" w:rsidR="00C436F0" w:rsidRPr="005C194F" w:rsidRDefault="00C436F0" w:rsidP="001A6B4B">
      <w:pPr>
        <w:pStyle w:val="SingleTxtG"/>
        <w:keepNext/>
        <w:keepLines/>
      </w:pPr>
      <w:r w:rsidRPr="005C194F">
        <w:lastRenderedPageBreak/>
        <w:t>20.</w:t>
      </w:r>
      <w:r w:rsidRPr="005C194F">
        <w:tab/>
      </w:r>
      <w:r w:rsidRPr="005C194F">
        <w:rPr>
          <w:b/>
          <w:bCs/>
        </w:rPr>
        <w:t>Reiterating its previous recommendations,</w:t>
      </w:r>
      <w:r w:rsidRPr="00120AEE">
        <w:rPr>
          <w:rStyle w:val="FootnoteReference"/>
        </w:rPr>
        <w:footnoteReference w:id="10"/>
      </w:r>
      <w:r w:rsidRPr="005C194F">
        <w:rPr>
          <w:b/>
          <w:bCs/>
        </w:rPr>
        <w:t xml:space="preserve"> the Committee recommends that the State party:</w:t>
      </w:r>
    </w:p>
    <w:p w14:paraId="3C7F2269" w14:textId="77777777" w:rsidR="00C436F0" w:rsidRPr="005C194F" w:rsidRDefault="00C436F0" w:rsidP="00C436F0">
      <w:pPr>
        <w:pStyle w:val="SingleTxtG"/>
      </w:pPr>
      <w:r>
        <w:tab/>
      </w:r>
      <w:r w:rsidRPr="005C194F">
        <w:t>(a)</w:t>
      </w:r>
      <w:r w:rsidRPr="005C194F">
        <w:tab/>
      </w:r>
      <w:r w:rsidRPr="005C194F">
        <w:rPr>
          <w:b/>
          <w:bCs/>
        </w:rPr>
        <w:t xml:space="preserve">Strengthen its efforts to ensure that the system for the compilation of migration-related statistics covers all aspects of the Convention and that detailed data is collected on the status of migrant workers in the State party, disaggregated, inter alia, </w:t>
      </w:r>
      <w:r>
        <w:rPr>
          <w:b/>
          <w:bCs/>
        </w:rPr>
        <w:t xml:space="preserve">by </w:t>
      </w:r>
      <w:r w:rsidRPr="005C194F">
        <w:rPr>
          <w:b/>
          <w:bCs/>
        </w:rPr>
        <w:t>sex, age, nationality, reason for entry to and departure from the country, type of work performed, category of migrant worker, ethnic origin, migration status and disability</w:t>
      </w:r>
      <w:r>
        <w:rPr>
          <w:b/>
          <w:bCs/>
        </w:rPr>
        <w:t>;</w:t>
      </w:r>
      <w:r w:rsidRPr="005C194F">
        <w:rPr>
          <w:b/>
          <w:bCs/>
        </w:rPr>
        <w:t xml:space="preserve"> </w:t>
      </w:r>
      <w:r>
        <w:rPr>
          <w:b/>
          <w:bCs/>
        </w:rPr>
        <w:t>i</w:t>
      </w:r>
      <w:r w:rsidRPr="005C194F">
        <w:rPr>
          <w:b/>
          <w:bCs/>
        </w:rPr>
        <w:t xml:space="preserve">n cases where it is not possible to obtain precise information, </w:t>
      </w:r>
      <w:r>
        <w:rPr>
          <w:b/>
          <w:bCs/>
        </w:rPr>
        <w:t>such as</w:t>
      </w:r>
      <w:r w:rsidRPr="005C194F">
        <w:rPr>
          <w:b/>
          <w:bCs/>
        </w:rPr>
        <w:t xml:space="preserve"> in the case of migrant workers in an irregular situation, the Committee would appreciate being provided with information based on studies</w:t>
      </w:r>
      <w:r>
        <w:rPr>
          <w:b/>
          <w:bCs/>
        </w:rPr>
        <w:t xml:space="preserve"> or other relevant sources,</w:t>
      </w:r>
      <w:r w:rsidRPr="00683250">
        <w:t xml:space="preserve"> </w:t>
      </w:r>
      <w:r w:rsidRPr="00683250">
        <w:rPr>
          <w:b/>
          <w:bCs/>
        </w:rPr>
        <w:t>in line with target 17.18 of the Sustainable Development Goal</w:t>
      </w:r>
      <w:r>
        <w:rPr>
          <w:b/>
          <w:bCs/>
        </w:rPr>
        <w:t>s</w:t>
      </w:r>
      <w:r w:rsidRPr="005C194F">
        <w:rPr>
          <w:b/>
          <w:bCs/>
        </w:rPr>
        <w:t>;</w:t>
      </w:r>
    </w:p>
    <w:p w14:paraId="7457E677" w14:textId="77777777" w:rsidR="00C436F0" w:rsidRPr="005C194F" w:rsidRDefault="00C436F0" w:rsidP="00C436F0">
      <w:pPr>
        <w:pStyle w:val="SingleTxtG"/>
      </w:pPr>
      <w:r w:rsidRPr="005C194F">
        <w:tab/>
        <w:t>(b)</w:t>
      </w:r>
      <w:r w:rsidRPr="005C194F">
        <w:tab/>
      </w:r>
      <w:r w:rsidRPr="005C194F">
        <w:rPr>
          <w:b/>
          <w:bCs/>
        </w:rPr>
        <w:t>Ensure that the rights of migrant workers and members of their families to privacy, personal information and data protection are protected, including by establishing appropriate reporting firewalls and access limitations, and that personal information is erased once the purpose of the data collection has been achieved, so that personal data are not used for migration control or for discrimination in public and private services.</w:t>
      </w:r>
    </w:p>
    <w:p w14:paraId="6B3158A4" w14:textId="77777777" w:rsidR="00C436F0" w:rsidRPr="00C4788C" w:rsidRDefault="00C436F0" w:rsidP="00C436F0">
      <w:pPr>
        <w:pStyle w:val="H23G"/>
      </w:pPr>
      <w:r>
        <w:tab/>
      </w:r>
      <w:r>
        <w:tab/>
      </w:r>
      <w:r w:rsidRPr="00F46E4D">
        <w:t>Independent monitoring</w:t>
      </w:r>
    </w:p>
    <w:p w14:paraId="5F227DB1" w14:textId="77777777" w:rsidR="00C436F0" w:rsidRPr="003A0761" w:rsidRDefault="00C436F0" w:rsidP="00C436F0">
      <w:pPr>
        <w:pStyle w:val="SingleTxtG"/>
      </w:pPr>
      <w:r w:rsidRPr="003A0761">
        <w:rPr>
          <w:rStyle w:val="SingleTxtGChar"/>
        </w:rPr>
        <w:t>21.</w:t>
      </w:r>
      <w:r w:rsidRPr="003A0761">
        <w:rPr>
          <w:rStyle w:val="SingleTxtGChar"/>
        </w:rPr>
        <w:tab/>
        <w:t xml:space="preserve">The Committee welcomes the increased budget of the Ombudsperson and notes that the State party </w:t>
      </w:r>
      <w:r>
        <w:rPr>
          <w:rStyle w:val="SingleTxtGChar"/>
        </w:rPr>
        <w:t>has</w:t>
      </w:r>
      <w:r w:rsidRPr="003A0761">
        <w:rPr>
          <w:rStyle w:val="SingleTxtGChar"/>
        </w:rPr>
        <w:t xml:space="preserve"> draft</w:t>
      </w:r>
      <w:r>
        <w:rPr>
          <w:rStyle w:val="SingleTxtGChar"/>
        </w:rPr>
        <w:t>ed a revised version of the</w:t>
      </w:r>
      <w:r w:rsidRPr="003A0761">
        <w:rPr>
          <w:rStyle w:val="SingleTxtGChar"/>
        </w:rPr>
        <w:t xml:space="preserve"> constitutional law on </w:t>
      </w:r>
      <w:r>
        <w:rPr>
          <w:rStyle w:val="SingleTxtGChar"/>
        </w:rPr>
        <w:t xml:space="preserve">the Ombudsman with regard to </w:t>
      </w:r>
      <w:r w:rsidRPr="003A0761">
        <w:rPr>
          <w:rStyle w:val="SingleTxtGChar"/>
        </w:rPr>
        <w:t>its mandate and resources</w:t>
      </w:r>
      <w:r>
        <w:rPr>
          <w:rStyle w:val="SingleTxtGChar"/>
        </w:rPr>
        <w:t>.</w:t>
      </w:r>
      <w:r w:rsidRPr="003A0761">
        <w:rPr>
          <w:rStyle w:val="SingleTxtGChar"/>
        </w:rPr>
        <w:t xml:space="preserve"> </w:t>
      </w:r>
      <w:r>
        <w:rPr>
          <w:rStyle w:val="SingleTxtGChar"/>
        </w:rPr>
        <w:t>However, the Committee</w:t>
      </w:r>
      <w:r w:rsidRPr="003A0761">
        <w:rPr>
          <w:rStyle w:val="SingleTxtGChar"/>
        </w:rPr>
        <w:t xml:space="preserve"> remains concerned that the Ombudsperson does not currently have a comprehensive mandate pertaining to the rights of migrant workers, that it lacks adequate human, technical and financial resources to work effectively</w:t>
      </w:r>
      <w:r w:rsidRPr="003A0761">
        <w:t xml:space="preserve"> and that there is a lack of transparency in the </w:t>
      </w:r>
      <w:r>
        <w:t xml:space="preserve">process of </w:t>
      </w:r>
      <w:r w:rsidRPr="003A0761">
        <w:t>select</w:t>
      </w:r>
      <w:r>
        <w:t>ing</w:t>
      </w:r>
      <w:r w:rsidRPr="003A0761">
        <w:t xml:space="preserve"> members and </w:t>
      </w:r>
      <w:r>
        <w:t xml:space="preserve">a lack </w:t>
      </w:r>
      <w:r w:rsidRPr="003A0761">
        <w:t>of cooperation with civil society.</w:t>
      </w:r>
    </w:p>
    <w:p w14:paraId="493CE1B7" w14:textId="77777777" w:rsidR="00C436F0" w:rsidRPr="005C194F" w:rsidRDefault="00C436F0" w:rsidP="00C436F0">
      <w:pPr>
        <w:pStyle w:val="SingleTxtG"/>
        <w:rPr>
          <w:b/>
          <w:bCs/>
        </w:rPr>
      </w:pPr>
      <w:r>
        <w:t>22.</w:t>
      </w:r>
      <w:r>
        <w:tab/>
      </w:r>
      <w:r w:rsidRPr="00956079">
        <w:rPr>
          <w:b/>
          <w:bCs/>
        </w:rPr>
        <w:t>T</w:t>
      </w:r>
      <w:r w:rsidRPr="005C194F">
        <w:rPr>
          <w:b/>
          <w:bCs/>
        </w:rPr>
        <w:t xml:space="preserve">he Committee recommends that the State party accelerate the adoption of </w:t>
      </w:r>
      <w:r>
        <w:rPr>
          <w:b/>
          <w:bCs/>
        </w:rPr>
        <w:t xml:space="preserve">the </w:t>
      </w:r>
      <w:r w:rsidRPr="005C194F">
        <w:rPr>
          <w:b/>
          <w:bCs/>
        </w:rPr>
        <w:t>draft constitutional law</w:t>
      </w:r>
      <w:r>
        <w:rPr>
          <w:b/>
          <w:bCs/>
        </w:rPr>
        <w:t>.</w:t>
      </w:r>
      <w:r w:rsidRPr="005C194F">
        <w:rPr>
          <w:b/>
          <w:bCs/>
        </w:rPr>
        <w:t xml:space="preserve"> Reiterating its previous recommendations,</w:t>
      </w:r>
      <w:r w:rsidRPr="00120AEE">
        <w:rPr>
          <w:rStyle w:val="FootnoteReference"/>
        </w:rPr>
        <w:footnoteReference w:id="11"/>
      </w:r>
      <w:r w:rsidRPr="00120AEE">
        <w:t xml:space="preserve"> </w:t>
      </w:r>
      <w:r w:rsidRPr="005C194F">
        <w:rPr>
          <w:b/>
          <w:bCs/>
        </w:rPr>
        <w:t xml:space="preserve">the Committee recommends that the State party provide the Ombudsperson with a broad mandate to promote and </w:t>
      </w:r>
      <w:proofErr w:type="gramStart"/>
      <w:r w:rsidRPr="005C194F">
        <w:rPr>
          <w:b/>
          <w:bCs/>
        </w:rPr>
        <w:t>protect effectively</w:t>
      </w:r>
      <w:proofErr w:type="gramEnd"/>
      <w:r w:rsidRPr="005C194F">
        <w:rPr>
          <w:b/>
          <w:bCs/>
        </w:rPr>
        <w:t xml:space="preserve"> the rights of migrant workers and members of their families under the Convention</w:t>
      </w:r>
      <w:r>
        <w:rPr>
          <w:b/>
          <w:bCs/>
        </w:rPr>
        <w:t>.</w:t>
      </w:r>
      <w:r w:rsidRPr="005C194F">
        <w:rPr>
          <w:b/>
          <w:bCs/>
        </w:rPr>
        <w:t xml:space="preserve"> </w:t>
      </w:r>
      <w:r>
        <w:rPr>
          <w:b/>
          <w:bCs/>
        </w:rPr>
        <w:t>The Committee also recommends that the State party ensure that the Office of the Ombudsperson has</w:t>
      </w:r>
      <w:r w:rsidRPr="005C194F">
        <w:rPr>
          <w:b/>
          <w:bCs/>
        </w:rPr>
        <w:t xml:space="preserve"> sufficient</w:t>
      </w:r>
      <w:r>
        <w:rPr>
          <w:b/>
          <w:bCs/>
        </w:rPr>
        <w:t xml:space="preserve"> – and sufficiently anticipated –</w:t>
      </w:r>
      <w:r w:rsidRPr="005C194F">
        <w:rPr>
          <w:b/>
          <w:bCs/>
        </w:rPr>
        <w:t xml:space="preserve"> human, technical and financial resources </w:t>
      </w:r>
      <w:r>
        <w:rPr>
          <w:b/>
          <w:bCs/>
        </w:rPr>
        <w:t>to enable it to discharge its mandate</w:t>
      </w:r>
      <w:r w:rsidRPr="005C194F">
        <w:rPr>
          <w:b/>
          <w:bCs/>
        </w:rPr>
        <w:t xml:space="preserve">, </w:t>
      </w:r>
      <w:r>
        <w:rPr>
          <w:b/>
          <w:bCs/>
        </w:rPr>
        <w:t xml:space="preserve">establishes a transparent process of selecting members and engages in effective cooperation with civil society, </w:t>
      </w:r>
      <w:r w:rsidRPr="005C194F">
        <w:rPr>
          <w:b/>
          <w:bCs/>
        </w:rPr>
        <w:t>in full compliance with the principles relating to the status of national institutions for the promotion and protection of human rights (the Paris Principles).</w:t>
      </w:r>
    </w:p>
    <w:p w14:paraId="3FAC1155" w14:textId="77777777" w:rsidR="00C436F0" w:rsidRPr="00F115A9" w:rsidRDefault="00C436F0" w:rsidP="00C436F0">
      <w:pPr>
        <w:pStyle w:val="H23G"/>
      </w:pPr>
      <w:r>
        <w:tab/>
      </w:r>
      <w:r>
        <w:tab/>
      </w:r>
      <w:r w:rsidRPr="002017DD">
        <w:t>Training on and dissemination of information about the Convention</w:t>
      </w:r>
      <w:r w:rsidRPr="00F115A9">
        <w:t xml:space="preserve"> </w:t>
      </w:r>
    </w:p>
    <w:p w14:paraId="4721BA47" w14:textId="1EA0FCD7" w:rsidR="00C436F0" w:rsidRPr="00F115A9" w:rsidRDefault="00C436F0" w:rsidP="00C436F0">
      <w:pPr>
        <w:pStyle w:val="SingleTxtG"/>
      </w:pPr>
      <w:r w:rsidRPr="00F115A9">
        <w:t>2</w:t>
      </w:r>
      <w:r>
        <w:t>3</w:t>
      </w:r>
      <w:r w:rsidRPr="00F115A9">
        <w:t>.</w:t>
      </w:r>
      <w:r w:rsidRPr="00F115A9">
        <w:tab/>
        <w:t xml:space="preserve">The Committee notes the information provided by the State party about training initiatives regarding the Convention provided to civil servants </w:t>
      </w:r>
      <w:r>
        <w:t xml:space="preserve">and others who </w:t>
      </w:r>
      <w:r w:rsidRPr="00F115A9">
        <w:t xml:space="preserve">work </w:t>
      </w:r>
      <w:r>
        <w:t>in</w:t>
      </w:r>
      <w:r w:rsidRPr="00F115A9">
        <w:t xml:space="preserve"> migration-related areas</w:t>
      </w:r>
      <w:r>
        <w:t>, and the development of a mobile application for migrant workers.</w:t>
      </w:r>
      <w:r w:rsidRPr="00F115A9">
        <w:t xml:space="preserve"> The Committee, however, is concerned about </w:t>
      </w:r>
      <w:r>
        <w:t xml:space="preserve">the </w:t>
      </w:r>
      <w:r w:rsidRPr="00F115A9">
        <w:t>insufficien</w:t>
      </w:r>
      <w:r>
        <w:t>cy of</w:t>
      </w:r>
      <w:r w:rsidRPr="00F115A9">
        <w:t xml:space="preserve"> training on the Convention, and the lack of dissemination of </w:t>
      </w:r>
      <w:r>
        <w:t xml:space="preserve">information about </w:t>
      </w:r>
      <w:r w:rsidRPr="00F115A9">
        <w:t xml:space="preserve">the Convention and the rights enshrined therein among all relevant stakeholders, including all public officials </w:t>
      </w:r>
      <w:r>
        <w:t xml:space="preserve">who </w:t>
      </w:r>
      <w:r w:rsidRPr="00F115A9">
        <w:t>work in migration</w:t>
      </w:r>
      <w:r w:rsidR="00814527">
        <w:noBreakHyphen/>
      </w:r>
      <w:r w:rsidRPr="00F115A9">
        <w:t xml:space="preserve">related areas and migrant workers and their families. </w:t>
      </w:r>
    </w:p>
    <w:p w14:paraId="73F40BCF" w14:textId="77777777" w:rsidR="00C436F0" w:rsidRPr="00F115A9" w:rsidRDefault="00C436F0" w:rsidP="00C436F0">
      <w:pPr>
        <w:pStyle w:val="SingleTxtG"/>
      </w:pPr>
      <w:r w:rsidRPr="00F115A9">
        <w:t>2</w:t>
      </w:r>
      <w:r>
        <w:t>4</w:t>
      </w:r>
      <w:r w:rsidRPr="00F115A9">
        <w:t>.</w:t>
      </w:r>
      <w:r w:rsidRPr="00F115A9">
        <w:tab/>
      </w:r>
      <w:r w:rsidRPr="005C194F">
        <w:rPr>
          <w:b/>
          <w:bCs/>
        </w:rPr>
        <w:t>Recalling its previous recommendations,</w:t>
      </w:r>
      <w:r w:rsidRPr="00120AEE">
        <w:rPr>
          <w:rStyle w:val="FootnoteReference"/>
        </w:rPr>
        <w:footnoteReference w:id="12"/>
      </w:r>
      <w:r w:rsidRPr="005C194F">
        <w:rPr>
          <w:b/>
          <w:bCs/>
        </w:rPr>
        <w:t xml:space="preserve"> the Committee recommends that the State party:</w:t>
      </w:r>
    </w:p>
    <w:p w14:paraId="7475F21E" w14:textId="77777777" w:rsidR="00C436F0" w:rsidRPr="00F115A9" w:rsidRDefault="00C436F0" w:rsidP="00C436F0">
      <w:pPr>
        <w:pStyle w:val="SingleTxtG"/>
      </w:pPr>
      <w:r>
        <w:tab/>
      </w:r>
      <w:r w:rsidRPr="00F115A9">
        <w:t>(a)</w:t>
      </w:r>
      <w:r w:rsidRPr="00F115A9">
        <w:tab/>
      </w:r>
      <w:r w:rsidRPr="005C194F">
        <w:rPr>
          <w:b/>
          <w:bCs/>
        </w:rPr>
        <w:t xml:space="preserve">Strengthen education and training programmes on the rights of migrant workers and members of their families under the Convention and </w:t>
      </w:r>
      <w:r>
        <w:rPr>
          <w:b/>
          <w:bCs/>
        </w:rPr>
        <w:t>make</w:t>
      </w:r>
      <w:r w:rsidRPr="005C194F">
        <w:rPr>
          <w:b/>
          <w:bCs/>
        </w:rPr>
        <w:t xml:space="preserve"> such programmes available to all officials and </w:t>
      </w:r>
      <w:r>
        <w:rPr>
          <w:b/>
          <w:bCs/>
        </w:rPr>
        <w:t>others who</w:t>
      </w:r>
      <w:r w:rsidRPr="005C194F">
        <w:rPr>
          <w:b/>
          <w:bCs/>
        </w:rPr>
        <w:t xml:space="preserve"> work in the migration</w:t>
      </w:r>
      <w:r>
        <w:rPr>
          <w:b/>
          <w:bCs/>
        </w:rPr>
        <w:t xml:space="preserve">-related </w:t>
      </w:r>
      <w:r w:rsidRPr="005C194F">
        <w:rPr>
          <w:b/>
          <w:bCs/>
        </w:rPr>
        <w:lastRenderedPageBreak/>
        <w:t>area</w:t>
      </w:r>
      <w:r>
        <w:rPr>
          <w:b/>
          <w:bCs/>
        </w:rPr>
        <w:t>s</w:t>
      </w:r>
      <w:r w:rsidRPr="005C194F">
        <w:rPr>
          <w:b/>
          <w:bCs/>
        </w:rPr>
        <w:t xml:space="preserve">, in particular law enforcement and border authorities, judges, prosecutors, relevant consular officials, </w:t>
      </w:r>
      <w:r>
        <w:rPr>
          <w:b/>
          <w:bCs/>
        </w:rPr>
        <w:t>other officials at the</w:t>
      </w:r>
      <w:r w:rsidRPr="005C194F">
        <w:rPr>
          <w:b/>
          <w:bCs/>
        </w:rPr>
        <w:t xml:space="preserve"> national, regional and local </w:t>
      </w:r>
      <w:r>
        <w:rPr>
          <w:b/>
          <w:bCs/>
        </w:rPr>
        <w:t>levels</w:t>
      </w:r>
      <w:r w:rsidRPr="005C194F">
        <w:rPr>
          <w:b/>
          <w:bCs/>
        </w:rPr>
        <w:t xml:space="preserve">, social workers, civil society organizations, including migrants’ organizations, </w:t>
      </w:r>
      <w:r>
        <w:rPr>
          <w:b/>
          <w:bCs/>
        </w:rPr>
        <w:t xml:space="preserve">labour inspection authorities </w:t>
      </w:r>
      <w:r w:rsidRPr="005C194F">
        <w:rPr>
          <w:b/>
          <w:bCs/>
        </w:rPr>
        <w:t xml:space="preserve">and </w:t>
      </w:r>
      <w:r>
        <w:rPr>
          <w:b/>
          <w:bCs/>
        </w:rPr>
        <w:t xml:space="preserve">the </w:t>
      </w:r>
      <w:r w:rsidRPr="005C194F">
        <w:rPr>
          <w:b/>
          <w:bCs/>
        </w:rPr>
        <w:t>media;</w:t>
      </w:r>
    </w:p>
    <w:p w14:paraId="6BD654B8" w14:textId="77777777" w:rsidR="00C436F0" w:rsidRPr="005C194F" w:rsidRDefault="00C436F0" w:rsidP="00C436F0">
      <w:pPr>
        <w:pStyle w:val="SingleTxtG"/>
        <w:rPr>
          <w:b/>
          <w:bCs/>
        </w:rPr>
      </w:pPr>
      <w:r>
        <w:tab/>
      </w:r>
      <w:r w:rsidRPr="00F115A9">
        <w:t>(b)</w:t>
      </w:r>
      <w:r>
        <w:tab/>
      </w:r>
      <w:r w:rsidRPr="005C194F">
        <w:rPr>
          <w:b/>
          <w:bCs/>
        </w:rPr>
        <w:t xml:space="preserve">Take further steps to ensure access </w:t>
      </w:r>
      <w:r>
        <w:rPr>
          <w:b/>
          <w:bCs/>
        </w:rPr>
        <w:t>for</w:t>
      </w:r>
      <w:r w:rsidRPr="005C194F">
        <w:rPr>
          <w:b/>
          <w:bCs/>
        </w:rPr>
        <w:t xml:space="preserve"> migrant workers to information and guidance </w:t>
      </w:r>
      <w:r>
        <w:rPr>
          <w:b/>
          <w:bCs/>
        </w:rPr>
        <w:t>about</w:t>
      </w:r>
      <w:r w:rsidRPr="005C194F">
        <w:rPr>
          <w:b/>
          <w:bCs/>
        </w:rPr>
        <w:t xml:space="preserve"> their rights under the Convention in all </w:t>
      </w:r>
      <w:r>
        <w:rPr>
          <w:b/>
          <w:bCs/>
        </w:rPr>
        <w:t xml:space="preserve">languages </w:t>
      </w:r>
      <w:r w:rsidRPr="005C194F">
        <w:rPr>
          <w:b/>
          <w:bCs/>
        </w:rPr>
        <w:t xml:space="preserve">commonly used in the State party, in particular through pre-employment and pre-departure orientation programmes; </w:t>
      </w:r>
    </w:p>
    <w:p w14:paraId="187CFF5F" w14:textId="77777777" w:rsidR="00C436F0" w:rsidRPr="00F115A9" w:rsidRDefault="00C436F0" w:rsidP="00C436F0">
      <w:pPr>
        <w:pStyle w:val="SingleTxtG"/>
      </w:pPr>
      <w:r>
        <w:tab/>
      </w:r>
      <w:r w:rsidRPr="00F115A9">
        <w:t>(c)</w:t>
      </w:r>
      <w:r w:rsidRPr="00F115A9">
        <w:tab/>
      </w:r>
      <w:r w:rsidRPr="005C194F">
        <w:rPr>
          <w:b/>
          <w:bCs/>
        </w:rPr>
        <w:t>Strengthen its work with civil society organizations and the media to disseminate information about the Convention throughout the State party</w:t>
      </w:r>
      <w:r>
        <w:rPr>
          <w:b/>
          <w:bCs/>
        </w:rPr>
        <w:t xml:space="preserve"> and promote its implementation</w:t>
      </w:r>
      <w:r w:rsidRPr="005C194F">
        <w:rPr>
          <w:b/>
          <w:bCs/>
        </w:rPr>
        <w:t>.</w:t>
      </w:r>
    </w:p>
    <w:p w14:paraId="0E5DA1FA" w14:textId="77777777" w:rsidR="00C436F0" w:rsidRPr="000C66DC" w:rsidRDefault="00C436F0" w:rsidP="00C436F0">
      <w:pPr>
        <w:pStyle w:val="H23G"/>
        <w:rPr>
          <w:lang w:eastAsia="en-GB"/>
        </w:rPr>
      </w:pPr>
      <w:r w:rsidRPr="000C66DC">
        <w:tab/>
      </w:r>
      <w:r>
        <w:tab/>
      </w:r>
      <w:r>
        <w:tab/>
      </w:r>
      <w:r w:rsidRPr="003D63C4">
        <w:t>Corruption</w:t>
      </w:r>
    </w:p>
    <w:p w14:paraId="391BABB8" w14:textId="77777777" w:rsidR="00C436F0" w:rsidRPr="005C194F" w:rsidRDefault="00C436F0" w:rsidP="00C436F0">
      <w:pPr>
        <w:pStyle w:val="SingleTxtG"/>
      </w:pPr>
      <w:r w:rsidRPr="005C194F">
        <w:t>25.</w:t>
      </w:r>
      <w:r w:rsidRPr="005C194F">
        <w:tab/>
        <w:t>The Committee notes the information provided by the State party that no case</w:t>
      </w:r>
      <w:r>
        <w:t>s</w:t>
      </w:r>
      <w:r w:rsidRPr="005C194F">
        <w:t xml:space="preserve"> of abuse of </w:t>
      </w:r>
      <w:r>
        <w:t>authority</w:t>
      </w:r>
      <w:r w:rsidRPr="005C194F">
        <w:t xml:space="preserve"> by public servant</w:t>
      </w:r>
      <w:r>
        <w:t>s had been recorded</w:t>
      </w:r>
      <w:r w:rsidRPr="005C194F">
        <w:t xml:space="preserve"> against migrant workers, but is concerned that the level of corruption remains high, especially </w:t>
      </w:r>
      <w:r>
        <w:t>with regard to</w:t>
      </w:r>
      <w:r w:rsidRPr="005C194F">
        <w:t xml:space="preserve"> trafficking in persons and access to health</w:t>
      </w:r>
      <w:r>
        <w:t>-</w:t>
      </w:r>
      <w:r w:rsidRPr="005C194F">
        <w:t>care services.</w:t>
      </w:r>
    </w:p>
    <w:p w14:paraId="759778A6" w14:textId="77777777" w:rsidR="00C436F0" w:rsidRPr="005C194F" w:rsidRDefault="00C436F0" w:rsidP="00C436F0">
      <w:pPr>
        <w:pStyle w:val="SingleTxtG"/>
      </w:pPr>
      <w:r w:rsidRPr="005C194F">
        <w:t>26.</w:t>
      </w:r>
      <w:r w:rsidRPr="005C194F">
        <w:tab/>
      </w:r>
      <w:r w:rsidRPr="005C194F">
        <w:rPr>
          <w:b/>
          <w:bCs/>
        </w:rPr>
        <w:t>Recalling its previous recommendations,</w:t>
      </w:r>
      <w:r w:rsidRPr="00120AEE">
        <w:rPr>
          <w:rStyle w:val="FootnoteReference"/>
        </w:rPr>
        <w:footnoteReference w:id="13"/>
      </w:r>
      <w:r w:rsidRPr="005C194F">
        <w:rPr>
          <w:b/>
          <w:bCs/>
        </w:rPr>
        <w:t xml:space="preserve"> the Committee recommends that the State party take more effective measures to address all instances of corruption relating to migrant workers and members of their families, undertake appropriate inquiries into allegations of corruption</w:t>
      </w:r>
      <w:r>
        <w:rPr>
          <w:b/>
          <w:bCs/>
        </w:rPr>
        <w:t xml:space="preserve"> and protect migrant workers who report corruption from reprisals.</w:t>
      </w:r>
      <w:r w:rsidRPr="005C194F">
        <w:rPr>
          <w:b/>
          <w:bCs/>
        </w:rPr>
        <w:t xml:space="preserve"> The Committee also recommends that the State party conduct information campaigns with a view to encouraging migrant workers and members of their families who claim to be victims of corruption to report the corruption</w:t>
      </w:r>
      <w:r w:rsidRPr="00736EF1">
        <w:rPr>
          <w:b/>
          <w:bCs/>
        </w:rPr>
        <w:t xml:space="preserve"> </w:t>
      </w:r>
      <w:r>
        <w:rPr>
          <w:b/>
          <w:bCs/>
        </w:rPr>
        <w:t xml:space="preserve">and providing practical information about the rights and privileges of </w:t>
      </w:r>
      <w:r w:rsidRPr="005C194F">
        <w:rPr>
          <w:b/>
          <w:bCs/>
        </w:rPr>
        <w:t>migrant workers and members of their families, and raise awareness among migrant workers and their families as to which services are free of charge.</w:t>
      </w:r>
    </w:p>
    <w:p w14:paraId="4EFC6B18" w14:textId="77777777" w:rsidR="00C436F0" w:rsidRPr="00736EF1" w:rsidRDefault="00C436F0" w:rsidP="00C436F0">
      <w:pPr>
        <w:pStyle w:val="H23G"/>
        <w:rPr>
          <w:lang w:val="en-US"/>
        </w:rPr>
      </w:pPr>
      <w:r w:rsidRPr="004678D5">
        <w:tab/>
      </w:r>
      <w:r w:rsidRPr="00736EF1">
        <w:t>2.</w:t>
      </w:r>
      <w:r w:rsidRPr="00736EF1">
        <w:tab/>
      </w:r>
      <w:r w:rsidRPr="00736EF1">
        <w:tab/>
      </w:r>
      <w:r w:rsidRPr="00736EF1">
        <w:rPr>
          <w:lang w:val="en-US"/>
        </w:rPr>
        <w:t>General principles (arts. 7 and 83)</w:t>
      </w:r>
    </w:p>
    <w:p w14:paraId="44A55C0C" w14:textId="77777777" w:rsidR="00C436F0" w:rsidRPr="00FC3F24" w:rsidRDefault="00C436F0" w:rsidP="00C436F0">
      <w:pPr>
        <w:pStyle w:val="H23G"/>
        <w:rPr>
          <w:rFonts w:eastAsia="Malgun Gothic"/>
        </w:rPr>
      </w:pPr>
      <w:r w:rsidRPr="00736EF1">
        <w:rPr>
          <w:rFonts w:eastAsia="Malgun Gothic"/>
        </w:rPr>
        <w:tab/>
      </w:r>
      <w:r w:rsidRPr="00736EF1">
        <w:rPr>
          <w:rFonts w:eastAsia="Malgun Gothic"/>
        </w:rPr>
        <w:tab/>
        <w:t>Non-discrimination</w:t>
      </w:r>
      <w:r w:rsidRPr="00FC3F24">
        <w:rPr>
          <w:rFonts w:eastAsia="Malgun Gothic"/>
        </w:rPr>
        <w:t xml:space="preserve"> </w:t>
      </w:r>
    </w:p>
    <w:p w14:paraId="16C91A85" w14:textId="3C1D1FD7" w:rsidR="00C436F0" w:rsidRPr="005C194F" w:rsidRDefault="00C436F0" w:rsidP="00C436F0">
      <w:pPr>
        <w:pStyle w:val="SingleTxtG"/>
      </w:pPr>
      <w:r w:rsidRPr="005C194F">
        <w:t>27.</w:t>
      </w:r>
      <w:r w:rsidRPr="005C194F">
        <w:tab/>
        <w:t xml:space="preserve">The Committee is concerned </w:t>
      </w:r>
      <w:r>
        <w:t>about</w:t>
      </w:r>
      <w:r w:rsidRPr="005C194F">
        <w:t xml:space="preserve"> the lack of comprehensive legislation prohibiting all forms of discrimination </w:t>
      </w:r>
      <w:r>
        <w:t>and</w:t>
      </w:r>
      <w:r w:rsidRPr="005C194F">
        <w:t xml:space="preserve"> </w:t>
      </w:r>
      <w:r>
        <w:t>about</w:t>
      </w:r>
      <w:r w:rsidRPr="005C194F">
        <w:t xml:space="preserve"> reports that migrant workers, in particular undocumented and irregular migrant workers, and members of their families, may in practice suffer various forms of discrimination, in particular in the areas of employment, education and health. The Committee is particularly concerned about the discrimination faced by migrant workers living with HIV/AIDS, </w:t>
      </w:r>
      <w:r>
        <w:t>owing</w:t>
      </w:r>
      <w:r w:rsidRPr="005C194F">
        <w:t xml:space="preserve"> to mandatory testing to obtain a work permit. The Committee regrets the lack of </w:t>
      </w:r>
      <w:r>
        <w:t xml:space="preserve">the </w:t>
      </w:r>
      <w:r w:rsidRPr="005C194F">
        <w:t xml:space="preserve">information on actual practice and examples </w:t>
      </w:r>
      <w:r>
        <w:t>necessary to enable</w:t>
      </w:r>
      <w:r w:rsidRPr="005C194F">
        <w:t xml:space="preserve"> it to assess the implementation of </w:t>
      </w:r>
      <w:r>
        <w:t xml:space="preserve">the Convention with regard to </w:t>
      </w:r>
      <w:r w:rsidRPr="005C194F">
        <w:t>the right to non</w:t>
      </w:r>
      <w:r w:rsidR="0031085F">
        <w:noBreakHyphen/>
      </w:r>
      <w:r w:rsidRPr="005C194F">
        <w:t xml:space="preserve">discrimination </w:t>
      </w:r>
      <w:r>
        <w:t>of</w:t>
      </w:r>
      <w:r w:rsidRPr="005C194F">
        <w:t xml:space="preserve"> both documented and undocumented migrant workers.</w:t>
      </w:r>
    </w:p>
    <w:p w14:paraId="3C0B11D8" w14:textId="77777777" w:rsidR="00C436F0" w:rsidRPr="005C194F" w:rsidRDefault="00C436F0" w:rsidP="00C436F0">
      <w:pPr>
        <w:pStyle w:val="SingleTxtG"/>
      </w:pPr>
      <w:r w:rsidRPr="005C194F">
        <w:t>28.</w:t>
      </w:r>
      <w:r w:rsidRPr="005C194F">
        <w:tab/>
      </w:r>
      <w:r w:rsidRPr="005C194F">
        <w:rPr>
          <w:b/>
          <w:bCs/>
        </w:rPr>
        <w:t>With reference to its previous recommendations,</w:t>
      </w:r>
      <w:r w:rsidRPr="00120AEE">
        <w:rPr>
          <w:rStyle w:val="FootnoteReference"/>
        </w:rPr>
        <w:footnoteReference w:id="14"/>
      </w:r>
      <w:r w:rsidRPr="005C194F">
        <w:rPr>
          <w:b/>
          <w:bCs/>
        </w:rPr>
        <w:t xml:space="preserve"> the Committee recommends that the State party:</w:t>
      </w:r>
    </w:p>
    <w:p w14:paraId="0FB867C9" w14:textId="77777777" w:rsidR="00C436F0" w:rsidRPr="005C194F" w:rsidRDefault="00C436F0" w:rsidP="00C436F0">
      <w:pPr>
        <w:pStyle w:val="SingleTxtG"/>
      </w:pPr>
      <w:r>
        <w:tab/>
      </w:r>
      <w:r w:rsidRPr="005C194F">
        <w:t>(a)</w:t>
      </w:r>
      <w:r w:rsidRPr="005C194F">
        <w:tab/>
      </w:r>
      <w:r w:rsidRPr="005C194F">
        <w:rPr>
          <w:b/>
          <w:bCs/>
        </w:rPr>
        <w:t>Adopt comprehensive legislation prohibiting all forms of discrimination, in compliance with the Convention and other relevant international instruments;</w:t>
      </w:r>
    </w:p>
    <w:p w14:paraId="3072351B" w14:textId="77777777" w:rsidR="00C436F0" w:rsidRPr="005C194F" w:rsidRDefault="00C436F0" w:rsidP="00C436F0">
      <w:pPr>
        <w:pStyle w:val="SingleTxtG"/>
      </w:pPr>
      <w:r>
        <w:tab/>
      </w:r>
      <w:r w:rsidRPr="005C194F">
        <w:t>(b)</w:t>
      </w:r>
      <w:r w:rsidRPr="005C194F">
        <w:tab/>
      </w:r>
      <w:r w:rsidRPr="005C194F">
        <w:rPr>
          <w:b/>
          <w:bCs/>
        </w:rPr>
        <w:t xml:space="preserve">Take all </w:t>
      </w:r>
      <w:r>
        <w:rPr>
          <w:b/>
          <w:bCs/>
        </w:rPr>
        <w:t>the</w:t>
      </w:r>
      <w:r w:rsidRPr="005C194F">
        <w:rPr>
          <w:b/>
          <w:bCs/>
        </w:rPr>
        <w:t xml:space="preserve"> measures</w:t>
      </w:r>
      <w:r w:rsidRPr="004F5011">
        <w:rPr>
          <w:b/>
          <w:bCs/>
        </w:rPr>
        <w:t xml:space="preserve"> </w:t>
      </w:r>
      <w:r w:rsidRPr="005C194F">
        <w:rPr>
          <w:b/>
          <w:bCs/>
        </w:rPr>
        <w:t>necessary to amend legislation to ensure that migrant worker</w:t>
      </w:r>
      <w:r>
        <w:rPr>
          <w:b/>
          <w:bCs/>
        </w:rPr>
        <w:t>s</w:t>
      </w:r>
      <w:r w:rsidRPr="005C194F">
        <w:rPr>
          <w:b/>
          <w:bCs/>
        </w:rPr>
        <w:t xml:space="preserve"> living with HIV/AIDS </w:t>
      </w:r>
      <w:r>
        <w:rPr>
          <w:b/>
          <w:bCs/>
        </w:rPr>
        <w:t>are able to</w:t>
      </w:r>
      <w:r w:rsidRPr="005C194F">
        <w:rPr>
          <w:b/>
          <w:bCs/>
        </w:rPr>
        <w:t xml:space="preserve"> obtain a work permit;</w:t>
      </w:r>
    </w:p>
    <w:p w14:paraId="286C114B" w14:textId="77777777" w:rsidR="00C436F0" w:rsidRPr="005C194F" w:rsidRDefault="00C436F0" w:rsidP="00C436F0">
      <w:pPr>
        <w:pStyle w:val="SingleTxtG"/>
      </w:pPr>
      <w:r>
        <w:tab/>
      </w:r>
      <w:r w:rsidRPr="002A7E25">
        <w:t>(c)</w:t>
      </w:r>
      <w:r w:rsidRPr="002A7E25">
        <w:tab/>
      </w:r>
      <w:r w:rsidRPr="002A7E25">
        <w:rPr>
          <w:b/>
          <w:bCs/>
        </w:rPr>
        <w:t>Ensure that all migrant workers and members of their families, in both regular and irregular situations, within its territory or subject to its jurisdiction enjoy, without discrimination, the rights recognized by the Convention, in accordance with article 7 thereof, both in law and in practice;</w:t>
      </w:r>
    </w:p>
    <w:p w14:paraId="54E044D5" w14:textId="77777777" w:rsidR="00C436F0" w:rsidRPr="005C194F" w:rsidRDefault="00C436F0" w:rsidP="00C436F0">
      <w:pPr>
        <w:pStyle w:val="SingleTxtG"/>
      </w:pPr>
      <w:r>
        <w:lastRenderedPageBreak/>
        <w:tab/>
      </w:r>
      <w:r w:rsidRPr="005C194F">
        <w:t>(d)</w:t>
      </w:r>
      <w:r w:rsidRPr="005C194F">
        <w:tab/>
      </w:r>
      <w:r>
        <w:rPr>
          <w:b/>
          <w:bCs/>
        </w:rPr>
        <w:t>Take</w:t>
      </w:r>
      <w:r w:rsidRPr="005C194F">
        <w:rPr>
          <w:b/>
          <w:bCs/>
        </w:rPr>
        <w:t xml:space="preserve"> </w:t>
      </w:r>
      <w:proofErr w:type="gramStart"/>
      <w:r w:rsidRPr="005C194F">
        <w:rPr>
          <w:b/>
          <w:bCs/>
        </w:rPr>
        <w:t>proactive</w:t>
      </w:r>
      <w:proofErr w:type="gramEnd"/>
      <w:r w:rsidRPr="005C194F">
        <w:rPr>
          <w:b/>
          <w:bCs/>
        </w:rPr>
        <w:t xml:space="preserve"> measures to eliminate discriminatory stereotypes about migrant workers and members of their families, in political discourse </w:t>
      </w:r>
      <w:r>
        <w:rPr>
          <w:b/>
          <w:bCs/>
        </w:rPr>
        <w:t>and</w:t>
      </w:r>
      <w:r w:rsidRPr="005C194F">
        <w:rPr>
          <w:b/>
          <w:bCs/>
        </w:rPr>
        <w:t xml:space="preserve"> in the media, by strictly applying criminal law provisions and </w:t>
      </w:r>
      <w:r>
        <w:rPr>
          <w:b/>
          <w:bCs/>
        </w:rPr>
        <w:t>raising awareness among</w:t>
      </w:r>
      <w:r w:rsidRPr="005C194F">
        <w:rPr>
          <w:b/>
          <w:bCs/>
        </w:rPr>
        <w:t xml:space="preserve"> law enforcement officials, politicians, journalists and the general public </w:t>
      </w:r>
      <w:r>
        <w:rPr>
          <w:b/>
          <w:bCs/>
        </w:rPr>
        <w:t>as to</w:t>
      </w:r>
      <w:r w:rsidRPr="005C194F">
        <w:rPr>
          <w:b/>
          <w:bCs/>
        </w:rPr>
        <w:t xml:space="preserve"> the discriminatory nature of such </w:t>
      </w:r>
      <w:r>
        <w:rPr>
          <w:b/>
          <w:bCs/>
        </w:rPr>
        <w:t>stereotypes</w:t>
      </w:r>
      <w:r w:rsidRPr="005C194F">
        <w:rPr>
          <w:b/>
          <w:bCs/>
        </w:rPr>
        <w:t>;</w:t>
      </w:r>
    </w:p>
    <w:p w14:paraId="3ABD905F" w14:textId="77777777" w:rsidR="00C436F0" w:rsidRPr="005C194F" w:rsidRDefault="00C436F0" w:rsidP="00C436F0">
      <w:pPr>
        <w:pStyle w:val="SingleTxtG"/>
      </w:pPr>
      <w:r>
        <w:tab/>
      </w:r>
      <w:r w:rsidRPr="005C194F">
        <w:t>(e)</w:t>
      </w:r>
      <w:r w:rsidRPr="005C194F">
        <w:tab/>
      </w:r>
      <w:r w:rsidRPr="005C194F">
        <w:rPr>
          <w:b/>
          <w:bCs/>
        </w:rPr>
        <w:t>Provide information in its next periodic report on the measures taken to improve and implement its legislative framework on non-discrimination as regards the rights of migrant workers and members of their families, irrespective of their status.</w:t>
      </w:r>
    </w:p>
    <w:p w14:paraId="1558630F" w14:textId="77777777" w:rsidR="00C436F0" w:rsidRPr="008234BB" w:rsidRDefault="00C436F0" w:rsidP="00C436F0">
      <w:pPr>
        <w:pStyle w:val="H23G"/>
        <w:rPr>
          <w:lang w:val="en-US"/>
        </w:rPr>
      </w:pPr>
      <w:r>
        <w:rPr>
          <w:lang w:val="en-US"/>
        </w:rPr>
        <w:tab/>
      </w:r>
      <w:r>
        <w:rPr>
          <w:lang w:val="en-US"/>
        </w:rPr>
        <w:tab/>
      </w:r>
      <w:r w:rsidRPr="002A7E25">
        <w:rPr>
          <w:lang w:val="en-US"/>
        </w:rPr>
        <w:t>Right to an effective remedy</w:t>
      </w:r>
      <w:r w:rsidRPr="008234BB">
        <w:rPr>
          <w:lang w:val="en-US"/>
        </w:rPr>
        <w:t xml:space="preserve"> </w:t>
      </w:r>
    </w:p>
    <w:p w14:paraId="7ADCE20E" w14:textId="77777777" w:rsidR="00C436F0" w:rsidRPr="005C194F" w:rsidRDefault="00C436F0" w:rsidP="00C436F0">
      <w:pPr>
        <w:pStyle w:val="SingleTxtG"/>
      </w:pPr>
      <w:r w:rsidRPr="005C194F">
        <w:t>29.</w:t>
      </w:r>
      <w:r w:rsidRPr="005C194F">
        <w:tab/>
        <w:t>The Committee notes the information provided by the State party that every person has access to the courts and enjoys the protection of the rights guaranteed by law, and that free legal</w:t>
      </w:r>
      <w:r>
        <w:t xml:space="preserve"> aid</w:t>
      </w:r>
      <w:r w:rsidRPr="005C194F">
        <w:t xml:space="preserve"> is available regardless of nationality. However, the Committee remains concerned that this</w:t>
      </w:r>
      <w:r>
        <w:t xml:space="preserve"> general entitlement to free legal aid</w:t>
      </w:r>
      <w:r w:rsidRPr="005C194F">
        <w:t xml:space="preserve"> applies only in criminal proceedings, and </w:t>
      </w:r>
      <w:r>
        <w:t>is</w:t>
      </w:r>
      <w:r w:rsidRPr="005C194F">
        <w:t xml:space="preserve"> therefore </w:t>
      </w:r>
      <w:r>
        <w:t>limited</w:t>
      </w:r>
      <w:r w:rsidRPr="005C194F">
        <w:t xml:space="preserve"> in civil and administrative proceedings to Kyrgyz citizens</w:t>
      </w:r>
      <w:r>
        <w:t xml:space="preserve"> only</w:t>
      </w:r>
      <w:r w:rsidRPr="005C194F">
        <w:t>. The Committee is also concerned that no information has been provided on the number of cases or proceedings brought by migrant workers and members of their families, including those in an irregular situation, which may reflect a lack of awareness on their part of their rights and of legal remedies available to them.</w:t>
      </w:r>
    </w:p>
    <w:p w14:paraId="06D9285A" w14:textId="034F93AA" w:rsidR="00C436F0" w:rsidRPr="00AF613F" w:rsidRDefault="00C436F0" w:rsidP="00C436F0">
      <w:pPr>
        <w:pStyle w:val="SingleTxtG"/>
      </w:pPr>
      <w:r w:rsidRPr="005C194F">
        <w:t>30.</w:t>
      </w:r>
      <w:r w:rsidRPr="005C194F">
        <w:tab/>
      </w:r>
      <w:r w:rsidRPr="005C194F">
        <w:rPr>
          <w:b/>
          <w:bCs/>
        </w:rPr>
        <w:t>Reiterating its previous recommendations,</w:t>
      </w:r>
      <w:r w:rsidRPr="00120AEE">
        <w:rPr>
          <w:rStyle w:val="FootnoteReference"/>
        </w:rPr>
        <w:footnoteReference w:id="15"/>
      </w:r>
      <w:r w:rsidRPr="005C194F">
        <w:rPr>
          <w:b/>
          <w:bCs/>
        </w:rPr>
        <w:t xml:space="preserve"> </w:t>
      </w:r>
      <w:r w:rsidRPr="00AF613F">
        <w:rPr>
          <w:b/>
          <w:bCs/>
        </w:rPr>
        <w:t>the Committee recommends that the State party ensure that, in law and in practice, migrant workers and members of their families, including those in an irregular situation, have opportunities equal to those of nationals of the State party to file complaints and obtain effective redress in the courts in cases where their rights under the Convention are violated. The Committee also recommends that the State party take additional measures to inform migrant workers and members of their families, including those in an irregular situation, about the judicial and other remedies available to them in cases of violations of their rights under the Convention.</w:t>
      </w:r>
    </w:p>
    <w:p w14:paraId="53EDC283" w14:textId="77777777" w:rsidR="00C436F0" w:rsidRPr="00AF613F" w:rsidRDefault="00C436F0" w:rsidP="00C436F0">
      <w:pPr>
        <w:pStyle w:val="H23G"/>
        <w:rPr>
          <w:lang w:val="en-US"/>
        </w:rPr>
      </w:pPr>
      <w:r w:rsidRPr="00AF613F">
        <w:rPr>
          <w:lang w:val="en-US"/>
        </w:rPr>
        <w:tab/>
        <w:t>3.</w:t>
      </w:r>
      <w:r w:rsidRPr="00AF613F">
        <w:rPr>
          <w:lang w:val="en-US"/>
        </w:rPr>
        <w:tab/>
        <w:t>Human rights of all migrant workers and members of their families (arts. 8–35)</w:t>
      </w:r>
    </w:p>
    <w:p w14:paraId="634BEFCF" w14:textId="77777777" w:rsidR="00C436F0" w:rsidRPr="00D66655" w:rsidRDefault="00C436F0" w:rsidP="00C436F0">
      <w:pPr>
        <w:pStyle w:val="H23G"/>
        <w:rPr>
          <w:rFonts w:eastAsia="Malgun Gothic"/>
          <w:lang w:val="en-US"/>
        </w:rPr>
      </w:pPr>
      <w:r w:rsidRPr="00AF613F">
        <w:rPr>
          <w:rFonts w:eastAsia="Malgun Gothic"/>
          <w:lang w:val="en-US"/>
        </w:rPr>
        <w:tab/>
      </w:r>
      <w:r w:rsidRPr="00AF613F">
        <w:rPr>
          <w:rFonts w:eastAsia="Malgun Gothic"/>
          <w:lang w:val="en-US"/>
        </w:rPr>
        <w:tab/>
        <w:t>Consular assistance</w:t>
      </w:r>
    </w:p>
    <w:p w14:paraId="733BB854" w14:textId="77777777" w:rsidR="00C436F0" w:rsidRPr="005C194F" w:rsidRDefault="00C436F0" w:rsidP="00C436F0">
      <w:pPr>
        <w:pStyle w:val="SingleTxtG"/>
      </w:pPr>
      <w:r w:rsidRPr="005C194F">
        <w:t>31.</w:t>
      </w:r>
      <w:r w:rsidRPr="005C194F">
        <w:tab/>
        <w:t xml:space="preserve">The Committee notes the progress made in improving and broadening the State party’s consular services through the opening of several embassies and consulates. The Committee, however, is concerned </w:t>
      </w:r>
      <w:r>
        <w:t>about</w:t>
      </w:r>
      <w:r w:rsidRPr="005C194F">
        <w:t xml:space="preserve"> the lack of information on whether human, technical and financial resources made available to the State party’s consulates in </w:t>
      </w:r>
      <w:r w:rsidRPr="00B831E4">
        <w:t>Kazakhstan and the Russian Federation</w:t>
      </w:r>
      <w:r w:rsidRPr="005C194F">
        <w:t xml:space="preserve"> are sufficient for them to provide migrant workers with proper assistance and protection. The Committee </w:t>
      </w:r>
      <w:r>
        <w:t>notes the need for gender balance among officers deployed to work in the State party’s consular outposts in order to properly address the needs of migrant workers.</w:t>
      </w:r>
    </w:p>
    <w:p w14:paraId="551B7071" w14:textId="77777777" w:rsidR="00C436F0" w:rsidRPr="005C194F" w:rsidRDefault="00C436F0" w:rsidP="00C436F0">
      <w:pPr>
        <w:pStyle w:val="SingleTxtG"/>
      </w:pPr>
      <w:r w:rsidRPr="005C194F">
        <w:t>32.</w:t>
      </w:r>
      <w:r w:rsidRPr="005C194F">
        <w:tab/>
      </w:r>
      <w:r w:rsidRPr="005C194F">
        <w:rPr>
          <w:b/>
          <w:bCs/>
        </w:rPr>
        <w:t>Reiterating its previous recommendations,</w:t>
      </w:r>
      <w:r w:rsidRPr="00120AEE">
        <w:rPr>
          <w:rStyle w:val="FootnoteReference"/>
        </w:rPr>
        <w:footnoteReference w:id="16"/>
      </w:r>
      <w:r w:rsidRPr="005C194F">
        <w:rPr>
          <w:b/>
          <w:bCs/>
        </w:rPr>
        <w:t xml:space="preserve"> the Committee recommends that the State party take the steps necessary to ensure that its consular services can effectively meet the needs of Kyrgyz migrant workers and members of their families in terms of protecting their rights and providing them with assistance. Those steps should include allocat</w:t>
      </w:r>
      <w:r>
        <w:rPr>
          <w:b/>
          <w:bCs/>
        </w:rPr>
        <w:t>ing</w:t>
      </w:r>
      <w:r w:rsidRPr="005C194F">
        <w:rPr>
          <w:b/>
          <w:bCs/>
        </w:rPr>
        <w:t xml:space="preserve"> sufficient human resources and funding, the develop</w:t>
      </w:r>
      <w:r>
        <w:rPr>
          <w:b/>
          <w:bCs/>
        </w:rPr>
        <w:t>ing</w:t>
      </w:r>
      <w:r w:rsidRPr="005C194F">
        <w:rPr>
          <w:b/>
          <w:bCs/>
        </w:rPr>
        <w:t xml:space="preserve"> of continuing training programmes for consular officials on the Convention and other human rights treaties</w:t>
      </w:r>
      <w:r>
        <w:rPr>
          <w:b/>
          <w:bCs/>
        </w:rPr>
        <w:t xml:space="preserve"> and ensuring gender balance among officers in the State party’s consular outposts</w:t>
      </w:r>
      <w:r w:rsidRPr="005C194F">
        <w:rPr>
          <w:b/>
          <w:bCs/>
        </w:rPr>
        <w:t>.</w:t>
      </w:r>
    </w:p>
    <w:p w14:paraId="18B577B2" w14:textId="77777777" w:rsidR="00C436F0" w:rsidRPr="00913D8F" w:rsidRDefault="00C436F0" w:rsidP="00C436F0">
      <w:pPr>
        <w:pStyle w:val="H23G"/>
      </w:pPr>
      <w:r>
        <w:tab/>
      </w:r>
      <w:r>
        <w:tab/>
      </w:r>
      <w:r w:rsidRPr="00B831E4">
        <w:t>Trade unions</w:t>
      </w:r>
    </w:p>
    <w:p w14:paraId="04BD9693" w14:textId="77777777" w:rsidR="00C436F0" w:rsidRPr="005C194F" w:rsidRDefault="00C436F0" w:rsidP="00C436F0">
      <w:pPr>
        <w:pStyle w:val="SingleTxtG"/>
      </w:pPr>
      <w:r>
        <w:t>33.</w:t>
      </w:r>
      <w:r>
        <w:tab/>
      </w:r>
      <w:r w:rsidRPr="005C194F">
        <w:t xml:space="preserve">The Committee notes the information provided by the State party that migrant workers and members of their families have the freedom to join and take part in meetings of trade unions. However, the Committee is concerned </w:t>
      </w:r>
      <w:r>
        <w:t>about</w:t>
      </w:r>
      <w:r w:rsidRPr="005C194F">
        <w:t xml:space="preserve"> reports that a blanket ban on peaceful </w:t>
      </w:r>
      <w:r w:rsidRPr="005C194F">
        <w:lastRenderedPageBreak/>
        <w:t xml:space="preserve">assembly has been </w:t>
      </w:r>
      <w:r>
        <w:t>introduced</w:t>
      </w:r>
      <w:r w:rsidRPr="005C194F">
        <w:t xml:space="preserve"> in Bishkek, and </w:t>
      </w:r>
      <w:r>
        <w:t xml:space="preserve">about </w:t>
      </w:r>
      <w:r w:rsidRPr="005C194F">
        <w:t>the negative consequences of th</w:t>
      </w:r>
      <w:r>
        <w:t>e</w:t>
      </w:r>
      <w:r w:rsidRPr="005C194F">
        <w:t xml:space="preserve"> blanket ban on the enjoyment of rights </w:t>
      </w:r>
      <w:r>
        <w:t>by</w:t>
      </w:r>
      <w:r w:rsidRPr="005C194F">
        <w:t xml:space="preserve"> migrant workers and members of their families.</w:t>
      </w:r>
    </w:p>
    <w:p w14:paraId="78462DA3" w14:textId="77777777" w:rsidR="00C436F0" w:rsidRPr="005C194F" w:rsidRDefault="00C436F0" w:rsidP="00C436F0">
      <w:pPr>
        <w:pStyle w:val="SingleTxtG"/>
        <w:rPr>
          <w:b/>
          <w:bCs/>
        </w:rPr>
      </w:pPr>
      <w:r w:rsidRPr="005C194F">
        <w:t>34.</w:t>
      </w:r>
      <w:r w:rsidRPr="005C194F">
        <w:tab/>
      </w:r>
      <w:r w:rsidRPr="005C194F">
        <w:rPr>
          <w:b/>
          <w:bCs/>
        </w:rPr>
        <w:t xml:space="preserve">The Committee recommends that the State party take all </w:t>
      </w:r>
      <w:r>
        <w:rPr>
          <w:b/>
          <w:bCs/>
        </w:rPr>
        <w:t xml:space="preserve">the </w:t>
      </w:r>
      <w:r w:rsidRPr="005C194F">
        <w:rPr>
          <w:b/>
          <w:bCs/>
        </w:rPr>
        <w:t xml:space="preserve">measures necessary, including legislative amendments, to guarantee </w:t>
      </w:r>
      <w:r>
        <w:rPr>
          <w:b/>
          <w:bCs/>
        </w:rPr>
        <w:t xml:space="preserve">the right of </w:t>
      </w:r>
      <w:r w:rsidRPr="005C194F">
        <w:rPr>
          <w:b/>
          <w:bCs/>
        </w:rPr>
        <w:t xml:space="preserve">all migrant workers to take part in trade union activities and to freely join trade unions, in accordance with article 26 of the Convention and the </w:t>
      </w:r>
      <w:r w:rsidRPr="00C513EA">
        <w:rPr>
          <w:b/>
          <w:bCs/>
        </w:rPr>
        <w:t>ILO Freedom of Association and Protection of the Right to Organise Convention, 1948 (No. 87)</w:t>
      </w:r>
      <w:r w:rsidRPr="005C194F">
        <w:rPr>
          <w:b/>
          <w:bCs/>
        </w:rPr>
        <w:t>.</w:t>
      </w:r>
    </w:p>
    <w:p w14:paraId="3751B4CF" w14:textId="77777777" w:rsidR="00C436F0" w:rsidRPr="0051776D" w:rsidRDefault="00C436F0" w:rsidP="00C436F0">
      <w:pPr>
        <w:pStyle w:val="H23G"/>
      </w:pPr>
      <w:r>
        <w:tab/>
      </w:r>
      <w:r>
        <w:tab/>
      </w:r>
      <w:r w:rsidRPr="00C513EA">
        <w:t>Medical care</w:t>
      </w:r>
    </w:p>
    <w:p w14:paraId="549246EF" w14:textId="77777777" w:rsidR="00C436F0" w:rsidRPr="00377DF2" w:rsidRDefault="00C436F0" w:rsidP="00C436F0">
      <w:pPr>
        <w:pStyle w:val="SingleTxtG"/>
      </w:pPr>
      <w:r w:rsidRPr="00377DF2">
        <w:t>35.</w:t>
      </w:r>
      <w:r w:rsidRPr="00377DF2">
        <w:tab/>
        <w:t>The Committee note</w:t>
      </w:r>
      <w:r>
        <w:t>s</w:t>
      </w:r>
      <w:r w:rsidRPr="00377DF2">
        <w:t xml:space="preserve"> the information provided by the State party that emergency medical care is available to all, including migrant workers and members of their family. The Committee, however, remains concerned about reported difficulties face</w:t>
      </w:r>
      <w:r>
        <w:t>d</w:t>
      </w:r>
      <w:r w:rsidRPr="00377DF2">
        <w:t xml:space="preserve"> by migrant workers, particularly those in an irregular situation, </w:t>
      </w:r>
      <w:r>
        <w:t>regarding</w:t>
      </w:r>
      <w:r w:rsidRPr="00377DF2">
        <w:t xml:space="preserve"> access</w:t>
      </w:r>
      <w:r>
        <w:t xml:space="preserve"> to</w:t>
      </w:r>
      <w:r w:rsidRPr="00377DF2">
        <w:t xml:space="preserve"> essential health</w:t>
      </w:r>
      <w:r>
        <w:t>-</w:t>
      </w:r>
      <w:r w:rsidRPr="00377DF2">
        <w:t xml:space="preserve">care services, including during </w:t>
      </w:r>
      <w:r w:rsidRPr="00B476C2">
        <w:t>the COVID-19 pandemic</w:t>
      </w:r>
      <w:r w:rsidRPr="00377DF2">
        <w:t xml:space="preserve">. The Committee is also concerned about the lack of information </w:t>
      </w:r>
      <w:r>
        <w:t>on</w:t>
      </w:r>
      <w:r w:rsidRPr="00377DF2">
        <w:t xml:space="preserve"> access to health care </w:t>
      </w:r>
      <w:r>
        <w:t>for</w:t>
      </w:r>
      <w:r w:rsidRPr="00377DF2">
        <w:t xml:space="preserve"> </w:t>
      </w:r>
      <w:bookmarkStart w:id="0" w:name="_Hlk153970568"/>
      <w:r w:rsidRPr="00377DF2">
        <w:t xml:space="preserve">Kyrgyz </w:t>
      </w:r>
      <w:bookmarkEnd w:id="0"/>
      <w:r w:rsidRPr="00377DF2">
        <w:t xml:space="preserve">migrant workers </w:t>
      </w:r>
      <w:r>
        <w:t xml:space="preserve">who </w:t>
      </w:r>
      <w:r w:rsidRPr="00377DF2">
        <w:t>return</w:t>
      </w:r>
      <w:r>
        <w:t xml:space="preserve"> to the State party</w:t>
      </w:r>
      <w:r w:rsidRPr="00377DF2">
        <w:t xml:space="preserve">. </w:t>
      </w:r>
    </w:p>
    <w:p w14:paraId="0AB82195" w14:textId="77777777" w:rsidR="00C436F0" w:rsidRPr="00377DF2" w:rsidRDefault="00C436F0" w:rsidP="00C436F0">
      <w:pPr>
        <w:pStyle w:val="SingleTxtG"/>
      </w:pPr>
      <w:r w:rsidRPr="00377DF2">
        <w:t>36.</w:t>
      </w:r>
      <w:r w:rsidRPr="00377DF2">
        <w:tab/>
      </w:r>
      <w:r w:rsidRPr="00377DF2">
        <w:rPr>
          <w:b/>
          <w:bCs/>
        </w:rPr>
        <w:t>Recalling its previous recommendations,</w:t>
      </w:r>
      <w:r w:rsidRPr="00120AEE">
        <w:rPr>
          <w:rStyle w:val="FootnoteReference"/>
        </w:rPr>
        <w:footnoteReference w:id="17"/>
      </w:r>
      <w:r w:rsidRPr="00377DF2">
        <w:rPr>
          <w:b/>
          <w:bCs/>
        </w:rPr>
        <w:t xml:space="preserve"> the Committee recommends that, in accordance with article 28 of the Convention, the State party </w:t>
      </w:r>
      <w:r>
        <w:rPr>
          <w:b/>
          <w:bCs/>
        </w:rPr>
        <w:t>take</w:t>
      </w:r>
      <w:r w:rsidRPr="00377DF2">
        <w:rPr>
          <w:b/>
          <w:bCs/>
        </w:rPr>
        <w:t xml:space="preserve"> concrete and effective measures to ensure access to health-care services</w:t>
      </w:r>
      <w:r>
        <w:rPr>
          <w:b/>
          <w:bCs/>
        </w:rPr>
        <w:t xml:space="preserve"> –</w:t>
      </w:r>
      <w:r w:rsidRPr="00377DF2">
        <w:rPr>
          <w:b/>
          <w:bCs/>
        </w:rPr>
        <w:t xml:space="preserve"> including</w:t>
      </w:r>
      <w:r>
        <w:rPr>
          <w:b/>
          <w:bCs/>
        </w:rPr>
        <w:t>,</w:t>
      </w:r>
      <w:r w:rsidRPr="00377DF2">
        <w:rPr>
          <w:b/>
          <w:bCs/>
        </w:rPr>
        <w:t xml:space="preserve"> but not limited to</w:t>
      </w:r>
      <w:r>
        <w:rPr>
          <w:b/>
          <w:bCs/>
        </w:rPr>
        <w:t>,</w:t>
      </w:r>
      <w:r w:rsidRPr="00377DF2">
        <w:rPr>
          <w:b/>
          <w:bCs/>
        </w:rPr>
        <w:t xml:space="preserve"> emergency and urgent medical care</w:t>
      </w:r>
      <w:r>
        <w:rPr>
          <w:b/>
          <w:bCs/>
        </w:rPr>
        <w:t xml:space="preserve"> –</w:t>
      </w:r>
      <w:r w:rsidRPr="00377DF2">
        <w:rPr>
          <w:b/>
          <w:bCs/>
        </w:rPr>
        <w:t xml:space="preserve"> for all migrant workers and members of their families on the basis of equality of treatment with nationals</w:t>
      </w:r>
      <w:r>
        <w:rPr>
          <w:b/>
          <w:bCs/>
        </w:rPr>
        <w:t xml:space="preserve"> of the State party</w:t>
      </w:r>
      <w:r w:rsidRPr="00377DF2">
        <w:rPr>
          <w:b/>
          <w:bCs/>
        </w:rPr>
        <w:t xml:space="preserve">, </w:t>
      </w:r>
      <w:r>
        <w:rPr>
          <w:b/>
          <w:bCs/>
        </w:rPr>
        <w:t>and</w:t>
      </w:r>
      <w:r w:rsidRPr="00377DF2">
        <w:rPr>
          <w:b/>
          <w:bCs/>
        </w:rPr>
        <w:t xml:space="preserve"> for Kyrgyz migrant workers upon their return</w:t>
      </w:r>
      <w:r>
        <w:rPr>
          <w:b/>
          <w:bCs/>
        </w:rPr>
        <w:t>.</w:t>
      </w:r>
    </w:p>
    <w:p w14:paraId="54ED140A" w14:textId="77777777" w:rsidR="00C436F0" w:rsidRPr="009A3732" w:rsidRDefault="00C436F0" w:rsidP="00C436F0">
      <w:pPr>
        <w:pStyle w:val="H23G"/>
      </w:pPr>
      <w:r>
        <w:tab/>
      </w:r>
      <w:r>
        <w:tab/>
      </w:r>
      <w:r w:rsidRPr="0088513B">
        <w:t>Birth registration and nationality</w:t>
      </w:r>
    </w:p>
    <w:p w14:paraId="2626A557" w14:textId="77777777" w:rsidR="00C436F0" w:rsidRPr="00377DF2" w:rsidRDefault="00C436F0" w:rsidP="00C436F0">
      <w:pPr>
        <w:pStyle w:val="SingleTxtG"/>
      </w:pPr>
      <w:r w:rsidRPr="00377DF2">
        <w:t>37.</w:t>
      </w:r>
      <w:r w:rsidRPr="00377DF2">
        <w:tab/>
        <w:t xml:space="preserve">The Committee welcomes the legislative measures taken by the State party to ensure the birth registration of all children born </w:t>
      </w:r>
      <w:r>
        <w:t>in</w:t>
      </w:r>
      <w:r w:rsidRPr="00377DF2">
        <w:t xml:space="preserve"> its territory</w:t>
      </w:r>
      <w:r>
        <w:t>,</w:t>
      </w:r>
      <w:r w:rsidRPr="00377DF2">
        <w:t xml:space="preserve"> </w:t>
      </w:r>
      <w:r>
        <w:t>and</w:t>
      </w:r>
      <w:r w:rsidRPr="00377DF2">
        <w:t xml:space="preserve"> the amendment of the definition of a stateless person. However, the Committee notes that the State party has yet to ratify </w:t>
      </w:r>
      <w:r w:rsidRPr="00E973E9">
        <w:t>the 1954 Convention relating to the Status of Stateless Persons and the 1961 Convention on the Reduction of Statelessness</w:t>
      </w:r>
      <w:r w:rsidRPr="00377DF2">
        <w:t>.</w:t>
      </w:r>
    </w:p>
    <w:p w14:paraId="33A1CF0D" w14:textId="77777777" w:rsidR="00C436F0" w:rsidRPr="00377DF2" w:rsidRDefault="00C436F0" w:rsidP="00C436F0">
      <w:pPr>
        <w:pStyle w:val="SingleTxtG"/>
      </w:pPr>
      <w:r w:rsidRPr="00377DF2">
        <w:t>38.</w:t>
      </w:r>
      <w:r w:rsidRPr="00377DF2">
        <w:tab/>
      </w:r>
      <w:r w:rsidRPr="00377DF2">
        <w:rPr>
          <w:b/>
          <w:bCs/>
        </w:rPr>
        <w:t xml:space="preserve">The Committee recommends that the State party ratify </w:t>
      </w:r>
      <w:r w:rsidRPr="00E973E9">
        <w:rPr>
          <w:b/>
          <w:bCs/>
        </w:rPr>
        <w:t>the 1954 Convention relating to the Status of Stateless Persons and the 1961 Convention on the Reduction of Statelessness</w:t>
      </w:r>
      <w:r w:rsidRPr="00377DF2">
        <w:rPr>
          <w:b/>
          <w:bCs/>
        </w:rPr>
        <w:t xml:space="preserve"> and harmoni</w:t>
      </w:r>
      <w:r>
        <w:rPr>
          <w:b/>
          <w:bCs/>
        </w:rPr>
        <w:t>ze</w:t>
      </w:r>
      <w:r w:rsidRPr="00377DF2">
        <w:rPr>
          <w:b/>
          <w:bCs/>
        </w:rPr>
        <w:t xml:space="preserve"> </w:t>
      </w:r>
      <w:r>
        <w:rPr>
          <w:b/>
          <w:bCs/>
        </w:rPr>
        <w:t>its</w:t>
      </w:r>
      <w:r w:rsidRPr="00377DF2">
        <w:rPr>
          <w:b/>
          <w:bCs/>
        </w:rPr>
        <w:t xml:space="preserve"> legislation with the</w:t>
      </w:r>
      <w:r>
        <w:rPr>
          <w:b/>
          <w:bCs/>
        </w:rPr>
        <w:t>m,</w:t>
      </w:r>
      <w:r w:rsidRPr="00377DF2">
        <w:rPr>
          <w:b/>
          <w:bCs/>
        </w:rPr>
        <w:t xml:space="preserve"> </w:t>
      </w:r>
      <w:r w:rsidRPr="00683250">
        <w:rPr>
          <w:b/>
          <w:bCs/>
        </w:rPr>
        <w:t>in line with target 16.9 of the Sustainable Development Goals</w:t>
      </w:r>
      <w:r>
        <w:rPr>
          <w:b/>
          <w:bCs/>
        </w:rPr>
        <w:t>.</w:t>
      </w:r>
    </w:p>
    <w:p w14:paraId="6190F465" w14:textId="77777777" w:rsidR="00C436F0" w:rsidRPr="00EB4DDD" w:rsidRDefault="00C436F0" w:rsidP="00C436F0">
      <w:pPr>
        <w:pStyle w:val="H23G"/>
      </w:pPr>
      <w:r>
        <w:tab/>
      </w:r>
      <w:r>
        <w:tab/>
      </w:r>
      <w:r w:rsidRPr="00E973E9">
        <w:t>Education</w:t>
      </w:r>
    </w:p>
    <w:p w14:paraId="10FCBC42" w14:textId="77777777" w:rsidR="00C436F0" w:rsidRPr="00C748AE" w:rsidRDefault="00C436F0" w:rsidP="00C436F0">
      <w:pPr>
        <w:pStyle w:val="SingleTxtG"/>
        <w:spacing w:line="240" w:lineRule="auto"/>
      </w:pPr>
      <w:r>
        <w:t>3</w:t>
      </w:r>
      <w:r w:rsidRPr="00377DF2">
        <w:t>9.</w:t>
      </w:r>
      <w:r w:rsidRPr="00377DF2">
        <w:tab/>
        <w:t xml:space="preserve">The Committee is concerned about barriers to access to education for the children of migrant workers, </w:t>
      </w:r>
      <w:r>
        <w:t>such as</w:t>
      </w:r>
      <w:r w:rsidRPr="00377DF2">
        <w:t xml:space="preserve"> lack of residence registration, </w:t>
      </w:r>
      <w:r>
        <w:t xml:space="preserve">parents’ lack of </w:t>
      </w:r>
      <w:r w:rsidRPr="00D538B9">
        <w:t>valid identity documents</w:t>
      </w:r>
      <w:r w:rsidRPr="00377DF2">
        <w:t xml:space="preserve"> </w:t>
      </w:r>
      <w:r>
        <w:t>and lack of</w:t>
      </w:r>
      <w:r w:rsidRPr="00377DF2">
        <w:t xml:space="preserve"> </w:t>
      </w:r>
      <w:r>
        <w:t>p</w:t>
      </w:r>
      <w:r w:rsidRPr="00377DF2">
        <w:t xml:space="preserve">ersonal </w:t>
      </w:r>
      <w:r>
        <w:t>i</w:t>
      </w:r>
      <w:r w:rsidRPr="00377DF2">
        <w:t xml:space="preserve">dentification </w:t>
      </w:r>
      <w:r>
        <w:t>n</w:t>
      </w:r>
      <w:r w:rsidRPr="00377DF2">
        <w:t>umber. The Committee is also concerned about the lack of information on specific programmes to ensure that children of migrant workers in an irregular situation have access to education</w:t>
      </w:r>
      <w:r>
        <w:t>.</w:t>
      </w:r>
    </w:p>
    <w:p w14:paraId="4ACEE33A" w14:textId="77777777" w:rsidR="00C436F0" w:rsidRPr="00377DF2" w:rsidRDefault="00C436F0" w:rsidP="00C436F0">
      <w:pPr>
        <w:pStyle w:val="SingleTxtG"/>
      </w:pPr>
      <w:r>
        <w:t>4</w:t>
      </w:r>
      <w:r w:rsidRPr="00377DF2">
        <w:t>0.</w:t>
      </w:r>
      <w:r w:rsidRPr="00377DF2">
        <w:tab/>
      </w:r>
      <w:r w:rsidRPr="00377DF2">
        <w:rPr>
          <w:b/>
          <w:bCs/>
        </w:rPr>
        <w:t>With reference to its previous recommendations,</w:t>
      </w:r>
      <w:r w:rsidRPr="00120AEE">
        <w:rPr>
          <w:rStyle w:val="FootnoteReference"/>
        </w:rPr>
        <w:footnoteReference w:id="18"/>
      </w:r>
      <w:r w:rsidRPr="00377DF2">
        <w:rPr>
          <w:b/>
          <w:bCs/>
        </w:rPr>
        <w:t xml:space="preserve"> </w:t>
      </w:r>
      <w:r>
        <w:rPr>
          <w:b/>
          <w:bCs/>
        </w:rPr>
        <w:t>the Committee recommends that the State party,</w:t>
      </w:r>
      <w:r w:rsidRPr="00377DF2">
        <w:rPr>
          <w:b/>
          <w:bCs/>
        </w:rPr>
        <w:t xml:space="preserve"> in </w:t>
      </w:r>
      <w:r>
        <w:rPr>
          <w:b/>
          <w:bCs/>
        </w:rPr>
        <w:t>accordance</w:t>
      </w:r>
      <w:r w:rsidRPr="00377DF2">
        <w:rPr>
          <w:b/>
          <w:bCs/>
        </w:rPr>
        <w:t xml:space="preserve"> with joint general comments No. 3 and No. 4 of the Committee on the Protection of the Rights of All Migrant Workers and Members of Their Families</w:t>
      </w:r>
      <w:r>
        <w:rPr>
          <w:b/>
          <w:bCs/>
        </w:rPr>
        <w:t>/</w:t>
      </w:r>
      <w:r w:rsidRPr="00377DF2">
        <w:rPr>
          <w:b/>
          <w:bCs/>
        </w:rPr>
        <w:t>No. 22 and No. 23 of the Committee on the Rights of the Child</w:t>
      </w:r>
      <w:r>
        <w:rPr>
          <w:b/>
          <w:bCs/>
        </w:rPr>
        <w:t xml:space="preserve"> (2017)</w:t>
      </w:r>
      <w:r w:rsidRPr="00377DF2">
        <w:rPr>
          <w:b/>
          <w:bCs/>
        </w:rPr>
        <w:t xml:space="preserve"> and with target 4.1 of the Sustainable Development Goals:</w:t>
      </w:r>
    </w:p>
    <w:p w14:paraId="7DF00B32" w14:textId="77777777" w:rsidR="00C436F0" w:rsidRPr="00377DF2" w:rsidRDefault="00C436F0" w:rsidP="00C436F0">
      <w:pPr>
        <w:pStyle w:val="SingleTxtG"/>
      </w:pPr>
      <w:r w:rsidRPr="00377DF2">
        <w:tab/>
        <w:t>(a)</w:t>
      </w:r>
      <w:r w:rsidRPr="00377DF2">
        <w:tab/>
      </w:r>
      <w:r w:rsidRPr="00377DF2">
        <w:rPr>
          <w:b/>
          <w:bCs/>
        </w:rPr>
        <w:t xml:space="preserve">Ensure that all children of migrant workers, irrespective of their status, </w:t>
      </w:r>
      <w:r>
        <w:rPr>
          <w:b/>
          <w:bCs/>
        </w:rPr>
        <w:t>have</w:t>
      </w:r>
      <w:r w:rsidRPr="00377DF2">
        <w:rPr>
          <w:b/>
          <w:bCs/>
        </w:rPr>
        <w:t xml:space="preserve"> access to preschool, primary</w:t>
      </w:r>
      <w:r>
        <w:rPr>
          <w:b/>
          <w:bCs/>
        </w:rPr>
        <w:t xml:space="preserve">, </w:t>
      </w:r>
      <w:r w:rsidRPr="00377DF2">
        <w:rPr>
          <w:b/>
          <w:bCs/>
        </w:rPr>
        <w:t xml:space="preserve">secondary </w:t>
      </w:r>
      <w:r>
        <w:rPr>
          <w:b/>
          <w:bCs/>
        </w:rPr>
        <w:t>and higher education</w:t>
      </w:r>
      <w:r w:rsidRPr="00377DF2">
        <w:rPr>
          <w:b/>
          <w:bCs/>
        </w:rPr>
        <w:t xml:space="preserve"> on the basis of equality of treatment with nationals of the State party</w:t>
      </w:r>
      <w:r>
        <w:rPr>
          <w:b/>
          <w:bCs/>
        </w:rPr>
        <w:t>,</w:t>
      </w:r>
      <w:r w:rsidRPr="00377DF2">
        <w:rPr>
          <w:b/>
          <w:bCs/>
        </w:rPr>
        <w:t xml:space="preserve"> in compliance with article 30 of the Convention;</w:t>
      </w:r>
    </w:p>
    <w:p w14:paraId="7CEA8947" w14:textId="77777777" w:rsidR="00C436F0" w:rsidRPr="00377DF2" w:rsidRDefault="00C436F0" w:rsidP="00C436F0">
      <w:pPr>
        <w:pStyle w:val="SingleTxtG"/>
      </w:pPr>
      <w:r w:rsidRPr="00377DF2">
        <w:lastRenderedPageBreak/>
        <w:tab/>
        <w:t>(b)</w:t>
      </w:r>
      <w:r w:rsidRPr="00377DF2">
        <w:tab/>
      </w:r>
      <w:r w:rsidRPr="00377DF2">
        <w:rPr>
          <w:b/>
          <w:bCs/>
        </w:rPr>
        <w:t>Improve reporting between law enforcement and immigration authorities</w:t>
      </w:r>
      <w:r>
        <w:rPr>
          <w:b/>
          <w:bCs/>
        </w:rPr>
        <w:t>,</w:t>
      </w:r>
      <w:r w:rsidRPr="00377DF2">
        <w:rPr>
          <w:b/>
          <w:bCs/>
        </w:rPr>
        <w:t xml:space="preserve"> on the one hand, and education services</w:t>
      </w:r>
      <w:r>
        <w:rPr>
          <w:b/>
          <w:bCs/>
        </w:rPr>
        <w:t>,</w:t>
      </w:r>
      <w:r w:rsidRPr="00377DF2">
        <w:rPr>
          <w:b/>
          <w:bCs/>
        </w:rPr>
        <w:t xml:space="preserve"> on the other, so that all migrant workers and members of their families in an irregular situation send their children to school;</w:t>
      </w:r>
    </w:p>
    <w:p w14:paraId="4CA15C68" w14:textId="77777777" w:rsidR="00C436F0" w:rsidRPr="00377DF2" w:rsidRDefault="00C436F0" w:rsidP="00C436F0">
      <w:pPr>
        <w:pStyle w:val="SingleTxtG"/>
      </w:pPr>
      <w:r w:rsidRPr="00377DF2">
        <w:tab/>
        <w:t>(c)</w:t>
      </w:r>
      <w:r w:rsidRPr="00377DF2">
        <w:tab/>
      </w:r>
      <w:r w:rsidRPr="00377DF2">
        <w:rPr>
          <w:b/>
          <w:bCs/>
        </w:rPr>
        <w:t xml:space="preserve">Include in its next periodic report comprehensive information on the measures taken in that regard, including statistics, </w:t>
      </w:r>
      <w:r>
        <w:rPr>
          <w:b/>
          <w:bCs/>
        </w:rPr>
        <w:t xml:space="preserve">and </w:t>
      </w:r>
      <w:r w:rsidRPr="00377DF2">
        <w:rPr>
          <w:b/>
          <w:bCs/>
        </w:rPr>
        <w:t>on the enrolment rates of children of migrant workers in an irregular situation.</w:t>
      </w:r>
    </w:p>
    <w:p w14:paraId="6562E61C" w14:textId="77777777" w:rsidR="00C436F0" w:rsidRPr="00377DF2" w:rsidRDefault="00C436F0" w:rsidP="00C436F0">
      <w:pPr>
        <w:pStyle w:val="H23G"/>
      </w:pPr>
      <w:r>
        <w:tab/>
      </w:r>
      <w:r w:rsidRPr="00941B43">
        <w:t>4.</w:t>
      </w:r>
      <w:r w:rsidRPr="00941B43">
        <w:tab/>
        <w:t>Other rights of migrant workers and members of their families who are documented or in a regular situation (arts. 36–56)</w:t>
      </w:r>
    </w:p>
    <w:p w14:paraId="1E22A255" w14:textId="77777777" w:rsidR="00C436F0" w:rsidRPr="00377DF2" w:rsidRDefault="00C436F0" w:rsidP="00C436F0">
      <w:pPr>
        <w:pStyle w:val="H23G"/>
      </w:pPr>
      <w:r>
        <w:tab/>
      </w:r>
      <w:r>
        <w:tab/>
      </w:r>
      <w:r w:rsidRPr="00377DF2">
        <w:t xml:space="preserve">Pre-departure and </w:t>
      </w:r>
      <w:r>
        <w:t xml:space="preserve">the </w:t>
      </w:r>
      <w:r w:rsidRPr="00377DF2">
        <w:t xml:space="preserve">right to be informed </w:t>
      </w:r>
    </w:p>
    <w:p w14:paraId="31BA4868" w14:textId="77777777" w:rsidR="00C436F0" w:rsidRPr="00377DF2" w:rsidRDefault="00C436F0" w:rsidP="00C436F0">
      <w:pPr>
        <w:pStyle w:val="SingleTxtG"/>
      </w:pPr>
      <w:r w:rsidRPr="00377DF2">
        <w:t>41.</w:t>
      </w:r>
      <w:r w:rsidRPr="00377DF2">
        <w:tab/>
        <w:t>While not</w:t>
      </w:r>
      <w:r>
        <w:t>ing</w:t>
      </w:r>
      <w:r w:rsidRPr="00377DF2">
        <w:t xml:space="preserve"> the measures taken by the State party to provide information to migrant workers, including through a website, the Committee remains concerned about the lack of standard pre-employment and pre-departure orientation </w:t>
      </w:r>
      <w:r>
        <w:t>programmes provided</w:t>
      </w:r>
      <w:r w:rsidRPr="00377DF2">
        <w:t xml:space="preserve"> by the Ministry of Labour, </w:t>
      </w:r>
      <w:r>
        <w:t xml:space="preserve">Social Security and </w:t>
      </w:r>
      <w:r w:rsidRPr="00377DF2">
        <w:t xml:space="preserve">Migration, </w:t>
      </w:r>
      <w:r>
        <w:t>and about</w:t>
      </w:r>
      <w:r w:rsidRPr="00377DF2">
        <w:t xml:space="preserve"> the lack of </w:t>
      </w:r>
      <w:r>
        <w:t xml:space="preserve">dissemination of </w:t>
      </w:r>
      <w:r w:rsidRPr="00377DF2">
        <w:t>information on the rights of migrant workers under the Convention.</w:t>
      </w:r>
    </w:p>
    <w:p w14:paraId="52789A18" w14:textId="77777777" w:rsidR="00C436F0" w:rsidRPr="00377DF2" w:rsidRDefault="00C436F0" w:rsidP="00C436F0">
      <w:pPr>
        <w:pStyle w:val="SingleTxtG"/>
      </w:pPr>
      <w:r w:rsidRPr="00377DF2">
        <w:t>42.</w:t>
      </w:r>
      <w:r w:rsidRPr="00377DF2">
        <w:tab/>
      </w:r>
      <w:r w:rsidRPr="00377DF2">
        <w:rPr>
          <w:b/>
          <w:bCs/>
        </w:rPr>
        <w:t>Reiterating its previous recommendations,</w:t>
      </w:r>
      <w:r w:rsidRPr="00120AEE">
        <w:rPr>
          <w:rStyle w:val="FootnoteReference"/>
        </w:rPr>
        <w:footnoteReference w:id="19"/>
      </w:r>
      <w:r w:rsidRPr="00377DF2">
        <w:rPr>
          <w:b/>
          <w:bCs/>
        </w:rPr>
        <w:t xml:space="preserve"> the Committee recommends that the State party take appropriate measures to disseminate information on the rights of migrant workers under the Convention, on the conditions of their admission and employment and on their rights and obligations under the law and practice of States of employment. The Committee also recommends that the State party further strengthen targeted pre-departure and awareness-raising programmes, including in consultation with relevant non-governmental organizations, migrant domestic workers and their families, and recognized and reliable recruitment agencies.</w:t>
      </w:r>
    </w:p>
    <w:p w14:paraId="77BC5C2A" w14:textId="77777777" w:rsidR="00C436F0" w:rsidRPr="00677A55" w:rsidRDefault="00C436F0" w:rsidP="00C436F0">
      <w:pPr>
        <w:pStyle w:val="H23G"/>
      </w:pPr>
      <w:r>
        <w:tab/>
      </w:r>
      <w:r>
        <w:tab/>
      </w:r>
      <w:r w:rsidRPr="00D843F3">
        <w:t>Right to vote and to be elected in the State of origin</w:t>
      </w:r>
    </w:p>
    <w:p w14:paraId="1028A21C" w14:textId="77777777" w:rsidR="00C436F0" w:rsidRPr="00377DF2" w:rsidRDefault="00C436F0" w:rsidP="00C436F0">
      <w:pPr>
        <w:pStyle w:val="SingleTxtG"/>
      </w:pPr>
      <w:r w:rsidRPr="00377DF2">
        <w:t>43.</w:t>
      </w:r>
      <w:r w:rsidRPr="00377DF2">
        <w:tab/>
        <w:t>The Committee notes the efforts of the State party to facilitate the right to vote by opening polling stations abroad, simplifying the procedure</w:t>
      </w:r>
      <w:r>
        <w:t>s</w:t>
      </w:r>
      <w:r w:rsidRPr="00377DF2">
        <w:t xml:space="preserve"> to vote abroad and </w:t>
      </w:r>
      <w:r>
        <w:t>to</w:t>
      </w:r>
      <w:r w:rsidRPr="00377DF2">
        <w:t xml:space="preserve"> regist</w:t>
      </w:r>
      <w:r>
        <w:t>er</w:t>
      </w:r>
      <w:r w:rsidRPr="00377DF2">
        <w:t xml:space="preserve"> </w:t>
      </w:r>
      <w:r>
        <w:t>with</w:t>
      </w:r>
      <w:r w:rsidRPr="00377DF2">
        <w:t xml:space="preserve"> consulates and conducting awareness-raising campaigns, which </w:t>
      </w:r>
      <w:r>
        <w:t>have led</w:t>
      </w:r>
      <w:r w:rsidRPr="00377DF2">
        <w:t xml:space="preserve"> to an increase in </w:t>
      </w:r>
      <w:r>
        <w:t>voting among</w:t>
      </w:r>
      <w:r w:rsidRPr="00377DF2">
        <w:t xml:space="preserve"> Kyrgyz migrant workers </w:t>
      </w:r>
      <w:r>
        <w:t>abroad</w:t>
      </w:r>
      <w:r w:rsidRPr="00377DF2">
        <w:t>. The Committee also notes the information provided by the State party on the steps taken to</w:t>
      </w:r>
      <w:r>
        <w:t>wards</w:t>
      </w:r>
      <w:r w:rsidRPr="00377DF2">
        <w:t xml:space="preserve"> </w:t>
      </w:r>
      <w:r>
        <w:t>introducing</w:t>
      </w:r>
      <w:r w:rsidRPr="00377DF2">
        <w:t xml:space="preserve"> electronic vot</w:t>
      </w:r>
      <w:r>
        <w:t>ing</w:t>
      </w:r>
      <w:r w:rsidRPr="00377DF2">
        <w:t xml:space="preserve">. However, the Committee remains concerned about the level of participation </w:t>
      </w:r>
      <w:r>
        <w:t>of</w:t>
      </w:r>
      <w:r w:rsidRPr="00377DF2">
        <w:t xml:space="preserve"> Kyrgyz migrant workers abroad </w:t>
      </w:r>
      <w:r>
        <w:t>in</w:t>
      </w:r>
      <w:r w:rsidRPr="00377DF2">
        <w:t xml:space="preserve"> the parliamentary elections </w:t>
      </w:r>
      <w:r>
        <w:t xml:space="preserve">held </w:t>
      </w:r>
      <w:r w:rsidRPr="00377DF2">
        <w:t>in November 2021, which remain</w:t>
      </w:r>
      <w:r>
        <w:t>ed</w:t>
      </w:r>
      <w:r w:rsidRPr="00377DF2">
        <w:t xml:space="preserve"> low in comparison to the total number of Kyrgyz</w:t>
      </w:r>
      <w:r>
        <w:t xml:space="preserve"> citizens</w:t>
      </w:r>
      <w:r w:rsidRPr="00377DF2">
        <w:t xml:space="preserve"> working abroad.</w:t>
      </w:r>
    </w:p>
    <w:p w14:paraId="01DFC08D" w14:textId="77777777" w:rsidR="00C436F0" w:rsidRPr="00377DF2" w:rsidRDefault="00C436F0" w:rsidP="00C436F0">
      <w:pPr>
        <w:pStyle w:val="SingleTxtG"/>
        <w:rPr>
          <w:b/>
          <w:bCs/>
        </w:rPr>
      </w:pPr>
      <w:r w:rsidRPr="00377DF2">
        <w:t>44.</w:t>
      </w:r>
      <w:r w:rsidRPr="00377DF2">
        <w:tab/>
      </w:r>
      <w:r w:rsidRPr="00377DF2">
        <w:rPr>
          <w:b/>
          <w:bCs/>
        </w:rPr>
        <w:t>Recalling its previous recommendations,</w:t>
      </w:r>
      <w:r w:rsidRPr="00120AEE">
        <w:rPr>
          <w:rStyle w:val="FootnoteReference"/>
        </w:rPr>
        <w:footnoteReference w:id="20"/>
      </w:r>
      <w:r w:rsidRPr="00377DF2">
        <w:rPr>
          <w:b/>
          <w:bCs/>
        </w:rPr>
        <w:t xml:space="preserve"> the Committee recommends that the State party strengthen its efforts to guarantee the right to vote of Kyrgyz migrant workers and members of their family living abroad, including by ensuring the availability of polling stations</w:t>
      </w:r>
      <w:r>
        <w:rPr>
          <w:b/>
          <w:bCs/>
        </w:rPr>
        <w:t>,</w:t>
      </w:r>
      <w:r w:rsidRPr="00377DF2">
        <w:rPr>
          <w:b/>
          <w:bCs/>
        </w:rPr>
        <w:t xml:space="preserve"> facilitating voting through the use of new technologies</w:t>
      </w:r>
      <w:r>
        <w:rPr>
          <w:b/>
          <w:bCs/>
        </w:rPr>
        <w:t>,</w:t>
      </w:r>
      <w:r w:rsidRPr="00377DF2">
        <w:rPr>
          <w:b/>
          <w:bCs/>
        </w:rPr>
        <w:t xml:space="preserve"> ensuring the protection of </w:t>
      </w:r>
      <w:r>
        <w:rPr>
          <w:b/>
          <w:bCs/>
        </w:rPr>
        <w:t xml:space="preserve">voters’ </w:t>
      </w:r>
      <w:r w:rsidRPr="00377DF2">
        <w:rPr>
          <w:b/>
          <w:bCs/>
        </w:rPr>
        <w:t>personal data and secur</w:t>
      </w:r>
      <w:r>
        <w:rPr>
          <w:b/>
          <w:bCs/>
        </w:rPr>
        <w:t>ing</w:t>
      </w:r>
      <w:r w:rsidRPr="00377DF2">
        <w:rPr>
          <w:b/>
          <w:bCs/>
        </w:rPr>
        <w:t xml:space="preserve"> sufficient funding for overseas voting.</w:t>
      </w:r>
    </w:p>
    <w:p w14:paraId="7FEA936C" w14:textId="77777777" w:rsidR="00C436F0" w:rsidRPr="001D5552" w:rsidRDefault="00C436F0" w:rsidP="00C436F0">
      <w:pPr>
        <w:pStyle w:val="H23G"/>
      </w:pPr>
      <w:r>
        <w:tab/>
      </w:r>
      <w:r w:rsidRPr="003E28F1">
        <w:t>5.</w:t>
      </w:r>
      <w:r w:rsidRPr="003E28F1">
        <w:tab/>
        <w:t>Provisions applicable to particular categories of migrant workers and members of their families (arts. 57–63)</w:t>
      </w:r>
    </w:p>
    <w:p w14:paraId="65268AE6" w14:textId="77777777" w:rsidR="00C436F0" w:rsidRPr="00517E2E" w:rsidRDefault="00C436F0" w:rsidP="00C436F0">
      <w:pPr>
        <w:pStyle w:val="H23G"/>
      </w:pPr>
      <w:r w:rsidRPr="00517E2E">
        <w:tab/>
      </w:r>
      <w:r>
        <w:tab/>
      </w:r>
      <w:r>
        <w:tab/>
      </w:r>
      <w:r w:rsidRPr="00517E2E">
        <w:t xml:space="preserve">Frontier and </w:t>
      </w:r>
      <w:r w:rsidRPr="00C306FC">
        <w:t>seasonal workers</w:t>
      </w:r>
    </w:p>
    <w:p w14:paraId="12AB8348" w14:textId="77777777" w:rsidR="00C436F0" w:rsidRPr="00517E2E" w:rsidRDefault="00C436F0" w:rsidP="00C436F0">
      <w:pPr>
        <w:pStyle w:val="SingleTxtG"/>
        <w:rPr>
          <w:bCs/>
        </w:rPr>
      </w:pPr>
      <w:r>
        <w:rPr>
          <w:bCs/>
        </w:rPr>
        <w:t>45</w:t>
      </w:r>
      <w:r w:rsidRPr="00517E2E">
        <w:rPr>
          <w:bCs/>
        </w:rPr>
        <w:t>.</w:t>
      </w:r>
      <w:r w:rsidRPr="00517E2E">
        <w:rPr>
          <w:bCs/>
        </w:rPr>
        <w:tab/>
        <w:t xml:space="preserve">The Committee is concerned about the lack of information on the measures </w:t>
      </w:r>
      <w:r>
        <w:rPr>
          <w:bCs/>
        </w:rPr>
        <w:t>taken</w:t>
      </w:r>
      <w:r w:rsidRPr="00517E2E">
        <w:rPr>
          <w:bCs/>
        </w:rPr>
        <w:t xml:space="preserve"> by the State party to ensure that frontier and seasonal workers </w:t>
      </w:r>
      <w:r>
        <w:rPr>
          <w:bCs/>
        </w:rPr>
        <w:t>are able to</w:t>
      </w:r>
      <w:r w:rsidRPr="00517E2E">
        <w:rPr>
          <w:bCs/>
        </w:rPr>
        <w:t xml:space="preserve"> enjoy the rights to which they are entitled by reason of their presence and work in the territory.</w:t>
      </w:r>
    </w:p>
    <w:p w14:paraId="58D81FF2" w14:textId="77777777" w:rsidR="00C436F0" w:rsidRDefault="00C436F0" w:rsidP="00C436F0">
      <w:pPr>
        <w:pStyle w:val="SingleTxtG"/>
        <w:rPr>
          <w:b/>
          <w:bCs/>
        </w:rPr>
      </w:pPr>
      <w:r>
        <w:t>46</w:t>
      </w:r>
      <w:r w:rsidRPr="00860109">
        <w:t>.</w:t>
      </w:r>
      <w:r w:rsidRPr="00860109">
        <w:tab/>
      </w:r>
      <w:r w:rsidRPr="00377DF2">
        <w:rPr>
          <w:b/>
          <w:bCs/>
        </w:rPr>
        <w:t>Recalling its previous recommendations,</w:t>
      </w:r>
      <w:r w:rsidRPr="00FF023A">
        <w:rPr>
          <w:rStyle w:val="FootnoteReference"/>
        </w:rPr>
        <w:footnoteReference w:id="21"/>
      </w:r>
      <w:r w:rsidRPr="00FF023A">
        <w:t xml:space="preserve"> </w:t>
      </w:r>
      <w:r w:rsidRPr="00377DF2">
        <w:rPr>
          <w:b/>
          <w:bCs/>
        </w:rPr>
        <w:t xml:space="preserve">the Committee recommends that the State party take the measures necessary to ensure that frontier workers enjoy the same rights as national workers, and invites the State party to provide information in its next </w:t>
      </w:r>
      <w:r w:rsidRPr="00377DF2">
        <w:rPr>
          <w:b/>
          <w:bCs/>
        </w:rPr>
        <w:lastRenderedPageBreak/>
        <w:t xml:space="preserve">periodic report on the measures taken to ensure that frontier and seasonal workers </w:t>
      </w:r>
      <w:r>
        <w:rPr>
          <w:b/>
          <w:bCs/>
        </w:rPr>
        <w:t>are able to</w:t>
      </w:r>
      <w:r w:rsidRPr="00377DF2">
        <w:rPr>
          <w:b/>
          <w:bCs/>
        </w:rPr>
        <w:t xml:space="preserve"> enjoy the rights to which they are entitled by reason of their presence and work in the territory of the State party, in accordance with article 57 of the Convention.</w:t>
      </w:r>
    </w:p>
    <w:p w14:paraId="391ECF8F" w14:textId="77777777" w:rsidR="00C436F0" w:rsidRPr="00803BDC" w:rsidRDefault="00C436F0" w:rsidP="00C436F0">
      <w:pPr>
        <w:pStyle w:val="H23G"/>
        <w:rPr>
          <w:lang w:val="en-US"/>
        </w:rPr>
      </w:pPr>
      <w:r>
        <w:rPr>
          <w:lang w:val="en-US"/>
        </w:rPr>
        <w:tab/>
      </w:r>
      <w:r w:rsidRPr="00C306FC">
        <w:rPr>
          <w:lang w:val="en-US"/>
        </w:rPr>
        <w:t>6.</w:t>
      </w:r>
      <w:r w:rsidRPr="00C306FC">
        <w:rPr>
          <w:lang w:val="en-US"/>
        </w:rPr>
        <w:tab/>
        <w:t>Promotion of sound, equitable, humane and lawful conditions in connection with the international migration of workers and members of their families (arts. 64–71)</w:t>
      </w:r>
    </w:p>
    <w:p w14:paraId="6E0D8161" w14:textId="77777777" w:rsidR="00C436F0" w:rsidRPr="00E80417" w:rsidRDefault="00C436F0" w:rsidP="00C436F0">
      <w:pPr>
        <w:pStyle w:val="H23G"/>
        <w:rPr>
          <w:lang w:val="en-US"/>
        </w:rPr>
      </w:pPr>
      <w:r>
        <w:rPr>
          <w:lang w:val="en-US"/>
        </w:rPr>
        <w:tab/>
      </w:r>
      <w:r>
        <w:rPr>
          <w:lang w:val="en-US"/>
        </w:rPr>
        <w:tab/>
      </w:r>
      <w:r w:rsidRPr="00E80417">
        <w:rPr>
          <w:lang w:val="en-US"/>
        </w:rPr>
        <w:t>Children in situations of international migration</w:t>
      </w:r>
    </w:p>
    <w:p w14:paraId="17295DAD" w14:textId="77777777" w:rsidR="00C436F0" w:rsidRPr="00377DF2" w:rsidRDefault="00C436F0" w:rsidP="00C436F0">
      <w:pPr>
        <w:pStyle w:val="SingleTxtG"/>
      </w:pPr>
      <w:r w:rsidRPr="00377DF2">
        <w:t>47.</w:t>
      </w:r>
      <w:r w:rsidRPr="00377DF2">
        <w:tab/>
        <w:t>The Committee notes the measures taken by the State party to gather data on the children of migrant workers left without parental care</w:t>
      </w:r>
      <w:r>
        <w:t>,</w:t>
      </w:r>
      <w:r w:rsidRPr="00377DF2">
        <w:t xml:space="preserve"> but remains concerned about the high number of children of migrant workers who are left without formalized kinship of guardianship, and suffer violence, abuse, neglect and exploitation.</w:t>
      </w:r>
    </w:p>
    <w:p w14:paraId="28FB7E01" w14:textId="77777777" w:rsidR="00C436F0" w:rsidRPr="00377DF2" w:rsidRDefault="00C436F0" w:rsidP="00C436F0">
      <w:pPr>
        <w:pStyle w:val="SingleTxtG"/>
      </w:pPr>
      <w:r w:rsidRPr="00377DF2">
        <w:t>48.</w:t>
      </w:r>
      <w:r w:rsidRPr="00377DF2">
        <w:tab/>
      </w:r>
      <w:r>
        <w:rPr>
          <w:b/>
          <w:bCs/>
        </w:rPr>
        <w:t>T</w:t>
      </w:r>
      <w:r w:rsidRPr="00377DF2">
        <w:rPr>
          <w:b/>
          <w:bCs/>
        </w:rPr>
        <w:t>he Committee recommends that the State party conduct a nationwide study on migrant children, including both migrant children in the State party and children of Kyrgyz migrant workers abroad who have been left behind in the State party, in order to effectively design policies and programmes.</w:t>
      </w:r>
    </w:p>
    <w:p w14:paraId="531DC321" w14:textId="77777777" w:rsidR="00C436F0" w:rsidRDefault="00C436F0" w:rsidP="00C436F0">
      <w:pPr>
        <w:pStyle w:val="H23G"/>
      </w:pPr>
      <w:r>
        <w:tab/>
      </w:r>
      <w:r>
        <w:tab/>
        <w:t>Protection and assistance for migrant workers abroad</w:t>
      </w:r>
    </w:p>
    <w:p w14:paraId="37D3AFDE" w14:textId="77777777" w:rsidR="00C436F0" w:rsidRPr="00377DF2" w:rsidRDefault="00C436F0" w:rsidP="00C436F0">
      <w:pPr>
        <w:pStyle w:val="SingleTxtG"/>
      </w:pPr>
      <w:r w:rsidRPr="00377DF2">
        <w:t>49.</w:t>
      </w:r>
      <w:r w:rsidRPr="00377DF2">
        <w:tab/>
        <w:t xml:space="preserve">The Committee is concerned about reports that Kyrgyz migrant workers and members of their families face discriminatory attitudes and are often targets of hate crimes and xenophobic assaults in the main countries of employment, in particular in </w:t>
      </w:r>
      <w:r w:rsidRPr="009F030E">
        <w:t>the Russian Federation</w:t>
      </w:r>
      <w:r w:rsidRPr="00377DF2">
        <w:t>. The Committee is particularly concerned about the lack of protection of Kyrgyz migrant workers abroad from violation</w:t>
      </w:r>
      <w:r>
        <w:t>s</w:t>
      </w:r>
      <w:r w:rsidRPr="00377DF2">
        <w:t xml:space="preserve"> of their rights, including arbitrary detention and expulsion</w:t>
      </w:r>
      <w:r>
        <w:t xml:space="preserve"> and</w:t>
      </w:r>
      <w:r w:rsidRPr="00377DF2">
        <w:t xml:space="preserve"> deprivation of liberty in temporary immigration detention centres, </w:t>
      </w:r>
      <w:r>
        <w:t>and about</w:t>
      </w:r>
      <w:r w:rsidRPr="00377DF2">
        <w:t xml:space="preserve"> the lack of protection from </w:t>
      </w:r>
      <w:r>
        <w:t>recruitment</w:t>
      </w:r>
      <w:r w:rsidRPr="00377DF2">
        <w:t xml:space="preserve"> as mercenaries </w:t>
      </w:r>
      <w:r>
        <w:t>in</w:t>
      </w:r>
      <w:r w:rsidRPr="00377DF2">
        <w:t xml:space="preserve"> </w:t>
      </w:r>
      <w:r w:rsidRPr="009F030E">
        <w:t>the Russian Federation</w:t>
      </w:r>
      <w:r>
        <w:t>. The Committee is also concerned about the lack of information regarding cultural initiatives for the community of Kyrgyz migrant workers, including online courses on the Kyrgyz language and history.</w:t>
      </w:r>
    </w:p>
    <w:p w14:paraId="4F0E9A2F" w14:textId="77777777" w:rsidR="00C436F0" w:rsidRPr="00377DF2" w:rsidRDefault="00C436F0" w:rsidP="00C436F0">
      <w:pPr>
        <w:pStyle w:val="SingleTxtG"/>
      </w:pPr>
      <w:r w:rsidRPr="00377DF2">
        <w:t>50.</w:t>
      </w:r>
      <w:r w:rsidRPr="00377DF2">
        <w:tab/>
      </w:r>
      <w:r w:rsidRPr="00377DF2">
        <w:rPr>
          <w:b/>
          <w:bCs/>
        </w:rPr>
        <w:t>Recalling its previous recommendations,</w:t>
      </w:r>
      <w:r w:rsidRPr="00FF023A">
        <w:rPr>
          <w:rStyle w:val="FootnoteReference"/>
        </w:rPr>
        <w:footnoteReference w:id="22"/>
      </w:r>
      <w:r w:rsidRPr="00377DF2">
        <w:rPr>
          <w:b/>
          <w:bCs/>
        </w:rPr>
        <w:t xml:space="preserve"> the Committee recommends that the State party provide consular assistance to Kyrgyz migrant workers who are victims of discrimination and violence, to protect their rights and interests in the countries of employment with a view to promoting the investigation, prosecution and sentencing of perpetrators of crimes against them. It also recommends that the State party raise awareness among its nationals about the potential risks of migration.</w:t>
      </w:r>
    </w:p>
    <w:p w14:paraId="7E3DE24D" w14:textId="77777777" w:rsidR="00C436F0" w:rsidRPr="00FB4DFC" w:rsidRDefault="00C436F0" w:rsidP="00C436F0">
      <w:pPr>
        <w:pStyle w:val="H23G"/>
      </w:pPr>
      <w:r>
        <w:tab/>
      </w:r>
      <w:r>
        <w:tab/>
      </w:r>
      <w:r w:rsidRPr="00EB542C">
        <w:t>Illegal or clandestine movements and employment of migrant workers in an irregular situation</w:t>
      </w:r>
      <w:r w:rsidRPr="00FB4DFC">
        <w:t xml:space="preserve"> </w:t>
      </w:r>
    </w:p>
    <w:p w14:paraId="271F8D06" w14:textId="77777777" w:rsidR="00C436F0" w:rsidRPr="00377DF2" w:rsidRDefault="00C436F0" w:rsidP="00C436F0">
      <w:pPr>
        <w:pStyle w:val="SingleTxtG"/>
      </w:pPr>
      <w:r w:rsidRPr="00377DF2">
        <w:t>51.</w:t>
      </w:r>
      <w:r w:rsidRPr="00377DF2">
        <w:tab/>
        <w:t>The Committee notes the efforts of the State party to combat trafficking</w:t>
      </w:r>
      <w:r>
        <w:t xml:space="preserve"> in persons</w:t>
      </w:r>
      <w:r w:rsidRPr="00377DF2">
        <w:t xml:space="preserve"> in its territory, including through legislative measures, international cooperation, training and awareness-raising. However, the Committee remains concerned about the persistence of trafficking</w:t>
      </w:r>
      <w:r>
        <w:t xml:space="preserve"> in persons</w:t>
      </w:r>
      <w:r w:rsidRPr="00377DF2">
        <w:t xml:space="preserve"> in the State party, the lack of data on the scale of the phenomenon, the lack of measures to address the causes of trafficking</w:t>
      </w:r>
      <w:r>
        <w:t xml:space="preserve"> in persons</w:t>
      </w:r>
      <w:r w:rsidRPr="00377DF2">
        <w:t xml:space="preserve"> and the focus</w:t>
      </w:r>
      <w:r>
        <w:t xml:space="preserve"> of efforts</w:t>
      </w:r>
      <w:r w:rsidRPr="00377DF2">
        <w:t xml:space="preserve"> on the State party as a place of origin for trafficking, at the expense of victims of trafficking transiting through the territory.</w:t>
      </w:r>
    </w:p>
    <w:p w14:paraId="0071EC23" w14:textId="77777777" w:rsidR="00C436F0" w:rsidRPr="00377DF2" w:rsidRDefault="00C436F0" w:rsidP="00C436F0">
      <w:pPr>
        <w:pStyle w:val="SingleTxtG"/>
      </w:pPr>
      <w:r w:rsidRPr="00377DF2">
        <w:t>52.</w:t>
      </w:r>
      <w:r w:rsidRPr="00377DF2">
        <w:tab/>
      </w:r>
      <w:r w:rsidRPr="00377DF2">
        <w:rPr>
          <w:b/>
          <w:bCs/>
        </w:rPr>
        <w:t>Recalling its previous recommendations,</w:t>
      </w:r>
      <w:r w:rsidRPr="00FF023A">
        <w:rPr>
          <w:rStyle w:val="FootnoteReference"/>
        </w:rPr>
        <w:footnoteReference w:id="23"/>
      </w:r>
      <w:r w:rsidRPr="00377DF2">
        <w:rPr>
          <w:b/>
          <w:bCs/>
        </w:rPr>
        <w:t xml:space="preserve"> </w:t>
      </w:r>
      <w:r>
        <w:rPr>
          <w:b/>
          <w:bCs/>
        </w:rPr>
        <w:t>the Committee recommends that the State party,</w:t>
      </w:r>
      <w:r w:rsidRPr="00377DF2">
        <w:rPr>
          <w:b/>
          <w:bCs/>
        </w:rPr>
        <w:t xml:space="preserve"> in accordance with the Recommended Principles and Guidelines on Human Rights and Human Trafficking</w:t>
      </w:r>
      <w:r>
        <w:rPr>
          <w:b/>
          <w:bCs/>
        </w:rPr>
        <w:t xml:space="preserve"> of the </w:t>
      </w:r>
      <w:r w:rsidRPr="00C414FC">
        <w:rPr>
          <w:b/>
          <w:bCs/>
        </w:rPr>
        <w:t xml:space="preserve">Office of the United Nations High Commissioner for Human Rights </w:t>
      </w:r>
      <w:r>
        <w:rPr>
          <w:b/>
          <w:bCs/>
        </w:rPr>
        <w:t>(</w:t>
      </w:r>
      <w:r w:rsidRPr="00377DF2">
        <w:rPr>
          <w:b/>
          <w:bCs/>
        </w:rPr>
        <w:t>OHCHR</w:t>
      </w:r>
      <w:r>
        <w:rPr>
          <w:b/>
          <w:bCs/>
        </w:rPr>
        <w:t>)</w:t>
      </w:r>
      <w:r w:rsidRPr="00377DF2">
        <w:rPr>
          <w:b/>
          <w:bCs/>
        </w:rPr>
        <w:t xml:space="preserve"> </w:t>
      </w:r>
      <w:r>
        <w:rPr>
          <w:b/>
          <w:bCs/>
        </w:rPr>
        <w:t>and</w:t>
      </w:r>
      <w:r w:rsidRPr="00377DF2">
        <w:rPr>
          <w:b/>
          <w:bCs/>
        </w:rPr>
        <w:t xml:space="preserve"> with target 5.2 of the Sustainable Development Goals:</w:t>
      </w:r>
    </w:p>
    <w:p w14:paraId="2D7C9CBC" w14:textId="77777777" w:rsidR="00C436F0" w:rsidRPr="00377DF2" w:rsidRDefault="00C436F0" w:rsidP="00C436F0">
      <w:pPr>
        <w:pStyle w:val="SingleTxtG"/>
      </w:pPr>
      <w:r w:rsidRPr="00377DF2">
        <w:tab/>
        <w:t>(a)</w:t>
      </w:r>
      <w:r w:rsidRPr="00377DF2">
        <w:tab/>
      </w:r>
      <w:r w:rsidRPr="00377DF2">
        <w:rPr>
          <w:b/>
          <w:bCs/>
        </w:rPr>
        <w:t xml:space="preserve">Implement </w:t>
      </w:r>
      <w:r w:rsidRPr="000545FB">
        <w:rPr>
          <w:b/>
          <w:bCs/>
        </w:rPr>
        <w:t>the Cabinet of Ministers Programme to Combat Trafficking in Persons for 2022–2025 and the action plan for its implementation, ensuring</w:t>
      </w:r>
      <w:r w:rsidRPr="00377DF2">
        <w:rPr>
          <w:b/>
          <w:bCs/>
        </w:rPr>
        <w:t xml:space="preserve"> its full compatibility with the Convention </w:t>
      </w:r>
      <w:r>
        <w:rPr>
          <w:b/>
          <w:bCs/>
        </w:rPr>
        <w:t>and</w:t>
      </w:r>
      <w:r w:rsidRPr="00377DF2">
        <w:rPr>
          <w:b/>
          <w:bCs/>
        </w:rPr>
        <w:t xml:space="preserve"> the allocation of adequate resources, and ensur</w:t>
      </w:r>
      <w:r>
        <w:rPr>
          <w:b/>
          <w:bCs/>
        </w:rPr>
        <w:t>e</w:t>
      </w:r>
      <w:r w:rsidRPr="00377DF2">
        <w:rPr>
          <w:b/>
          <w:bCs/>
        </w:rPr>
        <w:t xml:space="preserve"> that it addresses the root causes of trafficking</w:t>
      </w:r>
      <w:r>
        <w:rPr>
          <w:b/>
          <w:bCs/>
        </w:rPr>
        <w:t xml:space="preserve"> in persons</w:t>
      </w:r>
      <w:r w:rsidRPr="00377DF2">
        <w:rPr>
          <w:b/>
          <w:bCs/>
        </w:rPr>
        <w:t>;</w:t>
      </w:r>
    </w:p>
    <w:p w14:paraId="20959D9C" w14:textId="77777777" w:rsidR="00C436F0" w:rsidRPr="00377DF2" w:rsidRDefault="00C436F0" w:rsidP="00C436F0">
      <w:pPr>
        <w:pStyle w:val="SingleTxtG"/>
      </w:pPr>
      <w:r>
        <w:lastRenderedPageBreak/>
        <w:tab/>
      </w:r>
      <w:r w:rsidRPr="00377DF2">
        <w:t>(b)</w:t>
      </w:r>
      <w:r w:rsidRPr="00377DF2">
        <w:tab/>
      </w:r>
      <w:r w:rsidRPr="00377DF2">
        <w:rPr>
          <w:b/>
          <w:bCs/>
        </w:rPr>
        <w:t xml:space="preserve">Enhance the guidelines for the early identification of victims of trafficking and reinforce the mechanisms of support, referral, rehabilitation and social integration </w:t>
      </w:r>
      <w:r>
        <w:rPr>
          <w:b/>
          <w:bCs/>
        </w:rPr>
        <w:t>for</w:t>
      </w:r>
      <w:r w:rsidRPr="00377DF2">
        <w:rPr>
          <w:b/>
          <w:bCs/>
        </w:rPr>
        <w:t xml:space="preserve"> victims, including by providing them with access to shelters</w:t>
      </w:r>
      <w:r>
        <w:rPr>
          <w:b/>
          <w:bCs/>
        </w:rPr>
        <w:t xml:space="preserve"> and</w:t>
      </w:r>
      <w:r w:rsidRPr="00377DF2">
        <w:rPr>
          <w:b/>
          <w:bCs/>
        </w:rPr>
        <w:t xml:space="preserve"> legal, medical and psychosocial assistance;</w:t>
      </w:r>
    </w:p>
    <w:p w14:paraId="26CC2953" w14:textId="77777777" w:rsidR="00C436F0" w:rsidRPr="00377DF2" w:rsidRDefault="00C436F0" w:rsidP="00C436F0">
      <w:pPr>
        <w:pStyle w:val="SingleTxtG"/>
      </w:pPr>
      <w:r>
        <w:tab/>
      </w:r>
      <w:r w:rsidRPr="00377DF2">
        <w:t>(c)</w:t>
      </w:r>
      <w:r w:rsidRPr="00377DF2">
        <w:tab/>
      </w:r>
      <w:r w:rsidRPr="00377DF2">
        <w:rPr>
          <w:b/>
          <w:bCs/>
        </w:rPr>
        <w:t>Ensure that child victims of trafficking are provided with appropriate assistance and protection</w:t>
      </w:r>
      <w:r>
        <w:rPr>
          <w:b/>
          <w:bCs/>
        </w:rPr>
        <w:t>,</w:t>
      </w:r>
      <w:r w:rsidRPr="00377DF2">
        <w:rPr>
          <w:b/>
          <w:bCs/>
        </w:rPr>
        <w:t xml:space="preserve"> </w:t>
      </w:r>
      <w:r>
        <w:rPr>
          <w:b/>
          <w:bCs/>
        </w:rPr>
        <w:t>with</w:t>
      </w:r>
      <w:r w:rsidRPr="00377DF2">
        <w:rPr>
          <w:b/>
          <w:bCs/>
        </w:rPr>
        <w:t xml:space="preserve"> full account taken of their special rights and needs;</w:t>
      </w:r>
      <w:r w:rsidRPr="00377DF2">
        <w:t xml:space="preserve"> </w:t>
      </w:r>
    </w:p>
    <w:p w14:paraId="015A2777" w14:textId="77777777" w:rsidR="00C436F0" w:rsidRPr="00377DF2" w:rsidRDefault="00C436F0" w:rsidP="00C436F0">
      <w:pPr>
        <w:pStyle w:val="SingleTxtG"/>
      </w:pPr>
      <w:r>
        <w:tab/>
      </w:r>
      <w:r w:rsidRPr="00377DF2">
        <w:t>(d)</w:t>
      </w:r>
      <w:r w:rsidRPr="00377DF2">
        <w:tab/>
      </w:r>
      <w:r w:rsidRPr="00377DF2">
        <w:rPr>
          <w:b/>
          <w:bCs/>
        </w:rPr>
        <w:t xml:space="preserve">Ensure prompt, effective and impartial investigation, prosecution and punishment </w:t>
      </w:r>
      <w:r>
        <w:rPr>
          <w:b/>
          <w:bCs/>
        </w:rPr>
        <w:t>in</w:t>
      </w:r>
      <w:r w:rsidRPr="00377DF2">
        <w:rPr>
          <w:b/>
          <w:bCs/>
        </w:rPr>
        <w:t xml:space="preserve"> all </w:t>
      </w:r>
      <w:r>
        <w:rPr>
          <w:b/>
          <w:bCs/>
        </w:rPr>
        <w:t>cases</w:t>
      </w:r>
      <w:r w:rsidRPr="00377DF2">
        <w:rPr>
          <w:b/>
          <w:bCs/>
        </w:rPr>
        <w:t xml:space="preserve"> of trafficking in persons and other related offences;</w:t>
      </w:r>
    </w:p>
    <w:p w14:paraId="7AA8B4F0" w14:textId="77777777" w:rsidR="00C436F0" w:rsidRPr="00377DF2" w:rsidRDefault="00C436F0" w:rsidP="00C436F0">
      <w:pPr>
        <w:pStyle w:val="SingleTxtG"/>
      </w:pPr>
      <w:r>
        <w:tab/>
      </w:r>
      <w:r w:rsidRPr="00377DF2">
        <w:t>(e)</w:t>
      </w:r>
      <w:r w:rsidRPr="00377DF2">
        <w:tab/>
      </w:r>
      <w:r w:rsidRPr="00377DF2">
        <w:rPr>
          <w:b/>
          <w:bCs/>
        </w:rPr>
        <w:t xml:space="preserve">Strengthen </w:t>
      </w:r>
      <w:r>
        <w:rPr>
          <w:b/>
          <w:bCs/>
        </w:rPr>
        <w:t xml:space="preserve">training, including on </w:t>
      </w:r>
      <w:r w:rsidRPr="00377DF2">
        <w:rPr>
          <w:b/>
          <w:bCs/>
        </w:rPr>
        <w:t xml:space="preserve">gender-responsive and child-friendly </w:t>
      </w:r>
      <w:r>
        <w:rPr>
          <w:b/>
          <w:bCs/>
        </w:rPr>
        <w:t>approaches,</w:t>
      </w:r>
      <w:r w:rsidRPr="00377DF2">
        <w:rPr>
          <w:b/>
          <w:bCs/>
        </w:rPr>
        <w:t xml:space="preserve"> for law enforcement officials, judges, prosecutors, labour inspectors, teachers, health</w:t>
      </w:r>
      <w:r>
        <w:rPr>
          <w:b/>
          <w:bCs/>
        </w:rPr>
        <w:t>-</w:t>
      </w:r>
      <w:r w:rsidRPr="00377DF2">
        <w:rPr>
          <w:b/>
          <w:bCs/>
        </w:rPr>
        <w:t>care workers and the staff of the State party’s embassies and consulates, and more widely</w:t>
      </w:r>
      <w:r w:rsidRPr="000545FB">
        <w:rPr>
          <w:b/>
          <w:bCs/>
        </w:rPr>
        <w:t xml:space="preserve"> </w:t>
      </w:r>
      <w:r w:rsidRPr="00377DF2">
        <w:rPr>
          <w:b/>
          <w:bCs/>
        </w:rPr>
        <w:t xml:space="preserve">disseminate information on trafficking in persons and assistance </w:t>
      </w:r>
      <w:r>
        <w:rPr>
          <w:b/>
          <w:bCs/>
        </w:rPr>
        <w:t>for</w:t>
      </w:r>
      <w:r w:rsidRPr="00377DF2">
        <w:rPr>
          <w:b/>
          <w:bCs/>
        </w:rPr>
        <w:t xml:space="preserve"> victims, while ensuring a multidisciplinary approach;</w:t>
      </w:r>
    </w:p>
    <w:p w14:paraId="3532664B" w14:textId="77777777" w:rsidR="00C436F0" w:rsidRPr="00377DF2" w:rsidRDefault="00C436F0" w:rsidP="00C436F0">
      <w:pPr>
        <w:pStyle w:val="SingleTxtG"/>
      </w:pPr>
      <w:r>
        <w:tab/>
      </w:r>
      <w:r w:rsidRPr="00377DF2">
        <w:t>(f)</w:t>
      </w:r>
      <w:r w:rsidRPr="00377DF2">
        <w:tab/>
      </w:r>
      <w:r w:rsidRPr="00377DF2">
        <w:rPr>
          <w:b/>
          <w:bCs/>
        </w:rPr>
        <w:t>Step up awareness-raising and information</w:t>
      </w:r>
      <w:r w:rsidRPr="00C4665B">
        <w:rPr>
          <w:b/>
          <w:bCs/>
        </w:rPr>
        <w:t xml:space="preserve"> </w:t>
      </w:r>
      <w:r w:rsidRPr="00377DF2">
        <w:rPr>
          <w:b/>
          <w:bCs/>
        </w:rPr>
        <w:t xml:space="preserve">campaigns on the prevention of trafficking </w:t>
      </w:r>
      <w:r>
        <w:rPr>
          <w:b/>
          <w:bCs/>
        </w:rPr>
        <w:t>in</w:t>
      </w:r>
      <w:r w:rsidRPr="00377DF2">
        <w:rPr>
          <w:b/>
          <w:bCs/>
        </w:rPr>
        <w:t xml:space="preserve"> migrant workers and encourage the private sector to protect persons </w:t>
      </w:r>
      <w:r>
        <w:rPr>
          <w:b/>
          <w:bCs/>
        </w:rPr>
        <w:t>from</w:t>
      </w:r>
      <w:r w:rsidRPr="00377DF2">
        <w:rPr>
          <w:b/>
          <w:bCs/>
        </w:rPr>
        <w:t xml:space="preserve"> all forms of exploitation, including forced labour and services;</w:t>
      </w:r>
    </w:p>
    <w:p w14:paraId="698B25AF" w14:textId="77777777" w:rsidR="00C436F0" w:rsidRPr="00377DF2" w:rsidRDefault="00C436F0" w:rsidP="00C436F0">
      <w:pPr>
        <w:pStyle w:val="SingleTxtG"/>
      </w:pPr>
      <w:r>
        <w:tab/>
      </w:r>
      <w:r w:rsidRPr="00377DF2">
        <w:t>(g)</w:t>
      </w:r>
      <w:r w:rsidRPr="00377DF2">
        <w:tab/>
      </w:r>
      <w:r w:rsidRPr="00377DF2">
        <w:rPr>
          <w:b/>
          <w:bCs/>
        </w:rPr>
        <w:t xml:space="preserve">Systematically collect disaggregated data on trafficking in persons, including data on all forms of exploitation, with a view to preventing </w:t>
      </w:r>
      <w:r>
        <w:rPr>
          <w:b/>
          <w:bCs/>
        </w:rPr>
        <w:t xml:space="preserve">such </w:t>
      </w:r>
      <w:r w:rsidRPr="00377DF2">
        <w:rPr>
          <w:b/>
          <w:bCs/>
        </w:rPr>
        <w:t>trafficking;</w:t>
      </w:r>
      <w:r w:rsidRPr="00377DF2">
        <w:t xml:space="preserve"> </w:t>
      </w:r>
    </w:p>
    <w:p w14:paraId="1A318DA2" w14:textId="77777777" w:rsidR="00C436F0" w:rsidRPr="00377DF2" w:rsidRDefault="00C436F0" w:rsidP="00C436F0">
      <w:pPr>
        <w:pStyle w:val="SingleTxtG"/>
      </w:pPr>
      <w:r>
        <w:tab/>
      </w:r>
      <w:r w:rsidRPr="00377DF2">
        <w:t>(h)</w:t>
      </w:r>
      <w:r w:rsidRPr="00377DF2">
        <w:tab/>
      </w:r>
      <w:r w:rsidRPr="00377DF2">
        <w:rPr>
          <w:b/>
          <w:bCs/>
        </w:rPr>
        <w:t xml:space="preserve">Continue </w:t>
      </w:r>
      <w:r>
        <w:rPr>
          <w:b/>
          <w:bCs/>
        </w:rPr>
        <w:t xml:space="preserve">to </w:t>
      </w:r>
      <w:r w:rsidRPr="00377DF2">
        <w:rPr>
          <w:b/>
          <w:bCs/>
        </w:rPr>
        <w:t>strengthen international, regional and bilateral cooperation through agreements with countries of origin, transit and destination on prevent</w:t>
      </w:r>
      <w:r>
        <w:rPr>
          <w:b/>
          <w:bCs/>
        </w:rPr>
        <w:t>ing</w:t>
      </w:r>
      <w:r w:rsidRPr="00377DF2">
        <w:rPr>
          <w:b/>
          <w:bCs/>
        </w:rPr>
        <w:t xml:space="preserve"> and combating trafficking in persons;</w:t>
      </w:r>
    </w:p>
    <w:p w14:paraId="7A133845" w14:textId="77777777" w:rsidR="00C436F0" w:rsidRPr="00377DF2" w:rsidRDefault="00C436F0" w:rsidP="00C436F0">
      <w:pPr>
        <w:pStyle w:val="SingleTxtG"/>
      </w:pPr>
      <w:r>
        <w:tab/>
      </w:r>
      <w:r w:rsidRPr="00377DF2">
        <w:t>(i)</w:t>
      </w:r>
      <w:r w:rsidRPr="00377DF2">
        <w:tab/>
      </w:r>
      <w:r w:rsidRPr="00377DF2">
        <w:rPr>
          <w:b/>
          <w:bCs/>
        </w:rPr>
        <w:t>Provide in its next periodic report data on trafficking, prostitution</w:t>
      </w:r>
      <w:r>
        <w:rPr>
          <w:b/>
          <w:bCs/>
        </w:rPr>
        <w:t xml:space="preserve"> and other </w:t>
      </w:r>
      <w:r w:rsidRPr="00377DF2">
        <w:rPr>
          <w:b/>
          <w:bCs/>
        </w:rPr>
        <w:t xml:space="preserve">exploitation of women and girls, the number of prosecutions and convictions in </w:t>
      </w:r>
      <w:r>
        <w:rPr>
          <w:b/>
          <w:bCs/>
        </w:rPr>
        <w:t xml:space="preserve">cases of </w:t>
      </w:r>
      <w:r w:rsidRPr="00377DF2">
        <w:rPr>
          <w:b/>
          <w:bCs/>
        </w:rPr>
        <w:t xml:space="preserve">trafficking and sexual exploitation, </w:t>
      </w:r>
      <w:r>
        <w:rPr>
          <w:b/>
          <w:bCs/>
        </w:rPr>
        <w:t>and</w:t>
      </w:r>
      <w:r w:rsidRPr="00377DF2">
        <w:rPr>
          <w:b/>
          <w:bCs/>
        </w:rPr>
        <w:t xml:space="preserve"> the impact of the measures taken to combat these phenomena.</w:t>
      </w:r>
    </w:p>
    <w:p w14:paraId="4E62A6A7" w14:textId="77777777" w:rsidR="00C436F0" w:rsidRPr="00B9490E" w:rsidRDefault="00C436F0" w:rsidP="00C436F0">
      <w:pPr>
        <w:pStyle w:val="H23G"/>
      </w:pPr>
      <w:r>
        <w:tab/>
      </w:r>
      <w:r>
        <w:tab/>
      </w:r>
      <w:r w:rsidRPr="00CD322C">
        <w:t>Measures to address migrant workers in an irregular situation</w:t>
      </w:r>
    </w:p>
    <w:p w14:paraId="39A02A9D" w14:textId="77777777" w:rsidR="00C436F0" w:rsidRPr="00925179" w:rsidRDefault="00C436F0" w:rsidP="00C436F0">
      <w:pPr>
        <w:pStyle w:val="SingleTxtG"/>
      </w:pPr>
      <w:r w:rsidRPr="00925179">
        <w:t>53.</w:t>
      </w:r>
      <w:r w:rsidRPr="00925179">
        <w:tab/>
        <w:t xml:space="preserve">The Committee is concerned about the lack of clarity regarding the concrete measures taken by the State party to ensure that the </w:t>
      </w:r>
      <w:r>
        <w:t xml:space="preserve">irregular </w:t>
      </w:r>
      <w:r w:rsidRPr="00925179">
        <w:t>situation of migrant workers and members of their families within its territory does not persist.</w:t>
      </w:r>
    </w:p>
    <w:p w14:paraId="508F899F" w14:textId="77777777" w:rsidR="00C436F0" w:rsidRPr="00925179" w:rsidRDefault="00C436F0" w:rsidP="00C436F0">
      <w:pPr>
        <w:pStyle w:val="SingleTxtG"/>
        <w:rPr>
          <w:b/>
          <w:bCs/>
        </w:rPr>
      </w:pPr>
      <w:r w:rsidRPr="00925179">
        <w:t>54.</w:t>
      </w:r>
      <w:r w:rsidRPr="00925179">
        <w:tab/>
      </w:r>
      <w:r w:rsidRPr="00CD322C">
        <w:rPr>
          <w:b/>
          <w:bCs/>
        </w:rPr>
        <w:t>The Committee recommends that the State party, in accordance with the OHCHR Recommended Principles and Guidelines on Human Rights at International Borders:</w:t>
      </w:r>
    </w:p>
    <w:p w14:paraId="2D9F88A2" w14:textId="77777777" w:rsidR="00C436F0" w:rsidRPr="00925179" w:rsidRDefault="00C436F0" w:rsidP="00C436F0">
      <w:pPr>
        <w:pStyle w:val="SingleTxtG"/>
      </w:pPr>
      <w:r>
        <w:tab/>
      </w:r>
      <w:r w:rsidRPr="00925179">
        <w:t>(a)</w:t>
      </w:r>
      <w:r>
        <w:tab/>
      </w:r>
      <w:r w:rsidRPr="00925179">
        <w:rPr>
          <w:b/>
          <w:bCs/>
        </w:rPr>
        <w:t xml:space="preserve">Take appropriate measures </w:t>
      </w:r>
      <w:r>
        <w:rPr>
          <w:b/>
          <w:bCs/>
        </w:rPr>
        <w:t>to</w:t>
      </w:r>
      <w:r w:rsidRPr="00925179">
        <w:rPr>
          <w:b/>
          <w:bCs/>
        </w:rPr>
        <w:t xml:space="preserve"> establish procedures for regularizing the situation of migrant workers in an irregular situation</w:t>
      </w:r>
      <w:r>
        <w:rPr>
          <w:b/>
          <w:bCs/>
        </w:rPr>
        <w:t>,</w:t>
      </w:r>
      <w:r w:rsidRPr="00925179">
        <w:rPr>
          <w:b/>
          <w:bCs/>
        </w:rPr>
        <w:t xml:space="preserve"> so as to ensure that such a situation does not persist;</w:t>
      </w:r>
    </w:p>
    <w:p w14:paraId="5C496998" w14:textId="77777777" w:rsidR="00C436F0" w:rsidRPr="00925179" w:rsidRDefault="00C436F0" w:rsidP="00C436F0">
      <w:pPr>
        <w:pStyle w:val="SingleTxtG"/>
      </w:pPr>
      <w:r>
        <w:tab/>
      </w:r>
      <w:r w:rsidRPr="00925179">
        <w:t>(b)</w:t>
      </w:r>
      <w:r>
        <w:tab/>
      </w:r>
      <w:r w:rsidRPr="00925179">
        <w:rPr>
          <w:b/>
          <w:bCs/>
        </w:rPr>
        <w:t>Raise awareness among migrant workers in an irregular situation about such procedures;</w:t>
      </w:r>
    </w:p>
    <w:p w14:paraId="0764D5A6" w14:textId="77777777" w:rsidR="00C436F0" w:rsidRPr="004E3A31" w:rsidRDefault="00C436F0" w:rsidP="00C436F0">
      <w:pPr>
        <w:pStyle w:val="SingleTxtG"/>
      </w:pPr>
      <w:r>
        <w:tab/>
      </w:r>
      <w:r w:rsidRPr="00925179">
        <w:t>(c)</w:t>
      </w:r>
      <w:r w:rsidRPr="00925179">
        <w:tab/>
      </w:r>
      <w:r w:rsidRPr="00925179">
        <w:rPr>
          <w:b/>
          <w:bCs/>
        </w:rPr>
        <w:t xml:space="preserve">Ensure that </w:t>
      </w:r>
      <w:r>
        <w:rPr>
          <w:b/>
          <w:bCs/>
        </w:rPr>
        <w:t>no</w:t>
      </w:r>
      <w:r w:rsidRPr="00925179">
        <w:rPr>
          <w:b/>
          <w:bCs/>
        </w:rPr>
        <w:t xml:space="preserve"> measures aimed at addressing irregular migration or smuggling of migrants adversely affect the human rights of migrant workers and </w:t>
      </w:r>
      <w:r w:rsidRPr="004E3A31">
        <w:rPr>
          <w:b/>
          <w:bCs/>
        </w:rPr>
        <w:t>members of their families</w:t>
      </w:r>
      <w:r>
        <w:rPr>
          <w:b/>
          <w:bCs/>
        </w:rPr>
        <w:t>,</w:t>
      </w:r>
      <w:r w:rsidRPr="004E3A31">
        <w:rPr>
          <w:b/>
          <w:bCs/>
        </w:rPr>
        <w:t xml:space="preserve"> and that </w:t>
      </w:r>
      <w:r>
        <w:rPr>
          <w:b/>
          <w:bCs/>
        </w:rPr>
        <w:t>they</w:t>
      </w:r>
      <w:r w:rsidRPr="004E3A31">
        <w:rPr>
          <w:b/>
          <w:bCs/>
        </w:rPr>
        <w:t xml:space="preserve"> are provided with </w:t>
      </w:r>
      <w:r>
        <w:rPr>
          <w:b/>
          <w:bCs/>
        </w:rPr>
        <w:t xml:space="preserve">the </w:t>
      </w:r>
      <w:r w:rsidRPr="004E3A31">
        <w:rPr>
          <w:b/>
          <w:bCs/>
        </w:rPr>
        <w:t>necessary assistance and afforded due process guarantees.</w:t>
      </w:r>
    </w:p>
    <w:p w14:paraId="4264E439" w14:textId="77777777" w:rsidR="00C436F0" w:rsidRPr="00A07BA8" w:rsidRDefault="00C436F0" w:rsidP="00C436F0">
      <w:pPr>
        <w:pStyle w:val="H23G"/>
      </w:pPr>
      <w:r w:rsidRPr="004E3A31">
        <w:tab/>
      </w:r>
      <w:r w:rsidRPr="00A07BA8">
        <w:t>7.</w:t>
      </w:r>
      <w:r w:rsidRPr="00A07BA8">
        <w:tab/>
        <w:t>Dissemination and follow-up</w:t>
      </w:r>
    </w:p>
    <w:p w14:paraId="33942AE9" w14:textId="77777777" w:rsidR="00C436F0" w:rsidRPr="00A07BA8" w:rsidRDefault="00C436F0" w:rsidP="00C436F0">
      <w:pPr>
        <w:pStyle w:val="H23G"/>
        <w:rPr>
          <w:bCs/>
        </w:rPr>
      </w:pPr>
      <w:r w:rsidRPr="00A07BA8">
        <w:rPr>
          <w:bCs/>
        </w:rPr>
        <w:tab/>
      </w:r>
      <w:r w:rsidRPr="00A07BA8">
        <w:rPr>
          <w:bCs/>
        </w:rPr>
        <w:tab/>
        <w:t>Dissemination</w:t>
      </w:r>
    </w:p>
    <w:p w14:paraId="563EFC11" w14:textId="77777777" w:rsidR="00C436F0" w:rsidRPr="00A07BA8" w:rsidRDefault="00C436F0" w:rsidP="00C436F0">
      <w:pPr>
        <w:pStyle w:val="SingleTxtG"/>
        <w:rPr>
          <w:lang w:eastAsia="en-GB"/>
        </w:rPr>
      </w:pPr>
      <w:r w:rsidRPr="00A07BA8">
        <w:rPr>
          <w:lang w:eastAsia="en-GB"/>
        </w:rPr>
        <w:t>55.</w:t>
      </w:r>
      <w:r w:rsidRPr="00A07BA8">
        <w:rPr>
          <w:lang w:eastAsia="en-GB"/>
        </w:rPr>
        <w:tab/>
      </w:r>
      <w:r w:rsidRPr="00A07BA8">
        <w:rPr>
          <w:b/>
          <w:bCs/>
          <w:lang w:eastAsia="en-GB"/>
        </w:rPr>
        <w:t>The Committee requests the State party to ensure the timely dissemination of the present concluding observations, in the official languages of the State party, to the relevant State institutions at all levels, including to government ministries, the legislature, the judiciary and relevant local authorities, as well as to non-governmental organizations and other members of civil society.</w:t>
      </w:r>
      <w:r w:rsidRPr="00A07BA8">
        <w:rPr>
          <w:lang w:eastAsia="en-GB"/>
        </w:rPr>
        <w:t xml:space="preserve"> </w:t>
      </w:r>
    </w:p>
    <w:p w14:paraId="495906B2" w14:textId="77777777" w:rsidR="00C436F0" w:rsidRPr="00A07BA8" w:rsidRDefault="00C436F0" w:rsidP="00C436F0">
      <w:pPr>
        <w:pStyle w:val="H23G"/>
      </w:pPr>
      <w:r w:rsidRPr="00A07BA8">
        <w:lastRenderedPageBreak/>
        <w:tab/>
      </w:r>
      <w:r w:rsidRPr="00A07BA8">
        <w:tab/>
        <w:t xml:space="preserve">Technical assistance </w:t>
      </w:r>
    </w:p>
    <w:p w14:paraId="7762B16E" w14:textId="77777777" w:rsidR="00C436F0" w:rsidRPr="004A53B3" w:rsidRDefault="00C436F0" w:rsidP="00C436F0">
      <w:pPr>
        <w:pStyle w:val="SingleTxtG"/>
        <w:rPr>
          <w:lang w:eastAsia="en-GB"/>
        </w:rPr>
      </w:pPr>
      <w:r w:rsidRPr="00A07BA8">
        <w:rPr>
          <w:lang w:eastAsia="en-GB"/>
        </w:rPr>
        <w:t>56.</w:t>
      </w:r>
      <w:r w:rsidRPr="00A07BA8">
        <w:rPr>
          <w:lang w:eastAsia="en-GB"/>
        </w:rPr>
        <w:tab/>
      </w:r>
      <w:r w:rsidRPr="00A07BA8">
        <w:rPr>
          <w:b/>
          <w:bCs/>
          <w:lang w:eastAsia="en-GB"/>
        </w:rPr>
        <w:t>The Committee recommends that the State party avail itself of international assistance for the implementation of the recommendations contained in the present concluding observations in line with the 2030 Agenda for Sustainable Development.</w:t>
      </w:r>
      <w:r w:rsidRPr="00B1405A">
        <w:rPr>
          <w:b/>
          <w:bCs/>
          <w:lang w:eastAsia="en-GB"/>
        </w:rPr>
        <w:t xml:space="preserve"> It also recommends that the State party continue its cooperation with specialized agencies and programmes of the United Nations.</w:t>
      </w:r>
      <w:r>
        <w:rPr>
          <w:b/>
          <w:bCs/>
          <w:lang w:eastAsia="en-GB"/>
        </w:rPr>
        <w:t xml:space="preserve"> The Committee stands ready to provide technical assistance to the State party regarding the implementation of the Convention.</w:t>
      </w:r>
    </w:p>
    <w:p w14:paraId="203DAFD7" w14:textId="77777777" w:rsidR="00C436F0" w:rsidRPr="00A07BA8" w:rsidRDefault="00C436F0" w:rsidP="00C436F0">
      <w:pPr>
        <w:pStyle w:val="H23G"/>
      </w:pPr>
      <w:r>
        <w:tab/>
      </w:r>
      <w:r>
        <w:tab/>
      </w:r>
      <w:r w:rsidRPr="00A07BA8">
        <w:t>Follow-up to concluding observations</w:t>
      </w:r>
    </w:p>
    <w:p w14:paraId="798F8DB7" w14:textId="77777777" w:rsidR="00C436F0" w:rsidRPr="00B1405A" w:rsidRDefault="00C436F0" w:rsidP="00C436F0">
      <w:pPr>
        <w:pStyle w:val="SingleTxtG"/>
        <w:rPr>
          <w:lang w:eastAsia="en-GB"/>
        </w:rPr>
      </w:pPr>
      <w:r w:rsidRPr="00A07BA8">
        <w:rPr>
          <w:lang w:eastAsia="en-GB"/>
        </w:rPr>
        <w:t>57.</w:t>
      </w:r>
      <w:r w:rsidRPr="00A07BA8">
        <w:rPr>
          <w:lang w:eastAsia="en-GB"/>
        </w:rPr>
        <w:tab/>
      </w:r>
      <w:r w:rsidRPr="00A07BA8">
        <w:rPr>
          <w:b/>
          <w:bCs/>
          <w:lang w:eastAsia="en-GB"/>
        </w:rPr>
        <w:t>The Committee requests the State party to provide, within two years (that is, by 2 January 2026), written information on the implementation of the recommendations contained in paragraphs</w:t>
      </w:r>
      <w:r w:rsidRPr="00B1405A">
        <w:rPr>
          <w:b/>
          <w:bCs/>
          <w:lang w:eastAsia="en-GB"/>
        </w:rPr>
        <w:t xml:space="preserve"> 12 </w:t>
      </w:r>
      <w:r>
        <w:rPr>
          <w:b/>
          <w:bCs/>
          <w:lang w:eastAsia="en-GB"/>
        </w:rPr>
        <w:t>(</w:t>
      </w:r>
      <w:r w:rsidRPr="00B1405A">
        <w:rPr>
          <w:b/>
          <w:bCs/>
          <w:lang w:eastAsia="en-GB"/>
        </w:rPr>
        <w:t>legislation and application</w:t>
      </w:r>
      <w:r>
        <w:rPr>
          <w:b/>
          <w:bCs/>
          <w:lang w:eastAsia="en-GB"/>
        </w:rPr>
        <w:t>),</w:t>
      </w:r>
      <w:r w:rsidRPr="00B1405A">
        <w:rPr>
          <w:b/>
          <w:bCs/>
          <w:lang w:eastAsia="en-GB"/>
        </w:rPr>
        <w:t xml:space="preserve"> 1</w:t>
      </w:r>
      <w:r>
        <w:rPr>
          <w:b/>
          <w:bCs/>
          <w:lang w:eastAsia="en-GB"/>
        </w:rPr>
        <w:t>8</w:t>
      </w:r>
      <w:r w:rsidRPr="00B1405A">
        <w:rPr>
          <w:b/>
          <w:bCs/>
          <w:lang w:eastAsia="en-GB"/>
        </w:rPr>
        <w:t xml:space="preserve"> </w:t>
      </w:r>
      <w:r>
        <w:rPr>
          <w:b/>
          <w:bCs/>
          <w:lang w:eastAsia="en-GB"/>
        </w:rPr>
        <w:t>(</w:t>
      </w:r>
      <w:r w:rsidRPr="00B1405A">
        <w:rPr>
          <w:b/>
          <w:bCs/>
          <w:lang w:eastAsia="en-GB"/>
        </w:rPr>
        <w:t>ratification of relevant instruments</w:t>
      </w:r>
      <w:r>
        <w:rPr>
          <w:b/>
          <w:bCs/>
          <w:lang w:eastAsia="en-GB"/>
        </w:rPr>
        <w:t>),</w:t>
      </w:r>
      <w:r w:rsidRPr="00B1405A">
        <w:rPr>
          <w:b/>
          <w:bCs/>
          <w:lang w:eastAsia="en-GB"/>
        </w:rPr>
        <w:t xml:space="preserve"> 20 </w:t>
      </w:r>
      <w:r>
        <w:rPr>
          <w:b/>
          <w:bCs/>
          <w:lang w:eastAsia="en-GB"/>
        </w:rPr>
        <w:t>(</w:t>
      </w:r>
      <w:r w:rsidRPr="00B1405A">
        <w:rPr>
          <w:b/>
          <w:bCs/>
          <w:lang w:eastAsia="en-GB"/>
        </w:rPr>
        <w:t>data collection</w:t>
      </w:r>
      <w:r>
        <w:rPr>
          <w:b/>
          <w:bCs/>
          <w:lang w:eastAsia="en-GB"/>
        </w:rPr>
        <w:t>),</w:t>
      </w:r>
      <w:r w:rsidRPr="00B1405A">
        <w:rPr>
          <w:b/>
          <w:bCs/>
          <w:lang w:eastAsia="en-GB"/>
        </w:rPr>
        <w:t xml:space="preserve"> 30 </w:t>
      </w:r>
      <w:r>
        <w:rPr>
          <w:b/>
          <w:bCs/>
          <w:lang w:eastAsia="en-GB"/>
        </w:rPr>
        <w:t>(</w:t>
      </w:r>
      <w:r w:rsidRPr="00B1405A">
        <w:rPr>
          <w:b/>
          <w:bCs/>
          <w:lang w:eastAsia="en-GB"/>
        </w:rPr>
        <w:t>right to an effective remedy</w:t>
      </w:r>
      <w:r>
        <w:rPr>
          <w:b/>
          <w:bCs/>
          <w:lang w:eastAsia="en-GB"/>
        </w:rPr>
        <w:t>) and</w:t>
      </w:r>
      <w:r w:rsidRPr="00B1405A">
        <w:rPr>
          <w:b/>
          <w:bCs/>
          <w:lang w:eastAsia="en-GB"/>
        </w:rPr>
        <w:t xml:space="preserve"> 5</w:t>
      </w:r>
      <w:r>
        <w:rPr>
          <w:b/>
          <w:bCs/>
          <w:lang w:eastAsia="en-GB"/>
        </w:rPr>
        <w:t>2</w:t>
      </w:r>
      <w:r w:rsidRPr="00B1405A">
        <w:rPr>
          <w:b/>
          <w:bCs/>
          <w:lang w:eastAsia="en-GB"/>
        </w:rPr>
        <w:t xml:space="preserve"> </w:t>
      </w:r>
      <w:r>
        <w:rPr>
          <w:b/>
          <w:bCs/>
          <w:lang w:eastAsia="en-GB"/>
        </w:rPr>
        <w:t>(i</w:t>
      </w:r>
      <w:r w:rsidRPr="00FC31B0">
        <w:rPr>
          <w:b/>
          <w:bCs/>
          <w:lang w:eastAsia="en-GB"/>
        </w:rPr>
        <w:t>llegal or clandestine movements and employment of migrant workers in an irregular situation</w:t>
      </w:r>
      <w:r>
        <w:rPr>
          <w:b/>
          <w:bCs/>
          <w:lang w:eastAsia="en-GB"/>
        </w:rPr>
        <w:t>)</w:t>
      </w:r>
      <w:r w:rsidRPr="00B1405A">
        <w:rPr>
          <w:b/>
          <w:bCs/>
          <w:lang w:eastAsia="en-GB"/>
        </w:rPr>
        <w:t xml:space="preserve"> above.</w:t>
      </w:r>
    </w:p>
    <w:p w14:paraId="133C91AE" w14:textId="77777777" w:rsidR="00C436F0" w:rsidRPr="00CE264B" w:rsidRDefault="00C436F0" w:rsidP="00C436F0">
      <w:pPr>
        <w:pStyle w:val="H23G"/>
      </w:pPr>
      <w:r w:rsidRPr="00B1405A">
        <w:tab/>
      </w:r>
      <w:r w:rsidRPr="00B1405A">
        <w:tab/>
      </w:r>
      <w:r w:rsidRPr="00A07BA8">
        <w:t>Next periodic report</w:t>
      </w:r>
    </w:p>
    <w:p w14:paraId="15AD7EC7" w14:textId="0C586DCD" w:rsidR="00C436F0" w:rsidRPr="0099062A" w:rsidRDefault="00C436F0" w:rsidP="00C436F0">
      <w:pPr>
        <w:pStyle w:val="SingleTxtG"/>
        <w:rPr>
          <w:lang w:eastAsia="en-GB"/>
        </w:rPr>
      </w:pPr>
      <w:r>
        <w:rPr>
          <w:lang w:eastAsia="en-GB"/>
        </w:rPr>
        <w:t>58</w:t>
      </w:r>
      <w:r w:rsidRPr="00CE264B">
        <w:rPr>
          <w:lang w:eastAsia="en-GB"/>
        </w:rPr>
        <w:t>.</w:t>
      </w:r>
      <w:r w:rsidRPr="00CE264B">
        <w:rPr>
          <w:lang w:eastAsia="en-GB"/>
        </w:rPr>
        <w:tab/>
      </w:r>
      <w:r w:rsidRPr="00B1405A">
        <w:rPr>
          <w:b/>
          <w:bCs/>
          <w:lang w:eastAsia="en-GB"/>
        </w:rPr>
        <w:t xml:space="preserve">The </w:t>
      </w:r>
      <w:r>
        <w:rPr>
          <w:b/>
          <w:bCs/>
          <w:lang w:eastAsia="en-GB"/>
        </w:rPr>
        <w:t xml:space="preserve">Committee requests the </w:t>
      </w:r>
      <w:r w:rsidRPr="00B1405A">
        <w:rPr>
          <w:b/>
          <w:bCs/>
          <w:lang w:eastAsia="en-GB"/>
        </w:rPr>
        <w:t>State party</w:t>
      </w:r>
      <w:r>
        <w:rPr>
          <w:b/>
          <w:bCs/>
          <w:lang w:eastAsia="en-GB"/>
        </w:rPr>
        <w:t xml:space="preserve"> to submit its</w:t>
      </w:r>
      <w:r w:rsidRPr="00B1405A">
        <w:rPr>
          <w:b/>
          <w:bCs/>
          <w:lang w:eastAsia="en-GB"/>
        </w:rPr>
        <w:t xml:space="preserve"> </w:t>
      </w:r>
      <w:r w:rsidRPr="00B1405A">
        <w:rPr>
          <w:b/>
          <w:bCs/>
          <w:iCs/>
          <w:lang w:eastAsia="en-GB"/>
        </w:rPr>
        <w:t>third</w:t>
      </w:r>
      <w:r w:rsidRPr="00B1405A">
        <w:rPr>
          <w:b/>
          <w:bCs/>
          <w:lang w:eastAsia="en-GB"/>
        </w:rPr>
        <w:t xml:space="preserve"> periodic report by </w:t>
      </w:r>
      <w:r>
        <w:rPr>
          <w:b/>
          <w:bCs/>
          <w:lang w:eastAsia="en-GB"/>
        </w:rPr>
        <w:t>2</w:t>
      </w:r>
      <w:r w:rsidR="00300289">
        <w:rPr>
          <w:b/>
          <w:bCs/>
          <w:lang w:eastAsia="en-GB"/>
        </w:rPr>
        <w:t> </w:t>
      </w:r>
      <w:r w:rsidRPr="00B1405A">
        <w:rPr>
          <w:b/>
          <w:bCs/>
          <w:lang w:eastAsia="en-GB"/>
        </w:rPr>
        <w:t xml:space="preserve">January 2029. The Committee will adopt a list of issues prior to </w:t>
      </w:r>
      <w:r>
        <w:rPr>
          <w:b/>
          <w:bCs/>
          <w:lang w:eastAsia="en-GB"/>
        </w:rPr>
        <w:t xml:space="preserve">the submission of the </w:t>
      </w:r>
      <w:r w:rsidRPr="00B1405A">
        <w:rPr>
          <w:b/>
          <w:bCs/>
          <w:lang w:eastAsia="en-GB"/>
        </w:rPr>
        <w:t>report</w:t>
      </w:r>
      <w:r>
        <w:rPr>
          <w:b/>
          <w:bCs/>
          <w:lang w:eastAsia="en-GB"/>
        </w:rPr>
        <w:t>,</w:t>
      </w:r>
      <w:r w:rsidRPr="00B1405A">
        <w:rPr>
          <w:b/>
          <w:bCs/>
          <w:lang w:eastAsia="en-GB"/>
        </w:rPr>
        <w:t xml:space="preserve"> under the simplified reporting procedure</w:t>
      </w:r>
      <w:r>
        <w:rPr>
          <w:b/>
          <w:bCs/>
          <w:lang w:eastAsia="en-GB"/>
        </w:rPr>
        <w:t>,</w:t>
      </w:r>
      <w:r w:rsidRPr="00B1405A">
        <w:rPr>
          <w:b/>
          <w:bCs/>
          <w:lang w:eastAsia="en-GB"/>
        </w:rPr>
        <w:t xml:space="preserve"> at one of its sessions preceding this date, unless the State party explicitly opts for the traditional reporting procedure concerning its </w:t>
      </w:r>
      <w:r w:rsidRPr="00B1405A">
        <w:rPr>
          <w:b/>
          <w:bCs/>
          <w:iCs/>
          <w:lang w:eastAsia="en-GB"/>
        </w:rPr>
        <w:t>third</w:t>
      </w:r>
      <w:r w:rsidRPr="00B1405A">
        <w:rPr>
          <w:b/>
          <w:bCs/>
          <w:i/>
          <w:lang w:eastAsia="en-GB"/>
        </w:rPr>
        <w:t xml:space="preserve"> </w:t>
      </w:r>
      <w:r w:rsidRPr="00B1405A">
        <w:rPr>
          <w:b/>
          <w:bCs/>
          <w:lang w:eastAsia="en-GB"/>
        </w:rPr>
        <w:t xml:space="preserve">periodic </w:t>
      </w:r>
      <w:r w:rsidRPr="006A07CF">
        <w:rPr>
          <w:b/>
          <w:bCs/>
          <w:lang w:eastAsia="en-GB"/>
        </w:rPr>
        <w:t>report. The Committee draws the State party’s attention to its harmonized treaty-specific guidelines.</w:t>
      </w:r>
      <w:r w:rsidRPr="00300289">
        <w:rPr>
          <w:rStyle w:val="FootnoteReference"/>
          <w:lang w:eastAsia="en-GB"/>
        </w:rPr>
        <w:footnoteReference w:id="24"/>
      </w:r>
    </w:p>
    <w:p w14:paraId="200441AC" w14:textId="77777777" w:rsidR="00C436F0" w:rsidRDefault="00C436F0"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C436F0"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11B0F" w14:textId="77777777" w:rsidR="00564EE2" w:rsidRPr="00767541" w:rsidRDefault="00564EE2" w:rsidP="00767541">
      <w:pPr>
        <w:pStyle w:val="Footer"/>
      </w:pPr>
    </w:p>
  </w:endnote>
  <w:endnote w:type="continuationSeparator" w:id="0">
    <w:p w14:paraId="238818C3" w14:textId="77777777" w:rsidR="00564EE2" w:rsidRPr="00767541" w:rsidRDefault="00564EE2"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FC55F" w14:textId="77777777" w:rsidR="00C436F0" w:rsidRDefault="00C436F0" w:rsidP="00C436F0">
    <w:pPr>
      <w:pStyle w:val="Footer"/>
      <w:tabs>
        <w:tab w:val="right" w:pos="9638"/>
      </w:tabs>
    </w:pPr>
    <w:r w:rsidRPr="00C436F0">
      <w:rPr>
        <w:b/>
        <w:bCs/>
        <w:sz w:val="18"/>
      </w:rPr>
      <w:fldChar w:fldCharType="begin"/>
    </w:r>
    <w:r w:rsidRPr="00C436F0">
      <w:rPr>
        <w:b/>
        <w:bCs/>
        <w:sz w:val="18"/>
      </w:rPr>
      <w:instrText xml:space="preserve"> PAGE  \* MERGEFORMAT </w:instrText>
    </w:r>
    <w:r w:rsidRPr="00C436F0">
      <w:rPr>
        <w:b/>
        <w:bCs/>
        <w:sz w:val="18"/>
      </w:rPr>
      <w:fldChar w:fldCharType="separate"/>
    </w:r>
    <w:r w:rsidRPr="00C436F0">
      <w:rPr>
        <w:b/>
        <w:bCs/>
        <w:noProof/>
        <w:sz w:val="18"/>
      </w:rPr>
      <w:t>2</w:t>
    </w:r>
    <w:r w:rsidRPr="00C436F0">
      <w:rPr>
        <w:b/>
        <w:bCs/>
        <w:sz w:val="18"/>
      </w:rPr>
      <w:fldChar w:fldCharType="end"/>
    </w:r>
    <w:r>
      <w:tab/>
      <w:t>GE.23-25217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D536E" w14:textId="77777777" w:rsidR="00C436F0" w:rsidRDefault="00C436F0" w:rsidP="00C436F0">
    <w:pPr>
      <w:pStyle w:val="Footer"/>
      <w:tabs>
        <w:tab w:val="right" w:pos="9638"/>
      </w:tabs>
    </w:pPr>
    <w:r>
      <w:t>GE.23-25217</w:t>
    </w:r>
    <w:r>
      <w:tab/>
    </w:r>
    <w:r w:rsidRPr="00C436F0">
      <w:rPr>
        <w:b/>
        <w:bCs/>
        <w:sz w:val="18"/>
      </w:rPr>
      <w:fldChar w:fldCharType="begin"/>
    </w:r>
    <w:r w:rsidRPr="00C436F0">
      <w:rPr>
        <w:b/>
        <w:bCs/>
        <w:sz w:val="18"/>
      </w:rPr>
      <w:instrText xml:space="preserve"> PAGE  \* MERGEFORMAT </w:instrText>
    </w:r>
    <w:r w:rsidRPr="00C436F0">
      <w:rPr>
        <w:b/>
        <w:bCs/>
        <w:sz w:val="18"/>
      </w:rPr>
      <w:fldChar w:fldCharType="separate"/>
    </w:r>
    <w:r w:rsidRPr="00C436F0">
      <w:rPr>
        <w:b/>
        <w:bCs/>
        <w:noProof/>
        <w:sz w:val="18"/>
      </w:rPr>
      <w:t>3</w:t>
    </w:r>
    <w:r w:rsidRPr="00C436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60543" w14:textId="77777777" w:rsidR="00C436F0" w:rsidRDefault="00C436F0">
    <w:pPr>
      <w:pStyle w:val="Footer"/>
      <w:rPr>
        <w:sz w:val="20"/>
      </w:rPr>
    </w:pPr>
    <w:r w:rsidRPr="0027112F">
      <w:rPr>
        <w:noProof/>
        <w:lang w:val="en-US"/>
      </w:rPr>
      <w:drawing>
        <wp:anchor distT="0" distB="0" distL="114300" distR="114300" simplePos="0" relativeHeight="251659264" behindDoc="0" locked="1" layoutInCell="1" allowOverlap="1" wp14:anchorId="620A7D97" wp14:editId="4780EBD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34B242" w14:textId="43F1F3EE" w:rsidR="00C436F0" w:rsidRPr="00C436F0" w:rsidRDefault="00C436F0" w:rsidP="00C436F0">
    <w:pPr>
      <w:pStyle w:val="Footer"/>
      <w:tabs>
        <w:tab w:val="right" w:pos="7370"/>
      </w:tabs>
      <w:rPr>
        <w:sz w:val="20"/>
      </w:rPr>
    </w:pPr>
    <w:r>
      <w:rPr>
        <w:sz w:val="20"/>
      </w:rPr>
      <w:t>GE.23-25217  (E)</w:t>
    </w:r>
    <w:r>
      <w:rPr>
        <w:noProof/>
        <w:sz w:val="20"/>
      </w:rPr>
      <w:drawing>
        <wp:anchor distT="0" distB="0" distL="114300" distR="114300" simplePos="0" relativeHeight="251660288" behindDoc="0" locked="0" layoutInCell="1" allowOverlap="1" wp14:anchorId="37E5473D" wp14:editId="71EAD3B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9479D">
      <w:rPr>
        <w:sz w:val="20"/>
      </w:rPr>
      <w:t xml:space="preserve">    261223    261223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B1DA0" w14:textId="77777777" w:rsidR="00564EE2" w:rsidRPr="00767541" w:rsidRDefault="00564EE2" w:rsidP="00767541">
      <w:pPr>
        <w:tabs>
          <w:tab w:val="right" w:pos="2155"/>
        </w:tabs>
        <w:spacing w:after="80" w:line="240" w:lineRule="auto"/>
        <w:ind w:left="680"/>
      </w:pPr>
      <w:r>
        <w:rPr>
          <w:u w:val="single"/>
        </w:rPr>
        <w:tab/>
      </w:r>
    </w:p>
  </w:footnote>
  <w:footnote w:type="continuationSeparator" w:id="0">
    <w:p w14:paraId="271CDBC9" w14:textId="77777777" w:rsidR="00564EE2" w:rsidRPr="00767541" w:rsidRDefault="00564EE2" w:rsidP="00767541">
      <w:pPr>
        <w:tabs>
          <w:tab w:val="right" w:pos="2155"/>
        </w:tabs>
        <w:spacing w:after="80" w:line="240" w:lineRule="auto"/>
        <w:ind w:left="680"/>
      </w:pPr>
      <w:r>
        <w:rPr>
          <w:u w:val="single"/>
        </w:rPr>
        <w:tab/>
      </w:r>
    </w:p>
  </w:footnote>
  <w:footnote w:id="1">
    <w:p w14:paraId="6A7289E1" w14:textId="77777777" w:rsidR="00C436F0" w:rsidRPr="00342079" w:rsidRDefault="00C436F0" w:rsidP="00C436F0">
      <w:pPr>
        <w:pStyle w:val="FootnoteText"/>
      </w:pPr>
      <w:r w:rsidRPr="002477CB">
        <w:rPr>
          <w:rStyle w:val="FootnoteReference"/>
          <w:vertAlign w:val="baseline"/>
        </w:rPr>
        <w:tab/>
      </w:r>
      <w:r w:rsidRPr="002477CB">
        <w:rPr>
          <w:rStyle w:val="FootnoteReference"/>
          <w:sz w:val="20"/>
          <w:vertAlign w:val="baseline"/>
        </w:rPr>
        <w:t>*</w:t>
      </w:r>
      <w:r w:rsidRPr="002477CB">
        <w:rPr>
          <w:rStyle w:val="FootnoteReference"/>
          <w:sz w:val="20"/>
          <w:vertAlign w:val="baseline"/>
        </w:rPr>
        <w:tab/>
      </w:r>
      <w:r>
        <w:t>Adopted by the Committee at its thirty-seventh session (27 November–8 December 2023).</w:t>
      </w:r>
    </w:p>
  </w:footnote>
  <w:footnote w:id="2">
    <w:p w14:paraId="47205C0C" w14:textId="32ADDD34" w:rsidR="00C436F0" w:rsidRDefault="00C436F0" w:rsidP="00C436F0">
      <w:pPr>
        <w:pStyle w:val="FootnoteText"/>
      </w:pPr>
      <w:r>
        <w:tab/>
      </w:r>
      <w:r>
        <w:rPr>
          <w:rStyle w:val="FootnoteReference"/>
        </w:rPr>
        <w:footnoteRef/>
      </w:r>
      <w:r>
        <w:tab/>
      </w:r>
      <w:hyperlink r:id="rId1" w:history="1">
        <w:r w:rsidR="009360E0">
          <w:rPr>
            <w:rStyle w:val="Hyperlink"/>
          </w:rPr>
          <w:t>CMW/C/KGZ/2</w:t>
        </w:r>
      </w:hyperlink>
      <w:r>
        <w:t>.</w:t>
      </w:r>
    </w:p>
  </w:footnote>
  <w:footnote w:id="3">
    <w:p w14:paraId="3F7813FF" w14:textId="46D360F3" w:rsidR="00C436F0" w:rsidRDefault="00C436F0" w:rsidP="00C436F0">
      <w:pPr>
        <w:pStyle w:val="FootnoteText"/>
      </w:pPr>
      <w:r>
        <w:tab/>
      </w:r>
      <w:r>
        <w:rPr>
          <w:rStyle w:val="FootnoteReference"/>
        </w:rPr>
        <w:footnoteRef/>
      </w:r>
      <w:r>
        <w:tab/>
        <w:t xml:space="preserve">See </w:t>
      </w:r>
      <w:hyperlink r:id="rId2" w:history="1">
        <w:r w:rsidR="009360E0">
          <w:rPr>
            <w:rStyle w:val="Hyperlink"/>
          </w:rPr>
          <w:t>CMW/C/SR.536</w:t>
        </w:r>
      </w:hyperlink>
      <w:r w:rsidRPr="005C194F">
        <w:t xml:space="preserve"> and </w:t>
      </w:r>
      <w:hyperlink r:id="rId3" w:history="1">
        <w:r w:rsidR="009360E0">
          <w:rPr>
            <w:rStyle w:val="Hyperlink"/>
          </w:rPr>
          <w:t>CMW/C/SR.537</w:t>
        </w:r>
      </w:hyperlink>
      <w:r>
        <w:t>.</w:t>
      </w:r>
    </w:p>
  </w:footnote>
  <w:footnote w:id="4">
    <w:p w14:paraId="7CA3FD18" w14:textId="17E38C26" w:rsidR="00C436F0" w:rsidRDefault="00C436F0" w:rsidP="00C436F0">
      <w:pPr>
        <w:pStyle w:val="FootnoteText"/>
      </w:pPr>
      <w:r>
        <w:tab/>
      </w:r>
      <w:r>
        <w:rPr>
          <w:rStyle w:val="FootnoteReference"/>
        </w:rPr>
        <w:footnoteRef/>
      </w:r>
      <w:r>
        <w:tab/>
      </w:r>
      <w:hyperlink r:id="rId4" w:history="1">
        <w:r w:rsidR="009360E0">
          <w:rPr>
            <w:rStyle w:val="Hyperlink"/>
          </w:rPr>
          <w:t>CMW/C/KGZ/QPR/2</w:t>
        </w:r>
      </w:hyperlink>
      <w:r>
        <w:t>.</w:t>
      </w:r>
    </w:p>
  </w:footnote>
  <w:footnote w:id="5">
    <w:p w14:paraId="3A316B4B" w14:textId="5194825D" w:rsidR="00C436F0" w:rsidRDefault="00C436F0" w:rsidP="00C436F0">
      <w:pPr>
        <w:pStyle w:val="FootnoteText"/>
      </w:pPr>
      <w:r>
        <w:tab/>
      </w:r>
      <w:r>
        <w:rPr>
          <w:rStyle w:val="FootnoteReference"/>
        </w:rPr>
        <w:footnoteRef/>
      </w:r>
      <w:r>
        <w:tab/>
      </w:r>
      <w:hyperlink r:id="rId5" w:history="1">
        <w:r w:rsidR="009360E0">
          <w:rPr>
            <w:rStyle w:val="Hyperlink"/>
          </w:rPr>
          <w:t>CMW/C/KGZ/CO/1/Add.1</w:t>
        </w:r>
      </w:hyperlink>
      <w:r>
        <w:t>.</w:t>
      </w:r>
    </w:p>
  </w:footnote>
  <w:footnote w:id="6">
    <w:p w14:paraId="14EDF38A" w14:textId="58280850" w:rsidR="00C436F0" w:rsidRPr="00DE69C8" w:rsidRDefault="00C436F0" w:rsidP="00C436F0">
      <w:pPr>
        <w:pStyle w:val="FootnoteText"/>
        <w:widowControl w:val="0"/>
        <w:rPr>
          <w:lang w:val="es-ES"/>
        </w:rPr>
      </w:pPr>
      <w:r>
        <w:tab/>
      </w:r>
      <w:r>
        <w:rPr>
          <w:rStyle w:val="FootnoteReference"/>
        </w:rPr>
        <w:footnoteRef/>
      </w:r>
      <w:r w:rsidRPr="008244CD">
        <w:rPr>
          <w:lang w:val="es-ES"/>
        </w:rPr>
        <w:tab/>
      </w:r>
      <w:hyperlink r:id="rId6" w:history="1">
        <w:r w:rsidR="009360E0">
          <w:rPr>
            <w:rStyle w:val="Hyperlink"/>
            <w:bCs/>
            <w:lang w:val="es-AR"/>
          </w:rPr>
          <w:t>CMW/C/KGZ/CO/1</w:t>
        </w:r>
      </w:hyperlink>
      <w:r w:rsidRPr="009833F9">
        <w:rPr>
          <w:bCs/>
          <w:lang w:val="es-AR"/>
        </w:rPr>
        <w:t xml:space="preserve">, para. </w:t>
      </w:r>
      <w:r w:rsidRPr="00522B74">
        <w:rPr>
          <w:bCs/>
          <w:lang w:val="es-AR"/>
        </w:rPr>
        <w:t>9.</w:t>
      </w:r>
    </w:p>
  </w:footnote>
  <w:footnote w:id="7">
    <w:p w14:paraId="07A4C011" w14:textId="77777777" w:rsidR="00C436F0" w:rsidRPr="00DE69C8" w:rsidRDefault="00C436F0" w:rsidP="00C436F0">
      <w:pPr>
        <w:pStyle w:val="FootnoteText"/>
        <w:widowControl w:val="0"/>
        <w:rPr>
          <w:lang w:val="es-ES"/>
        </w:rPr>
      </w:pPr>
      <w:r w:rsidRPr="008244CD">
        <w:rPr>
          <w:lang w:val="es-ES"/>
        </w:rPr>
        <w:tab/>
      </w:r>
      <w:r>
        <w:rPr>
          <w:rStyle w:val="FootnoteReference"/>
        </w:rPr>
        <w:footnoteRef/>
      </w:r>
      <w:r w:rsidRPr="008244CD">
        <w:rPr>
          <w:lang w:val="es-ES"/>
        </w:rPr>
        <w:tab/>
      </w:r>
      <w:r>
        <w:rPr>
          <w:bCs/>
          <w:lang w:val="es-AR"/>
        </w:rPr>
        <w:t>Ibid.</w:t>
      </w:r>
      <w:r w:rsidRPr="009833F9">
        <w:rPr>
          <w:bCs/>
          <w:lang w:val="es-AR"/>
        </w:rPr>
        <w:t xml:space="preserve">, para. </w:t>
      </w:r>
      <w:r>
        <w:rPr>
          <w:bCs/>
          <w:lang w:val="es-AR"/>
        </w:rPr>
        <w:t>11.</w:t>
      </w:r>
    </w:p>
  </w:footnote>
  <w:footnote w:id="8">
    <w:p w14:paraId="5668F1DD" w14:textId="77777777" w:rsidR="00C436F0" w:rsidRPr="00DE69C8" w:rsidRDefault="00C436F0" w:rsidP="00C436F0">
      <w:pPr>
        <w:pStyle w:val="FootnoteText"/>
        <w:widowControl w:val="0"/>
        <w:rPr>
          <w:lang w:val="es-ES"/>
        </w:rPr>
      </w:pPr>
      <w:r w:rsidRPr="008244CD">
        <w:rPr>
          <w:lang w:val="es-ES"/>
        </w:rPr>
        <w:tab/>
      </w:r>
      <w:r>
        <w:rPr>
          <w:rStyle w:val="FootnoteReference"/>
        </w:rPr>
        <w:footnoteRef/>
      </w:r>
      <w:r w:rsidRPr="008244CD">
        <w:rPr>
          <w:lang w:val="es-ES"/>
        </w:rPr>
        <w:tab/>
      </w:r>
      <w:r>
        <w:rPr>
          <w:bCs/>
          <w:lang w:val="es-AR"/>
        </w:rPr>
        <w:t>Ibid.</w:t>
      </w:r>
      <w:r w:rsidRPr="009833F9">
        <w:rPr>
          <w:bCs/>
          <w:lang w:val="es-AR"/>
        </w:rPr>
        <w:t xml:space="preserve">, para. </w:t>
      </w:r>
      <w:r>
        <w:rPr>
          <w:bCs/>
          <w:lang w:val="es-AR"/>
        </w:rPr>
        <w:t>13.</w:t>
      </w:r>
    </w:p>
  </w:footnote>
  <w:footnote w:id="9">
    <w:p w14:paraId="13139324" w14:textId="77777777" w:rsidR="00C436F0" w:rsidRPr="00FC5F19" w:rsidRDefault="00C436F0" w:rsidP="00C436F0">
      <w:pPr>
        <w:pStyle w:val="FootnoteText"/>
        <w:widowControl w:val="0"/>
        <w:rPr>
          <w:lang w:val="es-ES"/>
        </w:rPr>
      </w:pPr>
      <w:r w:rsidRPr="008244CD">
        <w:rPr>
          <w:lang w:val="es-ES"/>
        </w:rPr>
        <w:tab/>
      </w:r>
      <w:r>
        <w:rPr>
          <w:rStyle w:val="FootnoteReference"/>
        </w:rPr>
        <w:footnoteRef/>
      </w:r>
      <w:r w:rsidRPr="008244CD">
        <w:rPr>
          <w:lang w:val="es-ES"/>
        </w:rPr>
        <w:tab/>
      </w:r>
      <w:r>
        <w:rPr>
          <w:bCs/>
          <w:lang w:val="es-AR"/>
        </w:rPr>
        <w:t>Ibid.</w:t>
      </w:r>
      <w:r w:rsidRPr="009833F9">
        <w:rPr>
          <w:bCs/>
          <w:lang w:val="es-AR"/>
        </w:rPr>
        <w:t xml:space="preserve">, para. </w:t>
      </w:r>
      <w:r>
        <w:rPr>
          <w:bCs/>
          <w:lang w:val="es-AR"/>
        </w:rPr>
        <w:t>15.</w:t>
      </w:r>
    </w:p>
  </w:footnote>
  <w:footnote w:id="10">
    <w:p w14:paraId="7100761C" w14:textId="77777777" w:rsidR="00C436F0" w:rsidRPr="00FC5F19" w:rsidRDefault="00C436F0" w:rsidP="00C436F0">
      <w:pPr>
        <w:pStyle w:val="FootnoteText"/>
        <w:widowControl w:val="0"/>
        <w:rPr>
          <w:lang w:val="es-ES"/>
        </w:rPr>
      </w:pPr>
      <w:r w:rsidRPr="008244CD">
        <w:rPr>
          <w:lang w:val="es-ES"/>
        </w:rPr>
        <w:tab/>
      </w:r>
      <w:r>
        <w:rPr>
          <w:rStyle w:val="FootnoteReference"/>
        </w:rPr>
        <w:footnoteRef/>
      </w:r>
      <w:r w:rsidRPr="008244CD">
        <w:rPr>
          <w:lang w:val="es-ES"/>
        </w:rPr>
        <w:tab/>
      </w:r>
      <w:r>
        <w:rPr>
          <w:bCs/>
          <w:lang w:val="es-AR"/>
        </w:rPr>
        <w:t>Ibid.</w:t>
      </w:r>
      <w:r w:rsidRPr="009833F9">
        <w:rPr>
          <w:bCs/>
          <w:lang w:val="es-AR"/>
        </w:rPr>
        <w:t xml:space="preserve">, para. </w:t>
      </w:r>
      <w:r>
        <w:rPr>
          <w:bCs/>
          <w:lang w:val="es-AR"/>
        </w:rPr>
        <w:t>19.</w:t>
      </w:r>
    </w:p>
  </w:footnote>
  <w:footnote w:id="11">
    <w:p w14:paraId="39C00C8E" w14:textId="77777777" w:rsidR="00C436F0" w:rsidRPr="00FC5F19" w:rsidRDefault="00C436F0" w:rsidP="00C436F0">
      <w:pPr>
        <w:pStyle w:val="FootnoteText"/>
        <w:widowControl w:val="0"/>
        <w:rPr>
          <w:lang w:val="es-ES"/>
        </w:rPr>
      </w:pPr>
      <w:r w:rsidRPr="008244CD">
        <w:rPr>
          <w:lang w:val="es-ES"/>
        </w:rPr>
        <w:tab/>
      </w:r>
      <w:r>
        <w:rPr>
          <w:rStyle w:val="FootnoteReference"/>
        </w:rPr>
        <w:footnoteRef/>
      </w:r>
      <w:r w:rsidRPr="008244CD">
        <w:rPr>
          <w:lang w:val="es-ES"/>
        </w:rPr>
        <w:tab/>
      </w:r>
      <w:r>
        <w:rPr>
          <w:bCs/>
          <w:lang w:val="es-AR"/>
        </w:rPr>
        <w:t>Ibid.</w:t>
      </w:r>
      <w:r w:rsidRPr="009833F9">
        <w:rPr>
          <w:bCs/>
          <w:lang w:val="es-AR"/>
        </w:rPr>
        <w:t xml:space="preserve">, para. </w:t>
      </w:r>
      <w:r>
        <w:rPr>
          <w:bCs/>
          <w:lang w:val="es-AR"/>
        </w:rPr>
        <w:t>17.</w:t>
      </w:r>
    </w:p>
  </w:footnote>
  <w:footnote w:id="12">
    <w:p w14:paraId="17AE6B25" w14:textId="77777777" w:rsidR="00C436F0" w:rsidRPr="00FC5F19" w:rsidRDefault="00C436F0" w:rsidP="00C436F0">
      <w:pPr>
        <w:pStyle w:val="FootnoteText"/>
        <w:widowControl w:val="0"/>
        <w:rPr>
          <w:lang w:val="es-ES"/>
        </w:rPr>
      </w:pPr>
      <w:r w:rsidRPr="008244CD">
        <w:rPr>
          <w:lang w:val="es-ES"/>
        </w:rPr>
        <w:tab/>
      </w:r>
      <w:r>
        <w:rPr>
          <w:rStyle w:val="FootnoteReference"/>
        </w:rPr>
        <w:footnoteRef/>
      </w:r>
      <w:r w:rsidRPr="008244CD">
        <w:rPr>
          <w:lang w:val="es-ES"/>
        </w:rPr>
        <w:tab/>
      </w:r>
      <w:r>
        <w:rPr>
          <w:bCs/>
          <w:lang w:val="es-AR"/>
        </w:rPr>
        <w:t>Ibid.</w:t>
      </w:r>
      <w:r w:rsidRPr="009833F9">
        <w:rPr>
          <w:bCs/>
          <w:lang w:val="es-AR"/>
        </w:rPr>
        <w:t xml:space="preserve">, para. </w:t>
      </w:r>
      <w:r>
        <w:rPr>
          <w:bCs/>
          <w:lang w:val="es-AR"/>
        </w:rPr>
        <w:t>21.</w:t>
      </w:r>
    </w:p>
  </w:footnote>
  <w:footnote w:id="13">
    <w:p w14:paraId="19512FD4" w14:textId="77777777" w:rsidR="00C436F0" w:rsidRPr="00FC5F19" w:rsidRDefault="00C436F0" w:rsidP="00C436F0">
      <w:pPr>
        <w:pStyle w:val="FootnoteText"/>
        <w:widowControl w:val="0"/>
        <w:rPr>
          <w:lang w:val="es-ES"/>
        </w:rPr>
      </w:pPr>
      <w:r w:rsidRPr="008244CD">
        <w:rPr>
          <w:lang w:val="es-ES"/>
        </w:rPr>
        <w:tab/>
      </w:r>
      <w:r>
        <w:rPr>
          <w:rStyle w:val="FootnoteReference"/>
        </w:rPr>
        <w:footnoteRef/>
      </w:r>
      <w:r w:rsidRPr="008244CD">
        <w:rPr>
          <w:lang w:val="es-ES"/>
        </w:rPr>
        <w:tab/>
      </w:r>
      <w:r>
        <w:rPr>
          <w:bCs/>
          <w:lang w:val="es-AR"/>
        </w:rPr>
        <w:t>Ibid.</w:t>
      </w:r>
      <w:r w:rsidRPr="009833F9">
        <w:rPr>
          <w:bCs/>
          <w:lang w:val="es-AR"/>
        </w:rPr>
        <w:t xml:space="preserve">, para. </w:t>
      </w:r>
      <w:r>
        <w:rPr>
          <w:bCs/>
          <w:lang w:val="es-AR"/>
        </w:rPr>
        <w:t>23.</w:t>
      </w:r>
    </w:p>
  </w:footnote>
  <w:footnote w:id="14">
    <w:p w14:paraId="5AA49322" w14:textId="77777777" w:rsidR="00C436F0" w:rsidRPr="00FC5F19" w:rsidRDefault="00C436F0" w:rsidP="00C436F0">
      <w:pPr>
        <w:pStyle w:val="FootnoteText"/>
        <w:widowControl w:val="0"/>
        <w:rPr>
          <w:lang w:val="es-ES"/>
        </w:rPr>
      </w:pPr>
      <w:r w:rsidRPr="008244CD">
        <w:rPr>
          <w:lang w:val="es-ES"/>
        </w:rPr>
        <w:tab/>
      </w:r>
      <w:r>
        <w:rPr>
          <w:rStyle w:val="FootnoteReference"/>
        </w:rPr>
        <w:footnoteRef/>
      </w:r>
      <w:r w:rsidRPr="008244CD">
        <w:rPr>
          <w:lang w:val="es-ES"/>
        </w:rPr>
        <w:tab/>
      </w:r>
      <w:r>
        <w:rPr>
          <w:bCs/>
          <w:lang w:val="es-AR"/>
        </w:rPr>
        <w:t>Ibid.</w:t>
      </w:r>
      <w:r w:rsidRPr="009833F9">
        <w:rPr>
          <w:bCs/>
          <w:lang w:val="es-AR"/>
        </w:rPr>
        <w:t xml:space="preserve">, para. </w:t>
      </w:r>
      <w:r>
        <w:rPr>
          <w:bCs/>
          <w:lang w:val="es-AR"/>
        </w:rPr>
        <w:t>25.</w:t>
      </w:r>
    </w:p>
  </w:footnote>
  <w:footnote w:id="15">
    <w:p w14:paraId="76AD6540" w14:textId="77777777" w:rsidR="00C436F0" w:rsidRPr="00FC5F19" w:rsidRDefault="00C436F0" w:rsidP="00C436F0">
      <w:pPr>
        <w:pStyle w:val="FootnoteText"/>
        <w:widowControl w:val="0"/>
        <w:rPr>
          <w:lang w:val="es-ES"/>
        </w:rPr>
      </w:pPr>
      <w:r w:rsidRPr="008244CD">
        <w:rPr>
          <w:lang w:val="es-ES"/>
        </w:rPr>
        <w:tab/>
      </w:r>
      <w:r>
        <w:rPr>
          <w:rStyle w:val="FootnoteReference"/>
        </w:rPr>
        <w:footnoteRef/>
      </w:r>
      <w:r w:rsidRPr="008244CD">
        <w:rPr>
          <w:lang w:val="es-ES"/>
        </w:rPr>
        <w:tab/>
      </w:r>
      <w:r>
        <w:rPr>
          <w:bCs/>
          <w:lang w:val="es-AR"/>
        </w:rPr>
        <w:t>Ibid.</w:t>
      </w:r>
      <w:r w:rsidRPr="009833F9">
        <w:rPr>
          <w:bCs/>
          <w:lang w:val="es-AR"/>
        </w:rPr>
        <w:t xml:space="preserve">, para. </w:t>
      </w:r>
      <w:r>
        <w:rPr>
          <w:bCs/>
          <w:lang w:val="es-AR"/>
        </w:rPr>
        <w:t>27.</w:t>
      </w:r>
    </w:p>
  </w:footnote>
  <w:footnote w:id="16">
    <w:p w14:paraId="751249A6" w14:textId="77777777" w:rsidR="00C436F0" w:rsidRPr="00FC5F19" w:rsidRDefault="00C436F0" w:rsidP="00C436F0">
      <w:pPr>
        <w:pStyle w:val="FootnoteText"/>
        <w:widowControl w:val="0"/>
        <w:rPr>
          <w:lang w:val="es-ES"/>
        </w:rPr>
      </w:pPr>
      <w:r w:rsidRPr="008244CD">
        <w:rPr>
          <w:lang w:val="es-ES"/>
        </w:rPr>
        <w:tab/>
      </w:r>
      <w:r>
        <w:rPr>
          <w:rStyle w:val="FootnoteReference"/>
        </w:rPr>
        <w:footnoteRef/>
      </w:r>
      <w:r w:rsidRPr="008244CD">
        <w:rPr>
          <w:lang w:val="es-ES"/>
        </w:rPr>
        <w:tab/>
      </w:r>
      <w:r>
        <w:rPr>
          <w:bCs/>
          <w:lang w:val="es-AR"/>
        </w:rPr>
        <w:t>Ibid.</w:t>
      </w:r>
      <w:r w:rsidRPr="009833F9">
        <w:rPr>
          <w:bCs/>
          <w:lang w:val="es-AR"/>
        </w:rPr>
        <w:t xml:space="preserve">, para. </w:t>
      </w:r>
      <w:r>
        <w:rPr>
          <w:bCs/>
          <w:lang w:val="es-AR"/>
        </w:rPr>
        <w:t>29.</w:t>
      </w:r>
    </w:p>
  </w:footnote>
  <w:footnote w:id="17">
    <w:p w14:paraId="59A059D1" w14:textId="77777777" w:rsidR="00C436F0" w:rsidRPr="00FC5F19" w:rsidRDefault="00C436F0" w:rsidP="00C436F0">
      <w:pPr>
        <w:pStyle w:val="FootnoteText"/>
        <w:widowControl w:val="0"/>
        <w:rPr>
          <w:lang w:val="es-ES"/>
        </w:rPr>
      </w:pPr>
      <w:r w:rsidRPr="008244CD">
        <w:rPr>
          <w:lang w:val="es-ES"/>
        </w:rPr>
        <w:tab/>
      </w:r>
      <w:r>
        <w:rPr>
          <w:rStyle w:val="FootnoteReference"/>
        </w:rPr>
        <w:footnoteRef/>
      </w:r>
      <w:r w:rsidRPr="008244CD">
        <w:rPr>
          <w:lang w:val="es-ES"/>
        </w:rPr>
        <w:tab/>
      </w:r>
      <w:r>
        <w:rPr>
          <w:bCs/>
          <w:lang w:val="es-AR"/>
        </w:rPr>
        <w:t>Ibid.</w:t>
      </w:r>
      <w:r w:rsidRPr="009833F9">
        <w:rPr>
          <w:bCs/>
          <w:lang w:val="es-AR"/>
        </w:rPr>
        <w:t xml:space="preserve">, para. </w:t>
      </w:r>
      <w:r>
        <w:rPr>
          <w:bCs/>
          <w:lang w:val="es-AR"/>
        </w:rPr>
        <w:t>31.</w:t>
      </w:r>
    </w:p>
  </w:footnote>
  <w:footnote w:id="18">
    <w:p w14:paraId="77A29225" w14:textId="77777777" w:rsidR="00C436F0" w:rsidRPr="00FC5F19" w:rsidRDefault="00C436F0" w:rsidP="00C436F0">
      <w:pPr>
        <w:pStyle w:val="FootnoteText"/>
        <w:widowControl w:val="0"/>
        <w:rPr>
          <w:lang w:val="es-ES"/>
        </w:rPr>
      </w:pPr>
      <w:r w:rsidRPr="008244CD">
        <w:rPr>
          <w:lang w:val="es-ES"/>
        </w:rPr>
        <w:tab/>
      </w:r>
      <w:r>
        <w:rPr>
          <w:rStyle w:val="FootnoteReference"/>
        </w:rPr>
        <w:footnoteRef/>
      </w:r>
      <w:r w:rsidRPr="008244CD">
        <w:rPr>
          <w:lang w:val="es-ES"/>
        </w:rPr>
        <w:tab/>
      </w:r>
      <w:r>
        <w:rPr>
          <w:bCs/>
          <w:lang w:val="es-AR"/>
        </w:rPr>
        <w:t>Ibid.</w:t>
      </w:r>
      <w:r w:rsidRPr="009833F9">
        <w:rPr>
          <w:bCs/>
          <w:lang w:val="es-AR"/>
        </w:rPr>
        <w:t xml:space="preserve">, para. </w:t>
      </w:r>
      <w:r>
        <w:rPr>
          <w:bCs/>
          <w:lang w:val="es-AR"/>
        </w:rPr>
        <w:t>33.</w:t>
      </w:r>
    </w:p>
  </w:footnote>
  <w:footnote w:id="19">
    <w:p w14:paraId="32CD92DF" w14:textId="77777777" w:rsidR="00C436F0" w:rsidRPr="00FC5F19" w:rsidRDefault="00C436F0" w:rsidP="00C436F0">
      <w:pPr>
        <w:pStyle w:val="FootnoteText"/>
        <w:widowControl w:val="0"/>
        <w:rPr>
          <w:lang w:val="es-ES"/>
        </w:rPr>
      </w:pPr>
      <w:r w:rsidRPr="008244CD">
        <w:rPr>
          <w:lang w:val="es-ES"/>
        </w:rPr>
        <w:tab/>
      </w:r>
      <w:r>
        <w:rPr>
          <w:rStyle w:val="FootnoteReference"/>
        </w:rPr>
        <w:footnoteRef/>
      </w:r>
      <w:r w:rsidRPr="008244CD">
        <w:rPr>
          <w:lang w:val="es-ES"/>
        </w:rPr>
        <w:tab/>
      </w:r>
      <w:r>
        <w:rPr>
          <w:bCs/>
          <w:lang w:val="es-AR"/>
        </w:rPr>
        <w:t>Ibid.</w:t>
      </w:r>
      <w:r w:rsidRPr="009833F9">
        <w:rPr>
          <w:bCs/>
          <w:lang w:val="es-AR"/>
        </w:rPr>
        <w:t xml:space="preserve">, para. </w:t>
      </w:r>
      <w:r>
        <w:rPr>
          <w:bCs/>
          <w:lang w:val="es-AR"/>
        </w:rPr>
        <w:t>35.</w:t>
      </w:r>
    </w:p>
  </w:footnote>
  <w:footnote w:id="20">
    <w:p w14:paraId="1388518D" w14:textId="77777777" w:rsidR="00C436F0" w:rsidRPr="00FC5F19" w:rsidRDefault="00C436F0" w:rsidP="00C436F0">
      <w:pPr>
        <w:pStyle w:val="FootnoteText"/>
        <w:widowControl w:val="0"/>
        <w:rPr>
          <w:lang w:val="es-ES"/>
        </w:rPr>
      </w:pPr>
      <w:r w:rsidRPr="008244CD">
        <w:rPr>
          <w:lang w:val="es-ES"/>
        </w:rPr>
        <w:tab/>
      </w:r>
      <w:r>
        <w:rPr>
          <w:rStyle w:val="FootnoteReference"/>
        </w:rPr>
        <w:footnoteRef/>
      </w:r>
      <w:r w:rsidRPr="008244CD">
        <w:rPr>
          <w:lang w:val="es-ES"/>
        </w:rPr>
        <w:tab/>
      </w:r>
      <w:r>
        <w:rPr>
          <w:bCs/>
          <w:lang w:val="es-AR"/>
        </w:rPr>
        <w:t>Ibid.</w:t>
      </w:r>
      <w:r w:rsidRPr="009833F9">
        <w:rPr>
          <w:bCs/>
          <w:lang w:val="es-AR"/>
        </w:rPr>
        <w:t xml:space="preserve">, para. </w:t>
      </w:r>
      <w:r>
        <w:rPr>
          <w:bCs/>
          <w:lang w:val="es-AR"/>
        </w:rPr>
        <w:t>37.</w:t>
      </w:r>
    </w:p>
  </w:footnote>
  <w:footnote w:id="21">
    <w:p w14:paraId="6FAD4E35" w14:textId="77777777" w:rsidR="00C436F0" w:rsidRPr="00FC5F19" w:rsidRDefault="00C436F0" w:rsidP="00C436F0">
      <w:pPr>
        <w:pStyle w:val="FootnoteText"/>
        <w:widowControl w:val="0"/>
        <w:rPr>
          <w:lang w:val="es-ES"/>
        </w:rPr>
      </w:pPr>
      <w:r w:rsidRPr="008244CD">
        <w:rPr>
          <w:lang w:val="es-ES"/>
        </w:rPr>
        <w:tab/>
      </w:r>
      <w:r>
        <w:rPr>
          <w:rStyle w:val="FootnoteReference"/>
        </w:rPr>
        <w:footnoteRef/>
      </w:r>
      <w:r w:rsidRPr="008244CD">
        <w:rPr>
          <w:lang w:val="es-ES"/>
        </w:rPr>
        <w:tab/>
      </w:r>
      <w:r>
        <w:rPr>
          <w:bCs/>
          <w:lang w:val="es-AR"/>
        </w:rPr>
        <w:t>Ibid.</w:t>
      </w:r>
      <w:r w:rsidRPr="009833F9">
        <w:rPr>
          <w:bCs/>
          <w:lang w:val="es-AR"/>
        </w:rPr>
        <w:t xml:space="preserve">, para. </w:t>
      </w:r>
      <w:r>
        <w:rPr>
          <w:bCs/>
          <w:lang w:val="es-AR"/>
        </w:rPr>
        <w:t>39.</w:t>
      </w:r>
    </w:p>
  </w:footnote>
  <w:footnote w:id="22">
    <w:p w14:paraId="669E4C1A" w14:textId="77777777" w:rsidR="00C436F0" w:rsidRPr="00FC5F19" w:rsidRDefault="00C436F0" w:rsidP="00C436F0">
      <w:pPr>
        <w:pStyle w:val="FootnoteText"/>
        <w:widowControl w:val="0"/>
        <w:rPr>
          <w:lang w:val="es-ES"/>
        </w:rPr>
      </w:pPr>
      <w:r w:rsidRPr="008244CD">
        <w:rPr>
          <w:lang w:val="es-ES"/>
        </w:rPr>
        <w:tab/>
      </w:r>
      <w:r>
        <w:rPr>
          <w:rStyle w:val="FootnoteReference"/>
        </w:rPr>
        <w:footnoteRef/>
      </w:r>
      <w:r w:rsidRPr="008244CD">
        <w:rPr>
          <w:lang w:val="es-ES"/>
        </w:rPr>
        <w:tab/>
      </w:r>
      <w:r>
        <w:rPr>
          <w:bCs/>
          <w:lang w:val="es-AR"/>
        </w:rPr>
        <w:t>Ibid.</w:t>
      </w:r>
      <w:r w:rsidRPr="009833F9">
        <w:rPr>
          <w:bCs/>
          <w:lang w:val="es-AR"/>
        </w:rPr>
        <w:t xml:space="preserve">, para. </w:t>
      </w:r>
      <w:r>
        <w:rPr>
          <w:bCs/>
          <w:lang w:val="es-AR"/>
        </w:rPr>
        <w:t>41.</w:t>
      </w:r>
    </w:p>
  </w:footnote>
  <w:footnote w:id="23">
    <w:p w14:paraId="61DA5D3B" w14:textId="77777777" w:rsidR="00C436F0" w:rsidRDefault="00C436F0" w:rsidP="00C436F0">
      <w:pPr>
        <w:pStyle w:val="FootnoteText"/>
        <w:widowControl w:val="0"/>
      </w:pPr>
      <w:r w:rsidRPr="008244CD">
        <w:rPr>
          <w:lang w:val="es-ES"/>
        </w:rPr>
        <w:tab/>
      </w:r>
      <w:r>
        <w:rPr>
          <w:rStyle w:val="FootnoteReference"/>
        </w:rPr>
        <w:footnoteRef/>
      </w:r>
      <w:r w:rsidRPr="008244CD">
        <w:rPr>
          <w:lang w:val="es-ES"/>
        </w:rPr>
        <w:tab/>
      </w:r>
      <w:r>
        <w:rPr>
          <w:bCs/>
          <w:lang w:val="es-AR"/>
        </w:rPr>
        <w:t>Ibid.</w:t>
      </w:r>
      <w:r w:rsidRPr="009833F9">
        <w:rPr>
          <w:bCs/>
          <w:lang w:val="es-AR"/>
        </w:rPr>
        <w:t xml:space="preserve">, para. </w:t>
      </w:r>
      <w:r>
        <w:rPr>
          <w:bCs/>
          <w:lang w:val="es-AR"/>
        </w:rPr>
        <w:t>43.</w:t>
      </w:r>
    </w:p>
  </w:footnote>
  <w:footnote w:id="24">
    <w:p w14:paraId="11378DD5" w14:textId="55B44AF6" w:rsidR="00C436F0" w:rsidRPr="00FC5F19" w:rsidRDefault="00C436F0" w:rsidP="00C436F0">
      <w:pPr>
        <w:pStyle w:val="FootnoteText"/>
        <w:widowControl w:val="0"/>
        <w:tabs>
          <w:tab w:val="clear" w:pos="1021"/>
          <w:tab w:val="right" w:pos="1020"/>
        </w:tabs>
        <w:rPr>
          <w:lang w:val="es-ES"/>
        </w:rPr>
      </w:pPr>
      <w:r w:rsidRPr="00FC5F19">
        <w:rPr>
          <w:lang w:val="es-ES"/>
        </w:rPr>
        <w:tab/>
      </w:r>
      <w:r>
        <w:rPr>
          <w:rStyle w:val="FootnoteReference"/>
        </w:rPr>
        <w:footnoteRef/>
      </w:r>
      <w:r w:rsidRPr="00FC5F19">
        <w:rPr>
          <w:lang w:val="es-ES"/>
        </w:rPr>
        <w:tab/>
      </w:r>
      <w:hyperlink r:id="rId7" w:history="1">
        <w:r w:rsidR="009360E0">
          <w:rPr>
            <w:rStyle w:val="Hyperlink"/>
            <w:lang w:val="de-DE"/>
          </w:rPr>
          <w:t>HRI/GEN/2/Rev.6</w:t>
        </w:r>
      </w:hyperlink>
      <w:r w:rsidRPr="0030028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63A5A" w14:textId="77777777" w:rsidR="00C436F0" w:rsidRDefault="00C436F0" w:rsidP="00C436F0">
    <w:pPr>
      <w:pStyle w:val="Header"/>
    </w:pPr>
    <w:r>
      <w:t>CMW/C/KGZ/CO/2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0705F" w14:textId="77777777" w:rsidR="00C436F0" w:rsidRDefault="00C436F0" w:rsidP="00C436F0">
    <w:pPr>
      <w:pStyle w:val="Header"/>
      <w:jc w:val="right"/>
    </w:pPr>
    <w:r>
      <w:t>CMW/C/KGZ/CO/2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EE2490"/>
    <w:multiLevelType w:val="hybridMultilevel"/>
    <w:tmpl w:val="CBEA45DE"/>
    <w:lvl w:ilvl="0" w:tplc="FFFFFFFF">
      <w:start w:val="1"/>
      <w:numFmt w:val="lowerLetter"/>
      <w:lvlText w:val="(%1)"/>
      <w:lvlJc w:val="left"/>
      <w:pPr>
        <w:ind w:left="1700" w:hanging="570"/>
      </w:pPr>
      <w:rPr>
        <w:rFonts w:hint="default"/>
      </w:rPr>
    </w:lvl>
    <w:lvl w:ilvl="1" w:tplc="FFFFFFFF" w:tentative="1">
      <w:start w:val="1"/>
      <w:numFmt w:val="lowerLetter"/>
      <w:lvlText w:val="%2."/>
      <w:lvlJc w:val="left"/>
      <w:pPr>
        <w:ind w:left="2210" w:hanging="360"/>
      </w:pPr>
    </w:lvl>
    <w:lvl w:ilvl="2" w:tplc="FFFFFFFF" w:tentative="1">
      <w:start w:val="1"/>
      <w:numFmt w:val="lowerRoman"/>
      <w:lvlText w:val="%3."/>
      <w:lvlJc w:val="right"/>
      <w:pPr>
        <w:ind w:left="2930" w:hanging="180"/>
      </w:pPr>
    </w:lvl>
    <w:lvl w:ilvl="3" w:tplc="FFFFFFFF" w:tentative="1">
      <w:start w:val="1"/>
      <w:numFmt w:val="decimal"/>
      <w:lvlText w:val="%4."/>
      <w:lvlJc w:val="left"/>
      <w:pPr>
        <w:ind w:left="3650" w:hanging="360"/>
      </w:pPr>
    </w:lvl>
    <w:lvl w:ilvl="4" w:tplc="FFFFFFFF" w:tentative="1">
      <w:start w:val="1"/>
      <w:numFmt w:val="lowerLetter"/>
      <w:lvlText w:val="%5."/>
      <w:lvlJc w:val="left"/>
      <w:pPr>
        <w:ind w:left="4370" w:hanging="360"/>
      </w:pPr>
    </w:lvl>
    <w:lvl w:ilvl="5" w:tplc="FFFFFFFF" w:tentative="1">
      <w:start w:val="1"/>
      <w:numFmt w:val="lowerRoman"/>
      <w:lvlText w:val="%6."/>
      <w:lvlJc w:val="right"/>
      <w:pPr>
        <w:ind w:left="5090" w:hanging="180"/>
      </w:pPr>
    </w:lvl>
    <w:lvl w:ilvl="6" w:tplc="FFFFFFFF" w:tentative="1">
      <w:start w:val="1"/>
      <w:numFmt w:val="decimal"/>
      <w:lvlText w:val="%7."/>
      <w:lvlJc w:val="left"/>
      <w:pPr>
        <w:ind w:left="5810" w:hanging="360"/>
      </w:pPr>
    </w:lvl>
    <w:lvl w:ilvl="7" w:tplc="FFFFFFFF" w:tentative="1">
      <w:start w:val="1"/>
      <w:numFmt w:val="lowerLetter"/>
      <w:lvlText w:val="%8."/>
      <w:lvlJc w:val="left"/>
      <w:pPr>
        <w:ind w:left="6530" w:hanging="360"/>
      </w:pPr>
    </w:lvl>
    <w:lvl w:ilvl="8" w:tplc="FFFFFFFF" w:tentative="1">
      <w:start w:val="1"/>
      <w:numFmt w:val="lowerRoman"/>
      <w:lvlText w:val="%9."/>
      <w:lvlJc w:val="right"/>
      <w:pPr>
        <w:ind w:left="7250" w:hanging="180"/>
      </w:pPr>
    </w:lvl>
  </w:abstractNum>
  <w:abstractNum w:abstractNumId="12" w15:restartNumberingAfterBreak="0">
    <w:nsid w:val="0D954887"/>
    <w:multiLevelType w:val="hybridMultilevel"/>
    <w:tmpl w:val="2B362816"/>
    <w:lvl w:ilvl="0" w:tplc="F3EEB1BE">
      <w:start w:val="1"/>
      <w:numFmt w:val="decimal"/>
      <w:lvlText w:val="%1."/>
      <w:lvlJc w:val="left"/>
      <w:pPr>
        <w:tabs>
          <w:tab w:val="num" w:pos="1701"/>
        </w:tabs>
        <w:ind w:left="1134" w:firstLine="0"/>
      </w:pPr>
      <w:rPr>
        <w:rFonts w:ascii="Times New Roman" w:hAnsi="Times New Roman" w:hint="default"/>
        <w:b w:val="0"/>
        <w:i w:val="0"/>
        <w:sz w:val="20"/>
      </w:rPr>
    </w:lvl>
    <w:lvl w:ilvl="1" w:tplc="490A8D76" w:tentative="1">
      <w:start w:val="1"/>
      <w:numFmt w:val="lowerLetter"/>
      <w:lvlText w:val="%2."/>
      <w:lvlJc w:val="left"/>
      <w:pPr>
        <w:tabs>
          <w:tab w:val="num" w:pos="1440"/>
        </w:tabs>
        <w:ind w:left="1440" w:hanging="360"/>
      </w:pPr>
    </w:lvl>
    <w:lvl w:ilvl="2" w:tplc="83D648DA" w:tentative="1">
      <w:start w:val="1"/>
      <w:numFmt w:val="lowerRoman"/>
      <w:lvlText w:val="%3."/>
      <w:lvlJc w:val="right"/>
      <w:pPr>
        <w:tabs>
          <w:tab w:val="num" w:pos="2160"/>
        </w:tabs>
        <w:ind w:left="2160" w:hanging="180"/>
      </w:pPr>
    </w:lvl>
    <w:lvl w:ilvl="3" w:tplc="40EE56B6" w:tentative="1">
      <w:start w:val="1"/>
      <w:numFmt w:val="decimal"/>
      <w:lvlText w:val="%4."/>
      <w:lvlJc w:val="left"/>
      <w:pPr>
        <w:tabs>
          <w:tab w:val="num" w:pos="2880"/>
        </w:tabs>
        <w:ind w:left="2880" w:hanging="360"/>
      </w:pPr>
    </w:lvl>
    <w:lvl w:ilvl="4" w:tplc="0D3AECA6" w:tentative="1">
      <w:start w:val="1"/>
      <w:numFmt w:val="lowerLetter"/>
      <w:lvlText w:val="%5."/>
      <w:lvlJc w:val="left"/>
      <w:pPr>
        <w:tabs>
          <w:tab w:val="num" w:pos="3600"/>
        </w:tabs>
        <w:ind w:left="3600" w:hanging="360"/>
      </w:pPr>
    </w:lvl>
    <w:lvl w:ilvl="5" w:tplc="410AB128" w:tentative="1">
      <w:start w:val="1"/>
      <w:numFmt w:val="lowerRoman"/>
      <w:lvlText w:val="%6."/>
      <w:lvlJc w:val="right"/>
      <w:pPr>
        <w:tabs>
          <w:tab w:val="num" w:pos="4320"/>
        </w:tabs>
        <w:ind w:left="4320" w:hanging="180"/>
      </w:pPr>
    </w:lvl>
    <w:lvl w:ilvl="6" w:tplc="01B2812C" w:tentative="1">
      <w:start w:val="1"/>
      <w:numFmt w:val="decimal"/>
      <w:lvlText w:val="%7."/>
      <w:lvlJc w:val="left"/>
      <w:pPr>
        <w:tabs>
          <w:tab w:val="num" w:pos="5040"/>
        </w:tabs>
        <w:ind w:left="5040" w:hanging="360"/>
      </w:pPr>
    </w:lvl>
    <w:lvl w:ilvl="7" w:tplc="E4B6C5E0" w:tentative="1">
      <w:start w:val="1"/>
      <w:numFmt w:val="lowerLetter"/>
      <w:lvlText w:val="%8."/>
      <w:lvlJc w:val="left"/>
      <w:pPr>
        <w:tabs>
          <w:tab w:val="num" w:pos="5760"/>
        </w:tabs>
        <w:ind w:left="5760" w:hanging="360"/>
      </w:pPr>
    </w:lvl>
    <w:lvl w:ilvl="8" w:tplc="A0EC1CD4" w:tentative="1">
      <w:start w:val="1"/>
      <w:numFmt w:val="lowerRoman"/>
      <w:lvlText w:val="%9."/>
      <w:lvlJc w:val="right"/>
      <w:pPr>
        <w:tabs>
          <w:tab w:val="num" w:pos="6480"/>
        </w:tabs>
        <w:ind w:left="6480" w:hanging="180"/>
      </w:pPr>
    </w:lvl>
  </w:abstractNum>
  <w:abstractNum w:abstractNumId="13" w15:restartNumberingAfterBreak="0">
    <w:nsid w:val="14901300"/>
    <w:multiLevelType w:val="hybridMultilevel"/>
    <w:tmpl w:val="045A31B0"/>
    <w:lvl w:ilvl="0" w:tplc="E3FE4972">
      <w:start w:val="1"/>
      <w:numFmt w:val="decimal"/>
      <w:lvlText w:val="%1."/>
      <w:lvlJc w:val="left"/>
      <w:pPr>
        <w:ind w:left="927" w:hanging="360"/>
      </w:pPr>
      <w:rPr>
        <w:rFonts w:hint="default"/>
        <w:color w:val="000000" w:themeColor="text1"/>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B32C9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92D5CA5"/>
    <w:multiLevelType w:val="hybridMultilevel"/>
    <w:tmpl w:val="CBEA45DE"/>
    <w:lvl w:ilvl="0" w:tplc="11AA1868">
      <w:start w:val="1"/>
      <w:numFmt w:val="lowerLetter"/>
      <w:lvlText w:val="(%1)"/>
      <w:lvlJc w:val="left"/>
      <w:pPr>
        <w:ind w:left="1718" w:hanging="570"/>
      </w:pPr>
      <w:rPr>
        <w:rFonts w:hint="default"/>
      </w:rPr>
    </w:lvl>
    <w:lvl w:ilvl="1" w:tplc="08090019" w:tentative="1">
      <w:start w:val="1"/>
      <w:numFmt w:val="lowerLetter"/>
      <w:lvlText w:val="%2."/>
      <w:lvlJc w:val="left"/>
      <w:pPr>
        <w:ind w:left="2228" w:hanging="360"/>
      </w:pPr>
    </w:lvl>
    <w:lvl w:ilvl="2" w:tplc="0809001B" w:tentative="1">
      <w:start w:val="1"/>
      <w:numFmt w:val="lowerRoman"/>
      <w:lvlText w:val="%3."/>
      <w:lvlJc w:val="right"/>
      <w:pPr>
        <w:ind w:left="2948" w:hanging="180"/>
      </w:pPr>
    </w:lvl>
    <w:lvl w:ilvl="3" w:tplc="0809000F" w:tentative="1">
      <w:start w:val="1"/>
      <w:numFmt w:val="decimal"/>
      <w:lvlText w:val="%4."/>
      <w:lvlJc w:val="left"/>
      <w:pPr>
        <w:ind w:left="3668" w:hanging="360"/>
      </w:pPr>
    </w:lvl>
    <w:lvl w:ilvl="4" w:tplc="08090019" w:tentative="1">
      <w:start w:val="1"/>
      <w:numFmt w:val="lowerLetter"/>
      <w:lvlText w:val="%5."/>
      <w:lvlJc w:val="left"/>
      <w:pPr>
        <w:ind w:left="4388" w:hanging="360"/>
      </w:pPr>
    </w:lvl>
    <w:lvl w:ilvl="5" w:tplc="0809001B" w:tentative="1">
      <w:start w:val="1"/>
      <w:numFmt w:val="lowerRoman"/>
      <w:lvlText w:val="%6."/>
      <w:lvlJc w:val="right"/>
      <w:pPr>
        <w:ind w:left="5108" w:hanging="180"/>
      </w:pPr>
    </w:lvl>
    <w:lvl w:ilvl="6" w:tplc="0809000F" w:tentative="1">
      <w:start w:val="1"/>
      <w:numFmt w:val="decimal"/>
      <w:lvlText w:val="%7."/>
      <w:lvlJc w:val="left"/>
      <w:pPr>
        <w:ind w:left="5828" w:hanging="360"/>
      </w:pPr>
    </w:lvl>
    <w:lvl w:ilvl="7" w:tplc="08090019" w:tentative="1">
      <w:start w:val="1"/>
      <w:numFmt w:val="lowerLetter"/>
      <w:lvlText w:val="%8."/>
      <w:lvlJc w:val="left"/>
      <w:pPr>
        <w:ind w:left="6548" w:hanging="360"/>
      </w:pPr>
    </w:lvl>
    <w:lvl w:ilvl="8" w:tplc="0809001B" w:tentative="1">
      <w:start w:val="1"/>
      <w:numFmt w:val="lowerRoman"/>
      <w:lvlText w:val="%9."/>
      <w:lvlJc w:val="right"/>
      <w:pPr>
        <w:ind w:left="7268"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CB6C816A"/>
    <w:lvl w:ilvl="0" w:tplc="73642A2E">
      <w:start w:val="1"/>
      <w:numFmt w:val="bullet"/>
      <w:lvlText w:val="•"/>
      <w:lvlJc w:val="left"/>
      <w:pPr>
        <w:tabs>
          <w:tab w:val="num" w:pos="2268"/>
        </w:tabs>
        <w:ind w:left="2268" w:hanging="170"/>
      </w:pPr>
      <w:rPr>
        <w:rFonts w:ascii="Times New Roman" w:hAnsi="Times New Roman" w:cs="Times New Roman" w:hint="default"/>
      </w:rPr>
    </w:lvl>
    <w:lvl w:ilvl="1" w:tplc="AA841896" w:tentative="1">
      <w:start w:val="1"/>
      <w:numFmt w:val="bullet"/>
      <w:lvlText w:val="o"/>
      <w:lvlJc w:val="left"/>
      <w:pPr>
        <w:tabs>
          <w:tab w:val="num" w:pos="3708"/>
        </w:tabs>
        <w:ind w:left="3708" w:hanging="360"/>
      </w:pPr>
      <w:rPr>
        <w:rFonts w:ascii="Courier New" w:hAnsi="Courier New" w:hint="default"/>
      </w:rPr>
    </w:lvl>
    <w:lvl w:ilvl="2" w:tplc="B510B62E" w:tentative="1">
      <w:start w:val="1"/>
      <w:numFmt w:val="bullet"/>
      <w:lvlText w:val=""/>
      <w:lvlJc w:val="left"/>
      <w:pPr>
        <w:tabs>
          <w:tab w:val="num" w:pos="4428"/>
        </w:tabs>
        <w:ind w:left="4428" w:hanging="360"/>
      </w:pPr>
      <w:rPr>
        <w:rFonts w:ascii="Wingdings" w:hAnsi="Wingdings" w:hint="default"/>
      </w:rPr>
    </w:lvl>
    <w:lvl w:ilvl="3" w:tplc="A718BF96" w:tentative="1">
      <w:start w:val="1"/>
      <w:numFmt w:val="bullet"/>
      <w:lvlText w:val=""/>
      <w:lvlJc w:val="left"/>
      <w:pPr>
        <w:tabs>
          <w:tab w:val="num" w:pos="5148"/>
        </w:tabs>
        <w:ind w:left="5148" w:hanging="360"/>
      </w:pPr>
      <w:rPr>
        <w:rFonts w:ascii="Symbol" w:hAnsi="Symbol" w:hint="default"/>
      </w:rPr>
    </w:lvl>
    <w:lvl w:ilvl="4" w:tplc="88161870" w:tentative="1">
      <w:start w:val="1"/>
      <w:numFmt w:val="bullet"/>
      <w:lvlText w:val="o"/>
      <w:lvlJc w:val="left"/>
      <w:pPr>
        <w:tabs>
          <w:tab w:val="num" w:pos="5868"/>
        </w:tabs>
        <w:ind w:left="5868" w:hanging="360"/>
      </w:pPr>
      <w:rPr>
        <w:rFonts w:ascii="Courier New" w:hAnsi="Courier New" w:hint="default"/>
      </w:rPr>
    </w:lvl>
    <w:lvl w:ilvl="5" w:tplc="E70C5AA0" w:tentative="1">
      <w:start w:val="1"/>
      <w:numFmt w:val="bullet"/>
      <w:lvlText w:val=""/>
      <w:lvlJc w:val="left"/>
      <w:pPr>
        <w:tabs>
          <w:tab w:val="num" w:pos="6588"/>
        </w:tabs>
        <w:ind w:left="6588" w:hanging="360"/>
      </w:pPr>
      <w:rPr>
        <w:rFonts w:ascii="Wingdings" w:hAnsi="Wingdings" w:hint="default"/>
      </w:rPr>
    </w:lvl>
    <w:lvl w:ilvl="6" w:tplc="204C4402" w:tentative="1">
      <w:start w:val="1"/>
      <w:numFmt w:val="bullet"/>
      <w:lvlText w:val=""/>
      <w:lvlJc w:val="left"/>
      <w:pPr>
        <w:tabs>
          <w:tab w:val="num" w:pos="7308"/>
        </w:tabs>
        <w:ind w:left="7308" w:hanging="360"/>
      </w:pPr>
      <w:rPr>
        <w:rFonts w:ascii="Symbol" w:hAnsi="Symbol" w:hint="default"/>
      </w:rPr>
    </w:lvl>
    <w:lvl w:ilvl="7" w:tplc="8B165F7E" w:tentative="1">
      <w:start w:val="1"/>
      <w:numFmt w:val="bullet"/>
      <w:lvlText w:val="o"/>
      <w:lvlJc w:val="left"/>
      <w:pPr>
        <w:tabs>
          <w:tab w:val="num" w:pos="8028"/>
        </w:tabs>
        <w:ind w:left="8028" w:hanging="360"/>
      </w:pPr>
      <w:rPr>
        <w:rFonts w:ascii="Courier New" w:hAnsi="Courier New" w:hint="default"/>
      </w:rPr>
    </w:lvl>
    <w:lvl w:ilvl="8" w:tplc="F18AEAF6"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F9617FF"/>
    <w:multiLevelType w:val="hybridMultilevel"/>
    <w:tmpl w:val="6A5CB1E8"/>
    <w:lvl w:ilvl="0" w:tplc="C91A755E">
      <w:start w:val="1"/>
      <w:numFmt w:val="lowerLetter"/>
      <w:lvlText w:val="(%1)"/>
      <w:lvlJc w:val="left"/>
      <w:pPr>
        <w:ind w:left="1706" w:hanging="570"/>
      </w:pPr>
      <w:rPr>
        <w:rFonts w:hint="default"/>
        <w:color w:val="auto"/>
      </w:rPr>
    </w:lvl>
    <w:lvl w:ilvl="1" w:tplc="FFFFFFFF" w:tentative="1">
      <w:start w:val="1"/>
      <w:numFmt w:val="lowerLetter"/>
      <w:lvlText w:val="%2."/>
      <w:lvlJc w:val="left"/>
      <w:pPr>
        <w:ind w:left="2216" w:hanging="360"/>
      </w:pPr>
    </w:lvl>
    <w:lvl w:ilvl="2" w:tplc="FFFFFFFF" w:tentative="1">
      <w:start w:val="1"/>
      <w:numFmt w:val="lowerRoman"/>
      <w:lvlText w:val="%3."/>
      <w:lvlJc w:val="right"/>
      <w:pPr>
        <w:ind w:left="2936" w:hanging="180"/>
      </w:pPr>
    </w:lvl>
    <w:lvl w:ilvl="3" w:tplc="FFFFFFFF" w:tentative="1">
      <w:start w:val="1"/>
      <w:numFmt w:val="decimal"/>
      <w:lvlText w:val="%4."/>
      <w:lvlJc w:val="left"/>
      <w:pPr>
        <w:ind w:left="3656" w:hanging="360"/>
      </w:pPr>
    </w:lvl>
    <w:lvl w:ilvl="4" w:tplc="FFFFFFFF" w:tentative="1">
      <w:start w:val="1"/>
      <w:numFmt w:val="lowerLetter"/>
      <w:lvlText w:val="%5."/>
      <w:lvlJc w:val="left"/>
      <w:pPr>
        <w:ind w:left="4376" w:hanging="360"/>
      </w:pPr>
    </w:lvl>
    <w:lvl w:ilvl="5" w:tplc="FFFFFFFF" w:tentative="1">
      <w:start w:val="1"/>
      <w:numFmt w:val="lowerRoman"/>
      <w:lvlText w:val="%6."/>
      <w:lvlJc w:val="right"/>
      <w:pPr>
        <w:ind w:left="5096" w:hanging="180"/>
      </w:pPr>
    </w:lvl>
    <w:lvl w:ilvl="6" w:tplc="FFFFFFFF" w:tentative="1">
      <w:start w:val="1"/>
      <w:numFmt w:val="decimal"/>
      <w:lvlText w:val="%7."/>
      <w:lvlJc w:val="left"/>
      <w:pPr>
        <w:ind w:left="5816" w:hanging="360"/>
      </w:pPr>
    </w:lvl>
    <w:lvl w:ilvl="7" w:tplc="FFFFFFFF" w:tentative="1">
      <w:start w:val="1"/>
      <w:numFmt w:val="lowerLetter"/>
      <w:lvlText w:val="%8."/>
      <w:lvlJc w:val="left"/>
      <w:pPr>
        <w:ind w:left="6536" w:hanging="360"/>
      </w:pPr>
    </w:lvl>
    <w:lvl w:ilvl="8" w:tplc="FFFFFFFF" w:tentative="1">
      <w:start w:val="1"/>
      <w:numFmt w:val="lowerRoman"/>
      <w:lvlText w:val="%9."/>
      <w:lvlJc w:val="right"/>
      <w:pPr>
        <w:ind w:left="7256" w:hanging="180"/>
      </w:pPr>
    </w:lvl>
  </w:abstractNum>
  <w:abstractNum w:abstractNumId="21" w15:restartNumberingAfterBreak="0">
    <w:nsid w:val="46BF4058"/>
    <w:multiLevelType w:val="hybridMultilevel"/>
    <w:tmpl w:val="15B40292"/>
    <w:lvl w:ilvl="0" w:tplc="08090015">
      <w:start w:val="1"/>
      <w:numFmt w:val="upperLetter"/>
      <w:lvlText w:val="%1."/>
      <w:lvlJc w:val="left"/>
      <w:pPr>
        <w:ind w:left="-1341" w:hanging="360"/>
      </w:pPr>
      <w:rPr>
        <w:rFonts w:hint="default"/>
      </w:rPr>
    </w:lvl>
    <w:lvl w:ilvl="1" w:tplc="08090019">
      <w:start w:val="1"/>
      <w:numFmt w:val="lowerLetter"/>
      <w:lvlText w:val="%2."/>
      <w:lvlJc w:val="left"/>
      <w:pPr>
        <w:ind w:left="-621" w:hanging="360"/>
      </w:pPr>
    </w:lvl>
    <w:lvl w:ilvl="2" w:tplc="0809001B">
      <w:start w:val="1"/>
      <w:numFmt w:val="lowerRoman"/>
      <w:lvlText w:val="%3."/>
      <w:lvlJc w:val="right"/>
      <w:pPr>
        <w:ind w:left="99" w:hanging="180"/>
      </w:pPr>
    </w:lvl>
    <w:lvl w:ilvl="3" w:tplc="0809000F" w:tentative="1">
      <w:start w:val="1"/>
      <w:numFmt w:val="decimal"/>
      <w:lvlText w:val="%4."/>
      <w:lvlJc w:val="left"/>
      <w:pPr>
        <w:ind w:left="819" w:hanging="360"/>
      </w:pPr>
    </w:lvl>
    <w:lvl w:ilvl="4" w:tplc="08090019" w:tentative="1">
      <w:start w:val="1"/>
      <w:numFmt w:val="lowerLetter"/>
      <w:lvlText w:val="%5."/>
      <w:lvlJc w:val="left"/>
      <w:pPr>
        <w:ind w:left="1539" w:hanging="360"/>
      </w:pPr>
    </w:lvl>
    <w:lvl w:ilvl="5" w:tplc="0809001B" w:tentative="1">
      <w:start w:val="1"/>
      <w:numFmt w:val="lowerRoman"/>
      <w:lvlText w:val="%6."/>
      <w:lvlJc w:val="right"/>
      <w:pPr>
        <w:ind w:left="2259" w:hanging="180"/>
      </w:pPr>
    </w:lvl>
    <w:lvl w:ilvl="6" w:tplc="0809000F" w:tentative="1">
      <w:start w:val="1"/>
      <w:numFmt w:val="decimal"/>
      <w:lvlText w:val="%7."/>
      <w:lvlJc w:val="left"/>
      <w:pPr>
        <w:ind w:left="2979" w:hanging="360"/>
      </w:pPr>
    </w:lvl>
    <w:lvl w:ilvl="7" w:tplc="08090019" w:tentative="1">
      <w:start w:val="1"/>
      <w:numFmt w:val="lowerLetter"/>
      <w:lvlText w:val="%8."/>
      <w:lvlJc w:val="left"/>
      <w:pPr>
        <w:ind w:left="3699" w:hanging="360"/>
      </w:pPr>
    </w:lvl>
    <w:lvl w:ilvl="8" w:tplc="0809001B" w:tentative="1">
      <w:start w:val="1"/>
      <w:numFmt w:val="lowerRoman"/>
      <w:lvlText w:val="%9."/>
      <w:lvlJc w:val="right"/>
      <w:pPr>
        <w:ind w:left="4419" w:hanging="180"/>
      </w:pPr>
    </w:lvl>
  </w:abstractNum>
  <w:abstractNum w:abstractNumId="2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8AD07B2"/>
    <w:multiLevelType w:val="hybridMultilevel"/>
    <w:tmpl w:val="7FEE3222"/>
    <w:lvl w:ilvl="0" w:tplc="8B62A9C0">
      <w:start w:val="1"/>
      <w:numFmt w:val="bullet"/>
      <w:lvlText w:val="•"/>
      <w:lvlJc w:val="left"/>
      <w:pPr>
        <w:tabs>
          <w:tab w:val="num" w:pos="1701"/>
        </w:tabs>
        <w:ind w:left="1701" w:hanging="170"/>
      </w:pPr>
      <w:rPr>
        <w:rFonts w:ascii="Times New Roman" w:hAnsi="Times New Roman" w:cs="Times New Roman" w:hint="default"/>
      </w:rPr>
    </w:lvl>
    <w:lvl w:ilvl="1" w:tplc="BB3A34C6" w:tentative="1">
      <w:start w:val="1"/>
      <w:numFmt w:val="bullet"/>
      <w:lvlText w:val="o"/>
      <w:lvlJc w:val="left"/>
      <w:pPr>
        <w:tabs>
          <w:tab w:val="num" w:pos="3141"/>
        </w:tabs>
        <w:ind w:left="3141" w:hanging="360"/>
      </w:pPr>
      <w:rPr>
        <w:rFonts w:ascii="Courier New" w:hAnsi="Courier New" w:hint="default"/>
      </w:rPr>
    </w:lvl>
    <w:lvl w:ilvl="2" w:tplc="0316DF0E" w:tentative="1">
      <w:start w:val="1"/>
      <w:numFmt w:val="bullet"/>
      <w:lvlText w:val=""/>
      <w:lvlJc w:val="left"/>
      <w:pPr>
        <w:tabs>
          <w:tab w:val="num" w:pos="3861"/>
        </w:tabs>
        <w:ind w:left="3861" w:hanging="360"/>
      </w:pPr>
      <w:rPr>
        <w:rFonts w:ascii="Wingdings" w:hAnsi="Wingdings" w:hint="default"/>
      </w:rPr>
    </w:lvl>
    <w:lvl w:ilvl="3" w:tplc="D93EDEAE" w:tentative="1">
      <w:start w:val="1"/>
      <w:numFmt w:val="bullet"/>
      <w:lvlText w:val=""/>
      <w:lvlJc w:val="left"/>
      <w:pPr>
        <w:tabs>
          <w:tab w:val="num" w:pos="4581"/>
        </w:tabs>
        <w:ind w:left="4581" w:hanging="360"/>
      </w:pPr>
      <w:rPr>
        <w:rFonts w:ascii="Symbol" w:hAnsi="Symbol" w:hint="default"/>
      </w:rPr>
    </w:lvl>
    <w:lvl w:ilvl="4" w:tplc="5C26A2D6" w:tentative="1">
      <w:start w:val="1"/>
      <w:numFmt w:val="bullet"/>
      <w:lvlText w:val="o"/>
      <w:lvlJc w:val="left"/>
      <w:pPr>
        <w:tabs>
          <w:tab w:val="num" w:pos="5301"/>
        </w:tabs>
        <w:ind w:left="5301" w:hanging="360"/>
      </w:pPr>
      <w:rPr>
        <w:rFonts w:ascii="Courier New" w:hAnsi="Courier New" w:hint="default"/>
      </w:rPr>
    </w:lvl>
    <w:lvl w:ilvl="5" w:tplc="94AAD786" w:tentative="1">
      <w:start w:val="1"/>
      <w:numFmt w:val="bullet"/>
      <w:lvlText w:val=""/>
      <w:lvlJc w:val="left"/>
      <w:pPr>
        <w:tabs>
          <w:tab w:val="num" w:pos="6021"/>
        </w:tabs>
        <w:ind w:left="6021" w:hanging="360"/>
      </w:pPr>
      <w:rPr>
        <w:rFonts w:ascii="Wingdings" w:hAnsi="Wingdings" w:hint="default"/>
      </w:rPr>
    </w:lvl>
    <w:lvl w:ilvl="6" w:tplc="B5C4A62E" w:tentative="1">
      <w:start w:val="1"/>
      <w:numFmt w:val="bullet"/>
      <w:lvlText w:val=""/>
      <w:lvlJc w:val="left"/>
      <w:pPr>
        <w:tabs>
          <w:tab w:val="num" w:pos="6741"/>
        </w:tabs>
        <w:ind w:left="6741" w:hanging="360"/>
      </w:pPr>
      <w:rPr>
        <w:rFonts w:ascii="Symbol" w:hAnsi="Symbol" w:hint="default"/>
      </w:rPr>
    </w:lvl>
    <w:lvl w:ilvl="7" w:tplc="D81E7C3C" w:tentative="1">
      <w:start w:val="1"/>
      <w:numFmt w:val="bullet"/>
      <w:lvlText w:val="o"/>
      <w:lvlJc w:val="left"/>
      <w:pPr>
        <w:tabs>
          <w:tab w:val="num" w:pos="7461"/>
        </w:tabs>
        <w:ind w:left="7461" w:hanging="360"/>
      </w:pPr>
      <w:rPr>
        <w:rFonts w:ascii="Courier New" w:hAnsi="Courier New" w:hint="default"/>
      </w:rPr>
    </w:lvl>
    <w:lvl w:ilvl="8" w:tplc="759C4698"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30318338">
    <w:abstractNumId w:val="18"/>
  </w:num>
  <w:num w:numId="2" w16cid:durableId="592664705">
    <w:abstractNumId w:val="15"/>
  </w:num>
  <w:num w:numId="3" w16cid:durableId="2066177563">
    <w:abstractNumId w:val="10"/>
  </w:num>
  <w:num w:numId="4" w16cid:durableId="1434125802">
    <w:abstractNumId w:val="23"/>
  </w:num>
  <w:num w:numId="5" w16cid:durableId="1499150551">
    <w:abstractNumId w:val="25"/>
  </w:num>
  <w:num w:numId="6" w16cid:durableId="1414938300">
    <w:abstractNumId w:val="27"/>
  </w:num>
  <w:num w:numId="7" w16cid:durableId="1590116192">
    <w:abstractNumId w:val="14"/>
  </w:num>
  <w:num w:numId="8" w16cid:durableId="1273246253">
    <w:abstractNumId w:val="26"/>
  </w:num>
  <w:num w:numId="9" w16cid:durableId="841044880">
    <w:abstractNumId w:val="19"/>
  </w:num>
  <w:num w:numId="10" w16cid:durableId="104278091">
    <w:abstractNumId w:val="12"/>
  </w:num>
  <w:num w:numId="11" w16cid:durableId="1888254940">
    <w:abstractNumId w:val="8"/>
  </w:num>
  <w:num w:numId="12" w16cid:durableId="2101097897">
    <w:abstractNumId w:val="3"/>
  </w:num>
  <w:num w:numId="13" w16cid:durableId="1572738012">
    <w:abstractNumId w:val="2"/>
  </w:num>
  <w:num w:numId="14" w16cid:durableId="318122470">
    <w:abstractNumId w:val="1"/>
  </w:num>
  <w:num w:numId="15" w16cid:durableId="113063296">
    <w:abstractNumId w:val="0"/>
  </w:num>
  <w:num w:numId="16" w16cid:durableId="464472040">
    <w:abstractNumId w:val="9"/>
  </w:num>
  <w:num w:numId="17" w16cid:durableId="1363432264">
    <w:abstractNumId w:val="7"/>
  </w:num>
  <w:num w:numId="18" w16cid:durableId="1121218307">
    <w:abstractNumId w:val="6"/>
  </w:num>
  <w:num w:numId="19" w16cid:durableId="658582478">
    <w:abstractNumId w:val="5"/>
  </w:num>
  <w:num w:numId="20" w16cid:durableId="686056332">
    <w:abstractNumId w:val="4"/>
  </w:num>
  <w:num w:numId="21" w16cid:durableId="770125819">
    <w:abstractNumId w:val="24"/>
  </w:num>
  <w:num w:numId="22" w16cid:durableId="1829176449">
    <w:abstractNumId w:val="22"/>
  </w:num>
  <w:num w:numId="23" w16cid:durableId="1738702210">
    <w:abstractNumId w:val="16"/>
  </w:num>
  <w:num w:numId="24" w16cid:durableId="649748909">
    <w:abstractNumId w:val="21"/>
  </w:num>
  <w:num w:numId="25" w16cid:durableId="1901861591">
    <w:abstractNumId w:val="13"/>
  </w:num>
  <w:num w:numId="26" w16cid:durableId="1866822220">
    <w:abstractNumId w:val="17"/>
  </w:num>
  <w:num w:numId="27" w16cid:durableId="814830776">
    <w:abstractNumId w:val="11"/>
  </w:num>
  <w:num w:numId="28" w16cid:durableId="13627079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EE2"/>
    <w:rsid w:val="00002B6C"/>
    <w:rsid w:val="00046E92"/>
    <w:rsid w:val="000905EF"/>
    <w:rsid w:val="000C3AFC"/>
    <w:rsid w:val="000F23AE"/>
    <w:rsid w:val="00120AEE"/>
    <w:rsid w:val="00166D4D"/>
    <w:rsid w:val="00177CF1"/>
    <w:rsid w:val="00182F03"/>
    <w:rsid w:val="001A6B4B"/>
    <w:rsid w:val="002477CB"/>
    <w:rsid w:val="00247E2C"/>
    <w:rsid w:val="0025135C"/>
    <w:rsid w:val="00271924"/>
    <w:rsid w:val="002D6C53"/>
    <w:rsid w:val="002E36CD"/>
    <w:rsid w:val="002F5595"/>
    <w:rsid w:val="00300289"/>
    <w:rsid w:val="0031085F"/>
    <w:rsid w:val="00334F6A"/>
    <w:rsid w:val="00342AC8"/>
    <w:rsid w:val="003B4550"/>
    <w:rsid w:val="003C2924"/>
    <w:rsid w:val="0041473B"/>
    <w:rsid w:val="00461253"/>
    <w:rsid w:val="00486256"/>
    <w:rsid w:val="005042C2"/>
    <w:rsid w:val="0051294F"/>
    <w:rsid w:val="005514B9"/>
    <w:rsid w:val="00564EE2"/>
    <w:rsid w:val="005748D6"/>
    <w:rsid w:val="0059479D"/>
    <w:rsid w:val="00671529"/>
    <w:rsid w:val="006853AA"/>
    <w:rsid w:val="00701DAB"/>
    <w:rsid w:val="007268F9"/>
    <w:rsid w:val="00757DA3"/>
    <w:rsid w:val="00767541"/>
    <w:rsid w:val="007C52B0"/>
    <w:rsid w:val="00814527"/>
    <w:rsid w:val="008B052A"/>
    <w:rsid w:val="009360E0"/>
    <w:rsid w:val="009411B4"/>
    <w:rsid w:val="00956079"/>
    <w:rsid w:val="009B54FC"/>
    <w:rsid w:val="009D0139"/>
    <w:rsid w:val="009D3EC1"/>
    <w:rsid w:val="009F5CDC"/>
    <w:rsid w:val="00A775CF"/>
    <w:rsid w:val="00A818A8"/>
    <w:rsid w:val="00AB52AE"/>
    <w:rsid w:val="00AD5B36"/>
    <w:rsid w:val="00AF45CF"/>
    <w:rsid w:val="00B06045"/>
    <w:rsid w:val="00B167E6"/>
    <w:rsid w:val="00B52AA8"/>
    <w:rsid w:val="00B80D46"/>
    <w:rsid w:val="00C35A27"/>
    <w:rsid w:val="00C436F0"/>
    <w:rsid w:val="00D31F33"/>
    <w:rsid w:val="00D83121"/>
    <w:rsid w:val="00DE3B71"/>
    <w:rsid w:val="00E02C2B"/>
    <w:rsid w:val="00E941E6"/>
    <w:rsid w:val="00EB6C0A"/>
    <w:rsid w:val="00ED6C48"/>
    <w:rsid w:val="00F50C46"/>
    <w:rsid w:val="00F65F5D"/>
    <w:rsid w:val="00F86A3A"/>
    <w:rsid w:val="00FD60B2"/>
    <w:rsid w:val="00FF02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E68451"/>
  <w15:docId w15:val="{3DE56045-B9E3-46FD-9235-CA71F8A31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semiHidden/>
    <w:rsid w:val="00C436F0"/>
    <w:rPr>
      <w:color w:val="0000FF"/>
      <w:u w:val="none"/>
    </w:rPr>
  </w:style>
  <w:style w:type="character" w:styleId="FollowedHyperlink">
    <w:name w:val="FollowedHyperlink"/>
    <w:basedOn w:val="DefaultParagraphFont"/>
    <w:semiHidden/>
    <w:rsid w:val="00C436F0"/>
    <w:rPr>
      <w:color w:val="0000FF"/>
      <w:u w:val="none"/>
    </w:rPr>
  </w:style>
  <w:style w:type="character" w:customStyle="1" w:styleId="SingleTxtGChar">
    <w:name w:val="_ Single Txt_G Char"/>
    <w:link w:val="SingleTxtG"/>
    <w:locked/>
    <w:rsid w:val="00C436F0"/>
    <w:rPr>
      <w:rFonts w:ascii="Times New Roman" w:hAnsi="Times New Roman" w:cs="Times New Roman"/>
      <w:sz w:val="20"/>
      <w:szCs w:val="20"/>
    </w:rPr>
  </w:style>
  <w:style w:type="character" w:customStyle="1" w:styleId="HChGChar">
    <w:name w:val="_ H _Ch_G Char"/>
    <w:link w:val="HChG"/>
    <w:locked/>
    <w:rsid w:val="00C436F0"/>
    <w:rPr>
      <w:rFonts w:ascii="Times New Roman" w:eastAsia="Times New Roman" w:hAnsi="Times New Roman" w:cs="Times New Roman"/>
      <w:b/>
      <w:sz w:val="28"/>
      <w:szCs w:val="20"/>
      <w:lang w:eastAsia="en-US"/>
    </w:rPr>
  </w:style>
  <w:style w:type="character" w:customStyle="1" w:styleId="H1GChar">
    <w:name w:val="_ H_1_G Char"/>
    <w:link w:val="H1G"/>
    <w:rsid w:val="00C436F0"/>
    <w:rPr>
      <w:rFonts w:ascii="Times New Roman" w:eastAsia="Times New Roman" w:hAnsi="Times New Roman" w:cs="Times New Roman"/>
      <w:b/>
      <w:sz w:val="24"/>
      <w:szCs w:val="20"/>
      <w:lang w:eastAsia="en-US"/>
    </w:rPr>
  </w:style>
  <w:style w:type="character" w:customStyle="1" w:styleId="H23GChar">
    <w:name w:val="_ H_2/3_G Char"/>
    <w:link w:val="H23G"/>
    <w:rsid w:val="00C436F0"/>
    <w:rPr>
      <w:rFonts w:ascii="Times New Roman" w:eastAsia="Times New Roman" w:hAnsi="Times New Roman" w:cs="Times New Roman"/>
      <w:b/>
      <w:sz w:val="20"/>
      <w:szCs w:val="20"/>
      <w:lang w:eastAsia="en-US"/>
    </w:rPr>
  </w:style>
  <w:style w:type="paragraph" w:styleId="Revision">
    <w:name w:val="Revision"/>
    <w:hidden/>
    <w:uiPriority w:val="99"/>
    <w:semiHidden/>
    <w:rsid w:val="00C436F0"/>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6853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MW/C/SR.537" TargetMode="External"/><Relationship Id="rId7" Type="http://schemas.openxmlformats.org/officeDocument/2006/relationships/hyperlink" Target="http://undocs.org/en/HRI/GEN/2/Rev.6" TargetMode="External"/><Relationship Id="rId2" Type="http://schemas.openxmlformats.org/officeDocument/2006/relationships/hyperlink" Target="http://undocs.org/en/CMW/C/SR.536" TargetMode="External"/><Relationship Id="rId1" Type="http://schemas.openxmlformats.org/officeDocument/2006/relationships/hyperlink" Target="http://undocs.org/en/CMW/C/KGZ/2" TargetMode="External"/><Relationship Id="rId6" Type="http://schemas.openxmlformats.org/officeDocument/2006/relationships/hyperlink" Target="http://undocs.org/en/CMW/C/KGZ/CO/1" TargetMode="External"/><Relationship Id="rId5" Type="http://schemas.openxmlformats.org/officeDocument/2006/relationships/hyperlink" Target="http://undocs.org/en/CMW/C/KGZ/CO/1/Add.1" TargetMode="External"/><Relationship Id="rId4" Type="http://schemas.openxmlformats.org/officeDocument/2006/relationships/hyperlink" Target="http://undocs.org/en/CMW/C/KGZ/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11</Pages>
  <Words>5296</Words>
  <Characters>29717</Characters>
  <Application>Microsoft Office Word</Application>
  <DocSecurity>0</DocSecurity>
  <Lines>487</Lines>
  <Paragraphs>140</Paragraphs>
  <ScaleCrop>false</ScaleCrop>
  <HeadingPairs>
    <vt:vector size="2" baseType="variant">
      <vt:variant>
        <vt:lpstr>Title</vt:lpstr>
      </vt:variant>
      <vt:variant>
        <vt:i4>1</vt:i4>
      </vt:variant>
    </vt:vector>
  </HeadingPairs>
  <TitlesOfParts>
    <vt:vector size="1" baseType="lpstr">
      <vt:lpstr>CMW/C/KGZ/CO/2</vt:lpstr>
    </vt:vector>
  </TitlesOfParts>
  <Company>DCM</Company>
  <LinksUpToDate>false</LinksUpToDate>
  <CharactersWithSpaces>34995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CMW/C/KGZ/CO/2</dc:title>
  <dc:subject>2325217</dc:subject>
  <dc:creator>cg</dc:creator>
  <cp:keywords/>
  <dc:description/>
  <cp:lastModifiedBy>Maria Rosario Corazon Gatmaytan</cp:lastModifiedBy>
  <cp:revision>2</cp:revision>
  <dcterms:created xsi:type="dcterms:W3CDTF">2023-12-26T13:04:00Z</dcterms:created>
  <dcterms:modified xsi:type="dcterms:W3CDTF">2023-12-26T13:04:00Z</dcterms:modified>
</cp:coreProperties>
</file>