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Тридцатая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635-м заседании,</w:t>
      </w:r>
    </w:p>
    <w:p w:rsidR="00000000" w:rsidRDefault="00000000">
      <w:r>
        <w:t>состоявшемся в Центральных учреждениях, Нью-Йорк, в четверг, 15 января 2004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>
        <w:t>: г</w:t>
      </w:r>
      <w:r>
        <w:noBreakHyphen/>
        <w:t>жа Ачар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ind w:left="1742" w:hanging="475"/>
        <w:jc w:val="left"/>
      </w:pPr>
      <w:r>
        <w:tab/>
      </w:r>
      <w:r>
        <w:rPr>
          <w:i/>
        </w:rPr>
        <w:t xml:space="preserve">Сводный первоначальный и второй периодический доклад Кувейта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 ч.  00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>Рассмотрение докладов, представленных государствами-участниками в соответствии со статьей 18 Конвенции 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>Сводный первоначальный и второй периодический доклад Кувейта (продолжение)</w:t>
      </w:r>
      <w:r>
        <w:rPr>
          <w:i w:val="0"/>
        </w:rPr>
        <w:t xml:space="preserve"> (CEDAW/C/KWT/1–2)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члены делег</w:t>
      </w:r>
      <w:r>
        <w:rPr>
          <w:i/>
        </w:rPr>
        <w:t>а</w:t>
      </w:r>
      <w:r>
        <w:rPr>
          <w:i/>
        </w:rPr>
        <w:t>ции Кувейта занимают места за столом Комит</w:t>
      </w:r>
      <w:r>
        <w:rPr>
          <w:i/>
        </w:rPr>
        <w:t>е</w:t>
      </w:r>
      <w:r>
        <w:rPr>
          <w:i/>
        </w:rPr>
        <w:t>та</w:t>
      </w:r>
      <w:r>
        <w:t>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10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н Флинтерман</w:t>
      </w:r>
      <w:r>
        <w:t>, упомянув о том, что в ко</w:t>
      </w:r>
      <w:r>
        <w:t>н</w:t>
      </w:r>
      <w:r>
        <w:t>ституции гарантируется право на образование всех жителей Кувейта, а также о положениях Закона об обязательном образовании № 11 1965 года, которые предусматривают обязательное образование к</w:t>
      </w:r>
      <w:r>
        <w:t>у</w:t>
      </w:r>
      <w:r>
        <w:t>вейтских мальчиков и девочек, просит разъяснить позицию в отношении жителей Кувейта, не явля</w:t>
      </w:r>
      <w:r>
        <w:t>ю</w:t>
      </w:r>
      <w:r>
        <w:t>щихся гражданами страны. Его удивляет тот факт, что число охваченных всеми формами образования жителей некувейтцев гораздо меньше, чем анал</w:t>
      </w:r>
      <w:r>
        <w:t>о</w:t>
      </w:r>
      <w:r>
        <w:t>гичное число кувейтских граждан, и поэтому ему хотелось бы знать, какими правами на образование пользуются некувейтцы, особенно женщины, не я</w:t>
      </w:r>
      <w:r>
        <w:t>в</w:t>
      </w:r>
      <w:r>
        <w:t>ляющиеся гражданк</w:t>
      </w:r>
      <w:r>
        <w:t>а</w:t>
      </w:r>
      <w:r>
        <w:t>ми этой страны.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Сайга </w:t>
      </w:r>
      <w:r>
        <w:t>просит дать разъяснение в связи с заголовками «первый семестр» и «второй семестр» в таблицах, представленных на странице 49 докл</w:t>
      </w:r>
      <w:r>
        <w:t>а</w:t>
      </w:r>
      <w:r>
        <w:t>да. Она также интересуется, что говорится о ролях мужчин и женщин в учебниках, которые использ</w:t>
      </w:r>
      <w:r>
        <w:t>у</w:t>
      </w:r>
      <w:r>
        <w:t>ются в кувейтских шк</w:t>
      </w:r>
      <w:r>
        <w:t>о</w:t>
      </w:r>
      <w:r>
        <w:t>лах.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Тавареш да Силва </w:t>
      </w:r>
      <w:r>
        <w:t>отмечает, что на всех уровнях системы образования задействовано вп</w:t>
      </w:r>
      <w:r>
        <w:t>е</w:t>
      </w:r>
      <w:r>
        <w:t>чатляющее число женщин. Тем не менее предста</w:t>
      </w:r>
      <w:r>
        <w:t>в</w:t>
      </w:r>
      <w:r>
        <w:t>ляется, что, хотя женщины составляют значител</w:t>
      </w:r>
      <w:r>
        <w:t>ь</w:t>
      </w:r>
      <w:r>
        <w:t>ное большинство учащихся и выпускников в бол</w:t>
      </w:r>
      <w:r>
        <w:t>ь</w:t>
      </w:r>
      <w:r>
        <w:t>шинстве областей, среди учителей преобладают мужчины. Не является ли это однозначным свид</w:t>
      </w:r>
      <w:r>
        <w:t>е</w:t>
      </w:r>
      <w:r>
        <w:t>тельством того, что имеются препятствия, не да</w:t>
      </w:r>
      <w:r>
        <w:t>ю</w:t>
      </w:r>
      <w:r>
        <w:t>щие женщинам возможности занимать должности преподавателей, и что эти должности необязательно замещ</w:t>
      </w:r>
      <w:r>
        <w:t>а</w:t>
      </w:r>
      <w:r>
        <w:t>ются на основе учета заслуг?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спрашивает, обучаются ли мальчики и девочки совместно в учебных зав</w:t>
      </w:r>
      <w:r>
        <w:t>е</w:t>
      </w:r>
      <w:r>
        <w:t>дениях первого и второго уровней. Она также инт</w:t>
      </w:r>
      <w:r>
        <w:t>е</w:t>
      </w:r>
      <w:r>
        <w:t>ресуется, как педагоги-женщины справляются со своими обязанностями и разрешено ли им обучать представителей мужского пола. Она была бы также признательна за представление статистических данных о числе мужчин, обучающихся за рубежом, которое, согласно независимым докладам, является знач</w:t>
      </w:r>
      <w:r>
        <w:t>и</w:t>
      </w:r>
      <w:r>
        <w:t>тельным.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Гаспар </w:t>
      </w:r>
      <w:r>
        <w:t>указывает, что информация, представленная в связи со статьей 5, дает основание полагать, что в системе образования пропагандир</w:t>
      </w:r>
      <w:r>
        <w:t>у</w:t>
      </w:r>
      <w:r>
        <w:t>ется принцип, согласно которому мужчины и же</w:t>
      </w:r>
      <w:r>
        <w:t>н</w:t>
      </w:r>
      <w:r>
        <w:t>щины призваны играть в семейной жизни разные роли. Она спрашивает, имеют ли мальчики и дево</w:t>
      </w:r>
      <w:r>
        <w:t>ч</w:t>
      </w:r>
      <w:r>
        <w:t>ки возможности для занятия одними и теми же в</w:t>
      </w:r>
      <w:r>
        <w:t>и</w:t>
      </w:r>
      <w:r>
        <w:t>дами спорта, и может ли делегация представить в следующем докладе Кувейта статистическую и</w:t>
      </w:r>
      <w:r>
        <w:t>н</w:t>
      </w:r>
      <w:r>
        <w:t>формацию об участии кувейтских спортсменов в международных соревн</w:t>
      </w:r>
      <w:r>
        <w:t>о</w:t>
      </w:r>
      <w:r>
        <w:t>ваниях.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11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Ахмад </w:t>
      </w:r>
      <w:r>
        <w:t>выражает озабоченность по пов</w:t>
      </w:r>
      <w:r>
        <w:t>о</w:t>
      </w:r>
      <w:r>
        <w:t>ду осуществления положений пункта 2(c) статьи 11 Конвенции с учетом той чрезвычайно важной роли, которую семейная жизнь играет с точки зрения ра</w:t>
      </w:r>
      <w:r>
        <w:t>з</w:t>
      </w:r>
      <w:r>
        <w:t>вития человеческой личности. Особенно важно, чтобы оба родителя в семье на основе взаимной поддержки адекватно сочетали свои рабочие и с</w:t>
      </w:r>
      <w:r>
        <w:t>е</w:t>
      </w:r>
      <w:r>
        <w:t>мейные об</w:t>
      </w:r>
      <w:r>
        <w:t>я</w:t>
      </w:r>
      <w:r>
        <w:t>занности.</w:t>
      </w:r>
    </w:p>
    <w:p w:rsidR="00000000" w:rsidRDefault="00000000">
      <w:pPr>
        <w:pStyle w:val="DualTxt"/>
      </w:pPr>
      <w:r>
        <w:t>8.</w:t>
      </w:r>
      <w:r>
        <w:tab/>
        <w:t>Поскольку Кувейт является одним из самых крупных работодателей для женщин из числа тр</w:t>
      </w:r>
      <w:r>
        <w:t>у</w:t>
      </w:r>
      <w:r>
        <w:t>дящихся-мигрантов, она интересуется, приняло ли правительство законодательство о защите таких трудящихся. В этом же контексте она хотела бы у</w:t>
      </w:r>
      <w:r>
        <w:t>з</w:t>
      </w:r>
      <w:r>
        <w:t>нать о масштабах участия Кувейта в региональных мероприятиях, нацеленных на поощрение прав тр</w:t>
      </w:r>
      <w:r>
        <w:t>у</w:t>
      </w:r>
      <w:r>
        <w:t>дящихся-мигрантов, а также хотела бы знать, ос</w:t>
      </w:r>
      <w:r>
        <w:t>у</w:t>
      </w:r>
      <w:r>
        <w:t>ществляет ли он программы социальной, эконом</w:t>
      </w:r>
      <w:r>
        <w:t>и</w:t>
      </w:r>
      <w:r>
        <w:t>ческой или правовой поддержки и применяет ли минимальные стандарты в области труда в этих ц</w:t>
      </w:r>
      <w:r>
        <w:t>е</w:t>
      </w:r>
      <w:r>
        <w:t>лях.</w:t>
      </w:r>
    </w:p>
    <w:p w:rsidR="00000000" w:rsidRDefault="00000000">
      <w:pPr>
        <w:pStyle w:val="DualTxt"/>
      </w:pPr>
      <w:r>
        <w:t>9.</w:t>
      </w:r>
      <w:r>
        <w:tab/>
        <w:t>В связи с Законом о работе в частном секторе № 38 она просит представить разъяснения относ</w:t>
      </w:r>
      <w:r>
        <w:t>и</w:t>
      </w:r>
      <w:r>
        <w:t>тельно причин запрета на работу женщин в ночное время, а также хотела бы знать об условиях труда женщин, на которых не распространяется этот з</w:t>
      </w:r>
      <w:r>
        <w:t>а</w:t>
      </w:r>
      <w:r>
        <w:t>прет.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Кокер-Аппия </w:t>
      </w:r>
      <w:r>
        <w:t>просит представить д</w:t>
      </w:r>
      <w:r>
        <w:t>о</w:t>
      </w:r>
      <w:r>
        <w:t>полнительную информацию о защите трудящихся-мигрантов, особенно занятых домашним трудом, согласно Закону о работе в частном секторе. Обр</w:t>
      </w:r>
      <w:r>
        <w:t>а</w:t>
      </w:r>
      <w:r>
        <w:t>щая внимание на необходимость согласования зак</w:t>
      </w:r>
      <w:r>
        <w:t>о</w:t>
      </w:r>
      <w:r>
        <w:t>нов, касающихся социальных благ, она спрашивает, может ли, в контексте обеспечения реализации р</w:t>
      </w:r>
      <w:r>
        <w:t>е</w:t>
      </w:r>
      <w:r>
        <w:t>продуктивных прав, предоставляться дополнител</w:t>
      </w:r>
      <w:r>
        <w:t>ь</w:t>
      </w:r>
      <w:r>
        <w:t>ный отпуск занятым в частном секторе женщинам, как это имеет место в государственном сект</w:t>
      </w:r>
      <w:r>
        <w:t>о</w:t>
      </w:r>
      <w:r>
        <w:t xml:space="preserve">ре. 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Хан </w:t>
      </w:r>
      <w:r>
        <w:t>отмечает впечатляющий уровень образования женщин в Кувейте, однако указывает, что в докладе не указано, в каких секторах они з</w:t>
      </w:r>
      <w:r>
        <w:t>а</w:t>
      </w:r>
      <w:r>
        <w:t>няты. Поэтому она хотела бы знать, каковы показ</w:t>
      </w:r>
      <w:r>
        <w:t>а</w:t>
      </w:r>
      <w:r>
        <w:t>тели занятости женщин, каковы размеры зарабо</w:t>
      </w:r>
      <w:r>
        <w:t>т</w:t>
      </w:r>
      <w:r>
        <w:t>ной платы, предлагаемой женщинам при найме на работу, и имеют ли место случаи дискриминации в оплате труда.</w:t>
      </w:r>
    </w:p>
    <w:p w:rsidR="00000000" w:rsidRDefault="00000000">
      <w:pPr>
        <w:pStyle w:val="DualTxt"/>
      </w:pPr>
      <w:r>
        <w:t>12.</w:t>
      </w:r>
      <w:r>
        <w:tab/>
        <w:t>В связи с исключениями в отношении запрета на работу женщин в ночное время она отмечает, что некоторые из этих исключений распространяются на те рабочие места, где женщины оказываются в уязвимом положении. Она спрашивает, задейств</w:t>
      </w:r>
      <w:r>
        <w:t>о</w:t>
      </w:r>
      <w:r>
        <w:t>ваны ли в этих областях главным образом ин</w:t>
      </w:r>
      <w:r>
        <w:t>о</w:t>
      </w:r>
      <w:r>
        <w:t>странные работники, и интересуется, не может ли делегация прокомментировать доходящие до Ком</w:t>
      </w:r>
      <w:r>
        <w:t>и</w:t>
      </w:r>
      <w:r>
        <w:t>тета сообщения о чрезвычайно тяжелых условиях труда иностранцев в Кувейте, выполняющих д</w:t>
      </w:r>
      <w:r>
        <w:t>о</w:t>
      </w:r>
      <w:r>
        <w:t>машнюю работу. В связи с информацией о большом числе женщин, особенно женщин репродуктивного возраста, задействованных на рынке труда, она спрашивает, кто составляет большинство среди т</w:t>
      </w:r>
      <w:r>
        <w:t>а</w:t>
      </w:r>
      <w:r>
        <w:t>ких работающих женщин — рабочие-мигранты или кувейтские граждане. Она была бы также призн</w:t>
      </w:r>
      <w:r>
        <w:t>а</w:t>
      </w:r>
      <w:r>
        <w:t>тельна за предоставление дополнительной инфо</w:t>
      </w:r>
      <w:r>
        <w:t>р</w:t>
      </w:r>
      <w:r>
        <w:t>мации о женщинах, занятых в неформальном сект</w:t>
      </w:r>
      <w:r>
        <w:t>о</w:t>
      </w:r>
      <w:r>
        <w:t>ре и секторе обсл</w:t>
      </w:r>
      <w:r>
        <w:t>у</w:t>
      </w:r>
      <w:r>
        <w:t>живания.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Паттер </w:t>
      </w:r>
      <w:r>
        <w:t>просит делегацию представить информацию о том, в какие профессиональные к</w:t>
      </w:r>
      <w:r>
        <w:t>а</w:t>
      </w:r>
      <w:r>
        <w:t>тегории входят женщины. Она спрашивает, отлич</w:t>
      </w:r>
      <w:r>
        <w:t>а</w:t>
      </w:r>
      <w:r>
        <w:t>ется ли сумма заработной платы, выплачиваемой мужчинам, на которых не распространяются пол</w:t>
      </w:r>
      <w:r>
        <w:t>о</w:t>
      </w:r>
      <w:r>
        <w:t>жения специального законодательства, регулиру</w:t>
      </w:r>
      <w:r>
        <w:t>ю</w:t>
      </w:r>
      <w:r>
        <w:t>щего условия труда женщин, а также о том, распр</w:t>
      </w:r>
      <w:r>
        <w:t>о</w:t>
      </w:r>
      <w:r>
        <w:t>страняется ли на некувейтских женщин действие специального законод</w:t>
      </w:r>
      <w:r>
        <w:t>а</w:t>
      </w:r>
      <w:r>
        <w:t>тельства.</w:t>
      </w:r>
    </w:p>
    <w:p w:rsidR="00000000" w:rsidRDefault="00000000">
      <w:pPr>
        <w:pStyle w:val="DualTxt"/>
      </w:pPr>
      <w:r>
        <w:t>14.</w:t>
      </w:r>
      <w:r>
        <w:tab/>
        <w:t>На странице 55 доклада говорится о том, что были приняты различные законы, стимулирующие кувейтских женщин к работе «без ущерба для о</w:t>
      </w:r>
      <w:r>
        <w:t>с</w:t>
      </w:r>
      <w:r>
        <w:t>новной отводимой им обществом роли — роли м</w:t>
      </w:r>
      <w:r>
        <w:t>а</w:t>
      </w:r>
      <w:r>
        <w:t>тери и воспитательницы подрастающего покол</w:t>
      </w:r>
      <w:r>
        <w:t>е</w:t>
      </w:r>
      <w:r>
        <w:t>ния». Подобный подход способствует закреплению стереотипов и сказывается на реализации принц</w:t>
      </w:r>
      <w:r>
        <w:t>и</w:t>
      </w:r>
      <w:r>
        <w:t>пов равенства возможностей и свободного выбора работы. Она полагает, что Кувейту следует прове</w:t>
      </w:r>
      <w:r>
        <w:t>с</w:t>
      </w:r>
      <w:r>
        <w:t>ти обзор своих обязательств по ст</w:t>
      </w:r>
      <w:r>
        <w:t>а</w:t>
      </w:r>
      <w:r>
        <w:t>тье 11.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12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жа Попеску Сандру</w:t>
      </w:r>
      <w:r>
        <w:t xml:space="preserve"> отмечает, что в докладе четко не говорится о равном доступе мужчин и женщин к услугам по охране здоровья и медици</w:t>
      </w:r>
      <w:r>
        <w:t>н</w:t>
      </w:r>
      <w:r>
        <w:t>скому обслуживанию. Она также хотела бы знать, ограничивается ли каким</w:t>
      </w:r>
      <w:r>
        <w:noBreakHyphen/>
        <w:t>либо образом доступ к т</w:t>
      </w:r>
      <w:r>
        <w:t>а</w:t>
      </w:r>
      <w:r>
        <w:t>ким услугам н</w:t>
      </w:r>
      <w:r>
        <w:t>е</w:t>
      </w:r>
      <w:r>
        <w:t>кувейтских женщин.</w:t>
      </w:r>
    </w:p>
    <w:p w:rsidR="00000000" w:rsidRDefault="00000000">
      <w:pPr>
        <w:pStyle w:val="DualTxt"/>
      </w:pPr>
      <w:r>
        <w:t>16.</w:t>
      </w:r>
      <w:r>
        <w:tab/>
        <w:t>Она приветствовала бы предоставление стат</w:t>
      </w:r>
      <w:r>
        <w:t>и</w:t>
      </w:r>
      <w:r>
        <w:t>стической информации, позволяющей сравнить п</w:t>
      </w:r>
      <w:r>
        <w:t>о</w:t>
      </w:r>
      <w:r>
        <w:t>казатели распространения инфекционных болезней и заболеваемости среди мужчин и среди женщин, особенно такими болезнями, как рак, туберкулез и передаваемые половым путем заболевания. Она о</w:t>
      </w:r>
      <w:r>
        <w:t>т</w:t>
      </w:r>
      <w:r>
        <w:t>дает должное правительству Кувейта за создание Национального комитета по борьбе со СПИДом и программ в этой области и говорит, что было бы полезно получить дополнительную информацию о заболеваемости СПИДом, а также о числе инфиц</w:t>
      </w:r>
      <w:r>
        <w:t>и</w:t>
      </w:r>
      <w:r>
        <w:t>рованных женщин и мужчин в целях сравнения. Переходя к вопросу о женском обрезании, она спрашивает, имеют ли место случаи проведения т</w:t>
      </w:r>
      <w:r>
        <w:t>а</w:t>
      </w:r>
      <w:r>
        <w:t>ких операций женщинам, не являющимся гражда</w:t>
      </w:r>
      <w:r>
        <w:t>н</w:t>
      </w:r>
      <w:r>
        <w:t>ками Кувейта, несмотря на заявление о том, что т</w:t>
      </w:r>
      <w:r>
        <w:t>а</w:t>
      </w:r>
      <w:r>
        <w:t>кая вредная для здоровья женщин традиционная практика в Кувейте неизвестна. Если такая практ</w:t>
      </w:r>
      <w:r>
        <w:t>и</w:t>
      </w:r>
      <w:r>
        <w:t>ка все же применяется, она хотела бы знать, какие меры принимает правительство в целях ее предо</w:t>
      </w:r>
      <w:r>
        <w:t>т</w:t>
      </w:r>
      <w:r>
        <w:t>вращения.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15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жа Гнанкаджа</w:t>
      </w:r>
      <w:r>
        <w:t xml:space="preserve"> отмечает, что в докладе с</w:t>
      </w:r>
      <w:r>
        <w:t>о</w:t>
      </w:r>
      <w:r>
        <w:t>держится довольно много информации о законод</w:t>
      </w:r>
      <w:r>
        <w:t>а</w:t>
      </w:r>
      <w:r>
        <w:t>тельных положениях, однако весьма мало об их практической реализации. Она просит представить разъяснение о возрасте приобретения дееспособн</w:t>
      </w:r>
      <w:r>
        <w:t>о</w:t>
      </w:r>
      <w:r>
        <w:t>сти у мужчин и женщин. Приведенная в докладе информация позволяет предположить, что мужчина, который вступает в брак в минимальном брачном возрасте, составляющем 17 лет, имеет право выст</w:t>
      </w:r>
      <w:r>
        <w:t>у</w:t>
      </w:r>
      <w:r>
        <w:t>пать в качестве физического лица, в то время, как женщине, даже если она замужем, необходимо до</w:t>
      </w:r>
      <w:r>
        <w:t>с</w:t>
      </w:r>
      <w:r>
        <w:t>тигнуть для этого 21 года.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жа Капалата</w:t>
      </w:r>
      <w:r>
        <w:t xml:space="preserve"> просит представить данные с разбивкой по признаку пола о числе нарушений прав человека, которые рассматриваются в судах. Она также хотела бы знать, распространяется ли на мужчин, а также на женщин требование, в соотве</w:t>
      </w:r>
      <w:r>
        <w:t>т</w:t>
      </w:r>
      <w:r>
        <w:t>ствии с которым после развода должен пройти о</w:t>
      </w:r>
      <w:r>
        <w:t>п</w:t>
      </w:r>
      <w:r>
        <w:t>ределенный период, прежде чем они могут снова вступать в брак.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16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жа Шимонович</w:t>
      </w:r>
      <w:r>
        <w:t xml:space="preserve"> просит объяснить, почему минимальный возраст вступления в брак для му</w:t>
      </w:r>
      <w:r>
        <w:t>ж</w:t>
      </w:r>
      <w:r>
        <w:t>чин и женщин различен, являются ли основания для развода одними и теми же для мужчин и женщин и имеют ли супруги равные права в плане распоряж</w:t>
      </w:r>
      <w:r>
        <w:t>е</w:t>
      </w:r>
      <w:r>
        <w:t>ния нажитым в браке имущ</w:t>
      </w:r>
      <w:r>
        <w:t>е</w:t>
      </w:r>
      <w:r>
        <w:t>ством.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 Гнанкаджа</w:t>
      </w:r>
      <w:r>
        <w:t xml:space="preserve"> говорит, что, согласно но</w:t>
      </w:r>
      <w:r>
        <w:t>р</w:t>
      </w:r>
      <w:r>
        <w:t>мам гражданского права, для вступления женщины в брак необходимо согласие не только обеих сторон, но и опекуна этой женщины. Она спрашивает, тр</w:t>
      </w:r>
      <w:r>
        <w:t>е</w:t>
      </w:r>
      <w:r>
        <w:t>буется ли такое согласие от совершеннолетней женщины. Как ей кажется, статус девушки, выше</w:t>
      </w:r>
      <w:r>
        <w:t>д</w:t>
      </w:r>
      <w:r>
        <w:t>шей замуж в 15 лет, будет оставаться неурегулир</w:t>
      </w:r>
      <w:r>
        <w:t>о</w:t>
      </w:r>
      <w:r>
        <w:t>ванным до достижения ею 21 года, и она была бы признательна, если бы делегация заверила ее в том, что такая женщина будет иметь те же права, что и ее муж.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говорит, что необход</w:t>
      </w:r>
      <w:r>
        <w:t>и</w:t>
      </w:r>
      <w:r>
        <w:t>ма более подробная информация о положениях З</w:t>
      </w:r>
      <w:r>
        <w:t>а</w:t>
      </w:r>
      <w:r>
        <w:t>кона о гражданском состоянии. В частности, она хотела бы знать, должен ли мужчина получать с</w:t>
      </w:r>
      <w:r>
        <w:t>о</w:t>
      </w:r>
      <w:r>
        <w:t>гласие своего опекуна на вступление в брак, если он достиг совершеннолетия. Она не понимает сути оговорки к статье 16(f) и хотела бы знать, можно ли ее снять. В связи с проблемой насилия в семье она обращает внимание на общую рекомендацию № 19 и спрашивает, несет ли муж какое</w:t>
      </w:r>
      <w:r>
        <w:noBreakHyphen/>
        <w:t>либо наказание за насилие в отношении своей ж</w:t>
      </w:r>
      <w:r>
        <w:t>е</w:t>
      </w:r>
      <w:r>
        <w:t>ны.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 Гонсалес Мартинес</w:t>
      </w:r>
      <w:r>
        <w:t xml:space="preserve"> говорит, что у нее вызывает обеспокоенность неадекватное примен</w:t>
      </w:r>
      <w:r>
        <w:t>е</w:t>
      </w:r>
      <w:r>
        <w:t>ние статьи 16, и обращает внимание на общую р</w:t>
      </w:r>
      <w:r>
        <w:t>е</w:t>
      </w:r>
      <w:r>
        <w:t>комендацию № 21 о равенстве в браке и в семье. Она просит представить более подробную инфо</w:t>
      </w:r>
      <w:r>
        <w:t>р</w:t>
      </w:r>
      <w:r>
        <w:t>мацию о тех основаниях, на которых мужчины м</w:t>
      </w:r>
      <w:r>
        <w:t>о</w:t>
      </w:r>
      <w:r>
        <w:t>гут требовать расторжения брака или развода, о м</w:t>
      </w:r>
      <w:r>
        <w:t>е</w:t>
      </w:r>
      <w:r>
        <w:t>рах правовой защиты, имеющихся в распоряжении женщин, и о том, каким образом решается вопрос об опеке над детьми.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 Морваи</w:t>
      </w:r>
      <w:r>
        <w:t xml:space="preserve"> говорит, что вступление в брак в раннем возрасте представляет для женщины сер</w:t>
      </w:r>
      <w:r>
        <w:t>ь</w:t>
      </w:r>
      <w:r>
        <w:t>езное препятствие с точки зрения получения обр</w:t>
      </w:r>
      <w:r>
        <w:t>а</w:t>
      </w:r>
      <w:r>
        <w:t>зования, хотя правительство Кувейта неизменно особо отмечает свои достижения в этой области. Минимальный возраст вступления в брак должен быть увеличен до 18 лет, как для мужчин, так и для женщин, в соответствии с положениями Конвенции о пр</w:t>
      </w:r>
      <w:r>
        <w:t>а</w:t>
      </w:r>
      <w:r>
        <w:t>вах ребенка, которую Кувейт ратифицировал.</w:t>
      </w:r>
    </w:p>
    <w:p w:rsidR="00000000" w:rsidRDefault="00000000">
      <w:pPr>
        <w:pStyle w:val="DualTxt"/>
      </w:pPr>
      <w:r>
        <w:t>24.</w:t>
      </w:r>
      <w:r>
        <w:tab/>
        <w:t>Она хотела бы знать, имеются ли какие</w:t>
      </w:r>
      <w:r>
        <w:noBreakHyphen/>
        <w:t>либо программы, поощряющие участие мужчин в восп</w:t>
      </w:r>
      <w:r>
        <w:t>и</w:t>
      </w:r>
      <w:r>
        <w:t>тании детей и выполнении семейных обязанностей, и предусматривает ли конституционное положение о защите матерей и детей также и защиту от нищ</w:t>
      </w:r>
      <w:r>
        <w:t>е</w:t>
      </w:r>
      <w:r>
        <w:t>ты. Феминизация нищеты — это явление, которое отмечается даже в богатых странах, таких, как К</w:t>
      </w:r>
      <w:r>
        <w:t>у</w:t>
      </w:r>
      <w:r>
        <w:t>вейт.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16 ч. 00 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NO&gt;&gt;N0420745R&lt;&lt;ODS JOB NO&gt;&gt;</w:t>
      </w:r>
    </w:p>
    <w:p w:rsidR="00000000" w:rsidRDefault="00000000">
      <w:pPr>
        <w:pStyle w:val="CommentText"/>
      </w:pPr>
      <w:r>
        <w:t>&lt;&lt;ODS DOC SYMBOL1&gt;&gt;CEDAW/C/SR.635&lt;&lt;ODS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04-20745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*0420745*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CEDAW/C/SR.635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CEDAW/C/SR.635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/C/SR.635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5</w:t>
          </w:r>
          <w:r>
            <w:t xml:space="preserve"> August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4/08/2005 12:48:01"/>
    <w:docVar w:name="DocCategory" w:val="SROthers"/>
    <w:docVar w:name="DocType" w:val="Final"/>
    <w:docVar w:name="JobNo" w:val="0420745R"/>
    <w:docVar w:name="OandT" w:val=" "/>
    <w:docVar w:name="Symbol1" w:val="CEDAW/C/SR.635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1643</Words>
  <Characters>9366</Characters>
  <Application>Microsoft Office Word</Application>
  <DocSecurity>4</DocSecurity>
  <Lines>78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11502</CharactersWithSpaces>
  <SharedDoc>false</SharedDoc>
  <HLinks>
    <vt:vector size="6" baseType="variant">
      <vt:variant>
        <vt:i4>4522087</vt:i4>
      </vt:variant>
      <vt:variant>
        <vt:i4>23976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Tatiana.Panichkina</dc:creator>
  <cp:keywords/>
  <dc:description/>
  <cp:lastModifiedBy>Natalia.Kanaykina</cp:lastModifiedBy>
  <cp:revision>7</cp:revision>
  <cp:lastPrinted>2005-08-04T21:16:00Z</cp:lastPrinted>
  <dcterms:created xsi:type="dcterms:W3CDTF">2005-08-04T21:14:00Z</dcterms:created>
  <dcterms:modified xsi:type="dcterms:W3CDTF">2005-08-04T21:23:00Z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0420745</vt:lpwstr>
  </property>
  <property fmtid="{D5CDD505-2E9C-101B-9397-08002B2CF9AE}" pid="3" name="Symbol1">
    <vt:lpwstr>CEDAW/C/SR.635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4</vt:lpwstr>
  </property>
  <property fmtid="{D5CDD505-2E9C-101B-9397-08002B2CF9AE}" pid="8" name="Operator">
    <vt:lpwstr>Kananykina</vt:lpwstr>
  </property>
</Properties>
</file>