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24529D">
            <w:bookmarkStart w:id="0" w:name="_GoBack"/>
            <w:bookmarkEnd w:id="0"/>
          </w:p>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24529D" w:rsidP="0024529D">
            <w:pPr>
              <w:jc w:val="right"/>
            </w:pPr>
            <w:r w:rsidRPr="0024529D">
              <w:rPr>
                <w:sz w:val="40"/>
              </w:rPr>
              <w:t>CCPR</w:t>
            </w:r>
            <w:r>
              <w:t>/C/CHN-HKG/4</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24529D" w:rsidP="002B7BC7">
            <w:pPr>
              <w:spacing w:before="240"/>
            </w:pPr>
            <w:r>
              <w:t>Distr. générale</w:t>
            </w:r>
          </w:p>
          <w:p w:rsidR="0024529D" w:rsidRDefault="0024529D" w:rsidP="0024529D">
            <w:pPr>
              <w:spacing w:line="240" w:lineRule="exact"/>
            </w:pPr>
            <w:r>
              <w:t>14 février 2020</w:t>
            </w:r>
          </w:p>
          <w:p w:rsidR="0024529D" w:rsidRDefault="0024529D" w:rsidP="0024529D">
            <w:pPr>
              <w:spacing w:line="240" w:lineRule="exact"/>
            </w:pPr>
            <w:r>
              <w:t>Français</w:t>
            </w:r>
          </w:p>
          <w:p w:rsidR="0024529D" w:rsidRDefault="0024529D" w:rsidP="0024529D">
            <w:pPr>
              <w:spacing w:line="240" w:lineRule="exact"/>
            </w:pPr>
            <w:r>
              <w:t>Original : anglais et chinois</w:t>
            </w:r>
          </w:p>
          <w:p w:rsidR="0024529D" w:rsidRPr="00DB58B5" w:rsidRDefault="0024529D" w:rsidP="0024529D">
            <w:pPr>
              <w:spacing w:line="240" w:lineRule="exact"/>
            </w:pPr>
            <w:r w:rsidRPr="00AB1F22">
              <w:rPr>
                <w:lang w:val="fr-FR"/>
              </w:rPr>
              <w:t>Anglais, chinois, espagnol et français seulement</w:t>
            </w:r>
          </w:p>
        </w:tc>
      </w:tr>
    </w:tbl>
    <w:p w:rsidR="006F71EA" w:rsidRDefault="006F71EA" w:rsidP="006F71EA">
      <w:pPr>
        <w:spacing w:before="120"/>
        <w:rPr>
          <w:b/>
          <w:sz w:val="24"/>
          <w:szCs w:val="24"/>
        </w:rPr>
      </w:pPr>
      <w:r w:rsidRPr="00DF3BF1">
        <w:rPr>
          <w:b/>
          <w:sz w:val="24"/>
          <w:szCs w:val="24"/>
        </w:rPr>
        <w:t>Comité des droits de l</w:t>
      </w:r>
      <w:r w:rsidR="004F1DFB">
        <w:rPr>
          <w:b/>
          <w:sz w:val="24"/>
          <w:szCs w:val="24"/>
        </w:rPr>
        <w:t>’</w:t>
      </w:r>
      <w:r w:rsidRPr="00DF3BF1">
        <w:rPr>
          <w:b/>
          <w:sz w:val="24"/>
          <w:szCs w:val="24"/>
        </w:rPr>
        <w:t>homme</w:t>
      </w:r>
    </w:p>
    <w:p w:rsidR="0024529D" w:rsidRPr="00AB1F22" w:rsidRDefault="0024529D" w:rsidP="0024529D">
      <w:pPr>
        <w:pStyle w:val="HMG"/>
        <w:rPr>
          <w:lang w:val="fr-FR"/>
        </w:rPr>
      </w:pPr>
      <w:r>
        <w:rPr>
          <w:lang w:val="fr-FR"/>
        </w:rPr>
        <w:tab/>
      </w:r>
      <w:r>
        <w:rPr>
          <w:lang w:val="fr-FR"/>
        </w:rPr>
        <w:tab/>
      </w:r>
      <w:r w:rsidRPr="00AB1F22">
        <w:rPr>
          <w:lang w:val="fr-FR"/>
        </w:rPr>
        <w:t xml:space="preserve">Quatrième rapport périodique soumis </w:t>
      </w:r>
      <w:r w:rsidR="005B4265">
        <w:rPr>
          <w:lang w:val="fr-FR"/>
        </w:rPr>
        <w:br/>
      </w:r>
      <w:r w:rsidRPr="00AB1F22">
        <w:rPr>
          <w:lang w:val="fr-FR"/>
        </w:rPr>
        <w:t>par Hong</w:t>
      </w:r>
      <w:r>
        <w:rPr>
          <w:lang w:val="fr-FR"/>
        </w:rPr>
        <w:t> </w:t>
      </w:r>
      <w:r w:rsidRPr="00AB1F22">
        <w:rPr>
          <w:lang w:val="fr-FR"/>
        </w:rPr>
        <w:t xml:space="preserve">Kong (Chine) en application </w:t>
      </w:r>
      <w:r w:rsidR="005B4265">
        <w:rPr>
          <w:lang w:val="fr-FR"/>
        </w:rPr>
        <w:br/>
      </w:r>
      <w:r w:rsidRPr="00AB1F22">
        <w:rPr>
          <w:lang w:val="fr-FR"/>
        </w:rPr>
        <w:t>de l</w:t>
      </w:r>
      <w:r w:rsidR="004F1DFB">
        <w:rPr>
          <w:lang w:val="fr-FR"/>
        </w:rPr>
        <w:t>’</w:t>
      </w:r>
      <w:r w:rsidRPr="00AB1F22">
        <w:rPr>
          <w:lang w:val="fr-FR"/>
        </w:rPr>
        <w:t>article 40 du Pacte, attendu en 2018</w:t>
      </w:r>
      <w:r w:rsidRPr="0024529D">
        <w:rPr>
          <w:b w:val="0"/>
          <w:sz w:val="20"/>
        </w:rPr>
        <w:footnoteReference w:customMarkFollows="1" w:id="2"/>
        <w:t>*</w:t>
      </w:r>
      <w:r w:rsidRPr="0024529D">
        <w:rPr>
          <w:b w:val="0"/>
          <w:position w:val="6"/>
          <w:sz w:val="20"/>
        </w:rPr>
        <w:t>,</w:t>
      </w:r>
      <w:r w:rsidRPr="0024529D">
        <w:rPr>
          <w:b w:val="0"/>
          <w:sz w:val="20"/>
        </w:rPr>
        <w:t xml:space="preserve"> </w:t>
      </w:r>
      <w:r w:rsidRPr="0024529D">
        <w:rPr>
          <w:b w:val="0"/>
          <w:sz w:val="20"/>
        </w:rPr>
        <w:footnoteReference w:customMarkFollows="1" w:id="3"/>
        <w:t>**</w:t>
      </w:r>
      <w:r w:rsidRPr="00AB1F22">
        <w:rPr>
          <w:lang w:val="fr-FR"/>
        </w:rPr>
        <w:t xml:space="preserve"> </w:t>
      </w:r>
    </w:p>
    <w:p w:rsidR="00E85C42" w:rsidRDefault="0024529D" w:rsidP="0024529D">
      <w:pPr>
        <w:pStyle w:val="SingleTxtG"/>
        <w:jc w:val="right"/>
        <w:rPr>
          <w:lang w:val="fr-FR"/>
        </w:rPr>
      </w:pPr>
      <w:r w:rsidRPr="00AB1F22">
        <w:rPr>
          <w:lang w:val="fr-FR"/>
        </w:rPr>
        <w:t>[Date de réception : 19 septembre 2019]</w:t>
      </w:r>
    </w:p>
    <w:p w:rsidR="0024529D" w:rsidRPr="0024529D" w:rsidRDefault="0024529D" w:rsidP="0024529D">
      <w:pPr>
        <w:spacing w:after="120"/>
        <w:rPr>
          <w:sz w:val="28"/>
        </w:rPr>
      </w:pPr>
      <w:r>
        <w:br w:type="page"/>
      </w:r>
      <w:r w:rsidRPr="0024529D">
        <w:rPr>
          <w:sz w:val="28"/>
        </w:rPr>
        <w:lastRenderedPageBreak/>
        <w:t>Table des matières</w:t>
      </w:r>
    </w:p>
    <w:p w:rsidR="0024529D" w:rsidRPr="00AB1F22" w:rsidRDefault="0024529D" w:rsidP="0024529D">
      <w:pPr>
        <w:tabs>
          <w:tab w:val="right" w:pos="8929"/>
          <w:tab w:val="right" w:pos="9638"/>
        </w:tabs>
        <w:spacing w:after="120"/>
        <w:ind w:left="283"/>
        <w:rPr>
          <w:lang w:val="fr-FR"/>
        </w:rPr>
      </w:pPr>
      <w:r w:rsidRPr="00AB1F22">
        <w:rPr>
          <w:lang w:val="fr-FR"/>
        </w:rPr>
        <w:tab/>
      </w:r>
      <w:r w:rsidRPr="00AB1F22">
        <w:rPr>
          <w:i/>
          <w:iCs/>
          <w:lang w:val="fr-FR"/>
        </w:rPr>
        <w:t>Paragraphes</w:t>
      </w:r>
      <w:r w:rsidRPr="00AB1F22">
        <w:rPr>
          <w:lang w:val="fr-FR"/>
        </w:rPr>
        <w:tab/>
      </w:r>
      <w:r w:rsidRPr="00AB1F22">
        <w:rPr>
          <w:i/>
          <w:iCs/>
          <w:lang w:val="fr-FR"/>
        </w:rPr>
        <w:t>Page</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AB1F22">
        <w:rPr>
          <w:lang w:val="fr-FR"/>
        </w:rPr>
        <w:t>Préambule</w:t>
      </w:r>
      <w:r w:rsidRPr="00AB1F22">
        <w:rPr>
          <w:lang w:val="fr-FR"/>
        </w:rPr>
        <w:tab/>
      </w:r>
      <w:r w:rsidRPr="00AB1F22">
        <w:rPr>
          <w:lang w:val="fr-FR"/>
        </w:rPr>
        <w:tab/>
        <w:t>1–3</w:t>
      </w:r>
      <w:r w:rsidRPr="00AB1F22">
        <w:rPr>
          <w:lang w:val="fr-FR"/>
        </w:rPr>
        <w:tab/>
      </w:r>
      <w:r>
        <w:rPr>
          <w:lang w:val="fr-FR"/>
        </w:rPr>
        <w:t>8</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premier : Mise en œuvre du principe « un pays, deux systèmes »</w:t>
      </w:r>
      <w:r w:rsidRPr="00AB1F22">
        <w:rPr>
          <w:lang w:val="fr-FR"/>
        </w:rPr>
        <w:tab/>
      </w:r>
      <w:r w:rsidRPr="00AB1F22">
        <w:rPr>
          <w:lang w:val="fr-FR"/>
        </w:rPr>
        <w:tab/>
        <w:t>4–7</w:t>
      </w:r>
      <w:r w:rsidRPr="00AB1F22">
        <w:rPr>
          <w:lang w:val="fr-FR"/>
        </w:rPr>
        <w:tab/>
      </w:r>
      <w:r>
        <w:rPr>
          <w:lang w:val="fr-FR"/>
        </w:rPr>
        <w:t>8</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2 : Garantir à tous les individus les droits reconnus dans le Pacte</w:t>
      </w:r>
      <w:r w:rsidRPr="00AB1F22">
        <w:rPr>
          <w:lang w:val="fr-FR"/>
        </w:rPr>
        <w:tab/>
      </w:r>
      <w:r w:rsidRPr="00AB1F22">
        <w:rPr>
          <w:lang w:val="fr-FR"/>
        </w:rPr>
        <w:tab/>
        <w:t>8–13</w:t>
      </w:r>
      <w:r w:rsidRPr="00AB1F22">
        <w:rPr>
          <w:lang w:val="fr-FR"/>
        </w:rPr>
        <w:tab/>
      </w:r>
      <w:r>
        <w:rPr>
          <w:lang w:val="fr-FR"/>
        </w:rPr>
        <w:t>8</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Institution des droits de l</w:t>
      </w:r>
      <w:r w:rsidR="004F1DFB">
        <w:rPr>
          <w:lang w:val="fr-FR"/>
        </w:rPr>
        <w:t>’</w:t>
      </w:r>
      <w:r w:rsidRPr="00AB1F22">
        <w:rPr>
          <w:lang w:val="fr-FR"/>
        </w:rPr>
        <w:t>homme</w:t>
      </w:r>
      <w:r w:rsidRPr="00AB1F22">
        <w:rPr>
          <w:lang w:val="fr-FR"/>
        </w:rPr>
        <w:tab/>
      </w:r>
      <w:r w:rsidRPr="00AB1F22">
        <w:rPr>
          <w:lang w:val="fr-FR"/>
        </w:rPr>
        <w:tab/>
        <w:t>8–9</w:t>
      </w:r>
      <w:r w:rsidRPr="00AB1F22">
        <w:rPr>
          <w:lang w:val="fr-FR"/>
        </w:rPr>
        <w:tab/>
      </w:r>
      <w:r>
        <w:rPr>
          <w:lang w:val="fr-FR"/>
        </w:rPr>
        <w:t>8</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Conseil indépendant des réclamations contre la police</w:t>
      </w:r>
      <w:r w:rsidRPr="00AB1F22">
        <w:rPr>
          <w:lang w:val="fr-FR"/>
        </w:rPr>
        <w:tab/>
      </w:r>
      <w:r w:rsidRPr="00AB1F22">
        <w:rPr>
          <w:lang w:val="fr-FR"/>
        </w:rPr>
        <w:tab/>
        <w:t>10–12</w:t>
      </w:r>
      <w:r w:rsidRPr="00AB1F22">
        <w:rPr>
          <w:lang w:val="fr-FR"/>
        </w:rPr>
        <w:tab/>
      </w:r>
      <w:r>
        <w:rPr>
          <w:lang w:val="fr-FR"/>
        </w:rPr>
        <w:t>9</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Éducation aux droits de l</w:t>
      </w:r>
      <w:r w:rsidR="004F1DFB">
        <w:rPr>
          <w:lang w:val="fr-FR"/>
        </w:rPr>
        <w:t>’</w:t>
      </w:r>
      <w:r w:rsidRPr="00AB1F22">
        <w:rPr>
          <w:lang w:val="fr-FR"/>
        </w:rPr>
        <w:t>homme</w:t>
      </w:r>
      <w:r w:rsidRPr="00AB1F22">
        <w:rPr>
          <w:lang w:val="fr-FR"/>
        </w:rPr>
        <w:tab/>
      </w:r>
      <w:r w:rsidRPr="00AB1F22">
        <w:rPr>
          <w:lang w:val="fr-FR"/>
        </w:rPr>
        <w:tab/>
        <w:t>13</w:t>
      </w:r>
      <w:r w:rsidRPr="00AB1F22">
        <w:rPr>
          <w:lang w:val="fr-FR"/>
        </w:rPr>
        <w:tab/>
      </w:r>
      <w:r w:rsidR="0007306E">
        <w:rPr>
          <w:lang w:val="fr-FR"/>
        </w:rPr>
        <w:t>9</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3 : Égalité des droits des hommes et des femmes</w:t>
      </w:r>
      <w:r w:rsidRPr="00AB1F22">
        <w:rPr>
          <w:lang w:val="fr-FR"/>
        </w:rPr>
        <w:tab/>
      </w:r>
      <w:r w:rsidRPr="00AB1F22">
        <w:rPr>
          <w:lang w:val="fr-FR"/>
        </w:rPr>
        <w:tab/>
        <w:t>14–15</w:t>
      </w:r>
      <w:r w:rsidRPr="00AB1F22">
        <w:rPr>
          <w:lang w:val="fr-FR"/>
        </w:rPr>
        <w:tab/>
        <w:t>1</w:t>
      </w:r>
      <w:r>
        <w:rPr>
          <w:lang w:val="fr-FR"/>
        </w:rPr>
        <w:t>0</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Salaire égal pour un travail de valeur égale</w:t>
      </w:r>
      <w:r w:rsidRPr="00AB1F22">
        <w:rPr>
          <w:lang w:val="fr-FR"/>
        </w:rPr>
        <w:tab/>
      </w:r>
      <w:r w:rsidRPr="00AB1F22">
        <w:rPr>
          <w:lang w:val="fr-FR"/>
        </w:rPr>
        <w:tab/>
        <w:t>16</w:t>
      </w:r>
      <w:r w:rsidRPr="00AB1F22">
        <w:rPr>
          <w:lang w:val="fr-FR"/>
        </w:rPr>
        <w:tab/>
        <w:t>1</w:t>
      </w:r>
      <w:r>
        <w:rPr>
          <w:lang w:val="fr-FR"/>
        </w:rPr>
        <w:t>0</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Les femmes dans les organes consultatifs et officiels</w:t>
      </w:r>
      <w:r w:rsidRPr="00AB1F22">
        <w:rPr>
          <w:lang w:val="fr-FR"/>
        </w:rPr>
        <w:tab/>
      </w:r>
      <w:r w:rsidRPr="00AB1F22">
        <w:rPr>
          <w:lang w:val="fr-FR"/>
        </w:rPr>
        <w:tab/>
        <w:t>17</w:t>
      </w:r>
      <w:r w:rsidRPr="00AB1F22">
        <w:rPr>
          <w:lang w:val="fr-FR"/>
        </w:rPr>
        <w:tab/>
        <w:t>1</w:t>
      </w:r>
      <w:r>
        <w:rPr>
          <w:lang w:val="fr-FR"/>
        </w:rPr>
        <w:t>0</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Les femmes dans la fonction publique</w:t>
      </w:r>
      <w:r w:rsidRPr="00AB1F22">
        <w:rPr>
          <w:lang w:val="fr-FR"/>
        </w:rPr>
        <w:tab/>
      </w:r>
      <w:r w:rsidRPr="00AB1F22">
        <w:rPr>
          <w:lang w:val="fr-FR"/>
        </w:rPr>
        <w:tab/>
        <w:t>18</w:t>
      </w:r>
      <w:r w:rsidRPr="00AB1F22">
        <w:rPr>
          <w:lang w:val="fr-FR"/>
        </w:rPr>
        <w:tab/>
        <w:t>1</w:t>
      </w:r>
      <w:r>
        <w:rPr>
          <w:lang w:val="fr-FR"/>
        </w:rPr>
        <w:t>0</w:t>
      </w:r>
    </w:p>
    <w:p w:rsidR="0024529D" w:rsidRPr="00AB1F22" w:rsidRDefault="0024529D" w:rsidP="0024529D">
      <w:pPr>
        <w:tabs>
          <w:tab w:val="right" w:leader="dot" w:pos="7654"/>
          <w:tab w:val="right" w:pos="8929"/>
          <w:tab w:val="right" w:pos="9638"/>
        </w:tabs>
        <w:spacing w:after="120"/>
        <w:ind w:left="1559" w:hanging="425"/>
        <w:rPr>
          <w:lang w:val="fr-FR"/>
        </w:rPr>
      </w:pPr>
      <w:r>
        <w:rPr>
          <w:lang w:val="fr-FR"/>
        </w:rPr>
        <w:tab/>
      </w:r>
      <w:r w:rsidRPr="00AB1F22">
        <w:rPr>
          <w:lang w:val="fr-FR"/>
        </w:rPr>
        <w:t>Convention sur l</w:t>
      </w:r>
      <w:r w:rsidR="004F1DFB">
        <w:rPr>
          <w:lang w:val="fr-FR"/>
        </w:rPr>
        <w:t>’</w:t>
      </w:r>
      <w:r w:rsidRPr="00AB1F22">
        <w:rPr>
          <w:lang w:val="fr-FR"/>
        </w:rPr>
        <w:t>élimination de toutes les formes de discriminat</w:t>
      </w:r>
      <w:r>
        <w:rPr>
          <w:lang w:val="fr-FR"/>
        </w:rPr>
        <w:t xml:space="preserve">ion </w:t>
      </w:r>
      <w:r>
        <w:rPr>
          <w:lang w:val="fr-FR"/>
        </w:rPr>
        <w:br/>
        <w:t>à l</w:t>
      </w:r>
      <w:r w:rsidR="004F1DFB">
        <w:rPr>
          <w:lang w:val="fr-FR"/>
        </w:rPr>
        <w:t>’</w:t>
      </w:r>
      <w:r>
        <w:rPr>
          <w:lang w:val="fr-FR"/>
        </w:rPr>
        <w:t>égard des femmes</w:t>
      </w:r>
      <w:r>
        <w:rPr>
          <w:lang w:val="fr-FR"/>
        </w:rPr>
        <w:tab/>
      </w:r>
      <w:r>
        <w:rPr>
          <w:lang w:val="fr-FR"/>
        </w:rPr>
        <w:tab/>
        <w:t>19</w:t>
      </w:r>
      <w:r>
        <w:rPr>
          <w:lang w:val="fr-FR"/>
        </w:rPr>
        <w:tab/>
        <w:t>11</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Commission de la femme</w:t>
      </w:r>
      <w:r w:rsidRPr="00AB1F22">
        <w:rPr>
          <w:lang w:val="fr-FR"/>
        </w:rPr>
        <w:tab/>
      </w:r>
      <w:r w:rsidRPr="00AB1F22">
        <w:rPr>
          <w:lang w:val="fr-FR"/>
        </w:rPr>
        <w:tab/>
        <w:t>20–21</w:t>
      </w:r>
      <w:r w:rsidRPr="00AB1F22">
        <w:rPr>
          <w:lang w:val="fr-FR"/>
        </w:rPr>
        <w:tab/>
        <w:t>1</w:t>
      </w:r>
      <w:r>
        <w:rPr>
          <w:lang w:val="fr-FR"/>
        </w:rPr>
        <w:t>1</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Législation contre la discrimination fondée sur le sexe</w:t>
      </w:r>
      <w:r w:rsidRPr="00AB1F22">
        <w:rPr>
          <w:lang w:val="fr-FR"/>
        </w:rPr>
        <w:tab/>
      </w:r>
      <w:r w:rsidRPr="00AB1F22">
        <w:rPr>
          <w:lang w:val="fr-FR"/>
        </w:rPr>
        <w:tab/>
        <w:t>22–23</w:t>
      </w:r>
      <w:r w:rsidRPr="00AB1F22">
        <w:rPr>
          <w:lang w:val="fr-FR"/>
        </w:rPr>
        <w:tab/>
        <w:t>1</w:t>
      </w:r>
      <w:r>
        <w:rPr>
          <w:lang w:val="fr-FR"/>
        </w:rPr>
        <w:t>1</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4 : Dangers publics exceptionnels</w:t>
      </w:r>
      <w:r w:rsidRPr="00AB1F22">
        <w:rPr>
          <w:lang w:val="fr-FR"/>
        </w:rPr>
        <w:tab/>
      </w:r>
      <w:r w:rsidRPr="00AB1F22">
        <w:rPr>
          <w:lang w:val="fr-FR"/>
        </w:rPr>
        <w:tab/>
        <w:t>24</w:t>
      </w:r>
      <w:r w:rsidRPr="00AB1F22">
        <w:rPr>
          <w:lang w:val="fr-FR"/>
        </w:rPr>
        <w:tab/>
        <w:t>1</w:t>
      </w:r>
      <w:r>
        <w:rPr>
          <w:lang w:val="fr-FR"/>
        </w:rPr>
        <w:t>2</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5 : Interdiction de détruire les droits et libertés reconnus dans le Pacte</w:t>
      </w:r>
      <w:r w:rsidRPr="00AB1F22">
        <w:rPr>
          <w:lang w:val="fr-FR"/>
        </w:rPr>
        <w:tab/>
      </w:r>
      <w:r w:rsidRPr="00AB1F22">
        <w:rPr>
          <w:lang w:val="fr-FR"/>
        </w:rPr>
        <w:tab/>
        <w:t>25</w:t>
      </w:r>
      <w:r w:rsidRPr="00AB1F22">
        <w:rPr>
          <w:lang w:val="fr-FR"/>
        </w:rPr>
        <w:tab/>
        <w:t>1</w:t>
      </w:r>
      <w:r>
        <w:rPr>
          <w:lang w:val="fr-FR"/>
        </w:rPr>
        <w:t>2</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6 : Droit à la vie</w:t>
      </w:r>
      <w:r w:rsidRPr="00AB1F22">
        <w:rPr>
          <w:lang w:val="fr-FR"/>
        </w:rPr>
        <w:tab/>
      </w:r>
      <w:r w:rsidRPr="00AB1F22">
        <w:rPr>
          <w:lang w:val="fr-FR"/>
        </w:rPr>
        <w:tab/>
        <w:t>26–27</w:t>
      </w:r>
      <w:r w:rsidRPr="00AB1F22">
        <w:rPr>
          <w:lang w:val="fr-FR"/>
        </w:rPr>
        <w:tab/>
        <w:t>1</w:t>
      </w:r>
      <w:r>
        <w:rPr>
          <w:lang w:val="fr-FR"/>
        </w:rPr>
        <w:t>2</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Décès d</w:t>
      </w:r>
      <w:r w:rsidR="004F1DFB">
        <w:rPr>
          <w:lang w:val="fr-FR"/>
        </w:rPr>
        <w:t>’</w:t>
      </w:r>
      <w:r w:rsidRPr="00AB1F22">
        <w:rPr>
          <w:lang w:val="fr-FR"/>
        </w:rPr>
        <w:t>enfants</w:t>
      </w:r>
      <w:r w:rsidRPr="00AB1F22">
        <w:rPr>
          <w:lang w:val="fr-FR"/>
        </w:rPr>
        <w:tab/>
      </w:r>
      <w:r w:rsidRPr="00AB1F22">
        <w:rPr>
          <w:lang w:val="fr-FR"/>
        </w:rPr>
        <w:tab/>
        <w:t>27</w:t>
      </w:r>
      <w:r w:rsidRPr="00AB1F22">
        <w:rPr>
          <w:lang w:val="fr-FR"/>
        </w:rPr>
        <w:tab/>
        <w:t>1</w:t>
      </w:r>
      <w:r>
        <w:rPr>
          <w:lang w:val="fr-FR"/>
        </w:rPr>
        <w:t>2</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AB1F22">
        <w:rPr>
          <w:lang w:val="fr-FR"/>
        </w:rPr>
        <w:t xml:space="preserve">Article 7 : Interdiction de la torture, des traitements inhumains </w:t>
      </w:r>
      <w:r w:rsidR="000D1B59">
        <w:rPr>
          <w:lang w:val="fr-FR"/>
        </w:rPr>
        <w:br/>
      </w:r>
      <w:r w:rsidRPr="00AB1F22">
        <w:rPr>
          <w:lang w:val="fr-FR"/>
        </w:rPr>
        <w:t>et des expériences sans consentement</w:t>
      </w:r>
      <w:r w:rsidRPr="00AB1F22">
        <w:rPr>
          <w:lang w:val="fr-FR"/>
        </w:rPr>
        <w:tab/>
      </w:r>
      <w:r w:rsidRPr="00AB1F22">
        <w:rPr>
          <w:lang w:val="fr-FR"/>
        </w:rPr>
        <w:tab/>
        <w:t>28–54</w:t>
      </w:r>
      <w:r w:rsidRPr="00AB1F22">
        <w:rPr>
          <w:lang w:val="fr-FR"/>
        </w:rPr>
        <w:tab/>
        <w:t>1</w:t>
      </w:r>
      <w:r>
        <w:rPr>
          <w:lang w:val="fr-FR"/>
        </w:rPr>
        <w:t>2</w:t>
      </w:r>
    </w:p>
    <w:p w:rsidR="0024529D" w:rsidRPr="00AB1F22" w:rsidRDefault="0024529D" w:rsidP="0024529D">
      <w:pPr>
        <w:tabs>
          <w:tab w:val="right" w:leader="dot" w:pos="7654"/>
          <w:tab w:val="right" w:pos="8929"/>
          <w:tab w:val="right" w:pos="9638"/>
        </w:tabs>
        <w:spacing w:after="120"/>
        <w:ind w:left="1559" w:hanging="425"/>
        <w:rPr>
          <w:lang w:val="fr-FR"/>
        </w:rPr>
      </w:pPr>
      <w:r>
        <w:rPr>
          <w:lang w:val="fr-FR"/>
        </w:rPr>
        <w:tab/>
      </w:r>
      <w:r w:rsidRPr="00AB1F22">
        <w:rPr>
          <w:lang w:val="fr-FR"/>
        </w:rPr>
        <w:t>Allégations de torture ou d</w:t>
      </w:r>
      <w:r w:rsidR="004F1DFB">
        <w:rPr>
          <w:lang w:val="fr-FR"/>
        </w:rPr>
        <w:t>’</w:t>
      </w:r>
      <w:r w:rsidRPr="00AB1F22">
        <w:rPr>
          <w:lang w:val="fr-FR"/>
        </w:rPr>
        <w:t>autres formes de mauvais traitements</w:t>
      </w:r>
      <w:r w:rsidRPr="00AB1F22">
        <w:rPr>
          <w:lang w:val="fr-FR"/>
        </w:rPr>
        <w:tab/>
      </w:r>
      <w:r w:rsidRPr="00AB1F22">
        <w:rPr>
          <w:lang w:val="fr-FR"/>
        </w:rPr>
        <w:tab/>
        <w:t>33–34</w:t>
      </w:r>
      <w:r w:rsidRPr="00AB1F22">
        <w:rPr>
          <w:lang w:val="fr-FR"/>
        </w:rPr>
        <w:tab/>
        <w:t>1</w:t>
      </w:r>
      <w:r>
        <w:rPr>
          <w:lang w:val="fr-FR"/>
        </w:rPr>
        <w:t>3</w:t>
      </w:r>
    </w:p>
    <w:p w:rsidR="0024529D" w:rsidRPr="00AB1F22" w:rsidRDefault="0024529D" w:rsidP="0024529D">
      <w:pPr>
        <w:tabs>
          <w:tab w:val="right" w:leader="dot" w:pos="7654"/>
          <w:tab w:val="right" w:pos="8929"/>
          <w:tab w:val="right" w:pos="9638"/>
        </w:tabs>
        <w:spacing w:after="120"/>
        <w:ind w:left="1559" w:hanging="425"/>
        <w:rPr>
          <w:lang w:val="fr-FR"/>
        </w:rPr>
      </w:pPr>
      <w:r>
        <w:rPr>
          <w:lang w:val="fr-FR"/>
        </w:rPr>
        <w:tab/>
      </w:r>
      <w:r w:rsidRPr="00AB1F22">
        <w:rPr>
          <w:lang w:val="fr-FR"/>
        </w:rPr>
        <w:t>Formation des forces de l</w:t>
      </w:r>
      <w:r w:rsidR="004F1DFB">
        <w:rPr>
          <w:lang w:val="fr-FR"/>
        </w:rPr>
        <w:t>’</w:t>
      </w:r>
      <w:r w:rsidRPr="00AB1F22">
        <w:rPr>
          <w:lang w:val="fr-FR"/>
        </w:rPr>
        <w:t xml:space="preserve">ordre et de la Commission indépendante </w:t>
      </w:r>
      <w:r w:rsidR="000D1B59">
        <w:rPr>
          <w:lang w:val="fr-FR"/>
        </w:rPr>
        <w:br/>
      </w:r>
      <w:r w:rsidRPr="00AB1F22">
        <w:rPr>
          <w:lang w:val="fr-FR"/>
        </w:rPr>
        <w:t>de lutte contre la corruption</w:t>
      </w:r>
      <w:r w:rsidRPr="00AB1F22">
        <w:rPr>
          <w:lang w:val="fr-FR"/>
        </w:rPr>
        <w:tab/>
      </w:r>
      <w:r w:rsidRPr="00AB1F22">
        <w:rPr>
          <w:lang w:val="fr-FR"/>
        </w:rPr>
        <w:tab/>
        <w:t>35–38</w:t>
      </w:r>
      <w:r w:rsidRPr="00AB1F22">
        <w:rPr>
          <w:lang w:val="fr-FR"/>
        </w:rPr>
        <w:tab/>
        <w:t>1</w:t>
      </w:r>
      <w:r>
        <w:rPr>
          <w:lang w:val="fr-FR"/>
        </w:rPr>
        <w:t>3</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r>
      <w:r w:rsidRPr="00AB1F22">
        <w:rPr>
          <w:lang w:val="fr-FR"/>
        </w:rPr>
        <w:tab/>
        <w:t>Examen des demandes de protection au titre du principe de non-refoulement</w:t>
      </w:r>
      <w:r w:rsidRPr="00AB1F22">
        <w:rPr>
          <w:lang w:val="fr-FR"/>
        </w:rPr>
        <w:tab/>
        <w:t>39–54</w:t>
      </w:r>
      <w:r w:rsidRPr="00AB1F22">
        <w:rPr>
          <w:lang w:val="fr-FR"/>
        </w:rPr>
        <w:tab/>
        <w:t>1</w:t>
      </w:r>
      <w:r>
        <w:rPr>
          <w:lang w:val="fr-FR"/>
        </w:rPr>
        <w:t>3</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8 : Esclavage et servitude ; travail forcé ou obligatoire</w:t>
      </w:r>
      <w:r w:rsidRPr="00AB1F22">
        <w:rPr>
          <w:lang w:val="fr-FR"/>
        </w:rPr>
        <w:tab/>
      </w:r>
      <w:r w:rsidRPr="00AB1F22">
        <w:rPr>
          <w:lang w:val="fr-FR"/>
        </w:rPr>
        <w:tab/>
        <w:t>55–77</w:t>
      </w:r>
      <w:r w:rsidRPr="00AB1F22">
        <w:rPr>
          <w:lang w:val="fr-FR"/>
        </w:rPr>
        <w:tab/>
        <w:t>1</w:t>
      </w:r>
      <w:r>
        <w:rPr>
          <w:lang w:val="fr-FR"/>
        </w:rPr>
        <w:t>6</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Protection des employés de maison étrangers</w:t>
      </w:r>
      <w:r w:rsidRPr="00AB1F22">
        <w:rPr>
          <w:lang w:val="fr-FR"/>
        </w:rPr>
        <w:tab/>
      </w:r>
      <w:r w:rsidRPr="00AB1F22">
        <w:rPr>
          <w:lang w:val="fr-FR"/>
        </w:rPr>
        <w:tab/>
        <w:t>56–66</w:t>
      </w:r>
      <w:r w:rsidRPr="00AB1F22">
        <w:rPr>
          <w:lang w:val="fr-FR"/>
        </w:rPr>
        <w:tab/>
        <w:t>1</w:t>
      </w:r>
      <w:r>
        <w:rPr>
          <w:lang w:val="fr-FR"/>
        </w:rPr>
        <w:t>6</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Salaire minimum légal et taxe de reconversion des employés</w:t>
      </w:r>
      <w:r w:rsidRPr="00AB1F22">
        <w:rPr>
          <w:lang w:val="fr-FR"/>
        </w:rPr>
        <w:tab/>
      </w:r>
      <w:r w:rsidRPr="00AB1F22">
        <w:rPr>
          <w:lang w:val="fr-FR"/>
        </w:rPr>
        <w:tab/>
        <w:t>67</w:t>
      </w:r>
      <w:r w:rsidRPr="00AB1F22">
        <w:rPr>
          <w:lang w:val="fr-FR"/>
        </w:rPr>
        <w:tab/>
      </w:r>
      <w:r>
        <w:rPr>
          <w:lang w:val="fr-FR"/>
        </w:rPr>
        <w:t>18</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 xml:space="preserve">Régime général de lutte contre la traite des personnes et de protection </w:t>
      </w:r>
      <w:r w:rsidR="000D1B59">
        <w:rPr>
          <w:lang w:val="fr-FR"/>
        </w:rPr>
        <w:br/>
      </w:r>
      <w:r w:rsidRPr="00AB1F22">
        <w:rPr>
          <w:lang w:val="fr-FR"/>
        </w:rPr>
        <w:t>des victimes</w:t>
      </w:r>
      <w:r w:rsidRPr="00AB1F22">
        <w:rPr>
          <w:lang w:val="fr-FR"/>
        </w:rPr>
        <w:tab/>
      </w:r>
      <w:r w:rsidR="000D1B59">
        <w:rPr>
          <w:lang w:val="fr-FR"/>
        </w:rPr>
        <w:tab/>
      </w:r>
      <w:r w:rsidRPr="00AB1F22">
        <w:rPr>
          <w:lang w:val="fr-FR"/>
        </w:rPr>
        <w:t>68–77</w:t>
      </w:r>
      <w:r w:rsidRPr="00AB1F22">
        <w:rPr>
          <w:lang w:val="fr-FR"/>
        </w:rPr>
        <w:tab/>
      </w:r>
      <w:r>
        <w:rPr>
          <w:lang w:val="fr-FR"/>
        </w:rPr>
        <w:t>19</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9 : Liberté et sécurité de la personne</w:t>
      </w:r>
      <w:r w:rsidRPr="00AB1F22">
        <w:rPr>
          <w:lang w:val="fr-FR"/>
        </w:rPr>
        <w:tab/>
      </w:r>
      <w:r w:rsidRPr="00AB1F22">
        <w:rPr>
          <w:lang w:val="fr-FR"/>
        </w:rPr>
        <w:tab/>
        <w:t>78–79</w:t>
      </w:r>
      <w:r w:rsidRPr="00AB1F22">
        <w:rPr>
          <w:lang w:val="fr-FR"/>
        </w:rPr>
        <w:tab/>
        <w:t>2</w:t>
      </w:r>
      <w:r>
        <w:rPr>
          <w:lang w:val="fr-FR"/>
        </w:rPr>
        <w:t>0</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Détention d</w:t>
      </w:r>
      <w:r w:rsidR="004F1DFB">
        <w:rPr>
          <w:lang w:val="fr-FR"/>
        </w:rPr>
        <w:t>’</w:t>
      </w:r>
      <w:r w:rsidRPr="00AB1F22">
        <w:rPr>
          <w:lang w:val="fr-FR"/>
        </w:rPr>
        <w:t>immigrants clandestins</w:t>
      </w:r>
      <w:r w:rsidRPr="00AB1F22">
        <w:rPr>
          <w:lang w:val="fr-FR"/>
        </w:rPr>
        <w:tab/>
      </w:r>
      <w:r w:rsidRPr="00AB1F22">
        <w:rPr>
          <w:lang w:val="fr-FR"/>
        </w:rPr>
        <w:tab/>
        <w:t>79</w:t>
      </w:r>
      <w:r w:rsidRPr="00AB1F22">
        <w:rPr>
          <w:lang w:val="fr-FR"/>
        </w:rPr>
        <w:tab/>
        <w:t>2</w:t>
      </w:r>
      <w:r>
        <w:rPr>
          <w:lang w:val="fr-FR"/>
        </w:rPr>
        <w:t>0</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10 : Droits des personnes privées de liberté</w:t>
      </w:r>
      <w:r w:rsidRPr="00AB1F22">
        <w:rPr>
          <w:lang w:val="fr-FR"/>
        </w:rPr>
        <w:tab/>
      </w:r>
      <w:r w:rsidRPr="00AB1F22">
        <w:rPr>
          <w:lang w:val="fr-FR"/>
        </w:rPr>
        <w:tab/>
        <w:t>80–83</w:t>
      </w:r>
      <w:r w:rsidRPr="00AB1F22">
        <w:rPr>
          <w:lang w:val="fr-FR"/>
        </w:rPr>
        <w:tab/>
        <w:t>2</w:t>
      </w:r>
      <w:r>
        <w:rPr>
          <w:lang w:val="fr-FR"/>
        </w:rPr>
        <w:t>1</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Droits des personnes en détention</w:t>
      </w:r>
      <w:r w:rsidRPr="00AB1F22">
        <w:rPr>
          <w:lang w:val="fr-FR"/>
        </w:rPr>
        <w:tab/>
      </w:r>
      <w:r w:rsidRPr="00AB1F22">
        <w:rPr>
          <w:lang w:val="fr-FR"/>
        </w:rPr>
        <w:tab/>
        <w:t>80</w:t>
      </w:r>
      <w:r w:rsidRPr="00AB1F22">
        <w:rPr>
          <w:lang w:val="fr-FR"/>
        </w:rPr>
        <w:tab/>
        <w:t>2</w:t>
      </w:r>
      <w:r>
        <w:rPr>
          <w:lang w:val="fr-FR"/>
        </w:rPr>
        <w:t>1</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Réglementation et gestion des établissements pénitentiaires</w:t>
      </w:r>
      <w:r w:rsidRPr="00AB1F22">
        <w:rPr>
          <w:lang w:val="fr-FR"/>
        </w:rPr>
        <w:tab/>
      </w:r>
      <w:r w:rsidRPr="00AB1F22">
        <w:rPr>
          <w:lang w:val="fr-FR"/>
        </w:rPr>
        <w:tab/>
        <w:t>81</w:t>
      </w:r>
      <w:r w:rsidRPr="00AB1F22">
        <w:rPr>
          <w:lang w:val="fr-FR"/>
        </w:rPr>
        <w:tab/>
        <w:t>2</w:t>
      </w:r>
      <w:r>
        <w:rPr>
          <w:lang w:val="fr-FR"/>
        </w:rPr>
        <w:t>1</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Réinsertion des jeunes délinquants et autres délinquants</w:t>
      </w:r>
      <w:r w:rsidRPr="00AB1F22">
        <w:rPr>
          <w:lang w:val="fr-FR"/>
        </w:rPr>
        <w:tab/>
      </w:r>
      <w:r w:rsidRPr="00AB1F22">
        <w:rPr>
          <w:lang w:val="fr-FR"/>
        </w:rPr>
        <w:tab/>
        <w:t>82</w:t>
      </w:r>
      <w:r w:rsidRPr="00AB1F22">
        <w:rPr>
          <w:lang w:val="fr-FR"/>
        </w:rPr>
        <w:tab/>
        <w:t>2</w:t>
      </w:r>
      <w:r>
        <w:rPr>
          <w:lang w:val="fr-FR"/>
        </w:rPr>
        <w:t>1</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Assistance aux résidents de Hong Kong détenus en Chine continentale</w:t>
      </w:r>
      <w:r w:rsidRPr="00AB1F22">
        <w:rPr>
          <w:lang w:val="fr-FR"/>
        </w:rPr>
        <w:tab/>
      </w:r>
      <w:r w:rsidRPr="00AB1F22">
        <w:rPr>
          <w:lang w:val="fr-FR"/>
        </w:rPr>
        <w:tab/>
        <w:t>83</w:t>
      </w:r>
      <w:r w:rsidRPr="00AB1F22">
        <w:rPr>
          <w:lang w:val="fr-FR"/>
        </w:rPr>
        <w:tab/>
        <w:t>2</w:t>
      </w:r>
      <w:r>
        <w:rPr>
          <w:lang w:val="fr-FR"/>
        </w:rPr>
        <w:t>1</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11 : Interdiction de l</w:t>
      </w:r>
      <w:r w:rsidR="004F1DFB">
        <w:rPr>
          <w:lang w:val="fr-FR"/>
        </w:rPr>
        <w:t>’</w:t>
      </w:r>
      <w:r w:rsidRPr="00AB1F22">
        <w:rPr>
          <w:lang w:val="fr-FR"/>
        </w:rPr>
        <w:t>emprisonnement pour non-exécution d</w:t>
      </w:r>
      <w:r w:rsidR="004F1DFB">
        <w:rPr>
          <w:lang w:val="fr-FR"/>
        </w:rPr>
        <w:t>’</w:t>
      </w:r>
      <w:r w:rsidRPr="00AB1F22">
        <w:rPr>
          <w:lang w:val="fr-FR"/>
        </w:rPr>
        <w:t>un contrat</w:t>
      </w:r>
      <w:r w:rsidRPr="00AB1F22">
        <w:rPr>
          <w:lang w:val="fr-FR"/>
        </w:rPr>
        <w:tab/>
      </w:r>
      <w:r w:rsidRPr="00AB1F22">
        <w:rPr>
          <w:lang w:val="fr-FR"/>
        </w:rPr>
        <w:tab/>
        <w:t>84</w:t>
      </w:r>
      <w:r w:rsidRPr="00AB1F22">
        <w:rPr>
          <w:lang w:val="fr-FR"/>
        </w:rPr>
        <w:tab/>
        <w:t>2</w:t>
      </w:r>
      <w:r>
        <w:rPr>
          <w:lang w:val="fr-FR"/>
        </w:rPr>
        <w:t>1</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12 : Liberté de circulation</w:t>
      </w:r>
      <w:r w:rsidRPr="00AB1F22">
        <w:rPr>
          <w:lang w:val="fr-FR"/>
        </w:rPr>
        <w:tab/>
      </w:r>
      <w:r w:rsidRPr="00AB1F22">
        <w:rPr>
          <w:lang w:val="fr-FR"/>
        </w:rPr>
        <w:tab/>
        <w:t>85–89</w:t>
      </w:r>
      <w:r w:rsidRPr="00AB1F22">
        <w:rPr>
          <w:lang w:val="fr-FR"/>
        </w:rPr>
        <w:tab/>
        <w:t>2</w:t>
      </w:r>
      <w:r>
        <w:rPr>
          <w:lang w:val="fr-FR"/>
        </w:rPr>
        <w:t>1</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Protection juridique de la liberté de circulation</w:t>
      </w:r>
      <w:r w:rsidRPr="00AB1F22">
        <w:rPr>
          <w:lang w:val="fr-FR"/>
        </w:rPr>
        <w:tab/>
      </w:r>
      <w:r w:rsidRPr="00AB1F22">
        <w:rPr>
          <w:lang w:val="fr-FR"/>
        </w:rPr>
        <w:tab/>
        <w:t>85–86</w:t>
      </w:r>
      <w:r w:rsidRPr="00AB1F22">
        <w:rPr>
          <w:lang w:val="fr-FR"/>
        </w:rPr>
        <w:tab/>
        <w:t>2</w:t>
      </w:r>
      <w:r>
        <w:rPr>
          <w:lang w:val="fr-FR"/>
        </w:rPr>
        <w:t>1</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Documents de voyage pour les résidents permanents et non permanents</w:t>
      </w:r>
      <w:r w:rsidRPr="00AB1F22">
        <w:rPr>
          <w:lang w:val="fr-FR"/>
        </w:rPr>
        <w:tab/>
      </w:r>
      <w:r w:rsidRPr="00AB1F22">
        <w:rPr>
          <w:lang w:val="fr-FR"/>
        </w:rPr>
        <w:tab/>
        <w:t>87</w:t>
      </w:r>
      <w:r w:rsidRPr="00AB1F22">
        <w:rPr>
          <w:lang w:val="fr-FR"/>
        </w:rPr>
        <w:tab/>
        <w:t>2</w:t>
      </w:r>
      <w:r>
        <w:rPr>
          <w:lang w:val="fr-FR"/>
        </w:rPr>
        <w:t>2</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Contrôle de l</w:t>
      </w:r>
      <w:r w:rsidR="004F1DFB">
        <w:rPr>
          <w:lang w:val="fr-FR"/>
        </w:rPr>
        <w:t>’</w:t>
      </w:r>
      <w:r w:rsidRPr="00AB1F22">
        <w:rPr>
          <w:lang w:val="fr-FR"/>
        </w:rPr>
        <w:t>immigration à l</w:t>
      </w:r>
      <w:r w:rsidR="004F1DFB">
        <w:rPr>
          <w:lang w:val="fr-FR"/>
        </w:rPr>
        <w:t>’</w:t>
      </w:r>
      <w:r w:rsidRPr="00AB1F22">
        <w:rPr>
          <w:lang w:val="fr-FR"/>
        </w:rPr>
        <w:t>arrivée des visiteurs à Hong Kong</w:t>
      </w:r>
      <w:r w:rsidRPr="00AB1F22">
        <w:rPr>
          <w:lang w:val="fr-FR"/>
        </w:rPr>
        <w:tab/>
      </w:r>
      <w:r w:rsidRPr="00AB1F22">
        <w:rPr>
          <w:lang w:val="fr-FR"/>
        </w:rPr>
        <w:tab/>
        <w:t>88</w:t>
      </w:r>
      <w:r w:rsidRPr="00AB1F22">
        <w:rPr>
          <w:lang w:val="fr-FR"/>
        </w:rPr>
        <w:tab/>
        <w:t>2</w:t>
      </w:r>
      <w:r>
        <w:rPr>
          <w:lang w:val="fr-FR"/>
        </w:rPr>
        <w:t>2</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Assistance aux résidents de Hong Kong en difficulté hors de Hong Kong</w:t>
      </w:r>
      <w:r w:rsidRPr="00AB1F22">
        <w:rPr>
          <w:lang w:val="fr-FR"/>
        </w:rPr>
        <w:tab/>
      </w:r>
      <w:r w:rsidRPr="00AB1F22">
        <w:rPr>
          <w:lang w:val="fr-FR"/>
        </w:rPr>
        <w:tab/>
        <w:t>89</w:t>
      </w:r>
      <w:r w:rsidRPr="00AB1F22">
        <w:rPr>
          <w:lang w:val="fr-FR"/>
        </w:rPr>
        <w:tab/>
        <w:t>2</w:t>
      </w:r>
      <w:r>
        <w:rPr>
          <w:lang w:val="fr-FR"/>
        </w:rPr>
        <w:t>2</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13 : Restrictions à l</w:t>
      </w:r>
      <w:r w:rsidR="004F1DFB">
        <w:rPr>
          <w:lang w:val="fr-FR"/>
        </w:rPr>
        <w:t>’</w:t>
      </w:r>
      <w:r w:rsidRPr="00AB1F22">
        <w:rPr>
          <w:lang w:val="fr-FR"/>
        </w:rPr>
        <w:t>expulsion de Hong Kong</w:t>
      </w:r>
      <w:r w:rsidRPr="00AB1F22">
        <w:rPr>
          <w:lang w:val="fr-FR"/>
        </w:rPr>
        <w:tab/>
      </w:r>
      <w:r w:rsidRPr="00AB1F22">
        <w:rPr>
          <w:lang w:val="fr-FR"/>
        </w:rPr>
        <w:tab/>
        <w:t>90–91</w:t>
      </w:r>
      <w:r w:rsidRPr="00AB1F22">
        <w:rPr>
          <w:lang w:val="fr-FR"/>
        </w:rPr>
        <w:tab/>
        <w:t>2</w:t>
      </w:r>
      <w:r>
        <w:rPr>
          <w:lang w:val="fr-FR"/>
        </w:rPr>
        <w:t>2</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Situation juridique</w:t>
      </w:r>
      <w:r w:rsidRPr="00AB1F22">
        <w:rPr>
          <w:lang w:val="fr-FR"/>
        </w:rPr>
        <w:tab/>
      </w:r>
      <w:r w:rsidRPr="00AB1F22">
        <w:rPr>
          <w:lang w:val="fr-FR"/>
        </w:rPr>
        <w:tab/>
        <w:t>90–91</w:t>
      </w:r>
      <w:r w:rsidRPr="00AB1F22">
        <w:rPr>
          <w:lang w:val="fr-FR"/>
        </w:rPr>
        <w:tab/>
        <w:t>2</w:t>
      </w:r>
      <w:r>
        <w:rPr>
          <w:lang w:val="fr-FR"/>
        </w:rPr>
        <w:t>2</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14 : Égalité devant les tribunaux et droit à un procès équitable et public</w:t>
      </w:r>
      <w:r w:rsidRPr="00AB1F22">
        <w:rPr>
          <w:lang w:val="fr-FR"/>
        </w:rPr>
        <w:tab/>
      </w:r>
      <w:r w:rsidRPr="00AB1F22">
        <w:rPr>
          <w:lang w:val="fr-FR"/>
        </w:rPr>
        <w:tab/>
        <w:t>92–104</w:t>
      </w:r>
      <w:r w:rsidRPr="00AB1F22">
        <w:rPr>
          <w:lang w:val="fr-FR"/>
        </w:rPr>
        <w:tab/>
        <w:t>2</w:t>
      </w:r>
      <w:r>
        <w:rPr>
          <w:lang w:val="fr-FR"/>
        </w:rPr>
        <w:t>2</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Droit d</w:t>
      </w:r>
      <w:r w:rsidR="004F1DFB">
        <w:rPr>
          <w:lang w:val="fr-FR"/>
        </w:rPr>
        <w:t>’</w:t>
      </w:r>
      <w:r w:rsidRPr="00AB1F22">
        <w:rPr>
          <w:lang w:val="fr-FR"/>
        </w:rPr>
        <w:t>accès aux tribunaux</w:t>
      </w:r>
      <w:r w:rsidRPr="00AB1F22">
        <w:rPr>
          <w:lang w:val="fr-FR"/>
        </w:rPr>
        <w:tab/>
      </w:r>
      <w:r w:rsidRPr="00AB1F22">
        <w:rPr>
          <w:lang w:val="fr-FR"/>
        </w:rPr>
        <w:tab/>
        <w:t>92</w:t>
      </w:r>
      <w:r w:rsidRPr="00AB1F22">
        <w:rPr>
          <w:lang w:val="fr-FR"/>
        </w:rPr>
        <w:tab/>
        <w:t>2</w:t>
      </w:r>
      <w:r>
        <w:rPr>
          <w:lang w:val="fr-FR"/>
        </w:rPr>
        <w:t>2</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Représentation légale des enfants</w:t>
      </w:r>
      <w:r w:rsidRPr="00AB1F22">
        <w:rPr>
          <w:lang w:val="fr-FR"/>
        </w:rPr>
        <w:tab/>
      </w:r>
      <w:r w:rsidRPr="00AB1F22">
        <w:rPr>
          <w:lang w:val="fr-FR"/>
        </w:rPr>
        <w:tab/>
        <w:t>94</w:t>
      </w:r>
      <w:r w:rsidRPr="00AB1F22">
        <w:rPr>
          <w:lang w:val="fr-FR"/>
        </w:rPr>
        <w:tab/>
        <w:t>2</w:t>
      </w:r>
      <w:r>
        <w:rPr>
          <w:lang w:val="fr-FR"/>
        </w:rPr>
        <w:t>3</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Liaison télévisuelle directe pour les victimes d</w:t>
      </w:r>
      <w:r w:rsidR="004F1DFB">
        <w:rPr>
          <w:lang w:val="fr-FR"/>
        </w:rPr>
        <w:t>’</w:t>
      </w:r>
      <w:r w:rsidRPr="00AB1F22">
        <w:rPr>
          <w:lang w:val="fr-FR"/>
        </w:rPr>
        <w:t>infr</w:t>
      </w:r>
      <w:r>
        <w:rPr>
          <w:lang w:val="fr-FR"/>
        </w:rPr>
        <w:t xml:space="preserve">actions </w:t>
      </w:r>
      <w:r w:rsidR="000D1B59">
        <w:rPr>
          <w:lang w:val="fr-FR"/>
        </w:rPr>
        <w:br/>
      </w:r>
      <w:r>
        <w:rPr>
          <w:lang w:val="fr-FR"/>
        </w:rPr>
        <w:t xml:space="preserve">sexuelles </w:t>
      </w:r>
      <w:proofErr w:type="spellStart"/>
      <w:r>
        <w:rPr>
          <w:lang w:val="fr-FR"/>
        </w:rPr>
        <w:t>préc</w:t>
      </w:r>
      <w:r w:rsidR="009E1152">
        <w:rPr>
          <w:lang w:val="fr-FR"/>
        </w:rPr>
        <w:t>i</w:t>
      </w:r>
      <w:r>
        <w:rPr>
          <w:lang w:val="fr-FR"/>
        </w:rPr>
        <w:t>ces</w:t>
      </w:r>
      <w:proofErr w:type="spellEnd"/>
      <w:r>
        <w:rPr>
          <w:lang w:val="fr-FR"/>
        </w:rPr>
        <w:tab/>
      </w:r>
      <w:r w:rsidR="000D1B59">
        <w:rPr>
          <w:lang w:val="fr-FR"/>
        </w:rPr>
        <w:tab/>
      </w:r>
      <w:r>
        <w:rPr>
          <w:lang w:val="fr-FR"/>
        </w:rPr>
        <w:t>95</w:t>
      </w:r>
      <w:r>
        <w:rPr>
          <w:lang w:val="fr-FR"/>
        </w:rPr>
        <w:tab/>
        <w:t>23</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Conséquences du pouvoir d</w:t>
      </w:r>
      <w:r w:rsidR="004F1DFB">
        <w:rPr>
          <w:lang w:val="fr-FR"/>
        </w:rPr>
        <w:t>’</w:t>
      </w:r>
      <w:r w:rsidRPr="00AB1F22">
        <w:rPr>
          <w:lang w:val="fr-FR"/>
        </w:rPr>
        <w:t xml:space="preserve">interprétation de la Loi fondamentale </w:t>
      </w:r>
      <w:r>
        <w:rPr>
          <w:lang w:val="fr-FR"/>
        </w:rPr>
        <w:br/>
      </w:r>
      <w:r w:rsidRPr="00AB1F22">
        <w:rPr>
          <w:lang w:val="fr-FR"/>
        </w:rPr>
        <w:t>dont est investi</w:t>
      </w:r>
      <w:r>
        <w:rPr>
          <w:lang w:val="fr-FR"/>
        </w:rPr>
        <w:t xml:space="preserve"> </w:t>
      </w:r>
      <w:r w:rsidRPr="00AB1F22">
        <w:rPr>
          <w:lang w:val="fr-FR"/>
        </w:rPr>
        <w:t>le Comité permanent de l</w:t>
      </w:r>
      <w:r w:rsidR="004F1DFB">
        <w:rPr>
          <w:lang w:val="fr-FR"/>
        </w:rPr>
        <w:t>’</w:t>
      </w:r>
      <w:r w:rsidRPr="00AB1F22">
        <w:rPr>
          <w:lang w:val="fr-FR"/>
        </w:rPr>
        <w:t xml:space="preserve">Assemblée nationale </w:t>
      </w:r>
      <w:r>
        <w:rPr>
          <w:lang w:val="fr-FR"/>
        </w:rPr>
        <w:br/>
      </w:r>
      <w:r w:rsidRPr="00AB1F22">
        <w:rPr>
          <w:lang w:val="fr-FR"/>
        </w:rPr>
        <w:t>populaire sur l</w:t>
      </w:r>
      <w:r w:rsidR="004F1DFB">
        <w:rPr>
          <w:lang w:val="fr-FR"/>
        </w:rPr>
        <w:t>’</w:t>
      </w:r>
      <w:r w:rsidRPr="00AB1F22">
        <w:rPr>
          <w:lang w:val="fr-FR"/>
        </w:rPr>
        <w:t>état de droit et l</w:t>
      </w:r>
      <w:r w:rsidR="004F1DFB">
        <w:rPr>
          <w:lang w:val="fr-FR"/>
        </w:rPr>
        <w:t>’</w:t>
      </w:r>
      <w:r w:rsidRPr="00AB1F22">
        <w:rPr>
          <w:lang w:val="fr-FR"/>
        </w:rPr>
        <w:t>indépendance de l</w:t>
      </w:r>
      <w:r w:rsidR="004F1DFB">
        <w:rPr>
          <w:lang w:val="fr-FR"/>
        </w:rPr>
        <w:t>’</w:t>
      </w:r>
      <w:r w:rsidRPr="00AB1F22">
        <w:rPr>
          <w:lang w:val="fr-FR"/>
        </w:rPr>
        <w:t xml:space="preserve">appareil judiciaire </w:t>
      </w:r>
      <w:r>
        <w:rPr>
          <w:lang w:val="fr-FR"/>
        </w:rPr>
        <w:br/>
      </w:r>
      <w:r w:rsidRPr="00AB1F22">
        <w:rPr>
          <w:lang w:val="fr-FR"/>
        </w:rPr>
        <w:t>dans la RAS de Hong Kong</w:t>
      </w:r>
      <w:r w:rsidRPr="00AB1F22">
        <w:rPr>
          <w:lang w:val="fr-FR"/>
        </w:rPr>
        <w:tab/>
      </w:r>
      <w:r w:rsidRPr="00AB1F22">
        <w:rPr>
          <w:lang w:val="fr-FR"/>
        </w:rPr>
        <w:tab/>
        <w:t>96–104</w:t>
      </w:r>
      <w:r w:rsidRPr="00AB1F22">
        <w:rPr>
          <w:lang w:val="fr-FR"/>
        </w:rPr>
        <w:tab/>
        <w:t>2</w:t>
      </w:r>
      <w:r>
        <w:rPr>
          <w:lang w:val="fr-FR"/>
        </w:rPr>
        <w:t>3</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15 : Non-rétroactivité des lois et des sanctions pénales</w:t>
      </w:r>
      <w:r w:rsidRPr="00AB1F22">
        <w:rPr>
          <w:lang w:val="fr-FR"/>
        </w:rPr>
        <w:tab/>
      </w:r>
      <w:r w:rsidRPr="00AB1F22">
        <w:rPr>
          <w:lang w:val="fr-FR"/>
        </w:rPr>
        <w:tab/>
        <w:t>105</w:t>
      </w:r>
      <w:r w:rsidRPr="00AB1F22">
        <w:rPr>
          <w:lang w:val="fr-FR"/>
        </w:rPr>
        <w:tab/>
        <w:t>2</w:t>
      </w:r>
      <w:r>
        <w:rPr>
          <w:lang w:val="fr-FR"/>
        </w:rPr>
        <w:t>5</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16 : Droit à la reconnaissance de la personnalité juridique</w:t>
      </w:r>
      <w:r w:rsidRPr="00AB1F22">
        <w:rPr>
          <w:lang w:val="fr-FR"/>
        </w:rPr>
        <w:tab/>
      </w:r>
      <w:r w:rsidRPr="00AB1F22">
        <w:rPr>
          <w:lang w:val="fr-FR"/>
        </w:rPr>
        <w:tab/>
        <w:t>106</w:t>
      </w:r>
      <w:r w:rsidRPr="00AB1F22">
        <w:rPr>
          <w:lang w:val="fr-FR"/>
        </w:rPr>
        <w:tab/>
        <w:t>2</w:t>
      </w:r>
      <w:r>
        <w:rPr>
          <w:lang w:val="fr-FR"/>
        </w:rPr>
        <w:t>5</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AB1F22">
        <w:rPr>
          <w:lang w:val="fr-FR"/>
        </w:rPr>
        <w:t>Article 17 : Protection de la vie privée, de la famille, du domicile, de la</w:t>
      </w:r>
      <w:r w:rsidRPr="00AB1F22">
        <w:rPr>
          <w:lang w:val="fr-FR"/>
        </w:rPr>
        <w:br/>
        <w:t>correspondance, de l</w:t>
      </w:r>
      <w:r w:rsidR="004F1DFB">
        <w:rPr>
          <w:lang w:val="fr-FR"/>
        </w:rPr>
        <w:t>’</w:t>
      </w:r>
      <w:r w:rsidRPr="00AB1F22">
        <w:rPr>
          <w:lang w:val="fr-FR"/>
        </w:rPr>
        <w:t>honneur et de la réputation</w:t>
      </w:r>
      <w:r w:rsidRPr="00AB1F22">
        <w:rPr>
          <w:lang w:val="fr-FR"/>
        </w:rPr>
        <w:tab/>
      </w:r>
      <w:r w:rsidRPr="00AB1F22">
        <w:rPr>
          <w:lang w:val="fr-FR"/>
        </w:rPr>
        <w:tab/>
        <w:t>107–108</w:t>
      </w:r>
      <w:r w:rsidRPr="00AB1F22">
        <w:rPr>
          <w:lang w:val="fr-FR"/>
        </w:rPr>
        <w:tab/>
        <w:t>2</w:t>
      </w:r>
      <w:r>
        <w:rPr>
          <w:lang w:val="fr-FR"/>
        </w:rPr>
        <w:t>5</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Ordonnance relative à l</w:t>
      </w:r>
      <w:r w:rsidR="004F1DFB">
        <w:rPr>
          <w:lang w:val="fr-FR"/>
        </w:rPr>
        <w:t>’</w:t>
      </w:r>
      <w:r w:rsidRPr="00AB1F22">
        <w:rPr>
          <w:lang w:val="fr-FR"/>
        </w:rPr>
        <w:t xml:space="preserve">interception des communications </w:t>
      </w:r>
      <w:r w:rsidR="000D1B59">
        <w:rPr>
          <w:lang w:val="fr-FR"/>
        </w:rPr>
        <w:br/>
      </w:r>
      <w:r w:rsidRPr="00AB1F22">
        <w:rPr>
          <w:lang w:val="fr-FR"/>
        </w:rPr>
        <w:t>et à la surveillance</w:t>
      </w:r>
      <w:r w:rsidR="000D1B59">
        <w:rPr>
          <w:lang w:val="fr-FR"/>
        </w:rPr>
        <w:t>(chap. 589)</w:t>
      </w:r>
      <w:r w:rsidRPr="00AB1F22">
        <w:rPr>
          <w:lang w:val="fr-FR"/>
        </w:rPr>
        <w:tab/>
      </w:r>
      <w:r w:rsidR="000D1B59">
        <w:rPr>
          <w:lang w:val="fr-FR"/>
        </w:rPr>
        <w:tab/>
      </w:r>
      <w:r w:rsidRPr="00AB1F22">
        <w:rPr>
          <w:lang w:val="fr-FR"/>
        </w:rPr>
        <w:t>107</w:t>
      </w:r>
      <w:r w:rsidRPr="00AB1F22">
        <w:rPr>
          <w:lang w:val="fr-FR"/>
        </w:rPr>
        <w:tab/>
        <w:t>2</w:t>
      </w:r>
      <w:r>
        <w:rPr>
          <w:lang w:val="fr-FR"/>
        </w:rPr>
        <w:t>5</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Protection des données personnelles</w:t>
      </w:r>
      <w:r w:rsidRPr="00AB1F22">
        <w:rPr>
          <w:lang w:val="fr-FR"/>
        </w:rPr>
        <w:tab/>
      </w:r>
      <w:r w:rsidRPr="00AB1F22">
        <w:rPr>
          <w:lang w:val="fr-FR"/>
        </w:rPr>
        <w:tab/>
        <w:t>108</w:t>
      </w:r>
      <w:r w:rsidRPr="00AB1F22">
        <w:rPr>
          <w:lang w:val="fr-FR"/>
        </w:rPr>
        <w:tab/>
        <w:t>2</w:t>
      </w:r>
      <w:r>
        <w:rPr>
          <w:lang w:val="fr-FR"/>
        </w:rPr>
        <w:t>5</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18 : Liberté de pensée, de conscience et de religion</w:t>
      </w:r>
      <w:r w:rsidRPr="00AB1F22">
        <w:rPr>
          <w:lang w:val="fr-FR"/>
        </w:rPr>
        <w:tab/>
      </w:r>
      <w:r w:rsidRPr="00AB1F22">
        <w:rPr>
          <w:lang w:val="fr-FR"/>
        </w:rPr>
        <w:tab/>
        <w:t>109–110</w:t>
      </w:r>
      <w:r w:rsidRPr="00AB1F22">
        <w:rPr>
          <w:lang w:val="fr-FR"/>
        </w:rPr>
        <w:tab/>
        <w:t>2</w:t>
      </w:r>
      <w:r>
        <w:rPr>
          <w:lang w:val="fr-FR"/>
        </w:rPr>
        <w:t>6</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19 : Liberté d</w:t>
      </w:r>
      <w:r w:rsidR="004F1DFB">
        <w:rPr>
          <w:lang w:val="fr-FR"/>
        </w:rPr>
        <w:t>’</w:t>
      </w:r>
      <w:r w:rsidRPr="00AB1F22">
        <w:rPr>
          <w:lang w:val="fr-FR"/>
        </w:rPr>
        <w:t>opinion et d</w:t>
      </w:r>
      <w:r w:rsidR="004F1DFB">
        <w:rPr>
          <w:lang w:val="fr-FR"/>
        </w:rPr>
        <w:t>’</w:t>
      </w:r>
      <w:r w:rsidRPr="00AB1F22">
        <w:rPr>
          <w:lang w:val="fr-FR"/>
        </w:rPr>
        <w:t>expression</w:t>
      </w:r>
      <w:r w:rsidRPr="00AB1F22">
        <w:rPr>
          <w:lang w:val="fr-FR"/>
        </w:rPr>
        <w:tab/>
      </w:r>
      <w:r w:rsidRPr="00AB1F22">
        <w:rPr>
          <w:lang w:val="fr-FR"/>
        </w:rPr>
        <w:tab/>
        <w:t>111–123</w:t>
      </w:r>
      <w:r w:rsidRPr="00AB1F22">
        <w:rPr>
          <w:lang w:val="fr-FR"/>
        </w:rPr>
        <w:tab/>
        <w:t>2</w:t>
      </w:r>
      <w:r>
        <w:rPr>
          <w:lang w:val="fr-FR"/>
        </w:rPr>
        <w:t>6</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Liberté de la presse</w:t>
      </w:r>
      <w:r w:rsidRPr="00AB1F22">
        <w:rPr>
          <w:lang w:val="fr-FR"/>
        </w:rPr>
        <w:tab/>
      </w:r>
      <w:r w:rsidRPr="00AB1F22">
        <w:rPr>
          <w:lang w:val="fr-FR"/>
        </w:rPr>
        <w:tab/>
        <w:t>112</w:t>
      </w:r>
      <w:r w:rsidRPr="00AB1F22">
        <w:rPr>
          <w:lang w:val="fr-FR"/>
        </w:rPr>
        <w:tab/>
        <w:t>2</w:t>
      </w:r>
      <w:r>
        <w:rPr>
          <w:lang w:val="fr-FR"/>
        </w:rPr>
        <w:t>6</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Prévention des actes d</w:t>
      </w:r>
      <w:r w:rsidR="004F1DFB">
        <w:rPr>
          <w:lang w:val="fr-FR"/>
        </w:rPr>
        <w:t>’</w:t>
      </w:r>
      <w:r w:rsidRPr="00AB1F22">
        <w:rPr>
          <w:lang w:val="fr-FR"/>
        </w:rPr>
        <w:t xml:space="preserve">intimidation et de harcèlement visant </w:t>
      </w:r>
      <w:r>
        <w:rPr>
          <w:lang w:val="fr-FR"/>
        </w:rPr>
        <w:br/>
      </w:r>
      <w:r w:rsidRPr="00AB1F22">
        <w:rPr>
          <w:lang w:val="fr-FR"/>
        </w:rPr>
        <w:t>des législateurs,</w:t>
      </w:r>
      <w:r>
        <w:rPr>
          <w:lang w:val="fr-FR"/>
        </w:rPr>
        <w:t xml:space="preserve"> </w:t>
      </w:r>
      <w:r w:rsidRPr="00AB1F22">
        <w:rPr>
          <w:lang w:val="fr-FR"/>
        </w:rPr>
        <w:t xml:space="preserve">des professionnels des médias et des universitaires, </w:t>
      </w:r>
      <w:r>
        <w:rPr>
          <w:lang w:val="fr-FR"/>
        </w:rPr>
        <w:br/>
      </w:r>
      <w:r w:rsidRPr="00AB1F22">
        <w:rPr>
          <w:lang w:val="fr-FR"/>
        </w:rPr>
        <w:t>et protection contre ces actes</w:t>
      </w:r>
      <w:r w:rsidRPr="00AB1F22">
        <w:rPr>
          <w:lang w:val="fr-FR"/>
        </w:rPr>
        <w:tab/>
      </w:r>
      <w:r>
        <w:rPr>
          <w:lang w:val="fr-FR"/>
        </w:rPr>
        <w:tab/>
      </w:r>
      <w:r w:rsidRPr="00AB1F22">
        <w:rPr>
          <w:lang w:val="fr-FR"/>
        </w:rPr>
        <w:t>113–115</w:t>
      </w:r>
      <w:r w:rsidRPr="00AB1F22">
        <w:rPr>
          <w:lang w:val="fr-FR"/>
        </w:rPr>
        <w:tab/>
        <w:t>2</w:t>
      </w:r>
      <w:r>
        <w:rPr>
          <w:lang w:val="fr-FR"/>
        </w:rPr>
        <w:t>6</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Les infractions de trahison et de sédition</w:t>
      </w:r>
      <w:r w:rsidRPr="00AB1F22">
        <w:rPr>
          <w:lang w:val="fr-FR"/>
        </w:rPr>
        <w:tab/>
      </w:r>
      <w:r w:rsidRPr="00AB1F22">
        <w:rPr>
          <w:lang w:val="fr-FR"/>
        </w:rPr>
        <w:tab/>
        <w:t>116</w:t>
      </w:r>
      <w:r w:rsidRPr="00AB1F22">
        <w:rPr>
          <w:lang w:val="fr-FR"/>
        </w:rPr>
        <w:tab/>
        <w:t>2</w:t>
      </w:r>
      <w:r>
        <w:rPr>
          <w:lang w:val="fr-FR"/>
        </w:rPr>
        <w:t>7</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Liberté d</w:t>
      </w:r>
      <w:r w:rsidR="004F1DFB">
        <w:rPr>
          <w:lang w:val="fr-FR"/>
        </w:rPr>
        <w:t>’</w:t>
      </w:r>
      <w:r w:rsidRPr="00AB1F22">
        <w:rPr>
          <w:lang w:val="fr-FR"/>
        </w:rPr>
        <w:t>expression</w:t>
      </w:r>
      <w:r w:rsidRPr="00AB1F22">
        <w:rPr>
          <w:lang w:val="fr-FR"/>
        </w:rPr>
        <w:tab/>
      </w:r>
      <w:r w:rsidRPr="00AB1F22">
        <w:rPr>
          <w:lang w:val="fr-FR"/>
        </w:rPr>
        <w:tab/>
        <w:t>117–120</w:t>
      </w:r>
      <w:r w:rsidRPr="00AB1F22">
        <w:rPr>
          <w:lang w:val="fr-FR"/>
        </w:rPr>
        <w:tab/>
        <w:t>2</w:t>
      </w:r>
      <w:r>
        <w:rPr>
          <w:lang w:val="fr-FR"/>
        </w:rPr>
        <w:t>7</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Accès aux informations détenues par le Gouvernement</w:t>
      </w:r>
      <w:r w:rsidRPr="00AB1F22">
        <w:rPr>
          <w:lang w:val="fr-FR"/>
        </w:rPr>
        <w:tab/>
      </w:r>
      <w:r w:rsidRPr="00AB1F22">
        <w:rPr>
          <w:lang w:val="fr-FR"/>
        </w:rPr>
        <w:tab/>
        <w:t>121–123</w:t>
      </w:r>
      <w:r w:rsidRPr="00AB1F22">
        <w:rPr>
          <w:lang w:val="fr-FR"/>
        </w:rPr>
        <w:tab/>
        <w:t>2</w:t>
      </w:r>
      <w:r>
        <w:rPr>
          <w:lang w:val="fr-FR"/>
        </w:rPr>
        <w:t>7</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20 : Interdiction de la propagande en faveur de la guerre</w:t>
      </w:r>
      <w:r w:rsidRPr="00AB1F22">
        <w:rPr>
          <w:lang w:val="fr-FR"/>
        </w:rPr>
        <w:tab/>
      </w:r>
      <w:r w:rsidRPr="00AB1F22">
        <w:rPr>
          <w:lang w:val="fr-FR"/>
        </w:rPr>
        <w:tab/>
        <w:t>124</w:t>
      </w:r>
      <w:r w:rsidRPr="00AB1F22">
        <w:rPr>
          <w:lang w:val="fr-FR"/>
        </w:rPr>
        <w:tab/>
        <w:t>2</w:t>
      </w:r>
      <w:r>
        <w:rPr>
          <w:lang w:val="fr-FR"/>
        </w:rPr>
        <w:t>8</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21 : Droit à la liberté de réunion pacifique</w:t>
      </w:r>
      <w:r w:rsidRPr="00AB1F22">
        <w:rPr>
          <w:lang w:val="fr-FR"/>
        </w:rPr>
        <w:tab/>
      </w:r>
      <w:r w:rsidRPr="00AB1F22">
        <w:rPr>
          <w:lang w:val="fr-FR"/>
        </w:rPr>
        <w:tab/>
        <w:t>125–138</w:t>
      </w:r>
      <w:r w:rsidRPr="00AB1F22">
        <w:rPr>
          <w:lang w:val="fr-FR"/>
        </w:rPr>
        <w:tab/>
      </w:r>
      <w:r>
        <w:rPr>
          <w:lang w:val="fr-FR"/>
        </w:rPr>
        <w:t>28</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Application de l</w:t>
      </w:r>
      <w:r w:rsidR="004F1DFB">
        <w:rPr>
          <w:lang w:val="fr-FR"/>
        </w:rPr>
        <w:t>’</w:t>
      </w:r>
      <w:r w:rsidRPr="00AB1F22">
        <w:rPr>
          <w:lang w:val="fr-FR"/>
        </w:rPr>
        <w:t>ordonnance relative à l</w:t>
      </w:r>
      <w:r w:rsidR="004F1DFB">
        <w:rPr>
          <w:lang w:val="fr-FR"/>
        </w:rPr>
        <w:t>’</w:t>
      </w:r>
      <w:r w:rsidRPr="00AB1F22">
        <w:rPr>
          <w:lang w:val="fr-FR"/>
        </w:rPr>
        <w:t>ordre public</w:t>
      </w:r>
      <w:r w:rsidRPr="00AB1F22">
        <w:rPr>
          <w:lang w:val="fr-FR"/>
        </w:rPr>
        <w:tab/>
      </w:r>
      <w:r w:rsidRPr="00AB1F22">
        <w:rPr>
          <w:lang w:val="fr-FR"/>
        </w:rPr>
        <w:tab/>
        <w:t>126–138</w:t>
      </w:r>
      <w:r w:rsidRPr="00AB1F22">
        <w:rPr>
          <w:lang w:val="fr-FR"/>
        </w:rPr>
        <w:tab/>
      </w:r>
      <w:r>
        <w:rPr>
          <w:lang w:val="fr-FR"/>
        </w:rPr>
        <w:t>28</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22 : Liberté d</w:t>
      </w:r>
      <w:r w:rsidR="004F1DFB">
        <w:rPr>
          <w:lang w:val="fr-FR"/>
        </w:rPr>
        <w:t>’</w:t>
      </w:r>
      <w:r w:rsidRPr="00AB1F22">
        <w:rPr>
          <w:lang w:val="fr-FR"/>
        </w:rPr>
        <w:t>association</w:t>
      </w:r>
      <w:r w:rsidRPr="00AB1F22">
        <w:rPr>
          <w:lang w:val="fr-FR"/>
        </w:rPr>
        <w:tab/>
      </w:r>
      <w:r w:rsidRPr="00AB1F22">
        <w:rPr>
          <w:lang w:val="fr-FR"/>
        </w:rPr>
        <w:tab/>
        <w:t>139–141</w:t>
      </w:r>
      <w:r w:rsidRPr="00AB1F22">
        <w:rPr>
          <w:lang w:val="fr-FR"/>
        </w:rPr>
        <w:tab/>
        <w:t>3</w:t>
      </w:r>
      <w:r>
        <w:rPr>
          <w:lang w:val="fr-FR"/>
        </w:rPr>
        <w:t>0</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Ordonnance relative aux associations (chap. 151)</w:t>
      </w:r>
      <w:r w:rsidRPr="00AB1F22">
        <w:rPr>
          <w:lang w:val="fr-FR"/>
        </w:rPr>
        <w:tab/>
      </w:r>
      <w:r w:rsidRPr="00AB1F22">
        <w:rPr>
          <w:lang w:val="fr-FR"/>
        </w:rPr>
        <w:tab/>
        <w:t>139</w:t>
      </w:r>
      <w:r w:rsidRPr="00AB1F22">
        <w:rPr>
          <w:lang w:val="fr-FR"/>
        </w:rPr>
        <w:tab/>
        <w:t>3</w:t>
      </w:r>
      <w:r>
        <w:rPr>
          <w:lang w:val="fr-FR"/>
        </w:rPr>
        <w:t>0</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Réglementation des activités syndicales</w:t>
      </w:r>
      <w:r w:rsidRPr="00AB1F22">
        <w:rPr>
          <w:lang w:val="fr-FR"/>
        </w:rPr>
        <w:tab/>
      </w:r>
      <w:r w:rsidRPr="00AB1F22">
        <w:rPr>
          <w:lang w:val="fr-FR"/>
        </w:rPr>
        <w:tab/>
        <w:t>140</w:t>
      </w:r>
      <w:r w:rsidRPr="00AB1F22">
        <w:rPr>
          <w:lang w:val="fr-FR"/>
        </w:rPr>
        <w:tab/>
        <w:t>3</w:t>
      </w:r>
      <w:r>
        <w:rPr>
          <w:lang w:val="fr-FR"/>
        </w:rPr>
        <w:t>0</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Organisations de promotion des droits de l</w:t>
      </w:r>
      <w:r w:rsidR="004F1DFB">
        <w:rPr>
          <w:lang w:val="fr-FR"/>
        </w:rPr>
        <w:t>’</w:t>
      </w:r>
      <w:r w:rsidRPr="00AB1F22">
        <w:rPr>
          <w:lang w:val="fr-FR"/>
        </w:rPr>
        <w:t>homme</w:t>
      </w:r>
      <w:r w:rsidRPr="00AB1F22">
        <w:rPr>
          <w:lang w:val="fr-FR"/>
        </w:rPr>
        <w:tab/>
      </w:r>
      <w:r w:rsidRPr="00AB1F22">
        <w:rPr>
          <w:lang w:val="fr-FR"/>
        </w:rPr>
        <w:tab/>
        <w:t>141</w:t>
      </w:r>
      <w:r w:rsidRPr="00AB1F22">
        <w:rPr>
          <w:lang w:val="fr-FR"/>
        </w:rPr>
        <w:tab/>
        <w:t>3</w:t>
      </w:r>
      <w:r>
        <w:rPr>
          <w:lang w:val="fr-FR"/>
        </w:rPr>
        <w:t>0</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23 : La famille, composante fondamentale de la société</w:t>
      </w:r>
      <w:r w:rsidRPr="00AB1F22">
        <w:rPr>
          <w:lang w:val="fr-FR"/>
        </w:rPr>
        <w:tab/>
      </w:r>
      <w:r w:rsidRPr="00AB1F22">
        <w:rPr>
          <w:lang w:val="fr-FR"/>
        </w:rPr>
        <w:tab/>
        <w:t>142–152</w:t>
      </w:r>
      <w:r w:rsidRPr="00AB1F22">
        <w:rPr>
          <w:lang w:val="fr-FR"/>
        </w:rPr>
        <w:tab/>
        <w:t>3</w:t>
      </w:r>
      <w:r>
        <w:rPr>
          <w:lang w:val="fr-FR"/>
        </w:rPr>
        <w:t>0</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Services de protection sociale de la famille</w:t>
      </w:r>
      <w:r w:rsidRPr="00AB1F22">
        <w:rPr>
          <w:lang w:val="fr-FR"/>
        </w:rPr>
        <w:tab/>
      </w:r>
      <w:r w:rsidRPr="00AB1F22">
        <w:rPr>
          <w:lang w:val="fr-FR"/>
        </w:rPr>
        <w:tab/>
        <w:t>143</w:t>
      </w:r>
      <w:r w:rsidRPr="00AB1F22">
        <w:rPr>
          <w:lang w:val="fr-FR"/>
        </w:rPr>
        <w:tab/>
        <w:t>3</w:t>
      </w:r>
      <w:r>
        <w:rPr>
          <w:lang w:val="fr-FR"/>
        </w:rPr>
        <w:t>0</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Familles séparées</w:t>
      </w:r>
      <w:r w:rsidRPr="00AB1F22">
        <w:rPr>
          <w:lang w:val="fr-FR"/>
        </w:rPr>
        <w:tab/>
      </w:r>
      <w:r w:rsidRPr="00AB1F22">
        <w:rPr>
          <w:lang w:val="fr-FR"/>
        </w:rPr>
        <w:tab/>
        <w:t>144–148</w:t>
      </w:r>
      <w:r w:rsidRPr="00AB1F22">
        <w:rPr>
          <w:lang w:val="fr-FR"/>
        </w:rPr>
        <w:tab/>
        <w:t>3</w:t>
      </w:r>
      <w:r>
        <w:rPr>
          <w:lang w:val="fr-FR"/>
        </w:rPr>
        <w:t>0</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Exécution des ordonnances de versement de pension alimentaire</w:t>
      </w:r>
      <w:r w:rsidRPr="00AB1F22">
        <w:rPr>
          <w:lang w:val="fr-FR"/>
        </w:rPr>
        <w:tab/>
      </w:r>
      <w:r w:rsidRPr="00AB1F22">
        <w:rPr>
          <w:lang w:val="fr-FR"/>
        </w:rPr>
        <w:tab/>
        <w:t>149</w:t>
      </w:r>
      <w:r w:rsidRPr="00AB1F22">
        <w:rPr>
          <w:lang w:val="fr-FR"/>
        </w:rPr>
        <w:tab/>
        <w:t>3</w:t>
      </w:r>
      <w:r>
        <w:rPr>
          <w:lang w:val="fr-FR"/>
        </w:rPr>
        <w:t>1</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Nouveaux arrivants en provenance de la Chine continentale</w:t>
      </w:r>
      <w:r w:rsidRPr="00AB1F22">
        <w:rPr>
          <w:lang w:val="fr-FR"/>
        </w:rPr>
        <w:tab/>
      </w:r>
      <w:r w:rsidRPr="00AB1F22">
        <w:rPr>
          <w:lang w:val="fr-FR"/>
        </w:rPr>
        <w:tab/>
        <w:t>150</w:t>
      </w:r>
      <w:r w:rsidRPr="00AB1F22">
        <w:rPr>
          <w:lang w:val="fr-FR"/>
        </w:rPr>
        <w:tab/>
        <w:t>3</w:t>
      </w:r>
      <w:r>
        <w:rPr>
          <w:lang w:val="fr-FR"/>
        </w:rPr>
        <w:t>1</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Congé de paternité légal</w:t>
      </w:r>
      <w:r w:rsidRPr="00AB1F22">
        <w:rPr>
          <w:lang w:val="fr-FR"/>
        </w:rPr>
        <w:tab/>
      </w:r>
      <w:r w:rsidRPr="00AB1F22">
        <w:rPr>
          <w:lang w:val="fr-FR"/>
        </w:rPr>
        <w:tab/>
        <w:t>151–152</w:t>
      </w:r>
      <w:r w:rsidRPr="00AB1F22">
        <w:rPr>
          <w:lang w:val="fr-FR"/>
        </w:rPr>
        <w:tab/>
        <w:t>3</w:t>
      </w:r>
      <w:r>
        <w:rPr>
          <w:lang w:val="fr-FR"/>
        </w:rPr>
        <w:t>1</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24 : Droits des enfants</w:t>
      </w:r>
      <w:r w:rsidRPr="00AB1F22">
        <w:rPr>
          <w:lang w:val="fr-FR"/>
        </w:rPr>
        <w:tab/>
      </w:r>
      <w:r w:rsidRPr="00AB1F22">
        <w:rPr>
          <w:lang w:val="fr-FR"/>
        </w:rPr>
        <w:tab/>
        <w:t>153–167</w:t>
      </w:r>
      <w:r w:rsidRPr="00AB1F22">
        <w:rPr>
          <w:lang w:val="fr-FR"/>
        </w:rPr>
        <w:tab/>
        <w:t>3</w:t>
      </w:r>
      <w:r>
        <w:rPr>
          <w:lang w:val="fr-FR"/>
        </w:rPr>
        <w:t>1</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Commission pour l</w:t>
      </w:r>
      <w:r w:rsidR="004F1DFB">
        <w:rPr>
          <w:lang w:val="fr-FR"/>
        </w:rPr>
        <w:t>’</w:t>
      </w:r>
      <w:r w:rsidRPr="00AB1F22">
        <w:rPr>
          <w:lang w:val="fr-FR"/>
        </w:rPr>
        <w:t>enfance</w:t>
      </w:r>
      <w:r w:rsidRPr="00AB1F22">
        <w:rPr>
          <w:lang w:val="fr-FR"/>
        </w:rPr>
        <w:tab/>
      </w:r>
      <w:r w:rsidRPr="00AB1F22">
        <w:rPr>
          <w:lang w:val="fr-FR"/>
        </w:rPr>
        <w:tab/>
        <w:t>153</w:t>
      </w:r>
      <w:r w:rsidRPr="00AB1F22">
        <w:rPr>
          <w:lang w:val="fr-FR"/>
        </w:rPr>
        <w:tab/>
        <w:t>3</w:t>
      </w:r>
      <w:r>
        <w:rPr>
          <w:lang w:val="fr-FR"/>
        </w:rPr>
        <w:t>1</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Services destinés à l</w:t>
      </w:r>
      <w:r w:rsidR="004F1DFB">
        <w:rPr>
          <w:lang w:val="fr-FR"/>
        </w:rPr>
        <w:t>’</w:t>
      </w:r>
      <w:r w:rsidRPr="00AB1F22">
        <w:rPr>
          <w:lang w:val="fr-FR"/>
        </w:rPr>
        <w:t>enfant</w:t>
      </w:r>
      <w:r w:rsidRPr="00AB1F22">
        <w:rPr>
          <w:lang w:val="fr-FR"/>
        </w:rPr>
        <w:tab/>
      </w:r>
      <w:r w:rsidRPr="00AB1F22">
        <w:rPr>
          <w:lang w:val="fr-FR"/>
        </w:rPr>
        <w:tab/>
        <w:t>154</w:t>
      </w:r>
      <w:r w:rsidRPr="00AB1F22">
        <w:rPr>
          <w:lang w:val="fr-FR"/>
        </w:rPr>
        <w:tab/>
        <w:t>3</w:t>
      </w:r>
      <w:r>
        <w:rPr>
          <w:lang w:val="fr-FR"/>
        </w:rPr>
        <w:t>2</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Maltraitance à l</w:t>
      </w:r>
      <w:r w:rsidR="004F1DFB">
        <w:rPr>
          <w:lang w:val="fr-FR"/>
        </w:rPr>
        <w:t>’</w:t>
      </w:r>
      <w:r w:rsidRPr="00AB1F22">
        <w:rPr>
          <w:lang w:val="fr-FR"/>
        </w:rPr>
        <w:t>égard des enfants et violence familiale</w:t>
      </w:r>
      <w:r w:rsidRPr="00AB1F22">
        <w:rPr>
          <w:lang w:val="fr-FR"/>
        </w:rPr>
        <w:tab/>
      </w:r>
      <w:r w:rsidRPr="00AB1F22">
        <w:rPr>
          <w:lang w:val="fr-FR"/>
        </w:rPr>
        <w:tab/>
        <w:t>155–157</w:t>
      </w:r>
      <w:r w:rsidRPr="00AB1F22">
        <w:rPr>
          <w:lang w:val="fr-FR"/>
        </w:rPr>
        <w:tab/>
        <w:t>3</w:t>
      </w:r>
      <w:r>
        <w:rPr>
          <w:lang w:val="fr-FR"/>
        </w:rPr>
        <w:t>2</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Châtiments corporels</w:t>
      </w:r>
      <w:r w:rsidRPr="00AB1F22">
        <w:rPr>
          <w:lang w:val="fr-FR"/>
        </w:rPr>
        <w:tab/>
      </w:r>
      <w:r w:rsidRPr="00AB1F22">
        <w:rPr>
          <w:lang w:val="fr-FR"/>
        </w:rPr>
        <w:tab/>
        <w:t>158–165</w:t>
      </w:r>
      <w:r w:rsidRPr="00AB1F22">
        <w:rPr>
          <w:lang w:val="fr-FR"/>
        </w:rPr>
        <w:tab/>
        <w:t>3</w:t>
      </w:r>
      <w:r>
        <w:rPr>
          <w:lang w:val="fr-FR"/>
        </w:rPr>
        <w:t>2</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Représentation des enfants dans les procédures de garde ou de protection</w:t>
      </w:r>
      <w:r w:rsidRPr="00AB1F22">
        <w:rPr>
          <w:lang w:val="fr-FR"/>
        </w:rPr>
        <w:tab/>
      </w:r>
      <w:r w:rsidRPr="00AB1F22">
        <w:rPr>
          <w:lang w:val="fr-FR"/>
        </w:rPr>
        <w:tab/>
        <w:t>166–167</w:t>
      </w:r>
      <w:r w:rsidRPr="00AB1F22">
        <w:rPr>
          <w:lang w:val="fr-FR"/>
        </w:rPr>
        <w:tab/>
        <w:t>3</w:t>
      </w:r>
      <w:r>
        <w:rPr>
          <w:lang w:val="fr-FR"/>
        </w:rPr>
        <w:t>3</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25 : Droit de participer à la vie publique</w:t>
      </w:r>
      <w:r w:rsidRPr="00AB1F22">
        <w:rPr>
          <w:lang w:val="fr-FR"/>
        </w:rPr>
        <w:tab/>
      </w:r>
      <w:r w:rsidRPr="00AB1F22">
        <w:rPr>
          <w:lang w:val="fr-FR"/>
        </w:rPr>
        <w:tab/>
        <w:t>168–185</w:t>
      </w:r>
      <w:r w:rsidRPr="00AB1F22">
        <w:rPr>
          <w:lang w:val="fr-FR"/>
        </w:rPr>
        <w:tab/>
        <w:t>3</w:t>
      </w:r>
      <w:r>
        <w:rPr>
          <w:lang w:val="fr-FR"/>
        </w:rPr>
        <w:t>3</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Développement constitutionnel</w:t>
      </w:r>
      <w:r w:rsidRPr="00AB1F22">
        <w:rPr>
          <w:lang w:val="fr-FR"/>
        </w:rPr>
        <w:tab/>
      </w:r>
      <w:r w:rsidRPr="00AB1F22">
        <w:rPr>
          <w:lang w:val="fr-FR"/>
        </w:rPr>
        <w:tab/>
        <w:t>168–184</w:t>
      </w:r>
      <w:r w:rsidRPr="00AB1F22">
        <w:rPr>
          <w:lang w:val="fr-FR"/>
        </w:rPr>
        <w:tab/>
        <w:t>3</w:t>
      </w:r>
      <w:r>
        <w:rPr>
          <w:lang w:val="fr-FR"/>
        </w:rPr>
        <w:t>3</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Organes consultatifs et officiels du Gouvernement</w:t>
      </w:r>
      <w:r w:rsidRPr="00AB1F22">
        <w:rPr>
          <w:lang w:val="fr-FR"/>
        </w:rPr>
        <w:tab/>
      </w:r>
      <w:r w:rsidRPr="00AB1F22">
        <w:rPr>
          <w:lang w:val="fr-FR"/>
        </w:rPr>
        <w:tab/>
        <w:t>185</w:t>
      </w:r>
      <w:r w:rsidRPr="00AB1F22">
        <w:rPr>
          <w:lang w:val="fr-FR"/>
        </w:rPr>
        <w:tab/>
        <w:t>3</w:t>
      </w:r>
      <w:r>
        <w:rPr>
          <w:lang w:val="fr-FR"/>
        </w:rPr>
        <w:t>8</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26 : Droit à une égale protection de la loi</w:t>
      </w:r>
      <w:r w:rsidRPr="00AB1F22">
        <w:rPr>
          <w:lang w:val="fr-FR"/>
        </w:rPr>
        <w:tab/>
      </w:r>
      <w:r w:rsidRPr="00AB1F22">
        <w:rPr>
          <w:lang w:val="fr-FR"/>
        </w:rPr>
        <w:tab/>
        <w:t>186–209</w:t>
      </w:r>
      <w:r w:rsidRPr="00AB1F22">
        <w:rPr>
          <w:lang w:val="fr-FR"/>
        </w:rPr>
        <w:tab/>
        <w:t>3</w:t>
      </w:r>
      <w:r>
        <w:rPr>
          <w:lang w:val="fr-FR"/>
        </w:rPr>
        <w:t>8</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Examen de la législation relative à la discrimination</w:t>
      </w:r>
      <w:r w:rsidRPr="00AB1F22">
        <w:rPr>
          <w:lang w:val="fr-FR"/>
        </w:rPr>
        <w:tab/>
      </w:r>
      <w:r w:rsidRPr="00AB1F22">
        <w:rPr>
          <w:lang w:val="fr-FR"/>
        </w:rPr>
        <w:tab/>
        <w:t>186–187</w:t>
      </w:r>
      <w:r w:rsidRPr="00AB1F22">
        <w:rPr>
          <w:lang w:val="fr-FR"/>
        </w:rPr>
        <w:tab/>
        <w:t>3</w:t>
      </w:r>
      <w:r>
        <w:rPr>
          <w:lang w:val="fr-FR"/>
        </w:rPr>
        <w:t>8</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Législation de lutte contre la discrimination raciale</w:t>
      </w:r>
      <w:r w:rsidRPr="00AB1F22">
        <w:rPr>
          <w:lang w:val="fr-FR"/>
        </w:rPr>
        <w:tab/>
      </w:r>
      <w:r w:rsidRPr="00AB1F22">
        <w:rPr>
          <w:lang w:val="fr-FR"/>
        </w:rPr>
        <w:tab/>
        <w:t>188–196</w:t>
      </w:r>
      <w:r w:rsidRPr="00AB1F22">
        <w:rPr>
          <w:lang w:val="fr-FR"/>
        </w:rPr>
        <w:tab/>
      </w:r>
      <w:r>
        <w:rPr>
          <w:lang w:val="fr-FR"/>
        </w:rPr>
        <w:t>38</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Discrimination fondée sur l</w:t>
      </w:r>
      <w:r w:rsidR="004F1DFB">
        <w:rPr>
          <w:lang w:val="fr-FR"/>
        </w:rPr>
        <w:t>’</w:t>
      </w:r>
      <w:r w:rsidRPr="00AB1F22">
        <w:rPr>
          <w:lang w:val="fr-FR"/>
        </w:rPr>
        <w:t>âge</w:t>
      </w:r>
      <w:r w:rsidRPr="00AB1F22">
        <w:rPr>
          <w:lang w:val="fr-FR"/>
        </w:rPr>
        <w:tab/>
      </w:r>
      <w:r w:rsidRPr="00AB1F22">
        <w:rPr>
          <w:lang w:val="fr-FR"/>
        </w:rPr>
        <w:tab/>
        <w:t>197</w:t>
      </w:r>
      <w:r w:rsidRPr="00AB1F22">
        <w:rPr>
          <w:lang w:val="fr-FR"/>
        </w:rPr>
        <w:tab/>
      </w:r>
      <w:r>
        <w:rPr>
          <w:lang w:val="fr-FR"/>
        </w:rPr>
        <w:t>39</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Discrimination fondée sur l</w:t>
      </w:r>
      <w:r w:rsidR="004F1DFB">
        <w:rPr>
          <w:lang w:val="fr-FR"/>
        </w:rPr>
        <w:t>’</w:t>
      </w:r>
      <w:r w:rsidRPr="00AB1F22">
        <w:rPr>
          <w:lang w:val="fr-FR"/>
        </w:rPr>
        <w:t>orientation sexuelle et l</w:t>
      </w:r>
      <w:r w:rsidR="004F1DFB">
        <w:rPr>
          <w:lang w:val="fr-FR"/>
        </w:rPr>
        <w:t>’</w:t>
      </w:r>
      <w:r w:rsidRPr="00AB1F22">
        <w:rPr>
          <w:lang w:val="fr-FR"/>
        </w:rPr>
        <w:t>identité de genre</w:t>
      </w:r>
      <w:r w:rsidRPr="00AB1F22">
        <w:rPr>
          <w:lang w:val="fr-FR"/>
        </w:rPr>
        <w:tab/>
      </w:r>
      <w:r w:rsidRPr="00AB1F22">
        <w:rPr>
          <w:lang w:val="fr-FR"/>
        </w:rPr>
        <w:tab/>
        <w:t>198–201</w:t>
      </w:r>
      <w:r w:rsidRPr="00AB1F22">
        <w:rPr>
          <w:lang w:val="fr-FR"/>
        </w:rPr>
        <w:tab/>
        <w:t>4</w:t>
      </w:r>
      <w:r>
        <w:rPr>
          <w:lang w:val="fr-FR"/>
        </w:rPr>
        <w:t>0</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Discrimination fondée sur le handicap</w:t>
      </w:r>
      <w:r w:rsidRPr="00AB1F22">
        <w:rPr>
          <w:lang w:val="fr-FR"/>
        </w:rPr>
        <w:tab/>
      </w:r>
      <w:r w:rsidRPr="00AB1F22">
        <w:rPr>
          <w:lang w:val="fr-FR"/>
        </w:rPr>
        <w:tab/>
        <w:t>202–207</w:t>
      </w:r>
      <w:r w:rsidRPr="00AB1F22">
        <w:rPr>
          <w:lang w:val="fr-FR"/>
        </w:rPr>
        <w:tab/>
        <w:t>4</w:t>
      </w:r>
      <w:r>
        <w:rPr>
          <w:lang w:val="fr-FR"/>
        </w:rPr>
        <w:t>0</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Discrimination à l</w:t>
      </w:r>
      <w:r w:rsidR="004F1DFB">
        <w:rPr>
          <w:lang w:val="fr-FR"/>
        </w:rPr>
        <w:t>’</w:t>
      </w:r>
      <w:r w:rsidRPr="00AB1F22">
        <w:rPr>
          <w:lang w:val="fr-FR"/>
        </w:rPr>
        <w:t>encontre des personnes réinsérées</w:t>
      </w:r>
      <w:r w:rsidRPr="00AB1F22">
        <w:rPr>
          <w:lang w:val="fr-FR"/>
        </w:rPr>
        <w:tab/>
      </w:r>
      <w:r w:rsidRPr="00AB1F22">
        <w:rPr>
          <w:lang w:val="fr-FR"/>
        </w:rPr>
        <w:tab/>
        <w:t>208</w:t>
      </w:r>
      <w:r w:rsidRPr="00AB1F22">
        <w:rPr>
          <w:lang w:val="fr-FR"/>
        </w:rPr>
        <w:tab/>
        <w:t>4</w:t>
      </w:r>
      <w:r>
        <w:rPr>
          <w:lang w:val="fr-FR"/>
        </w:rPr>
        <w:t>1</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 xml:space="preserve"> Obligations de résidence imposées par les régimes de sécurité sociale</w:t>
      </w:r>
      <w:r w:rsidRPr="00AB1F22">
        <w:rPr>
          <w:lang w:val="fr-FR"/>
        </w:rPr>
        <w:tab/>
      </w:r>
      <w:r w:rsidRPr="00AB1F22">
        <w:rPr>
          <w:lang w:val="fr-FR"/>
        </w:rPr>
        <w:tab/>
        <w:t>209</w:t>
      </w:r>
      <w:r w:rsidRPr="00AB1F22">
        <w:rPr>
          <w:lang w:val="fr-FR"/>
        </w:rPr>
        <w:tab/>
        <w:t>4</w:t>
      </w:r>
      <w:r>
        <w:rPr>
          <w:lang w:val="fr-FR"/>
        </w:rPr>
        <w:t>1</w:t>
      </w:r>
    </w:p>
    <w:p w:rsidR="0024529D" w:rsidRPr="00AB1F22" w:rsidRDefault="0024529D" w:rsidP="0024529D">
      <w:pPr>
        <w:tabs>
          <w:tab w:val="right" w:pos="850"/>
          <w:tab w:val="right" w:leader="dot" w:pos="7654"/>
          <w:tab w:val="right" w:pos="8929"/>
          <w:tab w:val="right" w:pos="9638"/>
        </w:tabs>
        <w:spacing w:after="120"/>
        <w:ind w:left="1134" w:hanging="1134"/>
        <w:rPr>
          <w:lang w:val="fr-FR"/>
        </w:rPr>
      </w:pPr>
      <w:r w:rsidRPr="00AB1F22">
        <w:rPr>
          <w:lang w:val="fr-FR"/>
        </w:rPr>
        <w:tab/>
      </w:r>
      <w:r w:rsidRPr="00AB1F22">
        <w:rPr>
          <w:lang w:val="fr-FR"/>
        </w:rPr>
        <w:tab/>
        <w:t>Article 27 : Droit des minorités ethniques</w:t>
      </w:r>
      <w:r w:rsidRPr="00AB1F22">
        <w:rPr>
          <w:lang w:val="fr-FR"/>
        </w:rPr>
        <w:tab/>
      </w:r>
      <w:r w:rsidRPr="00AB1F22">
        <w:rPr>
          <w:lang w:val="fr-FR"/>
        </w:rPr>
        <w:tab/>
        <w:t>210–222</w:t>
      </w:r>
      <w:r w:rsidRPr="00AB1F22">
        <w:rPr>
          <w:lang w:val="fr-FR"/>
        </w:rPr>
        <w:tab/>
        <w:t>4</w:t>
      </w:r>
      <w:r>
        <w:rPr>
          <w:lang w:val="fr-FR"/>
        </w:rPr>
        <w:t>2</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Cadre juridique général</w:t>
      </w:r>
      <w:r w:rsidRPr="00AB1F22">
        <w:rPr>
          <w:lang w:val="fr-FR"/>
        </w:rPr>
        <w:tab/>
      </w:r>
      <w:r w:rsidRPr="00AB1F22">
        <w:rPr>
          <w:lang w:val="fr-FR"/>
        </w:rPr>
        <w:tab/>
        <w:t>210–211</w:t>
      </w:r>
      <w:r w:rsidRPr="00AB1F22">
        <w:rPr>
          <w:lang w:val="fr-FR"/>
        </w:rPr>
        <w:tab/>
        <w:t>4</w:t>
      </w:r>
      <w:r>
        <w:rPr>
          <w:lang w:val="fr-FR"/>
        </w:rPr>
        <w:t>2</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Enseignement à l</w:t>
      </w:r>
      <w:r w:rsidR="004F1DFB">
        <w:rPr>
          <w:lang w:val="fr-FR"/>
        </w:rPr>
        <w:t>’</w:t>
      </w:r>
      <w:r w:rsidRPr="00AB1F22">
        <w:rPr>
          <w:lang w:val="fr-FR"/>
        </w:rPr>
        <w:t>intention des élèves non sinophones</w:t>
      </w:r>
      <w:r w:rsidRPr="00AB1F22">
        <w:rPr>
          <w:lang w:val="fr-FR"/>
        </w:rPr>
        <w:tab/>
      </w:r>
      <w:r w:rsidRPr="00AB1F22">
        <w:rPr>
          <w:lang w:val="fr-FR"/>
        </w:rPr>
        <w:tab/>
        <w:t>212–220</w:t>
      </w:r>
      <w:r w:rsidRPr="00AB1F22">
        <w:rPr>
          <w:lang w:val="fr-FR"/>
        </w:rPr>
        <w:tab/>
        <w:t>4</w:t>
      </w:r>
      <w:r>
        <w:rPr>
          <w:lang w:val="fr-FR"/>
        </w:rPr>
        <w:t>2</w:t>
      </w:r>
    </w:p>
    <w:p w:rsidR="0024529D" w:rsidRPr="00AB1F22" w:rsidRDefault="0024529D" w:rsidP="0024529D">
      <w:pPr>
        <w:tabs>
          <w:tab w:val="right" w:leader="dot" w:pos="7654"/>
          <w:tab w:val="right" w:pos="8929"/>
          <w:tab w:val="right" w:pos="9638"/>
        </w:tabs>
        <w:spacing w:after="120"/>
        <w:ind w:left="1559" w:hanging="425"/>
        <w:rPr>
          <w:lang w:val="fr-FR"/>
        </w:rPr>
      </w:pPr>
      <w:r w:rsidRPr="00AB1F22">
        <w:rPr>
          <w:lang w:val="fr-FR"/>
        </w:rPr>
        <w:tab/>
        <w:t>Accès à l</w:t>
      </w:r>
      <w:r w:rsidR="004F1DFB">
        <w:rPr>
          <w:lang w:val="fr-FR"/>
        </w:rPr>
        <w:t>’</w:t>
      </w:r>
      <w:r w:rsidRPr="00AB1F22">
        <w:rPr>
          <w:lang w:val="fr-FR"/>
        </w:rPr>
        <w:t>emploi dans le secteur public</w:t>
      </w:r>
      <w:r w:rsidRPr="00AB1F22">
        <w:rPr>
          <w:lang w:val="fr-FR"/>
        </w:rPr>
        <w:tab/>
      </w:r>
      <w:r w:rsidRPr="00AB1F22">
        <w:rPr>
          <w:lang w:val="fr-FR"/>
        </w:rPr>
        <w:tab/>
        <w:t>221–222</w:t>
      </w:r>
      <w:r w:rsidRPr="00AB1F22">
        <w:rPr>
          <w:lang w:val="fr-FR"/>
        </w:rPr>
        <w:tab/>
        <w:t>4</w:t>
      </w:r>
      <w:r>
        <w:rPr>
          <w:lang w:val="fr-FR"/>
        </w:rPr>
        <w:t>3</w:t>
      </w:r>
    </w:p>
    <w:p w:rsidR="0024529D" w:rsidRPr="00AB1F22" w:rsidRDefault="0024529D" w:rsidP="0024529D">
      <w:pPr>
        <w:pStyle w:val="HChG"/>
        <w:rPr>
          <w:lang w:val="fr-FR"/>
        </w:rPr>
      </w:pPr>
      <w:r w:rsidRPr="00AB1F22">
        <w:rPr>
          <w:lang w:val="fr-FR"/>
        </w:rPr>
        <w:br w:type="page"/>
      </w:r>
      <w:r w:rsidRPr="00AB1F22">
        <w:rPr>
          <w:lang w:val="fr-FR"/>
        </w:rPr>
        <w:tab/>
        <w:t>Annexes</w:t>
      </w:r>
      <w:bookmarkStart w:id="1" w:name="_Toc31721390"/>
      <w:bookmarkEnd w:id="1"/>
    </w:p>
    <w:p w:rsidR="0024529D" w:rsidRPr="00AB1F22" w:rsidRDefault="0024529D" w:rsidP="0024529D">
      <w:pPr>
        <w:pStyle w:val="SingleTxtG"/>
        <w:ind w:left="1701" w:hanging="555"/>
        <w:rPr>
          <w:lang w:val="fr-FR"/>
        </w:rPr>
      </w:pPr>
      <w:r w:rsidRPr="00AB1F22">
        <w:rPr>
          <w:lang w:val="fr-FR"/>
        </w:rPr>
        <w:t>2A</w:t>
      </w:r>
      <w:r w:rsidRPr="00AB1F22">
        <w:rPr>
          <w:lang w:val="fr-FR"/>
        </w:rPr>
        <w:tab/>
        <w:t>La Commission de l</w:t>
      </w:r>
      <w:r w:rsidR="004F1DFB">
        <w:rPr>
          <w:lang w:val="fr-FR"/>
        </w:rPr>
        <w:t>’</w:t>
      </w:r>
      <w:r w:rsidRPr="00AB1F22">
        <w:rPr>
          <w:lang w:val="fr-FR"/>
        </w:rPr>
        <w:t xml:space="preserve">égalité des chances, le Commissaire </w:t>
      </w:r>
      <w:r>
        <w:rPr>
          <w:lang w:val="fr-FR"/>
        </w:rPr>
        <w:t>à</w:t>
      </w:r>
      <w:r w:rsidRPr="00AB1F22">
        <w:rPr>
          <w:lang w:val="fr-FR"/>
        </w:rPr>
        <w:t xml:space="preserve"> la protection des données personnelles et l</w:t>
      </w:r>
      <w:r w:rsidR="004F1DFB">
        <w:rPr>
          <w:lang w:val="fr-FR"/>
        </w:rPr>
        <w:t>’</w:t>
      </w:r>
      <w:r w:rsidRPr="00AB1F22">
        <w:rPr>
          <w:lang w:val="fr-FR"/>
        </w:rPr>
        <w:t>Ombudsman.</w:t>
      </w:r>
    </w:p>
    <w:p w:rsidR="0024529D" w:rsidRPr="00AB1F22" w:rsidRDefault="0024529D" w:rsidP="0024529D">
      <w:pPr>
        <w:pStyle w:val="SingleTxtG"/>
        <w:rPr>
          <w:lang w:val="fr-FR"/>
        </w:rPr>
      </w:pPr>
      <w:r w:rsidRPr="00AB1F22">
        <w:rPr>
          <w:lang w:val="fr-FR"/>
        </w:rPr>
        <w:t>2B</w:t>
      </w:r>
      <w:r w:rsidRPr="00AB1F22">
        <w:rPr>
          <w:lang w:val="fr-FR"/>
        </w:rPr>
        <w:tab/>
        <w:t>Éducation aux droits de l</w:t>
      </w:r>
      <w:r w:rsidR="004F1DFB">
        <w:rPr>
          <w:lang w:val="fr-FR"/>
        </w:rPr>
        <w:t>’</w:t>
      </w:r>
      <w:r w:rsidRPr="00AB1F22">
        <w:rPr>
          <w:lang w:val="fr-FR"/>
        </w:rPr>
        <w:t>homme</w:t>
      </w:r>
    </w:p>
    <w:p w:rsidR="0024529D" w:rsidRPr="00AB1F22" w:rsidRDefault="0024529D" w:rsidP="0024529D">
      <w:pPr>
        <w:pStyle w:val="SingleTxtG"/>
        <w:rPr>
          <w:lang w:val="fr-FR"/>
        </w:rPr>
      </w:pPr>
      <w:r w:rsidRPr="00AB1F22">
        <w:rPr>
          <w:lang w:val="fr-FR"/>
        </w:rPr>
        <w:t>3A</w:t>
      </w:r>
      <w:r w:rsidRPr="00AB1F22">
        <w:rPr>
          <w:lang w:val="fr-FR"/>
        </w:rPr>
        <w:tab/>
      </w:r>
      <w:r>
        <w:rPr>
          <w:lang w:val="fr-FR"/>
        </w:rPr>
        <w:t>Salaire égal pour un travail de valeur égale</w:t>
      </w:r>
    </w:p>
    <w:p w:rsidR="0024529D" w:rsidRPr="00AB1F22" w:rsidRDefault="0024529D" w:rsidP="0024529D">
      <w:pPr>
        <w:pStyle w:val="SingleTxtG"/>
        <w:rPr>
          <w:lang w:val="fr-FR"/>
        </w:rPr>
      </w:pPr>
      <w:r w:rsidRPr="00AB1F22">
        <w:rPr>
          <w:lang w:val="fr-FR"/>
        </w:rPr>
        <w:t>3B</w:t>
      </w:r>
      <w:r w:rsidRPr="00AB1F22">
        <w:rPr>
          <w:lang w:val="fr-FR"/>
        </w:rPr>
        <w:tab/>
      </w:r>
      <w:r>
        <w:rPr>
          <w:lang w:val="fr-FR"/>
        </w:rPr>
        <w:t>La Commission de la femme</w:t>
      </w:r>
    </w:p>
    <w:p w:rsidR="0024529D" w:rsidRDefault="0024529D" w:rsidP="0024529D">
      <w:pPr>
        <w:pStyle w:val="SingleTxtG"/>
        <w:ind w:left="1701" w:hanging="555"/>
        <w:rPr>
          <w:lang w:val="fr-FR"/>
        </w:rPr>
      </w:pPr>
      <w:r w:rsidRPr="00AB1F22">
        <w:rPr>
          <w:lang w:val="fr-FR"/>
        </w:rPr>
        <w:t>6A</w:t>
      </w:r>
      <w:r w:rsidRPr="00AB1F22">
        <w:rPr>
          <w:lang w:val="fr-FR"/>
        </w:rPr>
        <w:tab/>
      </w:r>
      <w:r>
        <w:rPr>
          <w:lang w:val="fr-FR"/>
        </w:rPr>
        <w:t>Décès de personnes détenues dans les locaux de la police, du Département de l</w:t>
      </w:r>
      <w:r w:rsidR="004F1DFB">
        <w:rPr>
          <w:lang w:val="fr-FR"/>
        </w:rPr>
        <w:t>’</w:t>
      </w:r>
      <w:r>
        <w:rPr>
          <w:lang w:val="fr-FR"/>
        </w:rPr>
        <w:t>administration pénitentiaire, du Département des douanes et accises, du Département de l</w:t>
      </w:r>
      <w:r w:rsidR="004F1DFB">
        <w:rPr>
          <w:lang w:val="fr-FR"/>
        </w:rPr>
        <w:t>’</w:t>
      </w:r>
      <w:r>
        <w:rPr>
          <w:lang w:val="fr-FR"/>
        </w:rPr>
        <w:t>immigration et de la Commission indépendante de lutte contre la corruption</w:t>
      </w:r>
    </w:p>
    <w:p w:rsidR="0024529D" w:rsidRPr="00AB1F22" w:rsidRDefault="0024529D" w:rsidP="0024529D">
      <w:pPr>
        <w:pStyle w:val="SingleTxtG"/>
        <w:rPr>
          <w:lang w:val="fr-FR"/>
        </w:rPr>
      </w:pPr>
      <w:r w:rsidRPr="00AB1F22">
        <w:rPr>
          <w:lang w:val="fr-FR"/>
        </w:rPr>
        <w:t>6B</w:t>
      </w:r>
      <w:r w:rsidRPr="00AB1F22">
        <w:rPr>
          <w:lang w:val="fr-FR"/>
        </w:rPr>
        <w:tab/>
      </w:r>
      <w:r>
        <w:rPr>
          <w:lang w:val="fr-FR"/>
        </w:rPr>
        <w:t>Décès d</w:t>
      </w:r>
      <w:r w:rsidR="004F1DFB">
        <w:rPr>
          <w:lang w:val="fr-FR"/>
        </w:rPr>
        <w:t>’</w:t>
      </w:r>
      <w:r>
        <w:rPr>
          <w:lang w:val="fr-FR"/>
        </w:rPr>
        <w:t>enfants</w:t>
      </w:r>
    </w:p>
    <w:p w:rsidR="0024529D" w:rsidRPr="00AB1F22" w:rsidRDefault="0024529D" w:rsidP="0024529D">
      <w:pPr>
        <w:pStyle w:val="SingleTxtG"/>
        <w:ind w:left="1689" w:hanging="555"/>
        <w:rPr>
          <w:lang w:val="fr-FR"/>
        </w:rPr>
      </w:pPr>
      <w:r w:rsidRPr="00AB1F22">
        <w:rPr>
          <w:lang w:val="fr-FR"/>
        </w:rPr>
        <w:t>7A</w:t>
      </w:r>
      <w:r w:rsidRPr="00AB1F22">
        <w:rPr>
          <w:lang w:val="fr-FR"/>
        </w:rPr>
        <w:tab/>
      </w:r>
      <w:r>
        <w:rPr>
          <w:lang w:val="fr-FR"/>
        </w:rPr>
        <w:t>Formation de la police et de la Commission indépendante de lutte contre la corruption</w:t>
      </w:r>
    </w:p>
    <w:p w:rsidR="0024529D" w:rsidRPr="00AB1F22" w:rsidRDefault="0024529D" w:rsidP="0024529D">
      <w:pPr>
        <w:pStyle w:val="SingleTxtG"/>
        <w:rPr>
          <w:lang w:val="fr-FR"/>
        </w:rPr>
      </w:pPr>
      <w:r w:rsidRPr="00AB1F22">
        <w:rPr>
          <w:lang w:val="fr-FR"/>
        </w:rPr>
        <w:t>7B</w:t>
      </w:r>
      <w:r w:rsidRPr="00AB1F22">
        <w:rPr>
          <w:lang w:val="fr-FR"/>
        </w:rPr>
        <w:tab/>
      </w:r>
      <w:r>
        <w:rPr>
          <w:lang w:val="fr-FR"/>
        </w:rPr>
        <w:t>Examen des demandes de protection au titre du principe de non-refoulement</w:t>
      </w:r>
    </w:p>
    <w:p w:rsidR="0024529D" w:rsidRPr="00AB1F22" w:rsidRDefault="0024529D" w:rsidP="0024529D">
      <w:pPr>
        <w:pStyle w:val="SingleTxtG"/>
        <w:rPr>
          <w:lang w:val="fr-FR"/>
        </w:rPr>
      </w:pPr>
      <w:r w:rsidRPr="00AB1F22">
        <w:rPr>
          <w:lang w:val="fr-FR"/>
        </w:rPr>
        <w:t>8A</w:t>
      </w:r>
      <w:r w:rsidRPr="00AB1F22">
        <w:rPr>
          <w:lang w:val="fr-FR"/>
        </w:rPr>
        <w:tab/>
      </w:r>
      <w:r>
        <w:rPr>
          <w:lang w:val="fr-FR"/>
        </w:rPr>
        <w:t>Réglementation des agences pour l</w:t>
      </w:r>
      <w:r w:rsidR="004F1DFB">
        <w:rPr>
          <w:lang w:val="fr-FR"/>
        </w:rPr>
        <w:t>’</w:t>
      </w:r>
      <w:r>
        <w:rPr>
          <w:lang w:val="fr-FR"/>
        </w:rPr>
        <w:t>emploi</w:t>
      </w:r>
    </w:p>
    <w:p w:rsidR="0024529D" w:rsidRPr="00AB1F22" w:rsidRDefault="0024529D" w:rsidP="0024529D">
      <w:pPr>
        <w:pStyle w:val="SingleTxtG"/>
        <w:ind w:left="1689" w:hanging="555"/>
        <w:rPr>
          <w:lang w:val="fr-FR"/>
        </w:rPr>
      </w:pPr>
      <w:r w:rsidRPr="00AB1F22">
        <w:rPr>
          <w:lang w:val="fr-FR"/>
        </w:rPr>
        <w:t>8B</w:t>
      </w:r>
      <w:r w:rsidRPr="00AB1F22">
        <w:rPr>
          <w:lang w:val="fr-FR"/>
        </w:rPr>
        <w:tab/>
        <w:t xml:space="preserve">Protection </w:t>
      </w:r>
      <w:r>
        <w:rPr>
          <w:lang w:val="fr-FR"/>
        </w:rPr>
        <w:t>des employés de maison étrangers</w:t>
      </w:r>
      <w:r w:rsidRPr="00AB1F22">
        <w:rPr>
          <w:lang w:val="fr-FR"/>
        </w:rPr>
        <w:t xml:space="preserve"> – </w:t>
      </w:r>
      <w:r>
        <w:rPr>
          <w:lang w:val="fr-FR"/>
        </w:rPr>
        <w:t>mesures de sensibilisation et de promotion</w:t>
      </w:r>
      <w:r w:rsidRPr="00AB1F22">
        <w:rPr>
          <w:lang w:val="fr-FR"/>
        </w:rPr>
        <w:t xml:space="preserve"> </w:t>
      </w:r>
    </w:p>
    <w:p w:rsidR="0024529D" w:rsidRPr="00AB1F22" w:rsidRDefault="0024529D" w:rsidP="0024529D">
      <w:pPr>
        <w:pStyle w:val="SingleTxtG"/>
        <w:rPr>
          <w:lang w:val="fr-FR"/>
        </w:rPr>
      </w:pPr>
      <w:r w:rsidRPr="00AB1F22">
        <w:rPr>
          <w:lang w:val="fr-FR"/>
        </w:rPr>
        <w:t>8C</w:t>
      </w:r>
      <w:r w:rsidRPr="00AB1F22">
        <w:rPr>
          <w:lang w:val="fr-FR"/>
        </w:rPr>
        <w:tab/>
        <w:t xml:space="preserve">Protection </w:t>
      </w:r>
      <w:r>
        <w:rPr>
          <w:lang w:val="fr-FR"/>
        </w:rPr>
        <w:t>des victimes</w:t>
      </w:r>
    </w:p>
    <w:p w:rsidR="0024529D" w:rsidRPr="00AB1F22" w:rsidRDefault="0024529D" w:rsidP="0024529D">
      <w:pPr>
        <w:pStyle w:val="SingleTxtG"/>
        <w:rPr>
          <w:lang w:val="fr-FR"/>
        </w:rPr>
      </w:pPr>
      <w:r w:rsidRPr="00AB1F22">
        <w:rPr>
          <w:lang w:val="fr-FR"/>
        </w:rPr>
        <w:t>9A</w:t>
      </w:r>
      <w:r w:rsidRPr="00AB1F22">
        <w:rPr>
          <w:lang w:val="fr-FR"/>
        </w:rPr>
        <w:tab/>
      </w:r>
      <w:r>
        <w:rPr>
          <w:lang w:val="fr-FR"/>
        </w:rPr>
        <w:t>Détention d</w:t>
      </w:r>
      <w:r w:rsidR="004F1DFB">
        <w:rPr>
          <w:lang w:val="fr-FR"/>
        </w:rPr>
        <w:t>’</w:t>
      </w:r>
      <w:r>
        <w:rPr>
          <w:lang w:val="fr-FR"/>
        </w:rPr>
        <w:t>immigrants clandestins</w:t>
      </w:r>
    </w:p>
    <w:p w:rsidR="0024529D" w:rsidRPr="00AB1F22" w:rsidRDefault="0024529D" w:rsidP="0024529D">
      <w:pPr>
        <w:pStyle w:val="SingleTxtG"/>
        <w:rPr>
          <w:lang w:val="fr-FR"/>
        </w:rPr>
      </w:pPr>
      <w:r w:rsidRPr="00AB1F22">
        <w:rPr>
          <w:lang w:val="fr-FR"/>
        </w:rPr>
        <w:t>10A</w:t>
      </w:r>
      <w:r w:rsidRPr="00AB1F22">
        <w:rPr>
          <w:lang w:val="fr-FR"/>
        </w:rPr>
        <w:tab/>
      </w:r>
      <w:r>
        <w:rPr>
          <w:lang w:val="fr-FR"/>
        </w:rPr>
        <w:t>Droits des personnes privées de liberté</w:t>
      </w:r>
    </w:p>
    <w:p w:rsidR="0024529D" w:rsidRPr="00AB1F22" w:rsidRDefault="0024529D" w:rsidP="0024529D">
      <w:pPr>
        <w:pStyle w:val="SingleTxtG"/>
        <w:rPr>
          <w:lang w:val="fr-FR"/>
        </w:rPr>
      </w:pPr>
      <w:r w:rsidRPr="00AB1F22">
        <w:rPr>
          <w:lang w:val="fr-FR"/>
        </w:rPr>
        <w:t>10B</w:t>
      </w:r>
      <w:r w:rsidRPr="00AB1F22">
        <w:rPr>
          <w:lang w:val="fr-FR"/>
        </w:rPr>
        <w:tab/>
      </w:r>
      <w:r>
        <w:rPr>
          <w:lang w:val="fr-FR"/>
        </w:rPr>
        <w:t>Réglementation et gestion des établissements pénitentiaires</w:t>
      </w:r>
    </w:p>
    <w:p w:rsidR="0024529D" w:rsidRPr="00AB1F22" w:rsidRDefault="0024529D" w:rsidP="0024529D">
      <w:pPr>
        <w:pStyle w:val="SingleTxtG"/>
        <w:rPr>
          <w:lang w:val="fr-FR"/>
        </w:rPr>
      </w:pPr>
      <w:r w:rsidRPr="00AB1F22">
        <w:rPr>
          <w:lang w:val="fr-FR"/>
        </w:rPr>
        <w:t>10C</w:t>
      </w:r>
      <w:r w:rsidRPr="00AB1F22">
        <w:rPr>
          <w:lang w:val="fr-FR"/>
        </w:rPr>
        <w:tab/>
      </w:r>
      <w:r>
        <w:rPr>
          <w:lang w:val="fr-FR"/>
        </w:rPr>
        <w:t>Réinsertion des jeunes délinquants et autres délinquants</w:t>
      </w:r>
    </w:p>
    <w:p w:rsidR="0024529D" w:rsidRPr="00AB1F22" w:rsidRDefault="0024529D" w:rsidP="0024529D">
      <w:pPr>
        <w:pStyle w:val="SingleTxtG"/>
        <w:rPr>
          <w:lang w:val="fr-FR"/>
        </w:rPr>
      </w:pPr>
      <w:r w:rsidRPr="00AB1F22">
        <w:rPr>
          <w:lang w:val="fr-FR"/>
        </w:rPr>
        <w:t>10D</w:t>
      </w:r>
      <w:r w:rsidRPr="00AB1F22">
        <w:rPr>
          <w:lang w:val="fr-FR"/>
        </w:rPr>
        <w:tab/>
        <w:t xml:space="preserve">Assistance </w:t>
      </w:r>
      <w:r>
        <w:rPr>
          <w:lang w:val="fr-FR"/>
        </w:rPr>
        <w:t>aux résidents de Hong Kong détenus en Chine continentale</w:t>
      </w:r>
    </w:p>
    <w:p w:rsidR="0024529D" w:rsidRPr="00AB1F22" w:rsidRDefault="0024529D" w:rsidP="0024529D">
      <w:pPr>
        <w:pStyle w:val="SingleTxtG"/>
        <w:rPr>
          <w:lang w:val="fr-FR"/>
        </w:rPr>
      </w:pPr>
      <w:r w:rsidRPr="00AB1F22">
        <w:rPr>
          <w:lang w:val="fr-FR"/>
        </w:rPr>
        <w:t>12A</w:t>
      </w:r>
      <w:r w:rsidRPr="00AB1F22">
        <w:rPr>
          <w:lang w:val="fr-FR"/>
        </w:rPr>
        <w:tab/>
      </w:r>
      <w:r>
        <w:rPr>
          <w:lang w:val="fr-FR"/>
        </w:rPr>
        <w:t>Documents de voyage pour les résidents permanents et non permanents</w:t>
      </w:r>
    </w:p>
    <w:p w:rsidR="0024529D" w:rsidRPr="00AB1F22" w:rsidRDefault="0024529D" w:rsidP="0024529D">
      <w:pPr>
        <w:pStyle w:val="SingleTxtG"/>
        <w:rPr>
          <w:lang w:val="fr-FR"/>
        </w:rPr>
      </w:pPr>
      <w:r w:rsidRPr="00AB1F22">
        <w:rPr>
          <w:lang w:val="fr-FR"/>
        </w:rPr>
        <w:t>12B</w:t>
      </w:r>
      <w:r w:rsidRPr="00AB1F22">
        <w:rPr>
          <w:lang w:val="fr-FR"/>
        </w:rPr>
        <w:tab/>
      </w:r>
      <w:r>
        <w:rPr>
          <w:lang w:val="fr-FR"/>
        </w:rPr>
        <w:t>Contrôle de l</w:t>
      </w:r>
      <w:r w:rsidR="004F1DFB">
        <w:rPr>
          <w:lang w:val="fr-FR"/>
        </w:rPr>
        <w:t>’</w:t>
      </w:r>
      <w:r>
        <w:rPr>
          <w:lang w:val="fr-FR"/>
        </w:rPr>
        <w:t>immigration à l</w:t>
      </w:r>
      <w:r w:rsidR="004F1DFB">
        <w:rPr>
          <w:lang w:val="fr-FR"/>
        </w:rPr>
        <w:t>’</w:t>
      </w:r>
      <w:r>
        <w:rPr>
          <w:lang w:val="fr-FR"/>
        </w:rPr>
        <w:t>arrivée des visiteurs à Hong Kong</w:t>
      </w:r>
    </w:p>
    <w:p w:rsidR="0024529D" w:rsidRPr="00AB1F22" w:rsidRDefault="0024529D" w:rsidP="0024529D">
      <w:pPr>
        <w:pStyle w:val="SingleTxtG"/>
        <w:rPr>
          <w:lang w:val="fr-FR"/>
        </w:rPr>
      </w:pPr>
      <w:r w:rsidRPr="00AB1F22">
        <w:rPr>
          <w:lang w:val="fr-FR"/>
        </w:rPr>
        <w:t>13A</w:t>
      </w:r>
      <w:r w:rsidRPr="00AB1F22">
        <w:rPr>
          <w:lang w:val="fr-FR"/>
        </w:rPr>
        <w:tab/>
      </w:r>
      <w:r>
        <w:rPr>
          <w:lang w:val="fr-FR"/>
        </w:rPr>
        <w:t>Expulsions, reconduites et Tribunal de l</w:t>
      </w:r>
      <w:r w:rsidR="004F1DFB">
        <w:rPr>
          <w:lang w:val="fr-FR"/>
        </w:rPr>
        <w:t>’</w:t>
      </w:r>
      <w:r>
        <w:rPr>
          <w:lang w:val="fr-FR"/>
        </w:rPr>
        <w:t>immigration</w:t>
      </w:r>
    </w:p>
    <w:p w:rsidR="0024529D" w:rsidRPr="00AB1F22" w:rsidRDefault="0024529D" w:rsidP="0024529D">
      <w:pPr>
        <w:pStyle w:val="SingleTxtG"/>
        <w:rPr>
          <w:lang w:val="fr-FR"/>
        </w:rPr>
      </w:pPr>
      <w:r w:rsidRPr="00AB1F22">
        <w:rPr>
          <w:lang w:val="fr-FR"/>
        </w:rPr>
        <w:t>14A</w:t>
      </w:r>
      <w:r w:rsidRPr="00AB1F22">
        <w:rPr>
          <w:lang w:val="fr-FR"/>
        </w:rPr>
        <w:tab/>
      </w:r>
      <w:r>
        <w:rPr>
          <w:lang w:val="fr-FR"/>
        </w:rPr>
        <w:t>Droit d</w:t>
      </w:r>
      <w:r w:rsidR="004F1DFB">
        <w:rPr>
          <w:lang w:val="fr-FR"/>
        </w:rPr>
        <w:t>’</w:t>
      </w:r>
      <w:r>
        <w:rPr>
          <w:lang w:val="fr-FR"/>
        </w:rPr>
        <w:t>accès aux tribunaux</w:t>
      </w:r>
    </w:p>
    <w:p w:rsidR="0024529D" w:rsidRPr="00AB1F22" w:rsidRDefault="0024529D" w:rsidP="00135370">
      <w:pPr>
        <w:pStyle w:val="SingleTxtG"/>
        <w:ind w:left="1701" w:hanging="567"/>
        <w:rPr>
          <w:lang w:val="fr-FR"/>
        </w:rPr>
      </w:pPr>
      <w:r w:rsidRPr="00AB1F22">
        <w:rPr>
          <w:lang w:val="fr-FR"/>
        </w:rPr>
        <w:t>17A</w:t>
      </w:r>
      <w:r w:rsidRPr="00AB1F22">
        <w:rPr>
          <w:lang w:val="fr-FR"/>
        </w:rPr>
        <w:tab/>
      </w:r>
      <w:r>
        <w:rPr>
          <w:lang w:val="fr-FR"/>
        </w:rPr>
        <w:t>Ordonnance relative à l</w:t>
      </w:r>
      <w:r w:rsidR="004F1DFB">
        <w:rPr>
          <w:lang w:val="fr-FR"/>
        </w:rPr>
        <w:t>’</w:t>
      </w:r>
      <w:r>
        <w:rPr>
          <w:lang w:val="fr-FR"/>
        </w:rPr>
        <w:t>interception des communications et à la surveillance</w:t>
      </w:r>
      <w:r w:rsidRPr="00AB1F22">
        <w:rPr>
          <w:lang w:val="fr-FR"/>
        </w:rPr>
        <w:t xml:space="preserve"> (</w:t>
      </w:r>
      <w:r>
        <w:rPr>
          <w:lang w:val="fr-FR"/>
        </w:rPr>
        <w:t>chap</w:t>
      </w:r>
      <w:r w:rsidRPr="00AB1F22">
        <w:rPr>
          <w:lang w:val="fr-FR"/>
        </w:rPr>
        <w:t>.</w:t>
      </w:r>
      <w:r>
        <w:rPr>
          <w:lang w:val="fr-FR"/>
        </w:rPr>
        <w:t> 589)</w:t>
      </w:r>
    </w:p>
    <w:p w:rsidR="0024529D" w:rsidRPr="00AB1F22" w:rsidRDefault="0024529D" w:rsidP="0024529D">
      <w:pPr>
        <w:pStyle w:val="SingleTxtG"/>
        <w:rPr>
          <w:lang w:val="fr-FR"/>
        </w:rPr>
      </w:pPr>
      <w:r w:rsidRPr="00AB1F22">
        <w:rPr>
          <w:lang w:val="fr-FR"/>
        </w:rPr>
        <w:t>17B</w:t>
      </w:r>
      <w:r w:rsidRPr="00AB1F22">
        <w:rPr>
          <w:lang w:val="fr-FR"/>
        </w:rPr>
        <w:tab/>
        <w:t xml:space="preserve">Protection </w:t>
      </w:r>
      <w:r>
        <w:rPr>
          <w:lang w:val="fr-FR"/>
        </w:rPr>
        <w:t>des données personnelles</w:t>
      </w:r>
    </w:p>
    <w:p w:rsidR="0024529D" w:rsidRPr="00AB1F22" w:rsidRDefault="0024529D" w:rsidP="0024529D">
      <w:pPr>
        <w:pStyle w:val="SingleTxtG"/>
        <w:rPr>
          <w:lang w:val="fr-FR"/>
        </w:rPr>
      </w:pPr>
      <w:r w:rsidRPr="00AB1F22">
        <w:rPr>
          <w:lang w:val="fr-FR"/>
        </w:rPr>
        <w:t>18A</w:t>
      </w:r>
      <w:r w:rsidRPr="00AB1F22">
        <w:rPr>
          <w:lang w:val="fr-FR"/>
        </w:rPr>
        <w:tab/>
      </w:r>
      <w:r>
        <w:rPr>
          <w:lang w:val="fr-FR"/>
        </w:rPr>
        <w:t>Liberté de croyance religieuse</w:t>
      </w:r>
    </w:p>
    <w:p w:rsidR="0024529D" w:rsidRPr="00AB1F22" w:rsidRDefault="0024529D" w:rsidP="0024529D">
      <w:pPr>
        <w:pStyle w:val="SingleTxtG"/>
        <w:rPr>
          <w:lang w:val="fr-FR"/>
        </w:rPr>
      </w:pPr>
      <w:r w:rsidRPr="00AB1F22">
        <w:rPr>
          <w:lang w:val="fr-FR"/>
        </w:rPr>
        <w:t>19A</w:t>
      </w:r>
      <w:r w:rsidRPr="00AB1F22">
        <w:rPr>
          <w:lang w:val="fr-FR"/>
        </w:rPr>
        <w:tab/>
      </w:r>
      <w:r>
        <w:rPr>
          <w:lang w:val="fr-FR"/>
        </w:rPr>
        <w:t>Accès aux informations détenues par le Gouvernement</w:t>
      </w:r>
    </w:p>
    <w:p w:rsidR="0024529D" w:rsidRPr="00AB1F22" w:rsidRDefault="0024529D" w:rsidP="0024529D">
      <w:pPr>
        <w:pStyle w:val="SingleTxtG"/>
        <w:ind w:left="1701" w:hanging="555"/>
        <w:rPr>
          <w:lang w:val="fr-FR"/>
        </w:rPr>
      </w:pPr>
      <w:r w:rsidRPr="00AB1F22">
        <w:rPr>
          <w:lang w:val="fr-FR"/>
        </w:rPr>
        <w:t>19B</w:t>
      </w:r>
      <w:r w:rsidRPr="00AB1F22">
        <w:rPr>
          <w:lang w:val="fr-FR"/>
        </w:rPr>
        <w:tab/>
      </w:r>
      <w:r>
        <w:rPr>
          <w:lang w:val="fr-FR"/>
        </w:rPr>
        <w:t>Réglementation des médias audiovisuels et l</w:t>
      </w:r>
      <w:r w:rsidR="004F1DFB">
        <w:rPr>
          <w:lang w:val="fr-FR"/>
        </w:rPr>
        <w:t>’</w:t>
      </w:r>
      <w:r>
        <w:rPr>
          <w:lang w:val="fr-FR"/>
        </w:rPr>
        <w:t>octroi de licences, la Radio Télévision de Hong Kong, le système de classification des films, les recours contre les décisions de l</w:t>
      </w:r>
      <w:r w:rsidR="004F1DFB">
        <w:rPr>
          <w:lang w:val="fr-FR"/>
        </w:rPr>
        <w:t>’</w:t>
      </w:r>
      <w:r>
        <w:rPr>
          <w:lang w:val="fr-FR"/>
        </w:rPr>
        <w:t>Autorité de censure des films et des censeurs, la réglementation des contenus obscènes et indécents, ainsi que la gestion des bibliothèques et des musées</w:t>
      </w:r>
    </w:p>
    <w:p w:rsidR="0024529D" w:rsidRPr="00AB1F22" w:rsidRDefault="0024529D" w:rsidP="0024529D">
      <w:pPr>
        <w:pStyle w:val="SingleTxtG"/>
        <w:rPr>
          <w:lang w:val="fr-FR"/>
        </w:rPr>
      </w:pPr>
      <w:r w:rsidRPr="00AB1F22">
        <w:rPr>
          <w:lang w:val="fr-FR"/>
        </w:rPr>
        <w:t>21A</w:t>
      </w:r>
      <w:r w:rsidRPr="00AB1F22">
        <w:rPr>
          <w:lang w:val="fr-FR"/>
        </w:rPr>
        <w:tab/>
      </w:r>
      <w:r>
        <w:rPr>
          <w:lang w:val="fr-FR"/>
        </w:rPr>
        <w:t>Port de caméras par les policiers</w:t>
      </w:r>
    </w:p>
    <w:p w:rsidR="0024529D" w:rsidRPr="00AB1F22" w:rsidRDefault="0024529D" w:rsidP="0024529D">
      <w:pPr>
        <w:pStyle w:val="SingleTxtG"/>
        <w:ind w:left="1689" w:hanging="555"/>
        <w:rPr>
          <w:lang w:val="fr-FR"/>
        </w:rPr>
      </w:pPr>
      <w:r w:rsidRPr="00AB1F22">
        <w:rPr>
          <w:lang w:val="fr-FR"/>
        </w:rPr>
        <w:t>21B</w:t>
      </w:r>
      <w:r w:rsidRPr="00AB1F22">
        <w:rPr>
          <w:lang w:val="fr-FR"/>
        </w:rPr>
        <w:tab/>
      </w:r>
      <w:r>
        <w:rPr>
          <w:lang w:val="fr-FR"/>
        </w:rPr>
        <w:t>Situation en ce qui concerne la confiscation d</w:t>
      </w:r>
      <w:r w:rsidR="004F1DFB">
        <w:rPr>
          <w:lang w:val="fr-FR"/>
        </w:rPr>
        <w:t>’</w:t>
      </w:r>
      <w:r>
        <w:rPr>
          <w:lang w:val="fr-FR"/>
        </w:rPr>
        <w:t>objets exposés, sur le fondement des lois sur le divertissement public ; les stands destinés à recueillir des fonds ou des signatures sur le parcours des cortèges ; et les rassemblements publics devant les bureaux du Gouvernement central</w:t>
      </w:r>
    </w:p>
    <w:p w:rsidR="0024529D" w:rsidRPr="00AB1F22" w:rsidRDefault="0024529D" w:rsidP="0024529D">
      <w:pPr>
        <w:pStyle w:val="SingleTxtG"/>
        <w:rPr>
          <w:lang w:val="fr-FR"/>
        </w:rPr>
      </w:pPr>
      <w:r w:rsidRPr="00AB1F22">
        <w:rPr>
          <w:lang w:val="fr-FR"/>
        </w:rPr>
        <w:t>22A</w:t>
      </w:r>
      <w:r w:rsidRPr="00AB1F22">
        <w:rPr>
          <w:lang w:val="fr-FR"/>
        </w:rPr>
        <w:tab/>
      </w:r>
      <w:r>
        <w:rPr>
          <w:lang w:val="fr-FR"/>
        </w:rPr>
        <w:t>Nombre de syndicats et d</w:t>
      </w:r>
      <w:r w:rsidR="004F1DFB">
        <w:rPr>
          <w:lang w:val="fr-FR"/>
        </w:rPr>
        <w:t>’</w:t>
      </w:r>
      <w:r>
        <w:rPr>
          <w:lang w:val="fr-FR"/>
        </w:rPr>
        <w:t>adhérents</w:t>
      </w:r>
    </w:p>
    <w:p w:rsidR="0024529D" w:rsidRPr="00AB1F22" w:rsidRDefault="0024529D" w:rsidP="0024529D">
      <w:pPr>
        <w:pStyle w:val="SingleTxtG"/>
        <w:ind w:left="1689" w:hanging="555"/>
        <w:rPr>
          <w:lang w:val="fr-FR"/>
        </w:rPr>
      </w:pPr>
      <w:r w:rsidRPr="00AB1F22">
        <w:rPr>
          <w:lang w:val="fr-FR"/>
        </w:rPr>
        <w:t>22B</w:t>
      </w:r>
      <w:r w:rsidRPr="00AB1F22">
        <w:rPr>
          <w:lang w:val="fr-FR"/>
        </w:rPr>
        <w:tab/>
      </w:r>
      <w:r>
        <w:rPr>
          <w:lang w:val="fr-FR"/>
        </w:rPr>
        <w:t>Organisations non gouvernementales qui s</w:t>
      </w:r>
      <w:r w:rsidR="004F1DFB">
        <w:rPr>
          <w:lang w:val="fr-FR"/>
        </w:rPr>
        <w:t>’</w:t>
      </w:r>
      <w:r>
        <w:rPr>
          <w:lang w:val="fr-FR"/>
        </w:rPr>
        <w:t>intéressent vivement aux droits de l</w:t>
      </w:r>
      <w:r w:rsidR="004F1DFB">
        <w:rPr>
          <w:lang w:val="fr-FR"/>
        </w:rPr>
        <w:t>’</w:t>
      </w:r>
      <w:r>
        <w:rPr>
          <w:lang w:val="fr-FR"/>
        </w:rPr>
        <w:t>homme</w:t>
      </w:r>
    </w:p>
    <w:p w:rsidR="0024529D" w:rsidRPr="00AB1F22" w:rsidRDefault="0024529D" w:rsidP="0024529D">
      <w:pPr>
        <w:pStyle w:val="SingleTxtG"/>
        <w:rPr>
          <w:lang w:val="fr-FR"/>
        </w:rPr>
      </w:pPr>
      <w:r w:rsidRPr="00AB1F22">
        <w:rPr>
          <w:lang w:val="fr-FR"/>
        </w:rPr>
        <w:t>23A</w:t>
      </w:r>
      <w:r w:rsidRPr="00AB1F22">
        <w:rPr>
          <w:lang w:val="fr-FR"/>
        </w:rPr>
        <w:tab/>
      </w:r>
      <w:r>
        <w:rPr>
          <w:lang w:val="fr-FR"/>
        </w:rPr>
        <w:t>Services de protection sociale de la famille</w:t>
      </w:r>
    </w:p>
    <w:p w:rsidR="0024529D" w:rsidRPr="00AB1F22" w:rsidRDefault="0024529D" w:rsidP="0024529D">
      <w:pPr>
        <w:pStyle w:val="SingleTxtG"/>
        <w:rPr>
          <w:lang w:val="fr-FR"/>
        </w:rPr>
      </w:pPr>
      <w:r w:rsidRPr="00AB1F22">
        <w:rPr>
          <w:lang w:val="fr-FR"/>
        </w:rPr>
        <w:t>23B</w:t>
      </w:r>
      <w:r w:rsidRPr="00AB1F22">
        <w:rPr>
          <w:lang w:val="fr-FR"/>
        </w:rPr>
        <w:tab/>
      </w:r>
      <w:r>
        <w:rPr>
          <w:lang w:val="fr-FR"/>
        </w:rPr>
        <w:t>Régime du permis à sens unique</w:t>
      </w:r>
    </w:p>
    <w:p w:rsidR="0024529D" w:rsidRPr="00AB1F22" w:rsidRDefault="0024529D" w:rsidP="0024529D">
      <w:pPr>
        <w:pStyle w:val="SingleTxtG"/>
        <w:rPr>
          <w:lang w:val="fr-FR"/>
        </w:rPr>
      </w:pPr>
      <w:r w:rsidRPr="00AB1F22">
        <w:rPr>
          <w:lang w:val="fr-FR"/>
        </w:rPr>
        <w:t>23C</w:t>
      </w:r>
      <w:r w:rsidRPr="00AB1F22">
        <w:rPr>
          <w:lang w:val="fr-FR"/>
        </w:rPr>
        <w:tab/>
      </w:r>
      <w:r>
        <w:rPr>
          <w:lang w:val="fr-FR"/>
        </w:rPr>
        <w:t>Nouveaux arrivants en provenance de la Chine continentale</w:t>
      </w:r>
    </w:p>
    <w:p w:rsidR="0024529D" w:rsidRPr="00AB1F22" w:rsidRDefault="0024529D" w:rsidP="0024529D">
      <w:pPr>
        <w:pStyle w:val="SingleTxtG"/>
        <w:rPr>
          <w:lang w:val="fr-FR"/>
        </w:rPr>
      </w:pPr>
      <w:r w:rsidRPr="00AB1F22">
        <w:rPr>
          <w:lang w:val="fr-FR"/>
        </w:rPr>
        <w:t>24A</w:t>
      </w:r>
      <w:r w:rsidRPr="00AB1F22">
        <w:rPr>
          <w:lang w:val="fr-FR"/>
        </w:rPr>
        <w:tab/>
        <w:t xml:space="preserve">Services </w:t>
      </w:r>
      <w:r>
        <w:rPr>
          <w:lang w:val="fr-FR"/>
        </w:rPr>
        <w:t>destinés à l</w:t>
      </w:r>
      <w:r w:rsidR="004F1DFB">
        <w:rPr>
          <w:lang w:val="fr-FR"/>
        </w:rPr>
        <w:t>’</w:t>
      </w:r>
      <w:r>
        <w:rPr>
          <w:lang w:val="fr-FR"/>
        </w:rPr>
        <w:t>enfant</w:t>
      </w:r>
    </w:p>
    <w:p w:rsidR="0024529D" w:rsidRPr="00AB1F22" w:rsidRDefault="0024529D" w:rsidP="0024529D">
      <w:pPr>
        <w:pStyle w:val="SingleTxtG"/>
        <w:rPr>
          <w:lang w:val="fr-FR"/>
        </w:rPr>
      </w:pPr>
      <w:r w:rsidRPr="00AB1F22">
        <w:rPr>
          <w:lang w:val="fr-FR"/>
        </w:rPr>
        <w:t>24B</w:t>
      </w:r>
      <w:r w:rsidRPr="00AB1F22">
        <w:rPr>
          <w:lang w:val="fr-FR"/>
        </w:rPr>
        <w:tab/>
      </w:r>
      <w:r>
        <w:rPr>
          <w:lang w:val="fr-FR"/>
        </w:rPr>
        <w:t>Maltraitance à l</w:t>
      </w:r>
      <w:r w:rsidR="004F1DFB">
        <w:rPr>
          <w:lang w:val="fr-FR"/>
        </w:rPr>
        <w:t>’</w:t>
      </w:r>
      <w:r>
        <w:rPr>
          <w:lang w:val="fr-FR"/>
        </w:rPr>
        <w:t>égard des enfants et violence familiale</w:t>
      </w:r>
    </w:p>
    <w:p w:rsidR="0024529D" w:rsidRPr="00AB1F22" w:rsidRDefault="0024529D" w:rsidP="0024529D">
      <w:pPr>
        <w:pStyle w:val="SingleTxtG"/>
        <w:rPr>
          <w:lang w:val="fr-FR"/>
        </w:rPr>
      </w:pPr>
      <w:r w:rsidRPr="00AB1F22">
        <w:rPr>
          <w:lang w:val="fr-FR"/>
        </w:rPr>
        <w:t>24C</w:t>
      </w:r>
      <w:r w:rsidRPr="00AB1F22">
        <w:rPr>
          <w:lang w:val="fr-FR"/>
        </w:rPr>
        <w:tab/>
        <w:t xml:space="preserve">Convention </w:t>
      </w:r>
      <w:r>
        <w:rPr>
          <w:lang w:val="fr-FR"/>
        </w:rPr>
        <w:t>relative aux droits de l</w:t>
      </w:r>
      <w:r w:rsidR="004F1DFB">
        <w:rPr>
          <w:lang w:val="fr-FR"/>
        </w:rPr>
        <w:t>’</w:t>
      </w:r>
      <w:r>
        <w:rPr>
          <w:lang w:val="fr-FR"/>
        </w:rPr>
        <w:t>enfant et promotion des droits de l</w:t>
      </w:r>
      <w:r w:rsidR="004F1DFB">
        <w:rPr>
          <w:lang w:val="fr-FR"/>
        </w:rPr>
        <w:t>’</w:t>
      </w:r>
      <w:r>
        <w:rPr>
          <w:lang w:val="fr-FR"/>
        </w:rPr>
        <w:t>enfant</w:t>
      </w:r>
    </w:p>
    <w:p w:rsidR="0024529D" w:rsidRPr="00AB1F22" w:rsidRDefault="0024529D" w:rsidP="0024529D">
      <w:pPr>
        <w:pStyle w:val="SingleTxtG"/>
        <w:rPr>
          <w:lang w:val="fr-FR"/>
        </w:rPr>
      </w:pPr>
      <w:r w:rsidRPr="00AB1F22">
        <w:rPr>
          <w:lang w:val="fr-FR"/>
        </w:rPr>
        <w:t>24D</w:t>
      </w:r>
      <w:r w:rsidRPr="00AB1F22">
        <w:rPr>
          <w:lang w:val="fr-FR"/>
        </w:rPr>
        <w:tab/>
      </w:r>
      <w:r>
        <w:rPr>
          <w:lang w:val="fr-FR"/>
        </w:rPr>
        <w:t>Vérification des antécédents en matière d</w:t>
      </w:r>
      <w:r w:rsidR="004F1DFB">
        <w:rPr>
          <w:lang w:val="fr-FR"/>
        </w:rPr>
        <w:t>’</w:t>
      </w:r>
      <w:r>
        <w:rPr>
          <w:lang w:val="fr-FR"/>
        </w:rPr>
        <w:t>infraction sexuelle</w:t>
      </w:r>
    </w:p>
    <w:p w:rsidR="0024529D" w:rsidRPr="00AB1F22" w:rsidRDefault="0024529D" w:rsidP="0024529D">
      <w:pPr>
        <w:pStyle w:val="SingleTxtG"/>
        <w:ind w:left="1689" w:hanging="555"/>
        <w:rPr>
          <w:lang w:val="fr-FR"/>
        </w:rPr>
      </w:pPr>
      <w:r w:rsidRPr="00AB1F22">
        <w:rPr>
          <w:lang w:val="fr-FR"/>
        </w:rPr>
        <w:t>25A</w:t>
      </w:r>
      <w:r w:rsidRPr="00AB1F22">
        <w:rPr>
          <w:lang w:val="fr-FR"/>
        </w:rPr>
        <w:tab/>
      </w:r>
      <w:r>
        <w:rPr>
          <w:lang w:val="fr-FR"/>
        </w:rPr>
        <w:t>Élections du Chef de l</w:t>
      </w:r>
      <w:r w:rsidR="004F1DFB">
        <w:rPr>
          <w:lang w:val="fr-FR"/>
        </w:rPr>
        <w:t>’</w:t>
      </w:r>
      <w:r>
        <w:rPr>
          <w:lang w:val="fr-FR"/>
        </w:rPr>
        <w:t>exécutif, des membres du Conseil législatif, des conseils de district et élections rurales</w:t>
      </w:r>
    </w:p>
    <w:p w:rsidR="0024529D" w:rsidRPr="00AB1F22" w:rsidRDefault="0024529D" w:rsidP="0024529D">
      <w:pPr>
        <w:pStyle w:val="SingleTxtG"/>
        <w:rPr>
          <w:lang w:val="fr-FR"/>
        </w:rPr>
      </w:pPr>
      <w:r w:rsidRPr="00AB1F22">
        <w:rPr>
          <w:lang w:val="fr-FR"/>
        </w:rPr>
        <w:t>25B</w:t>
      </w:r>
      <w:r w:rsidRPr="00AB1F22">
        <w:rPr>
          <w:lang w:val="fr-FR"/>
        </w:rPr>
        <w:tab/>
      </w:r>
      <w:r>
        <w:rPr>
          <w:lang w:val="fr-FR"/>
        </w:rPr>
        <w:t>Organes consultatifs et officiels du Gouvernement</w:t>
      </w:r>
    </w:p>
    <w:p w:rsidR="0024529D" w:rsidRPr="00AB1F22" w:rsidRDefault="0024529D" w:rsidP="0024529D">
      <w:pPr>
        <w:pStyle w:val="SingleTxtG"/>
        <w:ind w:left="1689" w:hanging="555"/>
        <w:rPr>
          <w:lang w:val="fr-FR"/>
        </w:rPr>
      </w:pPr>
      <w:r w:rsidRPr="00AB1F22">
        <w:rPr>
          <w:lang w:val="fr-FR"/>
        </w:rPr>
        <w:t>26A</w:t>
      </w:r>
      <w:r w:rsidRPr="00AB1F22">
        <w:rPr>
          <w:lang w:val="fr-FR"/>
        </w:rPr>
        <w:tab/>
      </w:r>
      <w:r>
        <w:rPr>
          <w:lang w:val="fr-FR"/>
        </w:rPr>
        <w:t>Examen de la législation relative à la discrimination</w:t>
      </w:r>
      <w:r w:rsidRPr="00AB1F22">
        <w:rPr>
          <w:lang w:val="fr-FR"/>
        </w:rPr>
        <w:t xml:space="preserve"> – </w:t>
      </w:r>
      <w:r>
        <w:rPr>
          <w:lang w:val="fr-FR"/>
        </w:rPr>
        <w:t>huit recommandations prioritaires</w:t>
      </w:r>
    </w:p>
    <w:p w:rsidR="0024529D" w:rsidRPr="00AB1F22" w:rsidRDefault="0024529D" w:rsidP="0024529D">
      <w:pPr>
        <w:pStyle w:val="SingleTxtG"/>
        <w:rPr>
          <w:lang w:val="fr-FR"/>
        </w:rPr>
      </w:pPr>
      <w:r w:rsidRPr="00AB1F22">
        <w:rPr>
          <w:lang w:val="fr-FR"/>
        </w:rPr>
        <w:t>26B</w:t>
      </w:r>
      <w:r w:rsidRPr="00AB1F22">
        <w:rPr>
          <w:lang w:val="fr-FR"/>
        </w:rPr>
        <w:tab/>
      </w:r>
      <w:r>
        <w:rPr>
          <w:lang w:val="fr-FR"/>
        </w:rPr>
        <w:t>Ordonnance relative à la discrimination raciale</w:t>
      </w:r>
      <w:r w:rsidRPr="00AB1F22">
        <w:rPr>
          <w:lang w:val="fr-FR"/>
        </w:rPr>
        <w:t xml:space="preserve"> (</w:t>
      </w:r>
      <w:r>
        <w:rPr>
          <w:lang w:val="fr-FR"/>
        </w:rPr>
        <w:t>chap</w:t>
      </w:r>
      <w:r w:rsidRPr="00AB1F22">
        <w:rPr>
          <w:lang w:val="fr-FR"/>
        </w:rPr>
        <w:t>.</w:t>
      </w:r>
      <w:r>
        <w:rPr>
          <w:lang w:val="fr-FR"/>
        </w:rPr>
        <w:t> 602)</w:t>
      </w:r>
    </w:p>
    <w:p w:rsidR="0024529D" w:rsidRPr="00AB1F22" w:rsidRDefault="0024529D" w:rsidP="0024529D">
      <w:pPr>
        <w:pStyle w:val="SingleTxtG"/>
        <w:ind w:left="1689" w:hanging="555"/>
        <w:rPr>
          <w:lang w:val="fr-FR"/>
        </w:rPr>
      </w:pPr>
      <w:r w:rsidRPr="00AB1F22">
        <w:rPr>
          <w:lang w:val="fr-FR"/>
        </w:rPr>
        <w:t>26C</w:t>
      </w:r>
      <w:r w:rsidRPr="00AB1F22">
        <w:rPr>
          <w:lang w:val="fr-FR"/>
        </w:rPr>
        <w:tab/>
      </w:r>
      <w:r>
        <w:rPr>
          <w:lang w:val="fr-FR"/>
        </w:rPr>
        <w:t>Groupe consultatif sur l</w:t>
      </w:r>
      <w:r w:rsidR="004F1DFB">
        <w:rPr>
          <w:lang w:val="fr-FR"/>
        </w:rPr>
        <w:t>’</w:t>
      </w:r>
      <w:r>
        <w:rPr>
          <w:lang w:val="fr-FR"/>
        </w:rPr>
        <w:t>élimination de la discrimination à l</w:t>
      </w:r>
      <w:r w:rsidR="004F1DFB">
        <w:rPr>
          <w:lang w:val="fr-FR"/>
        </w:rPr>
        <w:t>’</w:t>
      </w:r>
      <w:r>
        <w:rPr>
          <w:lang w:val="fr-FR"/>
        </w:rPr>
        <w:t>égard des minorités sexuelles</w:t>
      </w:r>
    </w:p>
    <w:p w:rsidR="0024529D" w:rsidRPr="00AB1F22" w:rsidRDefault="0024529D" w:rsidP="0024529D">
      <w:pPr>
        <w:pStyle w:val="SingleTxtG"/>
        <w:rPr>
          <w:lang w:val="fr-FR"/>
        </w:rPr>
      </w:pPr>
      <w:r w:rsidRPr="00AB1F22">
        <w:rPr>
          <w:lang w:val="fr-FR"/>
        </w:rPr>
        <w:t>26D</w:t>
      </w:r>
      <w:r w:rsidRPr="00AB1F22">
        <w:rPr>
          <w:lang w:val="fr-FR"/>
        </w:rPr>
        <w:tab/>
        <w:t>Reconn</w:t>
      </w:r>
      <w:r>
        <w:rPr>
          <w:lang w:val="fr-FR"/>
        </w:rPr>
        <w:t>aissance de l</w:t>
      </w:r>
      <w:r w:rsidR="004F1DFB">
        <w:rPr>
          <w:lang w:val="fr-FR"/>
        </w:rPr>
        <w:t>’</w:t>
      </w:r>
      <w:r>
        <w:rPr>
          <w:lang w:val="fr-FR"/>
        </w:rPr>
        <w:t>identité de genre</w:t>
      </w:r>
    </w:p>
    <w:p w:rsidR="0024529D" w:rsidRPr="00AB1F22" w:rsidRDefault="0024529D" w:rsidP="0024529D">
      <w:pPr>
        <w:pStyle w:val="SingleTxtG"/>
        <w:rPr>
          <w:lang w:val="fr-FR"/>
        </w:rPr>
      </w:pPr>
      <w:r w:rsidRPr="00AB1F22">
        <w:rPr>
          <w:lang w:val="fr-FR"/>
        </w:rPr>
        <w:t>27A</w:t>
      </w:r>
      <w:r w:rsidRPr="00AB1F22">
        <w:rPr>
          <w:lang w:val="fr-FR"/>
        </w:rPr>
        <w:tab/>
      </w:r>
      <w:r>
        <w:rPr>
          <w:lang w:val="fr-FR"/>
        </w:rPr>
        <w:t>Éducation pour les élèves non sinophones</w:t>
      </w:r>
      <w:r w:rsidRPr="00AB1F22">
        <w:rPr>
          <w:lang w:val="fr-FR"/>
        </w:rPr>
        <w:t xml:space="preserve"> – </w:t>
      </w:r>
      <w:r>
        <w:rPr>
          <w:lang w:val="fr-FR"/>
        </w:rPr>
        <w:t>soutien professionnel et financier</w:t>
      </w:r>
    </w:p>
    <w:p w:rsidR="0024529D" w:rsidRPr="00AB1F22" w:rsidRDefault="0024529D" w:rsidP="0024529D">
      <w:pPr>
        <w:pStyle w:val="SingleTxtG"/>
        <w:rPr>
          <w:lang w:val="fr-FR"/>
        </w:rPr>
      </w:pPr>
      <w:r w:rsidRPr="00AB1F22">
        <w:rPr>
          <w:lang w:val="fr-FR"/>
        </w:rPr>
        <w:t>27B</w:t>
      </w:r>
      <w:r w:rsidRPr="00AB1F22">
        <w:rPr>
          <w:lang w:val="fr-FR"/>
        </w:rPr>
        <w:tab/>
      </w:r>
      <w:r>
        <w:rPr>
          <w:lang w:val="fr-FR"/>
        </w:rPr>
        <w:t>Éducation pour les élèves non sinophones</w:t>
      </w:r>
      <w:r w:rsidRPr="00AB1F22">
        <w:rPr>
          <w:lang w:val="fr-FR"/>
        </w:rPr>
        <w:t xml:space="preserve"> – </w:t>
      </w:r>
      <w:r>
        <w:rPr>
          <w:lang w:val="fr-FR"/>
        </w:rPr>
        <w:t>jardins d</w:t>
      </w:r>
      <w:r w:rsidR="004F1DFB">
        <w:rPr>
          <w:lang w:val="fr-FR"/>
        </w:rPr>
        <w:t>’</w:t>
      </w:r>
      <w:r>
        <w:rPr>
          <w:lang w:val="fr-FR"/>
        </w:rPr>
        <w:t>enfants locaux</w:t>
      </w:r>
    </w:p>
    <w:p w:rsidR="0024529D" w:rsidRPr="00AB1F22" w:rsidRDefault="0024529D" w:rsidP="0024529D">
      <w:pPr>
        <w:pStyle w:val="SingleTxtG"/>
        <w:rPr>
          <w:lang w:val="fr-FR"/>
        </w:rPr>
      </w:pPr>
      <w:r w:rsidRPr="00AB1F22">
        <w:rPr>
          <w:lang w:val="fr-FR"/>
        </w:rPr>
        <w:t>27C</w:t>
      </w:r>
      <w:r w:rsidRPr="00AB1F22">
        <w:rPr>
          <w:lang w:val="fr-FR"/>
        </w:rPr>
        <w:tab/>
      </w:r>
      <w:r>
        <w:rPr>
          <w:lang w:val="fr-FR"/>
        </w:rPr>
        <w:t>Accès à l</w:t>
      </w:r>
      <w:r w:rsidR="004F1DFB">
        <w:rPr>
          <w:lang w:val="fr-FR"/>
        </w:rPr>
        <w:t>’</w:t>
      </w:r>
      <w:r>
        <w:rPr>
          <w:lang w:val="fr-FR"/>
        </w:rPr>
        <w:t>emploi dans le secteur public</w:t>
      </w:r>
    </w:p>
    <w:p w:rsidR="0024529D" w:rsidRPr="00AB1F22" w:rsidRDefault="0024529D" w:rsidP="0024529D">
      <w:pPr>
        <w:pStyle w:val="SingleTxtG"/>
        <w:ind w:left="1689" w:hanging="555"/>
        <w:rPr>
          <w:lang w:val="fr-FR"/>
        </w:rPr>
      </w:pPr>
      <w:r w:rsidRPr="00AB1F22">
        <w:rPr>
          <w:lang w:val="fr-FR"/>
        </w:rPr>
        <w:t>27D</w:t>
      </w:r>
      <w:r w:rsidRPr="00AB1F22">
        <w:rPr>
          <w:lang w:val="fr-FR"/>
        </w:rPr>
        <w:tab/>
      </w:r>
      <w:r>
        <w:rPr>
          <w:lang w:val="fr-FR"/>
        </w:rPr>
        <w:t>Orientations administratives sur la promotion de l</w:t>
      </w:r>
      <w:r w:rsidR="004F1DFB">
        <w:rPr>
          <w:lang w:val="fr-FR"/>
        </w:rPr>
        <w:t>’</w:t>
      </w:r>
      <w:r>
        <w:rPr>
          <w:lang w:val="fr-FR"/>
        </w:rPr>
        <w:t>égalité des races, les services de soutien aux minorités ethniques et les mesures prises en faveur de l</w:t>
      </w:r>
      <w:r w:rsidR="004F1DFB">
        <w:rPr>
          <w:lang w:val="fr-FR"/>
        </w:rPr>
        <w:t>’</w:t>
      </w:r>
      <w:r>
        <w:rPr>
          <w:lang w:val="fr-FR"/>
        </w:rPr>
        <w:t>enseignement public</w:t>
      </w:r>
    </w:p>
    <w:p w:rsidR="0024529D" w:rsidRDefault="0024529D" w:rsidP="00135370">
      <w:pPr>
        <w:pStyle w:val="HChG"/>
        <w:rPr>
          <w:lang w:val="fr-FR"/>
        </w:rPr>
      </w:pPr>
      <w:r w:rsidRPr="00AB1F22">
        <w:rPr>
          <w:lang w:val="fr-FR"/>
        </w:rPr>
        <w:br w:type="page"/>
      </w:r>
      <w:bookmarkStart w:id="2" w:name="_Toc31721391"/>
      <w:r w:rsidR="00135370">
        <w:rPr>
          <w:lang w:val="fr-FR"/>
        </w:rPr>
        <w:tab/>
      </w:r>
      <w:r w:rsidR="00135370">
        <w:rPr>
          <w:lang w:val="fr-FR"/>
        </w:rPr>
        <w:tab/>
      </w:r>
      <w:r w:rsidRPr="00AB1F22">
        <w:rPr>
          <w:lang w:val="fr-FR"/>
        </w:rPr>
        <w:t>Abréviations</w:t>
      </w:r>
      <w:bookmarkEnd w:id="2"/>
    </w:p>
    <w:p w:rsidR="0024529D" w:rsidRDefault="0024529D" w:rsidP="00135370">
      <w:pPr>
        <w:pStyle w:val="SingleTxtG"/>
        <w:ind w:left="3119" w:hanging="1985"/>
        <w:rPr>
          <w:lang w:val="fr-FR"/>
        </w:rPr>
      </w:pPr>
      <w:r>
        <w:rPr>
          <w:lang w:val="fr-FR"/>
        </w:rPr>
        <w:t>Le Comité</w:t>
      </w:r>
      <w:r>
        <w:rPr>
          <w:lang w:val="fr-FR"/>
        </w:rPr>
        <w:tab/>
        <w:t>Le Comité des droits de l</w:t>
      </w:r>
      <w:r w:rsidR="004F1DFB">
        <w:rPr>
          <w:lang w:val="fr-FR"/>
        </w:rPr>
        <w:t>’</w:t>
      </w:r>
      <w:r>
        <w:rPr>
          <w:lang w:val="fr-FR"/>
        </w:rPr>
        <w:t>homme</w:t>
      </w:r>
    </w:p>
    <w:p w:rsidR="0024529D" w:rsidRDefault="0024529D" w:rsidP="00135370">
      <w:pPr>
        <w:pStyle w:val="SingleTxtG"/>
        <w:ind w:left="3119" w:hanging="1985"/>
        <w:rPr>
          <w:lang w:val="fr-FR"/>
        </w:rPr>
      </w:pPr>
      <w:r>
        <w:rPr>
          <w:lang w:val="fr-FR"/>
        </w:rPr>
        <w:t>Loi fondamentale</w:t>
      </w:r>
      <w:r>
        <w:rPr>
          <w:lang w:val="fr-FR"/>
        </w:rPr>
        <w:tab/>
        <w:t>Loi fondamentale de la Région administrative spéciale de Hong Kong de la République populaire de Chine</w:t>
      </w:r>
    </w:p>
    <w:p w:rsidR="0024529D" w:rsidRDefault="0024529D" w:rsidP="00135370">
      <w:pPr>
        <w:pStyle w:val="SingleTxtG"/>
        <w:ind w:left="3119" w:hanging="1985"/>
        <w:rPr>
          <w:lang w:val="fr-FR"/>
        </w:rPr>
      </w:pPr>
      <w:r>
        <w:rPr>
          <w:lang w:val="fr-FR"/>
        </w:rPr>
        <w:t>Le Pacte</w:t>
      </w:r>
      <w:r>
        <w:rPr>
          <w:lang w:val="fr-FR"/>
        </w:rPr>
        <w:tab/>
        <w:t>Le Pacte international relatif aux droits civils et politiques</w:t>
      </w:r>
    </w:p>
    <w:p w:rsidR="0024529D" w:rsidRDefault="0024529D" w:rsidP="00135370">
      <w:pPr>
        <w:pStyle w:val="SingleTxtG"/>
        <w:ind w:left="3119" w:hanging="1985"/>
        <w:rPr>
          <w:lang w:val="fr-FR"/>
        </w:rPr>
      </w:pPr>
      <w:r>
        <w:rPr>
          <w:lang w:val="fr-FR"/>
        </w:rPr>
        <w:t>ONG</w:t>
      </w:r>
      <w:r>
        <w:rPr>
          <w:lang w:val="fr-FR"/>
        </w:rPr>
        <w:tab/>
        <w:t>organisation(s) non gouvernementale(s)</w:t>
      </w:r>
    </w:p>
    <w:p w:rsidR="0024529D" w:rsidRPr="008726F0" w:rsidRDefault="0024529D" w:rsidP="00135370">
      <w:pPr>
        <w:pStyle w:val="SingleTxtG"/>
        <w:ind w:left="3119" w:hanging="1985"/>
        <w:rPr>
          <w:lang w:val="fr-FR"/>
        </w:rPr>
      </w:pPr>
      <w:r>
        <w:rPr>
          <w:lang w:val="fr-FR"/>
        </w:rPr>
        <w:t>RAS de Hong Kong</w:t>
      </w:r>
      <w:r>
        <w:rPr>
          <w:lang w:val="fr-FR"/>
        </w:rPr>
        <w:tab/>
        <w:t>Région administrative spéciale de Hong Kong de la République populaire de Chine</w:t>
      </w:r>
    </w:p>
    <w:p w:rsidR="0024529D" w:rsidRPr="00AB1F22" w:rsidRDefault="0024529D" w:rsidP="00135370">
      <w:pPr>
        <w:pStyle w:val="HChG"/>
        <w:rPr>
          <w:lang w:val="fr-FR"/>
        </w:rPr>
      </w:pPr>
      <w:r w:rsidRPr="00AB1F22">
        <w:rPr>
          <w:lang w:val="fr-FR"/>
        </w:rPr>
        <w:br w:type="page"/>
      </w:r>
      <w:r w:rsidRPr="00AB1F22">
        <w:rPr>
          <w:lang w:val="fr-FR"/>
        </w:rPr>
        <w:tab/>
      </w:r>
      <w:r w:rsidRPr="00AB1F22">
        <w:rPr>
          <w:lang w:val="fr-FR"/>
        </w:rPr>
        <w:tab/>
        <w:t xml:space="preserve">Préambule </w:t>
      </w:r>
      <w:bookmarkStart w:id="3" w:name="_Toc31721392"/>
      <w:bookmarkEnd w:id="3"/>
    </w:p>
    <w:p w:rsidR="0024529D" w:rsidRPr="00AB1F22" w:rsidRDefault="0024529D" w:rsidP="00135370">
      <w:pPr>
        <w:pStyle w:val="SingleTxtG"/>
        <w:rPr>
          <w:lang w:val="fr-FR"/>
        </w:rPr>
      </w:pPr>
      <w:r w:rsidRPr="00AB1F22">
        <w:rPr>
          <w:lang w:val="fr-FR"/>
        </w:rPr>
        <w:t>1.</w:t>
      </w:r>
      <w:r w:rsidRPr="00AB1F22">
        <w:rPr>
          <w:lang w:val="fr-FR"/>
        </w:rPr>
        <w:tab/>
        <w:t xml:space="preserve">Le présent rapport est le quatrième rapport soumis par la Région </w:t>
      </w:r>
      <w:r>
        <w:rPr>
          <w:lang w:val="fr-FR"/>
        </w:rPr>
        <w:t>administrative spéciale de Hong </w:t>
      </w:r>
      <w:r w:rsidRPr="00AB1F22">
        <w:rPr>
          <w:lang w:val="fr-FR"/>
        </w:rPr>
        <w:t xml:space="preserve">Kong de la République </w:t>
      </w:r>
      <w:r>
        <w:rPr>
          <w:lang w:val="fr-FR"/>
        </w:rPr>
        <w:t>populaire de Chine (RAS de Hong </w:t>
      </w:r>
      <w:r w:rsidRPr="00AB1F22">
        <w:rPr>
          <w:lang w:val="fr-FR"/>
        </w:rPr>
        <w:t>Kong) sur la mise en œuvre du Pacte international relatif aux droits civils et politiques (le Pacte). Il informe le Comité des droits de l</w:t>
      </w:r>
      <w:r w:rsidR="004F1DFB">
        <w:rPr>
          <w:lang w:val="fr-FR"/>
        </w:rPr>
        <w:t>’</w:t>
      </w:r>
      <w:r w:rsidRPr="00AB1F22">
        <w:rPr>
          <w:lang w:val="fr-FR"/>
        </w:rPr>
        <w:t>homme (le Comité) sur les faits nouveaux intervenus depuis la présentation du troi</w:t>
      </w:r>
      <w:r>
        <w:rPr>
          <w:lang w:val="fr-FR"/>
        </w:rPr>
        <w:t>sième rapport de la RAS de Hong </w:t>
      </w:r>
      <w:r w:rsidRPr="00AB1F22">
        <w:rPr>
          <w:lang w:val="fr-FR"/>
        </w:rPr>
        <w:t>Kong (</w:t>
      </w:r>
      <w:r>
        <w:rPr>
          <w:lang w:val="fr-FR"/>
        </w:rPr>
        <w:t xml:space="preserve">le </w:t>
      </w:r>
      <w:r w:rsidRPr="00AB1F22">
        <w:rPr>
          <w:lang w:val="fr-FR"/>
        </w:rPr>
        <w:t>rapport précédent) en mai 2011, et répond aux observations finales que le Comité a adoptées en mars 2013 après exam</w:t>
      </w:r>
      <w:r>
        <w:rPr>
          <w:lang w:val="fr-FR"/>
        </w:rPr>
        <w:t>en</w:t>
      </w:r>
      <w:r w:rsidRPr="00AB1F22">
        <w:rPr>
          <w:lang w:val="fr-FR"/>
        </w:rPr>
        <w:t xml:space="preserve"> au début du même mois </w:t>
      </w:r>
      <w:r>
        <w:rPr>
          <w:lang w:val="fr-FR"/>
        </w:rPr>
        <w:t>du</w:t>
      </w:r>
      <w:r w:rsidRPr="00AB1F22">
        <w:rPr>
          <w:lang w:val="fr-FR"/>
        </w:rPr>
        <w:t xml:space="preserve"> rapport précédent</w:t>
      </w:r>
      <w:r>
        <w:rPr>
          <w:lang w:val="fr-FR"/>
        </w:rPr>
        <w:t xml:space="preserve"> </w:t>
      </w:r>
      <w:r w:rsidRPr="00AB1F22">
        <w:rPr>
          <w:lang w:val="fr-FR"/>
        </w:rPr>
        <w:t>(</w:t>
      </w:r>
      <w:r>
        <w:rPr>
          <w:lang w:val="fr-FR"/>
        </w:rPr>
        <w:t xml:space="preserve">les </w:t>
      </w:r>
      <w:r w:rsidRPr="00AB1F22">
        <w:rPr>
          <w:lang w:val="fr-FR"/>
        </w:rPr>
        <w:t xml:space="preserve">précédentes observations finales), et au rapport </w:t>
      </w:r>
      <w:r>
        <w:rPr>
          <w:lang w:val="fr-FR"/>
        </w:rPr>
        <w:t>que le Comité</w:t>
      </w:r>
      <w:r w:rsidRPr="00AB1F22">
        <w:rPr>
          <w:lang w:val="fr-FR"/>
        </w:rPr>
        <w:t xml:space="preserve"> a publié en novembre 2017 sur la suite donnée à ses observations finales. </w:t>
      </w:r>
    </w:p>
    <w:p w:rsidR="0024529D" w:rsidRPr="00AB1F22" w:rsidRDefault="0024529D" w:rsidP="0024529D">
      <w:pPr>
        <w:pStyle w:val="SingleTxtG"/>
        <w:rPr>
          <w:lang w:val="fr-FR"/>
        </w:rPr>
      </w:pPr>
      <w:r w:rsidRPr="00AB1F22">
        <w:rPr>
          <w:lang w:val="fr-FR"/>
        </w:rPr>
        <w:t>2.</w:t>
      </w:r>
      <w:r w:rsidRPr="00AB1F22">
        <w:rPr>
          <w:lang w:val="fr-FR"/>
        </w:rPr>
        <w:tab/>
        <w:t>Afin d</w:t>
      </w:r>
      <w:r w:rsidR="004F1DFB">
        <w:rPr>
          <w:lang w:val="fr-FR"/>
        </w:rPr>
        <w:t>’</w:t>
      </w:r>
      <w:r w:rsidRPr="00AB1F22">
        <w:rPr>
          <w:lang w:val="fr-FR"/>
        </w:rPr>
        <w:t>élaborer le présent rapport et conformément à la pratique établie, le</w:t>
      </w:r>
      <w:r>
        <w:rPr>
          <w:lang w:val="fr-FR"/>
        </w:rPr>
        <w:t xml:space="preserve"> Gouvernement de la RAS de Hong </w:t>
      </w:r>
      <w:r w:rsidRPr="00AB1F22">
        <w:rPr>
          <w:lang w:val="fr-FR"/>
        </w:rPr>
        <w:t>Kong a invité la population à se prononcer, entre le 1</w:t>
      </w:r>
      <w:r w:rsidRPr="00AB1F22">
        <w:rPr>
          <w:vertAlign w:val="superscript"/>
          <w:lang w:val="fr-FR"/>
        </w:rPr>
        <w:t>er</w:t>
      </w:r>
      <w:r w:rsidRPr="00AB1F22">
        <w:rPr>
          <w:lang w:val="fr-FR"/>
        </w:rPr>
        <w:t> décembre 2017 et le 12 janvier 2018, sur la mise en œuvre du Pacte par le Gouvernement en ce qui concerne les principaux sujets traités dans le rapport</w:t>
      </w:r>
      <w:r>
        <w:rPr>
          <w:lang w:val="fr-FR"/>
        </w:rPr>
        <w:t>,</w:t>
      </w:r>
      <w:r w:rsidRPr="00AB1F22">
        <w:rPr>
          <w:lang w:val="fr-FR"/>
        </w:rPr>
        <w:t xml:space="preserve"> et à proposer d</w:t>
      </w:r>
      <w:r w:rsidR="004F1DFB">
        <w:rPr>
          <w:lang w:val="fr-FR"/>
        </w:rPr>
        <w:t>’</w:t>
      </w:r>
      <w:r w:rsidRPr="00AB1F22">
        <w:rPr>
          <w:lang w:val="fr-FR"/>
        </w:rPr>
        <w:t xml:space="preserve">autres sujets à faire figurer dans le rapport. </w:t>
      </w:r>
    </w:p>
    <w:p w:rsidR="0024529D" w:rsidRPr="00AB1F22" w:rsidRDefault="0024529D" w:rsidP="0024529D">
      <w:pPr>
        <w:pStyle w:val="SingleTxtG"/>
        <w:rPr>
          <w:lang w:val="fr-FR"/>
        </w:rPr>
      </w:pPr>
      <w:r w:rsidRPr="00AB1F22">
        <w:rPr>
          <w:lang w:val="fr-FR"/>
        </w:rPr>
        <w:t>3.</w:t>
      </w:r>
      <w:r w:rsidRPr="00AB1F22">
        <w:rPr>
          <w:lang w:val="fr-FR"/>
        </w:rPr>
        <w:tab/>
        <w:t>Les grandes lignes ont été examinées pendant une session du Comité des affaires constitutionnelles du Conseil législatif, à laquelle des représentants d</w:t>
      </w:r>
      <w:r w:rsidR="004F1DFB">
        <w:rPr>
          <w:lang w:val="fr-FR"/>
        </w:rPr>
        <w:t>’</w:t>
      </w:r>
      <w:r w:rsidRPr="00AB1F22">
        <w:rPr>
          <w:lang w:val="fr-FR"/>
        </w:rPr>
        <w:t xml:space="preserve">organisations non gouvernementales </w:t>
      </w:r>
      <w:r>
        <w:rPr>
          <w:lang w:val="fr-FR"/>
        </w:rPr>
        <w:t>intéress</w:t>
      </w:r>
      <w:r w:rsidRPr="00AB1F22">
        <w:rPr>
          <w:lang w:val="fr-FR"/>
        </w:rPr>
        <w:t xml:space="preserve">ées </w:t>
      </w:r>
      <w:r>
        <w:rPr>
          <w:lang w:val="fr-FR"/>
        </w:rPr>
        <w:t>avaie</w:t>
      </w:r>
      <w:r w:rsidRPr="00AB1F22">
        <w:rPr>
          <w:lang w:val="fr-FR"/>
        </w:rPr>
        <w:t>nt été invités. Les avis ainsi reçus ont été soigneusement pris en considération d</w:t>
      </w:r>
      <w:r>
        <w:rPr>
          <w:lang w:val="fr-FR"/>
        </w:rPr>
        <w:t>ans l</w:t>
      </w:r>
      <w:r w:rsidR="004F1DFB">
        <w:rPr>
          <w:lang w:val="fr-FR"/>
        </w:rPr>
        <w:t>’</w:t>
      </w:r>
      <w:r w:rsidRPr="00AB1F22">
        <w:rPr>
          <w:lang w:val="fr-FR"/>
        </w:rPr>
        <w:t>élabor</w:t>
      </w:r>
      <w:r>
        <w:rPr>
          <w:lang w:val="fr-FR"/>
        </w:rPr>
        <w:t>ation du</w:t>
      </w:r>
      <w:r w:rsidRPr="00AB1F22">
        <w:rPr>
          <w:lang w:val="fr-FR"/>
        </w:rPr>
        <w:t xml:space="preserve"> présent rapport. Les questions soulevées par les commentateurs et, le cas échéant, les réponses apportées par le Gouvernement ont été incorporées dans les sections pertinentes du présent rapport. </w:t>
      </w:r>
    </w:p>
    <w:p w:rsidR="0024529D" w:rsidRPr="00AB1F22" w:rsidRDefault="0024529D" w:rsidP="0024529D">
      <w:pPr>
        <w:pStyle w:val="H1G"/>
        <w:rPr>
          <w:lang w:val="fr-FR"/>
        </w:rPr>
      </w:pPr>
      <w:r w:rsidRPr="00AB1F22">
        <w:rPr>
          <w:lang w:val="fr-FR"/>
        </w:rPr>
        <w:tab/>
      </w:r>
      <w:r w:rsidRPr="00AB1F22">
        <w:rPr>
          <w:lang w:val="fr-FR"/>
        </w:rPr>
        <w:tab/>
      </w:r>
      <w:r>
        <w:rPr>
          <w:bCs/>
          <w:lang w:val="fr-FR"/>
        </w:rPr>
        <w:t>Article premier</w:t>
      </w:r>
      <w:r>
        <w:rPr>
          <w:bCs/>
          <w:lang w:val="fr-FR"/>
        </w:rPr>
        <w:br/>
      </w:r>
      <w:r w:rsidRPr="00AB1F22">
        <w:rPr>
          <w:bCs/>
          <w:lang w:val="fr-FR"/>
        </w:rPr>
        <w:t xml:space="preserve">Mise en œuvre du principe </w:t>
      </w:r>
      <w:r>
        <w:rPr>
          <w:bCs/>
          <w:lang w:val="fr-FR"/>
        </w:rPr>
        <w:t>« </w:t>
      </w:r>
      <w:r w:rsidRPr="00AB1F22">
        <w:rPr>
          <w:bCs/>
          <w:lang w:val="fr-FR"/>
        </w:rPr>
        <w:t>un pays, deux systèmes</w:t>
      </w:r>
      <w:r>
        <w:rPr>
          <w:bCs/>
          <w:lang w:val="fr-FR"/>
        </w:rPr>
        <w:t> »</w:t>
      </w:r>
      <w:bookmarkStart w:id="4" w:name="_Toc31721393"/>
      <w:bookmarkEnd w:id="4"/>
    </w:p>
    <w:p w:rsidR="0024529D" w:rsidRPr="00AB1F22" w:rsidRDefault="0024529D" w:rsidP="0024529D">
      <w:pPr>
        <w:pStyle w:val="SingleTxtG"/>
        <w:rPr>
          <w:lang w:val="fr-FR"/>
        </w:rPr>
      </w:pPr>
      <w:r w:rsidRPr="00AB1F22">
        <w:rPr>
          <w:lang w:val="fr-FR"/>
        </w:rPr>
        <w:t>4.</w:t>
      </w:r>
      <w:r>
        <w:rPr>
          <w:lang w:val="fr-FR"/>
        </w:rPr>
        <w:tab/>
        <w:t>La RAS de Hong </w:t>
      </w:r>
      <w:r w:rsidRPr="00AB1F22">
        <w:rPr>
          <w:lang w:val="fr-FR"/>
        </w:rPr>
        <w:t xml:space="preserve">Kong a été établie selon le principe </w:t>
      </w:r>
      <w:r>
        <w:rPr>
          <w:lang w:val="fr-FR"/>
        </w:rPr>
        <w:t>« </w:t>
      </w:r>
      <w:r w:rsidRPr="00AB1F22">
        <w:rPr>
          <w:lang w:val="fr-FR"/>
        </w:rPr>
        <w:t>un pays, deux systèmes</w:t>
      </w:r>
      <w:r>
        <w:rPr>
          <w:lang w:val="fr-FR"/>
        </w:rPr>
        <w:t> »</w:t>
      </w:r>
      <w:r w:rsidRPr="00AB1F22">
        <w:rPr>
          <w:lang w:val="fr-FR"/>
        </w:rPr>
        <w:t>. Comme le prévoient les articles 1 et 2 de la Loi fondamentale, la RAS de Hong</w:t>
      </w:r>
      <w:r>
        <w:rPr>
          <w:lang w:val="fr-FR"/>
        </w:rPr>
        <w:t> </w:t>
      </w:r>
      <w:r w:rsidRPr="00AB1F22">
        <w:rPr>
          <w:lang w:val="fr-FR"/>
        </w:rPr>
        <w:t xml:space="preserve">Kong est une partie inaliénable de la République populaire de Chine et jouit de pouvoirs exécutif, législatif et judiciaire indépendants, et notamment de la prérogative de statuer en dernier ressort. </w:t>
      </w:r>
    </w:p>
    <w:p w:rsidR="0024529D" w:rsidRPr="00AB1F22" w:rsidRDefault="0024529D" w:rsidP="0024529D">
      <w:pPr>
        <w:pStyle w:val="SingleTxtG"/>
        <w:rPr>
          <w:lang w:val="fr-FR"/>
        </w:rPr>
      </w:pPr>
      <w:r w:rsidRPr="00AB1F22">
        <w:rPr>
          <w:lang w:val="fr-FR"/>
        </w:rPr>
        <w:t>5.</w:t>
      </w:r>
      <w:r w:rsidRPr="00AB1F22">
        <w:rPr>
          <w:lang w:val="fr-FR"/>
        </w:rPr>
        <w:tab/>
        <w:t>Depui</w:t>
      </w:r>
      <w:r>
        <w:rPr>
          <w:lang w:val="fr-FR"/>
        </w:rPr>
        <w:t>s la création de la RAS de Hong </w:t>
      </w:r>
      <w:r w:rsidRPr="00AB1F22">
        <w:rPr>
          <w:lang w:val="fr-FR"/>
        </w:rPr>
        <w:t>Kong, les autorités centrales ont toujours défendu le haut degré d</w:t>
      </w:r>
      <w:r w:rsidR="004F1DFB">
        <w:rPr>
          <w:lang w:val="fr-FR"/>
        </w:rPr>
        <w:t>’</w:t>
      </w:r>
      <w:r w:rsidRPr="00AB1F22">
        <w:rPr>
          <w:lang w:val="fr-FR"/>
        </w:rPr>
        <w:t>autonomie de Hong Kong, encouragé le Gouvernement à agir conformément à la loi et respecté l</w:t>
      </w:r>
      <w:r w:rsidR="004F1DFB">
        <w:rPr>
          <w:lang w:val="fr-FR"/>
        </w:rPr>
        <w:t>’</w:t>
      </w:r>
      <w:r w:rsidRPr="00AB1F22">
        <w:rPr>
          <w:lang w:val="fr-FR"/>
        </w:rPr>
        <w:t xml:space="preserve">indépendance judiciaire de Hong Kong conformément au principe </w:t>
      </w:r>
      <w:r>
        <w:rPr>
          <w:lang w:val="fr-FR"/>
        </w:rPr>
        <w:t>« </w:t>
      </w:r>
      <w:r w:rsidRPr="00AB1F22">
        <w:rPr>
          <w:lang w:val="fr-FR"/>
        </w:rPr>
        <w:t>un pays, deux systèmes</w:t>
      </w:r>
      <w:r>
        <w:rPr>
          <w:lang w:val="fr-FR"/>
        </w:rPr>
        <w:t> »</w:t>
      </w:r>
      <w:r w:rsidRPr="00AB1F22">
        <w:rPr>
          <w:lang w:val="fr-FR"/>
        </w:rPr>
        <w:t xml:space="preserve"> et à la Loi fondamentale. L</w:t>
      </w:r>
      <w:r w:rsidR="004F1DFB">
        <w:rPr>
          <w:lang w:val="fr-FR"/>
        </w:rPr>
        <w:t>’</w:t>
      </w:r>
      <w:r w:rsidRPr="00AB1F22">
        <w:rPr>
          <w:lang w:val="fr-FR"/>
        </w:rPr>
        <w:t>indépendance du pouvoir judiciaire est garantie par la Loi fondamentale. Les tribunaux de la RAS de Hong</w:t>
      </w:r>
      <w:r>
        <w:rPr>
          <w:lang w:val="fr-FR"/>
        </w:rPr>
        <w:t> </w:t>
      </w:r>
      <w:r w:rsidRPr="00AB1F22">
        <w:rPr>
          <w:lang w:val="fr-FR"/>
        </w:rPr>
        <w:t>Kong exercent le pouvoir judiciaire en toute indépendance et à l</w:t>
      </w:r>
      <w:r w:rsidR="004F1DFB">
        <w:rPr>
          <w:lang w:val="fr-FR"/>
        </w:rPr>
        <w:t>’</w:t>
      </w:r>
      <w:r w:rsidRPr="00AB1F22">
        <w:rPr>
          <w:lang w:val="fr-FR"/>
        </w:rPr>
        <w:t>abri de toute ingérence. Le Gouvernement ne ménage aucun effort pour préserver l</w:t>
      </w:r>
      <w:r w:rsidR="004F1DFB">
        <w:rPr>
          <w:lang w:val="fr-FR"/>
        </w:rPr>
        <w:t>’</w:t>
      </w:r>
      <w:r w:rsidRPr="00AB1F22">
        <w:rPr>
          <w:lang w:val="fr-FR"/>
        </w:rPr>
        <w:t xml:space="preserve">état de droit et la liberté, qui sont les deux valeurs fondamentales de Hong Kong. </w:t>
      </w:r>
    </w:p>
    <w:p w:rsidR="0024529D" w:rsidRPr="00AB1F22" w:rsidRDefault="0024529D" w:rsidP="0024529D">
      <w:pPr>
        <w:pStyle w:val="SingleTxtG"/>
        <w:rPr>
          <w:lang w:val="fr-FR"/>
        </w:rPr>
      </w:pPr>
      <w:r w:rsidRPr="00AB1F22">
        <w:rPr>
          <w:lang w:val="fr-FR"/>
        </w:rPr>
        <w:t>6.</w:t>
      </w:r>
      <w:r w:rsidRPr="00AB1F22">
        <w:rPr>
          <w:lang w:val="fr-FR"/>
        </w:rPr>
        <w:tab/>
        <w:t>Les pouvoirs exécutif, législatif et judiciaire de la RAS de Hong</w:t>
      </w:r>
      <w:r>
        <w:rPr>
          <w:lang w:val="fr-FR"/>
        </w:rPr>
        <w:t> </w:t>
      </w:r>
      <w:r w:rsidRPr="00AB1F22">
        <w:rPr>
          <w:lang w:val="fr-FR"/>
        </w:rPr>
        <w:t>Kong continueront à s</w:t>
      </w:r>
      <w:r w:rsidR="004F1DFB">
        <w:rPr>
          <w:lang w:val="fr-FR"/>
        </w:rPr>
        <w:t>’</w:t>
      </w:r>
      <w:r w:rsidRPr="00AB1F22">
        <w:rPr>
          <w:lang w:val="fr-FR"/>
        </w:rPr>
        <w:t xml:space="preserve">acquitter de leurs missions respectives conformément à la Loi fondamentale. </w:t>
      </w:r>
    </w:p>
    <w:p w:rsidR="0024529D" w:rsidRPr="00AB1F22" w:rsidRDefault="0024529D" w:rsidP="0024529D">
      <w:pPr>
        <w:pStyle w:val="SingleTxtG"/>
        <w:rPr>
          <w:lang w:val="fr-FR"/>
        </w:rPr>
      </w:pPr>
      <w:r w:rsidRPr="00AB1F22">
        <w:rPr>
          <w:lang w:val="fr-FR"/>
        </w:rPr>
        <w:t>7.</w:t>
      </w:r>
      <w:r w:rsidRPr="00AB1F22">
        <w:rPr>
          <w:lang w:val="fr-FR"/>
        </w:rPr>
        <w:tab/>
        <w:t>Les progrès et le développement de la démocratie dans la RAS de Hong</w:t>
      </w:r>
      <w:r>
        <w:rPr>
          <w:lang w:val="fr-FR"/>
        </w:rPr>
        <w:t> </w:t>
      </w:r>
      <w:r w:rsidRPr="00AB1F22">
        <w:rPr>
          <w:lang w:val="fr-FR"/>
        </w:rPr>
        <w:t>Kong sont traités dans la partie du présent rapport consacrée à l</w:t>
      </w:r>
      <w:r w:rsidR="004F1DFB">
        <w:rPr>
          <w:lang w:val="fr-FR"/>
        </w:rPr>
        <w:t>’</w:t>
      </w:r>
      <w:r w:rsidRPr="00AB1F22">
        <w:rPr>
          <w:lang w:val="fr-FR"/>
        </w:rPr>
        <w:t>article 25</w:t>
      </w:r>
      <w:r>
        <w:rPr>
          <w:lang w:val="fr-FR"/>
        </w:rPr>
        <w:t xml:space="preserve"> du Pacte</w:t>
      </w:r>
      <w:r w:rsidRPr="00AB1F22">
        <w:rPr>
          <w:lang w:val="fr-FR"/>
        </w:rPr>
        <w:t xml:space="preserve">. </w:t>
      </w:r>
    </w:p>
    <w:p w:rsidR="0024529D" w:rsidRPr="00AB1F22" w:rsidRDefault="0024529D" w:rsidP="00135370">
      <w:pPr>
        <w:pStyle w:val="H1G"/>
        <w:rPr>
          <w:lang w:val="fr-FR"/>
        </w:rPr>
      </w:pPr>
      <w:r w:rsidRPr="00AB1F22">
        <w:rPr>
          <w:lang w:val="fr-FR"/>
        </w:rPr>
        <w:tab/>
      </w:r>
      <w:r w:rsidRPr="00AB1F22">
        <w:rPr>
          <w:lang w:val="fr-FR"/>
        </w:rPr>
        <w:tab/>
      </w:r>
      <w:r>
        <w:rPr>
          <w:lang w:val="fr-FR"/>
        </w:rPr>
        <w:t>Article 2</w:t>
      </w:r>
      <w:r>
        <w:rPr>
          <w:lang w:val="fr-FR"/>
        </w:rPr>
        <w:br/>
      </w:r>
      <w:r w:rsidRPr="00AB1F22">
        <w:rPr>
          <w:lang w:val="fr-FR"/>
        </w:rPr>
        <w:t xml:space="preserve">Garantir à tous les individus les droits reconnus dans le Pacte </w:t>
      </w:r>
      <w:bookmarkStart w:id="5" w:name="_Toc31721394"/>
      <w:bookmarkEnd w:id="5"/>
    </w:p>
    <w:p w:rsidR="0024529D" w:rsidRPr="00AB1F22" w:rsidRDefault="0024529D" w:rsidP="00135370">
      <w:pPr>
        <w:pStyle w:val="H23G"/>
        <w:rPr>
          <w:lang w:val="fr-FR"/>
        </w:rPr>
      </w:pPr>
      <w:r w:rsidRPr="00AB1F22">
        <w:rPr>
          <w:lang w:val="fr-FR"/>
        </w:rPr>
        <w:tab/>
      </w:r>
      <w:r w:rsidRPr="00AB1F22">
        <w:rPr>
          <w:lang w:val="fr-FR"/>
        </w:rPr>
        <w:tab/>
        <w:t>Institution des droits de l</w:t>
      </w:r>
      <w:r w:rsidR="004F1DFB">
        <w:rPr>
          <w:lang w:val="fr-FR"/>
        </w:rPr>
        <w:t>’</w:t>
      </w:r>
      <w:r w:rsidRPr="00AB1F22">
        <w:rPr>
          <w:lang w:val="fr-FR"/>
        </w:rPr>
        <w:t xml:space="preserve">homme </w:t>
      </w:r>
      <w:bookmarkStart w:id="6" w:name="_Toc31721395"/>
      <w:bookmarkEnd w:id="6"/>
    </w:p>
    <w:p w:rsidR="0024529D" w:rsidRPr="00AB1F22" w:rsidRDefault="0024529D" w:rsidP="0024529D">
      <w:pPr>
        <w:pStyle w:val="SingleTxtG"/>
        <w:rPr>
          <w:lang w:val="fr-FR"/>
        </w:rPr>
      </w:pPr>
      <w:r w:rsidRPr="00AB1F22">
        <w:rPr>
          <w:lang w:val="fr-FR"/>
        </w:rPr>
        <w:t>8.</w:t>
      </w:r>
      <w:r w:rsidRPr="00AB1F22">
        <w:rPr>
          <w:lang w:val="fr-FR"/>
        </w:rPr>
        <w:tab/>
        <w:t>Au paragraphe</w:t>
      </w:r>
      <w:r>
        <w:rPr>
          <w:lang w:val="fr-FR"/>
        </w:rPr>
        <w:t> </w:t>
      </w:r>
      <w:r w:rsidRPr="00AB1F22">
        <w:rPr>
          <w:lang w:val="fr-FR"/>
        </w:rPr>
        <w:t>7 des précédentes observations finales, le Comité a recommandé de renforcer le mandat et l</w:t>
      </w:r>
      <w:r w:rsidR="004F1DFB">
        <w:rPr>
          <w:lang w:val="fr-FR"/>
        </w:rPr>
        <w:t>’</w:t>
      </w:r>
      <w:r w:rsidRPr="00AB1F22">
        <w:rPr>
          <w:lang w:val="fr-FR"/>
        </w:rPr>
        <w:t xml:space="preserve">indépendance des institutions existantes </w:t>
      </w:r>
      <w:r>
        <w:rPr>
          <w:lang w:val="fr-FR"/>
        </w:rPr>
        <w:t>(</w:t>
      </w:r>
      <w:r w:rsidRPr="00AB1F22">
        <w:rPr>
          <w:lang w:val="fr-FR"/>
        </w:rPr>
        <w:t>notamment le Bureau de l</w:t>
      </w:r>
      <w:r w:rsidR="004F1DFB">
        <w:rPr>
          <w:lang w:val="fr-FR"/>
        </w:rPr>
        <w:t>’</w:t>
      </w:r>
      <w:r w:rsidRPr="00AB1F22">
        <w:rPr>
          <w:lang w:val="fr-FR"/>
        </w:rPr>
        <w:t>Ombudsman et la Commission de l</w:t>
      </w:r>
      <w:r w:rsidR="004F1DFB">
        <w:rPr>
          <w:lang w:val="fr-FR"/>
        </w:rPr>
        <w:t>’</w:t>
      </w:r>
      <w:r w:rsidRPr="00AB1F22">
        <w:rPr>
          <w:lang w:val="fr-FR"/>
        </w:rPr>
        <w:t>égalité des chances</w:t>
      </w:r>
      <w:r>
        <w:rPr>
          <w:lang w:val="fr-FR"/>
        </w:rPr>
        <w:t>)</w:t>
      </w:r>
      <w:r w:rsidRPr="00AB1F22">
        <w:rPr>
          <w:lang w:val="fr-FR"/>
        </w:rPr>
        <w:t>, et a renouvelé sa recommandation précédente tendant à la création d</w:t>
      </w:r>
      <w:r w:rsidR="004F1DFB">
        <w:rPr>
          <w:lang w:val="fr-FR"/>
        </w:rPr>
        <w:t>’</w:t>
      </w:r>
      <w:r w:rsidRPr="00AB1F22">
        <w:rPr>
          <w:lang w:val="fr-FR"/>
        </w:rPr>
        <w:t>une institution des droits de l</w:t>
      </w:r>
      <w:r w:rsidR="004F1DFB">
        <w:rPr>
          <w:lang w:val="fr-FR"/>
        </w:rPr>
        <w:t>’</w:t>
      </w:r>
      <w:r w:rsidRPr="00AB1F22">
        <w:rPr>
          <w:lang w:val="fr-FR"/>
        </w:rPr>
        <w:t xml:space="preserve">homme indépendante, reprise par certains commentateurs locaux. </w:t>
      </w:r>
    </w:p>
    <w:p w:rsidR="0024529D" w:rsidRPr="00AB1F22" w:rsidRDefault="0024529D" w:rsidP="0024529D">
      <w:pPr>
        <w:pStyle w:val="SingleTxtG"/>
        <w:rPr>
          <w:lang w:val="fr-FR"/>
        </w:rPr>
      </w:pPr>
      <w:r w:rsidRPr="00AB1F22">
        <w:rPr>
          <w:lang w:val="fr-FR"/>
        </w:rPr>
        <w:t>9.</w:t>
      </w:r>
      <w:r w:rsidRPr="00AB1F22">
        <w:rPr>
          <w:lang w:val="fr-FR"/>
        </w:rPr>
        <w:tab/>
        <w:t>À Hong</w:t>
      </w:r>
      <w:r>
        <w:rPr>
          <w:lang w:val="fr-FR"/>
        </w:rPr>
        <w:t> </w:t>
      </w:r>
      <w:r w:rsidRPr="00AB1F22">
        <w:rPr>
          <w:lang w:val="fr-FR"/>
        </w:rPr>
        <w:t>Kong, les droits de l</w:t>
      </w:r>
      <w:r w:rsidR="004F1DFB">
        <w:rPr>
          <w:lang w:val="fr-FR"/>
        </w:rPr>
        <w:t>’</w:t>
      </w:r>
      <w:r w:rsidRPr="00AB1F22">
        <w:rPr>
          <w:lang w:val="fr-FR"/>
        </w:rPr>
        <w:t>homme sont pleinement protégés par la loi. Des garanties juridiques sont prévues dans la Loi fondamentale, l</w:t>
      </w:r>
      <w:r w:rsidR="004F1DFB">
        <w:rPr>
          <w:lang w:val="fr-FR"/>
        </w:rPr>
        <w:t>’</w:t>
      </w:r>
      <w:r w:rsidRPr="00AB1F22">
        <w:rPr>
          <w:lang w:val="fr-FR"/>
        </w:rPr>
        <w:t>ordonnance portant Charte des droits de Hong Kong (chap. 383) et d</w:t>
      </w:r>
      <w:r w:rsidR="004F1DFB">
        <w:rPr>
          <w:lang w:val="fr-FR"/>
        </w:rPr>
        <w:t>’</w:t>
      </w:r>
      <w:r w:rsidRPr="00AB1F22">
        <w:rPr>
          <w:lang w:val="fr-FR"/>
        </w:rPr>
        <w:t>autres ordonnances pertinentes. Ils sont renforcés par l</w:t>
      </w:r>
      <w:r w:rsidR="004F1DFB">
        <w:rPr>
          <w:lang w:val="fr-FR"/>
        </w:rPr>
        <w:t>’</w:t>
      </w:r>
      <w:r w:rsidRPr="00AB1F22">
        <w:rPr>
          <w:lang w:val="fr-FR"/>
        </w:rPr>
        <w:t>état de droit et un pouvoir judiciaire indépendant. Parmi les institutions en place à Hong</w:t>
      </w:r>
      <w:r>
        <w:rPr>
          <w:lang w:val="fr-FR"/>
        </w:rPr>
        <w:t> </w:t>
      </w:r>
      <w:r w:rsidRPr="00AB1F22">
        <w:rPr>
          <w:lang w:val="fr-FR"/>
        </w:rPr>
        <w:t>Kong figure un certain nombre d</w:t>
      </w:r>
      <w:r w:rsidR="004F1DFB">
        <w:rPr>
          <w:lang w:val="fr-FR"/>
        </w:rPr>
        <w:t>’</w:t>
      </w:r>
      <w:r w:rsidRPr="00AB1F22">
        <w:rPr>
          <w:lang w:val="fr-FR"/>
        </w:rPr>
        <w:t>organisations qui contribuent à promouvoir et à garantir différents droits. Il s</w:t>
      </w:r>
      <w:r w:rsidR="004F1DFB">
        <w:rPr>
          <w:lang w:val="fr-FR"/>
        </w:rPr>
        <w:t>’</w:t>
      </w:r>
      <w:r w:rsidRPr="00AB1F22">
        <w:rPr>
          <w:lang w:val="fr-FR"/>
        </w:rPr>
        <w:t>agit notamment de la Commission de l</w:t>
      </w:r>
      <w:r w:rsidR="004F1DFB">
        <w:rPr>
          <w:lang w:val="fr-FR"/>
        </w:rPr>
        <w:t>’</w:t>
      </w:r>
      <w:r w:rsidRPr="00AB1F22">
        <w:rPr>
          <w:lang w:val="fr-FR"/>
        </w:rPr>
        <w:t>égalité des chances, du bureau du Commissaire à la protection des données personnelles, de l</w:t>
      </w:r>
      <w:r w:rsidR="004F1DFB">
        <w:rPr>
          <w:lang w:val="fr-FR"/>
        </w:rPr>
        <w:t>’</w:t>
      </w:r>
      <w:r w:rsidRPr="00AB1F22">
        <w:rPr>
          <w:lang w:val="fr-FR"/>
        </w:rPr>
        <w:t>Ombudsman et des services d</w:t>
      </w:r>
      <w:r w:rsidR="004F1DFB">
        <w:rPr>
          <w:lang w:val="fr-FR"/>
        </w:rPr>
        <w:t>’</w:t>
      </w:r>
      <w:r w:rsidRPr="00AB1F22">
        <w:rPr>
          <w:lang w:val="fr-FR"/>
        </w:rPr>
        <w:t>aide juridictionnelle. Au fil des ans, le Gouvernement a continué à renforcer le mandat de ces organisations, comme le précise l</w:t>
      </w:r>
      <w:r w:rsidR="004F1DFB">
        <w:rPr>
          <w:lang w:val="fr-FR"/>
        </w:rPr>
        <w:t>’</w:t>
      </w:r>
      <w:r w:rsidRPr="00AB1F22">
        <w:rPr>
          <w:lang w:val="fr-FR"/>
        </w:rPr>
        <w:t>annexe 2A. Le mécanisme existant de protection des droits de l</w:t>
      </w:r>
      <w:r w:rsidR="004F1DFB">
        <w:rPr>
          <w:lang w:val="fr-FR"/>
        </w:rPr>
        <w:t>’</w:t>
      </w:r>
      <w:r w:rsidRPr="00AB1F22">
        <w:rPr>
          <w:lang w:val="fr-FR"/>
        </w:rPr>
        <w:t>homme est satisfaisant et il n</w:t>
      </w:r>
      <w:r w:rsidR="004F1DFB">
        <w:rPr>
          <w:lang w:val="fr-FR"/>
        </w:rPr>
        <w:t>’</w:t>
      </w:r>
      <w:r w:rsidRPr="00AB1F22">
        <w:rPr>
          <w:lang w:val="fr-FR"/>
        </w:rPr>
        <w:t>est pas nécessaire de créer une autre institution des droits de l</w:t>
      </w:r>
      <w:r w:rsidR="004F1DFB">
        <w:rPr>
          <w:lang w:val="fr-FR"/>
        </w:rPr>
        <w:t>’</w:t>
      </w:r>
      <w:r w:rsidRPr="00AB1F22">
        <w:rPr>
          <w:lang w:val="fr-FR"/>
        </w:rPr>
        <w:t xml:space="preserve">homme qui ferait double emploi avec le mécanisme en place ou qui le remplacerait.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Conseil indépendant des réclamations contre la police</w:t>
      </w:r>
      <w:r w:rsidRPr="00AB1F22">
        <w:rPr>
          <w:lang w:val="fr-FR"/>
        </w:rPr>
        <w:t xml:space="preserve"> </w:t>
      </w:r>
      <w:bookmarkStart w:id="7" w:name="_Toc31721396"/>
      <w:bookmarkEnd w:id="7"/>
    </w:p>
    <w:p w:rsidR="0024529D" w:rsidRPr="00AB1F22" w:rsidRDefault="0024529D" w:rsidP="0024529D">
      <w:pPr>
        <w:pStyle w:val="SingleTxtG"/>
        <w:rPr>
          <w:lang w:val="fr-FR"/>
        </w:rPr>
      </w:pPr>
      <w:r w:rsidRPr="00AB1F22">
        <w:rPr>
          <w:lang w:val="fr-FR"/>
        </w:rPr>
        <w:t>10.</w:t>
      </w:r>
      <w:r w:rsidRPr="00AB1F22">
        <w:rPr>
          <w:lang w:val="fr-FR"/>
        </w:rPr>
        <w:tab/>
        <w:t>Selon le système à deux niveaux actuellement en vigueur pour le traitement des réclamations contre la police, le Bureau des réclamations contre la police est chargé de recevoir et de soumettre à enquête les réclamations déposées par le public contre d</w:t>
      </w:r>
      <w:r>
        <w:rPr>
          <w:lang w:val="fr-FR"/>
        </w:rPr>
        <w:t>es membres de la police de Hong </w:t>
      </w:r>
      <w:r w:rsidRPr="00AB1F22">
        <w:rPr>
          <w:lang w:val="fr-FR"/>
        </w:rPr>
        <w:t>Kong. Le Bureau fonctionne indépendamment des autres composantes des forces de police afin d</w:t>
      </w:r>
      <w:r w:rsidR="004F1DFB">
        <w:rPr>
          <w:lang w:val="fr-FR"/>
        </w:rPr>
        <w:t>’</w:t>
      </w:r>
      <w:r w:rsidRPr="00AB1F22">
        <w:rPr>
          <w:lang w:val="fr-FR"/>
        </w:rPr>
        <w:t>assurer l</w:t>
      </w:r>
      <w:r w:rsidR="004F1DFB">
        <w:rPr>
          <w:lang w:val="fr-FR"/>
        </w:rPr>
        <w:t>’</w:t>
      </w:r>
      <w:r w:rsidRPr="00AB1F22">
        <w:rPr>
          <w:lang w:val="fr-FR"/>
        </w:rPr>
        <w:t>impartialité du traitement des réclamations. Le Conseil indépendant des réclamations contre la police est un organe indépendant créé par la loi dans le but précis de surveiller et d</w:t>
      </w:r>
      <w:r w:rsidR="004F1DFB">
        <w:rPr>
          <w:lang w:val="fr-FR"/>
        </w:rPr>
        <w:t>’</w:t>
      </w:r>
      <w:r w:rsidRPr="00AB1F22">
        <w:rPr>
          <w:lang w:val="fr-FR"/>
        </w:rPr>
        <w:t>examiner la manière dont le Bureau des réclamations traite les réclamations et mène les enquêtes s</w:t>
      </w:r>
      <w:r w:rsidR="004F1DFB">
        <w:rPr>
          <w:lang w:val="fr-FR"/>
        </w:rPr>
        <w:t>’</w:t>
      </w:r>
      <w:r w:rsidRPr="00AB1F22">
        <w:rPr>
          <w:lang w:val="fr-FR"/>
        </w:rPr>
        <w:t>y rapportant. Nommés par le Chef de l</w:t>
      </w:r>
      <w:r w:rsidR="004F1DFB">
        <w:rPr>
          <w:lang w:val="fr-FR"/>
        </w:rPr>
        <w:t>’</w:t>
      </w:r>
      <w:r w:rsidRPr="00AB1F22">
        <w:rPr>
          <w:lang w:val="fr-FR"/>
        </w:rPr>
        <w:t>exécutif, les membres du Conseil indépendant sont des civils qui représentent l</w:t>
      </w:r>
      <w:r w:rsidR="004F1DFB">
        <w:rPr>
          <w:lang w:val="fr-FR"/>
        </w:rPr>
        <w:t>’</w:t>
      </w:r>
      <w:r w:rsidRPr="00AB1F22">
        <w:rPr>
          <w:lang w:val="fr-FR"/>
        </w:rPr>
        <w:t>ensemble de la communauté</w:t>
      </w:r>
      <w:r>
        <w:rPr>
          <w:lang w:val="fr-FR"/>
        </w:rPr>
        <w:t>,</w:t>
      </w:r>
      <w:r w:rsidRPr="00AB1F22">
        <w:rPr>
          <w:lang w:val="fr-FR"/>
        </w:rPr>
        <w:t xml:space="preserve"> et les fonctionnaires (y compris un membre de la police) ne peuvent pas y être nommés. Des informations complémentaires sur le système de traitement des réclamations contre la police figurent au paragraphe 57 du document de base commun de la RAS de Hong</w:t>
      </w:r>
      <w:r>
        <w:rPr>
          <w:lang w:val="fr-FR"/>
        </w:rPr>
        <w:t> </w:t>
      </w:r>
      <w:r w:rsidRPr="00AB1F22">
        <w:rPr>
          <w:lang w:val="fr-FR"/>
        </w:rPr>
        <w:t xml:space="preserve">Kong. </w:t>
      </w:r>
    </w:p>
    <w:p w:rsidR="0024529D" w:rsidRPr="00AB1F22" w:rsidRDefault="0024529D" w:rsidP="0024529D">
      <w:pPr>
        <w:pStyle w:val="SingleTxtG"/>
        <w:rPr>
          <w:lang w:val="fr-FR"/>
        </w:rPr>
      </w:pPr>
      <w:r w:rsidRPr="00AB1F22">
        <w:rPr>
          <w:lang w:val="fr-FR"/>
        </w:rPr>
        <w:t>11.</w:t>
      </w:r>
      <w:r w:rsidRPr="00AB1F22">
        <w:rPr>
          <w:lang w:val="fr-FR"/>
        </w:rPr>
        <w:tab/>
        <w:t>En substance, le Bureau des réclamations soumet un rapport d</w:t>
      </w:r>
      <w:r w:rsidR="004F1DFB">
        <w:rPr>
          <w:lang w:val="fr-FR"/>
        </w:rPr>
        <w:t>’</w:t>
      </w:r>
      <w:r w:rsidRPr="00AB1F22">
        <w:rPr>
          <w:lang w:val="fr-FR"/>
        </w:rPr>
        <w:t>enquête détaillé sur chaque réclamation à signaler au Conseil indépendant des réclamations contre la police et doit tenir compte des questions et suggestions dudit Conseil concernant le rapport. Lorsque les membres du Conseil indépendant ont des doutes sur l</w:t>
      </w:r>
      <w:r w:rsidR="004F1DFB">
        <w:rPr>
          <w:lang w:val="fr-FR"/>
        </w:rPr>
        <w:t>’</w:t>
      </w:r>
      <w:r w:rsidRPr="00AB1F22">
        <w:rPr>
          <w:lang w:val="fr-FR"/>
        </w:rPr>
        <w:t>enquête relative à une réclamation en particulier, ils peuvent solliciter les plaignants, les défendeurs et toute autre personne en mesure de communiquer des informations ou d</w:t>
      </w:r>
      <w:r w:rsidR="004F1DFB">
        <w:rPr>
          <w:lang w:val="fr-FR"/>
        </w:rPr>
        <w:t>’</w:t>
      </w:r>
      <w:r w:rsidRPr="00AB1F22">
        <w:rPr>
          <w:lang w:val="fr-FR"/>
        </w:rPr>
        <w:t>apporter une aide et les inviter à assister aux interrogatoires. Si le Conseil indépendant n</w:t>
      </w:r>
      <w:r w:rsidR="004F1DFB">
        <w:rPr>
          <w:lang w:val="fr-FR"/>
        </w:rPr>
        <w:t>’</w:t>
      </w:r>
      <w:r w:rsidRPr="00AB1F22">
        <w:rPr>
          <w:lang w:val="fr-FR"/>
        </w:rPr>
        <w:t>est pas satisfait du résultat d</w:t>
      </w:r>
      <w:r w:rsidR="004F1DFB">
        <w:rPr>
          <w:lang w:val="fr-FR"/>
        </w:rPr>
        <w:t>’</w:t>
      </w:r>
      <w:r w:rsidRPr="00AB1F22">
        <w:rPr>
          <w:lang w:val="fr-FR"/>
        </w:rPr>
        <w:t>une enquête menée par le Bureau des réclamations, il peut lui demander de dissiper ses doutes ou de reprendre l</w:t>
      </w:r>
      <w:r w:rsidR="004F1DFB">
        <w:rPr>
          <w:lang w:val="fr-FR"/>
        </w:rPr>
        <w:t>’</w:t>
      </w:r>
      <w:r w:rsidRPr="00AB1F22">
        <w:rPr>
          <w:lang w:val="fr-FR"/>
        </w:rPr>
        <w:t>enquête. Il peut également porter l</w:t>
      </w:r>
      <w:r w:rsidR="004F1DFB">
        <w:rPr>
          <w:lang w:val="fr-FR"/>
        </w:rPr>
        <w:t>’</w:t>
      </w:r>
      <w:r w:rsidRPr="00AB1F22">
        <w:rPr>
          <w:lang w:val="fr-FR"/>
        </w:rPr>
        <w:t>affaire à l</w:t>
      </w:r>
      <w:r w:rsidR="004F1DFB">
        <w:rPr>
          <w:lang w:val="fr-FR"/>
        </w:rPr>
        <w:t>’</w:t>
      </w:r>
      <w:r w:rsidRPr="00AB1F22">
        <w:rPr>
          <w:lang w:val="fr-FR"/>
        </w:rPr>
        <w:t>attention du Chef de l</w:t>
      </w:r>
      <w:r w:rsidR="004F1DFB">
        <w:rPr>
          <w:lang w:val="fr-FR"/>
        </w:rPr>
        <w:t>’</w:t>
      </w:r>
      <w:r w:rsidRPr="00AB1F22">
        <w:rPr>
          <w:lang w:val="fr-FR"/>
        </w:rPr>
        <w:t>exécutif. En 2016-2017, le Conseil indépendant a reçu des rapports d</w:t>
      </w:r>
      <w:r w:rsidR="004F1DFB">
        <w:rPr>
          <w:lang w:val="fr-FR"/>
        </w:rPr>
        <w:t>’</w:t>
      </w:r>
      <w:r w:rsidRPr="00AB1F22">
        <w:rPr>
          <w:lang w:val="fr-FR"/>
        </w:rPr>
        <w:t>enquête concernant 1 567 nouvelles affaires et a approuvé les résultats des enquêtes menées dans 1 550 affaires portant sur 2 807 allégations. Le Conseil indépendant contrôle également les enquêtes du Bureau des réclamations grâce à un programme d</w:t>
      </w:r>
      <w:r w:rsidR="004F1DFB">
        <w:rPr>
          <w:lang w:val="fr-FR"/>
        </w:rPr>
        <w:t>’</w:t>
      </w:r>
      <w:r w:rsidRPr="00AB1F22">
        <w:rPr>
          <w:lang w:val="fr-FR"/>
        </w:rPr>
        <w:t>observateurs du Conseil indépendant dans le cadre duquel des membres du Conseil indépendant et une large sélection d</w:t>
      </w:r>
      <w:r w:rsidR="004F1DFB">
        <w:rPr>
          <w:lang w:val="fr-FR"/>
        </w:rPr>
        <w:t>’</w:t>
      </w:r>
      <w:r w:rsidRPr="00AB1F22">
        <w:rPr>
          <w:lang w:val="fr-FR"/>
        </w:rPr>
        <w:t>observateurs peuvent, de façon programmée ou à l</w:t>
      </w:r>
      <w:r w:rsidR="004F1DFB">
        <w:rPr>
          <w:lang w:val="fr-FR"/>
        </w:rPr>
        <w:t>’</w:t>
      </w:r>
      <w:r w:rsidRPr="00AB1F22">
        <w:rPr>
          <w:lang w:val="fr-FR"/>
        </w:rPr>
        <w:t>improviste, contrôler des interrogatoires ou la collecte de preuves réalisés par la police dans le cadre des enquêtes afin de s</w:t>
      </w:r>
      <w:r w:rsidR="004F1DFB">
        <w:rPr>
          <w:lang w:val="fr-FR"/>
        </w:rPr>
        <w:t>’</w:t>
      </w:r>
      <w:r w:rsidRPr="00AB1F22">
        <w:rPr>
          <w:lang w:val="fr-FR"/>
        </w:rPr>
        <w:t>assurer que ces processus sont menés en toute équité et impartialité. En 2016-2017, les observateurs du Conseil indépendant ont mené 1 817 observations ; ils ont contrôlé 1 570 interrogatoir</w:t>
      </w:r>
      <w:r>
        <w:rPr>
          <w:lang w:val="fr-FR"/>
        </w:rPr>
        <w:t xml:space="preserve">es et assisté à la collecte de </w:t>
      </w:r>
      <w:r w:rsidRPr="00AB1F22">
        <w:rPr>
          <w:lang w:val="fr-FR"/>
        </w:rPr>
        <w:t>preuves dans 247 cas. Au cours des trois dernières années, le Conseil indépendant a également adressé plus de 40 recommandations à la police tendant à l</w:t>
      </w:r>
      <w:r w:rsidR="004F1DFB">
        <w:rPr>
          <w:lang w:val="fr-FR"/>
        </w:rPr>
        <w:t>’</w:t>
      </w:r>
      <w:r w:rsidRPr="00AB1F22">
        <w:rPr>
          <w:lang w:val="fr-FR"/>
        </w:rPr>
        <w:t xml:space="preserve">amélioration, entre autres, de la procédure de prise en charge des personnes souffrant de maladie mentale. </w:t>
      </w:r>
    </w:p>
    <w:p w:rsidR="0024529D" w:rsidRPr="00AB1F22" w:rsidRDefault="0024529D" w:rsidP="0024529D">
      <w:pPr>
        <w:pStyle w:val="SingleTxtG"/>
        <w:rPr>
          <w:lang w:val="fr-FR"/>
        </w:rPr>
      </w:pPr>
      <w:r w:rsidRPr="00AB1F22">
        <w:rPr>
          <w:lang w:val="fr-FR"/>
        </w:rPr>
        <w:t>12.</w:t>
      </w:r>
      <w:r w:rsidRPr="00AB1F22">
        <w:rPr>
          <w:lang w:val="fr-FR"/>
        </w:rPr>
        <w:tab/>
        <w:t>Le cadre légal prévu par l</w:t>
      </w:r>
      <w:r w:rsidR="004F1DFB">
        <w:rPr>
          <w:lang w:val="fr-FR"/>
        </w:rPr>
        <w:t>’</w:t>
      </w:r>
      <w:r w:rsidRPr="00AB1F22">
        <w:rPr>
          <w:lang w:val="fr-FR"/>
        </w:rPr>
        <w:t xml:space="preserve">ordonnance relative au Conseil indépendant des réclamations contre la police (chap. 604), tel que décrit ci-dessus, améliore la transparence du système de traitement des réclamations contre la police et renforce le rôle de contrôleur indépendant du Conseil.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Éducation aux droits de l</w:t>
      </w:r>
      <w:r w:rsidR="004F1DFB">
        <w:rPr>
          <w:bCs/>
          <w:lang w:val="fr-FR"/>
        </w:rPr>
        <w:t>’</w:t>
      </w:r>
      <w:r w:rsidRPr="00AB1F22">
        <w:rPr>
          <w:bCs/>
          <w:lang w:val="fr-FR"/>
        </w:rPr>
        <w:t>homme</w:t>
      </w:r>
      <w:r w:rsidRPr="00AB1F22">
        <w:rPr>
          <w:lang w:val="fr-FR"/>
        </w:rPr>
        <w:t xml:space="preserve"> </w:t>
      </w:r>
      <w:bookmarkStart w:id="8" w:name="_Toc31721397"/>
      <w:bookmarkEnd w:id="8"/>
    </w:p>
    <w:p w:rsidR="0024529D" w:rsidRPr="00AB1F22" w:rsidRDefault="0024529D" w:rsidP="0024529D">
      <w:pPr>
        <w:pStyle w:val="SingleTxtG"/>
        <w:rPr>
          <w:lang w:val="fr-FR"/>
        </w:rPr>
      </w:pPr>
      <w:r w:rsidRPr="00AB1F22">
        <w:rPr>
          <w:lang w:val="fr-FR"/>
        </w:rPr>
        <w:t>13.</w:t>
      </w:r>
      <w:r w:rsidRPr="00AB1F22">
        <w:rPr>
          <w:lang w:val="fr-FR"/>
        </w:rPr>
        <w:tab/>
        <w:t>Le cadre actualisé de la promotion des droits de l</w:t>
      </w:r>
      <w:r w:rsidR="004F1DFB">
        <w:rPr>
          <w:lang w:val="fr-FR"/>
        </w:rPr>
        <w:t>’</w:t>
      </w:r>
      <w:r w:rsidRPr="00AB1F22">
        <w:rPr>
          <w:lang w:val="fr-FR"/>
        </w:rPr>
        <w:t>homme est défini aux paragraphes</w:t>
      </w:r>
      <w:r>
        <w:rPr>
          <w:lang w:val="fr-FR"/>
        </w:rPr>
        <w:t> </w:t>
      </w:r>
      <w:r w:rsidRPr="00AB1F22">
        <w:rPr>
          <w:lang w:val="fr-FR"/>
        </w:rPr>
        <w:t xml:space="preserve">61 à 85 du document de base commun </w:t>
      </w:r>
      <w:r>
        <w:rPr>
          <w:lang w:val="fr-FR"/>
        </w:rPr>
        <w:t>de la RAS de Hong </w:t>
      </w:r>
      <w:r w:rsidRPr="00AB1F22">
        <w:rPr>
          <w:lang w:val="fr-FR"/>
        </w:rPr>
        <w:t>Kong. Des</w:t>
      </w:r>
      <w:r w:rsidR="00135370">
        <w:rPr>
          <w:lang w:val="fr-FR"/>
        </w:rPr>
        <w:t> </w:t>
      </w:r>
      <w:r w:rsidRPr="00AB1F22">
        <w:rPr>
          <w:lang w:val="fr-FR"/>
        </w:rPr>
        <w:t>informations détaillées sur l</w:t>
      </w:r>
      <w:r w:rsidR="004F1DFB">
        <w:rPr>
          <w:lang w:val="fr-FR"/>
        </w:rPr>
        <w:t>’</w:t>
      </w:r>
      <w:r w:rsidRPr="00AB1F22">
        <w:rPr>
          <w:lang w:val="fr-FR"/>
        </w:rPr>
        <w:t>éducation aux droits de l</w:t>
      </w:r>
      <w:r w:rsidR="004F1DFB">
        <w:rPr>
          <w:lang w:val="fr-FR"/>
        </w:rPr>
        <w:t>’</w:t>
      </w:r>
      <w:r w:rsidRPr="00AB1F22">
        <w:rPr>
          <w:lang w:val="fr-FR"/>
        </w:rPr>
        <w:t>homme dans les écoles et sur l</w:t>
      </w:r>
      <w:r w:rsidR="004F1DFB">
        <w:rPr>
          <w:lang w:val="fr-FR"/>
        </w:rPr>
        <w:t>’</w:t>
      </w:r>
      <w:r w:rsidRPr="00AB1F22">
        <w:rPr>
          <w:lang w:val="fr-FR"/>
        </w:rPr>
        <w:t>éducation aux droits de l</w:t>
      </w:r>
      <w:r w:rsidR="004F1DFB">
        <w:rPr>
          <w:lang w:val="fr-FR"/>
        </w:rPr>
        <w:t>’</w:t>
      </w:r>
      <w:r w:rsidRPr="00AB1F22">
        <w:rPr>
          <w:lang w:val="fr-FR"/>
        </w:rPr>
        <w:t>homme pour les fonctionnaires et les conseillers du Département de la justice figurent à l</w:t>
      </w:r>
      <w:r w:rsidR="004F1DFB">
        <w:rPr>
          <w:lang w:val="fr-FR"/>
        </w:rPr>
        <w:t>’</w:t>
      </w:r>
      <w:r w:rsidRPr="00AB1F22">
        <w:rPr>
          <w:lang w:val="fr-FR"/>
        </w:rPr>
        <w:t>annexe</w:t>
      </w:r>
      <w:r>
        <w:rPr>
          <w:lang w:val="fr-FR"/>
        </w:rPr>
        <w:t> </w:t>
      </w:r>
      <w:r w:rsidRPr="00AB1F22">
        <w:rPr>
          <w:lang w:val="fr-FR"/>
        </w:rPr>
        <w:t xml:space="preserve">2B. </w:t>
      </w:r>
    </w:p>
    <w:p w:rsidR="0024529D" w:rsidRPr="00AB1F22" w:rsidRDefault="0024529D" w:rsidP="0024529D">
      <w:pPr>
        <w:pStyle w:val="H1G"/>
        <w:rPr>
          <w:lang w:val="fr-FR"/>
        </w:rPr>
      </w:pPr>
      <w:r w:rsidRPr="00AB1F22">
        <w:rPr>
          <w:lang w:val="fr-FR"/>
        </w:rPr>
        <w:tab/>
      </w:r>
      <w:r w:rsidRPr="00AB1F22">
        <w:rPr>
          <w:lang w:val="fr-FR"/>
        </w:rPr>
        <w:tab/>
      </w:r>
      <w:r>
        <w:rPr>
          <w:bCs/>
          <w:lang w:val="fr-FR"/>
        </w:rPr>
        <w:t>Article 3</w:t>
      </w:r>
      <w:r>
        <w:rPr>
          <w:bCs/>
          <w:lang w:val="fr-FR"/>
        </w:rPr>
        <w:br/>
      </w:r>
      <w:r w:rsidRPr="00AB1F22">
        <w:rPr>
          <w:bCs/>
          <w:lang w:val="fr-FR"/>
        </w:rPr>
        <w:t>Égalité des droits des hommes et des femmes</w:t>
      </w:r>
      <w:r w:rsidRPr="00AB1F22">
        <w:rPr>
          <w:lang w:val="fr-FR"/>
        </w:rPr>
        <w:t xml:space="preserve"> </w:t>
      </w:r>
      <w:bookmarkStart w:id="9" w:name="_Toc31721398"/>
      <w:bookmarkEnd w:id="9"/>
    </w:p>
    <w:p w:rsidR="0024529D" w:rsidRPr="00AB1F22" w:rsidRDefault="0024529D" w:rsidP="0024529D">
      <w:pPr>
        <w:pStyle w:val="SingleTxtG"/>
        <w:rPr>
          <w:lang w:val="fr-FR"/>
        </w:rPr>
      </w:pPr>
      <w:r w:rsidRPr="00AB1F22">
        <w:rPr>
          <w:lang w:val="fr-FR"/>
        </w:rPr>
        <w:t>14.</w:t>
      </w:r>
      <w:r w:rsidRPr="00AB1F22">
        <w:rPr>
          <w:lang w:val="fr-FR"/>
        </w:rPr>
        <w:tab/>
        <w:t xml:space="preserve">La Loi fondamentale </w:t>
      </w:r>
      <w:r>
        <w:rPr>
          <w:lang w:val="fr-FR"/>
        </w:rPr>
        <w:t>et la Charte des droits de Hong </w:t>
      </w:r>
      <w:r w:rsidRPr="00AB1F22">
        <w:rPr>
          <w:lang w:val="fr-FR"/>
        </w:rPr>
        <w:t>Kong garantissent aux résiden</w:t>
      </w:r>
      <w:r>
        <w:rPr>
          <w:lang w:val="fr-FR"/>
        </w:rPr>
        <w:t>ts permanents de la RAS de Hong </w:t>
      </w:r>
      <w:r w:rsidRPr="00AB1F22">
        <w:rPr>
          <w:lang w:val="fr-FR"/>
        </w:rPr>
        <w:t>Kong le droit de vote et le droit de se porter candidats aux élections conformément à la loi, sans distinction de sexe. Nous avons renforcé la sensibilisation pour encourager les femmes à s</w:t>
      </w:r>
      <w:r w:rsidR="004F1DFB">
        <w:rPr>
          <w:lang w:val="fr-FR"/>
        </w:rPr>
        <w:t>’</w:t>
      </w:r>
      <w:r w:rsidRPr="00AB1F22">
        <w:rPr>
          <w:lang w:val="fr-FR"/>
        </w:rPr>
        <w:t>inscrire sur les listes électorales et à se porter candidates aux élections rurales ordinaires qui se sont tenues en 2011 et 2015. Outre les programmes de sensibilisation sous la forme de messages d</w:t>
      </w:r>
      <w:r w:rsidR="004F1DFB">
        <w:rPr>
          <w:lang w:val="fr-FR"/>
        </w:rPr>
        <w:t>’</w:t>
      </w:r>
      <w:r w:rsidRPr="00AB1F22">
        <w:rPr>
          <w:lang w:val="fr-FR"/>
        </w:rPr>
        <w:t>intérêt public radiodiffusés et télévisés et la publicité diffusée, entre autres, dans les journaux et sur des sites Web, des lettres ont été envoyées au Heung Yee Kuk, aux comités ruraux et aux organisations de femmes des communautés rurales pour encourager la participation des femmes aux élections rurales. Le pourcentage de femmes inscrites sur les listes électorales est passé de 47,3</w:t>
      </w:r>
      <w:r>
        <w:rPr>
          <w:lang w:val="fr-FR"/>
        </w:rPr>
        <w:t> </w:t>
      </w:r>
      <w:r w:rsidRPr="00AB1F22">
        <w:rPr>
          <w:lang w:val="fr-FR"/>
        </w:rPr>
        <w:t>% en 2011 à 47,66</w:t>
      </w:r>
      <w:r>
        <w:rPr>
          <w:lang w:val="fr-FR"/>
        </w:rPr>
        <w:t> </w:t>
      </w:r>
      <w:r w:rsidRPr="00AB1F22">
        <w:rPr>
          <w:lang w:val="fr-FR"/>
        </w:rPr>
        <w:t>% en 2015. Le pourcentage de femmes candidates a également augmenté et est passé de 2,23</w:t>
      </w:r>
      <w:r>
        <w:rPr>
          <w:lang w:val="fr-FR"/>
        </w:rPr>
        <w:t> </w:t>
      </w:r>
      <w:r w:rsidRPr="00AB1F22">
        <w:rPr>
          <w:lang w:val="fr-FR"/>
        </w:rPr>
        <w:t>% en 2011 à 3,75</w:t>
      </w:r>
      <w:r>
        <w:rPr>
          <w:lang w:val="fr-FR"/>
        </w:rPr>
        <w:t> </w:t>
      </w:r>
      <w:r w:rsidRPr="00AB1F22">
        <w:rPr>
          <w:lang w:val="fr-FR"/>
        </w:rPr>
        <w:t>% en 2015. Le nombre de représentantes rurales élues est passé de 30 en 2011 à 49 en 2015, soit une augmentation de</w:t>
      </w:r>
      <w:r w:rsidR="00B917A0">
        <w:rPr>
          <w:lang w:val="fr-FR"/>
        </w:rPr>
        <w:t> </w:t>
      </w:r>
      <w:r w:rsidRPr="00AB1F22">
        <w:rPr>
          <w:lang w:val="fr-FR"/>
        </w:rPr>
        <w:t>63</w:t>
      </w:r>
      <w:r>
        <w:rPr>
          <w:lang w:val="fr-FR"/>
        </w:rPr>
        <w:t> %.</w:t>
      </w:r>
    </w:p>
    <w:p w:rsidR="0024529D" w:rsidRPr="00AB1F22" w:rsidRDefault="0024529D" w:rsidP="0024529D">
      <w:pPr>
        <w:pStyle w:val="SingleTxtG"/>
        <w:rPr>
          <w:lang w:val="fr-FR"/>
        </w:rPr>
      </w:pPr>
      <w:r w:rsidRPr="00AB1F22">
        <w:rPr>
          <w:lang w:val="fr-FR"/>
        </w:rPr>
        <w:t>15.</w:t>
      </w:r>
      <w:r w:rsidRPr="00AB1F22">
        <w:rPr>
          <w:lang w:val="fr-FR"/>
        </w:rPr>
        <w:tab/>
        <w:t>Au paragraphe 18 de ses précédentes observations finales, le Comité s</w:t>
      </w:r>
      <w:r w:rsidR="004F1DFB">
        <w:rPr>
          <w:lang w:val="fr-FR"/>
        </w:rPr>
        <w:t>’</w:t>
      </w:r>
      <w:r w:rsidRPr="00AB1F22">
        <w:rPr>
          <w:lang w:val="fr-FR"/>
        </w:rPr>
        <w:t xml:space="preserve">est dit préoccupé par la violence intrafamiliale </w:t>
      </w:r>
      <w:r>
        <w:rPr>
          <w:lang w:val="fr-FR"/>
        </w:rPr>
        <w:t>à Hong </w:t>
      </w:r>
      <w:r w:rsidRPr="00AB1F22">
        <w:rPr>
          <w:lang w:val="fr-FR"/>
        </w:rPr>
        <w:t>Kong, notamment à l</w:t>
      </w:r>
      <w:r w:rsidR="004F1DFB">
        <w:rPr>
          <w:lang w:val="fr-FR"/>
        </w:rPr>
        <w:t>’</w:t>
      </w:r>
      <w:r w:rsidRPr="00AB1F22">
        <w:rPr>
          <w:lang w:val="fr-FR"/>
        </w:rPr>
        <w:t>égard des femmes et des filles handicapées. Les mesures prises par le Gouvernement pour lutter contre la violence intrafamiliale sont détaillées aux paragraphes</w:t>
      </w:r>
      <w:r>
        <w:rPr>
          <w:lang w:val="fr-FR"/>
        </w:rPr>
        <w:t> </w:t>
      </w:r>
      <w:r w:rsidRPr="00AB1F22">
        <w:rPr>
          <w:lang w:val="fr-FR"/>
        </w:rPr>
        <w:t>155 et 156 du présent rapport relatifs à l</w:t>
      </w:r>
      <w:r w:rsidR="004F1DFB">
        <w:rPr>
          <w:lang w:val="fr-FR"/>
        </w:rPr>
        <w:t>’</w:t>
      </w:r>
      <w:r w:rsidRPr="00AB1F22">
        <w:rPr>
          <w:lang w:val="fr-FR"/>
        </w:rPr>
        <w:t xml:space="preserve">article 24 du Pacte, et ces mesures protègent également les femmes et les filles handicapées.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Salaire égal pour un travail de valeur égale</w:t>
      </w:r>
      <w:r w:rsidRPr="00AB1F22">
        <w:rPr>
          <w:lang w:val="fr-FR"/>
        </w:rPr>
        <w:t xml:space="preserve"> </w:t>
      </w:r>
      <w:bookmarkStart w:id="10" w:name="_Toc31721399"/>
      <w:bookmarkEnd w:id="10"/>
    </w:p>
    <w:p w:rsidR="0024529D" w:rsidRPr="00AB1F22" w:rsidRDefault="0024529D" w:rsidP="0024529D">
      <w:pPr>
        <w:pStyle w:val="SingleTxtG"/>
        <w:rPr>
          <w:lang w:val="fr-FR"/>
        </w:rPr>
      </w:pPr>
      <w:r w:rsidRPr="00AB1F22">
        <w:rPr>
          <w:lang w:val="fr-FR"/>
        </w:rPr>
        <w:t>16.</w:t>
      </w:r>
      <w:r w:rsidRPr="00AB1F22">
        <w:rPr>
          <w:lang w:val="fr-FR"/>
        </w:rPr>
        <w:tab/>
        <w:t>Comme expliqué au paragraphe 72 du rapport précédent, la Commission de l</w:t>
      </w:r>
      <w:r w:rsidR="004F1DFB">
        <w:rPr>
          <w:lang w:val="fr-FR"/>
        </w:rPr>
        <w:t>’</w:t>
      </w:r>
      <w:r w:rsidRPr="00AB1F22">
        <w:rPr>
          <w:lang w:val="fr-FR"/>
        </w:rPr>
        <w:t>égalité des chances a continué à promouvoir la notion de salaire égal pour un travail de valeur égale au moyen de publications et de sessions de formation. Plus de précisions</w:t>
      </w:r>
      <w:r>
        <w:rPr>
          <w:lang w:val="fr-FR"/>
        </w:rPr>
        <w:t xml:space="preserve"> figurent à</w:t>
      </w:r>
      <w:r w:rsidRPr="00AB1F22">
        <w:rPr>
          <w:lang w:val="fr-FR"/>
        </w:rPr>
        <w:t xml:space="preserve"> l</w:t>
      </w:r>
      <w:r w:rsidR="004F1DFB">
        <w:rPr>
          <w:lang w:val="fr-FR"/>
        </w:rPr>
        <w:t>’</w:t>
      </w:r>
      <w:r w:rsidRPr="00AB1F22">
        <w:rPr>
          <w:lang w:val="fr-FR"/>
        </w:rPr>
        <w:t>annexe</w:t>
      </w:r>
      <w:r>
        <w:rPr>
          <w:lang w:val="fr-FR"/>
        </w:rPr>
        <w:t> </w:t>
      </w:r>
      <w:r w:rsidRPr="00AB1F22">
        <w:rPr>
          <w:lang w:val="fr-FR"/>
        </w:rPr>
        <w:t xml:space="preserve">3A. </w:t>
      </w:r>
    </w:p>
    <w:p w:rsidR="0024529D" w:rsidRPr="00AB1F22" w:rsidRDefault="0024529D" w:rsidP="0024529D">
      <w:pPr>
        <w:pStyle w:val="H23G"/>
        <w:rPr>
          <w:lang w:val="fr-FR"/>
        </w:rPr>
      </w:pPr>
      <w:r w:rsidRPr="00AB1F22">
        <w:rPr>
          <w:lang w:val="fr-FR"/>
        </w:rPr>
        <w:t xml:space="preserve"> </w:t>
      </w:r>
      <w:r w:rsidRPr="00AB1F22">
        <w:rPr>
          <w:lang w:val="fr-FR"/>
        </w:rPr>
        <w:tab/>
      </w:r>
      <w:r w:rsidRPr="00AB1F22">
        <w:rPr>
          <w:lang w:val="fr-FR"/>
        </w:rPr>
        <w:tab/>
      </w:r>
      <w:r w:rsidRPr="00AB1F22">
        <w:rPr>
          <w:bCs/>
          <w:lang w:val="fr-FR"/>
        </w:rPr>
        <w:t>Les femmes dans les organes consultatifs et officiels</w:t>
      </w:r>
      <w:r w:rsidRPr="00AB1F22">
        <w:rPr>
          <w:lang w:val="fr-FR"/>
        </w:rPr>
        <w:t xml:space="preserve"> </w:t>
      </w:r>
      <w:bookmarkStart w:id="11" w:name="_Toc31721400"/>
      <w:bookmarkEnd w:id="11"/>
    </w:p>
    <w:p w:rsidR="0024529D" w:rsidRPr="00AB1F22" w:rsidRDefault="0024529D" w:rsidP="0024529D">
      <w:pPr>
        <w:pStyle w:val="SingleTxtG"/>
        <w:rPr>
          <w:lang w:val="fr-FR"/>
        </w:rPr>
      </w:pPr>
      <w:r w:rsidRPr="00AB1F22">
        <w:rPr>
          <w:lang w:val="fr-FR"/>
        </w:rPr>
        <w:t>17.</w:t>
      </w:r>
      <w:r w:rsidRPr="00AB1F22">
        <w:rPr>
          <w:lang w:val="fr-FR"/>
        </w:rPr>
        <w:tab/>
        <w:t>En 2004, le Gouvernement s</w:t>
      </w:r>
      <w:r w:rsidR="004F1DFB">
        <w:rPr>
          <w:lang w:val="fr-FR"/>
        </w:rPr>
        <w:t>’</w:t>
      </w:r>
      <w:r w:rsidRPr="00AB1F22">
        <w:rPr>
          <w:lang w:val="fr-FR"/>
        </w:rPr>
        <w:t>est fixé comme premier objectif de travail de nommer 25 % de femmes dans les organes consultatifs et officiels. En 2010, il a porté ce chiffre à 30 %. Sur recommandation de la Commission de la femme, le Gouvernement a revu l</w:t>
      </w:r>
      <w:r w:rsidR="004F1DFB">
        <w:rPr>
          <w:lang w:val="fr-FR"/>
        </w:rPr>
        <w:t>’</w:t>
      </w:r>
      <w:r w:rsidRPr="00AB1F22">
        <w:rPr>
          <w:lang w:val="fr-FR"/>
        </w:rPr>
        <w:t>objectif à la hausse en le faisant passer de</w:t>
      </w:r>
      <w:r w:rsidR="00B917A0">
        <w:rPr>
          <w:lang w:val="fr-FR"/>
        </w:rPr>
        <w:t> </w:t>
      </w:r>
      <w:r w:rsidRPr="00AB1F22">
        <w:rPr>
          <w:lang w:val="fr-FR"/>
        </w:rPr>
        <w:t>30 à 35 % en avril 2015 pour renforcer la participation des femmes dans les organes consultatifs et officiels. En juin 2017, le taux de participation des femmes dans ces organes dont les membres civils dit</w:t>
      </w:r>
      <w:r>
        <w:rPr>
          <w:lang w:val="fr-FR"/>
        </w:rPr>
        <w:t>s</w:t>
      </w:r>
      <w:r w:rsidRPr="00AB1F22">
        <w:rPr>
          <w:lang w:val="fr-FR"/>
        </w:rPr>
        <w:t xml:space="preserve"> </w:t>
      </w:r>
      <w:r>
        <w:rPr>
          <w:lang w:val="fr-FR"/>
        </w:rPr>
        <w:t>« </w:t>
      </w:r>
      <w:r w:rsidRPr="00AB1F22">
        <w:rPr>
          <w:lang w:val="fr-FR"/>
        </w:rPr>
        <w:t>non officiels</w:t>
      </w:r>
      <w:r>
        <w:rPr>
          <w:lang w:val="fr-FR"/>
        </w:rPr>
        <w:t> »</w:t>
      </w:r>
      <w:r w:rsidRPr="00AB1F22">
        <w:rPr>
          <w:lang w:val="fr-FR"/>
        </w:rPr>
        <w:t xml:space="preserve"> sont nommés par le Gouvernement était de 31,8 %. Le Gouvernement suivra de près la situation et poursuivra ses efforts pour promouvoir la participation des femmes dans les organes consultatifs et officiels. Les organes consultatifs et officiels sont examinés plus en détail au paragraphe 185 ci</w:t>
      </w:r>
      <w:r>
        <w:rPr>
          <w:lang w:val="fr-FR"/>
        </w:rPr>
        <w:noBreakHyphen/>
      </w:r>
      <w:r w:rsidRPr="00AB1F22">
        <w:rPr>
          <w:lang w:val="fr-FR"/>
        </w:rPr>
        <w:t>dessous consacré à l</w:t>
      </w:r>
      <w:r w:rsidR="004F1DFB">
        <w:rPr>
          <w:lang w:val="fr-FR"/>
        </w:rPr>
        <w:t>’</w:t>
      </w:r>
      <w:r w:rsidRPr="00AB1F22">
        <w:rPr>
          <w:lang w:val="fr-FR"/>
        </w:rPr>
        <w:t xml:space="preserve">article 25 du Pacte.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Les femmes dans la fonction publique</w:t>
      </w:r>
      <w:r w:rsidRPr="00AB1F22">
        <w:rPr>
          <w:lang w:val="fr-FR"/>
        </w:rPr>
        <w:t xml:space="preserve"> </w:t>
      </w:r>
      <w:bookmarkStart w:id="12" w:name="_Toc31721401"/>
      <w:bookmarkEnd w:id="12"/>
    </w:p>
    <w:p w:rsidR="0024529D" w:rsidRPr="00AB1F22" w:rsidRDefault="0024529D" w:rsidP="0024529D">
      <w:pPr>
        <w:pStyle w:val="SingleTxtG"/>
        <w:rPr>
          <w:lang w:val="fr-FR"/>
        </w:rPr>
      </w:pPr>
      <w:r w:rsidRPr="00AB1F22">
        <w:rPr>
          <w:lang w:val="fr-FR"/>
        </w:rPr>
        <w:t>18.</w:t>
      </w:r>
      <w:r w:rsidRPr="00AB1F22">
        <w:rPr>
          <w:lang w:val="fr-FR"/>
        </w:rPr>
        <w:tab/>
        <w:t>Comme expliqué au paragraphe 74 du rapport précédent, le nombre de femmes occupant des postes de direction dans la fonction publique n</w:t>
      </w:r>
      <w:r w:rsidR="004F1DFB">
        <w:rPr>
          <w:lang w:val="fr-FR"/>
        </w:rPr>
        <w:t>’</w:t>
      </w:r>
      <w:r w:rsidRPr="00AB1F22">
        <w:rPr>
          <w:lang w:val="fr-FR"/>
        </w:rPr>
        <w:t>a cessé d</w:t>
      </w:r>
      <w:r w:rsidR="004F1DFB">
        <w:rPr>
          <w:lang w:val="fr-FR"/>
        </w:rPr>
        <w:t>’</w:t>
      </w:r>
      <w:r w:rsidRPr="00AB1F22">
        <w:rPr>
          <w:lang w:val="fr-FR"/>
        </w:rPr>
        <w:t>augmenter entre 1999 et 2009. Cette tendance s</w:t>
      </w:r>
      <w:r w:rsidR="004F1DFB">
        <w:rPr>
          <w:lang w:val="fr-FR"/>
        </w:rPr>
        <w:t>’</w:t>
      </w:r>
      <w:r w:rsidRPr="00AB1F22">
        <w:rPr>
          <w:lang w:val="fr-FR"/>
        </w:rPr>
        <w:t>est poursuivie. Ce nombre est passé de 316 (26,3</w:t>
      </w:r>
      <w:r>
        <w:rPr>
          <w:lang w:val="fr-FR"/>
        </w:rPr>
        <w:t> </w:t>
      </w:r>
      <w:r w:rsidRPr="00AB1F22">
        <w:rPr>
          <w:lang w:val="fr-FR"/>
        </w:rPr>
        <w:t>%) en 2004 à 396 (32,3</w:t>
      </w:r>
      <w:r>
        <w:rPr>
          <w:lang w:val="fr-FR"/>
        </w:rPr>
        <w:t> </w:t>
      </w:r>
      <w:r w:rsidRPr="00AB1F22">
        <w:rPr>
          <w:lang w:val="fr-FR"/>
        </w:rPr>
        <w:t>%) en 2009, puis à 454 (34,2</w:t>
      </w:r>
      <w:r>
        <w:rPr>
          <w:lang w:val="fr-FR"/>
        </w:rPr>
        <w:t> </w:t>
      </w:r>
      <w:r w:rsidRPr="00AB1F22">
        <w:rPr>
          <w:lang w:val="fr-FR"/>
        </w:rPr>
        <w:t>%) en 2014. En juin 2017, le nombre de femmes occupant des postes de direction s</w:t>
      </w:r>
      <w:r w:rsidR="004F1DFB">
        <w:rPr>
          <w:lang w:val="fr-FR"/>
        </w:rPr>
        <w:t>’</w:t>
      </w:r>
      <w:r>
        <w:rPr>
          <w:lang w:val="fr-FR"/>
        </w:rPr>
        <w:t>élevait à 475 (35,7 </w:t>
      </w:r>
      <w:r w:rsidRPr="00AB1F22">
        <w:rPr>
          <w:lang w:val="fr-FR"/>
        </w:rPr>
        <w:t>%), et le pourcentage de femmes fonctionnaires était de 37,4 %. Dans le cadre du cinquième mandat du Gouvernement de la RAS de Hong</w:t>
      </w:r>
      <w:r>
        <w:rPr>
          <w:lang w:val="fr-FR"/>
        </w:rPr>
        <w:t> </w:t>
      </w:r>
      <w:r w:rsidRPr="00AB1F22">
        <w:rPr>
          <w:lang w:val="fr-FR"/>
        </w:rPr>
        <w:t>Kong, ce sont des femmes qui occupent les postes de Chef de l</w:t>
      </w:r>
      <w:r w:rsidR="004F1DFB">
        <w:rPr>
          <w:lang w:val="fr-FR"/>
        </w:rPr>
        <w:t>’</w:t>
      </w:r>
      <w:r w:rsidRPr="00AB1F22">
        <w:rPr>
          <w:lang w:val="fr-FR"/>
        </w:rPr>
        <w:t>exécutif (qui est à la tête de la Région) et de Secrétaire à l</w:t>
      </w:r>
      <w:r w:rsidR="004F1DFB">
        <w:rPr>
          <w:lang w:val="fr-FR"/>
        </w:rPr>
        <w:t>’</w:t>
      </w:r>
      <w:r w:rsidRPr="00AB1F22">
        <w:rPr>
          <w:lang w:val="fr-FR"/>
        </w:rPr>
        <w:t>alimentation et à la santé. Fin 2017, la moitié des 18</w:t>
      </w:r>
      <w:r>
        <w:rPr>
          <w:lang w:val="fr-FR"/>
        </w:rPr>
        <w:t> </w:t>
      </w:r>
      <w:r w:rsidRPr="00AB1F22">
        <w:rPr>
          <w:lang w:val="fr-FR"/>
        </w:rPr>
        <w:t xml:space="preserve">postes les plus importants de la fonction publique (postes de secrétaire permanent classés au huitième rang du barème de rémunération des dirigeants) étaient occupés par des femmes. </w:t>
      </w:r>
    </w:p>
    <w:p w:rsidR="0024529D" w:rsidRPr="00AB1F22" w:rsidRDefault="0024529D" w:rsidP="0024529D">
      <w:pPr>
        <w:pStyle w:val="H23G"/>
        <w:rPr>
          <w:lang w:val="fr-FR"/>
        </w:rPr>
      </w:pPr>
      <w:r w:rsidRPr="00AB1F22">
        <w:rPr>
          <w:lang w:val="fr-FR"/>
        </w:rPr>
        <w:t xml:space="preserve"> </w:t>
      </w:r>
      <w:r w:rsidRPr="00AB1F22">
        <w:rPr>
          <w:lang w:val="fr-FR"/>
        </w:rPr>
        <w:tab/>
      </w:r>
      <w:r w:rsidRPr="00AB1F22">
        <w:rPr>
          <w:lang w:val="fr-FR"/>
        </w:rPr>
        <w:tab/>
      </w:r>
      <w:r w:rsidRPr="00AB1F22">
        <w:rPr>
          <w:bCs/>
          <w:lang w:val="fr-FR"/>
        </w:rPr>
        <w:t>Convention sur l</w:t>
      </w:r>
      <w:r w:rsidR="004F1DFB">
        <w:rPr>
          <w:bCs/>
          <w:lang w:val="fr-FR"/>
        </w:rPr>
        <w:t>’</w:t>
      </w:r>
      <w:r w:rsidRPr="00AB1F22">
        <w:rPr>
          <w:bCs/>
          <w:lang w:val="fr-FR"/>
        </w:rPr>
        <w:t xml:space="preserve">élimination de toutes les formes de discrimination </w:t>
      </w:r>
      <w:r w:rsidR="00B917A0">
        <w:rPr>
          <w:bCs/>
          <w:lang w:val="fr-FR"/>
        </w:rPr>
        <w:br/>
      </w:r>
      <w:r w:rsidRPr="00AB1F22">
        <w:rPr>
          <w:bCs/>
          <w:lang w:val="fr-FR"/>
        </w:rPr>
        <w:t>à l</w:t>
      </w:r>
      <w:r w:rsidR="004F1DFB">
        <w:rPr>
          <w:bCs/>
          <w:lang w:val="fr-FR"/>
        </w:rPr>
        <w:t>’</w:t>
      </w:r>
      <w:r w:rsidRPr="00AB1F22">
        <w:rPr>
          <w:bCs/>
          <w:lang w:val="fr-FR"/>
        </w:rPr>
        <w:t>égard des femmes</w:t>
      </w:r>
      <w:r w:rsidRPr="00AB1F22">
        <w:rPr>
          <w:lang w:val="fr-FR"/>
        </w:rPr>
        <w:t xml:space="preserve"> </w:t>
      </w:r>
      <w:bookmarkStart w:id="13" w:name="_Toc31721402"/>
      <w:bookmarkEnd w:id="13"/>
    </w:p>
    <w:p w:rsidR="0024529D" w:rsidRPr="00AB1F22" w:rsidRDefault="0024529D" w:rsidP="0024529D">
      <w:pPr>
        <w:pStyle w:val="SingleTxtG"/>
        <w:rPr>
          <w:lang w:val="fr-FR"/>
        </w:rPr>
      </w:pPr>
      <w:r w:rsidRPr="00AB1F22">
        <w:rPr>
          <w:lang w:val="fr-FR"/>
        </w:rPr>
        <w:t>19.</w:t>
      </w:r>
      <w:r w:rsidRPr="00AB1F22">
        <w:rPr>
          <w:lang w:val="fr-FR"/>
        </w:rPr>
        <w:tab/>
        <w:t>Parallèlement à la mise au point du présent rapport, nous élaborons le quatrième rapport de la RAS de Hong</w:t>
      </w:r>
      <w:r>
        <w:rPr>
          <w:lang w:val="fr-FR"/>
        </w:rPr>
        <w:t> </w:t>
      </w:r>
      <w:r w:rsidRPr="00AB1F22">
        <w:rPr>
          <w:lang w:val="fr-FR"/>
        </w:rPr>
        <w:t>Kong sur la mise en œuvre de la Convention sur l</w:t>
      </w:r>
      <w:r w:rsidR="004F1DFB">
        <w:rPr>
          <w:lang w:val="fr-FR"/>
        </w:rPr>
        <w:t>’</w:t>
      </w:r>
      <w:r w:rsidRPr="00AB1F22">
        <w:rPr>
          <w:lang w:val="fr-FR"/>
        </w:rPr>
        <w:t>élimination de toutes les formes de discrimination à l</w:t>
      </w:r>
      <w:r w:rsidR="004F1DFB">
        <w:rPr>
          <w:lang w:val="fr-FR"/>
        </w:rPr>
        <w:t>’</w:t>
      </w:r>
      <w:r w:rsidRPr="00AB1F22">
        <w:rPr>
          <w:lang w:val="fr-FR"/>
        </w:rPr>
        <w:t xml:space="preserve">égard des femmes, qui fait partie du neuvième rapport de la République populaire de Chine sur cette </w:t>
      </w:r>
      <w:r w:rsidR="000D1B59" w:rsidRPr="00AB1F22">
        <w:rPr>
          <w:lang w:val="fr-FR"/>
        </w:rPr>
        <w:t>C</w:t>
      </w:r>
      <w:r w:rsidRPr="00AB1F22">
        <w:rPr>
          <w:lang w:val="fr-FR"/>
        </w:rPr>
        <w:t>onvention. Notre action visant à satisfaire à nos obligations découlant de la Convention et à faire progres</w:t>
      </w:r>
      <w:r>
        <w:rPr>
          <w:lang w:val="fr-FR"/>
        </w:rPr>
        <w:t>ser le statut des femmes à Hong </w:t>
      </w:r>
      <w:r w:rsidRPr="00AB1F22">
        <w:rPr>
          <w:lang w:val="fr-FR"/>
        </w:rPr>
        <w:t xml:space="preserve">Kong sera expliquée en détail dans notre quatrième rapport sur la mise en œuvre de la Convention.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Commission de la femme</w:t>
      </w:r>
      <w:r w:rsidRPr="00AB1F22">
        <w:rPr>
          <w:lang w:val="fr-FR"/>
        </w:rPr>
        <w:t xml:space="preserve"> </w:t>
      </w:r>
      <w:bookmarkStart w:id="14" w:name="_Toc31721403"/>
      <w:bookmarkEnd w:id="14"/>
    </w:p>
    <w:p w:rsidR="0024529D" w:rsidRPr="00AB1F22" w:rsidRDefault="0024529D" w:rsidP="0024529D">
      <w:pPr>
        <w:pStyle w:val="SingleTxtG"/>
        <w:rPr>
          <w:lang w:val="fr-FR"/>
        </w:rPr>
      </w:pPr>
      <w:r w:rsidRPr="00AB1F22">
        <w:rPr>
          <w:lang w:val="fr-FR"/>
        </w:rPr>
        <w:t>20.</w:t>
      </w:r>
      <w:r w:rsidRPr="00AB1F22">
        <w:rPr>
          <w:lang w:val="fr-FR"/>
        </w:rPr>
        <w:tab/>
        <w:t>La Commission de la femme est un mécanisme central de haut niveau consacré aux questions intéressant les femmes. Elle a pour mission de donner aux femmes de Hong</w:t>
      </w:r>
      <w:r>
        <w:rPr>
          <w:lang w:val="fr-FR"/>
        </w:rPr>
        <w:t> </w:t>
      </w:r>
      <w:r w:rsidRPr="00AB1F22">
        <w:rPr>
          <w:lang w:val="fr-FR"/>
        </w:rPr>
        <w:t>Kong les moyens d</w:t>
      </w:r>
      <w:r w:rsidR="004F1DFB">
        <w:rPr>
          <w:lang w:val="fr-FR"/>
        </w:rPr>
        <w:t>’</w:t>
      </w:r>
      <w:r w:rsidRPr="00AB1F22">
        <w:rPr>
          <w:lang w:val="fr-FR"/>
        </w:rPr>
        <w:t>accéder pleinement au statut, aux droits et aux opportunités qui leur reviennent dans tous les domaines de la vie. Les principaux travaux de la Commission sont présentés à l</w:t>
      </w:r>
      <w:r w:rsidR="004F1DFB">
        <w:rPr>
          <w:lang w:val="fr-FR"/>
        </w:rPr>
        <w:t>’</w:t>
      </w:r>
      <w:r w:rsidRPr="00AB1F22">
        <w:rPr>
          <w:lang w:val="fr-FR"/>
        </w:rPr>
        <w:t>annexe</w:t>
      </w:r>
      <w:r>
        <w:rPr>
          <w:lang w:val="fr-FR"/>
        </w:rPr>
        <w:t> </w:t>
      </w:r>
      <w:r w:rsidRPr="00AB1F22">
        <w:rPr>
          <w:lang w:val="fr-FR"/>
        </w:rPr>
        <w:t xml:space="preserve">3B. </w:t>
      </w:r>
    </w:p>
    <w:p w:rsidR="0024529D" w:rsidRPr="00AB1F22" w:rsidRDefault="0024529D" w:rsidP="0024529D">
      <w:pPr>
        <w:pStyle w:val="SingleTxtG"/>
        <w:rPr>
          <w:lang w:val="fr-FR"/>
        </w:rPr>
      </w:pPr>
      <w:r w:rsidRPr="00AB1F22">
        <w:rPr>
          <w:lang w:val="fr-FR"/>
        </w:rPr>
        <w:t>21.</w:t>
      </w:r>
      <w:r w:rsidRPr="00AB1F22">
        <w:rPr>
          <w:lang w:val="fr-FR"/>
        </w:rPr>
        <w:tab/>
        <w:t>La Commission de la femme reçoit chaque année des fonds publics pour la mise en œuvre de ses programmes et bénéficie d</w:t>
      </w:r>
      <w:r w:rsidR="004F1DFB">
        <w:rPr>
          <w:lang w:val="fr-FR"/>
        </w:rPr>
        <w:t>’</w:t>
      </w:r>
      <w:r w:rsidRPr="00AB1F22">
        <w:rPr>
          <w:lang w:val="fr-FR"/>
        </w:rPr>
        <w:t>un service de secrétariat du Bureau du travail et de la protection sociale. Les travaux de la Commission seront examinés plus en détail dans notre quatrième rapport sur la mise en œuvre de la Convention sur l</w:t>
      </w:r>
      <w:r w:rsidR="004F1DFB">
        <w:rPr>
          <w:lang w:val="fr-FR"/>
        </w:rPr>
        <w:t>’</w:t>
      </w:r>
      <w:r w:rsidRPr="00AB1F22">
        <w:rPr>
          <w:lang w:val="fr-FR"/>
        </w:rPr>
        <w:t>élimination de toutes les formes de discrimination à l</w:t>
      </w:r>
      <w:r w:rsidR="004F1DFB">
        <w:rPr>
          <w:lang w:val="fr-FR"/>
        </w:rPr>
        <w:t>’</w:t>
      </w:r>
      <w:r w:rsidRPr="00AB1F22">
        <w:rPr>
          <w:lang w:val="fr-FR"/>
        </w:rPr>
        <w:t xml:space="preserve">égard des femmes.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Législation contre la discrimination fondée sur le sexe</w:t>
      </w:r>
      <w:r w:rsidRPr="00AB1F22">
        <w:rPr>
          <w:lang w:val="fr-FR"/>
        </w:rPr>
        <w:t xml:space="preserve"> </w:t>
      </w:r>
      <w:bookmarkStart w:id="15" w:name="_Toc31721404"/>
      <w:bookmarkEnd w:id="15"/>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Ordonnance de 2014 portant modification de l</w:t>
      </w:r>
      <w:r w:rsidR="004F1DFB">
        <w:rPr>
          <w:iCs/>
          <w:lang w:val="fr-FR"/>
        </w:rPr>
        <w:t>’</w:t>
      </w:r>
      <w:r w:rsidRPr="00AB1F22">
        <w:rPr>
          <w:iCs/>
          <w:lang w:val="fr-FR"/>
        </w:rPr>
        <w:t xml:space="preserve">ordonnance relative </w:t>
      </w:r>
      <w:r w:rsidR="00B917A0">
        <w:rPr>
          <w:iCs/>
          <w:lang w:val="fr-FR"/>
        </w:rPr>
        <w:br/>
      </w:r>
      <w:r w:rsidRPr="00AB1F22">
        <w:rPr>
          <w:iCs/>
          <w:lang w:val="fr-FR"/>
        </w:rPr>
        <w:t>à la discrimination fondée sur le sexe</w:t>
      </w:r>
      <w:r w:rsidRPr="00AB1F22">
        <w:rPr>
          <w:lang w:val="fr-FR"/>
        </w:rPr>
        <w:t xml:space="preserve"> </w:t>
      </w:r>
    </w:p>
    <w:p w:rsidR="0024529D" w:rsidRPr="00AB1F22" w:rsidRDefault="0024529D" w:rsidP="0024529D">
      <w:pPr>
        <w:pStyle w:val="SingleTxtG"/>
        <w:rPr>
          <w:lang w:val="fr-FR"/>
        </w:rPr>
      </w:pPr>
      <w:r w:rsidRPr="00AB1F22">
        <w:rPr>
          <w:lang w:val="fr-FR"/>
        </w:rPr>
        <w:t>22.</w:t>
      </w:r>
      <w:r w:rsidRPr="00AB1F22">
        <w:rPr>
          <w:lang w:val="fr-FR"/>
        </w:rPr>
        <w:tab/>
        <w:t>En 2014, le Gouvernement a étendu la protection prévue par l</w:t>
      </w:r>
      <w:r w:rsidR="004F1DFB">
        <w:rPr>
          <w:lang w:val="fr-FR"/>
        </w:rPr>
        <w:t>’</w:t>
      </w:r>
      <w:r w:rsidRPr="00AB1F22">
        <w:rPr>
          <w:lang w:val="fr-FR"/>
        </w:rPr>
        <w:t>ordonnance relative à la discrimination fondée sur le sexe ainsi que sa portée territoriale (chap. 480), rendant ainsi illégal tout acte de harcèlement sexuel commis par des clients à l</w:t>
      </w:r>
      <w:r w:rsidR="004F1DFB">
        <w:rPr>
          <w:lang w:val="fr-FR"/>
        </w:rPr>
        <w:t>’</w:t>
      </w:r>
      <w:r w:rsidRPr="00AB1F22">
        <w:rPr>
          <w:lang w:val="fr-FR"/>
        </w:rPr>
        <w:t>encontre de fournisseurs ou de fournisseurs potentiels de biens, d</w:t>
      </w:r>
      <w:r w:rsidR="004F1DFB">
        <w:rPr>
          <w:lang w:val="fr-FR"/>
        </w:rPr>
        <w:t>’</w:t>
      </w:r>
      <w:r w:rsidRPr="00AB1F22">
        <w:rPr>
          <w:lang w:val="fr-FR"/>
        </w:rPr>
        <w:t>équipements ou de services. L</w:t>
      </w:r>
      <w:r w:rsidR="004F1DFB">
        <w:rPr>
          <w:lang w:val="fr-FR"/>
        </w:rPr>
        <w:t>’</w:t>
      </w:r>
      <w:r w:rsidRPr="00AB1F22">
        <w:rPr>
          <w:lang w:val="fr-FR"/>
        </w:rPr>
        <w:t>interdiction du harcèlement sexuel a également été étendue pour couvrir les actes de harcèlement commis sur un navire ou un aéronef immatriculé à Hong</w:t>
      </w:r>
      <w:r>
        <w:rPr>
          <w:lang w:val="fr-FR"/>
        </w:rPr>
        <w:t> </w:t>
      </w:r>
      <w:r w:rsidRPr="00AB1F22">
        <w:rPr>
          <w:lang w:val="fr-FR"/>
        </w:rPr>
        <w:t>Kong même s</w:t>
      </w:r>
      <w:r w:rsidR="004F1DFB">
        <w:rPr>
          <w:lang w:val="fr-FR"/>
        </w:rPr>
        <w:t>’</w:t>
      </w:r>
      <w:r w:rsidRPr="00AB1F22">
        <w:rPr>
          <w:lang w:val="fr-FR"/>
        </w:rPr>
        <w:t>il se trouve en dehors du territoire. La modification apportée offre une protection aux prestataires de services à Hong</w:t>
      </w:r>
      <w:r>
        <w:rPr>
          <w:lang w:val="fr-FR"/>
        </w:rPr>
        <w:t> </w:t>
      </w:r>
      <w:r w:rsidRPr="00AB1F22">
        <w:rPr>
          <w:lang w:val="fr-FR"/>
        </w:rPr>
        <w:t>Kong, parmi lesquels figurent environ plus de 45 000 infirmiers, 12</w:t>
      </w:r>
      <w:r>
        <w:rPr>
          <w:lang w:val="fr-FR"/>
        </w:rPr>
        <w:t> </w:t>
      </w:r>
      <w:r w:rsidRPr="00AB1F22">
        <w:rPr>
          <w:lang w:val="fr-FR"/>
        </w:rPr>
        <w:t>000</w:t>
      </w:r>
      <w:r>
        <w:rPr>
          <w:lang w:val="fr-FR"/>
        </w:rPr>
        <w:t> </w:t>
      </w:r>
      <w:r w:rsidRPr="00AB1F22">
        <w:rPr>
          <w:lang w:val="fr-FR"/>
        </w:rPr>
        <w:t>personnels navigants, 230 000 travailleurs du secteur de l</w:t>
      </w:r>
      <w:r w:rsidR="004F1DFB">
        <w:rPr>
          <w:lang w:val="fr-FR"/>
        </w:rPr>
        <w:t>’</w:t>
      </w:r>
      <w:r w:rsidRPr="00AB1F22">
        <w:rPr>
          <w:lang w:val="fr-FR"/>
        </w:rPr>
        <w:t xml:space="preserve">alimentation et des boissons et 260 000 travailleurs du commerce de détail. </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Examen de la législation relative à la discrimination</w:t>
      </w:r>
      <w:r w:rsidRPr="00AB1F22">
        <w:rPr>
          <w:lang w:val="fr-FR"/>
        </w:rPr>
        <w:t xml:space="preserve"> </w:t>
      </w:r>
    </w:p>
    <w:p w:rsidR="0024529D" w:rsidRPr="00AB1F22" w:rsidRDefault="0024529D" w:rsidP="0024529D">
      <w:pPr>
        <w:pStyle w:val="SingleTxtG"/>
        <w:rPr>
          <w:lang w:val="fr-FR"/>
        </w:rPr>
      </w:pPr>
      <w:r w:rsidRPr="00AB1F22">
        <w:rPr>
          <w:lang w:val="fr-FR"/>
        </w:rPr>
        <w:t>23.</w:t>
      </w:r>
      <w:r w:rsidRPr="00AB1F22">
        <w:rPr>
          <w:lang w:val="fr-FR"/>
        </w:rPr>
        <w:tab/>
        <w:t>La Commission de l</w:t>
      </w:r>
      <w:r w:rsidR="004F1DFB">
        <w:rPr>
          <w:lang w:val="fr-FR"/>
        </w:rPr>
        <w:t>’</w:t>
      </w:r>
      <w:r w:rsidRPr="00AB1F22">
        <w:rPr>
          <w:lang w:val="fr-FR"/>
        </w:rPr>
        <w:t>égalité des chances examine régulièrement l</w:t>
      </w:r>
      <w:r w:rsidR="004F1DFB">
        <w:rPr>
          <w:lang w:val="fr-FR"/>
        </w:rPr>
        <w:t>’</w:t>
      </w:r>
      <w:r w:rsidRPr="00AB1F22">
        <w:rPr>
          <w:lang w:val="fr-FR"/>
        </w:rPr>
        <w:t>application des quatre</w:t>
      </w:r>
      <w:r>
        <w:rPr>
          <w:lang w:val="fr-FR"/>
        </w:rPr>
        <w:t> </w:t>
      </w:r>
      <w:r w:rsidRPr="00AB1F22">
        <w:rPr>
          <w:lang w:val="fr-FR"/>
        </w:rPr>
        <w:t>textes législatifs de lutte contre la discrimination et soumet des propositions de loi le cas échéant. Comme expliqué aux paragraphes 186 à 187 ci</w:t>
      </w:r>
      <w:r>
        <w:rPr>
          <w:lang w:val="fr-FR"/>
        </w:rPr>
        <w:noBreakHyphen/>
      </w:r>
      <w:r w:rsidRPr="00AB1F22">
        <w:rPr>
          <w:lang w:val="fr-FR"/>
        </w:rPr>
        <w:t>dessous, en 2016, la Commission de l</w:t>
      </w:r>
      <w:r w:rsidR="004F1DFB">
        <w:rPr>
          <w:lang w:val="fr-FR"/>
        </w:rPr>
        <w:t>’</w:t>
      </w:r>
      <w:r w:rsidRPr="00AB1F22">
        <w:rPr>
          <w:lang w:val="fr-FR"/>
        </w:rPr>
        <w:t>égalité des chances a présenté au Gouvernement des observations sur l</w:t>
      </w:r>
      <w:r w:rsidR="004F1DFB">
        <w:rPr>
          <w:lang w:val="fr-FR"/>
        </w:rPr>
        <w:t>’</w:t>
      </w:r>
      <w:r w:rsidRPr="00AB1F22">
        <w:rPr>
          <w:lang w:val="fr-FR"/>
        </w:rPr>
        <w:t>examen de la législation relative à la discrimination. L</w:t>
      </w:r>
      <w:r w:rsidR="004F1DFB">
        <w:rPr>
          <w:lang w:val="fr-FR"/>
        </w:rPr>
        <w:t>’</w:t>
      </w:r>
      <w:r w:rsidRPr="00AB1F22">
        <w:rPr>
          <w:lang w:val="fr-FR"/>
        </w:rPr>
        <w:t>objectif du Gouvernement est de présenter au Conseil législatif en 2018 des propositions de loi relatives à huit des recommandations prioritaires regroupées dans un seul projet de loi. Parmi ces huit</w:t>
      </w:r>
      <w:r>
        <w:rPr>
          <w:lang w:val="fr-FR"/>
        </w:rPr>
        <w:t> </w:t>
      </w:r>
      <w:r w:rsidRPr="00AB1F22">
        <w:rPr>
          <w:lang w:val="fr-FR"/>
        </w:rPr>
        <w:t>recommandations hautement prioritaires, quatre concernent des modifications de l</w:t>
      </w:r>
      <w:r w:rsidR="004F1DFB">
        <w:rPr>
          <w:lang w:val="fr-FR"/>
        </w:rPr>
        <w:t>’</w:t>
      </w:r>
      <w:r w:rsidRPr="00AB1F22">
        <w:rPr>
          <w:lang w:val="fr-FR"/>
        </w:rPr>
        <w:t>ordonnance relative à la discrimination fondée sur le sexe telles que l</w:t>
      </w:r>
      <w:r w:rsidR="004F1DFB">
        <w:rPr>
          <w:lang w:val="fr-FR"/>
        </w:rPr>
        <w:t>’</w:t>
      </w:r>
      <w:r w:rsidRPr="00AB1F22">
        <w:rPr>
          <w:lang w:val="fr-FR"/>
        </w:rPr>
        <w:t>interdiction de la discrimination à l</w:t>
      </w:r>
      <w:r w:rsidR="004F1DFB">
        <w:rPr>
          <w:lang w:val="fr-FR"/>
        </w:rPr>
        <w:t>’</w:t>
      </w:r>
      <w:r w:rsidRPr="00AB1F22">
        <w:rPr>
          <w:lang w:val="fr-FR"/>
        </w:rPr>
        <w:t>égard des femmes allaitantes et l</w:t>
      </w:r>
      <w:r w:rsidR="004F1DFB">
        <w:rPr>
          <w:lang w:val="fr-FR"/>
        </w:rPr>
        <w:t>’</w:t>
      </w:r>
      <w:r w:rsidRPr="00AB1F22">
        <w:rPr>
          <w:lang w:val="fr-FR"/>
        </w:rPr>
        <w:t xml:space="preserve">élargissement de la protection contre le harcèlement sexuel aux personnes se trouvant sur un même lieu de travail. </w:t>
      </w:r>
    </w:p>
    <w:p w:rsidR="0024529D" w:rsidRPr="00AB1F22" w:rsidRDefault="0024529D" w:rsidP="0024529D">
      <w:pPr>
        <w:pStyle w:val="H1G"/>
        <w:rPr>
          <w:lang w:val="fr-FR"/>
        </w:rPr>
      </w:pPr>
      <w:r w:rsidRPr="00AB1F22">
        <w:rPr>
          <w:lang w:val="fr-FR"/>
        </w:rPr>
        <w:tab/>
      </w:r>
      <w:r w:rsidRPr="00AB1F22">
        <w:rPr>
          <w:lang w:val="fr-FR"/>
        </w:rPr>
        <w:tab/>
      </w:r>
      <w:r>
        <w:rPr>
          <w:bCs/>
          <w:lang w:val="fr-FR"/>
        </w:rPr>
        <w:t>Article 4</w:t>
      </w:r>
      <w:r>
        <w:rPr>
          <w:bCs/>
          <w:lang w:val="fr-FR"/>
        </w:rPr>
        <w:br/>
      </w:r>
      <w:r w:rsidRPr="00AB1F22">
        <w:rPr>
          <w:bCs/>
          <w:lang w:val="fr-FR"/>
        </w:rPr>
        <w:t>Dangers publics exceptionnels</w:t>
      </w:r>
      <w:r w:rsidRPr="00AB1F22">
        <w:rPr>
          <w:lang w:val="fr-FR"/>
        </w:rPr>
        <w:t xml:space="preserve"> </w:t>
      </w:r>
      <w:bookmarkStart w:id="16" w:name="_Toc31721405"/>
      <w:bookmarkEnd w:id="16"/>
    </w:p>
    <w:p w:rsidR="0024529D" w:rsidRPr="00AB1F22" w:rsidRDefault="0024529D" w:rsidP="0024529D">
      <w:pPr>
        <w:pStyle w:val="SingleTxtG"/>
        <w:rPr>
          <w:lang w:val="fr-FR"/>
        </w:rPr>
      </w:pPr>
      <w:r w:rsidRPr="00AB1F22">
        <w:rPr>
          <w:lang w:val="fr-FR"/>
        </w:rPr>
        <w:t>24.</w:t>
      </w:r>
      <w:r w:rsidRPr="00AB1F22">
        <w:rPr>
          <w:lang w:val="fr-FR"/>
        </w:rPr>
        <w:tab/>
        <w:t>La situation est celle décrite aux paragraphes</w:t>
      </w:r>
      <w:r>
        <w:rPr>
          <w:lang w:val="fr-FR"/>
        </w:rPr>
        <w:t> </w:t>
      </w:r>
      <w:r w:rsidRPr="00AB1F22">
        <w:rPr>
          <w:lang w:val="fr-FR"/>
        </w:rPr>
        <w:t xml:space="preserve">88 à 92 de la deuxième partie du rapport initial. </w:t>
      </w:r>
    </w:p>
    <w:p w:rsidR="0024529D" w:rsidRPr="00AB1F22" w:rsidRDefault="0024529D" w:rsidP="00B917A0">
      <w:pPr>
        <w:pStyle w:val="H1G"/>
        <w:rPr>
          <w:lang w:val="fr-FR"/>
        </w:rPr>
      </w:pPr>
      <w:r w:rsidRPr="00AB1F22">
        <w:rPr>
          <w:lang w:val="fr-FR"/>
        </w:rPr>
        <w:tab/>
      </w:r>
      <w:r w:rsidRPr="00AB1F22">
        <w:rPr>
          <w:lang w:val="fr-FR"/>
        </w:rPr>
        <w:tab/>
        <w:t>Article</w:t>
      </w:r>
      <w:r>
        <w:rPr>
          <w:lang w:val="fr-FR"/>
        </w:rPr>
        <w:t> </w:t>
      </w:r>
      <w:r w:rsidRPr="00AB1F22">
        <w:rPr>
          <w:lang w:val="fr-FR"/>
        </w:rPr>
        <w:t>5</w:t>
      </w:r>
      <w:r>
        <w:rPr>
          <w:lang w:val="fr-FR"/>
        </w:rPr>
        <w:br/>
      </w:r>
      <w:r w:rsidRPr="00AB1F22">
        <w:rPr>
          <w:lang w:val="fr-FR"/>
        </w:rPr>
        <w:t xml:space="preserve">Interdiction de détruire les droits et libertés reconnus dans le Pacte </w:t>
      </w:r>
      <w:bookmarkStart w:id="17" w:name="_Toc31721406"/>
      <w:bookmarkEnd w:id="17"/>
    </w:p>
    <w:p w:rsidR="0024529D" w:rsidRPr="00AB1F22" w:rsidRDefault="0024529D" w:rsidP="0024529D">
      <w:pPr>
        <w:pStyle w:val="SingleTxtG"/>
        <w:rPr>
          <w:lang w:val="fr-FR"/>
        </w:rPr>
      </w:pPr>
      <w:r w:rsidRPr="00AB1F22">
        <w:rPr>
          <w:lang w:val="fr-FR"/>
        </w:rPr>
        <w:t>25.</w:t>
      </w:r>
      <w:r w:rsidRPr="00AB1F22">
        <w:rPr>
          <w:lang w:val="fr-FR"/>
        </w:rPr>
        <w:tab/>
        <w:t>La situation est celle décrite au paragraphe 93 de la deuxième partie du rapport initial. En résumé, les paragraphes 4 et 5 de l</w:t>
      </w:r>
      <w:r w:rsidR="004F1DFB">
        <w:rPr>
          <w:lang w:val="fr-FR"/>
        </w:rPr>
        <w:t>’</w:t>
      </w:r>
      <w:r w:rsidRPr="00AB1F22">
        <w:rPr>
          <w:lang w:val="fr-FR"/>
        </w:rPr>
        <w:t>article 2 de l</w:t>
      </w:r>
      <w:r w:rsidR="004F1DFB">
        <w:rPr>
          <w:lang w:val="fr-FR"/>
        </w:rPr>
        <w:t>’</w:t>
      </w:r>
      <w:r w:rsidRPr="00AB1F22">
        <w:rPr>
          <w:lang w:val="fr-FR"/>
        </w:rPr>
        <w:t>ordonnance portant Charte des droits de Hong</w:t>
      </w:r>
      <w:r>
        <w:rPr>
          <w:lang w:val="fr-FR"/>
        </w:rPr>
        <w:t> </w:t>
      </w:r>
      <w:r w:rsidRPr="00AB1F22">
        <w:rPr>
          <w:lang w:val="fr-FR"/>
        </w:rPr>
        <w:t>Kong donnent effet à l</w:t>
      </w:r>
      <w:r w:rsidR="004F1DFB">
        <w:rPr>
          <w:lang w:val="fr-FR"/>
        </w:rPr>
        <w:t>’</w:t>
      </w:r>
      <w:r w:rsidRPr="00AB1F22">
        <w:rPr>
          <w:lang w:val="fr-FR"/>
        </w:rPr>
        <w:t xml:space="preserve">article 5 du Pacte. </w:t>
      </w:r>
    </w:p>
    <w:p w:rsidR="0024529D" w:rsidRPr="00AB1F22" w:rsidRDefault="0024529D" w:rsidP="0024529D">
      <w:pPr>
        <w:pStyle w:val="H1G"/>
        <w:rPr>
          <w:lang w:val="fr-FR"/>
        </w:rPr>
      </w:pPr>
      <w:r w:rsidRPr="00AB1F22">
        <w:rPr>
          <w:lang w:val="fr-FR"/>
        </w:rPr>
        <w:tab/>
      </w:r>
      <w:r w:rsidRPr="00AB1F22">
        <w:rPr>
          <w:lang w:val="fr-FR"/>
        </w:rPr>
        <w:tab/>
      </w:r>
      <w:r w:rsidRPr="00AB1F22">
        <w:rPr>
          <w:bCs/>
          <w:lang w:val="fr-FR"/>
        </w:rPr>
        <w:t>Article</w:t>
      </w:r>
      <w:r>
        <w:rPr>
          <w:bCs/>
          <w:lang w:val="fr-FR"/>
        </w:rPr>
        <w:t> </w:t>
      </w:r>
      <w:r w:rsidRPr="00AB1F22">
        <w:rPr>
          <w:bCs/>
          <w:lang w:val="fr-FR"/>
        </w:rPr>
        <w:t>6</w:t>
      </w:r>
      <w:r>
        <w:rPr>
          <w:bCs/>
          <w:lang w:val="fr-FR"/>
        </w:rPr>
        <w:br/>
      </w:r>
      <w:r w:rsidRPr="00AB1F22">
        <w:rPr>
          <w:bCs/>
          <w:lang w:val="fr-FR"/>
        </w:rPr>
        <w:t>Droit à la vie</w:t>
      </w:r>
      <w:r w:rsidRPr="00AB1F22">
        <w:rPr>
          <w:lang w:val="fr-FR"/>
        </w:rPr>
        <w:t xml:space="preserve"> </w:t>
      </w:r>
      <w:bookmarkStart w:id="18" w:name="_Toc31721407"/>
      <w:bookmarkEnd w:id="18"/>
    </w:p>
    <w:p w:rsidR="0024529D" w:rsidRPr="00AB1F22" w:rsidRDefault="0024529D" w:rsidP="0024529D">
      <w:pPr>
        <w:pStyle w:val="SingleTxtG"/>
        <w:rPr>
          <w:lang w:val="fr-FR"/>
        </w:rPr>
      </w:pPr>
      <w:r w:rsidRPr="00AB1F22">
        <w:rPr>
          <w:lang w:val="fr-FR"/>
        </w:rPr>
        <w:t>26.</w:t>
      </w:r>
      <w:r w:rsidRPr="00AB1F22">
        <w:rPr>
          <w:lang w:val="fr-FR"/>
        </w:rPr>
        <w:tab/>
        <w:t>On trouvera à l</w:t>
      </w:r>
      <w:r w:rsidR="004F1DFB">
        <w:rPr>
          <w:lang w:val="fr-FR"/>
        </w:rPr>
        <w:t>’</w:t>
      </w:r>
      <w:r w:rsidRPr="00AB1F22">
        <w:rPr>
          <w:lang w:val="fr-FR"/>
        </w:rPr>
        <w:t>annexe 6A les informations les plus récentes concernant les personnes décédées alors qu</w:t>
      </w:r>
      <w:r w:rsidR="004F1DFB">
        <w:rPr>
          <w:lang w:val="fr-FR"/>
        </w:rPr>
        <w:t>’</w:t>
      </w:r>
      <w:r w:rsidRPr="00AB1F22">
        <w:rPr>
          <w:lang w:val="fr-FR"/>
        </w:rPr>
        <w:t>elles étaient détenues dans les locaux de la police, du Département de l</w:t>
      </w:r>
      <w:r w:rsidR="004F1DFB">
        <w:rPr>
          <w:lang w:val="fr-FR"/>
        </w:rPr>
        <w:t>’</w:t>
      </w:r>
      <w:r w:rsidRPr="00AB1F22">
        <w:rPr>
          <w:lang w:val="fr-FR"/>
        </w:rPr>
        <w:t>administration pénitentiaire, du Département des douanes et accises, du Département de l</w:t>
      </w:r>
      <w:r w:rsidR="004F1DFB">
        <w:rPr>
          <w:lang w:val="fr-FR"/>
        </w:rPr>
        <w:t>’</w:t>
      </w:r>
      <w:r w:rsidRPr="00AB1F22">
        <w:rPr>
          <w:lang w:val="fr-FR"/>
        </w:rPr>
        <w:t xml:space="preserve">immigration et de la Commission indépendante de lutte contre la corruption.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Décès d</w:t>
      </w:r>
      <w:r w:rsidR="004F1DFB">
        <w:rPr>
          <w:bCs/>
          <w:lang w:val="fr-FR"/>
        </w:rPr>
        <w:t>’</w:t>
      </w:r>
      <w:r w:rsidRPr="00AB1F22">
        <w:rPr>
          <w:bCs/>
          <w:lang w:val="fr-FR"/>
        </w:rPr>
        <w:t>enfants</w:t>
      </w:r>
      <w:r w:rsidRPr="00AB1F22">
        <w:rPr>
          <w:lang w:val="fr-FR"/>
        </w:rPr>
        <w:t xml:space="preserve"> </w:t>
      </w:r>
      <w:bookmarkStart w:id="19" w:name="_Toc31721408"/>
      <w:bookmarkEnd w:id="19"/>
    </w:p>
    <w:p w:rsidR="0024529D" w:rsidRPr="00AB1F22" w:rsidRDefault="0024529D" w:rsidP="0024529D">
      <w:pPr>
        <w:pStyle w:val="SingleTxtG"/>
        <w:rPr>
          <w:lang w:val="fr-FR"/>
        </w:rPr>
      </w:pPr>
      <w:r w:rsidRPr="00AB1F22">
        <w:rPr>
          <w:lang w:val="fr-FR"/>
        </w:rPr>
        <w:t>27.</w:t>
      </w:r>
      <w:r w:rsidRPr="00AB1F22">
        <w:rPr>
          <w:lang w:val="fr-FR"/>
        </w:rPr>
        <w:tab/>
        <w:t>Comme indiqué au paragraphe 90 du rapport précédent, le Département de la protection sociale a lancé un projet pilote d</w:t>
      </w:r>
      <w:r w:rsidR="004F1DFB">
        <w:rPr>
          <w:lang w:val="fr-FR"/>
        </w:rPr>
        <w:t>’</w:t>
      </w:r>
      <w:r w:rsidRPr="00AB1F22">
        <w:rPr>
          <w:lang w:val="fr-FR"/>
        </w:rPr>
        <w:t>étude des décès d</w:t>
      </w:r>
      <w:r w:rsidR="004F1DFB">
        <w:rPr>
          <w:lang w:val="fr-FR"/>
        </w:rPr>
        <w:t>’</w:t>
      </w:r>
      <w:r w:rsidRPr="00AB1F22">
        <w:rPr>
          <w:lang w:val="fr-FR"/>
        </w:rPr>
        <w:t>enfants en février 2008 et a mis en place un comité d</w:t>
      </w:r>
      <w:r w:rsidR="004F1DFB">
        <w:rPr>
          <w:lang w:val="fr-FR"/>
        </w:rPr>
        <w:t>’</w:t>
      </w:r>
      <w:r w:rsidRPr="00AB1F22">
        <w:rPr>
          <w:lang w:val="fr-FR"/>
        </w:rPr>
        <w:t>examen. L</w:t>
      </w:r>
      <w:r w:rsidR="004F1DFB">
        <w:rPr>
          <w:lang w:val="fr-FR"/>
        </w:rPr>
        <w:t>’</w:t>
      </w:r>
      <w:r w:rsidRPr="00AB1F22">
        <w:rPr>
          <w:lang w:val="fr-FR"/>
        </w:rPr>
        <w:t>évaluation du projet pilote menée en 2010 a conduit à la mise en place du mécanisme permanent d</w:t>
      </w:r>
      <w:r w:rsidR="004F1DFB">
        <w:rPr>
          <w:lang w:val="fr-FR"/>
        </w:rPr>
        <w:t>’</w:t>
      </w:r>
      <w:r w:rsidRPr="00AB1F22">
        <w:rPr>
          <w:lang w:val="fr-FR"/>
        </w:rPr>
        <w:t>étude des décès d</w:t>
      </w:r>
      <w:r w:rsidR="004F1DFB">
        <w:rPr>
          <w:lang w:val="fr-FR"/>
        </w:rPr>
        <w:t>’</w:t>
      </w:r>
      <w:r w:rsidRPr="00AB1F22">
        <w:rPr>
          <w:lang w:val="fr-FR"/>
        </w:rPr>
        <w:t xml:space="preserve">enfants en juin 2011. </w:t>
      </w:r>
      <w:r>
        <w:rPr>
          <w:lang w:val="fr-FR"/>
        </w:rPr>
        <w:t>Plus de précisions figurent à</w:t>
      </w:r>
      <w:r w:rsidRPr="00AB1F22">
        <w:rPr>
          <w:lang w:val="fr-FR"/>
        </w:rPr>
        <w:t xml:space="preserve"> l</w:t>
      </w:r>
      <w:r w:rsidR="004F1DFB">
        <w:rPr>
          <w:lang w:val="fr-FR"/>
        </w:rPr>
        <w:t>’</w:t>
      </w:r>
      <w:r w:rsidRPr="00AB1F22">
        <w:rPr>
          <w:lang w:val="fr-FR"/>
        </w:rPr>
        <w:t>annexe</w:t>
      </w:r>
      <w:r>
        <w:rPr>
          <w:lang w:val="fr-FR"/>
        </w:rPr>
        <w:t> </w:t>
      </w:r>
      <w:r w:rsidRPr="00AB1F22">
        <w:rPr>
          <w:lang w:val="fr-FR"/>
        </w:rPr>
        <w:t xml:space="preserve">6B. </w:t>
      </w:r>
    </w:p>
    <w:p w:rsidR="0024529D" w:rsidRPr="00AB1F22" w:rsidRDefault="0024529D" w:rsidP="0024529D">
      <w:pPr>
        <w:pStyle w:val="H1G"/>
        <w:rPr>
          <w:lang w:val="fr-FR"/>
        </w:rPr>
      </w:pPr>
      <w:r w:rsidRPr="00AB1F22">
        <w:rPr>
          <w:lang w:val="fr-FR"/>
        </w:rPr>
        <w:tab/>
      </w:r>
      <w:r w:rsidRPr="00AB1F22">
        <w:rPr>
          <w:lang w:val="fr-FR"/>
        </w:rPr>
        <w:tab/>
      </w:r>
      <w:r w:rsidRPr="00AB1F22">
        <w:rPr>
          <w:bCs/>
          <w:lang w:val="fr-FR"/>
        </w:rPr>
        <w:t>Article</w:t>
      </w:r>
      <w:r>
        <w:rPr>
          <w:bCs/>
          <w:lang w:val="fr-FR"/>
        </w:rPr>
        <w:t> </w:t>
      </w:r>
      <w:r w:rsidRPr="00AB1F22">
        <w:rPr>
          <w:bCs/>
          <w:lang w:val="fr-FR"/>
        </w:rPr>
        <w:t>7</w:t>
      </w:r>
      <w:r>
        <w:rPr>
          <w:bCs/>
          <w:lang w:val="fr-FR"/>
        </w:rPr>
        <w:br/>
      </w:r>
      <w:r w:rsidRPr="00AB1F22">
        <w:rPr>
          <w:bCs/>
          <w:lang w:val="fr-FR"/>
        </w:rPr>
        <w:t>Interdiction de la torture, des traitements inhumains et des expériences sans consentement</w:t>
      </w:r>
      <w:r w:rsidRPr="00AB1F22">
        <w:rPr>
          <w:lang w:val="fr-FR"/>
        </w:rPr>
        <w:t xml:space="preserve"> </w:t>
      </w:r>
      <w:bookmarkStart w:id="20" w:name="_Toc31721409"/>
      <w:bookmarkEnd w:id="20"/>
    </w:p>
    <w:p w:rsidR="0024529D" w:rsidRPr="00AB1F22" w:rsidRDefault="0024529D" w:rsidP="0024529D">
      <w:pPr>
        <w:pStyle w:val="SingleTxtG"/>
        <w:rPr>
          <w:lang w:val="fr-FR"/>
        </w:rPr>
      </w:pPr>
      <w:r w:rsidRPr="00AB1F22">
        <w:rPr>
          <w:lang w:val="fr-FR"/>
        </w:rPr>
        <w:t>28.</w:t>
      </w:r>
      <w:r w:rsidRPr="00AB1F22">
        <w:rPr>
          <w:lang w:val="fr-FR"/>
        </w:rPr>
        <w:tab/>
        <w:t>Au paragraphe</w:t>
      </w:r>
      <w:r>
        <w:rPr>
          <w:lang w:val="fr-FR"/>
        </w:rPr>
        <w:t> </w:t>
      </w:r>
      <w:r w:rsidRPr="00AB1F22">
        <w:rPr>
          <w:lang w:val="fr-FR"/>
        </w:rPr>
        <w:t>8 de ses précédentes observations finales, le Comité a fait part de ses préoccupations concernant le paragraphe 1 de l</w:t>
      </w:r>
      <w:r w:rsidR="004F1DFB">
        <w:rPr>
          <w:lang w:val="fr-FR"/>
        </w:rPr>
        <w:t>’</w:t>
      </w:r>
      <w:r w:rsidRPr="00AB1F22">
        <w:rPr>
          <w:lang w:val="fr-FR"/>
        </w:rPr>
        <w:t>article 2 et le paragraphe 4 de l</w:t>
      </w:r>
      <w:r w:rsidR="004F1DFB">
        <w:rPr>
          <w:lang w:val="fr-FR"/>
        </w:rPr>
        <w:t>’</w:t>
      </w:r>
      <w:r w:rsidRPr="00AB1F22">
        <w:rPr>
          <w:lang w:val="fr-FR"/>
        </w:rPr>
        <w:t>article 3 de l</w:t>
      </w:r>
      <w:r w:rsidR="004F1DFB">
        <w:rPr>
          <w:lang w:val="fr-FR"/>
        </w:rPr>
        <w:t>’</w:t>
      </w:r>
      <w:r w:rsidRPr="00AB1F22">
        <w:rPr>
          <w:lang w:val="fr-FR"/>
        </w:rPr>
        <w:t xml:space="preserve">ordonnance relative aux infractions </w:t>
      </w:r>
      <w:r>
        <w:rPr>
          <w:lang w:val="fr-FR"/>
        </w:rPr>
        <w:t xml:space="preserve">pénales </w:t>
      </w:r>
      <w:r w:rsidRPr="00AB1F22">
        <w:rPr>
          <w:lang w:val="fr-FR"/>
        </w:rPr>
        <w:t>(torture) (chap. 427) et a recommandé à la RAS de Hong</w:t>
      </w:r>
      <w:r>
        <w:rPr>
          <w:lang w:val="fr-FR"/>
        </w:rPr>
        <w:t> </w:t>
      </w:r>
      <w:r w:rsidRPr="00AB1F22">
        <w:rPr>
          <w:lang w:val="fr-FR"/>
        </w:rPr>
        <w:t xml:space="preserve">Kong de mettre sa législation en conformité avec les normes internationales. </w:t>
      </w:r>
    </w:p>
    <w:p w:rsidR="0024529D" w:rsidRPr="00AB1F22" w:rsidRDefault="0024529D" w:rsidP="0024529D">
      <w:pPr>
        <w:pStyle w:val="SingleTxtG"/>
        <w:rPr>
          <w:lang w:val="fr-FR"/>
        </w:rPr>
      </w:pPr>
      <w:r w:rsidRPr="00AB1F22">
        <w:rPr>
          <w:lang w:val="fr-FR"/>
        </w:rPr>
        <w:t>29.</w:t>
      </w:r>
      <w:r w:rsidRPr="00AB1F22">
        <w:rPr>
          <w:lang w:val="fr-FR"/>
        </w:rPr>
        <w:tab/>
        <w:t>La RAS de Hong Kong tient à préciser que le paragraphe 1 de l</w:t>
      </w:r>
      <w:r w:rsidR="004F1DFB">
        <w:rPr>
          <w:lang w:val="fr-FR"/>
        </w:rPr>
        <w:t>’</w:t>
      </w:r>
      <w:r w:rsidRPr="00AB1F22">
        <w:rPr>
          <w:lang w:val="fr-FR"/>
        </w:rPr>
        <w:t>article 2 de l</w:t>
      </w:r>
      <w:r w:rsidR="004F1DFB">
        <w:rPr>
          <w:lang w:val="fr-FR"/>
        </w:rPr>
        <w:t>’</w:t>
      </w:r>
      <w:r w:rsidRPr="00AB1F22">
        <w:rPr>
          <w:lang w:val="fr-FR"/>
        </w:rPr>
        <w:t xml:space="preserve">ordonnance définit un </w:t>
      </w:r>
      <w:r>
        <w:rPr>
          <w:lang w:val="fr-FR"/>
        </w:rPr>
        <w:t>« </w:t>
      </w:r>
      <w:r w:rsidRPr="00AB1F22">
        <w:rPr>
          <w:lang w:val="fr-FR"/>
        </w:rPr>
        <w:t>agent de l</w:t>
      </w:r>
      <w:r w:rsidR="004F1DFB">
        <w:rPr>
          <w:lang w:val="fr-FR"/>
        </w:rPr>
        <w:t>’</w:t>
      </w:r>
      <w:r w:rsidRPr="00AB1F22">
        <w:rPr>
          <w:lang w:val="fr-FR"/>
        </w:rPr>
        <w:t>État</w:t>
      </w:r>
      <w:r>
        <w:rPr>
          <w:lang w:val="fr-FR"/>
        </w:rPr>
        <w:t> »</w:t>
      </w:r>
      <w:r w:rsidRPr="00AB1F22">
        <w:rPr>
          <w:lang w:val="fr-FR"/>
        </w:rPr>
        <w:t xml:space="preserve"> comme</w:t>
      </w:r>
      <w:r>
        <w:rPr>
          <w:lang w:val="fr-FR"/>
        </w:rPr>
        <w:t>, notamment,</w:t>
      </w:r>
      <w:r w:rsidRPr="00AB1F22">
        <w:rPr>
          <w:lang w:val="fr-FR"/>
        </w:rPr>
        <w:t xml:space="preserve"> toute personne exerçant à Hong</w:t>
      </w:r>
      <w:r>
        <w:rPr>
          <w:lang w:val="fr-FR"/>
        </w:rPr>
        <w:t> </w:t>
      </w:r>
      <w:r w:rsidRPr="00AB1F22">
        <w:rPr>
          <w:lang w:val="fr-FR"/>
        </w:rPr>
        <w:t>Kong une fonction décrite à l</w:t>
      </w:r>
      <w:r w:rsidR="004F1DFB">
        <w:rPr>
          <w:lang w:val="fr-FR"/>
        </w:rPr>
        <w:t>’</w:t>
      </w:r>
      <w:r w:rsidRPr="00AB1F22">
        <w:rPr>
          <w:lang w:val="fr-FR"/>
        </w:rPr>
        <w:t>annexe, à savoir une fonction au sein de la police, du Département des douanes et accises, du Département de l</w:t>
      </w:r>
      <w:r w:rsidR="004F1DFB">
        <w:rPr>
          <w:lang w:val="fr-FR"/>
        </w:rPr>
        <w:t>’</w:t>
      </w:r>
      <w:r w:rsidRPr="00AB1F22">
        <w:rPr>
          <w:lang w:val="fr-FR"/>
        </w:rPr>
        <w:t>administration pénitentiaire, de la Commission indépendante de lutte contre la corruption et du Département de l</w:t>
      </w:r>
      <w:r w:rsidR="004F1DFB">
        <w:rPr>
          <w:lang w:val="fr-FR"/>
        </w:rPr>
        <w:t>’</w:t>
      </w:r>
      <w:r w:rsidRPr="00AB1F22">
        <w:rPr>
          <w:lang w:val="fr-FR"/>
        </w:rPr>
        <w:t>immigration. L</w:t>
      </w:r>
      <w:r w:rsidR="004F1DFB">
        <w:rPr>
          <w:lang w:val="fr-FR"/>
        </w:rPr>
        <w:t>’</w:t>
      </w:r>
      <w:r w:rsidRPr="00AB1F22">
        <w:rPr>
          <w:lang w:val="fr-FR"/>
        </w:rPr>
        <w:t xml:space="preserve">emploi du mot </w:t>
      </w:r>
      <w:r>
        <w:rPr>
          <w:lang w:val="fr-FR"/>
        </w:rPr>
        <w:t>« notamme</w:t>
      </w:r>
      <w:r w:rsidRPr="00AB1F22">
        <w:rPr>
          <w:lang w:val="fr-FR"/>
        </w:rPr>
        <w:t>nt</w:t>
      </w:r>
      <w:r>
        <w:rPr>
          <w:lang w:val="fr-FR"/>
        </w:rPr>
        <w:t> »</w:t>
      </w:r>
      <w:r w:rsidRPr="00AB1F22">
        <w:rPr>
          <w:lang w:val="fr-FR"/>
        </w:rPr>
        <w:t xml:space="preserve"> dans la définition de l</w:t>
      </w:r>
      <w:r w:rsidR="004F1DFB">
        <w:rPr>
          <w:lang w:val="fr-FR"/>
        </w:rPr>
        <w:t>’</w:t>
      </w:r>
      <w:r w:rsidRPr="00AB1F22">
        <w:rPr>
          <w:lang w:val="fr-FR"/>
        </w:rPr>
        <w:t>agent de l</w:t>
      </w:r>
      <w:r w:rsidR="004F1DFB">
        <w:rPr>
          <w:lang w:val="fr-FR"/>
        </w:rPr>
        <w:t>’</w:t>
      </w:r>
      <w:r w:rsidRPr="00AB1F22">
        <w:rPr>
          <w:lang w:val="fr-FR"/>
        </w:rPr>
        <w:t>Éta</w:t>
      </w:r>
      <w:r>
        <w:rPr>
          <w:lang w:val="fr-FR"/>
        </w:rPr>
        <w:t>t</w:t>
      </w:r>
      <w:r w:rsidRPr="00AB1F22">
        <w:rPr>
          <w:lang w:val="fr-FR"/>
        </w:rPr>
        <w:t xml:space="preserve"> indique clairement qu</w:t>
      </w:r>
      <w:r w:rsidR="004F1DFB">
        <w:rPr>
          <w:lang w:val="fr-FR"/>
        </w:rPr>
        <w:t>’</w:t>
      </w:r>
      <w:r w:rsidRPr="00AB1F22">
        <w:rPr>
          <w:lang w:val="fr-FR"/>
        </w:rPr>
        <w:t>une personne qui n</w:t>
      </w:r>
      <w:r w:rsidR="004F1DFB">
        <w:rPr>
          <w:lang w:val="fr-FR"/>
        </w:rPr>
        <w:t>’</w:t>
      </w:r>
      <w:r w:rsidRPr="00AB1F22">
        <w:rPr>
          <w:lang w:val="fr-FR"/>
        </w:rPr>
        <w:t>occupe pas une fonction décrite dans l</w:t>
      </w:r>
      <w:r w:rsidR="004F1DFB">
        <w:rPr>
          <w:lang w:val="fr-FR"/>
        </w:rPr>
        <w:t>’</w:t>
      </w:r>
      <w:r w:rsidRPr="00AB1F22">
        <w:rPr>
          <w:lang w:val="fr-FR"/>
        </w:rPr>
        <w:t>annexe peut néanmoins être un agent de l</w:t>
      </w:r>
      <w:r w:rsidR="004F1DFB">
        <w:rPr>
          <w:lang w:val="fr-FR"/>
        </w:rPr>
        <w:t>’</w:t>
      </w:r>
      <w:r w:rsidRPr="00AB1F22">
        <w:rPr>
          <w:lang w:val="fr-FR"/>
        </w:rPr>
        <w:t>État (ou une personne agissant à titre officiel) au sens du paragraphe 1 de l</w:t>
      </w:r>
      <w:r w:rsidR="004F1DFB">
        <w:rPr>
          <w:lang w:val="fr-FR"/>
        </w:rPr>
        <w:t>’</w:t>
      </w:r>
      <w:r w:rsidRPr="00AB1F22">
        <w:rPr>
          <w:lang w:val="fr-FR"/>
        </w:rPr>
        <w:t>article 2, et être poursuivie pour l</w:t>
      </w:r>
      <w:r w:rsidR="004F1DFB">
        <w:rPr>
          <w:lang w:val="fr-FR"/>
        </w:rPr>
        <w:t>’</w:t>
      </w:r>
      <w:r w:rsidRPr="00AB1F22">
        <w:rPr>
          <w:lang w:val="fr-FR"/>
        </w:rPr>
        <w:t xml:space="preserve">infraction de torture. </w:t>
      </w:r>
    </w:p>
    <w:p w:rsidR="0024529D" w:rsidRPr="00AB1F22" w:rsidRDefault="0024529D" w:rsidP="0024529D">
      <w:pPr>
        <w:pStyle w:val="SingleTxtG"/>
        <w:rPr>
          <w:lang w:val="fr-FR"/>
        </w:rPr>
      </w:pPr>
      <w:r w:rsidRPr="00AB1F22">
        <w:rPr>
          <w:lang w:val="fr-FR"/>
        </w:rPr>
        <w:t>30.</w:t>
      </w:r>
      <w:r w:rsidRPr="00AB1F22">
        <w:rPr>
          <w:lang w:val="fr-FR"/>
        </w:rPr>
        <w:tab/>
        <w:t>Le paragraphe 1 de l</w:t>
      </w:r>
      <w:r w:rsidR="004F1DFB">
        <w:rPr>
          <w:lang w:val="fr-FR"/>
        </w:rPr>
        <w:t>’</w:t>
      </w:r>
      <w:r w:rsidRPr="00AB1F22">
        <w:rPr>
          <w:lang w:val="fr-FR"/>
        </w:rPr>
        <w:t>article 3 de l</w:t>
      </w:r>
      <w:r w:rsidR="004F1DFB">
        <w:rPr>
          <w:lang w:val="fr-FR"/>
        </w:rPr>
        <w:t>’</w:t>
      </w:r>
      <w:r w:rsidRPr="00AB1F22">
        <w:rPr>
          <w:lang w:val="fr-FR"/>
        </w:rPr>
        <w:t>ordonnance érige en infraction le fait pour un agent de l</w:t>
      </w:r>
      <w:r w:rsidR="004F1DFB">
        <w:rPr>
          <w:lang w:val="fr-FR"/>
        </w:rPr>
        <w:t>’</w:t>
      </w:r>
      <w:r w:rsidRPr="00AB1F22">
        <w:rPr>
          <w:lang w:val="fr-FR"/>
        </w:rPr>
        <w:t>État ou une personne agissant à titre officiel d</w:t>
      </w:r>
      <w:r w:rsidR="004F1DFB">
        <w:rPr>
          <w:lang w:val="fr-FR"/>
        </w:rPr>
        <w:t>’</w:t>
      </w:r>
      <w:r w:rsidRPr="00AB1F22">
        <w:rPr>
          <w:lang w:val="fr-FR"/>
        </w:rPr>
        <w:t>infliger intentionnellement à autrui une douleur ou des souffrances aiguës dans l</w:t>
      </w:r>
      <w:r w:rsidR="004F1DFB">
        <w:rPr>
          <w:lang w:val="fr-FR"/>
        </w:rPr>
        <w:t>’</w:t>
      </w:r>
      <w:r w:rsidRPr="00AB1F22">
        <w:rPr>
          <w:lang w:val="fr-FR"/>
        </w:rPr>
        <w:t xml:space="preserve">exercice </w:t>
      </w:r>
      <w:r>
        <w:rPr>
          <w:lang w:val="fr-FR"/>
        </w:rPr>
        <w:t>réel ou allégué</w:t>
      </w:r>
      <w:r w:rsidRPr="00AB1F22">
        <w:rPr>
          <w:lang w:val="fr-FR"/>
        </w:rPr>
        <w:t xml:space="preserve"> de ses fonctions officielles. Par rapport à la définition de la torture figurant à l</w:t>
      </w:r>
      <w:r w:rsidR="004F1DFB">
        <w:rPr>
          <w:lang w:val="fr-FR"/>
        </w:rPr>
        <w:t>’</w:t>
      </w:r>
      <w:r w:rsidRPr="00AB1F22">
        <w:rPr>
          <w:lang w:val="fr-FR"/>
        </w:rPr>
        <w:t>article premier de la Convention contre la torture et autres peines ou traitements cruels, inhumains ou dégradants, l</w:t>
      </w:r>
      <w:r w:rsidR="004F1DFB">
        <w:rPr>
          <w:lang w:val="fr-FR"/>
        </w:rPr>
        <w:t>’</w:t>
      </w:r>
      <w:r w:rsidRPr="00AB1F22">
        <w:rPr>
          <w:lang w:val="fr-FR"/>
        </w:rPr>
        <w:t>infraction de torture prévue au paragraphe 1 de l</w:t>
      </w:r>
      <w:r w:rsidR="004F1DFB">
        <w:rPr>
          <w:lang w:val="fr-FR"/>
        </w:rPr>
        <w:t>’</w:t>
      </w:r>
      <w:r w:rsidRPr="00AB1F22">
        <w:rPr>
          <w:lang w:val="fr-FR"/>
        </w:rPr>
        <w:t>article 3 de l</w:t>
      </w:r>
      <w:r w:rsidR="004F1DFB">
        <w:rPr>
          <w:lang w:val="fr-FR"/>
        </w:rPr>
        <w:t>’</w:t>
      </w:r>
      <w:r w:rsidRPr="00AB1F22">
        <w:rPr>
          <w:lang w:val="fr-FR"/>
        </w:rPr>
        <w:t xml:space="preserve">ordonnance </w:t>
      </w:r>
      <w:r>
        <w:rPr>
          <w:lang w:val="fr-FR"/>
        </w:rPr>
        <w:t>est définie de manière</w:t>
      </w:r>
      <w:r w:rsidRPr="00AB1F22">
        <w:rPr>
          <w:lang w:val="fr-FR"/>
        </w:rPr>
        <w:t xml:space="preserve"> plus large. </w:t>
      </w:r>
      <w:r>
        <w:rPr>
          <w:lang w:val="fr-FR"/>
        </w:rPr>
        <w:t>Elle</w:t>
      </w:r>
      <w:r w:rsidRPr="00AB1F22">
        <w:rPr>
          <w:lang w:val="fr-FR"/>
        </w:rPr>
        <w:t xml:space="preserve"> n</w:t>
      </w:r>
      <w:r w:rsidR="004F1DFB">
        <w:rPr>
          <w:lang w:val="fr-FR"/>
        </w:rPr>
        <w:t>’</w:t>
      </w:r>
      <w:r w:rsidRPr="00AB1F22">
        <w:rPr>
          <w:lang w:val="fr-FR"/>
        </w:rPr>
        <w:t>est pas limitée par le but dans lequel l</w:t>
      </w:r>
      <w:r w:rsidR="004F1DFB">
        <w:rPr>
          <w:lang w:val="fr-FR"/>
        </w:rPr>
        <w:t>’</w:t>
      </w:r>
      <w:r w:rsidRPr="00AB1F22">
        <w:rPr>
          <w:lang w:val="fr-FR"/>
        </w:rPr>
        <w:t>auteur commet l</w:t>
      </w:r>
      <w:r w:rsidR="004F1DFB">
        <w:rPr>
          <w:lang w:val="fr-FR"/>
        </w:rPr>
        <w:t>’</w:t>
      </w:r>
      <w:r w:rsidRPr="00AB1F22">
        <w:rPr>
          <w:lang w:val="fr-FR"/>
        </w:rPr>
        <w:t xml:space="preserve">acte. </w:t>
      </w:r>
    </w:p>
    <w:p w:rsidR="0024529D" w:rsidRPr="00AB1F22" w:rsidRDefault="0024529D" w:rsidP="0024529D">
      <w:pPr>
        <w:pStyle w:val="SingleTxtG"/>
        <w:rPr>
          <w:lang w:val="fr-FR"/>
        </w:rPr>
      </w:pPr>
      <w:r w:rsidRPr="00AB1F22">
        <w:rPr>
          <w:lang w:val="fr-FR"/>
        </w:rPr>
        <w:t>31.</w:t>
      </w:r>
      <w:r w:rsidRPr="00AB1F22">
        <w:rPr>
          <w:lang w:val="fr-FR"/>
        </w:rPr>
        <w:tab/>
        <w:t xml:space="preserve">Compte tenu de cette </w:t>
      </w:r>
      <w:r>
        <w:rPr>
          <w:lang w:val="fr-FR"/>
        </w:rPr>
        <w:t xml:space="preserve">définition plus </w:t>
      </w:r>
      <w:r w:rsidRPr="00AB1F22">
        <w:rPr>
          <w:lang w:val="fr-FR"/>
        </w:rPr>
        <w:t>large, la RAS de Hong</w:t>
      </w:r>
      <w:r>
        <w:rPr>
          <w:lang w:val="fr-FR"/>
        </w:rPr>
        <w:t> </w:t>
      </w:r>
      <w:r w:rsidRPr="00AB1F22">
        <w:rPr>
          <w:lang w:val="fr-FR"/>
        </w:rPr>
        <w:t>Kong reste d</w:t>
      </w:r>
      <w:r w:rsidR="004F1DFB">
        <w:rPr>
          <w:lang w:val="fr-FR"/>
        </w:rPr>
        <w:t>’</w:t>
      </w:r>
      <w:r w:rsidRPr="00AB1F22">
        <w:rPr>
          <w:lang w:val="fr-FR"/>
        </w:rPr>
        <w:t>avis qu</w:t>
      </w:r>
      <w:r w:rsidR="004F1DFB">
        <w:rPr>
          <w:lang w:val="fr-FR"/>
        </w:rPr>
        <w:t>’</w:t>
      </w:r>
      <w:r w:rsidRPr="00AB1F22">
        <w:rPr>
          <w:lang w:val="fr-FR"/>
        </w:rPr>
        <w:t>il est nécessaire de prévoir pour l</w:t>
      </w:r>
      <w:r w:rsidR="004F1DFB">
        <w:rPr>
          <w:lang w:val="fr-FR"/>
        </w:rPr>
        <w:t>’</w:t>
      </w:r>
      <w:r w:rsidRPr="00AB1F22">
        <w:rPr>
          <w:lang w:val="fr-FR"/>
        </w:rPr>
        <w:t>accusé l</w:t>
      </w:r>
      <w:r w:rsidR="004F1DFB">
        <w:rPr>
          <w:lang w:val="fr-FR"/>
        </w:rPr>
        <w:t>’</w:t>
      </w:r>
      <w:r w:rsidRPr="00AB1F22">
        <w:rPr>
          <w:lang w:val="fr-FR"/>
        </w:rPr>
        <w:t>argument de défense visé au paragraphe 4 de l</w:t>
      </w:r>
      <w:r w:rsidR="004F1DFB">
        <w:rPr>
          <w:lang w:val="fr-FR"/>
        </w:rPr>
        <w:t>’</w:t>
      </w:r>
      <w:r w:rsidRPr="00AB1F22">
        <w:rPr>
          <w:lang w:val="fr-FR"/>
        </w:rPr>
        <w:t>article 3 s</w:t>
      </w:r>
      <w:r w:rsidR="004F1DFB">
        <w:rPr>
          <w:lang w:val="fr-FR"/>
        </w:rPr>
        <w:t>’</w:t>
      </w:r>
      <w:r w:rsidRPr="00AB1F22">
        <w:rPr>
          <w:lang w:val="fr-FR"/>
        </w:rPr>
        <w:t>il est en mesure de prouver qu</w:t>
      </w:r>
      <w:r w:rsidR="004F1DFB">
        <w:rPr>
          <w:lang w:val="fr-FR"/>
        </w:rPr>
        <w:t>’</w:t>
      </w:r>
      <w:r w:rsidRPr="00AB1F22">
        <w:rPr>
          <w:lang w:val="fr-FR"/>
        </w:rPr>
        <w:t xml:space="preserve">il </w:t>
      </w:r>
      <w:r>
        <w:rPr>
          <w:lang w:val="fr-FR"/>
        </w:rPr>
        <w:t xml:space="preserve">était habilité ou avait </w:t>
      </w:r>
      <w:r w:rsidRPr="00AB1F22">
        <w:rPr>
          <w:lang w:val="fr-FR"/>
        </w:rPr>
        <w:t>une justification ou une excuse légitime</w:t>
      </w:r>
      <w:r>
        <w:rPr>
          <w:lang w:val="fr-FR"/>
        </w:rPr>
        <w:t>s</w:t>
      </w:r>
      <w:r w:rsidRPr="00AB1F22">
        <w:rPr>
          <w:lang w:val="fr-FR"/>
        </w:rPr>
        <w:t xml:space="preserve"> en ce qui concerne l</w:t>
      </w:r>
      <w:r w:rsidR="004F1DFB">
        <w:rPr>
          <w:lang w:val="fr-FR"/>
        </w:rPr>
        <w:t>’</w:t>
      </w:r>
      <w:r w:rsidRPr="00AB1F22">
        <w:rPr>
          <w:lang w:val="fr-FR"/>
        </w:rPr>
        <w:t>acte dont il est accusé. Cet argument de défense vise des cas tels que l</w:t>
      </w:r>
      <w:r w:rsidR="004F1DFB">
        <w:rPr>
          <w:lang w:val="fr-FR"/>
        </w:rPr>
        <w:t>’</w:t>
      </w:r>
      <w:r w:rsidRPr="00AB1F22">
        <w:rPr>
          <w:lang w:val="fr-FR"/>
        </w:rPr>
        <w:t xml:space="preserve">usage raisonnable de la force pour maîtriser un détenu violent ou traiter un patient. Il ne vise pas à autoriser </w:t>
      </w:r>
      <w:r w:rsidR="00B917A0">
        <w:rPr>
          <w:lang w:val="fr-FR"/>
        </w:rPr>
        <w:t>− </w:t>
      </w:r>
      <w:r w:rsidRPr="00AB1F22">
        <w:rPr>
          <w:lang w:val="fr-FR"/>
        </w:rPr>
        <w:t>ni n</w:t>
      </w:r>
      <w:r w:rsidR="004F1DFB">
        <w:rPr>
          <w:lang w:val="fr-FR"/>
        </w:rPr>
        <w:t>’</w:t>
      </w:r>
      <w:r w:rsidRPr="00AB1F22">
        <w:rPr>
          <w:lang w:val="fr-FR"/>
        </w:rPr>
        <w:t>invite les tribunaux à l</w:t>
      </w:r>
      <w:r w:rsidR="004F1DFB">
        <w:rPr>
          <w:lang w:val="fr-FR"/>
        </w:rPr>
        <w:t>’</w:t>
      </w:r>
      <w:r w:rsidRPr="00AB1F22">
        <w:rPr>
          <w:lang w:val="fr-FR"/>
        </w:rPr>
        <w:t>interpréter comme autorisant</w:t>
      </w:r>
      <w:r w:rsidR="00B917A0">
        <w:rPr>
          <w:lang w:val="fr-FR"/>
        </w:rPr>
        <w:t xml:space="preserve"> − </w:t>
      </w:r>
      <w:r w:rsidRPr="00AB1F22">
        <w:rPr>
          <w:lang w:val="fr-FR"/>
        </w:rPr>
        <w:t>des actes qui, par leur nature, équivalent à la torture telle que définie à l</w:t>
      </w:r>
      <w:r w:rsidR="004F1DFB">
        <w:rPr>
          <w:lang w:val="fr-FR"/>
        </w:rPr>
        <w:t>’</w:t>
      </w:r>
      <w:r w:rsidRPr="00AB1F22">
        <w:rPr>
          <w:lang w:val="fr-FR"/>
        </w:rPr>
        <w:t xml:space="preserve">article premier de la Convention contre la torture. </w:t>
      </w:r>
    </w:p>
    <w:p w:rsidR="0024529D" w:rsidRPr="00AB1F22" w:rsidRDefault="0024529D" w:rsidP="0024529D">
      <w:pPr>
        <w:pStyle w:val="SingleTxtG"/>
        <w:rPr>
          <w:lang w:val="fr-FR"/>
        </w:rPr>
      </w:pPr>
      <w:r w:rsidRPr="00AB1F22">
        <w:rPr>
          <w:lang w:val="fr-FR"/>
        </w:rPr>
        <w:t>32.</w:t>
      </w:r>
      <w:r w:rsidRPr="00AB1F22">
        <w:rPr>
          <w:lang w:val="fr-FR"/>
        </w:rPr>
        <w:tab/>
        <w:t>Le caractère intangible de l</w:t>
      </w:r>
      <w:r w:rsidR="004F1DFB">
        <w:rPr>
          <w:lang w:val="fr-FR"/>
        </w:rPr>
        <w:t>’</w:t>
      </w:r>
      <w:r w:rsidRPr="00AB1F22">
        <w:rPr>
          <w:lang w:val="fr-FR"/>
        </w:rPr>
        <w:t>interdiction de la torture est clairement prévu au paragraphe 2 c) de l</w:t>
      </w:r>
      <w:r w:rsidR="004F1DFB">
        <w:rPr>
          <w:lang w:val="fr-FR"/>
        </w:rPr>
        <w:t>’</w:t>
      </w:r>
      <w:r w:rsidRPr="00AB1F22">
        <w:rPr>
          <w:lang w:val="fr-FR"/>
        </w:rPr>
        <w:t>article 5 de l</w:t>
      </w:r>
      <w:r w:rsidR="004F1DFB">
        <w:rPr>
          <w:lang w:val="fr-FR"/>
        </w:rPr>
        <w:t>’</w:t>
      </w:r>
      <w:r w:rsidRPr="00AB1F22">
        <w:rPr>
          <w:lang w:val="fr-FR"/>
        </w:rPr>
        <w:t>ordonnance portant Charte des droits de Hong</w:t>
      </w:r>
      <w:r>
        <w:rPr>
          <w:lang w:val="fr-FR"/>
        </w:rPr>
        <w:t> </w:t>
      </w:r>
      <w:r w:rsidRPr="00AB1F22">
        <w:rPr>
          <w:lang w:val="fr-FR"/>
        </w:rPr>
        <w:t>Kong et a été reconnu par les tribunaux dans plusieurs décisions. Compte tenu de l</w:t>
      </w:r>
      <w:r w:rsidR="004F1DFB">
        <w:rPr>
          <w:lang w:val="fr-FR"/>
        </w:rPr>
        <w:t>’</w:t>
      </w:r>
      <w:r w:rsidRPr="00AB1F22">
        <w:rPr>
          <w:lang w:val="fr-FR"/>
        </w:rPr>
        <w:t>article 39 de la Loi fondamentale, les tribunaux tiendront pleinement compte du caractère absolu et intangible de l</w:t>
      </w:r>
      <w:r w:rsidR="004F1DFB">
        <w:rPr>
          <w:lang w:val="fr-FR"/>
        </w:rPr>
        <w:t>’</w:t>
      </w:r>
      <w:r w:rsidRPr="00AB1F22">
        <w:rPr>
          <w:lang w:val="fr-FR"/>
        </w:rPr>
        <w:t>interdiction de la torture en application du Pacte et de l</w:t>
      </w:r>
      <w:r w:rsidR="004F1DFB">
        <w:rPr>
          <w:lang w:val="fr-FR"/>
        </w:rPr>
        <w:t>’</w:t>
      </w:r>
      <w:r w:rsidRPr="00AB1F22">
        <w:rPr>
          <w:lang w:val="fr-FR"/>
        </w:rPr>
        <w:t>ordonnance portant Charte des droits de Hong</w:t>
      </w:r>
      <w:r>
        <w:rPr>
          <w:lang w:val="fr-FR"/>
        </w:rPr>
        <w:t> </w:t>
      </w:r>
      <w:r w:rsidRPr="00AB1F22">
        <w:rPr>
          <w:lang w:val="fr-FR"/>
        </w:rPr>
        <w:t>Kong lorsqu</w:t>
      </w:r>
      <w:r w:rsidR="004F1DFB">
        <w:rPr>
          <w:lang w:val="fr-FR"/>
        </w:rPr>
        <w:t>’</w:t>
      </w:r>
      <w:r w:rsidRPr="00AB1F22">
        <w:rPr>
          <w:lang w:val="fr-FR"/>
        </w:rPr>
        <w:t>ils détermineront si une personne accusée peut ou non se prévaloir de l</w:t>
      </w:r>
      <w:r w:rsidR="004F1DFB">
        <w:rPr>
          <w:lang w:val="fr-FR"/>
        </w:rPr>
        <w:t>’</w:t>
      </w:r>
      <w:r w:rsidRPr="00AB1F22">
        <w:rPr>
          <w:lang w:val="fr-FR"/>
        </w:rPr>
        <w:t>argument de défense prévu au paragraphe 4 de l</w:t>
      </w:r>
      <w:r w:rsidR="004F1DFB">
        <w:rPr>
          <w:lang w:val="fr-FR"/>
        </w:rPr>
        <w:t>’</w:t>
      </w:r>
      <w:r w:rsidRPr="00AB1F22">
        <w:rPr>
          <w:lang w:val="fr-FR"/>
        </w:rPr>
        <w:t>article</w:t>
      </w:r>
      <w:r>
        <w:rPr>
          <w:lang w:val="fr-FR"/>
        </w:rPr>
        <w:t> </w:t>
      </w:r>
      <w:r w:rsidRPr="00AB1F22">
        <w:rPr>
          <w:lang w:val="fr-FR"/>
        </w:rPr>
        <w:t>3 de l</w:t>
      </w:r>
      <w:r w:rsidR="004F1DFB">
        <w:rPr>
          <w:lang w:val="fr-FR"/>
        </w:rPr>
        <w:t>’</w:t>
      </w:r>
      <w:r w:rsidRPr="00AB1F22">
        <w:rPr>
          <w:lang w:val="fr-FR"/>
        </w:rPr>
        <w:t>ordonnance relative aux infractions</w:t>
      </w:r>
      <w:r>
        <w:rPr>
          <w:lang w:val="fr-FR"/>
        </w:rPr>
        <w:t xml:space="preserve"> pénales</w:t>
      </w:r>
      <w:r w:rsidRPr="00AB1F22">
        <w:rPr>
          <w:lang w:val="fr-FR"/>
        </w:rPr>
        <w:t xml:space="preserve"> (torture).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Allégations de torture ou d</w:t>
      </w:r>
      <w:r w:rsidR="004F1DFB">
        <w:rPr>
          <w:bCs/>
          <w:lang w:val="fr-FR"/>
        </w:rPr>
        <w:t>’</w:t>
      </w:r>
      <w:r w:rsidRPr="00AB1F22">
        <w:rPr>
          <w:bCs/>
          <w:lang w:val="fr-FR"/>
        </w:rPr>
        <w:t>autres formes de mauvais traitements</w:t>
      </w:r>
      <w:r w:rsidRPr="00AB1F22">
        <w:rPr>
          <w:lang w:val="fr-FR"/>
        </w:rPr>
        <w:t xml:space="preserve"> </w:t>
      </w:r>
      <w:bookmarkStart w:id="21" w:name="_Toc31721410"/>
      <w:bookmarkEnd w:id="21"/>
    </w:p>
    <w:p w:rsidR="0024529D" w:rsidRPr="00AB1F22" w:rsidRDefault="0024529D" w:rsidP="0024529D">
      <w:pPr>
        <w:pStyle w:val="SingleTxtG"/>
        <w:rPr>
          <w:lang w:val="fr-FR"/>
        </w:rPr>
      </w:pPr>
      <w:r w:rsidRPr="00AB1F22">
        <w:rPr>
          <w:lang w:val="fr-FR"/>
        </w:rPr>
        <w:t>33.</w:t>
      </w:r>
      <w:r w:rsidRPr="00AB1F22">
        <w:rPr>
          <w:lang w:val="fr-FR"/>
        </w:rPr>
        <w:tab/>
        <w:t xml:space="preserve">La situation reste inchangée par rapport à celle mentionnée au paragraphe 92 du rapport précédent. </w:t>
      </w:r>
    </w:p>
    <w:p w:rsidR="0024529D" w:rsidRPr="00AB1F22" w:rsidRDefault="0024529D" w:rsidP="0024529D">
      <w:pPr>
        <w:pStyle w:val="SingleTxtG"/>
        <w:rPr>
          <w:lang w:val="fr-FR"/>
        </w:rPr>
      </w:pPr>
      <w:r w:rsidRPr="00AB1F22">
        <w:rPr>
          <w:lang w:val="fr-FR"/>
        </w:rPr>
        <w:t>34.</w:t>
      </w:r>
      <w:r w:rsidRPr="00AB1F22">
        <w:rPr>
          <w:lang w:val="fr-FR"/>
        </w:rPr>
        <w:tab/>
        <w:t>Depuis la soumission du rapport précédent en 2011, le Bureau des réclamations contre la police n</w:t>
      </w:r>
      <w:r w:rsidR="004F1DFB">
        <w:rPr>
          <w:lang w:val="fr-FR"/>
        </w:rPr>
        <w:t>’</w:t>
      </w:r>
      <w:r w:rsidRPr="00AB1F22">
        <w:rPr>
          <w:lang w:val="fr-FR"/>
        </w:rPr>
        <w:t>a reçu aucune plainte pour torture telle que définie dans l</w:t>
      </w:r>
      <w:r w:rsidR="004F1DFB">
        <w:rPr>
          <w:lang w:val="fr-FR"/>
        </w:rPr>
        <w:t>’</w:t>
      </w:r>
      <w:r w:rsidRPr="00AB1F22">
        <w:rPr>
          <w:lang w:val="fr-FR"/>
        </w:rPr>
        <w:t xml:space="preserve">ordonnance relative aux infractions </w:t>
      </w:r>
      <w:r>
        <w:rPr>
          <w:lang w:val="fr-FR"/>
        </w:rPr>
        <w:t xml:space="preserve">pénales </w:t>
      </w:r>
      <w:r w:rsidRPr="00AB1F22">
        <w:rPr>
          <w:lang w:val="fr-FR"/>
        </w:rPr>
        <w:t>(torture). Le 31 décembre 2017, aucune poursuite n</w:t>
      </w:r>
      <w:r w:rsidR="004F1DFB">
        <w:rPr>
          <w:lang w:val="fr-FR"/>
        </w:rPr>
        <w:t>’</w:t>
      </w:r>
      <w:r w:rsidRPr="00AB1F22">
        <w:rPr>
          <w:lang w:val="fr-FR"/>
        </w:rPr>
        <w:t>avait été engagée pour une infraction de torture au sens de l</w:t>
      </w:r>
      <w:r w:rsidR="004F1DFB">
        <w:rPr>
          <w:lang w:val="fr-FR"/>
        </w:rPr>
        <w:t>’</w:t>
      </w:r>
      <w:r w:rsidRPr="00AB1F22">
        <w:rPr>
          <w:lang w:val="fr-FR"/>
        </w:rPr>
        <w:t xml:space="preserve">ordonnance.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Formation des forces de l</w:t>
      </w:r>
      <w:r w:rsidR="004F1DFB">
        <w:rPr>
          <w:bCs/>
          <w:lang w:val="fr-FR"/>
        </w:rPr>
        <w:t>’</w:t>
      </w:r>
      <w:r w:rsidRPr="00AB1F22">
        <w:rPr>
          <w:bCs/>
          <w:lang w:val="fr-FR"/>
        </w:rPr>
        <w:t xml:space="preserve">ordre et de la Commission indépendante </w:t>
      </w:r>
      <w:r w:rsidR="00B917A0">
        <w:rPr>
          <w:bCs/>
          <w:lang w:val="fr-FR"/>
        </w:rPr>
        <w:br/>
      </w:r>
      <w:r w:rsidRPr="00AB1F22">
        <w:rPr>
          <w:bCs/>
          <w:lang w:val="fr-FR"/>
        </w:rPr>
        <w:t>de lutte contre la corruption</w:t>
      </w:r>
      <w:r w:rsidRPr="00AB1F22">
        <w:rPr>
          <w:lang w:val="fr-FR"/>
        </w:rPr>
        <w:t xml:space="preserve"> </w:t>
      </w:r>
      <w:bookmarkStart w:id="22" w:name="_Toc31721411"/>
      <w:bookmarkEnd w:id="22"/>
    </w:p>
    <w:p w:rsidR="0024529D" w:rsidRPr="00AB1F22" w:rsidRDefault="0024529D" w:rsidP="0024529D">
      <w:pPr>
        <w:pStyle w:val="SingleTxtG"/>
        <w:rPr>
          <w:lang w:val="fr-FR"/>
        </w:rPr>
      </w:pPr>
      <w:r w:rsidRPr="00AB1F22">
        <w:rPr>
          <w:lang w:val="fr-FR"/>
        </w:rPr>
        <w:t>35.</w:t>
      </w:r>
      <w:r w:rsidRPr="00AB1F22">
        <w:rPr>
          <w:lang w:val="fr-FR"/>
        </w:rPr>
        <w:tab/>
        <w:t>La situation es</w:t>
      </w:r>
      <w:r>
        <w:rPr>
          <w:lang w:val="fr-FR"/>
        </w:rPr>
        <w:t>t celle décrite aux paragraphes </w:t>
      </w:r>
      <w:r w:rsidRPr="00AB1F22">
        <w:rPr>
          <w:lang w:val="fr-FR"/>
        </w:rPr>
        <w:t xml:space="preserve">116 à 123 de la deuxième partie du rapport initial. </w:t>
      </w:r>
    </w:p>
    <w:p w:rsidR="0024529D" w:rsidRPr="00AB1F22" w:rsidRDefault="0024529D" w:rsidP="0024529D">
      <w:pPr>
        <w:pStyle w:val="SingleTxtG"/>
        <w:rPr>
          <w:lang w:val="fr-FR"/>
        </w:rPr>
      </w:pPr>
      <w:r>
        <w:rPr>
          <w:lang w:val="fr-FR"/>
        </w:rPr>
        <w:t>36.</w:t>
      </w:r>
      <w:r>
        <w:rPr>
          <w:lang w:val="fr-FR"/>
        </w:rPr>
        <w:tab/>
        <w:t>Au paragraphe </w:t>
      </w:r>
      <w:r w:rsidRPr="00AB1F22">
        <w:rPr>
          <w:lang w:val="fr-FR"/>
        </w:rPr>
        <w:t>11 de ses précédentes observations finales, le Comité a recommandé à Hong</w:t>
      </w:r>
      <w:r>
        <w:rPr>
          <w:lang w:val="fr-FR"/>
        </w:rPr>
        <w:t> </w:t>
      </w:r>
      <w:r w:rsidRPr="00AB1F22">
        <w:rPr>
          <w:lang w:val="fr-FR"/>
        </w:rPr>
        <w:t>Kong de redoubler d</w:t>
      </w:r>
      <w:r w:rsidR="004F1DFB">
        <w:rPr>
          <w:lang w:val="fr-FR"/>
        </w:rPr>
        <w:t>’</w:t>
      </w:r>
      <w:r w:rsidRPr="00AB1F22">
        <w:rPr>
          <w:lang w:val="fr-FR"/>
        </w:rPr>
        <w:t>efforts pour dispenser aux policiers une formation sur le principe de proportionnalité dans l</w:t>
      </w:r>
      <w:r w:rsidR="004F1DFB">
        <w:rPr>
          <w:lang w:val="fr-FR"/>
        </w:rPr>
        <w:t>’</w:t>
      </w:r>
      <w:r w:rsidRPr="00AB1F22">
        <w:rPr>
          <w:lang w:val="fr-FR"/>
        </w:rPr>
        <w:t xml:space="preserve">usage de la force, en tenant dûment compte des Principes de base des Nations Unies </w:t>
      </w:r>
      <w:r>
        <w:rPr>
          <w:lang w:val="fr-FR"/>
        </w:rPr>
        <w:t>sur le</w:t>
      </w:r>
      <w:r w:rsidRPr="00AB1F22">
        <w:rPr>
          <w:lang w:val="fr-FR"/>
        </w:rPr>
        <w:t xml:space="preserve"> recours à la force et l</w:t>
      </w:r>
      <w:r w:rsidR="004F1DFB">
        <w:rPr>
          <w:lang w:val="fr-FR"/>
        </w:rPr>
        <w:t>’</w:t>
      </w:r>
      <w:r w:rsidRPr="00AB1F22">
        <w:rPr>
          <w:lang w:val="fr-FR"/>
        </w:rPr>
        <w:t>utilisation des armes à feu par les responsables de l</w:t>
      </w:r>
      <w:r w:rsidR="004F1DFB">
        <w:rPr>
          <w:lang w:val="fr-FR"/>
        </w:rPr>
        <w:t>’</w:t>
      </w:r>
      <w:r w:rsidRPr="00AB1F22">
        <w:rPr>
          <w:lang w:val="fr-FR"/>
        </w:rPr>
        <w:t xml:space="preserve">application des lois. </w:t>
      </w:r>
    </w:p>
    <w:p w:rsidR="0024529D" w:rsidRPr="00AB1F22" w:rsidRDefault="0024529D" w:rsidP="0024529D">
      <w:pPr>
        <w:pStyle w:val="SingleTxtG"/>
        <w:rPr>
          <w:lang w:val="fr-FR"/>
        </w:rPr>
      </w:pPr>
      <w:r w:rsidRPr="00AB1F22">
        <w:rPr>
          <w:lang w:val="fr-FR"/>
        </w:rPr>
        <w:t>37.</w:t>
      </w:r>
      <w:r w:rsidRPr="00AB1F22">
        <w:rPr>
          <w:lang w:val="fr-FR"/>
        </w:rPr>
        <w:tab/>
        <w:t>La police a établi des directives et mis en place des formations sur l</w:t>
      </w:r>
      <w:r w:rsidR="004F1DFB">
        <w:rPr>
          <w:lang w:val="fr-FR"/>
        </w:rPr>
        <w:t>’</w:t>
      </w:r>
      <w:r w:rsidRPr="00AB1F22">
        <w:rPr>
          <w:lang w:val="fr-FR"/>
        </w:rPr>
        <w:t>usage de la force. Le matériel de formation traite du principe de proportionnalité dans l</w:t>
      </w:r>
      <w:r w:rsidR="004F1DFB">
        <w:rPr>
          <w:lang w:val="fr-FR"/>
        </w:rPr>
        <w:t>’</w:t>
      </w:r>
      <w:r w:rsidRPr="00AB1F22">
        <w:rPr>
          <w:lang w:val="fr-FR"/>
        </w:rPr>
        <w:t xml:space="preserve">usage de la force. Les policiers peuvent recourir à </w:t>
      </w:r>
      <w:r>
        <w:rPr>
          <w:lang w:val="fr-FR"/>
        </w:rPr>
        <w:t>un minimum de</w:t>
      </w:r>
      <w:r w:rsidRPr="00AB1F22">
        <w:rPr>
          <w:lang w:val="fr-FR"/>
        </w:rPr>
        <w:t xml:space="preserve"> force </w:t>
      </w:r>
      <w:r>
        <w:rPr>
          <w:lang w:val="fr-FR"/>
        </w:rPr>
        <w:t>uni</w:t>
      </w:r>
      <w:r w:rsidRPr="00AB1F22">
        <w:rPr>
          <w:lang w:val="fr-FR"/>
        </w:rPr>
        <w:t>que</w:t>
      </w:r>
      <w:r>
        <w:rPr>
          <w:lang w:val="fr-FR"/>
        </w:rPr>
        <w:t>ment</w:t>
      </w:r>
      <w:r w:rsidRPr="00AB1F22">
        <w:rPr>
          <w:lang w:val="fr-FR"/>
        </w:rPr>
        <w:t xml:space="preserve"> lorsqu</w:t>
      </w:r>
      <w:r>
        <w:rPr>
          <w:lang w:val="fr-FR"/>
        </w:rPr>
        <w:t>e c</w:t>
      </w:r>
      <w:r w:rsidRPr="00AB1F22">
        <w:rPr>
          <w:lang w:val="fr-FR"/>
        </w:rPr>
        <w:t>elle</w:t>
      </w:r>
      <w:r>
        <w:rPr>
          <w:lang w:val="fr-FR"/>
        </w:rPr>
        <w:t>-ci</w:t>
      </w:r>
      <w:r w:rsidRPr="00AB1F22">
        <w:rPr>
          <w:lang w:val="fr-FR"/>
        </w:rPr>
        <w:t xml:space="preserve"> est absolument nécessaire et qu</w:t>
      </w:r>
      <w:r w:rsidR="004F1DFB">
        <w:rPr>
          <w:lang w:val="fr-FR"/>
        </w:rPr>
        <w:t>’</w:t>
      </w:r>
      <w:r w:rsidRPr="00AB1F22">
        <w:rPr>
          <w:lang w:val="fr-FR"/>
        </w:rPr>
        <w:t>il n</w:t>
      </w:r>
      <w:r w:rsidR="004F1DFB">
        <w:rPr>
          <w:lang w:val="fr-FR"/>
        </w:rPr>
        <w:t>’</w:t>
      </w:r>
      <w:r w:rsidRPr="00AB1F22">
        <w:rPr>
          <w:lang w:val="fr-FR"/>
        </w:rPr>
        <w:t>existe aucun autre moyen d</w:t>
      </w:r>
      <w:r w:rsidR="004F1DFB">
        <w:rPr>
          <w:lang w:val="fr-FR"/>
        </w:rPr>
        <w:t>’</w:t>
      </w:r>
      <w:r w:rsidRPr="00AB1F22">
        <w:rPr>
          <w:lang w:val="fr-FR"/>
        </w:rPr>
        <w:t>accomplir leur devoir légal. Dès lors que les circonstances le permettent, les policiers doivent donner un avertissement verbal avant d</w:t>
      </w:r>
      <w:r w:rsidR="004F1DFB">
        <w:rPr>
          <w:lang w:val="fr-FR"/>
        </w:rPr>
        <w:t>’</w:t>
      </w:r>
      <w:r w:rsidRPr="00AB1F22">
        <w:rPr>
          <w:lang w:val="fr-FR"/>
        </w:rPr>
        <w:t>utiliser la force, et les personnes concernées doivent avoir la possibilité, chaque fois que cela est possible, d</w:t>
      </w:r>
      <w:r w:rsidR="004F1DFB">
        <w:rPr>
          <w:lang w:val="fr-FR"/>
        </w:rPr>
        <w:t>’</w:t>
      </w:r>
      <w:r w:rsidRPr="00AB1F22">
        <w:rPr>
          <w:lang w:val="fr-FR"/>
        </w:rPr>
        <w:t xml:space="preserve">obéir aux ordres de la police avant que la force ne soit utilisée. </w:t>
      </w:r>
    </w:p>
    <w:p w:rsidR="0024529D" w:rsidRPr="00AB1F22" w:rsidRDefault="0024529D" w:rsidP="0024529D">
      <w:pPr>
        <w:pStyle w:val="SingleTxtG"/>
        <w:rPr>
          <w:lang w:val="fr-FR"/>
        </w:rPr>
      </w:pPr>
      <w:r w:rsidRPr="00AB1F22">
        <w:rPr>
          <w:lang w:val="fr-FR"/>
        </w:rPr>
        <w:t>38.</w:t>
      </w:r>
      <w:r w:rsidRPr="00AB1F22">
        <w:rPr>
          <w:lang w:val="fr-FR"/>
        </w:rPr>
        <w:tab/>
        <w:t>Des précisions sur la formation de la police et de la Commission indépendante de lutte contre la corruption figurent à l</w:t>
      </w:r>
      <w:r w:rsidR="004F1DFB">
        <w:rPr>
          <w:lang w:val="fr-FR"/>
        </w:rPr>
        <w:t>’</w:t>
      </w:r>
      <w:r>
        <w:rPr>
          <w:lang w:val="fr-FR"/>
        </w:rPr>
        <w:t>annexe </w:t>
      </w:r>
      <w:r w:rsidRPr="00AB1F22">
        <w:rPr>
          <w:lang w:val="fr-FR"/>
        </w:rPr>
        <w:t xml:space="preserve">7A.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Examen des demandes de protection au titre du principe de non</w:t>
      </w:r>
      <w:r>
        <w:rPr>
          <w:bCs/>
          <w:lang w:val="fr-FR"/>
        </w:rPr>
        <w:noBreakHyphen/>
      </w:r>
      <w:r w:rsidRPr="00AB1F22">
        <w:rPr>
          <w:bCs/>
          <w:lang w:val="fr-FR"/>
        </w:rPr>
        <w:t>refoulement</w:t>
      </w:r>
      <w:r w:rsidRPr="00AB1F22">
        <w:rPr>
          <w:lang w:val="fr-FR"/>
        </w:rPr>
        <w:t xml:space="preserve"> </w:t>
      </w:r>
      <w:bookmarkStart w:id="23" w:name="_Toc31721412"/>
      <w:bookmarkEnd w:id="23"/>
    </w:p>
    <w:p w:rsidR="0024529D" w:rsidRPr="00AB1F22" w:rsidRDefault="0024529D" w:rsidP="0024529D">
      <w:pPr>
        <w:pStyle w:val="SingleTxtG"/>
        <w:rPr>
          <w:lang w:val="fr-FR"/>
        </w:rPr>
      </w:pPr>
      <w:r w:rsidRPr="00AB1F22">
        <w:rPr>
          <w:lang w:val="fr-FR"/>
        </w:rPr>
        <w:t>39.</w:t>
      </w:r>
      <w:r w:rsidRPr="00AB1F22">
        <w:rPr>
          <w:lang w:val="fr-FR"/>
        </w:rPr>
        <w:tab/>
        <w:t>Les étrangers qui sont entrés clandestinement dans la RAS de Hong</w:t>
      </w:r>
      <w:r>
        <w:rPr>
          <w:lang w:val="fr-FR"/>
        </w:rPr>
        <w:t> </w:t>
      </w:r>
      <w:r w:rsidRPr="00AB1F22">
        <w:rPr>
          <w:lang w:val="fr-FR"/>
        </w:rPr>
        <w:t>Kong, qui sont restés après l</w:t>
      </w:r>
      <w:r w:rsidR="004F1DFB">
        <w:rPr>
          <w:lang w:val="fr-FR"/>
        </w:rPr>
        <w:t>’</w:t>
      </w:r>
      <w:r w:rsidRPr="00AB1F22">
        <w:rPr>
          <w:lang w:val="fr-FR"/>
        </w:rPr>
        <w:t>expiration du permis de séjour que le Département de l</w:t>
      </w:r>
      <w:r w:rsidR="004F1DFB">
        <w:rPr>
          <w:lang w:val="fr-FR"/>
        </w:rPr>
        <w:t>’</w:t>
      </w:r>
      <w:r w:rsidRPr="00AB1F22">
        <w:rPr>
          <w:lang w:val="fr-FR"/>
        </w:rPr>
        <w:t>immigration leur a accordé, ou qui se sont vu refuser l</w:t>
      </w:r>
      <w:r w:rsidR="004F1DFB">
        <w:rPr>
          <w:lang w:val="fr-FR"/>
        </w:rPr>
        <w:t>’</w:t>
      </w:r>
      <w:r w:rsidRPr="00AB1F22">
        <w:rPr>
          <w:lang w:val="fr-FR"/>
        </w:rPr>
        <w:t>entrée à leur arrivée (ci</w:t>
      </w:r>
      <w:r>
        <w:rPr>
          <w:lang w:val="fr-FR"/>
        </w:rPr>
        <w:noBreakHyphen/>
      </w:r>
      <w:r w:rsidRPr="00AB1F22">
        <w:rPr>
          <w:lang w:val="fr-FR"/>
        </w:rPr>
        <w:t xml:space="preserve">après collectivement appelés </w:t>
      </w:r>
      <w:r>
        <w:rPr>
          <w:lang w:val="fr-FR"/>
        </w:rPr>
        <w:t>« </w:t>
      </w:r>
      <w:r w:rsidRPr="00AB1F22">
        <w:rPr>
          <w:lang w:val="fr-FR"/>
        </w:rPr>
        <w:t>immigrants clandestins</w:t>
      </w:r>
      <w:r>
        <w:rPr>
          <w:lang w:val="fr-FR"/>
        </w:rPr>
        <w:t> »</w:t>
      </w:r>
      <w:r w:rsidRPr="00AB1F22">
        <w:rPr>
          <w:lang w:val="fr-FR"/>
        </w:rPr>
        <w:t>) sont susceptibles d</w:t>
      </w:r>
      <w:r w:rsidR="004F1DFB">
        <w:rPr>
          <w:lang w:val="fr-FR"/>
        </w:rPr>
        <w:t>’</w:t>
      </w:r>
      <w:r w:rsidRPr="00AB1F22">
        <w:rPr>
          <w:lang w:val="fr-FR"/>
        </w:rPr>
        <w:t>être renvoyés de la RAS de Hong</w:t>
      </w:r>
      <w:r>
        <w:rPr>
          <w:lang w:val="fr-FR"/>
        </w:rPr>
        <w:t> </w:t>
      </w:r>
      <w:r w:rsidRPr="00AB1F22">
        <w:rPr>
          <w:lang w:val="fr-FR"/>
        </w:rPr>
        <w:t>Kong conformément à la loi. Pour maintenir un contrôle efficace de l</w:t>
      </w:r>
      <w:r w:rsidR="004F1DFB">
        <w:rPr>
          <w:lang w:val="fr-FR"/>
        </w:rPr>
        <w:t>’</w:t>
      </w:r>
      <w:r w:rsidRPr="00AB1F22">
        <w:rPr>
          <w:lang w:val="fr-FR"/>
        </w:rPr>
        <w:t>immigration et dans l</w:t>
      </w:r>
      <w:r w:rsidR="004F1DFB">
        <w:rPr>
          <w:lang w:val="fr-FR"/>
        </w:rPr>
        <w:t>’</w:t>
      </w:r>
      <w:r w:rsidRPr="00AB1F22">
        <w:rPr>
          <w:lang w:val="fr-FR"/>
        </w:rPr>
        <w:t xml:space="preserve">intérêt public, ils doivent être renvoyés dès que possible. </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Convention relative au statut des réfugiés non applicable</w:t>
      </w:r>
      <w:r w:rsidRPr="00AB1F22">
        <w:rPr>
          <w:lang w:val="fr-FR"/>
        </w:rPr>
        <w:t xml:space="preserve"> </w:t>
      </w:r>
    </w:p>
    <w:p w:rsidR="0024529D" w:rsidRPr="00AB1F22" w:rsidRDefault="0024529D" w:rsidP="0024529D">
      <w:pPr>
        <w:pStyle w:val="SingleTxtG"/>
        <w:rPr>
          <w:lang w:val="fr-FR"/>
        </w:rPr>
      </w:pPr>
      <w:r w:rsidRPr="00AB1F22">
        <w:rPr>
          <w:lang w:val="fr-FR"/>
        </w:rPr>
        <w:t>40.</w:t>
      </w:r>
      <w:r w:rsidRPr="00AB1F22">
        <w:rPr>
          <w:lang w:val="fr-FR"/>
        </w:rPr>
        <w:tab/>
        <w:t>La Convention des Nations unies de 1951 relative au statut des réfugiés et son protocole de 1967 n</w:t>
      </w:r>
      <w:r w:rsidR="004F1DFB">
        <w:rPr>
          <w:lang w:val="fr-FR"/>
        </w:rPr>
        <w:t>’</w:t>
      </w:r>
      <w:r w:rsidRPr="00AB1F22">
        <w:rPr>
          <w:lang w:val="fr-FR"/>
        </w:rPr>
        <w:t>ont jamais</w:t>
      </w:r>
      <w:r>
        <w:rPr>
          <w:lang w:val="fr-FR"/>
        </w:rPr>
        <w:t xml:space="preserve"> été appliqués à la RAS de Hong </w:t>
      </w:r>
      <w:r w:rsidRPr="00AB1F22">
        <w:rPr>
          <w:lang w:val="fr-FR"/>
        </w:rPr>
        <w:t>Kong, et les immigrants clandestins demandant une protection au titre du principe de non</w:t>
      </w:r>
      <w:r>
        <w:rPr>
          <w:lang w:val="fr-FR"/>
        </w:rPr>
        <w:noBreakHyphen/>
      </w:r>
      <w:r w:rsidRPr="00AB1F22">
        <w:rPr>
          <w:lang w:val="fr-FR"/>
        </w:rPr>
        <w:t>refoulement dans la RAS de Hong</w:t>
      </w:r>
      <w:r>
        <w:rPr>
          <w:lang w:val="fr-FR"/>
        </w:rPr>
        <w:t> </w:t>
      </w:r>
      <w:r w:rsidRPr="00AB1F22">
        <w:rPr>
          <w:lang w:val="fr-FR"/>
        </w:rPr>
        <w:t xml:space="preserve">Kong ne doivent pas être considérés comme des </w:t>
      </w:r>
      <w:r>
        <w:rPr>
          <w:lang w:val="fr-FR"/>
        </w:rPr>
        <w:t>« </w:t>
      </w:r>
      <w:r w:rsidRPr="00AB1F22">
        <w:rPr>
          <w:lang w:val="fr-FR"/>
        </w:rPr>
        <w:t>demandeurs d</w:t>
      </w:r>
      <w:r w:rsidR="004F1DFB">
        <w:rPr>
          <w:lang w:val="fr-FR"/>
        </w:rPr>
        <w:t>’</w:t>
      </w:r>
      <w:r w:rsidRPr="00AB1F22">
        <w:rPr>
          <w:lang w:val="fr-FR"/>
        </w:rPr>
        <w:t>asile</w:t>
      </w:r>
      <w:r>
        <w:rPr>
          <w:lang w:val="fr-FR"/>
        </w:rPr>
        <w:t> »</w:t>
      </w:r>
      <w:r w:rsidRPr="00AB1F22">
        <w:rPr>
          <w:lang w:val="fr-FR"/>
        </w:rPr>
        <w:t xml:space="preserve"> ou des </w:t>
      </w:r>
      <w:r>
        <w:rPr>
          <w:lang w:val="fr-FR"/>
        </w:rPr>
        <w:t>« </w:t>
      </w:r>
      <w:r w:rsidRPr="00AB1F22">
        <w:rPr>
          <w:lang w:val="fr-FR"/>
        </w:rPr>
        <w:t>réfugiés</w:t>
      </w:r>
      <w:r>
        <w:rPr>
          <w:lang w:val="fr-FR"/>
        </w:rPr>
        <w:t> »</w:t>
      </w:r>
      <w:r w:rsidRPr="00AB1F22">
        <w:rPr>
          <w:lang w:val="fr-FR"/>
        </w:rPr>
        <w:t>. Le Gouvernement a depuis longtemps pour politique de ne pas accorder l</w:t>
      </w:r>
      <w:r w:rsidR="004F1DFB">
        <w:rPr>
          <w:lang w:val="fr-FR"/>
        </w:rPr>
        <w:t>’</w:t>
      </w:r>
      <w:r w:rsidRPr="00AB1F22">
        <w:rPr>
          <w:lang w:val="fr-FR"/>
        </w:rPr>
        <w:t xml:space="preserve">asile et de ne pas déterminer ni reconnaître le statut de réfugié. </w:t>
      </w:r>
    </w:p>
    <w:p w:rsidR="0024529D" w:rsidRPr="00AB1F22" w:rsidRDefault="0024529D" w:rsidP="0024529D">
      <w:pPr>
        <w:pStyle w:val="SingleTxtG"/>
        <w:rPr>
          <w:lang w:val="fr-FR"/>
        </w:rPr>
      </w:pPr>
      <w:r w:rsidRPr="00AB1F22">
        <w:rPr>
          <w:lang w:val="fr-FR"/>
        </w:rPr>
        <w:t>41.</w:t>
      </w:r>
      <w:r w:rsidRPr="00AB1F22">
        <w:rPr>
          <w:lang w:val="fr-FR"/>
        </w:rPr>
        <w:tab/>
        <w:t>La RAS de Hong</w:t>
      </w:r>
      <w:r>
        <w:rPr>
          <w:lang w:val="fr-FR"/>
        </w:rPr>
        <w:t> </w:t>
      </w:r>
      <w:r w:rsidRPr="00AB1F22">
        <w:rPr>
          <w:lang w:val="fr-FR"/>
        </w:rPr>
        <w:t>Kong est une ville très densément peuplée avec de longues côtes et un régime de visa libéral. Elle est une plaque tournante du transport régional, ce qui nous rend particulièrement vulnérables face aux effets néfastes de l</w:t>
      </w:r>
      <w:r w:rsidR="004F1DFB">
        <w:rPr>
          <w:lang w:val="fr-FR"/>
        </w:rPr>
        <w:t>’</w:t>
      </w:r>
      <w:r w:rsidRPr="00AB1F22">
        <w:rPr>
          <w:lang w:val="fr-FR"/>
        </w:rPr>
        <w:t>immigration clandestine. Nous devons maintenir un contrôle efficace de l</w:t>
      </w:r>
      <w:r w:rsidR="004F1DFB">
        <w:rPr>
          <w:lang w:val="fr-FR"/>
        </w:rPr>
        <w:t>’</w:t>
      </w:r>
      <w:r w:rsidRPr="00AB1F22">
        <w:rPr>
          <w:lang w:val="fr-FR"/>
        </w:rPr>
        <w:t>immigration afin de préserver les moyens de subsistance et les possibilités d</w:t>
      </w:r>
      <w:r w:rsidR="004F1DFB">
        <w:rPr>
          <w:lang w:val="fr-FR"/>
        </w:rPr>
        <w:t>’</w:t>
      </w:r>
      <w:r w:rsidRPr="00AB1F22">
        <w:rPr>
          <w:lang w:val="fr-FR"/>
        </w:rPr>
        <w:t>emploi des travailleurs locaux, notamment en empêchant les immigrants clandestins de chercher à entrer</w:t>
      </w:r>
      <w:r>
        <w:rPr>
          <w:lang w:val="fr-FR"/>
        </w:rPr>
        <w:t>,</w:t>
      </w:r>
      <w:r w:rsidRPr="00AB1F22">
        <w:rPr>
          <w:lang w:val="fr-FR"/>
        </w:rPr>
        <w:t xml:space="preserve"> et en les expulsant. Par expérience, tout signe (aussi ténu soit</w:t>
      </w:r>
      <w:r>
        <w:rPr>
          <w:lang w:val="fr-FR"/>
        </w:rPr>
        <w:noBreakHyphen/>
      </w:r>
      <w:r w:rsidRPr="00AB1F22">
        <w:rPr>
          <w:lang w:val="fr-FR"/>
        </w:rPr>
        <w:t>il) d</w:t>
      </w:r>
      <w:r w:rsidR="004F1DFB">
        <w:rPr>
          <w:lang w:val="fr-FR"/>
        </w:rPr>
        <w:t>’</w:t>
      </w:r>
      <w:r w:rsidRPr="00AB1F22">
        <w:rPr>
          <w:lang w:val="fr-FR"/>
        </w:rPr>
        <w:t>un éventuel relâchement de la part du Gouvernement à l</w:t>
      </w:r>
      <w:r w:rsidR="004F1DFB">
        <w:rPr>
          <w:lang w:val="fr-FR"/>
        </w:rPr>
        <w:t>’</w:t>
      </w:r>
      <w:r w:rsidRPr="00AB1F22">
        <w:rPr>
          <w:lang w:val="fr-FR"/>
        </w:rPr>
        <w:t>égard des immigrants clandestins pourrait faire croire aux candidats à l</w:t>
      </w:r>
      <w:r w:rsidR="004F1DFB">
        <w:rPr>
          <w:lang w:val="fr-FR"/>
        </w:rPr>
        <w:t>’</w:t>
      </w:r>
      <w:r w:rsidRPr="00AB1F22">
        <w:rPr>
          <w:lang w:val="fr-FR"/>
        </w:rPr>
        <w:t>immigration qu</w:t>
      </w:r>
      <w:r w:rsidR="004F1DFB">
        <w:rPr>
          <w:lang w:val="fr-FR"/>
        </w:rPr>
        <w:t>’</w:t>
      </w:r>
      <w:r w:rsidRPr="00AB1F22">
        <w:rPr>
          <w:lang w:val="fr-FR"/>
        </w:rPr>
        <w:t>ils peuvent essayer d</w:t>
      </w:r>
      <w:r w:rsidR="004F1DFB">
        <w:rPr>
          <w:lang w:val="fr-FR"/>
        </w:rPr>
        <w:t>’</w:t>
      </w:r>
      <w:r w:rsidRPr="00AB1F22">
        <w:rPr>
          <w:lang w:val="fr-FR"/>
        </w:rPr>
        <w:t>entrer et de rester ici, ce qui</w:t>
      </w:r>
      <w:r>
        <w:rPr>
          <w:lang w:val="fr-FR"/>
        </w:rPr>
        <w:t xml:space="preserve"> ferait courir à la RAS de Hong </w:t>
      </w:r>
      <w:r w:rsidRPr="00AB1F22">
        <w:rPr>
          <w:lang w:val="fr-FR"/>
        </w:rPr>
        <w:t>Kong un risque important d</w:t>
      </w:r>
      <w:r w:rsidR="004F1DFB">
        <w:rPr>
          <w:lang w:val="fr-FR"/>
        </w:rPr>
        <w:t>’</w:t>
      </w:r>
      <w:r w:rsidRPr="00AB1F22">
        <w:rPr>
          <w:lang w:val="fr-FR"/>
        </w:rPr>
        <w:t>arrivée massive d</w:t>
      </w:r>
      <w:r w:rsidR="004F1DFB">
        <w:rPr>
          <w:lang w:val="fr-FR"/>
        </w:rPr>
        <w:t>’</w:t>
      </w:r>
      <w:r w:rsidRPr="00AB1F22">
        <w:rPr>
          <w:lang w:val="fr-FR"/>
        </w:rPr>
        <w:t xml:space="preserve">immigrants clandestins et compromettrait grandement la sécurité publique et la stabilité sociale. </w:t>
      </w:r>
    </w:p>
    <w:p w:rsidR="0024529D" w:rsidRPr="00AB1F22" w:rsidRDefault="0024529D" w:rsidP="0024529D">
      <w:pPr>
        <w:pStyle w:val="SingleTxtG"/>
        <w:rPr>
          <w:lang w:val="fr-FR"/>
        </w:rPr>
      </w:pPr>
      <w:r w:rsidRPr="00AB1F22">
        <w:rPr>
          <w:lang w:val="fr-FR"/>
        </w:rPr>
        <w:t>42.</w:t>
      </w:r>
      <w:r w:rsidRPr="00AB1F22">
        <w:rPr>
          <w:lang w:val="fr-FR"/>
        </w:rPr>
        <w:tab/>
        <w:t>Cela dit, le Département de l</w:t>
      </w:r>
      <w:r w:rsidR="004F1DFB">
        <w:rPr>
          <w:lang w:val="fr-FR"/>
        </w:rPr>
        <w:t>’</w:t>
      </w:r>
      <w:r w:rsidRPr="00AB1F22">
        <w:rPr>
          <w:lang w:val="fr-FR"/>
        </w:rPr>
        <w:t>immigration ne renverra pas les immigrants clandestins vers un autre pays où ils courraient un risque réel d</w:t>
      </w:r>
      <w:r w:rsidR="004F1DFB">
        <w:rPr>
          <w:lang w:val="fr-FR"/>
        </w:rPr>
        <w:t>’</w:t>
      </w:r>
      <w:r w:rsidRPr="00AB1F22">
        <w:rPr>
          <w:lang w:val="fr-FR"/>
        </w:rPr>
        <w:t>être persécutés</w:t>
      </w:r>
      <w:r w:rsidRPr="003F79A2">
        <w:rPr>
          <w:rStyle w:val="Appelnotedebasdep"/>
        </w:rPr>
        <w:footnoteReference w:id="4"/>
      </w:r>
      <w:r w:rsidRPr="00AB1F22">
        <w:rPr>
          <w:lang w:val="fr-FR"/>
        </w:rPr>
        <w:t xml:space="preserve">. </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Examen des demandes de protection au titre du principe de non</w:t>
      </w:r>
      <w:r>
        <w:rPr>
          <w:iCs/>
          <w:lang w:val="fr-FR"/>
        </w:rPr>
        <w:noBreakHyphen/>
      </w:r>
      <w:r w:rsidRPr="00AB1F22">
        <w:rPr>
          <w:iCs/>
          <w:lang w:val="fr-FR"/>
        </w:rPr>
        <w:t>refoulement</w:t>
      </w:r>
      <w:r w:rsidRPr="00AB1F22">
        <w:rPr>
          <w:lang w:val="fr-FR"/>
        </w:rPr>
        <w:t xml:space="preserve"> </w:t>
      </w:r>
    </w:p>
    <w:p w:rsidR="0024529D" w:rsidRPr="00AB1F22" w:rsidRDefault="0024529D" w:rsidP="0024529D">
      <w:pPr>
        <w:pStyle w:val="SingleTxtG"/>
        <w:rPr>
          <w:lang w:val="fr-FR"/>
        </w:rPr>
      </w:pPr>
      <w:r w:rsidRPr="00AB1F22">
        <w:rPr>
          <w:lang w:val="fr-FR"/>
        </w:rPr>
        <w:t>43.</w:t>
      </w:r>
      <w:r w:rsidRPr="00AB1F22">
        <w:rPr>
          <w:lang w:val="fr-FR"/>
        </w:rPr>
        <w:tab/>
        <w:t>À la suite de diverses décisions des tribunaux de Hong</w:t>
      </w:r>
      <w:r>
        <w:rPr>
          <w:lang w:val="fr-FR"/>
        </w:rPr>
        <w:t> </w:t>
      </w:r>
      <w:r w:rsidRPr="00AB1F22">
        <w:rPr>
          <w:lang w:val="fr-FR"/>
        </w:rPr>
        <w:t>Kong</w:t>
      </w:r>
      <w:r w:rsidRPr="008A2C7C">
        <w:rPr>
          <w:rStyle w:val="Appelnotedebasdep"/>
        </w:rPr>
        <w:footnoteReference w:id="5"/>
      </w:r>
      <w:r w:rsidRPr="00AB1F22">
        <w:rPr>
          <w:lang w:val="fr-FR"/>
        </w:rPr>
        <w:t>, le Gouvernement a adopté l</w:t>
      </w:r>
      <w:r w:rsidR="004F1DFB">
        <w:rPr>
          <w:lang w:val="fr-FR"/>
        </w:rPr>
        <w:t>’</w:t>
      </w:r>
      <w:r w:rsidRPr="00AB1F22">
        <w:rPr>
          <w:lang w:val="fr-FR"/>
        </w:rPr>
        <w:t>ordonnance de 2012 portant modification de l</w:t>
      </w:r>
      <w:r w:rsidR="004F1DFB">
        <w:rPr>
          <w:lang w:val="fr-FR"/>
        </w:rPr>
        <w:t>’</w:t>
      </w:r>
      <w:r w:rsidRPr="00AB1F22">
        <w:rPr>
          <w:lang w:val="fr-FR"/>
        </w:rPr>
        <w:t>ordonnance relative à l</w:t>
      </w:r>
      <w:r w:rsidR="004F1DFB">
        <w:rPr>
          <w:lang w:val="fr-FR"/>
        </w:rPr>
        <w:t>’</w:t>
      </w:r>
      <w:r w:rsidRPr="00AB1F22">
        <w:rPr>
          <w:lang w:val="fr-FR"/>
        </w:rPr>
        <w:t>immigration pour faire en sorte que les procédures d</w:t>
      </w:r>
      <w:r w:rsidR="004F1DFB">
        <w:rPr>
          <w:lang w:val="fr-FR"/>
        </w:rPr>
        <w:t>’</w:t>
      </w:r>
      <w:r w:rsidRPr="00AB1F22">
        <w:rPr>
          <w:lang w:val="fr-FR"/>
        </w:rPr>
        <w:t xml:space="preserve">examen des plaintes pour torture respectent les normes élevées de la </w:t>
      </w:r>
      <w:r w:rsidRPr="00AB1F22">
        <w:rPr>
          <w:i/>
          <w:iCs/>
          <w:lang w:val="fr-FR"/>
        </w:rPr>
        <w:t>common law</w:t>
      </w:r>
      <w:r w:rsidRPr="00AB1F22">
        <w:rPr>
          <w:lang w:val="fr-FR"/>
        </w:rPr>
        <w:t xml:space="preserve"> en matière d</w:t>
      </w:r>
      <w:r w:rsidR="004F1DFB">
        <w:rPr>
          <w:lang w:val="fr-FR"/>
        </w:rPr>
        <w:t>’</w:t>
      </w:r>
      <w:r w:rsidRPr="00AB1F22">
        <w:rPr>
          <w:lang w:val="fr-FR"/>
        </w:rPr>
        <w:t>équité, en application desquelles</w:t>
      </w:r>
      <w:r>
        <w:rPr>
          <w:lang w:val="fr-FR"/>
        </w:rPr>
        <w:t> :</w:t>
      </w:r>
    </w:p>
    <w:p w:rsidR="0024529D" w:rsidRPr="00AB1F22" w:rsidRDefault="0024529D" w:rsidP="00B917A0">
      <w:pPr>
        <w:pStyle w:val="SingleTxtG"/>
        <w:ind w:firstLine="567"/>
        <w:rPr>
          <w:lang w:val="fr-FR"/>
        </w:rPr>
      </w:pPr>
      <w:r w:rsidRPr="00AB1F22">
        <w:rPr>
          <w:lang w:val="fr-FR"/>
        </w:rPr>
        <w:t>a)</w:t>
      </w:r>
      <w:r w:rsidRPr="00AB1F22">
        <w:rPr>
          <w:lang w:val="fr-FR"/>
        </w:rPr>
        <w:tab/>
        <w:t>Les requérants doivent exposer le fondement de leur plainte en remplissant un formulaire de dépôt de plainte</w:t>
      </w:r>
      <w:r>
        <w:rPr>
          <w:lang w:val="fr-FR"/>
        </w:rPr>
        <w:t> ;</w:t>
      </w:r>
      <w:r w:rsidRPr="00AB1F22">
        <w:rPr>
          <w:lang w:val="fr-FR"/>
        </w:rPr>
        <w:t xml:space="preserve"> </w:t>
      </w:r>
    </w:p>
    <w:p w:rsidR="0024529D" w:rsidRPr="00AB1F22" w:rsidRDefault="0024529D" w:rsidP="00B917A0">
      <w:pPr>
        <w:pStyle w:val="SingleTxtG"/>
        <w:ind w:firstLine="567"/>
        <w:rPr>
          <w:lang w:val="fr-FR"/>
        </w:rPr>
      </w:pPr>
      <w:r w:rsidRPr="00AB1F22">
        <w:rPr>
          <w:lang w:val="fr-FR"/>
        </w:rPr>
        <w:t>b)</w:t>
      </w:r>
      <w:r w:rsidRPr="00AB1F22">
        <w:rPr>
          <w:lang w:val="fr-FR"/>
        </w:rPr>
        <w:tab/>
        <w:t>Les requérants doivent passer un entretien avec les agents de l</w:t>
      </w:r>
      <w:r w:rsidR="004F1DFB">
        <w:rPr>
          <w:lang w:val="fr-FR"/>
        </w:rPr>
        <w:t>’</w:t>
      </w:r>
      <w:r w:rsidRPr="00AB1F22">
        <w:rPr>
          <w:lang w:val="fr-FR"/>
        </w:rPr>
        <w:t>immigration pour répondre aux questions relatives à leur plainte</w:t>
      </w:r>
      <w:r>
        <w:rPr>
          <w:lang w:val="fr-FR"/>
        </w:rPr>
        <w:t> ;</w:t>
      </w:r>
      <w:r w:rsidRPr="00AB1F22">
        <w:rPr>
          <w:lang w:val="fr-FR"/>
        </w:rPr>
        <w:t xml:space="preserve"> et </w:t>
      </w:r>
    </w:p>
    <w:p w:rsidR="0024529D" w:rsidRPr="00AB1F22" w:rsidRDefault="0024529D" w:rsidP="00B917A0">
      <w:pPr>
        <w:pStyle w:val="SingleTxtG"/>
        <w:ind w:firstLine="567"/>
        <w:rPr>
          <w:lang w:val="fr-FR"/>
        </w:rPr>
      </w:pPr>
      <w:r w:rsidRPr="00AB1F22">
        <w:rPr>
          <w:lang w:val="fr-FR"/>
        </w:rPr>
        <w:t>c)</w:t>
      </w:r>
      <w:r w:rsidRPr="00AB1F22">
        <w:rPr>
          <w:lang w:val="fr-FR"/>
        </w:rPr>
        <w:tab/>
        <w:t>L</w:t>
      </w:r>
      <w:r w:rsidR="004F1DFB">
        <w:rPr>
          <w:lang w:val="fr-FR"/>
        </w:rPr>
        <w:t>’</w:t>
      </w:r>
      <w:r w:rsidRPr="00AB1F22">
        <w:rPr>
          <w:lang w:val="fr-FR"/>
        </w:rPr>
        <w:t>agent de l</w:t>
      </w:r>
      <w:r w:rsidR="004F1DFB">
        <w:rPr>
          <w:lang w:val="fr-FR"/>
        </w:rPr>
        <w:t>’</w:t>
      </w:r>
      <w:r w:rsidRPr="00AB1F22">
        <w:rPr>
          <w:lang w:val="fr-FR"/>
        </w:rPr>
        <w:t xml:space="preserve">immigration qui a interrogé le requérant décide de la suite à donner à la plainte en tenant compte de tous les facteurs pertinents et informe le requérant par écrit de la décision motivée. </w:t>
      </w:r>
    </w:p>
    <w:p w:rsidR="0024529D" w:rsidRPr="00AB1F22" w:rsidRDefault="0024529D" w:rsidP="0024529D">
      <w:pPr>
        <w:pStyle w:val="SingleTxtG"/>
        <w:rPr>
          <w:lang w:val="fr-FR"/>
        </w:rPr>
      </w:pPr>
      <w:r w:rsidRPr="00AB1F22">
        <w:rPr>
          <w:lang w:val="fr-FR"/>
        </w:rPr>
        <w:t>44.</w:t>
      </w:r>
      <w:r w:rsidRPr="00AB1F22">
        <w:rPr>
          <w:lang w:val="fr-FR"/>
        </w:rPr>
        <w:tab/>
        <w:t>Tout requérant lésé par la décision de l</w:t>
      </w:r>
      <w:r w:rsidR="004F1DFB">
        <w:rPr>
          <w:lang w:val="fr-FR"/>
        </w:rPr>
        <w:t>’</w:t>
      </w:r>
      <w:r w:rsidRPr="00AB1F22">
        <w:rPr>
          <w:lang w:val="fr-FR"/>
        </w:rPr>
        <w:t>agent peut faire appel devant la Commission chargée des recours contre les décisions relatives aux plaintes pour torture, composée de membres qui ont une expérience judiciaire (anciens juges ou magistrats), qui sont diplômés en droit, ou qui ont une expérience appréciable dans le traitement des demandes d</w:t>
      </w:r>
      <w:r w:rsidR="004F1DFB">
        <w:rPr>
          <w:lang w:val="fr-FR"/>
        </w:rPr>
        <w:t>’</w:t>
      </w:r>
      <w:r w:rsidRPr="00AB1F22">
        <w:rPr>
          <w:lang w:val="fr-FR"/>
        </w:rPr>
        <w:t>asile dans d</w:t>
      </w:r>
      <w:r w:rsidR="004F1DFB">
        <w:rPr>
          <w:lang w:val="fr-FR"/>
        </w:rPr>
        <w:t>’</w:t>
      </w:r>
      <w:r w:rsidRPr="00AB1F22">
        <w:rPr>
          <w:lang w:val="fr-FR"/>
        </w:rPr>
        <w:t xml:space="preserve">autres juridictions de </w:t>
      </w:r>
      <w:r w:rsidRPr="00AB1F22">
        <w:rPr>
          <w:i/>
          <w:iCs/>
          <w:lang w:val="fr-FR"/>
        </w:rPr>
        <w:t>common law</w:t>
      </w:r>
      <w:r w:rsidRPr="00AB1F22">
        <w:rPr>
          <w:lang w:val="fr-FR"/>
        </w:rPr>
        <w:t xml:space="preserve">. </w:t>
      </w:r>
    </w:p>
    <w:p w:rsidR="0024529D" w:rsidRPr="00AB1F22" w:rsidRDefault="0024529D" w:rsidP="0024529D">
      <w:pPr>
        <w:pStyle w:val="SingleTxtG"/>
        <w:rPr>
          <w:lang w:val="fr-FR"/>
        </w:rPr>
      </w:pPr>
      <w:r w:rsidRPr="00AB1F22">
        <w:rPr>
          <w:lang w:val="fr-FR"/>
        </w:rPr>
        <w:t>45.</w:t>
      </w:r>
      <w:r w:rsidRPr="00AB1F22">
        <w:rPr>
          <w:lang w:val="fr-FR"/>
        </w:rPr>
        <w:tab/>
        <w:t>Au paragraphe 9 de ses précédentes observations finales, le Comit</w:t>
      </w:r>
      <w:r>
        <w:rPr>
          <w:lang w:val="fr-FR"/>
        </w:rPr>
        <w:t>é a recommandé à la RAS de Hong </w:t>
      </w:r>
      <w:r w:rsidRPr="00AB1F22">
        <w:rPr>
          <w:lang w:val="fr-FR"/>
        </w:rPr>
        <w:t>Kong de reconnaître le caractère absolu de l</w:t>
      </w:r>
      <w:r w:rsidR="004F1DFB">
        <w:rPr>
          <w:lang w:val="fr-FR"/>
        </w:rPr>
        <w:t>’</w:t>
      </w:r>
      <w:r w:rsidRPr="00AB1F22">
        <w:rPr>
          <w:lang w:val="fr-FR"/>
        </w:rPr>
        <w:t>interdiction de renvoyer une personne vers un lieu où elle court un risque réel d</w:t>
      </w:r>
      <w:r w:rsidR="004F1DFB">
        <w:rPr>
          <w:lang w:val="fr-FR"/>
        </w:rPr>
        <w:t>’</w:t>
      </w:r>
      <w:r w:rsidRPr="00AB1F22">
        <w:rPr>
          <w:lang w:val="fr-FR"/>
        </w:rPr>
        <w:t>être soumise à la torture ou à des peines ou traitements cruels, inhumains ou dégradants. Conformément à la décision rendue en décembre 2012 par la Cour de dernier ressort dans l</w:t>
      </w:r>
      <w:r w:rsidR="004F1DFB">
        <w:rPr>
          <w:lang w:val="fr-FR"/>
        </w:rPr>
        <w:t>’</w:t>
      </w:r>
      <w:r w:rsidRPr="00AB1F22">
        <w:rPr>
          <w:lang w:val="fr-FR"/>
        </w:rPr>
        <w:t>affaire</w:t>
      </w:r>
      <w:r>
        <w:rPr>
          <w:lang w:val="fr-FR"/>
        </w:rPr>
        <w:t> </w:t>
      </w:r>
      <w:r w:rsidRPr="00AB1F22">
        <w:rPr>
          <w:i/>
          <w:iCs/>
          <w:lang w:val="fr-FR"/>
        </w:rPr>
        <w:t>Ubamaka Edward Wilson c.</w:t>
      </w:r>
      <w:r w:rsidR="00954D5D">
        <w:rPr>
          <w:i/>
          <w:iCs/>
          <w:lang w:val="fr-FR"/>
        </w:rPr>
        <w:t> </w:t>
      </w:r>
      <w:r w:rsidRPr="00AB1F22">
        <w:rPr>
          <w:i/>
          <w:iCs/>
          <w:lang w:val="fr-FR"/>
        </w:rPr>
        <w:t>Secrétaire à la sécurité</w:t>
      </w:r>
      <w:r w:rsidRPr="00AB1F22">
        <w:rPr>
          <w:lang w:val="fr-FR"/>
        </w:rPr>
        <w:t xml:space="preserve"> (2012, 15 HKCFAR 743)</w:t>
      </w:r>
      <w:r w:rsidRPr="008A2C7C">
        <w:rPr>
          <w:rStyle w:val="Appelnotedebasdep"/>
        </w:rPr>
        <w:footnoteReference w:id="6"/>
      </w:r>
      <w:r w:rsidRPr="00AB1F22">
        <w:rPr>
          <w:lang w:val="fr-FR"/>
        </w:rPr>
        <w:t>, un requérant qui a établi un risque réel de torture ou de peines ou traitements cruels, inhumains ou dégradants a droit à une protection au titre du principe de non</w:t>
      </w:r>
      <w:r>
        <w:rPr>
          <w:lang w:val="fr-FR"/>
        </w:rPr>
        <w:noBreakHyphen/>
      </w:r>
      <w:r w:rsidRPr="00AB1F22">
        <w:rPr>
          <w:lang w:val="fr-FR"/>
        </w:rPr>
        <w:t>refoulement en vertu de l</w:t>
      </w:r>
      <w:r w:rsidR="004F1DFB">
        <w:rPr>
          <w:lang w:val="fr-FR"/>
        </w:rPr>
        <w:t>’</w:t>
      </w:r>
      <w:r w:rsidRPr="00AB1F22">
        <w:rPr>
          <w:lang w:val="fr-FR"/>
        </w:rPr>
        <w:t>article 3 de la Charte des droits et ne peut être renvoyé dans son pays tant que ce risque réel persiste. Cette décision respecte le caractère absolu du principe de non</w:t>
      </w:r>
      <w:r>
        <w:rPr>
          <w:lang w:val="fr-FR"/>
        </w:rPr>
        <w:noBreakHyphen/>
      </w:r>
      <w:r w:rsidRPr="00AB1F22">
        <w:rPr>
          <w:lang w:val="fr-FR"/>
        </w:rPr>
        <w:t>refoulement consacré à l</w:t>
      </w:r>
      <w:r w:rsidR="004F1DFB">
        <w:rPr>
          <w:lang w:val="fr-FR"/>
        </w:rPr>
        <w:t>’</w:t>
      </w:r>
      <w:r w:rsidRPr="00AB1F22">
        <w:rPr>
          <w:lang w:val="fr-FR"/>
        </w:rPr>
        <w:t xml:space="preserve">article 7 du Pacte. </w:t>
      </w:r>
    </w:p>
    <w:p w:rsidR="0024529D" w:rsidRPr="00AB1F22" w:rsidRDefault="0024529D" w:rsidP="0024529D">
      <w:pPr>
        <w:pStyle w:val="SingleTxtG"/>
        <w:rPr>
          <w:lang w:val="fr-FR"/>
        </w:rPr>
      </w:pPr>
      <w:r w:rsidRPr="00AB1F22">
        <w:rPr>
          <w:lang w:val="fr-FR"/>
        </w:rPr>
        <w:t>46.</w:t>
      </w:r>
      <w:r w:rsidRPr="00AB1F22">
        <w:rPr>
          <w:lang w:val="fr-FR"/>
        </w:rPr>
        <w:tab/>
        <w:t>En mars 2014, le Gouvernement a commencé à mettre en place un mécanisme unifié de traitement des demandes déposées par les immigrants clandestins qui s</w:t>
      </w:r>
      <w:r w:rsidR="004F1DFB">
        <w:rPr>
          <w:lang w:val="fr-FR"/>
        </w:rPr>
        <w:t>’</w:t>
      </w:r>
      <w:r w:rsidRPr="00AB1F22">
        <w:rPr>
          <w:lang w:val="fr-FR"/>
        </w:rPr>
        <w:t>opposent à leur reconduite vers un autre pays pour tous les motifs applicables (demandes de protection au titre du principe de non</w:t>
      </w:r>
      <w:r>
        <w:rPr>
          <w:lang w:val="fr-FR"/>
        </w:rPr>
        <w:noBreakHyphen/>
      </w:r>
      <w:r w:rsidRPr="00AB1F22">
        <w:rPr>
          <w:lang w:val="fr-FR"/>
        </w:rPr>
        <w:t>refoulement) et pour lesquels un immigrant clandestin ne peut pas être renvoyé vers un autre pays où il courrait un risque avéré d</w:t>
      </w:r>
      <w:r w:rsidR="004F1DFB">
        <w:rPr>
          <w:lang w:val="fr-FR"/>
        </w:rPr>
        <w:t>’</w:t>
      </w:r>
      <w:r w:rsidRPr="00AB1F22">
        <w:rPr>
          <w:lang w:val="fr-FR"/>
        </w:rPr>
        <w:t>être soumis à la torture ou de subir la violation d</w:t>
      </w:r>
      <w:r w:rsidR="004F1DFB">
        <w:rPr>
          <w:lang w:val="fr-FR"/>
        </w:rPr>
        <w:t>’</w:t>
      </w:r>
      <w:r w:rsidRPr="00AB1F22">
        <w:rPr>
          <w:lang w:val="fr-FR"/>
        </w:rPr>
        <w:t>un droit absolu et non susceptible de dérogation consacré par la Charte des droits, et ne sera pas renvoyé vers un autre pays où il courrait un risque avéré d</w:t>
      </w:r>
      <w:r w:rsidR="004F1DFB">
        <w:rPr>
          <w:lang w:val="fr-FR"/>
        </w:rPr>
        <w:t>’</w:t>
      </w:r>
      <w:r w:rsidRPr="00AB1F22">
        <w:rPr>
          <w:lang w:val="fr-FR"/>
        </w:rPr>
        <w:t>être persécuté. Les procédures du mécanisme unifié de traitement des demandes suivent l</w:t>
      </w:r>
      <w:r w:rsidR="004F1DFB">
        <w:rPr>
          <w:lang w:val="fr-FR"/>
        </w:rPr>
        <w:t>’</w:t>
      </w:r>
      <w:r w:rsidRPr="00AB1F22">
        <w:rPr>
          <w:lang w:val="fr-FR"/>
        </w:rPr>
        <w:t>exemple du mécanisme statutaire de traitement des plaintes pour torture qui est en vigueur depuis décembre 2012 (voir par</w:t>
      </w:r>
      <w:r w:rsidR="004F1DFB">
        <w:rPr>
          <w:lang w:val="fr-FR"/>
        </w:rPr>
        <w:t>.</w:t>
      </w:r>
      <w:r w:rsidRPr="00AB1F22">
        <w:rPr>
          <w:lang w:val="fr-FR"/>
        </w:rPr>
        <w:t> 43 ci</w:t>
      </w:r>
      <w:r>
        <w:rPr>
          <w:lang w:val="fr-FR"/>
        </w:rPr>
        <w:noBreakHyphen/>
      </w:r>
      <w:r w:rsidRPr="00AB1F22">
        <w:rPr>
          <w:lang w:val="fr-FR"/>
        </w:rPr>
        <w:t xml:space="preserve">dessus) afin de garantir le respect des normes élevées de la </w:t>
      </w:r>
      <w:r w:rsidRPr="00AB1F22">
        <w:rPr>
          <w:i/>
          <w:iCs/>
          <w:lang w:val="fr-FR"/>
        </w:rPr>
        <w:t>common law</w:t>
      </w:r>
      <w:r w:rsidRPr="00AB1F22">
        <w:rPr>
          <w:lang w:val="fr-FR"/>
        </w:rPr>
        <w:t xml:space="preserve"> en matière d</w:t>
      </w:r>
      <w:r w:rsidR="004F1DFB">
        <w:rPr>
          <w:lang w:val="fr-FR"/>
        </w:rPr>
        <w:t>’</w:t>
      </w:r>
      <w:r w:rsidRPr="00AB1F22">
        <w:rPr>
          <w:lang w:val="fr-FR"/>
        </w:rPr>
        <w:t xml:space="preserve">équité. </w:t>
      </w:r>
    </w:p>
    <w:p w:rsidR="0024529D" w:rsidRPr="00AB1F22" w:rsidRDefault="0024529D" w:rsidP="0024529D">
      <w:pPr>
        <w:pStyle w:val="SingleTxtG"/>
        <w:rPr>
          <w:lang w:val="fr-FR"/>
        </w:rPr>
      </w:pPr>
      <w:r w:rsidRPr="00AB1F22">
        <w:rPr>
          <w:lang w:val="fr-FR"/>
        </w:rPr>
        <w:t>47.</w:t>
      </w:r>
      <w:r w:rsidRPr="00AB1F22">
        <w:rPr>
          <w:lang w:val="fr-FR"/>
        </w:rPr>
        <w:tab/>
        <w:t>Pour statuer sur chaque demande, le chargé d</w:t>
      </w:r>
      <w:r>
        <w:rPr>
          <w:lang w:val="fr-FR"/>
        </w:rPr>
        <w:t>e dossier tiendra compte de tou</w:t>
      </w:r>
      <w:r w:rsidRPr="00AB1F22">
        <w:rPr>
          <w:lang w:val="fr-FR"/>
        </w:rPr>
        <w:t>s les facteurs pertinents, y compris les faits et les preuves présenté</w:t>
      </w:r>
      <w:r>
        <w:rPr>
          <w:lang w:val="fr-FR"/>
        </w:rPr>
        <w:t>e</w:t>
      </w:r>
      <w:r w:rsidRPr="00AB1F22">
        <w:rPr>
          <w:lang w:val="fr-FR"/>
        </w:rPr>
        <w:t>s par le requérant à l</w:t>
      </w:r>
      <w:r w:rsidR="004F1DFB">
        <w:rPr>
          <w:lang w:val="fr-FR"/>
        </w:rPr>
        <w:t>’</w:t>
      </w:r>
      <w:r w:rsidRPr="00AB1F22">
        <w:rPr>
          <w:lang w:val="fr-FR"/>
        </w:rPr>
        <w:t>appui de sa demande et les informations sur le pays d</w:t>
      </w:r>
      <w:r w:rsidR="004F1DFB">
        <w:rPr>
          <w:lang w:val="fr-FR"/>
        </w:rPr>
        <w:t>’</w:t>
      </w:r>
      <w:r w:rsidRPr="00AB1F22">
        <w:rPr>
          <w:lang w:val="fr-FR"/>
        </w:rPr>
        <w:t>origine, ainsi que la jurisprudence nationale et internationale. S</w:t>
      </w:r>
      <w:r w:rsidR="004F1DFB">
        <w:rPr>
          <w:lang w:val="fr-FR"/>
        </w:rPr>
        <w:t>’</w:t>
      </w:r>
      <w:r w:rsidRPr="00AB1F22">
        <w:rPr>
          <w:lang w:val="fr-FR"/>
        </w:rPr>
        <w:t>agissant de la recommandation du Comité également formulée au paragraphe</w:t>
      </w:r>
      <w:r>
        <w:rPr>
          <w:lang w:val="fr-FR"/>
        </w:rPr>
        <w:t> </w:t>
      </w:r>
      <w:r w:rsidRPr="00AB1F22">
        <w:rPr>
          <w:lang w:val="fr-FR"/>
        </w:rPr>
        <w:t xml:space="preserve">9 de ses précédentes observations finales, </w:t>
      </w:r>
      <w:r>
        <w:rPr>
          <w:lang w:val="fr-FR"/>
        </w:rPr>
        <w:t>engageant</w:t>
      </w:r>
      <w:r w:rsidRPr="00AB1F22">
        <w:rPr>
          <w:lang w:val="fr-FR"/>
        </w:rPr>
        <w:t xml:space="preserve"> la RAS de Hong</w:t>
      </w:r>
      <w:r>
        <w:rPr>
          <w:lang w:val="fr-FR"/>
        </w:rPr>
        <w:t> </w:t>
      </w:r>
      <w:r w:rsidRPr="00AB1F22">
        <w:rPr>
          <w:lang w:val="fr-FR"/>
        </w:rPr>
        <w:t xml:space="preserve">Kong </w:t>
      </w:r>
      <w:r>
        <w:rPr>
          <w:lang w:val="fr-FR"/>
        </w:rPr>
        <w:t xml:space="preserve">à </w:t>
      </w:r>
      <w:r w:rsidRPr="00AB1F22">
        <w:rPr>
          <w:lang w:val="fr-FR"/>
        </w:rPr>
        <w:t xml:space="preserve">ne </w:t>
      </w:r>
      <w:r>
        <w:rPr>
          <w:lang w:val="fr-FR"/>
        </w:rPr>
        <w:t>pas fixer des</w:t>
      </w:r>
      <w:r w:rsidRPr="00AB1F22">
        <w:rPr>
          <w:lang w:val="fr-FR"/>
        </w:rPr>
        <w:t xml:space="preserve"> critères trop exigeants pour l</w:t>
      </w:r>
      <w:r w:rsidR="004F1DFB">
        <w:rPr>
          <w:lang w:val="fr-FR"/>
        </w:rPr>
        <w:t>’</w:t>
      </w:r>
      <w:r w:rsidRPr="00AB1F22">
        <w:rPr>
          <w:lang w:val="fr-FR"/>
        </w:rPr>
        <w:t>évaluation du risque réel d</w:t>
      </w:r>
      <w:r w:rsidR="004F1DFB">
        <w:rPr>
          <w:lang w:val="fr-FR"/>
        </w:rPr>
        <w:t>’</w:t>
      </w:r>
      <w:r w:rsidRPr="00AB1F22">
        <w:rPr>
          <w:lang w:val="fr-FR"/>
        </w:rPr>
        <w:t>être soumis à la torture après le retour, il convient de noter que le Département de l</w:t>
      </w:r>
      <w:r w:rsidR="004F1DFB">
        <w:rPr>
          <w:lang w:val="fr-FR"/>
        </w:rPr>
        <w:t>’</w:t>
      </w:r>
      <w:r w:rsidRPr="00AB1F22">
        <w:rPr>
          <w:lang w:val="fr-FR"/>
        </w:rPr>
        <w:t>immigration adopte les mêmes critères que ceux que la Cour de dernier ressort a fixés dans l</w:t>
      </w:r>
      <w:r w:rsidR="004F1DFB">
        <w:rPr>
          <w:lang w:val="fr-FR"/>
        </w:rPr>
        <w:t>’</w:t>
      </w:r>
      <w:r w:rsidRPr="00AB1F22">
        <w:rPr>
          <w:lang w:val="fr-FR"/>
        </w:rPr>
        <w:t>affaire </w:t>
      </w:r>
      <w:r w:rsidRPr="00AB1F22">
        <w:rPr>
          <w:i/>
          <w:iCs/>
          <w:lang w:val="fr-FR"/>
        </w:rPr>
        <w:t>Ubamaka</w:t>
      </w:r>
      <w:r w:rsidRPr="00AB1F22">
        <w:rPr>
          <w:lang w:val="fr-FR"/>
        </w:rPr>
        <w:t xml:space="preserve"> pour statuer sur les demandes de protection au titre du principe de non</w:t>
      </w:r>
      <w:r>
        <w:rPr>
          <w:lang w:val="fr-FR"/>
        </w:rPr>
        <w:noBreakHyphen/>
      </w:r>
      <w:r w:rsidRPr="00AB1F22">
        <w:rPr>
          <w:lang w:val="fr-FR"/>
        </w:rPr>
        <w:t>refoulement, à savoir qu</w:t>
      </w:r>
      <w:r w:rsidR="004F1DFB">
        <w:rPr>
          <w:lang w:val="fr-FR"/>
        </w:rPr>
        <w:t>’</w:t>
      </w:r>
      <w:r w:rsidRPr="00AB1F22">
        <w:rPr>
          <w:lang w:val="fr-FR"/>
        </w:rPr>
        <w:t>un requérant qui demande une protection contre des peines ou traitements cruels, inhumains ou dégradants doit établir qu</w:t>
      </w:r>
      <w:r w:rsidR="004F1DFB">
        <w:rPr>
          <w:lang w:val="fr-FR"/>
        </w:rPr>
        <w:t>’</w:t>
      </w:r>
      <w:r w:rsidRPr="00AB1F22">
        <w:rPr>
          <w:lang w:val="fr-FR"/>
        </w:rPr>
        <w:t>il court un risque réel d</w:t>
      </w:r>
      <w:r w:rsidR="004F1DFB">
        <w:rPr>
          <w:lang w:val="fr-FR"/>
        </w:rPr>
        <w:t>’</w:t>
      </w:r>
      <w:r w:rsidRPr="00AB1F22">
        <w:rPr>
          <w:lang w:val="fr-FR"/>
        </w:rPr>
        <w:t xml:space="preserve">être soumis à de mauvais traitements présentant un </w:t>
      </w:r>
      <w:r>
        <w:rPr>
          <w:lang w:val="fr-FR"/>
        </w:rPr>
        <w:t>« </w:t>
      </w:r>
      <w:r w:rsidRPr="00AB1F22">
        <w:rPr>
          <w:lang w:val="fr-FR"/>
        </w:rPr>
        <w:t>minimum de gravité</w:t>
      </w:r>
      <w:r>
        <w:rPr>
          <w:lang w:val="fr-FR"/>
        </w:rPr>
        <w:t> » ;</w:t>
      </w:r>
      <w:r w:rsidRPr="00AB1F22">
        <w:rPr>
          <w:lang w:val="fr-FR"/>
        </w:rPr>
        <w:t xml:space="preserve"> la Cour de dernier ressort a fait observer que </w:t>
      </w:r>
      <w:r>
        <w:rPr>
          <w:lang w:val="fr-FR"/>
        </w:rPr>
        <w:t>« </w:t>
      </w:r>
      <w:r w:rsidRPr="00AB1F22">
        <w:rPr>
          <w:lang w:val="fr-FR"/>
        </w:rPr>
        <w:t>des critères très exigeants devaient être respectés</w:t>
      </w:r>
      <w:r>
        <w:rPr>
          <w:lang w:val="fr-FR"/>
        </w:rPr>
        <w:t> »</w:t>
      </w:r>
      <w:r w:rsidRPr="00AB1F22">
        <w:rPr>
          <w:lang w:val="fr-FR"/>
        </w:rPr>
        <w:t xml:space="preserve"> pour établir un tel risque. Ces critères sont conformes aux prescriptions de l</w:t>
      </w:r>
      <w:r w:rsidR="004F1DFB">
        <w:rPr>
          <w:lang w:val="fr-FR"/>
        </w:rPr>
        <w:t>’</w:t>
      </w:r>
      <w:r w:rsidRPr="00AB1F22">
        <w:rPr>
          <w:lang w:val="fr-FR"/>
        </w:rPr>
        <w:t xml:space="preserve">article 7 du Pacte. </w:t>
      </w:r>
    </w:p>
    <w:p w:rsidR="0024529D" w:rsidRPr="00AB1F22" w:rsidRDefault="0024529D" w:rsidP="0024529D">
      <w:pPr>
        <w:pStyle w:val="SingleTxtG"/>
        <w:rPr>
          <w:lang w:val="fr-FR"/>
        </w:rPr>
      </w:pPr>
      <w:r w:rsidRPr="00AB1F22">
        <w:rPr>
          <w:lang w:val="fr-FR"/>
        </w:rPr>
        <w:t>48.</w:t>
      </w:r>
      <w:r w:rsidRPr="00AB1F22">
        <w:rPr>
          <w:lang w:val="fr-FR"/>
        </w:rPr>
        <w:tab/>
        <w:t xml:space="preserve">Depuis 2009, une aide juridictionnelle financée sur fonds publics est mise à la disposition de tous les requérants pendant toute la durée du traitement de leur demande. Des centaines de </w:t>
      </w:r>
      <w:r w:rsidRPr="00AB1F22">
        <w:rPr>
          <w:i/>
          <w:iCs/>
          <w:lang w:val="fr-FR"/>
        </w:rPr>
        <w:t>barristers</w:t>
      </w:r>
      <w:r w:rsidRPr="00AB1F22">
        <w:rPr>
          <w:lang w:val="fr-FR"/>
        </w:rPr>
        <w:t xml:space="preserve"> et de </w:t>
      </w:r>
      <w:r w:rsidRPr="00AB1F22">
        <w:rPr>
          <w:i/>
          <w:iCs/>
          <w:lang w:val="fr-FR"/>
        </w:rPr>
        <w:t>solicitors</w:t>
      </w:r>
      <w:r w:rsidRPr="00AB1F22">
        <w:rPr>
          <w:lang w:val="fr-FR"/>
        </w:rPr>
        <w:t xml:space="preserve"> ont été formés à cette fin. </w:t>
      </w:r>
    </w:p>
    <w:p w:rsidR="0024529D" w:rsidRPr="00AB1F22" w:rsidRDefault="0024529D" w:rsidP="0024529D">
      <w:pPr>
        <w:pStyle w:val="SingleTxtG"/>
        <w:rPr>
          <w:lang w:val="fr-FR"/>
        </w:rPr>
      </w:pPr>
      <w:r w:rsidRPr="00AB1F22">
        <w:rPr>
          <w:lang w:val="fr-FR"/>
        </w:rPr>
        <w:t>49.</w:t>
      </w:r>
      <w:r w:rsidRPr="00AB1F22">
        <w:rPr>
          <w:lang w:val="fr-FR"/>
        </w:rPr>
        <w:tab/>
        <w:t>Outre l</w:t>
      </w:r>
      <w:r w:rsidR="004F1DFB">
        <w:rPr>
          <w:lang w:val="fr-FR"/>
        </w:rPr>
        <w:t>’</w:t>
      </w:r>
      <w:r w:rsidRPr="00AB1F22">
        <w:rPr>
          <w:lang w:val="fr-FR"/>
        </w:rPr>
        <w:t>aide juridictionnelle sur fonds publics, les services d</w:t>
      </w:r>
      <w:r w:rsidR="004F1DFB">
        <w:rPr>
          <w:lang w:val="fr-FR"/>
        </w:rPr>
        <w:t>’</w:t>
      </w:r>
      <w:r w:rsidRPr="00AB1F22">
        <w:rPr>
          <w:lang w:val="fr-FR"/>
        </w:rPr>
        <w:t>interprètes et de traducteurs qualifiés (également financés par des fonds publics) sont fournis aux requérants, le cas échéant. Si l</w:t>
      </w:r>
      <w:r w:rsidR="004F1DFB">
        <w:rPr>
          <w:lang w:val="fr-FR"/>
        </w:rPr>
        <w:t>’</w:t>
      </w:r>
      <w:r w:rsidRPr="00AB1F22">
        <w:rPr>
          <w:lang w:val="fr-FR"/>
        </w:rPr>
        <w:t>état physique ou mental d</w:t>
      </w:r>
      <w:r w:rsidR="004F1DFB">
        <w:rPr>
          <w:lang w:val="fr-FR"/>
        </w:rPr>
        <w:t>’</w:t>
      </w:r>
      <w:r w:rsidRPr="00AB1F22">
        <w:rPr>
          <w:lang w:val="fr-FR"/>
        </w:rPr>
        <w:t>un requérant est contesté et constitue un facteur important pour l</w:t>
      </w:r>
      <w:r w:rsidR="004F1DFB">
        <w:rPr>
          <w:lang w:val="fr-FR"/>
        </w:rPr>
        <w:t>’</w:t>
      </w:r>
      <w:r w:rsidRPr="00AB1F22">
        <w:rPr>
          <w:lang w:val="fr-FR"/>
        </w:rPr>
        <w:t>examen d</w:t>
      </w:r>
      <w:r w:rsidR="004F1DFB">
        <w:rPr>
          <w:lang w:val="fr-FR"/>
        </w:rPr>
        <w:t>’</w:t>
      </w:r>
      <w:r w:rsidRPr="00AB1F22">
        <w:rPr>
          <w:lang w:val="fr-FR"/>
        </w:rPr>
        <w:t>une demande, le Département de l</w:t>
      </w:r>
      <w:r w:rsidR="004F1DFB">
        <w:rPr>
          <w:lang w:val="fr-FR"/>
        </w:rPr>
        <w:t>’</w:t>
      </w:r>
      <w:r w:rsidRPr="00AB1F22">
        <w:rPr>
          <w:lang w:val="fr-FR"/>
        </w:rPr>
        <w:t>immigration peut demander à des médecins qualifiés de procéder à un examen médical financé sur fonds publics. Les chargés de dossiers du Département de l</w:t>
      </w:r>
      <w:r w:rsidR="004F1DFB">
        <w:rPr>
          <w:lang w:val="fr-FR"/>
        </w:rPr>
        <w:t>’</w:t>
      </w:r>
      <w:r w:rsidRPr="00AB1F22">
        <w:rPr>
          <w:lang w:val="fr-FR"/>
        </w:rPr>
        <w:t>immigration ont également bénéficié de la formation nécessaire pour répondre aux besoins particuliers des requérants vulnérables, le cas échéant</w:t>
      </w:r>
      <w:r w:rsidRPr="008A2C7C">
        <w:rPr>
          <w:rStyle w:val="Appelnotedebasdep"/>
        </w:rPr>
        <w:footnoteReference w:id="7"/>
      </w:r>
      <w:r w:rsidRPr="00AB1F22">
        <w:rPr>
          <w:lang w:val="fr-FR"/>
        </w:rPr>
        <w:t xml:space="preserve">. </w:t>
      </w:r>
    </w:p>
    <w:p w:rsidR="0024529D" w:rsidRPr="00AB1F22" w:rsidRDefault="0024529D" w:rsidP="0024529D">
      <w:pPr>
        <w:pStyle w:val="SingleTxtG"/>
        <w:rPr>
          <w:lang w:val="fr-FR"/>
        </w:rPr>
      </w:pPr>
      <w:r w:rsidRPr="00AB1F22">
        <w:rPr>
          <w:lang w:val="fr-FR"/>
        </w:rPr>
        <w:t>50.</w:t>
      </w:r>
      <w:r w:rsidRPr="00AB1F22">
        <w:rPr>
          <w:lang w:val="fr-FR"/>
        </w:rPr>
        <w:tab/>
        <w:t>Les procédures du mécanisme unifié de traitement des demandes sont publiées sur le site</w:t>
      </w:r>
      <w:r>
        <w:rPr>
          <w:lang w:val="fr-FR"/>
        </w:rPr>
        <w:t> </w:t>
      </w:r>
      <w:r w:rsidRPr="00AB1F22">
        <w:rPr>
          <w:lang w:val="fr-FR"/>
        </w:rPr>
        <w:t>Web du Département de l</w:t>
      </w:r>
      <w:r w:rsidR="004F1DFB">
        <w:rPr>
          <w:lang w:val="fr-FR"/>
        </w:rPr>
        <w:t>’</w:t>
      </w:r>
      <w:r w:rsidRPr="00AB1F22">
        <w:rPr>
          <w:lang w:val="fr-FR"/>
        </w:rPr>
        <w:t>immigration. Des traductions sont disponibles dans les bureaux du Département de l</w:t>
      </w:r>
      <w:r w:rsidR="004F1DFB">
        <w:rPr>
          <w:lang w:val="fr-FR"/>
        </w:rPr>
        <w:t>’</w:t>
      </w:r>
      <w:r w:rsidRPr="00AB1F22">
        <w:rPr>
          <w:lang w:val="fr-FR"/>
        </w:rPr>
        <w:t xml:space="preserve">immigration qui octroient des libérations sur engagement. </w:t>
      </w:r>
    </w:p>
    <w:p w:rsidR="0024529D" w:rsidRPr="00AB1F22" w:rsidRDefault="0024529D" w:rsidP="0024529D">
      <w:pPr>
        <w:pStyle w:val="SingleTxtG"/>
        <w:rPr>
          <w:lang w:val="fr-FR"/>
        </w:rPr>
      </w:pPr>
      <w:r w:rsidRPr="00AB1F22">
        <w:rPr>
          <w:lang w:val="fr-FR"/>
        </w:rPr>
        <w:t>51.</w:t>
      </w:r>
      <w:r w:rsidRPr="00AB1F22">
        <w:rPr>
          <w:lang w:val="fr-FR"/>
        </w:rPr>
        <w:tab/>
        <w:t>Toutes les demandes de protection au titre du principe de non</w:t>
      </w:r>
      <w:r>
        <w:rPr>
          <w:lang w:val="fr-FR"/>
        </w:rPr>
        <w:noBreakHyphen/>
      </w:r>
      <w:r w:rsidRPr="00AB1F22">
        <w:rPr>
          <w:lang w:val="fr-FR"/>
        </w:rPr>
        <w:t>refoulement sont examinées individuellement dans le cadre du mécanisme unifié de traitement des demandes, qui prévoit de donner à chaque personne demandant une protection au titre du principe de non</w:t>
      </w:r>
      <w:r>
        <w:rPr>
          <w:lang w:val="fr-FR"/>
        </w:rPr>
        <w:noBreakHyphen/>
      </w:r>
      <w:r w:rsidRPr="00AB1F22">
        <w:rPr>
          <w:lang w:val="fr-FR"/>
        </w:rPr>
        <w:t>refoulement toutes les occasions raisonnables de justifier sa demande et de l</w:t>
      </w:r>
      <w:r w:rsidR="004F1DFB">
        <w:rPr>
          <w:lang w:val="fr-FR"/>
        </w:rPr>
        <w:t>’</w:t>
      </w:r>
      <w:r w:rsidRPr="00AB1F22">
        <w:rPr>
          <w:lang w:val="fr-FR"/>
        </w:rPr>
        <w:t>étayer par des preuves (y compris l</w:t>
      </w:r>
      <w:r w:rsidR="004F1DFB">
        <w:rPr>
          <w:lang w:val="fr-FR"/>
        </w:rPr>
        <w:t>’</w:t>
      </w:r>
      <w:r w:rsidRPr="00AB1F22">
        <w:rPr>
          <w:lang w:val="fr-FR"/>
        </w:rPr>
        <w:t>avis du médecin de son choix, le cas échéant) pour pouvoir bénéficier des procédures et de l</w:t>
      </w:r>
      <w:r w:rsidR="004F1DFB">
        <w:rPr>
          <w:lang w:val="fr-FR"/>
        </w:rPr>
        <w:t>’</w:t>
      </w:r>
      <w:r w:rsidRPr="00AB1F22">
        <w:rPr>
          <w:lang w:val="fr-FR"/>
        </w:rPr>
        <w:t>appui expliqués aux paragraphes 43, 44 et 48 à 50 ci</w:t>
      </w:r>
      <w:r>
        <w:rPr>
          <w:lang w:val="fr-FR"/>
        </w:rPr>
        <w:noBreakHyphen/>
      </w:r>
      <w:r w:rsidRPr="00AB1F22">
        <w:rPr>
          <w:lang w:val="fr-FR"/>
        </w:rPr>
        <w:t xml:space="preserve">dessus. </w:t>
      </w:r>
    </w:p>
    <w:p w:rsidR="0024529D" w:rsidRPr="00AB1F22" w:rsidRDefault="0024529D" w:rsidP="0024529D">
      <w:pPr>
        <w:pStyle w:val="SingleTxtG"/>
        <w:rPr>
          <w:lang w:val="fr-FR"/>
        </w:rPr>
      </w:pPr>
      <w:r w:rsidRPr="00AB1F22">
        <w:rPr>
          <w:lang w:val="fr-FR"/>
        </w:rPr>
        <w:t>52.</w:t>
      </w:r>
      <w:r w:rsidRPr="00AB1F22">
        <w:rPr>
          <w:lang w:val="fr-FR"/>
        </w:rPr>
        <w:tab/>
        <w:t>Comme indiqué au paragraphe</w:t>
      </w:r>
      <w:r>
        <w:rPr>
          <w:lang w:val="fr-FR"/>
        </w:rPr>
        <w:t> </w:t>
      </w:r>
      <w:r w:rsidRPr="00AB1F22">
        <w:rPr>
          <w:lang w:val="fr-FR"/>
        </w:rPr>
        <w:t>44 ci</w:t>
      </w:r>
      <w:r>
        <w:rPr>
          <w:lang w:val="fr-FR"/>
        </w:rPr>
        <w:noBreakHyphen/>
      </w:r>
      <w:r w:rsidRPr="00AB1F22">
        <w:rPr>
          <w:lang w:val="fr-FR"/>
        </w:rPr>
        <w:t>dessus, les requérants lésés par la décision d</w:t>
      </w:r>
      <w:r w:rsidR="004F1DFB">
        <w:rPr>
          <w:lang w:val="fr-FR"/>
        </w:rPr>
        <w:t>’</w:t>
      </w:r>
      <w:r w:rsidRPr="00AB1F22">
        <w:rPr>
          <w:lang w:val="fr-FR"/>
        </w:rPr>
        <w:t>un agent de l</w:t>
      </w:r>
      <w:r w:rsidR="004F1DFB">
        <w:rPr>
          <w:lang w:val="fr-FR"/>
        </w:rPr>
        <w:t>’</w:t>
      </w:r>
      <w:r w:rsidRPr="00AB1F22">
        <w:rPr>
          <w:lang w:val="fr-FR"/>
        </w:rPr>
        <w:t>immigration de rejeter leur demande de protection au titre du principe de non</w:t>
      </w:r>
      <w:r>
        <w:rPr>
          <w:lang w:val="fr-FR"/>
        </w:rPr>
        <w:noBreakHyphen/>
      </w:r>
      <w:r w:rsidRPr="00AB1F22">
        <w:rPr>
          <w:lang w:val="fr-FR"/>
        </w:rPr>
        <w:t>refoulement peuvent faire appel devant la Commission indépendante chargée des recours contre les décisions relatives aux plaintes pour torture. Plus de 90</w:t>
      </w:r>
      <w:r>
        <w:rPr>
          <w:lang w:val="fr-FR"/>
        </w:rPr>
        <w:t> </w:t>
      </w:r>
      <w:r w:rsidRPr="00AB1F22">
        <w:rPr>
          <w:lang w:val="fr-FR"/>
        </w:rPr>
        <w:t>% des appels sont tranchés après une audition. L</w:t>
      </w:r>
      <w:r w:rsidR="004F1DFB">
        <w:rPr>
          <w:lang w:val="fr-FR"/>
        </w:rPr>
        <w:t>’</w:t>
      </w:r>
      <w:r w:rsidRPr="00AB1F22">
        <w:rPr>
          <w:lang w:val="fr-FR"/>
        </w:rPr>
        <w:t>aide juridictionnelle sur fonds publics est également disponible pour les appelants lorsque l</w:t>
      </w:r>
      <w:r w:rsidR="004F1DFB">
        <w:rPr>
          <w:lang w:val="fr-FR"/>
        </w:rPr>
        <w:t>’</w:t>
      </w:r>
      <w:r w:rsidRPr="00AB1F22">
        <w:rPr>
          <w:lang w:val="fr-FR"/>
        </w:rPr>
        <w:t>avocat du requérant estime qu</w:t>
      </w:r>
      <w:r w:rsidR="004F1DFB">
        <w:rPr>
          <w:lang w:val="fr-FR"/>
        </w:rPr>
        <w:t>’</w:t>
      </w:r>
      <w:r w:rsidRPr="00AB1F22">
        <w:rPr>
          <w:lang w:val="fr-FR"/>
        </w:rPr>
        <w:t xml:space="preserve">un appel est fondé. </w:t>
      </w:r>
    </w:p>
    <w:p w:rsidR="0024529D" w:rsidRPr="00AB1F22" w:rsidRDefault="0024529D" w:rsidP="0024529D">
      <w:pPr>
        <w:pStyle w:val="SingleTxtG"/>
        <w:rPr>
          <w:lang w:val="fr-FR"/>
        </w:rPr>
      </w:pPr>
      <w:r w:rsidRPr="00AB1F22">
        <w:rPr>
          <w:lang w:val="fr-FR"/>
        </w:rPr>
        <w:t>53.</w:t>
      </w:r>
      <w:r w:rsidRPr="00AB1F22">
        <w:rPr>
          <w:lang w:val="fr-FR"/>
        </w:rPr>
        <w:tab/>
        <w:t>Pour déterminer si une demande est justifiée, la personne relevant du Département de l</w:t>
      </w:r>
      <w:r w:rsidR="004F1DFB">
        <w:rPr>
          <w:lang w:val="fr-FR"/>
        </w:rPr>
        <w:t>’</w:t>
      </w:r>
      <w:r w:rsidRPr="00AB1F22">
        <w:rPr>
          <w:lang w:val="fr-FR"/>
        </w:rPr>
        <w:t>immigration ou de la Commission chargée des recours qui a été saisie du dossier doit, eu égard aux circonstances propres à chaque cas, tenir compte de tous les facteurs pertinents, y compris, le cas échéant, des informations utiles sur le pays et déterminer s</w:t>
      </w:r>
      <w:r w:rsidR="004F1DFB">
        <w:rPr>
          <w:lang w:val="fr-FR"/>
        </w:rPr>
        <w:t>’</w:t>
      </w:r>
      <w:r w:rsidRPr="00AB1F22">
        <w:rPr>
          <w:lang w:val="fr-FR"/>
        </w:rPr>
        <w:t>il existe ne serait</w:t>
      </w:r>
      <w:r>
        <w:rPr>
          <w:lang w:val="fr-FR"/>
        </w:rPr>
        <w:noBreakHyphen/>
      </w:r>
      <w:r w:rsidRPr="00AB1F22">
        <w:rPr>
          <w:lang w:val="fr-FR"/>
        </w:rPr>
        <w:t>ce qu</w:t>
      </w:r>
      <w:r w:rsidR="004F1DFB">
        <w:rPr>
          <w:lang w:val="fr-FR"/>
        </w:rPr>
        <w:t>’</w:t>
      </w:r>
      <w:r w:rsidRPr="00AB1F22">
        <w:rPr>
          <w:lang w:val="fr-FR"/>
        </w:rPr>
        <w:t>une région dans le pays à risque dans laquelle le requérant s</w:t>
      </w:r>
      <w:r w:rsidR="004F1DFB">
        <w:rPr>
          <w:lang w:val="fr-FR"/>
        </w:rPr>
        <w:t>’</w:t>
      </w:r>
      <w:r w:rsidRPr="00AB1F22">
        <w:rPr>
          <w:lang w:val="fr-FR"/>
        </w:rPr>
        <w:t>exposerait à un des préjudices visés par les motifs applicables. Si la demande est jugée fondée, le requérant ne sera pas renvoyé de Hong</w:t>
      </w:r>
      <w:r>
        <w:rPr>
          <w:lang w:val="fr-FR"/>
        </w:rPr>
        <w:t> </w:t>
      </w:r>
      <w:r w:rsidRPr="00AB1F22">
        <w:rPr>
          <w:lang w:val="fr-FR"/>
        </w:rPr>
        <w:t>Kong vers le pays à risque tant que ledit risque n</w:t>
      </w:r>
      <w:r w:rsidR="004F1DFB">
        <w:rPr>
          <w:lang w:val="fr-FR"/>
        </w:rPr>
        <w:t>’</w:t>
      </w:r>
      <w:r w:rsidRPr="00AB1F22">
        <w:rPr>
          <w:lang w:val="fr-FR"/>
        </w:rPr>
        <w:t>aura pas disparu. Le Département de l</w:t>
      </w:r>
      <w:r w:rsidR="004F1DFB">
        <w:rPr>
          <w:lang w:val="fr-FR"/>
        </w:rPr>
        <w:t>’</w:t>
      </w:r>
      <w:r w:rsidRPr="00AB1F22">
        <w:rPr>
          <w:lang w:val="fr-FR"/>
        </w:rPr>
        <w:t xml:space="preserve">immigration et la Commission chargée des recours informent le requérant par écrit de leur décision motivée. </w:t>
      </w:r>
    </w:p>
    <w:p w:rsidR="0024529D" w:rsidRPr="00AB1F22" w:rsidRDefault="0024529D" w:rsidP="0024529D">
      <w:pPr>
        <w:pStyle w:val="SingleTxtG"/>
        <w:rPr>
          <w:lang w:val="fr-FR"/>
        </w:rPr>
      </w:pPr>
      <w:r w:rsidRPr="00AB1F22">
        <w:rPr>
          <w:lang w:val="fr-FR"/>
        </w:rPr>
        <w:t>54.</w:t>
      </w:r>
      <w:r w:rsidRPr="00AB1F22">
        <w:rPr>
          <w:lang w:val="fr-FR"/>
        </w:rPr>
        <w:tab/>
        <w:t>Les questions relatives à l</w:t>
      </w:r>
      <w:r w:rsidR="004F1DFB">
        <w:rPr>
          <w:lang w:val="fr-FR"/>
        </w:rPr>
        <w:t>’</w:t>
      </w:r>
      <w:r w:rsidRPr="00AB1F22">
        <w:rPr>
          <w:lang w:val="fr-FR"/>
        </w:rPr>
        <w:t>aide humanitaire du Gouvernement, au nombre de demandes de protection au titre du principe de non</w:t>
      </w:r>
      <w:r>
        <w:rPr>
          <w:lang w:val="fr-FR"/>
        </w:rPr>
        <w:noBreakHyphen/>
      </w:r>
      <w:r w:rsidRPr="00AB1F22">
        <w:rPr>
          <w:lang w:val="fr-FR"/>
        </w:rPr>
        <w:t>refoulement et à l</w:t>
      </w:r>
      <w:r w:rsidR="004F1DFB">
        <w:rPr>
          <w:lang w:val="fr-FR"/>
        </w:rPr>
        <w:t>’</w:t>
      </w:r>
      <w:r w:rsidRPr="00AB1F22">
        <w:rPr>
          <w:lang w:val="fr-FR"/>
        </w:rPr>
        <w:t>examen global de la stratégie de traitement de ces demandes sont traitées dans l</w:t>
      </w:r>
      <w:r w:rsidR="004F1DFB">
        <w:rPr>
          <w:lang w:val="fr-FR"/>
        </w:rPr>
        <w:t>’</w:t>
      </w:r>
      <w:r w:rsidRPr="00AB1F22">
        <w:rPr>
          <w:lang w:val="fr-FR"/>
        </w:rPr>
        <w:t>annexe</w:t>
      </w:r>
      <w:r>
        <w:rPr>
          <w:lang w:val="fr-FR"/>
        </w:rPr>
        <w:t> </w:t>
      </w:r>
      <w:r w:rsidRPr="00AB1F22">
        <w:rPr>
          <w:lang w:val="fr-FR"/>
        </w:rPr>
        <w:t xml:space="preserve">7B. </w:t>
      </w:r>
    </w:p>
    <w:p w:rsidR="0024529D" w:rsidRPr="00AB1F22" w:rsidRDefault="0024529D" w:rsidP="0024529D">
      <w:pPr>
        <w:pStyle w:val="H1G"/>
        <w:rPr>
          <w:lang w:val="fr-FR"/>
        </w:rPr>
      </w:pPr>
      <w:r w:rsidRPr="00AB1F22">
        <w:rPr>
          <w:lang w:val="fr-FR"/>
        </w:rPr>
        <w:tab/>
      </w:r>
      <w:r w:rsidRPr="00AB1F22">
        <w:rPr>
          <w:lang w:val="fr-FR"/>
        </w:rPr>
        <w:tab/>
      </w:r>
      <w:r w:rsidRPr="00AB1F22">
        <w:rPr>
          <w:bCs/>
          <w:lang w:val="fr-FR"/>
        </w:rPr>
        <w:t>Article</w:t>
      </w:r>
      <w:r w:rsidR="004F1DFB">
        <w:rPr>
          <w:bCs/>
          <w:lang w:val="fr-FR"/>
        </w:rPr>
        <w:t> </w:t>
      </w:r>
      <w:r w:rsidRPr="00AB1F22">
        <w:rPr>
          <w:bCs/>
          <w:lang w:val="fr-FR"/>
        </w:rPr>
        <w:t>8</w:t>
      </w:r>
      <w:r>
        <w:rPr>
          <w:bCs/>
          <w:lang w:val="fr-FR"/>
        </w:rPr>
        <w:br/>
      </w:r>
      <w:r w:rsidRPr="00AB1F22">
        <w:rPr>
          <w:bCs/>
          <w:lang w:val="fr-FR"/>
        </w:rPr>
        <w:t>Esclavage et servitude</w:t>
      </w:r>
      <w:r>
        <w:rPr>
          <w:bCs/>
          <w:lang w:val="fr-FR"/>
        </w:rPr>
        <w:t> ;</w:t>
      </w:r>
      <w:r w:rsidRPr="00AB1F22">
        <w:rPr>
          <w:lang w:val="fr-FR"/>
        </w:rPr>
        <w:t xml:space="preserve"> </w:t>
      </w:r>
      <w:r w:rsidRPr="00AB1F22">
        <w:rPr>
          <w:bCs/>
          <w:lang w:val="fr-FR"/>
        </w:rPr>
        <w:t>travail forcé ou obligatoire</w:t>
      </w:r>
      <w:r w:rsidRPr="00AB1F22">
        <w:rPr>
          <w:lang w:val="fr-FR"/>
        </w:rPr>
        <w:t xml:space="preserve"> </w:t>
      </w:r>
      <w:bookmarkStart w:id="24" w:name="_Toc31721413"/>
      <w:bookmarkEnd w:id="24"/>
    </w:p>
    <w:p w:rsidR="0024529D" w:rsidRPr="00AB1F22" w:rsidRDefault="0024529D" w:rsidP="0024529D">
      <w:pPr>
        <w:pStyle w:val="SingleTxtG"/>
        <w:rPr>
          <w:lang w:val="fr-FR"/>
        </w:rPr>
      </w:pPr>
      <w:r w:rsidRPr="00AB1F22">
        <w:rPr>
          <w:lang w:val="fr-FR"/>
        </w:rPr>
        <w:t>55.</w:t>
      </w:r>
      <w:r w:rsidRPr="00AB1F22">
        <w:rPr>
          <w:lang w:val="fr-FR"/>
        </w:rPr>
        <w:tab/>
        <w:t>La situation reste inchangée par rapport à celle exposée au paragraphe 102 du rapport précédent. Les paragraphes 1 et 2 de l</w:t>
      </w:r>
      <w:r w:rsidR="004F1DFB">
        <w:rPr>
          <w:lang w:val="fr-FR"/>
        </w:rPr>
        <w:t>’</w:t>
      </w:r>
      <w:r w:rsidRPr="00AB1F22">
        <w:rPr>
          <w:lang w:val="fr-FR"/>
        </w:rPr>
        <w:t>article 4 de la Charte des droits interdisent l</w:t>
      </w:r>
      <w:r w:rsidR="004F1DFB">
        <w:rPr>
          <w:lang w:val="fr-FR"/>
        </w:rPr>
        <w:t>’</w:t>
      </w:r>
      <w:r w:rsidRPr="00AB1F22">
        <w:rPr>
          <w:lang w:val="fr-FR"/>
        </w:rPr>
        <w:t>esclavage et la traite des esclaves sous toutes leurs formes ainsi que le maintien d</w:t>
      </w:r>
      <w:r w:rsidR="004F1DFB">
        <w:rPr>
          <w:lang w:val="fr-FR"/>
        </w:rPr>
        <w:t>’</w:t>
      </w:r>
      <w:r w:rsidRPr="00AB1F22">
        <w:rPr>
          <w:lang w:val="fr-FR"/>
        </w:rPr>
        <w:t>une personne dans la servitude. Le paragraphe 3 de l</w:t>
      </w:r>
      <w:r w:rsidR="004F1DFB">
        <w:rPr>
          <w:lang w:val="fr-FR"/>
        </w:rPr>
        <w:t>’</w:t>
      </w:r>
      <w:r w:rsidRPr="00AB1F22">
        <w:rPr>
          <w:lang w:val="fr-FR"/>
        </w:rPr>
        <w:t>article 4 de la Charte des droits interdit le travail forcé ou obligatoire. Les cas avérés d</w:t>
      </w:r>
      <w:r w:rsidR="004F1DFB">
        <w:rPr>
          <w:lang w:val="fr-FR"/>
        </w:rPr>
        <w:t>’</w:t>
      </w:r>
      <w:r w:rsidRPr="00AB1F22">
        <w:rPr>
          <w:lang w:val="fr-FR"/>
        </w:rPr>
        <w:t>esclavage, de servitude, de travail forcé et o</w:t>
      </w:r>
      <w:r>
        <w:rPr>
          <w:lang w:val="fr-FR"/>
        </w:rPr>
        <w:t>bligatoire restent rares à Hong </w:t>
      </w:r>
      <w:r w:rsidRPr="00AB1F22">
        <w:rPr>
          <w:lang w:val="fr-FR"/>
        </w:rPr>
        <w:t>Kong. Dans l</w:t>
      </w:r>
      <w:r w:rsidR="004F1DFB">
        <w:rPr>
          <w:lang w:val="fr-FR"/>
        </w:rPr>
        <w:t>’</w:t>
      </w:r>
      <w:r w:rsidRPr="00AB1F22">
        <w:rPr>
          <w:lang w:val="fr-FR"/>
        </w:rPr>
        <w:t>affaire</w:t>
      </w:r>
      <w:r>
        <w:rPr>
          <w:lang w:val="fr-FR"/>
        </w:rPr>
        <w:t> </w:t>
      </w:r>
      <w:r w:rsidRPr="00AB1F22">
        <w:rPr>
          <w:i/>
          <w:iCs/>
          <w:lang w:val="fr-FR"/>
        </w:rPr>
        <w:t>ZN c.</w:t>
      </w:r>
      <w:r w:rsidR="004F1DFB">
        <w:rPr>
          <w:i/>
          <w:iCs/>
          <w:lang w:val="fr-FR"/>
        </w:rPr>
        <w:t> </w:t>
      </w:r>
      <w:r w:rsidRPr="00AB1F22">
        <w:rPr>
          <w:i/>
          <w:iCs/>
          <w:lang w:val="fr-FR"/>
        </w:rPr>
        <w:t>Secrétaire à la justice</w:t>
      </w:r>
      <w:r w:rsidRPr="00AB1F22">
        <w:rPr>
          <w:lang w:val="fr-FR"/>
        </w:rPr>
        <w:t xml:space="preserve"> (2017, 1</w:t>
      </w:r>
      <w:r w:rsidR="004F1DFB">
        <w:rPr>
          <w:lang w:val="fr-FR"/>
        </w:rPr>
        <w:t> </w:t>
      </w:r>
      <w:r w:rsidRPr="00AB1F22">
        <w:rPr>
          <w:lang w:val="fr-FR"/>
        </w:rPr>
        <w:t xml:space="preserve">HKLRD 559), le Tribunal de première instance a décidé que le requérant était victime de la traite des personnes à des fins de travail forcé, mais le Gouvernement a interjeté appel de cette décision.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Protection des employés de maison étrangers</w:t>
      </w:r>
      <w:r w:rsidRPr="00AB1F22">
        <w:rPr>
          <w:lang w:val="fr-FR"/>
        </w:rPr>
        <w:t xml:space="preserve"> </w:t>
      </w:r>
      <w:bookmarkStart w:id="25" w:name="_Toc31721414"/>
      <w:bookmarkEnd w:id="25"/>
    </w:p>
    <w:p w:rsidR="0024529D" w:rsidRPr="00AB1F22" w:rsidRDefault="0024529D" w:rsidP="0024529D">
      <w:pPr>
        <w:pStyle w:val="SingleTxtG"/>
        <w:rPr>
          <w:lang w:val="fr-FR"/>
        </w:rPr>
      </w:pPr>
      <w:r w:rsidRPr="00AB1F22">
        <w:rPr>
          <w:lang w:val="fr-FR"/>
        </w:rPr>
        <w:t>56.</w:t>
      </w:r>
      <w:r w:rsidRPr="00AB1F22">
        <w:rPr>
          <w:lang w:val="fr-FR"/>
        </w:rPr>
        <w:tab/>
        <w:t>Certains commentateurs ont exprimé des inquiétudes quant à la protection des droits fondamentaux des employés de maison étrangers à Hong</w:t>
      </w:r>
      <w:r>
        <w:rPr>
          <w:lang w:val="fr-FR"/>
        </w:rPr>
        <w:t> </w:t>
      </w:r>
      <w:r w:rsidRPr="00AB1F22">
        <w:rPr>
          <w:lang w:val="fr-FR"/>
        </w:rPr>
        <w:t>Kong. Le Gouvernement reste déterminé à protéger les droits de tous les travailleurs migrants (y compris les employés de maison étrangers). Indépendamment de leur race ou de leur pays d</w:t>
      </w:r>
      <w:r w:rsidR="004F1DFB">
        <w:rPr>
          <w:lang w:val="fr-FR"/>
        </w:rPr>
        <w:t>’</w:t>
      </w:r>
      <w:r w:rsidRPr="00AB1F22">
        <w:rPr>
          <w:lang w:val="fr-FR"/>
        </w:rPr>
        <w:t>origine, les employés de maison étrangers bénéficient au même titre que les travailleurs locaux d</w:t>
      </w:r>
      <w:r w:rsidR="004F1DFB">
        <w:rPr>
          <w:lang w:val="fr-FR"/>
        </w:rPr>
        <w:t>’</w:t>
      </w:r>
      <w:r w:rsidRPr="00AB1F22">
        <w:rPr>
          <w:lang w:val="fr-FR"/>
        </w:rPr>
        <w:t xml:space="preserve">une protection et de droit égaux </w:t>
      </w:r>
      <w:r>
        <w:rPr>
          <w:lang w:val="fr-FR"/>
        </w:rPr>
        <w:t>en vertu</w:t>
      </w:r>
      <w:r w:rsidRPr="00AB1F22">
        <w:rPr>
          <w:lang w:val="fr-FR"/>
        </w:rPr>
        <w:t xml:space="preserve"> du droit du travail, notamment en ce qui concerne les jours de repos hebdomadaire, les jours fériés payés, les congés annuels rémunérés, les indemnités de maladie, la protection de la maternité, les primes d</w:t>
      </w:r>
      <w:r w:rsidR="004F1DFB">
        <w:rPr>
          <w:lang w:val="fr-FR"/>
        </w:rPr>
        <w:t>’</w:t>
      </w:r>
      <w:r w:rsidRPr="00AB1F22">
        <w:rPr>
          <w:lang w:val="fr-FR"/>
        </w:rPr>
        <w:t>ancienneté, les indemnités de licenciement, les prestations liées à des accidents du travail ayant entraîné des blessures ou la mort, le droit de former des syndicats et d</w:t>
      </w:r>
      <w:r w:rsidR="004F1DFB">
        <w:rPr>
          <w:lang w:val="fr-FR"/>
        </w:rPr>
        <w:t>’</w:t>
      </w:r>
      <w:r w:rsidRPr="00AB1F22">
        <w:rPr>
          <w:lang w:val="fr-FR"/>
        </w:rPr>
        <w:t>y adhérer, et la protection contre la discrimination antisyndicale. Les employés de maison étrangers bénéficient également de la protection découlant d</w:t>
      </w:r>
      <w:r w:rsidR="004F1DFB">
        <w:rPr>
          <w:lang w:val="fr-FR"/>
        </w:rPr>
        <w:t>’</w:t>
      </w:r>
      <w:r w:rsidRPr="00AB1F22">
        <w:rPr>
          <w:lang w:val="fr-FR"/>
        </w:rPr>
        <w:t>un contrat de travail type établi par le Gouvernement qui leur donne droit au salaire minimum légal, à un logement gratuit, à la gratuité des repas (ou à une allocation repas), à la gratuité des soins médicaux et à la gratuité des trajets vers et depuis leur pays d</w:t>
      </w:r>
      <w:r w:rsidR="004F1DFB">
        <w:rPr>
          <w:lang w:val="fr-FR"/>
        </w:rPr>
        <w:t>’</w:t>
      </w:r>
      <w:r w:rsidRPr="00AB1F22">
        <w:rPr>
          <w:lang w:val="fr-FR"/>
        </w:rPr>
        <w:t>origine. La réglementation des agences pour l</w:t>
      </w:r>
      <w:r w:rsidR="004F1DFB">
        <w:rPr>
          <w:lang w:val="fr-FR"/>
        </w:rPr>
        <w:t>’</w:t>
      </w:r>
      <w:r w:rsidRPr="00AB1F22">
        <w:rPr>
          <w:lang w:val="fr-FR"/>
        </w:rPr>
        <w:t xml:space="preserve">emploi a également été considérablement renforcée (voir annexe 8A). </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 xml:space="preserve">Protection des employés de maison étrangers contre les mauvais traitements </w:t>
      </w:r>
      <w:r w:rsidR="004F1DFB">
        <w:rPr>
          <w:iCs/>
          <w:lang w:val="fr-FR"/>
        </w:rPr>
        <w:br/>
      </w:r>
      <w:r w:rsidRPr="00AB1F22">
        <w:rPr>
          <w:iCs/>
          <w:lang w:val="fr-FR"/>
        </w:rPr>
        <w:t>ou l</w:t>
      </w:r>
      <w:r w:rsidR="004F1DFB">
        <w:rPr>
          <w:iCs/>
          <w:lang w:val="fr-FR"/>
        </w:rPr>
        <w:t>’</w:t>
      </w:r>
      <w:r w:rsidRPr="00AB1F22">
        <w:rPr>
          <w:iCs/>
          <w:lang w:val="fr-FR"/>
        </w:rPr>
        <w:t>exploitation</w:t>
      </w:r>
      <w:r w:rsidRPr="00AB1F22">
        <w:rPr>
          <w:lang w:val="fr-FR"/>
        </w:rPr>
        <w:t xml:space="preserve"> </w:t>
      </w:r>
    </w:p>
    <w:p w:rsidR="0024529D" w:rsidRPr="00AB1F22" w:rsidRDefault="0024529D" w:rsidP="0024529D">
      <w:pPr>
        <w:pStyle w:val="SingleTxtG"/>
        <w:rPr>
          <w:lang w:val="fr-FR"/>
        </w:rPr>
      </w:pPr>
      <w:r w:rsidRPr="00AB1F22">
        <w:rPr>
          <w:lang w:val="fr-FR"/>
        </w:rPr>
        <w:t>57.</w:t>
      </w:r>
      <w:r w:rsidRPr="00AB1F22">
        <w:rPr>
          <w:lang w:val="fr-FR"/>
        </w:rPr>
        <w:tab/>
        <w:t>Le Gouvernement ne tolère en aucun cas que les employés de maison étrangers soient victimes de mauvais traitements ou d</w:t>
      </w:r>
      <w:r w:rsidR="004F1DFB">
        <w:rPr>
          <w:lang w:val="fr-FR"/>
        </w:rPr>
        <w:t>’</w:t>
      </w:r>
      <w:r w:rsidRPr="00AB1F22">
        <w:rPr>
          <w:lang w:val="fr-FR"/>
        </w:rPr>
        <w:t>exploitation. Pour ce qui est de la protection des droits des employés de maison étrangers en matière d</w:t>
      </w:r>
      <w:r w:rsidR="004F1DFB">
        <w:rPr>
          <w:lang w:val="fr-FR"/>
        </w:rPr>
        <w:t>’</w:t>
      </w:r>
      <w:r w:rsidRPr="00AB1F22">
        <w:rPr>
          <w:lang w:val="fr-FR"/>
        </w:rPr>
        <w:t>emploi, toute violation de l</w:t>
      </w:r>
      <w:r w:rsidR="004F1DFB">
        <w:rPr>
          <w:lang w:val="fr-FR"/>
        </w:rPr>
        <w:t>’</w:t>
      </w:r>
      <w:r w:rsidRPr="00AB1F22">
        <w:rPr>
          <w:lang w:val="fr-FR"/>
        </w:rPr>
        <w:t>ordonnance relative à l</w:t>
      </w:r>
      <w:r w:rsidR="004F1DFB">
        <w:rPr>
          <w:lang w:val="fr-FR"/>
        </w:rPr>
        <w:t>’</w:t>
      </w:r>
      <w:r w:rsidRPr="00AB1F22">
        <w:rPr>
          <w:lang w:val="fr-FR"/>
        </w:rPr>
        <w:t>emploi (chap. 57) étayée par des preuves suffisantes fera l</w:t>
      </w:r>
      <w:r w:rsidR="004F1DFB">
        <w:rPr>
          <w:lang w:val="fr-FR"/>
        </w:rPr>
        <w:t>’</w:t>
      </w:r>
      <w:r w:rsidRPr="00AB1F22">
        <w:rPr>
          <w:lang w:val="fr-FR"/>
        </w:rPr>
        <w:t>objet de poursuites menées par le Département du travail. La rapidité de l</w:t>
      </w:r>
      <w:r w:rsidR="004F1DFB">
        <w:rPr>
          <w:lang w:val="fr-FR"/>
        </w:rPr>
        <w:t>’</w:t>
      </w:r>
      <w:r w:rsidRPr="00AB1F22">
        <w:rPr>
          <w:lang w:val="fr-FR"/>
        </w:rPr>
        <w:t>enquête et des poursuites menées par les forces de l</w:t>
      </w:r>
      <w:r w:rsidR="004F1DFB">
        <w:rPr>
          <w:lang w:val="fr-FR"/>
        </w:rPr>
        <w:t>’</w:t>
      </w:r>
      <w:r w:rsidRPr="00AB1F22">
        <w:rPr>
          <w:lang w:val="fr-FR"/>
        </w:rPr>
        <w:t>ordre et la peine de prison de six</w:t>
      </w:r>
      <w:r>
        <w:rPr>
          <w:lang w:val="fr-FR"/>
        </w:rPr>
        <w:t> </w:t>
      </w:r>
      <w:r w:rsidRPr="00AB1F22">
        <w:rPr>
          <w:lang w:val="fr-FR"/>
        </w:rPr>
        <w:t>ans infligée à l</w:t>
      </w:r>
      <w:r w:rsidR="004F1DFB">
        <w:rPr>
          <w:lang w:val="fr-FR"/>
        </w:rPr>
        <w:t>’</w:t>
      </w:r>
      <w:r w:rsidRPr="00AB1F22">
        <w:rPr>
          <w:lang w:val="fr-FR"/>
        </w:rPr>
        <w:t>ancien employeur d</w:t>
      </w:r>
      <w:r w:rsidR="004F1DFB">
        <w:rPr>
          <w:lang w:val="fr-FR"/>
        </w:rPr>
        <w:t>’</w:t>
      </w:r>
      <w:r w:rsidRPr="00AB1F22">
        <w:rPr>
          <w:lang w:val="fr-FR"/>
        </w:rPr>
        <w:t>une employée de maison indonésienne pour agression et violation du droit du travail en 2015 montrent la grande importance que le Gouvernement attache à la protection des employés de maison étrangers. Entre juillet 2010 et juillet 2017, le Département du travail a obtenu 190</w:t>
      </w:r>
      <w:r>
        <w:rPr>
          <w:lang w:val="fr-FR"/>
        </w:rPr>
        <w:t> </w:t>
      </w:r>
      <w:r w:rsidRPr="00AB1F22">
        <w:rPr>
          <w:lang w:val="fr-FR"/>
        </w:rPr>
        <w:t>condamnations contre des employeurs d</w:t>
      </w:r>
      <w:r w:rsidR="004F1DFB">
        <w:rPr>
          <w:lang w:val="fr-FR"/>
        </w:rPr>
        <w:t>’</w:t>
      </w:r>
      <w:r w:rsidRPr="00AB1F22">
        <w:rPr>
          <w:lang w:val="fr-FR"/>
        </w:rPr>
        <w:t>employés de maison étrangers qui avaient commis des infractions liées aux salaires. Parmi les employeurs déclarés coupables, huit ont été condamnés à effectuer un travail d</w:t>
      </w:r>
      <w:r w:rsidR="004F1DFB">
        <w:rPr>
          <w:lang w:val="fr-FR"/>
        </w:rPr>
        <w:t>’</w:t>
      </w:r>
      <w:r w:rsidRPr="00AB1F22">
        <w:rPr>
          <w:lang w:val="fr-FR"/>
        </w:rPr>
        <w:t>intérêt général d</w:t>
      </w:r>
      <w:r w:rsidR="004F1DFB">
        <w:rPr>
          <w:lang w:val="fr-FR"/>
        </w:rPr>
        <w:t>’</w:t>
      </w:r>
      <w:r w:rsidRPr="00AB1F22">
        <w:rPr>
          <w:lang w:val="fr-FR"/>
        </w:rPr>
        <w:t>une durée maximale de 240</w:t>
      </w:r>
      <w:r>
        <w:rPr>
          <w:lang w:val="fr-FR"/>
        </w:rPr>
        <w:t> </w:t>
      </w:r>
      <w:r w:rsidRPr="00AB1F22">
        <w:rPr>
          <w:lang w:val="fr-FR"/>
        </w:rPr>
        <w:t>heures, tandis que quatre ont été condamnés à des peines d</w:t>
      </w:r>
      <w:r w:rsidR="004F1DFB">
        <w:rPr>
          <w:lang w:val="fr-FR"/>
        </w:rPr>
        <w:t>’</w:t>
      </w:r>
      <w:r w:rsidRPr="00AB1F22">
        <w:rPr>
          <w:lang w:val="fr-FR"/>
        </w:rPr>
        <w:t>emprisonnement allant jusqu</w:t>
      </w:r>
      <w:r w:rsidR="004F1DFB">
        <w:rPr>
          <w:lang w:val="fr-FR"/>
        </w:rPr>
        <w:t>’</w:t>
      </w:r>
      <w:r w:rsidRPr="00AB1F22">
        <w:rPr>
          <w:lang w:val="fr-FR"/>
        </w:rPr>
        <w:t xml:space="preserve">à quatre mois. </w:t>
      </w:r>
    </w:p>
    <w:p w:rsidR="0024529D" w:rsidRPr="00AB1F22" w:rsidRDefault="0024529D" w:rsidP="0024529D">
      <w:pPr>
        <w:pStyle w:val="SingleTxtG"/>
        <w:rPr>
          <w:lang w:val="fr-FR"/>
        </w:rPr>
      </w:pPr>
      <w:r w:rsidRPr="00AB1F22">
        <w:rPr>
          <w:lang w:val="fr-FR"/>
        </w:rPr>
        <w:t>58.</w:t>
      </w:r>
      <w:r w:rsidRPr="00AB1F22">
        <w:rPr>
          <w:lang w:val="fr-FR"/>
        </w:rPr>
        <w:tab/>
        <w:t>Il est conseillé aux employés de maison étrangers qui sont victimes de mauvais traitements ou d</w:t>
      </w:r>
      <w:r w:rsidR="004F1DFB">
        <w:rPr>
          <w:lang w:val="fr-FR"/>
        </w:rPr>
        <w:t>’</w:t>
      </w:r>
      <w:r w:rsidRPr="00AB1F22">
        <w:rPr>
          <w:lang w:val="fr-FR"/>
        </w:rPr>
        <w:t>agressions de la part de leur employeur de le signaler dès que possible à la police. La police recueillera les dépositions des employés de maison étrangers dans leur propre langue ou dialecte grâce aux services d</w:t>
      </w:r>
      <w:r w:rsidR="004F1DFB">
        <w:rPr>
          <w:lang w:val="fr-FR"/>
        </w:rPr>
        <w:t>’</w:t>
      </w:r>
      <w:r w:rsidRPr="00AB1F22">
        <w:rPr>
          <w:lang w:val="fr-FR"/>
        </w:rPr>
        <w:t>un interprète. La police peut également coopérer avec le Département de la protection sociale, les ONG et l</w:t>
      </w:r>
      <w:r w:rsidR="004F1DFB">
        <w:rPr>
          <w:lang w:val="fr-FR"/>
        </w:rPr>
        <w:t>’</w:t>
      </w:r>
      <w:r w:rsidRPr="00AB1F22">
        <w:rPr>
          <w:lang w:val="fr-FR"/>
        </w:rPr>
        <w:t>agence pour l</w:t>
      </w:r>
      <w:r w:rsidR="004F1DFB">
        <w:rPr>
          <w:lang w:val="fr-FR"/>
        </w:rPr>
        <w:t>’</w:t>
      </w:r>
      <w:r w:rsidRPr="00AB1F22">
        <w:rPr>
          <w:lang w:val="fr-FR"/>
        </w:rPr>
        <w:t>emploi des employés de maison étrangers pour mettre en place une aide d</w:t>
      </w:r>
      <w:r w:rsidR="004F1DFB">
        <w:rPr>
          <w:lang w:val="fr-FR"/>
        </w:rPr>
        <w:t>’</w:t>
      </w:r>
      <w:r w:rsidRPr="00AB1F22">
        <w:rPr>
          <w:lang w:val="fr-FR"/>
        </w:rPr>
        <w:t>urgence, un service de conseil et octroyer un permis de séjour temporaire. Si les preuves sont suffisantes, la police arrêtera les auteurs des infractions et prendra les mesures supplémentaires qui s</w:t>
      </w:r>
      <w:r w:rsidR="004F1DFB">
        <w:rPr>
          <w:lang w:val="fr-FR"/>
        </w:rPr>
        <w:t>’</w:t>
      </w:r>
      <w:r w:rsidRPr="00AB1F22">
        <w:rPr>
          <w:lang w:val="fr-FR"/>
        </w:rPr>
        <w:t xml:space="preserve">imposent. </w:t>
      </w:r>
    </w:p>
    <w:p w:rsidR="0024529D" w:rsidRPr="00AB1F22" w:rsidRDefault="0024529D" w:rsidP="0024529D">
      <w:pPr>
        <w:pStyle w:val="SingleTxtG"/>
        <w:rPr>
          <w:lang w:val="fr-FR"/>
        </w:rPr>
      </w:pPr>
      <w:r w:rsidRPr="00AB1F22">
        <w:rPr>
          <w:lang w:val="fr-FR"/>
        </w:rPr>
        <w:t>59.</w:t>
      </w:r>
      <w:r w:rsidRPr="00AB1F22">
        <w:rPr>
          <w:lang w:val="fr-FR"/>
        </w:rPr>
        <w:tab/>
        <w:t>Entre juillet 2010 et juillet 2017, la police a reçu 259</w:t>
      </w:r>
      <w:r>
        <w:rPr>
          <w:lang w:val="fr-FR"/>
        </w:rPr>
        <w:t> </w:t>
      </w:r>
      <w:r w:rsidRPr="00AB1F22">
        <w:rPr>
          <w:lang w:val="fr-FR"/>
        </w:rPr>
        <w:t>signalements de cas de blessures et d</w:t>
      </w:r>
      <w:r w:rsidR="004F1DFB">
        <w:rPr>
          <w:lang w:val="fr-FR"/>
        </w:rPr>
        <w:t>’</w:t>
      </w:r>
      <w:r w:rsidRPr="00AB1F22">
        <w:rPr>
          <w:lang w:val="fr-FR"/>
        </w:rPr>
        <w:t>agressions graves sur des employés de maison étrangers qui affirmaient avoir été agressés par leur employeur. La police n</w:t>
      </w:r>
      <w:r w:rsidR="004F1DFB">
        <w:rPr>
          <w:lang w:val="fr-FR"/>
        </w:rPr>
        <w:t>’</w:t>
      </w:r>
      <w:r w:rsidRPr="00AB1F22">
        <w:rPr>
          <w:lang w:val="fr-FR"/>
        </w:rPr>
        <w:t xml:space="preserve">établit pas de statistiques sur les peines prononcées. </w:t>
      </w:r>
    </w:p>
    <w:p w:rsidR="0024529D" w:rsidRPr="00AB1F22" w:rsidRDefault="0024529D" w:rsidP="0024529D">
      <w:pPr>
        <w:pStyle w:val="SingleTxtG"/>
        <w:rPr>
          <w:lang w:val="fr-FR"/>
        </w:rPr>
      </w:pPr>
      <w:r w:rsidRPr="00AB1F22">
        <w:rPr>
          <w:lang w:val="fr-FR"/>
        </w:rPr>
        <w:t>60.</w:t>
      </w:r>
      <w:r w:rsidRPr="00AB1F22">
        <w:rPr>
          <w:lang w:val="fr-FR"/>
        </w:rPr>
        <w:tab/>
        <w:t>La clause 3 du contrat de travail type précise que tous les employés de maison étrangers ne doivent travailler et résider que dans la résidence de leur employeur. Si un employeur ne respecte pas l</w:t>
      </w:r>
      <w:r w:rsidR="004F1DFB">
        <w:rPr>
          <w:lang w:val="fr-FR"/>
        </w:rPr>
        <w:t>’</w:t>
      </w:r>
      <w:r w:rsidRPr="00AB1F22">
        <w:rPr>
          <w:lang w:val="fr-FR"/>
        </w:rPr>
        <w:t>engagement qu</w:t>
      </w:r>
      <w:r w:rsidR="004F1DFB">
        <w:rPr>
          <w:lang w:val="fr-FR"/>
        </w:rPr>
        <w:t>’</w:t>
      </w:r>
      <w:r w:rsidRPr="00AB1F22">
        <w:rPr>
          <w:lang w:val="fr-FR"/>
        </w:rPr>
        <w:t>il a pris en signant le contrat de travail type et les formulaires de demande correspondants, le Département de l</w:t>
      </w:r>
      <w:r w:rsidR="004F1DFB">
        <w:rPr>
          <w:lang w:val="fr-FR"/>
        </w:rPr>
        <w:t>’</w:t>
      </w:r>
      <w:r w:rsidRPr="00AB1F22">
        <w:rPr>
          <w:lang w:val="fr-FR"/>
        </w:rPr>
        <w:t>immigration en tiendra compte pour évaluer ses futures demandes visant à recruter un employé de maison étranger. Le Département de l</w:t>
      </w:r>
      <w:r w:rsidR="004F1DFB">
        <w:rPr>
          <w:lang w:val="fr-FR"/>
        </w:rPr>
        <w:t>’</w:t>
      </w:r>
      <w:r w:rsidRPr="00AB1F22">
        <w:rPr>
          <w:lang w:val="fr-FR"/>
        </w:rPr>
        <w:t>immigration a renforcé l</w:t>
      </w:r>
      <w:r w:rsidR="004F1DFB">
        <w:rPr>
          <w:lang w:val="fr-FR"/>
        </w:rPr>
        <w:t>’</w:t>
      </w:r>
      <w:r w:rsidRPr="00AB1F22">
        <w:rPr>
          <w:lang w:val="fr-FR"/>
        </w:rPr>
        <w:t>examen des demandes de renouvellement de contrat par les employeurs et peut rejeter une demande s</w:t>
      </w:r>
      <w:r w:rsidR="004F1DFB">
        <w:rPr>
          <w:lang w:val="fr-FR"/>
        </w:rPr>
        <w:t>’</w:t>
      </w:r>
      <w:r w:rsidRPr="00AB1F22">
        <w:rPr>
          <w:lang w:val="fr-FR"/>
        </w:rPr>
        <w:t>il se rend compte que l</w:t>
      </w:r>
      <w:r w:rsidR="004F1DFB">
        <w:rPr>
          <w:lang w:val="fr-FR"/>
        </w:rPr>
        <w:t>’</w:t>
      </w:r>
      <w:r w:rsidRPr="00AB1F22">
        <w:rPr>
          <w:lang w:val="fr-FR"/>
        </w:rPr>
        <w:t>employé de maison étranger concerné n</w:t>
      </w:r>
      <w:r w:rsidR="004F1DFB">
        <w:rPr>
          <w:lang w:val="fr-FR"/>
        </w:rPr>
        <w:t>’</w:t>
      </w:r>
      <w:r>
        <w:rPr>
          <w:lang w:val="fr-FR"/>
        </w:rPr>
        <w:t>a pas séjourné à Hong </w:t>
      </w:r>
      <w:r w:rsidRPr="00AB1F22">
        <w:rPr>
          <w:lang w:val="fr-FR"/>
        </w:rPr>
        <w:t>Kong pendant une période prolongée ou s</w:t>
      </w:r>
      <w:r w:rsidR="004F1DFB">
        <w:rPr>
          <w:lang w:val="fr-FR"/>
        </w:rPr>
        <w:t>’</w:t>
      </w:r>
      <w:r w:rsidRPr="00AB1F22">
        <w:rPr>
          <w:lang w:val="fr-FR"/>
        </w:rPr>
        <w:t>il constate des irrégularités dans ses déplacements. De plus, tout employeur ou employé de maison étranger qui communique de fausses informations dans le cadre d</w:t>
      </w:r>
      <w:r w:rsidR="004F1DFB">
        <w:rPr>
          <w:lang w:val="fr-FR"/>
        </w:rPr>
        <w:t>’</w:t>
      </w:r>
      <w:r w:rsidRPr="00AB1F22">
        <w:rPr>
          <w:lang w:val="fr-FR"/>
        </w:rPr>
        <w:t>une demande risque d</w:t>
      </w:r>
      <w:r w:rsidR="004F1DFB">
        <w:rPr>
          <w:lang w:val="fr-FR"/>
        </w:rPr>
        <w:t>’</w:t>
      </w:r>
      <w:r w:rsidRPr="00AB1F22">
        <w:rPr>
          <w:lang w:val="fr-FR"/>
        </w:rPr>
        <w:t>être en conflit avec l</w:t>
      </w:r>
      <w:r w:rsidR="004F1DFB">
        <w:rPr>
          <w:lang w:val="fr-FR"/>
        </w:rPr>
        <w:t>’</w:t>
      </w:r>
      <w:r w:rsidRPr="00AB1F22">
        <w:rPr>
          <w:lang w:val="fr-FR"/>
        </w:rPr>
        <w:t>ordonnance relative à l</w:t>
      </w:r>
      <w:r w:rsidR="004F1DFB">
        <w:rPr>
          <w:lang w:val="fr-FR"/>
        </w:rPr>
        <w:t>’</w:t>
      </w:r>
      <w:r>
        <w:rPr>
          <w:lang w:val="fr-FR"/>
        </w:rPr>
        <w:t xml:space="preserve">immigration (chap. 115). </w:t>
      </w:r>
      <w:r w:rsidRPr="00AB1F22">
        <w:rPr>
          <w:lang w:val="fr-FR"/>
        </w:rPr>
        <w:t>Nous encourageons tous les employés de maison étrangers qui estiment que leur employeur a enfreint les clauses contractuelles à le signaler au Département du travail ou au Département de l</w:t>
      </w:r>
      <w:r w:rsidR="004F1DFB">
        <w:rPr>
          <w:lang w:val="fr-FR"/>
        </w:rPr>
        <w:t>’</w:t>
      </w:r>
      <w:r w:rsidRPr="00AB1F22">
        <w:rPr>
          <w:lang w:val="fr-FR"/>
        </w:rPr>
        <w:t>immigration pour obtenir de l</w:t>
      </w:r>
      <w:r w:rsidR="004F1DFB">
        <w:rPr>
          <w:lang w:val="fr-FR"/>
        </w:rPr>
        <w:t>’</w:t>
      </w:r>
      <w:r w:rsidRPr="00AB1F22">
        <w:rPr>
          <w:lang w:val="fr-FR"/>
        </w:rPr>
        <w:t>aide et l</w:t>
      </w:r>
      <w:r w:rsidR="004F1DFB">
        <w:rPr>
          <w:lang w:val="fr-FR"/>
        </w:rPr>
        <w:t>’</w:t>
      </w:r>
      <w:r w:rsidRPr="00AB1F22">
        <w:rPr>
          <w:lang w:val="fr-FR"/>
        </w:rPr>
        <w:t>ouverture d</w:t>
      </w:r>
      <w:r w:rsidR="004F1DFB">
        <w:rPr>
          <w:lang w:val="fr-FR"/>
        </w:rPr>
        <w:t>’</w:t>
      </w:r>
      <w:r w:rsidRPr="00AB1F22">
        <w:rPr>
          <w:lang w:val="fr-FR"/>
        </w:rPr>
        <w:t>une enquête. Le Département du travail a pris de nombreuses mesures pour promouvoir les droits des employés de maison étrangers (voir l</w:t>
      </w:r>
      <w:r w:rsidR="004F1DFB">
        <w:rPr>
          <w:lang w:val="fr-FR"/>
        </w:rPr>
        <w:t>’</w:t>
      </w:r>
      <w:r w:rsidRPr="00AB1F22">
        <w:rPr>
          <w:lang w:val="fr-FR"/>
        </w:rPr>
        <w:t xml:space="preserve">annexe 8B pour plus de détails). </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 xml:space="preserve">La règle dite des </w:t>
      </w:r>
      <w:r>
        <w:rPr>
          <w:iCs/>
          <w:lang w:val="fr-FR"/>
        </w:rPr>
        <w:t>« </w:t>
      </w:r>
      <w:r w:rsidRPr="00AB1F22">
        <w:rPr>
          <w:iCs/>
          <w:lang w:val="fr-FR"/>
        </w:rPr>
        <w:t>deux semaines</w:t>
      </w:r>
      <w:r>
        <w:rPr>
          <w:iCs/>
          <w:lang w:val="fr-FR"/>
        </w:rPr>
        <w:t> »</w:t>
      </w:r>
    </w:p>
    <w:p w:rsidR="0024529D" w:rsidRPr="00AB1F22" w:rsidRDefault="0024529D" w:rsidP="0024529D">
      <w:pPr>
        <w:pStyle w:val="SingleTxtG"/>
        <w:rPr>
          <w:lang w:val="fr-FR"/>
        </w:rPr>
      </w:pPr>
      <w:r w:rsidRPr="00AB1F22">
        <w:rPr>
          <w:lang w:val="fr-FR"/>
        </w:rPr>
        <w:t>61.</w:t>
      </w:r>
      <w:r w:rsidRPr="00AB1F22">
        <w:rPr>
          <w:lang w:val="fr-FR"/>
        </w:rPr>
        <w:tab/>
        <w:t>Au paragraphe 21 de ses précédentes observations finales, le Comité a recommandé au Gouvernement d</w:t>
      </w:r>
      <w:r w:rsidR="004F1DFB">
        <w:rPr>
          <w:lang w:val="fr-FR"/>
        </w:rPr>
        <w:t>’</w:t>
      </w:r>
      <w:r w:rsidRPr="00AB1F22">
        <w:rPr>
          <w:lang w:val="fr-FR"/>
        </w:rPr>
        <w:t>envisager d</w:t>
      </w:r>
      <w:r w:rsidR="004F1DFB">
        <w:rPr>
          <w:lang w:val="fr-FR"/>
        </w:rPr>
        <w:t>’</w:t>
      </w:r>
      <w:r w:rsidRPr="00AB1F22">
        <w:rPr>
          <w:lang w:val="fr-FR"/>
        </w:rPr>
        <w:t>abroger la règle dite des deux semaines</w:t>
      </w:r>
      <w:r w:rsidRPr="008A2C7C">
        <w:rPr>
          <w:rStyle w:val="Appelnotedebasdep"/>
        </w:rPr>
        <w:footnoteReference w:id="8"/>
      </w:r>
      <w:r w:rsidRPr="00AB1F22">
        <w:rPr>
          <w:lang w:val="fr-FR"/>
        </w:rPr>
        <w:t xml:space="preserve">. </w:t>
      </w:r>
    </w:p>
    <w:p w:rsidR="0024529D" w:rsidRPr="00AB1F22" w:rsidRDefault="0024529D" w:rsidP="0024529D">
      <w:pPr>
        <w:pStyle w:val="SingleTxtG"/>
        <w:rPr>
          <w:lang w:val="fr-FR"/>
        </w:rPr>
      </w:pPr>
      <w:r w:rsidRPr="00AB1F22">
        <w:rPr>
          <w:lang w:val="fr-FR"/>
        </w:rPr>
        <w:t>62.</w:t>
      </w:r>
      <w:r w:rsidRPr="00AB1F22">
        <w:rPr>
          <w:lang w:val="fr-FR"/>
        </w:rPr>
        <w:tab/>
        <w:t>L</w:t>
      </w:r>
      <w:r w:rsidR="004F1DFB">
        <w:rPr>
          <w:lang w:val="fr-FR"/>
        </w:rPr>
        <w:t>’</w:t>
      </w:r>
      <w:r w:rsidRPr="00AB1F22">
        <w:rPr>
          <w:lang w:val="fr-FR"/>
        </w:rPr>
        <w:t>objectif principal de la règle dite des deux semaines est de laisser suffisamment de temps aux employés de maison étrangers pour préparer leur départ et non de leur faciliter la recherche d</w:t>
      </w:r>
      <w:r w:rsidR="004F1DFB">
        <w:rPr>
          <w:lang w:val="fr-FR"/>
        </w:rPr>
        <w:t>’</w:t>
      </w:r>
      <w:r w:rsidRPr="00AB1F22">
        <w:rPr>
          <w:lang w:val="fr-FR"/>
        </w:rPr>
        <w:t>un nouvel employeur. Cette règle est essentielle pour maintenir un contrôle efficace de l</w:t>
      </w:r>
      <w:r w:rsidR="004F1DFB">
        <w:rPr>
          <w:lang w:val="fr-FR"/>
        </w:rPr>
        <w:t>’</w:t>
      </w:r>
      <w:r w:rsidRPr="00AB1F22">
        <w:rPr>
          <w:lang w:val="fr-FR"/>
        </w:rPr>
        <w:t>immigration et prévenir les changements d</w:t>
      </w:r>
      <w:r w:rsidR="004F1DFB">
        <w:rPr>
          <w:lang w:val="fr-FR"/>
        </w:rPr>
        <w:t>’</w:t>
      </w:r>
      <w:r w:rsidRPr="00AB1F22">
        <w:rPr>
          <w:lang w:val="fr-FR"/>
        </w:rPr>
        <w:t>emplois fréquents et le travail illégal des employés de maison étrangers à l</w:t>
      </w:r>
      <w:r w:rsidR="004F1DFB">
        <w:rPr>
          <w:lang w:val="fr-FR"/>
        </w:rPr>
        <w:t>’</w:t>
      </w:r>
      <w:r w:rsidRPr="00AB1F22">
        <w:rPr>
          <w:lang w:val="fr-FR"/>
        </w:rPr>
        <w:t>issue de leur contrat. Le Gouvernement n</w:t>
      </w:r>
      <w:r w:rsidR="004F1DFB">
        <w:rPr>
          <w:lang w:val="fr-FR"/>
        </w:rPr>
        <w:t>’</w:t>
      </w:r>
      <w:r w:rsidRPr="00AB1F22">
        <w:rPr>
          <w:lang w:val="fr-FR"/>
        </w:rPr>
        <w:t>a pas l</w:t>
      </w:r>
      <w:r w:rsidR="004F1DFB">
        <w:rPr>
          <w:lang w:val="fr-FR"/>
        </w:rPr>
        <w:t>’</w:t>
      </w:r>
      <w:r w:rsidRPr="00AB1F22">
        <w:rPr>
          <w:lang w:val="fr-FR"/>
        </w:rPr>
        <w:t>intention d</w:t>
      </w:r>
      <w:r w:rsidR="004F1DFB">
        <w:rPr>
          <w:lang w:val="fr-FR"/>
        </w:rPr>
        <w:t>’</w:t>
      </w:r>
      <w:r w:rsidRPr="00AB1F22">
        <w:rPr>
          <w:lang w:val="fr-FR"/>
        </w:rPr>
        <w:t xml:space="preserve">abroger la règle dite des deux semaines. </w:t>
      </w:r>
    </w:p>
    <w:p w:rsidR="0024529D" w:rsidRPr="00AB1F22" w:rsidRDefault="0024529D" w:rsidP="0024529D">
      <w:pPr>
        <w:pStyle w:val="SingleTxtG"/>
        <w:rPr>
          <w:lang w:val="fr-FR"/>
        </w:rPr>
      </w:pPr>
      <w:r w:rsidRPr="00AB1F22">
        <w:rPr>
          <w:lang w:val="fr-FR"/>
        </w:rPr>
        <w:t>63.</w:t>
      </w:r>
      <w:r w:rsidRPr="00AB1F22">
        <w:rPr>
          <w:lang w:val="fr-FR"/>
        </w:rPr>
        <w:tab/>
        <w:t>Cette règle n</w:t>
      </w:r>
      <w:r w:rsidR="004F1DFB">
        <w:rPr>
          <w:lang w:val="fr-FR"/>
        </w:rPr>
        <w:t>’</w:t>
      </w:r>
      <w:r w:rsidRPr="00AB1F22">
        <w:rPr>
          <w:lang w:val="fr-FR"/>
        </w:rPr>
        <w:t>empêche pas les employés de maison étrangers de travailler</w:t>
      </w:r>
      <w:r>
        <w:rPr>
          <w:lang w:val="fr-FR"/>
        </w:rPr>
        <w:t xml:space="preserve"> à nouveau dans la RAS de Hong </w:t>
      </w:r>
      <w:r w:rsidRPr="00AB1F22">
        <w:rPr>
          <w:lang w:val="fr-FR"/>
        </w:rPr>
        <w:t>Kong après être retournés dans leur pays d</w:t>
      </w:r>
      <w:r w:rsidR="004F1DFB">
        <w:rPr>
          <w:lang w:val="fr-FR"/>
        </w:rPr>
        <w:t>’</w:t>
      </w:r>
      <w:r w:rsidRPr="00AB1F22">
        <w:rPr>
          <w:lang w:val="fr-FR"/>
        </w:rPr>
        <w:t>origine. Dans des circonstances exceptionnelles</w:t>
      </w:r>
      <w:r w:rsidRPr="008A2C7C">
        <w:rPr>
          <w:rStyle w:val="Appelnotedebasdep"/>
        </w:rPr>
        <w:footnoteReference w:id="9"/>
      </w:r>
      <w:r w:rsidRPr="00AB1F22">
        <w:rPr>
          <w:lang w:val="fr-FR"/>
        </w:rPr>
        <w:t>, le Département de l</w:t>
      </w:r>
      <w:r w:rsidR="004F1DFB">
        <w:rPr>
          <w:lang w:val="fr-FR"/>
        </w:rPr>
        <w:t>’</w:t>
      </w:r>
      <w:r w:rsidRPr="00AB1F22">
        <w:rPr>
          <w:lang w:val="fr-FR"/>
        </w:rPr>
        <w:t>immigration peut autoriser un employé de maison étranger à changer d</w:t>
      </w:r>
      <w:r w:rsidR="004F1DFB">
        <w:rPr>
          <w:lang w:val="fr-FR"/>
        </w:rPr>
        <w:t>’</w:t>
      </w:r>
      <w:r w:rsidRPr="00AB1F22">
        <w:rPr>
          <w:lang w:val="fr-FR"/>
        </w:rPr>
        <w:t>employeur dans la RAS de Hong</w:t>
      </w:r>
      <w:r>
        <w:rPr>
          <w:lang w:val="fr-FR"/>
        </w:rPr>
        <w:t> </w:t>
      </w:r>
      <w:r w:rsidRPr="00AB1F22">
        <w:rPr>
          <w:lang w:val="fr-FR"/>
        </w:rPr>
        <w:t>Kong sans devoir préalablement retourner dans son pays d</w:t>
      </w:r>
      <w:r w:rsidR="004F1DFB">
        <w:rPr>
          <w:lang w:val="fr-FR"/>
        </w:rPr>
        <w:t>’</w:t>
      </w:r>
      <w:r w:rsidRPr="00AB1F22">
        <w:rPr>
          <w:lang w:val="fr-FR"/>
        </w:rPr>
        <w:t>origine. Dans le cas où un employé de maison étranger est impliqué dans un conflit du travail et est ten</w:t>
      </w:r>
      <w:r>
        <w:rPr>
          <w:lang w:val="fr-FR"/>
        </w:rPr>
        <w:t>u de rester dans la RAS de Hong </w:t>
      </w:r>
      <w:r w:rsidRPr="00AB1F22">
        <w:rPr>
          <w:lang w:val="fr-FR"/>
        </w:rPr>
        <w:t>Kong aux fins de la procédure et pour participer aux audiences après l</w:t>
      </w:r>
      <w:r w:rsidR="004F1DFB">
        <w:rPr>
          <w:lang w:val="fr-FR"/>
        </w:rPr>
        <w:t>’</w:t>
      </w:r>
      <w:r w:rsidRPr="00AB1F22">
        <w:rPr>
          <w:lang w:val="fr-FR"/>
        </w:rPr>
        <w:t>expiration ou la résiliation de son contrat de travail, il peut demander au Département de l</w:t>
      </w:r>
      <w:r w:rsidR="004F1DFB">
        <w:rPr>
          <w:lang w:val="fr-FR"/>
        </w:rPr>
        <w:t>’</w:t>
      </w:r>
      <w:r w:rsidRPr="00AB1F22">
        <w:rPr>
          <w:lang w:val="fr-FR"/>
        </w:rPr>
        <w:t>immigration une prolongation de son séjour en tant que visiteur en fournissant les preuves nécessaires. Le Département se prononcera sur chaque demande au cas par cas. Le 30 novembre 2017, le Département de l</w:t>
      </w:r>
      <w:r w:rsidR="004F1DFB">
        <w:rPr>
          <w:lang w:val="fr-FR"/>
        </w:rPr>
        <w:t>’</w:t>
      </w:r>
      <w:r w:rsidRPr="00AB1F22">
        <w:rPr>
          <w:lang w:val="fr-FR"/>
        </w:rPr>
        <w:t>immigration avait fait droit à 6</w:t>
      </w:r>
      <w:r>
        <w:rPr>
          <w:lang w:val="fr-FR"/>
        </w:rPr>
        <w:t> </w:t>
      </w:r>
      <w:r w:rsidRPr="00AB1F22">
        <w:rPr>
          <w:lang w:val="fr-FR"/>
        </w:rPr>
        <w:t>478</w:t>
      </w:r>
      <w:r>
        <w:rPr>
          <w:lang w:val="fr-FR"/>
        </w:rPr>
        <w:t> </w:t>
      </w:r>
      <w:r w:rsidRPr="00AB1F22">
        <w:rPr>
          <w:lang w:val="fr-FR"/>
        </w:rPr>
        <w:t>demandes de changement d</w:t>
      </w:r>
      <w:r w:rsidR="004F1DFB">
        <w:rPr>
          <w:lang w:val="fr-FR"/>
        </w:rPr>
        <w:t>’</w:t>
      </w:r>
      <w:r w:rsidRPr="00AB1F22">
        <w:rPr>
          <w:lang w:val="fr-FR"/>
        </w:rPr>
        <w:t>employeur a</w:t>
      </w:r>
      <w:r>
        <w:rPr>
          <w:lang w:val="fr-FR"/>
        </w:rPr>
        <w:t>près une résiliation anticipée.</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Obligation faite aux employés de maison étrangers de vivre chez leur employeur</w:t>
      </w:r>
      <w:r w:rsidRPr="00AB1F22">
        <w:rPr>
          <w:lang w:val="fr-FR"/>
        </w:rPr>
        <w:t xml:space="preserve"> </w:t>
      </w:r>
    </w:p>
    <w:p w:rsidR="0024529D" w:rsidRPr="00AB1F22" w:rsidRDefault="0024529D" w:rsidP="0024529D">
      <w:pPr>
        <w:pStyle w:val="SingleTxtG"/>
        <w:rPr>
          <w:lang w:val="fr-FR"/>
        </w:rPr>
      </w:pPr>
      <w:r w:rsidRPr="00AB1F22">
        <w:rPr>
          <w:lang w:val="fr-FR"/>
        </w:rPr>
        <w:t>64.</w:t>
      </w:r>
      <w:r w:rsidRPr="00AB1F22">
        <w:rPr>
          <w:lang w:val="fr-FR"/>
        </w:rPr>
        <w:tab/>
        <w:t>Au paragraphe</w:t>
      </w:r>
      <w:r>
        <w:rPr>
          <w:lang w:val="fr-FR"/>
        </w:rPr>
        <w:t> </w:t>
      </w:r>
      <w:r w:rsidRPr="00AB1F22">
        <w:rPr>
          <w:lang w:val="fr-FR"/>
        </w:rPr>
        <w:t>21 de ses précédentes observations finales, le Comité a recommandé au Gouvernement d</w:t>
      </w:r>
      <w:r w:rsidR="004F1DFB">
        <w:rPr>
          <w:lang w:val="fr-FR"/>
        </w:rPr>
        <w:t>’</w:t>
      </w:r>
      <w:r w:rsidRPr="00AB1F22">
        <w:rPr>
          <w:lang w:val="fr-FR"/>
        </w:rPr>
        <w:t>envisager de supprimer l</w:t>
      </w:r>
      <w:r w:rsidR="004F1DFB">
        <w:rPr>
          <w:lang w:val="fr-FR"/>
        </w:rPr>
        <w:t>’</w:t>
      </w:r>
      <w:r w:rsidRPr="00AB1F22">
        <w:rPr>
          <w:lang w:val="fr-FR"/>
        </w:rPr>
        <w:t>obligation de vivre chez l</w:t>
      </w:r>
      <w:r w:rsidR="004F1DFB">
        <w:rPr>
          <w:lang w:val="fr-FR"/>
        </w:rPr>
        <w:t>’</w:t>
      </w:r>
      <w:r w:rsidRPr="00AB1F22">
        <w:rPr>
          <w:lang w:val="fr-FR"/>
        </w:rPr>
        <w:t>employeur, qui constitue la pierre angulaire de la politique de Hong</w:t>
      </w:r>
      <w:r>
        <w:rPr>
          <w:lang w:val="fr-FR"/>
        </w:rPr>
        <w:t> </w:t>
      </w:r>
      <w:r w:rsidRPr="00AB1F22">
        <w:rPr>
          <w:lang w:val="fr-FR"/>
        </w:rPr>
        <w:t>Kong à l</w:t>
      </w:r>
      <w:r w:rsidR="004F1DFB">
        <w:rPr>
          <w:lang w:val="fr-FR"/>
        </w:rPr>
        <w:t>’</w:t>
      </w:r>
      <w:r w:rsidRPr="00AB1F22">
        <w:rPr>
          <w:lang w:val="fr-FR"/>
        </w:rPr>
        <w:t>égard des employés de maison que l</w:t>
      </w:r>
      <w:r w:rsidR="004F1DFB">
        <w:rPr>
          <w:lang w:val="fr-FR"/>
        </w:rPr>
        <w:t>’</w:t>
      </w:r>
      <w:r w:rsidRPr="00AB1F22">
        <w:rPr>
          <w:lang w:val="fr-FR"/>
        </w:rPr>
        <w:t>on fait venir de l</w:t>
      </w:r>
      <w:r w:rsidR="004F1DFB">
        <w:rPr>
          <w:lang w:val="fr-FR"/>
        </w:rPr>
        <w:t>’</w:t>
      </w:r>
      <w:r w:rsidRPr="00AB1F22">
        <w:rPr>
          <w:lang w:val="fr-FR"/>
        </w:rPr>
        <w:t xml:space="preserve">étranger. </w:t>
      </w:r>
    </w:p>
    <w:p w:rsidR="0024529D" w:rsidRPr="00AB1F22" w:rsidRDefault="0024529D" w:rsidP="0024529D">
      <w:pPr>
        <w:pStyle w:val="SingleTxtG"/>
        <w:rPr>
          <w:lang w:val="fr-FR"/>
        </w:rPr>
      </w:pPr>
      <w:r w:rsidRPr="00AB1F22">
        <w:rPr>
          <w:lang w:val="fr-FR"/>
        </w:rPr>
        <w:t>65.</w:t>
      </w:r>
      <w:r w:rsidRPr="00AB1F22">
        <w:rPr>
          <w:lang w:val="fr-FR"/>
        </w:rPr>
        <w:tab/>
        <w:t>Comme dans de nombreux autres pays, le Gouvernement donne la priorité à la main</w:t>
      </w:r>
      <w:r>
        <w:rPr>
          <w:lang w:val="fr-FR"/>
        </w:rPr>
        <w:noBreakHyphen/>
      </w:r>
      <w:r w:rsidRPr="00AB1F22">
        <w:rPr>
          <w:lang w:val="fr-FR"/>
        </w:rPr>
        <w:t>d</w:t>
      </w:r>
      <w:r w:rsidR="004F1DFB">
        <w:rPr>
          <w:lang w:val="fr-FR"/>
        </w:rPr>
        <w:t>’</w:t>
      </w:r>
      <w:r w:rsidRPr="00AB1F22">
        <w:rPr>
          <w:lang w:val="fr-FR"/>
        </w:rPr>
        <w:t>œuvre locale et ne fait venir des travailleurs étrangers qu</w:t>
      </w:r>
      <w:r w:rsidR="004F1DFB">
        <w:rPr>
          <w:lang w:val="fr-FR"/>
        </w:rPr>
        <w:t>’</w:t>
      </w:r>
      <w:r w:rsidRPr="00AB1F22">
        <w:rPr>
          <w:lang w:val="fr-FR"/>
        </w:rPr>
        <w:t>en cas de pénurie avérée de main</w:t>
      </w:r>
      <w:r>
        <w:rPr>
          <w:lang w:val="fr-FR"/>
        </w:rPr>
        <w:noBreakHyphen/>
      </w:r>
      <w:r w:rsidRPr="00AB1F22">
        <w:rPr>
          <w:lang w:val="fr-FR"/>
        </w:rPr>
        <w:t>d</w:t>
      </w:r>
      <w:r w:rsidR="004F1DFB">
        <w:rPr>
          <w:lang w:val="fr-FR"/>
        </w:rPr>
        <w:t>’</w:t>
      </w:r>
      <w:r w:rsidRPr="00AB1F22">
        <w:rPr>
          <w:lang w:val="fr-FR"/>
        </w:rPr>
        <w:t>œuvre qui ne peut être comblée par des travailleurs locaux. En application de ce principe, des employés de maison viennent de l</w:t>
      </w:r>
      <w:r w:rsidR="004F1DFB">
        <w:rPr>
          <w:lang w:val="fr-FR"/>
        </w:rPr>
        <w:t>’</w:t>
      </w:r>
      <w:r w:rsidRPr="00AB1F22">
        <w:rPr>
          <w:lang w:val="fr-FR"/>
        </w:rPr>
        <w:t>étra</w:t>
      </w:r>
      <w:r>
        <w:rPr>
          <w:lang w:val="fr-FR"/>
        </w:rPr>
        <w:t>nger depuis le début des années </w:t>
      </w:r>
      <w:r w:rsidRPr="00AB1F22">
        <w:rPr>
          <w:lang w:val="fr-FR"/>
        </w:rPr>
        <w:t>1970 pour pallier la pénurie de travailleurs locaux. Étant donné qu</w:t>
      </w:r>
      <w:r w:rsidR="004F1DFB">
        <w:rPr>
          <w:lang w:val="fr-FR"/>
        </w:rPr>
        <w:t>’</w:t>
      </w:r>
      <w:r w:rsidRPr="00AB1F22">
        <w:rPr>
          <w:lang w:val="fr-FR"/>
        </w:rPr>
        <w:t>il n</w:t>
      </w:r>
      <w:r w:rsidR="004F1DFB">
        <w:rPr>
          <w:lang w:val="fr-FR"/>
        </w:rPr>
        <w:t>’</w:t>
      </w:r>
      <w:r w:rsidRPr="00AB1F22">
        <w:rPr>
          <w:lang w:val="fr-FR"/>
        </w:rPr>
        <w:t>y a pas de pénurie d</w:t>
      </w:r>
      <w:r w:rsidR="004F1DFB">
        <w:rPr>
          <w:lang w:val="fr-FR"/>
        </w:rPr>
        <w:t>’</w:t>
      </w:r>
      <w:r w:rsidRPr="00AB1F22">
        <w:rPr>
          <w:lang w:val="fr-FR"/>
        </w:rPr>
        <w:t>employés de maison locaux qui ne vivent pas chez l</w:t>
      </w:r>
      <w:r w:rsidR="004F1DFB">
        <w:rPr>
          <w:lang w:val="fr-FR"/>
        </w:rPr>
        <w:t>’</w:t>
      </w:r>
      <w:r w:rsidRPr="00AB1F22">
        <w:rPr>
          <w:lang w:val="fr-FR"/>
        </w:rPr>
        <w:t>employeur, toute modification de l</w:t>
      </w:r>
      <w:r w:rsidR="004F1DFB">
        <w:rPr>
          <w:lang w:val="fr-FR"/>
        </w:rPr>
        <w:t>’</w:t>
      </w:r>
      <w:r w:rsidRPr="00AB1F22">
        <w:rPr>
          <w:lang w:val="fr-FR"/>
        </w:rPr>
        <w:t>obligation de vivre chez l</w:t>
      </w:r>
      <w:r w:rsidR="004F1DFB">
        <w:rPr>
          <w:lang w:val="fr-FR"/>
        </w:rPr>
        <w:t>’</w:t>
      </w:r>
      <w:r w:rsidRPr="00AB1F22">
        <w:rPr>
          <w:lang w:val="fr-FR"/>
        </w:rPr>
        <w:t>employeur portera atteinte à la raison invoquée pour faire venir des employés de maison de l</w:t>
      </w:r>
      <w:r w:rsidR="004F1DFB">
        <w:rPr>
          <w:lang w:val="fr-FR"/>
        </w:rPr>
        <w:t>’</w:t>
      </w:r>
      <w:r w:rsidRPr="00AB1F22">
        <w:rPr>
          <w:lang w:val="fr-FR"/>
        </w:rPr>
        <w:t>étranger et à la politique fondamentale selon laquelle les employés locaux devraient avoir la priorité en matière d</w:t>
      </w:r>
      <w:r w:rsidR="004F1DFB">
        <w:rPr>
          <w:lang w:val="fr-FR"/>
        </w:rPr>
        <w:t>’</w:t>
      </w:r>
      <w:r w:rsidRPr="00AB1F22">
        <w:rPr>
          <w:lang w:val="fr-FR"/>
        </w:rPr>
        <w:t xml:space="preserve">emploi. </w:t>
      </w:r>
    </w:p>
    <w:p w:rsidR="0024529D" w:rsidRPr="00AB1F22" w:rsidRDefault="0024529D" w:rsidP="0024529D">
      <w:pPr>
        <w:pStyle w:val="SingleTxtG"/>
        <w:rPr>
          <w:lang w:val="fr-FR"/>
        </w:rPr>
      </w:pPr>
      <w:r w:rsidRPr="00AB1F22">
        <w:rPr>
          <w:lang w:val="fr-FR"/>
        </w:rPr>
        <w:t>66.</w:t>
      </w:r>
      <w:r w:rsidRPr="00AB1F22">
        <w:rPr>
          <w:lang w:val="fr-FR"/>
        </w:rPr>
        <w:tab/>
        <w:t>Cette obligation de vivre chez l</w:t>
      </w:r>
      <w:r w:rsidR="004F1DFB">
        <w:rPr>
          <w:lang w:val="fr-FR"/>
        </w:rPr>
        <w:t>’</w:t>
      </w:r>
      <w:r w:rsidRPr="00AB1F22">
        <w:rPr>
          <w:lang w:val="fr-FR"/>
        </w:rPr>
        <w:t>employeur a été portée à la connaissance des employés de maison étrangers avant leur admission à Hong</w:t>
      </w:r>
      <w:r>
        <w:rPr>
          <w:lang w:val="fr-FR"/>
        </w:rPr>
        <w:t> </w:t>
      </w:r>
      <w:r w:rsidRPr="00AB1F22">
        <w:rPr>
          <w:lang w:val="fr-FR"/>
        </w:rPr>
        <w:t>Kong, et précisée dans le contrat de travail type qui est signé au préalable par l</w:t>
      </w:r>
      <w:r w:rsidR="004F1DFB">
        <w:rPr>
          <w:lang w:val="fr-FR"/>
        </w:rPr>
        <w:t>’</w:t>
      </w:r>
      <w:r w:rsidRPr="00AB1F22">
        <w:rPr>
          <w:lang w:val="fr-FR"/>
        </w:rPr>
        <w:t>employeur et par l</w:t>
      </w:r>
      <w:r w:rsidR="004F1DFB">
        <w:rPr>
          <w:lang w:val="fr-FR"/>
        </w:rPr>
        <w:t>’</w:t>
      </w:r>
      <w:r w:rsidRPr="00AB1F22">
        <w:rPr>
          <w:lang w:val="fr-FR"/>
        </w:rPr>
        <w:t>employé de maison étranger. Pour sauvegarder les droits des employés de maison étrangers, les employeurs sont tenus de s</w:t>
      </w:r>
      <w:r w:rsidR="004F1DFB">
        <w:rPr>
          <w:lang w:val="fr-FR"/>
        </w:rPr>
        <w:t>’</w:t>
      </w:r>
      <w:r w:rsidRPr="00AB1F22">
        <w:rPr>
          <w:lang w:val="fr-FR"/>
        </w:rPr>
        <w:t>engager auprès du Gouvernement à fournir aux employés de maison étrangers un logement gratuit, adapté, meublé et qui satisfait à des critères raisonnables de respect de leur vie privée. Si un employeur ne fournit pas de logement répondant à ces critères, l</w:t>
      </w:r>
      <w:r w:rsidR="004F1DFB">
        <w:rPr>
          <w:lang w:val="fr-FR"/>
        </w:rPr>
        <w:t>’</w:t>
      </w:r>
      <w:r w:rsidRPr="00AB1F22">
        <w:rPr>
          <w:lang w:val="fr-FR"/>
        </w:rPr>
        <w:t>employé de maison étranger peut mettre fin au contrat de travail ou solliciter le Département du travail qui propose des services de consultation ou de conciliation gratuits. L</w:t>
      </w:r>
      <w:r w:rsidR="004F1DFB">
        <w:rPr>
          <w:lang w:val="fr-FR"/>
        </w:rPr>
        <w:t>’</w:t>
      </w:r>
      <w:r w:rsidRPr="00AB1F22">
        <w:rPr>
          <w:lang w:val="fr-FR"/>
        </w:rPr>
        <w:t>employé de maison étranger peut également signaler le problème au Département de l</w:t>
      </w:r>
      <w:r w:rsidR="004F1DFB">
        <w:rPr>
          <w:lang w:val="fr-FR"/>
        </w:rPr>
        <w:t>’</w:t>
      </w:r>
      <w:r w:rsidRPr="00AB1F22">
        <w:rPr>
          <w:lang w:val="fr-FR"/>
        </w:rPr>
        <w:t>immigration qui en tiendra compte pour accepter ou refuser les futures demandes de recrutement d</w:t>
      </w:r>
      <w:r w:rsidR="004F1DFB">
        <w:rPr>
          <w:lang w:val="fr-FR"/>
        </w:rPr>
        <w:t>’</w:t>
      </w:r>
      <w:r w:rsidRPr="00AB1F22">
        <w:rPr>
          <w:lang w:val="fr-FR"/>
        </w:rPr>
        <w:t>un employé de maison étranger présentées par l</w:t>
      </w:r>
      <w:r w:rsidR="004F1DFB">
        <w:rPr>
          <w:lang w:val="fr-FR"/>
        </w:rPr>
        <w:t>’</w:t>
      </w:r>
      <w:r w:rsidRPr="00AB1F22">
        <w:rPr>
          <w:lang w:val="fr-FR"/>
        </w:rPr>
        <w:t xml:space="preserve">employeur.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Salaire minimum légal et taxe de reconversion des employés</w:t>
      </w:r>
      <w:r w:rsidRPr="00AB1F22">
        <w:rPr>
          <w:lang w:val="fr-FR"/>
        </w:rPr>
        <w:t xml:space="preserve"> </w:t>
      </w:r>
      <w:bookmarkStart w:id="26" w:name="_Toc31721415"/>
      <w:bookmarkEnd w:id="26"/>
    </w:p>
    <w:p w:rsidR="0024529D" w:rsidRPr="00AB1F22" w:rsidRDefault="0024529D" w:rsidP="0024529D">
      <w:pPr>
        <w:pStyle w:val="SingleTxtG"/>
        <w:rPr>
          <w:lang w:val="fr-FR"/>
        </w:rPr>
      </w:pPr>
      <w:r w:rsidRPr="00AB1F22">
        <w:rPr>
          <w:lang w:val="fr-FR"/>
        </w:rPr>
        <w:t>67.</w:t>
      </w:r>
      <w:r w:rsidRPr="00AB1F22">
        <w:rPr>
          <w:lang w:val="fr-FR"/>
        </w:rPr>
        <w:tab/>
        <w:t>Nous saisissons l</w:t>
      </w:r>
      <w:r w:rsidR="004F1DFB">
        <w:rPr>
          <w:lang w:val="fr-FR"/>
        </w:rPr>
        <w:t>’</w:t>
      </w:r>
      <w:r w:rsidRPr="00AB1F22">
        <w:rPr>
          <w:lang w:val="fr-FR"/>
        </w:rPr>
        <w:t>occasion pour mettre à jour le paragraphe 108 du rapport précédent. Le salaire minimum légal mensuel des employés de maison étrangers a été réévalué sept fois depuis la présentation du rapport précédent, toujours à la hausse, et s</w:t>
      </w:r>
      <w:r w:rsidR="004F1DFB">
        <w:rPr>
          <w:lang w:val="fr-FR"/>
        </w:rPr>
        <w:t>’</w:t>
      </w:r>
      <w:r w:rsidRPr="00AB1F22">
        <w:rPr>
          <w:lang w:val="fr-FR"/>
        </w:rPr>
        <w:t>élève aujourd</w:t>
      </w:r>
      <w:r w:rsidR="004F1DFB">
        <w:rPr>
          <w:lang w:val="fr-FR"/>
        </w:rPr>
        <w:t>’</w:t>
      </w:r>
      <w:r w:rsidRPr="00AB1F22">
        <w:rPr>
          <w:lang w:val="fr-FR"/>
        </w:rPr>
        <w:t>hui à 4 410 dollars. Ce salaire s</w:t>
      </w:r>
      <w:r w:rsidR="004F1DFB">
        <w:rPr>
          <w:lang w:val="fr-FR"/>
        </w:rPr>
        <w:t>’</w:t>
      </w:r>
      <w:r w:rsidRPr="00AB1F22">
        <w:rPr>
          <w:lang w:val="fr-FR"/>
        </w:rPr>
        <w:t>applique aux contrats signés à compter du 30 septembre 2017. Le 14 mai 2013, la taxe de reconversion des salariés dont les employeurs devaient s</w:t>
      </w:r>
      <w:r w:rsidR="004F1DFB">
        <w:rPr>
          <w:lang w:val="fr-FR"/>
        </w:rPr>
        <w:t>’</w:t>
      </w:r>
      <w:r w:rsidRPr="00AB1F22">
        <w:rPr>
          <w:lang w:val="fr-FR"/>
        </w:rPr>
        <w:t>acquitter a été supprimée afin d</w:t>
      </w:r>
      <w:r w:rsidR="004F1DFB">
        <w:rPr>
          <w:lang w:val="fr-FR"/>
        </w:rPr>
        <w:t>’</w:t>
      </w:r>
      <w:r w:rsidRPr="00AB1F22">
        <w:rPr>
          <w:lang w:val="fr-FR"/>
        </w:rPr>
        <w:t xml:space="preserve">alléger la charge financière des familles qui engagent des employés de maison étrangers.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 xml:space="preserve">Régime général de lutte contre la traite des personnes </w:t>
      </w:r>
      <w:r w:rsidR="004F1DFB">
        <w:rPr>
          <w:bCs/>
          <w:lang w:val="fr-FR"/>
        </w:rPr>
        <w:br/>
      </w:r>
      <w:r w:rsidRPr="00AB1F22">
        <w:rPr>
          <w:bCs/>
          <w:lang w:val="fr-FR"/>
        </w:rPr>
        <w:t>et de protection des victimes</w:t>
      </w:r>
      <w:r w:rsidRPr="00AB1F22">
        <w:rPr>
          <w:lang w:val="fr-FR"/>
        </w:rPr>
        <w:t xml:space="preserve"> </w:t>
      </w:r>
      <w:bookmarkStart w:id="27" w:name="_Toc31721416"/>
      <w:bookmarkEnd w:id="27"/>
    </w:p>
    <w:p w:rsidR="0024529D" w:rsidRPr="00AB1F22" w:rsidRDefault="0024529D" w:rsidP="0024529D">
      <w:pPr>
        <w:pStyle w:val="SingleTxtG"/>
        <w:rPr>
          <w:lang w:val="fr-FR"/>
        </w:rPr>
      </w:pPr>
      <w:r w:rsidRPr="00AB1F22">
        <w:rPr>
          <w:lang w:val="fr-FR"/>
        </w:rPr>
        <w:t>68.</w:t>
      </w:r>
      <w:r w:rsidRPr="00AB1F22">
        <w:rPr>
          <w:lang w:val="fr-FR"/>
        </w:rPr>
        <w:tab/>
        <w:t>Tout d</w:t>
      </w:r>
      <w:r w:rsidR="004F1DFB">
        <w:rPr>
          <w:lang w:val="fr-FR"/>
        </w:rPr>
        <w:t>’</w:t>
      </w:r>
      <w:r w:rsidRPr="00AB1F22">
        <w:rPr>
          <w:lang w:val="fr-FR"/>
        </w:rPr>
        <w:t>abord, si nous prenons note de la recommandation formulée par le Comité au paragraphe</w:t>
      </w:r>
      <w:r>
        <w:rPr>
          <w:lang w:val="fr-FR"/>
        </w:rPr>
        <w:t> </w:t>
      </w:r>
      <w:r w:rsidRPr="00AB1F22">
        <w:rPr>
          <w:lang w:val="fr-FR"/>
        </w:rPr>
        <w:t>20 de ses précédentes observations finales, tendant à la prise de mesures qui pourraient conduire à étendre à la RAS de Hong</w:t>
      </w:r>
      <w:r>
        <w:rPr>
          <w:lang w:val="fr-FR"/>
        </w:rPr>
        <w:t> </w:t>
      </w:r>
      <w:r w:rsidRPr="00AB1F22">
        <w:rPr>
          <w:lang w:val="fr-FR"/>
        </w:rPr>
        <w:t>Kong le Protocole additionnel à la Convention des Nations Unies contre la criminalité transnationale organisée visant à prévenir, réprimer et punir la traite des personnes, en particulier des femmes et des enfants (le Protocole de Palerme), compte tenu de notre régime de visa libéral, nous sommes conscients que l</w:t>
      </w:r>
      <w:r w:rsidR="004F1DFB">
        <w:rPr>
          <w:lang w:val="fr-FR"/>
        </w:rPr>
        <w:t>’</w:t>
      </w:r>
      <w:r w:rsidRPr="00AB1F22">
        <w:rPr>
          <w:lang w:val="fr-FR"/>
        </w:rPr>
        <w:t>application du Protoc</w:t>
      </w:r>
      <w:r>
        <w:rPr>
          <w:lang w:val="fr-FR"/>
        </w:rPr>
        <w:t>ole de Palerme à la RAS de Hong </w:t>
      </w:r>
      <w:r w:rsidRPr="00AB1F22">
        <w:rPr>
          <w:lang w:val="fr-FR"/>
        </w:rPr>
        <w:t>Kong, en particulier de la disposition qui permet aux victimes de la traite des personnes de rester sur le territoire, aurait des conséquences négatives sur l</w:t>
      </w:r>
      <w:r w:rsidR="004F1DFB">
        <w:rPr>
          <w:lang w:val="fr-FR"/>
        </w:rPr>
        <w:t>’</w:t>
      </w:r>
      <w:r w:rsidRPr="00AB1F22">
        <w:rPr>
          <w:lang w:val="fr-FR"/>
        </w:rPr>
        <w:t>efficacité de nos contrôles de l</w:t>
      </w:r>
      <w:r w:rsidR="004F1DFB">
        <w:rPr>
          <w:lang w:val="fr-FR"/>
        </w:rPr>
        <w:t>’</w:t>
      </w:r>
      <w:r w:rsidRPr="00AB1F22">
        <w:rPr>
          <w:lang w:val="fr-FR"/>
        </w:rPr>
        <w:t xml:space="preserve">immigration et pourrait inciter les migrants illégaux </w:t>
      </w:r>
      <w:r>
        <w:rPr>
          <w:lang w:val="fr-FR"/>
        </w:rPr>
        <w:t xml:space="preserve">et </w:t>
      </w:r>
      <w:r w:rsidRPr="00AB1F22">
        <w:rPr>
          <w:lang w:val="fr-FR"/>
        </w:rPr>
        <w:t>les personnes qui restent à Hong</w:t>
      </w:r>
      <w:r>
        <w:rPr>
          <w:lang w:val="fr-FR"/>
        </w:rPr>
        <w:t> </w:t>
      </w:r>
      <w:r w:rsidRPr="00AB1F22">
        <w:rPr>
          <w:lang w:val="fr-FR"/>
        </w:rPr>
        <w:t>Kong après l</w:t>
      </w:r>
      <w:r w:rsidR="004F1DFB">
        <w:rPr>
          <w:lang w:val="fr-FR"/>
        </w:rPr>
        <w:t>’</w:t>
      </w:r>
      <w:r w:rsidRPr="00AB1F22">
        <w:rPr>
          <w:lang w:val="fr-FR"/>
        </w:rPr>
        <w:t>expir</w:t>
      </w:r>
      <w:r>
        <w:rPr>
          <w:lang w:val="fr-FR"/>
        </w:rPr>
        <w:t>ation de leur permis de séjour</w:t>
      </w:r>
      <w:r w:rsidRPr="00AB1F22">
        <w:rPr>
          <w:lang w:val="fr-FR"/>
        </w:rPr>
        <w:t xml:space="preserve"> à commettre des abus. Compte tenu de ces répercussions, nous n</w:t>
      </w:r>
      <w:r w:rsidR="004F1DFB">
        <w:rPr>
          <w:lang w:val="fr-FR"/>
        </w:rPr>
        <w:t>’</w:t>
      </w:r>
      <w:r w:rsidRPr="00AB1F22">
        <w:rPr>
          <w:lang w:val="fr-FR"/>
        </w:rPr>
        <w:t>avons pas l</w:t>
      </w:r>
      <w:r w:rsidR="004F1DFB">
        <w:rPr>
          <w:lang w:val="fr-FR"/>
        </w:rPr>
        <w:t>’</w:t>
      </w:r>
      <w:r w:rsidRPr="00AB1F22">
        <w:rPr>
          <w:lang w:val="fr-FR"/>
        </w:rPr>
        <w:t>intention d</w:t>
      </w:r>
      <w:r w:rsidR="004F1DFB">
        <w:rPr>
          <w:lang w:val="fr-FR"/>
        </w:rPr>
        <w:t>’</w:t>
      </w:r>
      <w:r w:rsidRPr="00AB1F22">
        <w:rPr>
          <w:lang w:val="fr-FR"/>
        </w:rPr>
        <w:t>étendre l</w:t>
      </w:r>
      <w:r w:rsidR="004F1DFB">
        <w:rPr>
          <w:lang w:val="fr-FR"/>
        </w:rPr>
        <w:t>’</w:t>
      </w:r>
      <w:r w:rsidRPr="00AB1F22">
        <w:rPr>
          <w:lang w:val="fr-FR"/>
        </w:rPr>
        <w:t>application du Protoco</w:t>
      </w:r>
      <w:r>
        <w:rPr>
          <w:lang w:val="fr-FR"/>
        </w:rPr>
        <w:t>le de Palerme à la RAS de Hong Kong.</w:t>
      </w:r>
    </w:p>
    <w:p w:rsidR="0024529D" w:rsidRPr="00AB1F22" w:rsidRDefault="0024529D" w:rsidP="0024529D">
      <w:pPr>
        <w:pStyle w:val="SingleTxtG"/>
        <w:rPr>
          <w:lang w:val="fr-FR"/>
        </w:rPr>
      </w:pPr>
      <w:r w:rsidRPr="00AB1F22">
        <w:rPr>
          <w:lang w:val="fr-FR"/>
        </w:rPr>
        <w:t>69.</w:t>
      </w:r>
      <w:r w:rsidRPr="00AB1F22">
        <w:rPr>
          <w:lang w:val="fr-FR"/>
        </w:rPr>
        <w:tab/>
        <w:t>Rien ne porte à croire que la RAS de Hong</w:t>
      </w:r>
      <w:r>
        <w:rPr>
          <w:lang w:val="fr-FR"/>
        </w:rPr>
        <w:t> </w:t>
      </w:r>
      <w:r w:rsidRPr="00AB1F22">
        <w:rPr>
          <w:lang w:val="fr-FR"/>
        </w:rPr>
        <w:t>Kong soit activement utilisée par les associations de malfaiteurs comme point de destination ou de transit de la traite des personnes, ou que la traite des personne</w:t>
      </w:r>
      <w:r>
        <w:rPr>
          <w:lang w:val="fr-FR"/>
        </w:rPr>
        <w:t>s</w:t>
      </w:r>
      <w:r w:rsidRPr="00AB1F22">
        <w:rPr>
          <w:lang w:val="fr-FR"/>
        </w:rPr>
        <w:t xml:space="preserve"> </w:t>
      </w:r>
      <w:r>
        <w:rPr>
          <w:lang w:val="fr-FR"/>
        </w:rPr>
        <w:t xml:space="preserve">y </w:t>
      </w:r>
      <w:r w:rsidRPr="00AB1F22">
        <w:rPr>
          <w:lang w:val="fr-FR"/>
        </w:rPr>
        <w:t>soit un problème répandu ou</w:t>
      </w:r>
      <w:r>
        <w:rPr>
          <w:lang w:val="fr-FR"/>
        </w:rPr>
        <w:t xml:space="preserve"> généralisé</w:t>
      </w:r>
      <w:r w:rsidRPr="00AB1F22">
        <w:rPr>
          <w:lang w:val="fr-FR"/>
        </w:rPr>
        <w:t>. Le</w:t>
      </w:r>
      <w:r w:rsidR="004F1DFB">
        <w:rPr>
          <w:lang w:val="fr-FR"/>
        </w:rPr>
        <w:t> </w:t>
      </w:r>
      <w:r w:rsidRPr="00AB1F22">
        <w:rPr>
          <w:lang w:val="fr-FR"/>
        </w:rPr>
        <w:t>Gouvernement attache une grande importance à la lutte contre la traite des personnes. Nous avons mis en place un ensemble efficace et complet de mesures législatives et administratives pour lutter contre la traite des personnes, auquel des améliorations sont constamment apportées, et nos forces de l</w:t>
      </w:r>
      <w:r w:rsidR="004F1DFB">
        <w:rPr>
          <w:lang w:val="fr-FR"/>
        </w:rPr>
        <w:t>’</w:t>
      </w:r>
      <w:r w:rsidRPr="00AB1F22">
        <w:rPr>
          <w:lang w:val="fr-FR"/>
        </w:rPr>
        <w:t xml:space="preserve">ordre continueront à prendre des mesures préventives de lutte contre la traite des personnes et de protection des victimes. Les mesures ainsi prises sont exposées dans les paragraphes suivants. </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Cadre législatif</w:t>
      </w:r>
      <w:r w:rsidRPr="00AB1F22">
        <w:rPr>
          <w:lang w:val="fr-FR"/>
        </w:rPr>
        <w:t xml:space="preserve"> </w:t>
      </w:r>
    </w:p>
    <w:p w:rsidR="0024529D" w:rsidRPr="00AB1F22" w:rsidRDefault="0024529D" w:rsidP="0024529D">
      <w:pPr>
        <w:pStyle w:val="SingleTxtG"/>
        <w:rPr>
          <w:lang w:val="fr-FR"/>
        </w:rPr>
      </w:pPr>
      <w:r w:rsidRPr="00AB1F22">
        <w:rPr>
          <w:lang w:val="fr-FR"/>
        </w:rPr>
        <w:t>70.</w:t>
      </w:r>
      <w:r w:rsidRPr="00AB1F22">
        <w:rPr>
          <w:lang w:val="fr-FR"/>
        </w:rPr>
        <w:tab/>
        <w:t>En ce qui concerne la recommandation du Comité de faire figurer certaines pratiques relatives aux employés de maison étrangers dans la définition de l</w:t>
      </w:r>
      <w:r w:rsidR="004F1DFB">
        <w:rPr>
          <w:lang w:val="fr-FR"/>
        </w:rPr>
        <w:t>’</w:t>
      </w:r>
      <w:r w:rsidRPr="00AB1F22">
        <w:rPr>
          <w:lang w:val="fr-FR"/>
        </w:rPr>
        <w:t>infraction de la traite des personnes, le Comité est invité à prendre note du fait que la RAS de Hong</w:t>
      </w:r>
      <w:r>
        <w:rPr>
          <w:lang w:val="fr-FR"/>
        </w:rPr>
        <w:t> </w:t>
      </w:r>
      <w:r w:rsidRPr="00AB1F22">
        <w:rPr>
          <w:lang w:val="fr-FR"/>
        </w:rPr>
        <w:t>Kong cherche à lutter contre la traite des personnes dans divers textes législatifs locaux, qui portent sur des infractions telles que l</w:t>
      </w:r>
      <w:r w:rsidR="004F1DFB">
        <w:rPr>
          <w:lang w:val="fr-FR"/>
        </w:rPr>
        <w:t>’</w:t>
      </w:r>
      <w:r w:rsidRPr="00AB1F22">
        <w:rPr>
          <w:lang w:val="fr-FR"/>
        </w:rPr>
        <w:t>agression physique, la séquestration arbitraire, l</w:t>
      </w:r>
      <w:r w:rsidR="004F1DFB">
        <w:rPr>
          <w:lang w:val="fr-FR"/>
        </w:rPr>
        <w:t>’</w:t>
      </w:r>
      <w:r w:rsidRPr="00AB1F22">
        <w:rPr>
          <w:lang w:val="fr-FR"/>
        </w:rPr>
        <w:t>intimidation criminelle, la détention illicite d</w:t>
      </w:r>
      <w:r w:rsidR="004F1DFB">
        <w:rPr>
          <w:lang w:val="fr-FR"/>
        </w:rPr>
        <w:t>’</w:t>
      </w:r>
      <w:r w:rsidRPr="00AB1F22">
        <w:rPr>
          <w:lang w:val="fr-FR"/>
        </w:rPr>
        <w:t>objets de valeur personnels, l</w:t>
      </w:r>
      <w:r w:rsidR="004F1DFB">
        <w:rPr>
          <w:lang w:val="fr-FR"/>
        </w:rPr>
        <w:t>’</w:t>
      </w:r>
      <w:r w:rsidRPr="00AB1F22">
        <w:rPr>
          <w:lang w:val="fr-FR"/>
        </w:rPr>
        <w:t>enlèvement d</w:t>
      </w:r>
      <w:r w:rsidR="004F1DFB">
        <w:rPr>
          <w:lang w:val="fr-FR"/>
        </w:rPr>
        <w:t>’</w:t>
      </w:r>
      <w:r w:rsidRPr="00AB1F22">
        <w:rPr>
          <w:lang w:val="fr-FR"/>
        </w:rPr>
        <w:t>enfants, la</w:t>
      </w:r>
      <w:r w:rsidR="003F79A2">
        <w:rPr>
          <w:lang w:val="fr-FR"/>
        </w:rPr>
        <w:t> </w:t>
      </w:r>
      <w:r w:rsidRPr="00AB1F22">
        <w:rPr>
          <w:lang w:val="fr-FR"/>
        </w:rPr>
        <w:t>pornographie mettant en scène des enfants et l</w:t>
      </w:r>
      <w:r w:rsidR="004F1DFB">
        <w:rPr>
          <w:lang w:val="fr-FR"/>
        </w:rPr>
        <w:t>’</w:t>
      </w:r>
      <w:r w:rsidRPr="00AB1F22">
        <w:rPr>
          <w:lang w:val="fr-FR"/>
        </w:rPr>
        <w:t>exploitation d</w:t>
      </w:r>
      <w:r w:rsidR="004F1DFB">
        <w:rPr>
          <w:lang w:val="fr-FR"/>
        </w:rPr>
        <w:t>’</w:t>
      </w:r>
      <w:r w:rsidRPr="00AB1F22">
        <w:rPr>
          <w:lang w:val="fr-FR"/>
        </w:rPr>
        <w:t>enfants, l</w:t>
      </w:r>
      <w:r w:rsidR="004F1DFB">
        <w:rPr>
          <w:lang w:val="fr-FR"/>
        </w:rPr>
        <w:t>’</w:t>
      </w:r>
      <w:r w:rsidRPr="00AB1F22">
        <w:rPr>
          <w:lang w:val="fr-FR"/>
        </w:rPr>
        <w:t>emploi illégal, la</w:t>
      </w:r>
      <w:r w:rsidR="003F79A2">
        <w:rPr>
          <w:lang w:val="fr-FR"/>
        </w:rPr>
        <w:t> </w:t>
      </w:r>
      <w:r w:rsidRPr="00AB1F22">
        <w:rPr>
          <w:lang w:val="fr-FR"/>
        </w:rPr>
        <w:t>traite des personnes à des fins de prostitution, le contrôle des personnes à des fins de prostitution, le fa</w:t>
      </w:r>
      <w:r>
        <w:rPr>
          <w:lang w:val="fr-FR"/>
        </w:rPr>
        <w:t>it de provoquer la prostitution et</w:t>
      </w:r>
      <w:r w:rsidRPr="00AB1F22">
        <w:rPr>
          <w:lang w:val="fr-FR"/>
        </w:rPr>
        <w:t xml:space="preserve"> le fait de vivre des revenus de la prostitution d</w:t>
      </w:r>
      <w:r w:rsidR="004F1DFB">
        <w:rPr>
          <w:lang w:val="fr-FR"/>
        </w:rPr>
        <w:t>’</w:t>
      </w:r>
      <w:r w:rsidRPr="00AB1F22">
        <w:rPr>
          <w:lang w:val="fr-FR"/>
        </w:rPr>
        <w:t>autrui. Certaines de ces infractions sont passibles de peines pouvant aller jusqu</w:t>
      </w:r>
      <w:r w:rsidR="004F1DFB">
        <w:rPr>
          <w:lang w:val="fr-FR"/>
        </w:rPr>
        <w:t>’</w:t>
      </w:r>
      <w:r w:rsidRPr="00AB1F22">
        <w:rPr>
          <w:lang w:val="fr-FR"/>
        </w:rPr>
        <w:t>à l</w:t>
      </w:r>
      <w:r w:rsidR="004F1DFB">
        <w:rPr>
          <w:lang w:val="fr-FR"/>
        </w:rPr>
        <w:t>’</w:t>
      </w:r>
      <w:r w:rsidRPr="00AB1F22">
        <w:rPr>
          <w:lang w:val="fr-FR"/>
        </w:rPr>
        <w:t>emprisonnement à vie. En outre, le droit du travail contient des dispositions visant précisément à protéger les droits des travailleurs, y compris les employés de maison étrangers, en particulier en cas de rétention de salaire ou de refus d</w:t>
      </w:r>
      <w:r w:rsidR="004F1DFB">
        <w:rPr>
          <w:lang w:val="fr-FR"/>
        </w:rPr>
        <w:t>’</w:t>
      </w:r>
      <w:r w:rsidRPr="00AB1F22">
        <w:rPr>
          <w:lang w:val="fr-FR"/>
        </w:rPr>
        <w:t xml:space="preserve">accorder des jours de repos ou les jours fériés officiels. Ce choix de </w:t>
      </w:r>
      <w:r>
        <w:rPr>
          <w:lang w:val="fr-FR"/>
        </w:rPr>
        <w:t>« </w:t>
      </w:r>
      <w:r w:rsidRPr="00AB1F22">
        <w:rPr>
          <w:lang w:val="fr-FR"/>
        </w:rPr>
        <w:t>législation multiple</w:t>
      </w:r>
      <w:r>
        <w:rPr>
          <w:lang w:val="fr-FR"/>
        </w:rPr>
        <w:t> »</w:t>
      </w:r>
      <w:r w:rsidRPr="00AB1F22">
        <w:rPr>
          <w:lang w:val="fr-FR"/>
        </w:rPr>
        <w:t xml:space="preserve"> offre aux forces de l</w:t>
      </w:r>
      <w:r w:rsidR="004F1DFB">
        <w:rPr>
          <w:lang w:val="fr-FR"/>
        </w:rPr>
        <w:t>’</w:t>
      </w:r>
      <w:r w:rsidRPr="00AB1F22">
        <w:rPr>
          <w:lang w:val="fr-FR"/>
        </w:rPr>
        <w:t xml:space="preserve">ordre et aux procureurs une plus grande flexibilité pour mener des enquêtes et des poursuites dans les affaires de traite des personnes. </w:t>
      </w:r>
    </w:p>
    <w:p w:rsidR="0024529D" w:rsidRPr="00AB1F22" w:rsidRDefault="0024529D" w:rsidP="0024529D">
      <w:pPr>
        <w:pStyle w:val="SingleTxtG"/>
        <w:rPr>
          <w:lang w:val="fr-FR"/>
        </w:rPr>
      </w:pPr>
      <w:r w:rsidRPr="00AB1F22">
        <w:rPr>
          <w:lang w:val="fr-FR"/>
        </w:rPr>
        <w:t>71.</w:t>
      </w:r>
      <w:r w:rsidRPr="00AB1F22">
        <w:rPr>
          <w:lang w:val="fr-FR"/>
        </w:rPr>
        <w:tab/>
        <w:t>Pour sensibiliser davantage les procureurs à la traite des personnes et au travail forcé, le Code des poursuites publié en 2013 par le Département de la justice contient un nouveau paragraphe sur les cas d</w:t>
      </w:r>
      <w:r w:rsidR="004F1DFB">
        <w:rPr>
          <w:lang w:val="fr-FR"/>
        </w:rPr>
        <w:t>’</w:t>
      </w:r>
      <w:r w:rsidRPr="00AB1F22">
        <w:rPr>
          <w:lang w:val="fr-FR"/>
        </w:rPr>
        <w:t>exploitation des êtres humains, dans le but d</w:t>
      </w:r>
      <w:r w:rsidR="004F1DFB">
        <w:rPr>
          <w:lang w:val="fr-FR"/>
        </w:rPr>
        <w:t>’</w:t>
      </w:r>
      <w:r w:rsidRPr="00AB1F22">
        <w:rPr>
          <w:lang w:val="fr-FR"/>
        </w:rPr>
        <w:t>aider les procureurs à comprendre quels actes peuvent être constitutifs de traite des personnes et d</w:t>
      </w:r>
      <w:r w:rsidR="004F1DFB">
        <w:rPr>
          <w:lang w:val="fr-FR"/>
        </w:rPr>
        <w:t>’</w:t>
      </w:r>
      <w:r w:rsidRPr="00AB1F22">
        <w:rPr>
          <w:lang w:val="fr-FR"/>
        </w:rPr>
        <w:t xml:space="preserve">exploitation et quelle démarche ils doivent adopter dans les affaires impliquant de tels actes. La définition de la traite de personnes donnée dans le Protocole de Palerme a été intégrée dans le Code. </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Coopération entre départements</w:t>
      </w:r>
      <w:r w:rsidRPr="00AB1F22">
        <w:rPr>
          <w:lang w:val="fr-FR"/>
        </w:rPr>
        <w:t xml:space="preserve"> </w:t>
      </w:r>
    </w:p>
    <w:p w:rsidR="0024529D" w:rsidRPr="00AB1F22" w:rsidRDefault="0024529D" w:rsidP="0024529D">
      <w:pPr>
        <w:pStyle w:val="SingleTxtG"/>
        <w:rPr>
          <w:lang w:val="fr-FR"/>
        </w:rPr>
      </w:pPr>
      <w:r w:rsidRPr="00AB1F22">
        <w:rPr>
          <w:lang w:val="fr-FR"/>
        </w:rPr>
        <w:t>72.</w:t>
      </w:r>
      <w:r w:rsidRPr="00AB1F22">
        <w:rPr>
          <w:lang w:val="fr-FR"/>
        </w:rPr>
        <w:tab/>
        <w:t>Des mécanismes de coopération entre les départements ont été établis pour lutter contre la traite des personnes. Au niveau opérationnel, l</w:t>
      </w:r>
      <w:r w:rsidR="004F1DFB">
        <w:rPr>
          <w:lang w:val="fr-FR"/>
        </w:rPr>
        <w:t>’</w:t>
      </w:r>
      <w:r w:rsidRPr="00AB1F22">
        <w:rPr>
          <w:lang w:val="fr-FR"/>
        </w:rPr>
        <w:t>équipe d</w:t>
      </w:r>
      <w:r w:rsidR="004F1DFB">
        <w:rPr>
          <w:lang w:val="fr-FR"/>
        </w:rPr>
        <w:t>’</w:t>
      </w:r>
      <w:r w:rsidRPr="00AB1F22">
        <w:rPr>
          <w:lang w:val="fr-FR"/>
        </w:rPr>
        <w:t>enquête conjointe interdépartementale, créée en 1998, permet l</w:t>
      </w:r>
      <w:r w:rsidR="004F1DFB">
        <w:rPr>
          <w:lang w:val="fr-FR"/>
        </w:rPr>
        <w:t>’</w:t>
      </w:r>
      <w:r w:rsidRPr="00AB1F22">
        <w:rPr>
          <w:lang w:val="fr-FR"/>
        </w:rPr>
        <w:t>échange de renseignements entre les différents départements ainsi qu</w:t>
      </w:r>
      <w:r w:rsidR="004F1DFB">
        <w:rPr>
          <w:lang w:val="fr-FR"/>
        </w:rPr>
        <w:t>’</w:t>
      </w:r>
      <w:r w:rsidRPr="00AB1F22">
        <w:rPr>
          <w:lang w:val="fr-FR"/>
        </w:rPr>
        <w:t>une coopération et des enquêtes conjointes sur la traite des personnes dans le cadre des activités courantes, des débats sur les tendances actuelles de la traite des personnes, un suivi des statistiques sur la traite et des mesures de répression pour lutter contre cette infraction. Sur le plan stratégique, un groupe de travail interdépartemental sur la traite des personnes a été créé en 2010 pour renforcer la stratégie de lutte contre la traite des personnes, surveiller la situation générale de la traite des personnes et formuler la stratégie globale de lutte contre ce phénomène dans la RAS de Hong</w:t>
      </w:r>
      <w:r>
        <w:rPr>
          <w:lang w:val="fr-FR"/>
        </w:rPr>
        <w:t> </w:t>
      </w:r>
      <w:r w:rsidRPr="00AB1F22">
        <w:rPr>
          <w:lang w:val="fr-FR"/>
        </w:rPr>
        <w:t xml:space="preserve">Kong. </w:t>
      </w:r>
    </w:p>
    <w:p w:rsidR="0024529D" w:rsidRPr="00AB1F22" w:rsidRDefault="0024529D" w:rsidP="0024529D">
      <w:pPr>
        <w:pStyle w:val="SingleTxtG"/>
        <w:rPr>
          <w:lang w:val="fr-FR"/>
        </w:rPr>
      </w:pPr>
      <w:r w:rsidRPr="00AB1F22">
        <w:rPr>
          <w:lang w:val="fr-FR"/>
        </w:rPr>
        <w:t>73.</w:t>
      </w:r>
      <w:r w:rsidRPr="00AB1F22">
        <w:rPr>
          <w:lang w:val="fr-FR"/>
        </w:rPr>
        <w:tab/>
        <w:t>En 2016, des directives sur la coopération interdépartementale pour le traitement des cas présumés de traite des personnes ont été publiées pour fournir des orientations sur les principes généraux et les procédures visant à renforcer la coopération entre les bureaux et départements gouvernementaux dans la lutte contre la traite des personnes. En avril 2017, la</w:t>
      </w:r>
      <w:r w:rsidR="004F1DFB">
        <w:rPr>
          <w:lang w:val="fr-FR"/>
        </w:rPr>
        <w:t> </w:t>
      </w:r>
      <w:r w:rsidRPr="00AB1F22">
        <w:rPr>
          <w:lang w:val="fr-FR"/>
        </w:rPr>
        <w:t>Division des poursuites du Département de la justice a créé un bureau chargé de superviser et de coordonner les cas de traite de personnes que les forces de l</w:t>
      </w:r>
      <w:r w:rsidR="004F1DFB">
        <w:rPr>
          <w:lang w:val="fr-FR"/>
        </w:rPr>
        <w:t>’</w:t>
      </w:r>
      <w:r w:rsidRPr="00AB1F22">
        <w:rPr>
          <w:lang w:val="fr-FR"/>
        </w:rPr>
        <w:t xml:space="preserve">ordre examinent ou lui soumettent pour obtenir des conseils juridiques. </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Identification des victimes</w:t>
      </w:r>
      <w:r w:rsidRPr="00AB1F22">
        <w:rPr>
          <w:lang w:val="fr-FR"/>
        </w:rPr>
        <w:t xml:space="preserve"> </w:t>
      </w:r>
    </w:p>
    <w:p w:rsidR="0024529D" w:rsidRPr="00AB1F22" w:rsidRDefault="0024529D" w:rsidP="0024529D">
      <w:pPr>
        <w:pStyle w:val="SingleTxtG"/>
        <w:rPr>
          <w:lang w:val="fr-FR"/>
        </w:rPr>
      </w:pPr>
      <w:r w:rsidRPr="00AB1F22">
        <w:rPr>
          <w:lang w:val="fr-FR"/>
        </w:rPr>
        <w:t>74.</w:t>
      </w:r>
      <w:r w:rsidRPr="00AB1F22">
        <w:rPr>
          <w:lang w:val="fr-FR"/>
        </w:rPr>
        <w:tab/>
        <w:t>En ce qui concerne la recommandation du Comité de redoubler d</w:t>
      </w:r>
      <w:r w:rsidR="004F1DFB">
        <w:rPr>
          <w:lang w:val="fr-FR"/>
        </w:rPr>
        <w:t>’</w:t>
      </w:r>
      <w:r w:rsidRPr="00AB1F22">
        <w:rPr>
          <w:lang w:val="fr-FR"/>
        </w:rPr>
        <w:t>efforts pour repérer les victimes de la traite</w:t>
      </w:r>
      <w:r>
        <w:rPr>
          <w:lang w:val="fr-FR"/>
        </w:rPr>
        <w:t>, la RAS de Hong </w:t>
      </w:r>
      <w:r w:rsidRPr="00AB1F22">
        <w:rPr>
          <w:lang w:val="fr-FR"/>
        </w:rPr>
        <w:t>Kong invite le Comité à prendre note du fait que depuis juillet 2016, la police et le Département de l</w:t>
      </w:r>
      <w:r w:rsidR="004F1DFB">
        <w:rPr>
          <w:lang w:val="fr-FR"/>
        </w:rPr>
        <w:t>’</w:t>
      </w:r>
      <w:r w:rsidRPr="00AB1F22">
        <w:rPr>
          <w:lang w:val="fr-FR"/>
        </w:rPr>
        <w:t>immigration ont mis en place un mécanisme renforcé de repérage et d</w:t>
      </w:r>
      <w:r w:rsidR="004F1DFB">
        <w:rPr>
          <w:lang w:val="fr-FR"/>
        </w:rPr>
        <w:t>’</w:t>
      </w:r>
      <w:r w:rsidRPr="00AB1F22">
        <w:rPr>
          <w:lang w:val="fr-FR"/>
        </w:rPr>
        <w:t>identification des victimes de la traite des personnes. Le Département des douanes et accises met le même mécanisme en œuvre depuis mars</w:t>
      </w:r>
      <w:r w:rsidR="003F79A2">
        <w:rPr>
          <w:lang w:val="fr-FR"/>
        </w:rPr>
        <w:t> </w:t>
      </w:r>
      <w:r w:rsidRPr="00AB1F22">
        <w:rPr>
          <w:lang w:val="fr-FR"/>
        </w:rPr>
        <w:t xml:space="preserve">2017. Dans le cadre de ce mécanisme, les agents effectuent un contrôle à deux niveaux sur les personnes vulnérables qui sont arrêtées ou qui se présentent aux autorités afin de vérifier si elles sont victimes de la traite des personnes. </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Protection des victimes</w:t>
      </w:r>
      <w:r w:rsidRPr="00AB1F22">
        <w:rPr>
          <w:lang w:val="fr-FR"/>
        </w:rPr>
        <w:t xml:space="preserve"> </w:t>
      </w:r>
    </w:p>
    <w:p w:rsidR="0024529D" w:rsidRPr="00AB1F22" w:rsidRDefault="0024529D" w:rsidP="0024529D">
      <w:pPr>
        <w:pStyle w:val="SingleTxtG"/>
        <w:rPr>
          <w:lang w:val="fr-FR"/>
        </w:rPr>
      </w:pPr>
      <w:r w:rsidRPr="00AB1F22">
        <w:rPr>
          <w:lang w:val="fr-FR"/>
        </w:rPr>
        <w:t>75.</w:t>
      </w:r>
      <w:r w:rsidRPr="00AB1F22">
        <w:rPr>
          <w:lang w:val="fr-FR"/>
        </w:rPr>
        <w:tab/>
        <w:t>En ce qui concerne la recommandation du Comité de renforcer l</w:t>
      </w:r>
      <w:r w:rsidR="004F1DFB">
        <w:rPr>
          <w:lang w:val="fr-FR"/>
        </w:rPr>
        <w:t>’</w:t>
      </w:r>
      <w:r w:rsidRPr="00AB1F22">
        <w:rPr>
          <w:lang w:val="fr-FR"/>
        </w:rPr>
        <w:t>assistance, la</w:t>
      </w:r>
      <w:r w:rsidR="004F1DFB">
        <w:rPr>
          <w:lang w:val="fr-FR"/>
        </w:rPr>
        <w:t> </w:t>
      </w:r>
      <w:r w:rsidRPr="00AB1F22">
        <w:rPr>
          <w:lang w:val="fr-FR"/>
        </w:rPr>
        <w:t>protection et le soutien fournis aux victimes de la traite des personnes, la RAS de Hong</w:t>
      </w:r>
      <w:r>
        <w:rPr>
          <w:lang w:val="fr-FR"/>
        </w:rPr>
        <w:t> </w:t>
      </w:r>
      <w:r w:rsidRPr="00AB1F22">
        <w:rPr>
          <w:lang w:val="fr-FR"/>
        </w:rPr>
        <w:t>Kong invite le Comité à prendre note du fait que le Gouvernement fournit déjà une protection, un soutien et une assistance complets et humains aux victimes de la traite des personnes, comme expliqué en détail dans l</w:t>
      </w:r>
      <w:r w:rsidR="004F1DFB">
        <w:rPr>
          <w:lang w:val="fr-FR"/>
        </w:rPr>
        <w:t>’</w:t>
      </w:r>
      <w:r w:rsidRPr="00AB1F22">
        <w:rPr>
          <w:lang w:val="fr-FR"/>
        </w:rPr>
        <w:t xml:space="preserve">annexe 8C. </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Formation et partenariat</w:t>
      </w:r>
      <w:r w:rsidRPr="00AB1F22">
        <w:rPr>
          <w:lang w:val="fr-FR"/>
        </w:rPr>
        <w:t xml:space="preserve"> </w:t>
      </w:r>
    </w:p>
    <w:p w:rsidR="0024529D" w:rsidRPr="00AB1F22" w:rsidRDefault="0024529D" w:rsidP="0024529D">
      <w:pPr>
        <w:pStyle w:val="SingleTxtG"/>
        <w:rPr>
          <w:lang w:val="fr-FR"/>
        </w:rPr>
      </w:pPr>
      <w:r w:rsidRPr="00AB1F22">
        <w:rPr>
          <w:lang w:val="fr-FR"/>
        </w:rPr>
        <w:t>76.</w:t>
      </w:r>
      <w:r w:rsidRPr="00AB1F22">
        <w:rPr>
          <w:lang w:val="fr-FR"/>
        </w:rPr>
        <w:tab/>
        <w:t>Une formation sur la lutte contre la traite des personnes est dispensée, entre autres, aux agents des forces de l</w:t>
      </w:r>
      <w:r w:rsidR="004F1DFB">
        <w:rPr>
          <w:lang w:val="fr-FR"/>
        </w:rPr>
        <w:t>’</w:t>
      </w:r>
      <w:r w:rsidRPr="00AB1F22">
        <w:rPr>
          <w:lang w:val="fr-FR"/>
        </w:rPr>
        <w:t>ordre, du Département du travail, du Département de la protection sociale et aux procureurs. En 2017, environ 2</w:t>
      </w:r>
      <w:r>
        <w:rPr>
          <w:lang w:val="fr-FR"/>
        </w:rPr>
        <w:t> </w:t>
      </w:r>
      <w:r w:rsidRPr="00AB1F22">
        <w:rPr>
          <w:lang w:val="fr-FR"/>
        </w:rPr>
        <w:t>000</w:t>
      </w:r>
      <w:r>
        <w:rPr>
          <w:lang w:val="fr-FR"/>
        </w:rPr>
        <w:t> </w:t>
      </w:r>
      <w:r w:rsidRPr="00AB1F22">
        <w:rPr>
          <w:lang w:val="fr-FR"/>
        </w:rPr>
        <w:t>fonctionnaires ont bénéficié d</w:t>
      </w:r>
      <w:r w:rsidR="004F1DFB">
        <w:rPr>
          <w:lang w:val="fr-FR"/>
        </w:rPr>
        <w:t>’</w:t>
      </w:r>
      <w:r w:rsidRPr="00AB1F22">
        <w:rPr>
          <w:lang w:val="fr-FR"/>
        </w:rPr>
        <w:t>une telle formation à Hong</w:t>
      </w:r>
      <w:r>
        <w:rPr>
          <w:lang w:val="fr-FR"/>
        </w:rPr>
        <w:t> </w:t>
      </w:r>
      <w:r w:rsidRPr="00AB1F22">
        <w:rPr>
          <w:lang w:val="fr-FR"/>
        </w:rPr>
        <w:t>Kong ou à l</w:t>
      </w:r>
      <w:r w:rsidR="004F1DFB">
        <w:rPr>
          <w:lang w:val="fr-FR"/>
        </w:rPr>
        <w:t>’</w:t>
      </w:r>
      <w:r w:rsidRPr="00AB1F22">
        <w:rPr>
          <w:lang w:val="fr-FR"/>
        </w:rPr>
        <w:t>étranger. Les forces de l</w:t>
      </w:r>
      <w:r w:rsidR="004F1DFB">
        <w:rPr>
          <w:lang w:val="fr-FR"/>
        </w:rPr>
        <w:t>’</w:t>
      </w:r>
      <w:r w:rsidRPr="00AB1F22">
        <w:rPr>
          <w:lang w:val="fr-FR"/>
        </w:rPr>
        <w:t xml:space="preserve">ordre ont intégré la traite des personnes dans la formation initiale de tous leurs agents. </w:t>
      </w:r>
    </w:p>
    <w:p w:rsidR="0024529D" w:rsidRPr="00AB1F22" w:rsidRDefault="0024529D" w:rsidP="0024529D">
      <w:pPr>
        <w:pStyle w:val="SingleTxtG"/>
        <w:rPr>
          <w:lang w:val="fr-FR"/>
        </w:rPr>
      </w:pPr>
      <w:r w:rsidRPr="00AB1F22">
        <w:rPr>
          <w:lang w:val="fr-FR"/>
        </w:rPr>
        <w:t>77.</w:t>
      </w:r>
      <w:r w:rsidRPr="00AB1F22">
        <w:rPr>
          <w:lang w:val="fr-FR"/>
        </w:rPr>
        <w:tab/>
        <w:t>Le Gouvernement coopère également avec d</w:t>
      </w:r>
      <w:r w:rsidR="004F1DFB">
        <w:rPr>
          <w:lang w:val="fr-FR"/>
        </w:rPr>
        <w:t>’</w:t>
      </w:r>
      <w:r w:rsidRPr="00AB1F22">
        <w:rPr>
          <w:lang w:val="fr-FR"/>
        </w:rPr>
        <w:t>autres territoires, notamment l</w:t>
      </w:r>
      <w:r w:rsidR="004F1DFB">
        <w:rPr>
          <w:lang w:val="fr-FR"/>
        </w:rPr>
        <w:t>’</w:t>
      </w:r>
      <w:r w:rsidRPr="00AB1F22">
        <w:rPr>
          <w:lang w:val="fr-FR"/>
        </w:rPr>
        <w:t>Australie, les États</w:t>
      </w:r>
      <w:r>
        <w:rPr>
          <w:lang w:val="fr-FR"/>
        </w:rPr>
        <w:noBreakHyphen/>
      </w:r>
      <w:r w:rsidRPr="00AB1F22">
        <w:rPr>
          <w:lang w:val="fr-FR"/>
        </w:rPr>
        <w:t>Unis et l</w:t>
      </w:r>
      <w:r w:rsidR="004F1DFB">
        <w:rPr>
          <w:lang w:val="fr-FR"/>
        </w:rPr>
        <w:t>’</w:t>
      </w:r>
      <w:r w:rsidRPr="00AB1F22">
        <w:rPr>
          <w:lang w:val="fr-FR"/>
        </w:rPr>
        <w:t xml:space="preserve">Union européenne, et avec des ONG pour proposer des ateliers de formation spécialisée sur la traite des personnes aux agents de divers bureaux et départements. Le Gouvernement participe aussi activement à des conférences et des ateliers internationaux pour recenser les meilleures pratiques en matière de lutte contre la traite des personnes et partager renseignements et expérience en la matière. Nos mesures de lutte contre la traite des personnes sont régulièrement examinées. </w:t>
      </w:r>
    </w:p>
    <w:p w:rsidR="0024529D" w:rsidRPr="00AB1F22" w:rsidRDefault="0024529D" w:rsidP="0024529D">
      <w:pPr>
        <w:pStyle w:val="H1G"/>
        <w:rPr>
          <w:lang w:val="fr-FR"/>
        </w:rPr>
      </w:pPr>
      <w:r w:rsidRPr="00AB1F22">
        <w:rPr>
          <w:lang w:val="fr-FR"/>
        </w:rPr>
        <w:tab/>
      </w:r>
      <w:r w:rsidRPr="00AB1F22">
        <w:rPr>
          <w:lang w:val="fr-FR"/>
        </w:rPr>
        <w:tab/>
      </w:r>
      <w:r w:rsidRPr="00AB1F22">
        <w:rPr>
          <w:bCs/>
          <w:lang w:val="fr-FR"/>
        </w:rPr>
        <w:t>Article</w:t>
      </w:r>
      <w:r>
        <w:rPr>
          <w:bCs/>
          <w:lang w:val="fr-FR"/>
        </w:rPr>
        <w:t> </w:t>
      </w:r>
      <w:r w:rsidRPr="00AB1F22">
        <w:rPr>
          <w:bCs/>
          <w:lang w:val="fr-FR"/>
        </w:rPr>
        <w:t>9</w:t>
      </w:r>
      <w:r>
        <w:rPr>
          <w:bCs/>
          <w:lang w:val="fr-FR"/>
        </w:rPr>
        <w:br/>
      </w:r>
      <w:r w:rsidRPr="00AB1F22">
        <w:rPr>
          <w:bCs/>
          <w:lang w:val="fr-FR"/>
        </w:rPr>
        <w:t>Liberté et sécurité de la personne</w:t>
      </w:r>
      <w:r w:rsidRPr="00AB1F22">
        <w:rPr>
          <w:lang w:val="fr-FR"/>
        </w:rPr>
        <w:t xml:space="preserve"> </w:t>
      </w:r>
      <w:bookmarkStart w:id="28" w:name="_Toc31721417"/>
      <w:bookmarkEnd w:id="28"/>
    </w:p>
    <w:p w:rsidR="0024529D" w:rsidRPr="00AB1F22" w:rsidRDefault="0024529D" w:rsidP="0024529D">
      <w:pPr>
        <w:pStyle w:val="SingleTxtG"/>
        <w:rPr>
          <w:lang w:val="fr-FR"/>
        </w:rPr>
      </w:pPr>
      <w:r w:rsidRPr="00AB1F22">
        <w:rPr>
          <w:lang w:val="fr-FR"/>
        </w:rPr>
        <w:t>78.</w:t>
      </w:r>
      <w:r w:rsidRPr="00AB1F22">
        <w:rPr>
          <w:lang w:val="fr-FR"/>
        </w:rPr>
        <w:tab/>
        <w:t>La situation en matière de protection juridique du droit à la liberté et à la sécurité des personnes dans la RAS de Hong</w:t>
      </w:r>
      <w:r>
        <w:rPr>
          <w:lang w:val="fr-FR"/>
        </w:rPr>
        <w:t> </w:t>
      </w:r>
      <w:r w:rsidRPr="00AB1F22">
        <w:rPr>
          <w:lang w:val="fr-FR"/>
        </w:rPr>
        <w:t>Kong reste telle qu</w:t>
      </w:r>
      <w:r w:rsidR="004F1DFB">
        <w:rPr>
          <w:lang w:val="fr-FR"/>
        </w:rPr>
        <w:t>’</w:t>
      </w:r>
      <w:r w:rsidRPr="00AB1F22">
        <w:rPr>
          <w:lang w:val="fr-FR"/>
        </w:rPr>
        <w:t>exposée aux paragraphes</w:t>
      </w:r>
      <w:r>
        <w:rPr>
          <w:lang w:val="fr-FR"/>
        </w:rPr>
        <w:t> </w:t>
      </w:r>
      <w:r w:rsidRPr="00AB1F22">
        <w:rPr>
          <w:lang w:val="fr-FR"/>
        </w:rPr>
        <w:t>150 et</w:t>
      </w:r>
      <w:r w:rsidR="004F1DFB">
        <w:rPr>
          <w:lang w:val="fr-FR"/>
        </w:rPr>
        <w:t> </w:t>
      </w:r>
      <w:r w:rsidRPr="00AB1F22">
        <w:rPr>
          <w:lang w:val="fr-FR"/>
        </w:rPr>
        <w:t>151 de la deuxième partie du rapport initial, à savoir qu</w:t>
      </w:r>
      <w:r w:rsidR="004F1DFB">
        <w:rPr>
          <w:lang w:val="fr-FR"/>
        </w:rPr>
        <w:t>’</w:t>
      </w:r>
      <w:r w:rsidRPr="00AB1F22">
        <w:rPr>
          <w:lang w:val="fr-FR"/>
        </w:rPr>
        <w:t>elle est garantie par l</w:t>
      </w:r>
      <w:r w:rsidR="004F1DFB">
        <w:rPr>
          <w:lang w:val="fr-FR"/>
        </w:rPr>
        <w:t>’</w:t>
      </w:r>
      <w:r w:rsidRPr="00AB1F22">
        <w:rPr>
          <w:lang w:val="fr-FR"/>
        </w:rPr>
        <w:t>article 28 de la Loi fondamentale et par l</w:t>
      </w:r>
      <w:r w:rsidR="004F1DFB">
        <w:rPr>
          <w:lang w:val="fr-FR"/>
        </w:rPr>
        <w:t>’</w:t>
      </w:r>
      <w:r w:rsidRPr="00AB1F22">
        <w:rPr>
          <w:lang w:val="fr-FR"/>
        </w:rPr>
        <w:t>article 5 de la Charte des droits de Hong</w:t>
      </w:r>
      <w:r>
        <w:rPr>
          <w:lang w:val="fr-FR"/>
        </w:rPr>
        <w:t> </w:t>
      </w:r>
      <w:r w:rsidRPr="00AB1F22">
        <w:rPr>
          <w:lang w:val="fr-FR"/>
        </w:rPr>
        <w:t>Kong qui correspond à l</w:t>
      </w:r>
      <w:r w:rsidR="004F1DFB">
        <w:rPr>
          <w:lang w:val="fr-FR"/>
        </w:rPr>
        <w:t>’</w:t>
      </w:r>
      <w:r w:rsidRPr="00AB1F22">
        <w:rPr>
          <w:lang w:val="fr-FR"/>
        </w:rPr>
        <w:t xml:space="preserve">article 9 du Pacte.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Détention d</w:t>
      </w:r>
      <w:r w:rsidR="004F1DFB">
        <w:rPr>
          <w:bCs/>
          <w:lang w:val="fr-FR"/>
        </w:rPr>
        <w:t>’</w:t>
      </w:r>
      <w:r w:rsidRPr="00AB1F22">
        <w:rPr>
          <w:bCs/>
          <w:lang w:val="fr-FR"/>
        </w:rPr>
        <w:t>immigrants clandestins</w:t>
      </w:r>
      <w:r w:rsidRPr="00AB1F22">
        <w:rPr>
          <w:lang w:val="fr-FR"/>
        </w:rPr>
        <w:t xml:space="preserve"> </w:t>
      </w:r>
      <w:bookmarkStart w:id="29" w:name="_Toc31721418"/>
      <w:bookmarkEnd w:id="29"/>
    </w:p>
    <w:p w:rsidR="0024529D" w:rsidRPr="00AB1F22" w:rsidRDefault="0024529D" w:rsidP="0024529D">
      <w:pPr>
        <w:pStyle w:val="SingleTxtG"/>
        <w:rPr>
          <w:lang w:val="fr-FR"/>
        </w:rPr>
      </w:pPr>
      <w:r w:rsidRPr="00AB1F22">
        <w:rPr>
          <w:lang w:val="fr-FR"/>
        </w:rPr>
        <w:t>79.</w:t>
      </w:r>
      <w:r w:rsidRPr="00AB1F22">
        <w:rPr>
          <w:lang w:val="fr-FR"/>
        </w:rPr>
        <w:tab/>
        <w:t>La situation juridique en matière de liberté et de sécurité des personnes détenues dans l</w:t>
      </w:r>
      <w:r w:rsidR="004F1DFB">
        <w:rPr>
          <w:lang w:val="fr-FR"/>
        </w:rPr>
        <w:t>’</w:t>
      </w:r>
      <w:r w:rsidRPr="00AB1F22">
        <w:rPr>
          <w:lang w:val="fr-FR"/>
        </w:rPr>
        <w:t>attente de leur expulsion de la RAS de Hong</w:t>
      </w:r>
      <w:r>
        <w:rPr>
          <w:lang w:val="fr-FR"/>
        </w:rPr>
        <w:t> </w:t>
      </w:r>
      <w:r w:rsidRPr="00AB1F22">
        <w:rPr>
          <w:lang w:val="fr-FR"/>
        </w:rPr>
        <w:t>Kong a été précisée par la Cour de dernier ressort dans le cadre du réexamen judiciaire d</w:t>
      </w:r>
      <w:r w:rsidR="004F1DFB">
        <w:rPr>
          <w:lang w:val="fr-FR"/>
        </w:rPr>
        <w:t>’</w:t>
      </w:r>
      <w:r w:rsidRPr="00AB1F22">
        <w:rPr>
          <w:lang w:val="fr-FR"/>
        </w:rPr>
        <w:t>une affaire en 2014. Plus de précisions</w:t>
      </w:r>
      <w:r>
        <w:rPr>
          <w:lang w:val="fr-FR"/>
        </w:rPr>
        <w:t xml:space="preserve"> figurent à</w:t>
      </w:r>
      <w:r w:rsidRPr="00AB1F22">
        <w:rPr>
          <w:lang w:val="fr-FR"/>
        </w:rPr>
        <w:t xml:space="preserve"> l</w:t>
      </w:r>
      <w:r w:rsidR="004F1DFB">
        <w:rPr>
          <w:lang w:val="fr-FR"/>
        </w:rPr>
        <w:t>’</w:t>
      </w:r>
      <w:r w:rsidRPr="00AB1F22">
        <w:rPr>
          <w:lang w:val="fr-FR"/>
        </w:rPr>
        <w:t xml:space="preserve">annexe 9A. </w:t>
      </w:r>
    </w:p>
    <w:p w:rsidR="0024529D" w:rsidRPr="00AB1F22" w:rsidRDefault="0024529D" w:rsidP="0024529D">
      <w:pPr>
        <w:pStyle w:val="H1G"/>
        <w:rPr>
          <w:lang w:val="fr-FR"/>
        </w:rPr>
      </w:pPr>
      <w:r w:rsidRPr="00AB1F22">
        <w:rPr>
          <w:lang w:val="fr-FR"/>
        </w:rPr>
        <w:tab/>
      </w:r>
      <w:r w:rsidRPr="00AB1F22">
        <w:rPr>
          <w:lang w:val="fr-FR"/>
        </w:rPr>
        <w:tab/>
      </w:r>
      <w:r>
        <w:rPr>
          <w:bCs/>
          <w:lang w:val="fr-FR"/>
        </w:rPr>
        <w:t>Article </w:t>
      </w:r>
      <w:r w:rsidRPr="00AB1F22">
        <w:rPr>
          <w:bCs/>
          <w:lang w:val="fr-FR"/>
        </w:rPr>
        <w:t>10</w:t>
      </w:r>
      <w:r>
        <w:rPr>
          <w:bCs/>
          <w:lang w:val="fr-FR"/>
        </w:rPr>
        <w:br/>
      </w:r>
      <w:r w:rsidRPr="00AB1F22">
        <w:rPr>
          <w:bCs/>
          <w:lang w:val="fr-FR"/>
        </w:rPr>
        <w:t>Droits des personnes privées de liberté</w:t>
      </w:r>
      <w:r w:rsidRPr="00AB1F22">
        <w:rPr>
          <w:lang w:val="fr-FR"/>
        </w:rPr>
        <w:t xml:space="preserve"> </w:t>
      </w:r>
      <w:bookmarkStart w:id="30" w:name="_Toc31721419"/>
      <w:bookmarkEnd w:id="30"/>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Droits des personnes en détention</w:t>
      </w:r>
      <w:r w:rsidRPr="00AB1F22">
        <w:rPr>
          <w:lang w:val="fr-FR"/>
        </w:rPr>
        <w:t xml:space="preserve"> </w:t>
      </w:r>
      <w:bookmarkStart w:id="31" w:name="_Toc31721420"/>
      <w:bookmarkEnd w:id="31"/>
    </w:p>
    <w:p w:rsidR="0024529D" w:rsidRPr="00AB1F22" w:rsidRDefault="0024529D" w:rsidP="0024529D">
      <w:pPr>
        <w:pStyle w:val="SingleTxtG"/>
        <w:rPr>
          <w:lang w:val="fr-FR"/>
        </w:rPr>
      </w:pPr>
      <w:r w:rsidRPr="00AB1F22">
        <w:rPr>
          <w:lang w:val="fr-FR"/>
        </w:rPr>
        <w:t>80.</w:t>
      </w:r>
      <w:r w:rsidRPr="00AB1F22">
        <w:rPr>
          <w:lang w:val="fr-FR"/>
        </w:rPr>
        <w:tab/>
        <w:t>La situation relative à la protection juridique des droits des personnes en détention reste pour l</w:t>
      </w:r>
      <w:r w:rsidR="004F1DFB">
        <w:rPr>
          <w:lang w:val="fr-FR"/>
        </w:rPr>
        <w:t>’</w:t>
      </w:r>
      <w:r w:rsidRPr="00AB1F22">
        <w:rPr>
          <w:lang w:val="fr-FR"/>
        </w:rPr>
        <w:t>essentiel celle qui est expliquée au paragraphe 177 de la deuxième partie du rapport initial. Les informations les plus récentes concernant les voies de recours, le programme des juges de paix itinérants ainsi que les réclamations adressées à l</w:t>
      </w:r>
      <w:r w:rsidR="004F1DFB">
        <w:rPr>
          <w:lang w:val="fr-FR"/>
        </w:rPr>
        <w:t>’</w:t>
      </w:r>
      <w:r w:rsidRPr="00AB1F22">
        <w:rPr>
          <w:lang w:val="fr-FR"/>
        </w:rPr>
        <w:t>Ombudsman sont présentées à l</w:t>
      </w:r>
      <w:r w:rsidR="004F1DFB">
        <w:rPr>
          <w:lang w:val="fr-FR"/>
        </w:rPr>
        <w:t>’</w:t>
      </w:r>
      <w:r w:rsidRPr="00AB1F22">
        <w:rPr>
          <w:lang w:val="fr-FR"/>
        </w:rPr>
        <w:t xml:space="preserve">annexe 10A.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Réglementation et gestion des établissements pénitentiaires</w:t>
      </w:r>
      <w:r w:rsidRPr="00AB1F22">
        <w:rPr>
          <w:lang w:val="fr-FR"/>
        </w:rPr>
        <w:t xml:space="preserve"> </w:t>
      </w:r>
      <w:bookmarkStart w:id="32" w:name="_Toc31721421"/>
      <w:bookmarkEnd w:id="32"/>
    </w:p>
    <w:p w:rsidR="0024529D" w:rsidRPr="00AB1F22" w:rsidRDefault="0024529D" w:rsidP="0024529D">
      <w:pPr>
        <w:pStyle w:val="SingleTxtG"/>
        <w:rPr>
          <w:lang w:val="fr-FR"/>
        </w:rPr>
      </w:pPr>
      <w:r w:rsidRPr="00AB1F22">
        <w:rPr>
          <w:lang w:val="fr-FR"/>
        </w:rPr>
        <w:t>81.</w:t>
      </w:r>
      <w:r w:rsidRPr="00AB1F22">
        <w:rPr>
          <w:lang w:val="fr-FR"/>
        </w:rPr>
        <w:tab/>
        <w:t>La situation reste inchangée par rapport à celle exposée au paragraphe 129 du rapport précédent. La situation actualisée concernant la population carcérale et les détenus issus des minorités ethniques est présentée à l</w:t>
      </w:r>
      <w:r w:rsidR="004F1DFB">
        <w:rPr>
          <w:lang w:val="fr-FR"/>
        </w:rPr>
        <w:t>’</w:t>
      </w:r>
      <w:r w:rsidRPr="00AB1F22">
        <w:rPr>
          <w:lang w:val="fr-FR"/>
        </w:rPr>
        <w:t xml:space="preserve">annexe 10B.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Réinsertion des jeunes délinquants et autres délinquants</w:t>
      </w:r>
      <w:bookmarkStart w:id="33" w:name="_Toc31721422"/>
      <w:bookmarkEnd w:id="33"/>
    </w:p>
    <w:p w:rsidR="0024529D" w:rsidRPr="00AB1F22" w:rsidRDefault="0024529D" w:rsidP="0024529D">
      <w:pPr>
        <w:pStyle w:val="SingleTxtG"/>
        <w:rPr>
          <w:lang w:val="fr-FR"/>
        </w:rPr>
      </w:pPr>
      <w:r w:rsidRPr="00AB1F22">
        <w:rPr>
          <w:lang w:val="fr-FR"/>
        </w:rPr>
        <w:t>82.</w:t>
      </w:r>
      <w:r w:rsidRPr="00AB1F22">
        <w:rPr>
          <w:lang w:val="fr-FR"/>
        </w:rPr>
        <w:tab/>
        <w:t>La situation relative à la réinsertion des délinquants et à la réinsertion des jeunes délinquants reste en grande partie inchangée par rapport à celle expliquée aux paragraphes 134 à 139 du rapport précédent et aux paragraphes</w:t>
      </w:r>
      <w:r>
        <w:rPr>
          <w:lang w:val="fr-FR"/>
        </w:rPr>
        <w:t> </w:t>
      </w:r>
      <w:r w:rsidRPr="00AB1F22">
        <w:rPr>
          <w:lang w:val="fr-FR"/>
        </w:rPr>
        <w:t>103 et 105 à</w:t>
      </w:r>
      <w:r w:rsidR="003F79A2">
        <w:rPr>
          <w:lang w:val="fr-FR"/>
        </w:rPr>
        <w:t> </w:t>
      </w:r>
      <w:r w:rsidRPr="00AB1F22">
        <w:rPr>
          <w:lang w:val="fr-FR"/>
        </w:rPr>
        <w:t xml:space="preserve">108 de la deuxième partie du deuxième rapport. </w:t>
      </w:r>
      <w:r>
        <w:rPr>
          <w:lang w:val="fr-FR"/>
        </w:rPr>
        <w:t>Davantage de détails figurent à</w:t>
      </w:r>
      <w:r w:rsidRPr="00AB1F22">
        <w:rPr>
          <w:lang w:val="fr-FR"/>
        </w:rPr>
        <w:t xml:space="preserve"> l</w:t>
      </w:r>
      <w:r w:rsidR="004F1DFB">
        <w:rPr>
          <w:lang w:val="fr-FR"/>
        </w:rPr>
        <w:t>’</w:t>
      </w:r>
      <w:r w:rsidRPr="00AB1F22">
        <w:rPr>
          <w:lang w:val="fr-FR"/>
        </w:rPr>
        <w:t xml:space="preserve">annexe 10C.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Assistance aux résidents de Hong</w:t>
      </w:r>
      <w:r>
        <w:rPr>
          <w:bCs/>
          <w:lang w:val="fr-FR"/>
        </w:rPr>
        <w:t> </w:t>
      </w:r>
      <w:r w:rsidRPr="00AB1F22">
        <w:rPr>
          <w:bCs/>
          <w:lang w:val="fr-FR"/>
        </w:rPr>
        <w:t>Kong détenus en Chine continentale</w:t>
      </w:r>
      <w:r w:rsidRPr="00AB1F22">
        <w:rPr>
          <w:lang w:val="fr-FR"/>
        </w:rPr>
        <w:t xml:space="preserve"> </w:t>
      </w:r>
      <w:bookmarkStart w:id="34" w:name="_Toc31721423"/>
      <w:bookmarkEnd w:id="34"/>
    </w:p>
    <w:p w:rsidR="0024529D" w:rsidRPr="00AB1F22" w:rsidRDefault="0024529D" w:rsidP="0024529D">
      <w:pPr>
        <w:pStyle w:val="SingleTxtG"/>
        <w:rPr>
          <w:lang w:val="fr-FR"/>
        </w:rPr>
      </w:pPr>
      <w:r w:rsidRPr="00AB1F22">
        <w:rPr>
          <w:lang w:val="fr-FR"/>
        </w:rPr>
        <w:t>83.</w:t>
      </w:r>
      <w:r w:rsidRPr="00AB1F22">
        <w:rPr>
          <w:lang w:val="fr-FR"/>
        </w:rPr>
        <w:tab/>
        <w:t>La situation en matière d</w:t>
      </w:r>
      <w:r w:rsidR="004F1DFB">
        <w:rPr>
          <w:lang w:val="fr-FR"/>
        </w:rPr>
        <w:t>’</w:t>
      </w:r>
      <w:r w:rsidRPr="00AB1F22">
        <w:rPr>
          <w:lang w:val="fr-FR"/>
        </w:rPr>
        <w:t>assistance aux résidents de Hong</w:t>
      </w:r>
      <w:r>
        <w:rPr>
          <w:lang w:val="fr-FR"/>
        </w:rPr>
        <w:t> </w:t>
      </w:r>
      <w:r w:rsidRPr="00AB1F22">
        <w:rPr>
          <w:lang w:val="fr-FR"/>
        </w:rPr>
        <w:t>Kong détenus en Chine continentale reste en grande partie inchangée par rapport à celle expliquée aux paragraphes</w:t>
      </w:r>
      <w:r>
        <w:rPr>
          <w:lang w:val="fr-FR"/>
        </w:rPr>
        <w:t> </w:t>
      </w:r>
      <w:r w:rsidRPr="00AB1F22">
        <w:rPr>
          <w:lang w:val="fr-FR"/>
        </w:rPr>
        <w:t>142 à 144 du rapport précédent. Des informations actualisées sur le mécanisme de notification réciproque sont exposées à l</w:t>
      </w:r>
      <w:r w:rsidR="004F1DFB">
        <w:rPr>
          <w:lang w:val="fr-FR"/>
        </w:rPr>
        <w:t>’</w:t>
      </w:r>
      <w:r w:rsidRPr="00AB1F22">
        <w:rPr>
          <w:lang w:val="fr-FR"/>
        </w:rPr>
        <w:t xml:space="preserve">annexe 10D. </w:t>
      </w:r>
    </w:p>
    <w:p w:rsidR="0024529D" w:rsidRPr="00AB1F22" w:rsidRDefault="0024529D" w:rsidP="0024529D">
      <w:pPr>
        <w:pStyle w:val="H1G"/>
        <w:rPr>
          <w:lang w:val="fr-FR"/>
        </w:rPr>
      </w:pPr>
      <w:r w:rsidRPr="00AB1F22">
        <w:rPr>
          <w:lang w:val="fr-FR"/>
        </w:rPr>
        <w:tab/>
      </w:r>
      <w:r w:rsidRPr="00AB1F22">
        <w:rPr>
          <w:lang w:val="fr-FR"/>
        </w:rPr>
        <w:tab/>
      </w:r>
      <w:r w:rsidRPr="00AB1F22">
        <w:rPr>
          <w:bCs/>
          <w:lang w:val="fr-FR"/>
        </w:rPr>
        <w:t>Article</w:t>
      </w:r>
      <w:r>
        <w:rPr>
          <w:bCs/>
          <w:lang w:val="fr-FR"/>
        </w:rPr>
        <w:t> </w:t>
      </w:r>
      <w:r w:rsidRPr="00AB1F22">
        <w:rPr>
          <w:bCs/>
          <w:lang w:val="fr-FR"/>
        </w:rPr>
        <w:t>11</w:t>
      </w:r>
      <w:r>
        <w:rPr>
          <w:bCs/>
          <w:lang w:val="fr-FR"/>
        </w:rPr>
        <w:br/>
      </w:r>
      <w:r w:rsidRPr="00AB1F22">
        <w:rPr>
          <w:bCs/>
          <w:lang w:val="fr-FR"/>
        </w:rPr>
        <w:t>Interdiction de l</w:t>
      </w:r>
      <w:r w:rsidR="004F1DFB">
        <w:rPr>
          <w:bCs/>
          <w:lang w:val="fr-FR"/>
        </w:rPr>
        <w:t>’</w:t>
      </w:r>
      <w:r w:rsidRPr="00AB1F22">
        <w:rPr>
          <w:bCs/>
          <w:lang w:val="fr-FR"/>
        </w:rPr>
        <w:t>emprisonnement pour non</w:t>
      </w:r>
      <w:r>
        <w:rPr>
          <w:bCs/>
          <w:lang w:val="fr-FR"/>
        </w:rPr>
        <w:noBreakHyphen/>
      </w:r>
      <w:r w:rsidRPr="00AB1F22">
        <w:rPr>
          <w:bCs/>
          <w:lang w:val="fr-FR"/>
        </w:rPr>
        <w:t>exécution d</w:t>
      </w:r>
      <w:r w:rsidR="004F1DFB">
        <w:rPr>
          <w:bCs/>
          <w:lang w:val="fr-FR"/>
        </w:rPr>
        <w:t>’</w:t>
      </w:r>
      <w:r w:rsidRPr="00AB1F22">
        <w:rPr>
          <w:bCs/>
          <w:lang w:val="fr-FR"/>
        </w:rPr>
        <w:t>un contrat</w:t>
      </w:r>
      <w:r w:rsidRPr="00AB1F22">
        <w:rPr>
          <w:lang w:val="fr-FR"/>
        </w:rPr>
        <w:t xml:space="preserve"> </w:t>
      </w:r>
      <w:bookmarkStart w:id="35" w:name="_Toc31721424"/>
      <w:bookmarkEnd w:id="35"/>
    </w:p>
    <w:p w:rsidR="0024529D" w:rsidRPr="00AB1F22" w:rsidRDefault="0024529D" w:rsidP="0024529D">
      <w:pPr>
        <w:pStyle w:val="SingleTxtG"/>
        <w:rPr>
          <w:lang w:val="fr-FR"/>
        </w:rPr>
      </w:pPr>
      <w:r w:rsidRPr="00AB1F22">
        <w:rPr>
          <w:lang w:val="fr-FR"/>
        </w:rPr>
        <w:t>84.</w:t>
      </w:r>
      <w:r w:rsidRPr="00AB1F22">
        <w:rPr>
          <w:lang w:val="fr-FR"/>
        </w:rPr>
        <w:tab/>
        <w:t>La situation reste inchangée par rapport à celle décrite aux paragraphes</w:t>
      </w:r>
      <w:r>
        <w:rPr>
          <w:lang w:val="fr-FR"/>
        </w:rPr>
        <w:t> </w:t>
      </w:r>
      <w:r w:rsidRPr="00AB1F22">
        <w:rPr>
          <w:lang w:val="fr-FR"/>
        </w:rPr>
        <w:t>217 à</w:t>
      </w:r>
      <w:r w:rsidR="003F79A2">
        <w:rPr>
          <w:lang w:val="fr-FR"/>
        </w:rPr>
        <w:t> </w:t>
      </w:r>
      <w:r w:rsidRPr="00AB1F22">
        <w:rPr>
          <w:lang w:val="fr-FR"/>
        </w:rPr>
        <w:t xml:space="preserve">221 de la deuxième partie du rapport initial. </w:t>
      </w:r>
    </w:p>
    <w:p w:rsidR="0024529D" w:rsidRPr="00AB1F22" w:rsidRDefault="0024529D" w:rsidP="0024529D">
      <w:pPr>
        <w:pStyle w:val="H1G"/>
        <w:rPr>
          <w:lang w:val="fr-FR"/>
        </w:rPr>
      </w:pPr>
      <w:r w:rsidRPr="00AB1F22">
        <w:rPr>
          <w:lang w:val="fr-FR"/>
        </w:rPr>
        <w:tab/>
      </w:r>
      <w:r w:rsidRPr="00AB1F22">
        <w:rPr>
          <w:lang w:val="fr-FR"/>
        </w:rPr>
        <w:tab/>
      </w:r>
      <w:r>
        <w:rPr>
          <w:bCs/>
          <w:lang w:val="fr-FR"/>
        </w:rPr>
        <w:t>Article </w:t>
      </w:r>
      <w:r w:rsidRPr="00AB1F22">
        <w:rPr>
          <w:bCs/>
          <w:lang w:val="fr-FR"/>
        </w:rPr>
        <w:t>12</w:t>
      </w:r>
      <w:r>
        <w:rPr>
          <w:bCs/>
          <w:lang w:val="fr-FR"/>
        </w:rPr>
        <w:br/>
      </w:r>
      <w:r w:rsidRPr="00AB1F22">
        <w:rPr>
          <w:bCs/>
          <w:lang w:val="fr-FR"/>
        </w:rPr>
        <w:t>Liberté de circulation</w:t>
      </w:r>
      <w:r w:rsidRPr="00AB1F22">
        <w:rPr>
          <w:lang w:val="fr-FR"/>
        </w:rPr>
        <w:t xml:space="preserve"> </w:t>
      </w:r>
      <w:bookmarkStart w:id="36" w:name="_Toc31721425"/>
      <w:bookmarkEnd w:id="36"/>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Protection juridique de la liberté de circulation</w:t>
      </w:r>
      <w:r w:rsidRPr="00AB1F22">
        <w:rPr>
          <w:lang w:val="fr-FR"/>
        </w:rPr>
        <w:t xml:space="preserve"> </w:t>
      </w:r>
      <w:bookmarkStart w:id="37" w:name="_Toc31721426"/>
      <w:bookmarkEnd w:id="37"/>
    </w:p>
    <w:p w:rsidR="0024529D" w:rsidRPr="00AB1F22" w:rsidRDefault="0024529D" w:rsidP="0024529D">
      <w:pPr>
        <w:pStyle w:val="SingleTxtG"/>
        <w:rPr>
          <w:lang w:val="fr-FR"/>
        </w:rPr>
      </w:pPr>
      <w:r w:rsidRPr="00AB1F22">
        <w:rPr>
          <w:lang w:val="fr-FR"/>
        </w:rPr>
        <w:t>85.</w:t>
      </w:r>
      <w:r w:rsidRPr="00AB1F22">
        <w:rPr>
          <w:lang w:val="fr-FR"/>
        </w:rPr>
        <w:tab/>
        <w:t>La protection juridique reste pour l</w:t>
      </w:r>
      <w:r w:rsidR="004F1DFB">
        <w:rPr>
          <w:lang w:val="fr-FR"/>
        </w:rPr>
        <w:t>’</w:t>
      </w:r>
      <w:r w:rsidRPr="00AB1F22">
        <w:rPr>
          <w:lang w:val="fr-FR"/>
        </w:rPr>
        <w:t>essentiel telle qu</w:t>
      </w:r>
      <w:r w:rsidR="004F1DFB">
        <w:rPr>
          <w:lang w:val="fr-FR"/>
        </w:rPr>
        <w:t>’</w:t>
      </w:r>
      <w:r w:rsidRPr="00AB1F22">
        <w:rPr>
          <w:lang w:val="fr-FR"/>
        </w:rPr>
        <w:t>exposée aux paragraphes</w:t>
      </w:r>
      <w:r>
        <w:rPr>
          <w:lang w:val="fr-FR"/>
        </w:rPr>
        <w:t> </w:t>
      </w:r>
      <w:r w:rsidRPr="00AB1F22">
        <w:rPr>
          <w:lang w:val="fr-FR"/>
        </w:rPr>
        <w:t>222 à</w:t>
      </w:r>
      <w:r w:rsidR="004F1DFB">
        <w:rPr>
          <w:lang w:val="fr-FR"/>
        </w:rPr>
        <w:t> </w:t>
      </w:r>
      <w:r w:rsidRPr="00AB1F22">
        <w:rPr>
          <w:lang w:val="fr-FR"/>
        </w:rPr>
        <w:t>225 de la deuxième partie du rapport initial. La liberté de circulation des résidents de Hong</w:t>
      </w:r>
      <w:r>
        <w:rPr>
          <w:lang w:val="fr-FR"/>
        </w:rPr>
        <w:t> </w:t>
      </w:r>
      <w:r w:rsidRPr="00AB1F22">
        <w:rPr>
          <w:lang w:val="fr-FR"/>
        </w:rPr>
        <w:t>Kong au sein de la RAS et la liberté d</w:t>
      </w:r>
      <w:r w:rsidR="004F1DFB">
        <w:rPr>
          <w:lang w:val="fr-FR"/>
        </w:rPr>
        <w:t>’</w:t>
      </w:r>
      <w:r w:rsidRPr="00AB1F22">
        <w:rPr>
          <w:lang w:val="fr-FR"/>
        </w:rPr>
        <w:t>entrer dans la RAS ou d</w:t>
      </w:r>
      <w:r w:rsidR="004F1DFB">
        <w:rPr>
          <w:lang w:val="fr-FR"/>
        </w:rPr>
        <w:t>’</w:t>
      </w:r>
      <w:r w:rsidRPr="00AB1F22">
        <w:rPr>
          <w:lang w:val="fr-FR"/>
        </w:rPr>
        <w:t>en sortir continuent d</w:t>
      </w:r>
      <w:r w:rsidR="004F1DFB">
        <w:rPr>
          <w:lang w:val="fr-FR"/>
        </w:rPr>
        <w:t>’</w:t>
      </w:r>
      <w:r w:rsidRPr="00AB1F22">
        <w:rPr>
          <w:lang w:val="fr-FR"/>
        </w:rPr>
        <w:t>être protégées au titre de l</w:t>
      </w:r>
      <w:r w:rsidR="004F1DFB">
        <w:rPr>
          <w:lang w:val="fr-FR"/>
        </w:rPr>
        <w:t>’</w:t>
      </w:r>
      <w:r w:rsidRPr="00AB1F22">
        <w:rPr>
          <w:lang w:val="fr-FR"/>
        </w:rPr>
        <w:t>article 31 de la Loi fondamentale et de l</w:t>
      </w:r>
      <w:r w:rsidR="004F1DFB">
        <w:rPr>
          <w:lang w:val="fr-FR"/>
        </w:rPr>
        <w:t>’</w:t>
      </w:r>
      <w:r w:rsidRPr="00AB1F22">
        <w:rPr>
          <w:lang w:val="fr-FR"/>
        </w:rPr>
        <w:t>article 8 de la Charte des droits de Hong Kong (qui donne effet à l</w:t>
      </w:r>
      <w:r w:rsidR="004F1DFB">
        <w:rPr>
          <w:lang w:val="fr-FR"/>
        </w:rPr>
        <w:t>’</w:t>
      </w:r>
      <w:r w:rsidRPr="00AB1F22">
        <w:rPr>
          <w:lang w:val="fr-FR"/>
        </w:rPr>
        <w:t xml:space="preserve">article 12 du Pacte). </w:t>
      </w:r>
    </w:p>
    <w:p w:rsidR="0024529D" w:rsidRPr="00AB1F22" w:rsidRDefault="0024529D" w:rsidP="0024529D">
      <w:pPr>
        <w:pStyle w:val="SingleTxtG"/>
        <w:rPr>
          <w:lang w:val="fr-FR"/>
        </w:rPr>
      </w:pPr>
      <w:r w:rsidRPr="00AB1F22">
        <w:rPr>
          <w:lang w:val="fr-FR"/>
        </w:rPr>
        <w:t>86.</w:t>
      </w:r>
      <w:r w:rsidRPr="00AB1F22">
        <w:rPr>
          <w:lang w:val="fr-FR"/>
        </w:rPr>
        <w:tab/>
        <w:t>Au paragraphe 17 de ses précédentes observations finales, le Comité a exprimé des préoccupations quant à la liberté de circulation des adeptes du Falun Gong à Hong</w:t>
      </w:r>
      <w:r>
        <w:rPr>
          <w:lang w:val="fr-FR"/>
        </w:rPr>
        <w:t> </w:t>
      </w:r>
      <w:r w:rsidRPr="00AB1F22">
        <w:rPr>
          <w:lang w:val="fr-FR"/>
        </w:rPr>
        <w:t xml:space="preserve">Kong. Les adeptes du Falun Gong jouissent du droit à la liberté de circulation dans les mêmes conditions que les autres résidents de Hong Kong. Aucune mesure ne vise précisément à restreindre leur liberté de circulation à Hong Kong.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Documents de voyage pour les résidents permanents et non permanents</w:t>
      </w:r>
      <w:r w:rsidRPr="00AB1F22">
        <w:rPr>
          <w:lang w:val="fr-FR"/>
        </w:rPr>
        <w:t xml:space="preserve"> </w:t>
      </w:r>
      <w:bookmarkStart w:id="38" w:name="_Toc31721427"/>
      <w:bookmarkEnd w:id="38"/>
    </w:p>
    <w:p w:rsidR="0024529D" w:rsidRPr="00AB1F22" w:rsidRDefault="0024529D" w:rsidP="0024529D">
      <w:pPr>
        <w:pStyle w:val="SingleTxtG"/>
        <w:rPr>
          <w:lang w:val="fr-FR"/>
        </w:rPr>
      </w:pPr>
      <w:r w:rsidRPr="00AB1F22">
        <w:rPr>
          <w:lang w:val="fr-FR"/>
        </w:rPr>
        <w:t>87.</w:t>
      </w:r>
      <w:r w:rsidRPr="00AB1F22">
        <w:rPr>
          <w:lang w:val="fr-FR"/>
        </w:rPr>
        <w:tab/>
        <w:t>En vertu de l</w:t>
      </w:r>
      <w:r w:rsidR="004F1DFB">
        <w:rPr>
          <w:lang w:val="fr-FR"/>
        </w:rPr>
        <w:t>’</w:t>
      </w:r>
      <w:r w:rsidRPr="00AB1F22">
        <w:rPr>
          <w:lang w:val="fr-FR"/>
        </w:rPr>
        <w:t>article 154 de la Loi fondamentale, le Gouvernement est autorisé à délivrer des passeports de la RAS de Hong</w:t>
      </w:r>
      <w:r>
        <w:rPr>
          <w:lang w:val="fr-FR"/>
        </w:rPr>
        <w:t> </w:t>
      </w:r>
      <w:r w:rsidRPr="00AB1F22">
        <w:rPr>
          <w:lang w:val="fr-FR"/>
        </w:rPr>
        <w:t>Kong à tous les citoyens chinois titulaires d</w:t>
      </w:r>
      <w:r w:rsidR="004F1DFB">
        <w:rPr>
          <w:lang w:val="fr-FR"/>
        </w:rPr>
        <w:t>’</w:t>
      </w:r>
      <w:r w:rsidRPr="00AB1F22">
        <w:rPr>
          <w:lang w:val="fr-FR"/>
        </w:rPr>
        <w:t>une carte d</w:t>
      </w:r>
      <w:r w:rsidR="004F1DFB">
        <w:rPr>
          <w:lang w:val="fr-FR"/>
        </w:rPr>
        <w:t>’</w:t>
      </w:r>
      <w:r w:rsidRPr="00AB1F22">
        <w:rPr>
          <w:lang w:val="fr-FR"/>
        </w:rPr>
        <w:t>identité permanente de Hong</w:t>
      </w:r>
      <w:r>
        <w:rPr>
          <w:lang w:val="fr-FR"/>
        </w:rPr>
        <w:t> </w:t>
      </w:r>
      <w:r w:rsidRPr="00AB1F22">
        <w:rPr>
          <w:lang w:val="fr-FR"/>
        </w:rPr>
        <w:t>Kong (les titulaires de cette carte ont le droit de séjourner à Hong</w:t>
      </w:r>
      <w:r>
        <w:rPr>
          <w:lang w:val="fr-FR"/>
        </w:rPr>
        <w:t> </w:t>
      </w:r>
      <w:r w:rsidRPr="00AB1F22">
        <w:rPr>
          <w:lang w:val="fr-FR"/>
        </w:rPr>
        <w:t>Kong). Le Département de l</w:t>
      </w:r>
      <w:r w:rsidR="004F1DFB">
        <w:rPr>
          <w:lang w:val="fr-FR"/>
        </w:rPr>
        <w:t>’</w:t>
      </w:r>
      <w:r w:rsidRPr="00AB1F22">
        <w:rPr>
          <w:lang w:val="fr-FR"/>
        </w:rPr>
        <w:t>immigration est la seule autorité habilitée à délivrer d</w:t>
      </w:r>
      <w:r>
        <w:rPr>
          <w:lang w:val="fr-FR"/>
        </w:rPr>
        <w:t>es passeports de la RAS de Hong </w:t>
      </w:r>
      <w:r w:rsidRPr="00AB1F22">
        <w:rPr>
          <w:lang w:val="fr-FR"/>
        </w:rPr>
        <w:t xml:space="preserve">Kong. </w:t>
      </w:r>
      <w:r>
        <w:rPr>
          <w:lang w:val="fr-FR"/>
        </w:rPr>
        <w:t>Davantage de détails figurent à</w:t>
      </w:r>
      <w:r w:rsidRPr="00AB1F22">
        <w:rPr>
          <w:lang w:val="fr-FR"/>
        </w:rPr>
        <w:t xml:space="preserve"> l</w:t>
      </w:r>
      <w:r w:rsidR="004F1DFB">
        <w:rPr>
          <w:lang w:val="fr-FR"/>
        </w:rPr>
        <w:t>’</w:t>
      </w:r>
      <w:r w:rsidRPr="00AB1F22">
        <w:rPr>
          <w:lang w:val="fr-FR"/>
        </w:rPr>
        <w:t>annexe</w:t>
      </w:r>
      <w:r>
        <w:rPr>
          <w:lang w:val="fr-FR"/>
        </w:rPr>
        <w:t> </w:t>
      </w:r>
      <w:r w:rsidRPr="00AB1F22">
        <w:rPr>
          <w:lang w:val="fr-FR"/>
        </w:rPr>
        <w:t xml:space="preserve">12A.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Contrôle de l</w:t>
      </w:r>
      <w:r w:rsidR="004F1DFB">
        <w:rPr>
          <w:bCs/>
          <w:lang w:val="fr-FR"/>
        </w:rPr>
        <w:t>’</w:t>
      </w:r>
      <w:r w:rsidRPr="00AB1F22">
        <w:rPr>
          <w:bCs/>
          <w:lang w:val="fr-FR"/>
        </w:rPr>
        <w:t>immigration à l</w:t>
      </w:r>
      <w:r w:rsidR="004F1DFB">
        <w:rPr>
          <w:bCs/>
          <w:lang w:val="fr-FR"/>
        </w:rPr>
        <w:t>’</w:t>
      </w:r>
      <w:r w:rsidRPr="00AB1F22">
        <w:rPr>
          <w:bCs/>
          <w:lang w:val="fr-FR"/>
        </w:rPr>
        <w:t>arrivée des visiteurs à Hong Kong</w:t>
      </w:r>
      <w:r w:rsidRPr="00AB1F22">
        <w:rPr>
          <w:lang w:val="fr-FR"/>
        </w:rPr>
        <w:t xml:space="preserve"> </w:t>
      </w:r>
      <w:bookmarkStart w:id="39" w:name="_Toc31721428"/>
      <w:bookmarkEnd w:id="39"/>
    </w:p>
    <w:p w:rsidR="0024529D" w:rsidRPr="00AB1F22" w:rsidRDefault="0024529D" w:rsidP="0024529D">
      <w:pPr>
        <w:pStyle w:val="SingleTxtG"/>
        <w:rPr>
          <w:lang w:val="fr-FR"/>
        </w:rPr>
      </w:pPr>
      <w:r w:rsidRPr="00AB1F22">
        <w:rPr>
          <w:lang w:val="fr-FR"/>
        </w:rPr>
        <w:t>88.</w:t>
      </w:r>
      <w:r w:rsidRPr="00AB1F22">
        <w:rPr>
          <w:lang w:val="fr-FR"/>
        </w:rPr>
        <w:tab/>
        <w:t>La situation reste pour l</w:t>
      </w:r>
      <w:r w:rsidR="004F1DFB">
        <w:rPr>
          <w:lang w:val="fr-FR"/>
        </w:rPr>
        <w:t>’</w:t>
      </w:r>
      <w:r w:rsidRPr="00AB1F22">
        <w:rPr>
          <w:lang w:val="fr-FR"/>
        </w:rPr>
        <w:t>essentiel telle qu</w:t>
      </w:r>
      <w:r w:rsidR="004F1DFB">
        <w:rPr>
          <w:lang w:val="fr-FR"/>
        </w:rPr>
        <w:t>’</w:t>
      </w:r>
      <w:r w:rsidRPr="00AB1F22">
        <w:rPr>
          <w:lang w:val="fr-FR"/>
        </w:rPr>
        <w:t>expliquée aux paragraphes</w:t>
      </w:r>
      <w:r>
        <w:rPr>
          <w:lang w:val="fr-FR"/>
        </w:rPr>
        <w:t> </w:t>
      </w:r>
      <w:r w:rsidRPr="00AB1F22">
        <w:rPr>
          <w:lang w:val="fr-FR"/>
        </w:rPr>
        <w:t>152 à</w:t>
      </w:r>
      <w:r w:rsidR="003F79A2">
        <w:rPr>
          <w:lang w:val="fr-FR"/>
        </w:rPr>
        <w:t> </w:t>
      </w:r>
      <w:r w:rsidRPr="00AB1F22">
        <w:rPr>
          <w:lang w:val="fr-FR"/>
        </w:rPr>
        <w:t xml:space="preserve">155 du rapport précédent. En vertu du principe </w:t>
      </w:r>
      <w:r>
        <w:rPr>
          <w:lang w:val="fr-FR"/>
        </w:rPr>
        <w:t>« </w:t>
      </w:r>
      <w:r w:rsidRPr="00AB1F22">
        <w:rPr>
          <w:lang w:val="fr-FR"/>
        </w:rPr>
        <w:t>un pays, deux systèmes</w:t>
      </w:r>
      <w:r>
        <w:rPr>
          <w:lang w:val="fr-FR"/>
        </w:rPr>
        <w:t> »</w:t>
      </w:r>
      <w:r w:rsidRPr="00AB1F22">
        <w:rPr>
          <w:lang w:val="fr-FR"/>
        </w:rPr>
        <w:t xml:space="preserve"> consacré dans la Loi fondamentale, la RAS de Hong</w:t>
      </w:r>
      <w:r>
        <w:rPr>
          <w:lang w:val="fr-FR"/>
        </w:rPr>
        <w:t> </w:t>
      </w:r>
      <w:r w:rsidRPr="00AB1F22">
        <w:rPr>
          <w:lang w:val="fr-FR"/>
        </w:rPr>
        <w:t>Kong jouit d</w:t>
      </w:r>
      <w:r w:rsidR="004F1DFB">
        <w:rPr>
          <w:lang w:val="fr-FR"/>
        </w:rPr>
        <w:t>’</w:t>
      </w:r>
      <w:r w:rsidRPr="00AB1F22">
        <w:rPr>
          <w:lang w:val="fr-FR"/>
        </w:rPr>
        <w:t>une grande autonomie. En vertu du paragraphe 2 de l</w:t>
      </w:r>
      <w:r w:rsidR="004F1DFB">
        <w:rPr>
          <w:lang w:val="fr-FR"/>
        </w:rPr>
        <w:t>’</w:t>
      </w:r>
      <w:r w:rsidRPr="00AB1F22">
        <w:rPr>
          <w:lang w:val="fr-FR"/>
        </w:rPr>
        <w:t>article 154 de la Loi fondamentale, le Gouvernement peut appliquer des contrôles de l</w:t>
      </w:r>
      <w:r w:rsidR="004F1DFB">
        <w:rPr>
          <w:lang w:val="fr-FR"/>
        </w:rPr>
        <w:t>’</w:t>
      </w:r>
      <w:r w:rsidRPr="00AB1F22">
        <w:rPr>
          <w:lang w:val="fr-FR"/>
        </w:rPr>
        <w:t>immigration aux personnes provenant d</w:t>
      </w:r>
      <w:r w:rsidR="004F1DFB">
        <w:rPr>
          <w:lang w:val="fr-FR"/>
        </w:rPr>
        <w:t>’</w:t>
      </w:r>
      <w:r w:rsidRPr="00AB1F22">
        <w:rPr>
          <w:lang w:val="fr-FR"/>
        </w:rPr>
        <w:t>États et de régions étrangers à leur entrée et pendant leur séjour dans la RAS ainsi que lorsqu</w:t>
      </w:r>
      <w:r w:rsidR="004F1DFB">
        <w:rPr>
          <w:lang w:val="fr-FR"/>
        </w:rPr>
        <w:t>’</w:t>
      </w:r>
      <w:r w:rsidRPr="00AB1F22">
        <w:rPr>
          <w:lang w:val="fr-FR"/>
        </w:rPr>
        <w:t xml:space="preserve">elles en sortent. </w:t>
      </w:r>
      <w:r>
        <w:rPr>
          <w:lang w:val="fr-FR"/>
        </w:rPr>
        <w:t>Davantage de détails figurent à</w:t>
      </w:r>
      <w:r w:rsidRPr="00AB1F22">
        <w:rPr>
          <w:lang w:val="fr-FR"/>
        </w:rPr>
        <w:t xml:space="preserve"> l</w:t>
      </w:r>
      <w:r w:rsidR="004F1DFB">
        <w:rPr>
          <w:lang w:val="fr-FR"/>
        </w:rPr>
        <w:t>’</w:t>
      </w:r>
      <w:r>
        <w:rPr>
          <w:lang w:val="fr-FR"/>
        </w:rPr>
        <w:t>annexe </w:t>
      </w:r>
      <w:r w:rsidRPr="00AB1F22">
        <w:rPr>
          <w:lang w:val="fr-FR"/>
        </w:rPr>
        <w:t xml:space="preserve">12B.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Assistance aux résidents de Hong</w:t>
      </w:r>
      <w:r>
        <w:rPr>
          <w:bCs/>
          <w:lang w:val="fr-FR"/>
        </w:rPr>
        <w:t> </w:t>
      </w:r>
      <w:r w:rsidRPr="00AB1F22">
        <w:rPr>
          <w:bCs/>
          <w:lang w:val="fr-FR"/>
        </w:rPr>
        <w:t>Kong en difficulté hors de Hong</w:t>
      </w:r>
      <w:r>
        <w:rPr>
          <w:bCs/>
          <w:lang w:val="fr-FR"/>
        </w:rPr>
        <w:t> </w:t>
      </w:r>
      <w:r w:rsidRPr="00AB1F22">
        <w:rPr>
          <w:bCs/>
          <w:lang w:val="fr-FR"/>
        </w:rPr>
        <w:t>Kong</w:t>
      </w:r>
      <w:bookmarkStart w:id="40" w:name="_Toc31721429"/>
      <w:bookmarkEnd w:id="40"/>
    </w:p>
    <w:p w:rsidR="0024529D" w:rsidRPr="00AB1F22" w:rsidRDefault="0024529D" w:rsidP="0024529D">
      <w:pPr>
        <w:pStyle w:val="SingleTxtG"/>
        <w:rPr>
          <w:lang w:val="fr-FR"/>
        </w:rPr>
      </w:pPr>
      <w:r w:rsidRPr="00AB1F22">
        <w:rPr>
          <w:lang w:val="fr-FR"/>
        </w:rPr>
        <w:t>89.</w:t>
      </w:r>
      <w:r w:rsidRPr="00AB1F22">
        <w:rPr>
          <w:lang w:val="fr-FR"/>
        </w:rPr>
        <w:tab/>
        <w:t>La situation reste pour l</w:t>
      </w:r>
      <w:r w:rsidR="004F1DFB">
        <w:rPr>
          <w:lang w:val="fr-FR"/>
        </w:rPr>
        <w:t>’</w:t>
      </w:r>
      <w:r w:rsidRPr="00AB1F22">
        <w:rPr>
          <w:lang w:val="fr-FR"/>
        </w:rPr>
        <w:t>essentiel telle qu</w:t>
      </w:r>
      <w:r w:rsidR="004F1DFB">
        <w:rPr>
          <w:lang w:val="fr-FR"/>
        </w:rPr>
        <w:t>’</w:t>
      </w:r>
      <w:r w:rsidRPr="00AB1F22">
        <w:rPr>
          <w:lang w:val="fr-FR"/>
        </w:rPr>
        <w:t>expliquée aux paragraphes</w:t>
      </w:r>
      <w:r>
        <w:rPr>
          <w:lang w:val="fr-FR"/>
        </w:rPr>
        <w:t> </w:t>
      </w:r>
      <w:r w:rsidRPr="00AB1F22">
        <w:rPr>
          <w:lang w:val="fr-FR"/>
        </w:rPr>
        <w:t>156 et</w:t>
      </w:r>
      <w:r w:rsidR="003F79A2">
        <w:rPr>
          <w:lang w:val="fr-FR"/>
        </w:rPr>
        <w:t> </w:t>
      </w:r>
      <w:r w:rsidRPr="00AB1F22">
        <w:rPr>
          <w:lang w:val="fr-FR"/>
        </w:rPr>
        <w:t xml:space="preserve">157 du rapport précédent. </w:t>
      </w:r>
    </w:p>
    <w:p w:rsidR="0024529D" w:rsidRPr="00AB1F22" w:rsidRDefault="0024529D" w:rsidP="0024529D">
      <w:pPr>
        <w:pStyle w:val="H1G"/>
        <w:rPr>
          <w:lang w:val="fr-FR"/>
        </w:rPr>
      </w:pPr>
      <w:r w:rsidRPr="00AB1F22">
        <w:rPr>
          <w:lang w:val="fr-FR"/>
        </w:rPr>
        <w:tab/>
      </w:r>
      <w:r w:rsidRPr="00AB1F22">
        <w:rPr>
          <w:lang w:val="fr-FR"/>
        </w:rPr>
        <w:tab/>
      </w:r>
      <w:r w:rsidRPr="00AB1F22">
        <w:rPr>
          <w:bCs/>
          <w:lang w:val="fr-FR"/>
        </w:rPr>
        <w:t>Article</w:t>
      </w:r>
      <w:r>
        <w:rPr>
          <w:bCs/>
          <w:lang w:val="fr-FR"/>
        </w:rPr>
        <w:t> </w:t>
      </w:r>
      <w:r w:rsidRPr="00AB1F22">
        <w:rPr>
          <w:bCs/>
          <w:lang w:val="fr-FR"/>
        </w:rPr>
        <w:t>13</w:t>
      </w:r>
      <w:r>
        <w:rPr>
          <w:bCs/>
          <w:lang w:val="fr-FR"/>
        </w:rPr>
        <w:br/>
      </w:r>
      <w:r w:rsidRPr="00AB1F22">
        <w:rPr>
          <w:bCs/>
          <w:lang w:val="fr-FR"/>
        </w:rPr>
        <w:t>Restrictions à l</w:t>
      </w:r>
      <w:r w:rsidR="004F1DFB">
        <w:rPr>
          <w:bCs/>
          <w:lang w:val="fr-FR"/>
        </w:rPr>
        <w:t>’</w:t>
      </w:r>
      <w:r w:rsidRPr="00AB1F22">
        <w:rPr>
          <w:bCs/>
          <w:lang w:val="fr-FR"/>
        </w:rPr>
        <w:t>expulsion de Hong</w:t>
      </w:r>
      <w:r>
        <w:rPr>
          <w:bCs/>
          <w:lang w:val="fr-FR"/>
        </w:rPr>
        <w:t> </w:t>
      </w:r>
      <w:r w:rsidRPr="00AB1F22">
        <w:rPr>
          <w:bCs/>
          <w:lang w:val="fr-FR"/>
        </w:rPr>
        <w:t>Kong</w:t>
      </w:r>
      <w:r w:rsidRPr="00AB1F22">
        <w:rPr>
          <w:lang w:val="fr-FR"/>
        </w:rPr>
        <w:t xml:space="preserve"> </w:t>
      </w:r>
      <w:bookmarkStart w:id="41" w:name="_Toc31721430"/>
      <w:bookmarkEnd w:id="41"/>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Situation juridique</w:t>
      </w:r>
      <w:r w:rsidRPr="00AB1F22">
        <w:rPr>
          <w:lang w:val="fr-FR"/>
        </w:rPr>
        <w:t xml:space="preserve"> </w:t>
      </w:r>
      <w:bookmarkStart w:id="42" w:name="_Toc31721431"/>
      <w:bookmarkEnd w:id="42"/>
    </w:p>
    <w:p w:rsidR="0024529D" w:rsidRPr="00AB1F22" w:rsidRDefault="0024529D" w:rsidP="0024529D">
      <w:pPr>
        <w:pStyle w:val="SingleTxtG"/>
        <w:rPr>
          <w:lang w:val="fr-FR"/>
        </w:rPr>
      </w:pPr>
      <w:r w:rsidRPr="00AB1F22">
        <w:rPr>
          <w:lang w:val="fr-FR"/>
        </w:rPr>
        <w:t>90.</w:t>
      </w:r>
      <w:r w:rsidRPr="00AB1F22">
        <w:rPr>
          <w:lang w:val="fr-FR"/>
        </w:rPr>
        <w:tab/>
        <w:t>La situation juridique, y compris les pouvoirs d</w:t>
      </w:r>
      <w:r w:rsidR="004F1DFB">
        <w:rPr>
          <w:lang w:val="fr-FR"/>
        </w:rPr>
        <w:t>’</w:t>
      </w:r>
      <w:r w:rsidRPr="00AB1F22">
        <w:rPr>
          <w:lang w:val="fr-FR"/>
        </w:rPr>
        <w:t xml:space="preserve">expulsion et de reconduite à la frontière </w:t>
      </w:r>
      <w:r>
        <w:rPr>
          <w:lang w:val="fr-FR"/>
        </w:rPr>
        <w:t>prévus</w:t>
      </w:r>
      <w:r w:rsidRPr="00AB1F22">
        <w:rPr>
          <w:lang w:val="fr-FR"/>
        </w:rPr>
        <w:t xml:space="preserve"> </w:t>
      </w:r>
      <w:r>
        <w:rPr>
          <w:lang w:val="fr-FR"/>
        </w:rPr>
        <w:t>dans</w:t>
      </w:r>
      <w:r w:rsidRPr="00AB1F22">
        <w:rPr>
          <w:lang w:val="fr-FR"/>
        </w:rPr>
        <w:t xml:space="preserve"> l</w:t>
      </w:r>
      <w:r w:rsidR="004F1DFB">
        <w:rPr>
          <w:lang w:val="fr-FR"/>
        </w:rPr>
        <w:t>’</w:t>
      </w:r>
      <w:r w:rsidRPr="00AB1F22">
        <w:rPr>
          <w:lang w:val="fr-FR"/>
        </w:rPr>
        <w:t>ordonnance relative à l</w:t>
      </w:r>
      <w:r w:rsidR="004F1DFB">
        <w:rPr>
          <w:lang w:val="fr-FR"/>
        </w:rPr>
        <w:t>’</w:t>
      </w:r>
      <w:r w:rsidRPr="00AB1F22">
        <w:rPr>
          <w:lang w:val="fr-FR"/>
        </w:rPr>
        <w:t>immigration (chap. 115), reste telle qu</w:t>
      </w:r>
      <w:r w:rsidR="004F1DFB">
        <w:rPr>
          <w:lang w:val="fr-FR"/>
        </w:rPr>
        <w:t>’</w:t>
      </w:r>
      <w:r w:rsidRPr="00AB1F22">
        <w:rPr>
          <w:lang w:val="fr-FR"/>
        </w:rPr>
        <w:t>expliquée aux paragraphes</w:t>
      </w:r>
      <w:r>
        <w:rPr>
          <w:lang w:val="fr-FR"/>
        </w:rPr>
        <w:t> </w:t>
      </w:r>
      <w:r w:rsidRPr="00AB1F22">
        <w:rPr>
          <w:lang w:val="fr-FR"/>
        </w:rPr>
        <w:t xml:space="preserve">246 à 248 de la deuxième partie du rapport initial. </w:t>
      </w:r>
    </w:p>
    <w:p w:rsidR="0024529D" w:rsidRPr="00AB1F22" w:rsidRDefault="0024529D" w:rsidP="0024529D">
      <w:pPr>
        <w:pStyle w:val="SingleTxtG"/>
        <w:rPr>
          <w:lang w:val="fr-FR"/>
        </w:rPr>
      </w:pPr>
      <w:r w:rsidRPr="00AB1F22">
        <w:rPr>
          <w:lang w:val="fr-FR"/>
        </w:rPr>
        <w:t>91.</w:t>
      </w:r>
      <w:r w:rsidRPr="00AB1F22">
        <w:rPr>
          <w:lang w:val="fr-FR"/>
        </w:rPr>
        <w:tab/>
        <w:t>Les chiffres actualisés sur les ordres d</w:t>
      </w:r>
      <w:r w:rsidR="004F1DFB">
        <w:rPr>
          <w:lang w:val="fr-FR"/>
        </w:rPr>
        <w:t>’</w:t>
      </w:r>
      <w:r w:rsidRPr="00AB1F22">
        <w:rPr>
          <w:lang w:val="fr-FR"/>
        </w:rPr>
        <w:t>expulsion et de reconduite délivrés depuis l</w:t>
      </w:r>
      <w:r w:rsidR="004F1DFB">
        <w:rPr>
          <w:lang w:val="fr-FR"/>
        </w:rPr>
        <w:t>’</w:t>
      </w:r>
      <w:r w:rsidRPr="00AB1F22">
        <w:rPr>
          <w:lang w:val="fr-FR"/>
        </w:rPr>
        <w:t>établissement du rapport précédent, ainsi que la position du Tribunal de l</w:t>
      </w:r>
      <w:r w:rsidR="004F1DFB">
        <w:rPr>
          <w:lang w:val="fr-FR"/>
        </w:rPr>
        <w:t>’</w:t>
      </w:r>
      <w:r w:rsidRPr="00AB1F22">
        <w:rPr>
          <w:lang w:val="fr-FR"/>
        </w:rPr>
        <w:t>immigration sont exposés à l</w:t>
      </w:r>
      <w:r w:rsidR="004F1DFB">
        <w:rPr>
          <w:lang w:val="fr-FR"/>
        </w:rPr>
        <w:t>’</w:t>
      </w:r>
      <w:r w:rsidRPr="00AB1F22">
        <w:rPr>
          <w:lang w:val="fr-FR"/>
        </w:rPr>
        <w:t xml:space="preserve">annexe 13A. </w:t>
      </w:r>
    </w:p>
    <w:p w:rsidR="0024529D" w:rsidRPr="00AB1F22" w:rsidRDefault="0024529D" w:rsidP="0024529D">
      <w:pPr>
        <w:pStyle w:val="H1G"/>
        <w:rPr>
          <w:lang w:val="fr-FR"/>
        </w:rPr>
      </w:pPr>
      <w:r w:rsidRPr="00AB1F22">
        <w:rPr>
          <w:lang w:val="fr-FR"/>
        </w:rPr>
        <w:tab/>
      </w:r>
      <w:r w:rsidRPr="00AB1F22">
        <w:rPr>
          <w:lang w:val="fr-FR"/>
        </w:rPr>
        <w:tab/>
      </w:r>
      <w:r w:rsidRPr="00AB1F22">
        <w:rPr>
          <w:bCs/>
          <w:lang w:val="fr-FR"/>
        </w:rPr>
        <w:t>Article</w:t>
      </w:r>
      <w:r>
        <w:rPr>
          <w:bCs/>
          <w:lang w:val="fr-FR"/>
        </w:rPr>
        <w:t> </w:t>
      </w:r>
      <w:r w:rsidRPr="00AB1F22">
        <w:rPr>
          <w:bCs/>
          <w:lang w:val="fr-FR"/>
        </w:rPr>
        <w:t>14</w:t>
      </w:r>
      <w:r>
        <w:rPr>
          <w:bCs/>
          <w:lang w:val="fr-FR"/>
        </w:rPr>
        <w:br/>
      </w:r>
      <w:r w:rsidRPr="00AB1F22">
        <w:rPr>
          <w:bCs/>
          <w:lang w:val="fr-FR"/>
        </w:rPr>
        <w:t xml:space="preserve">Égalité devant les tribunaux et droit à un procès </w:t>
      </w:r>
      <w:r w:rsidR="004F1DFB">
        <w:rPr>
          <w:bCs/>
          <w:lang w:val="fr-FR"/>
        </w:rPr>
        <w:br/>
      </w:r>
      <w:r w:rsidRPr="00AB1F22">
        <w:rPr>
          <w:bCs/>
          <w:lang w:val="fr-FR"/>
        </w:rPr>
        <w:t>équitable et public</w:t>
      </w:r>
      <w:bookmarkStart w:id="43" w:name="_Toc31721432"/>
      <w:bookmarkEnd w:id="43"/>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Droit d</w:t>
      </w:r>
      <w:r w:rsidR="004F1DFB">
        <w:rPr>
          <w:bCs/>
          <w:lang w:val="fr-FR"/>
        </w:rPr>
        <w:t>’</w:t>
      </w:r>
      <w:r w:rsidRPr="00AB1F22">
        <w:rPr>
          <w:bCs/>
          <w:lang w:val="fr-FR"/>
        </w:rPr>
        <w:t>accès aux tribunaux</w:t>
      </w:r>
      <w:r w:rsidRPr="00AB1F22">
        <w:rPr>
          <w:lang w:val="fr-FR"/>
        </w:rPr>
        <w:t xml:space="preserve"> </w:t>
      </w:r>
      <w:bookmarkStart w:id="44" w:name="_Toc31721433"/>
      <w:bookmarkEnd w:id="44"/>
    </w:p>
    <w:p w:rsidR="0024529D" w:rsidRPr="00AB1F22" w:rsidRDefault="0024529D" w:rsidP="0024529D">
      <w:pPr>
        <w:pStyle w:val="SingleTxtG"/>
        <w:rPr>
          <w:lang w:val="fr-FR"/>
        </w:rPr>
      </w:pPr>
      <w:r w:rsidRPr="00AB1F22">
        <w:rPr>
          <w:lang w:val="fr-FR"/>
        </w:rPr>
        <w:t>92.</w:t>
      </w:r>
      <w:r w:rsidRPr="00AB1F22">
        <w:rPr>
          <w:lang w:val="fr-FR"/>
        </w:rPr>
        <w:tab/>
        <w:t>Notre politique en matière d</w:t>
      </w:r>
      <w:r w:rsidR="004F1DFB">
        <w:rPr>
          <w:lang w:val="fr-FR"/>
        </w:rPr>
        <w:t>’</w:t>
      </w:r>
      <w:r w:rsidRPr="00AB1F22">
        <w:rPr>
          <w:lang w:val="fr-FR"/>
        </w:rPr>
        <w:t>aide juridictionnelle reste inchangée, à savoir qu</w:t>
      </w:r>
      <w:r w:rsidR="004F1DFB">
        <w:rPr>
          <w:lang w:val="fr-FR"/>
        </w:rPr>
        <w:t>’</w:t>
      </w:r>
      <w:r w:rsidRPr="00AB1F22">
        <w:rPr>
          <w:lang w:val="fr-FR"/>
        </w:rPr>
        <w:t>aucun justiciable ayant des motifs suffisants de se pourvoir ou de se défendre en justice à Hong</w:t>
      </w:r>
      <w:r>
        <w:rPr>
          <w:lang w:val="fr-FR"/>
        </w:rPr>
        <w:t> </w:t>
      </w:r>
      <w:r w:rsidRPr="00AB1F22">
        <w:rPr>
          <w:lang w:val="fr-FR"/>
        </w:rPr>
        <w:t>Kong ne doit en être empêché par manque de moyens. Les paragraphes 45 à</w:t>
      </w:r>
      <w:r w:rsidR="004F1DFB">
        <w:rPr>
          <w:lang w:val="fr-FR"/>
        </w:rPr>
        <w:t> </w:t>
      </w:r>
      <w:r w:rsidRPr="00AB1F22">
        <w:rPr>
          <w:lang w:val="fr-FR"/>
        </w:rPr>
        <w:t>48 du document de base commun de la RAS de la Hong</w:t>
      </w:r>
      <w:r>
        <w:rPr>
          <w:lang w:val="fr-FR"/>
        </w:rPr>
        <w:t> </w:t>
      </w:r>
      <w:r w:rsidRPr="00AB1F22">
        <w:rPr>
          <w:lang w:val="fr-FR"/>
        </w:rPr>
        <w:t>Kong donnent un aperçu des services d</w:t>
      </w:r>
      <w:r w:rsidR="004F1DFB">
        <w:rPr>
          <w:lang w:val="fr-FR"/>
        </w:rPr>
        <w:t>’</w:t>
      </w:r>
      <w:r w:rsidRPr="00AB1F22">
        <w:rPr>
          <w:lang w:val="fr-FR"/>
        </w:rPr>
        <w:t>aide juridictionnelle de la RAS et le paragraphe</w:t>
      </w:r>
      <w:r>
        <w:rPr>
          <w:lang w:val="fr-FR"/>
        </w:rPr>
        <w:t> </w:t>
      </w:r>
      <w:r w:rsidRPr="00AB1F22">
        <w:rPr>
          <w:lang w:val="fr-FR"/>
        </w:rPr>
        <w:t>32</w:t>
      </w:r>
      <w:r>
        <w:rPr>
          <w:lang w:val="fr-FR"/>
        </w:rPr>
        <w:t> </w:t>
      </w:r>
      <w:r w:rsidRPr="00AB1F22">
        <w:rPr>
          <w:lang w:val="fr-FR"/>
        </w:rPr>
        <w:t>f) présente des statistiques sur les demandes d</w:t>
      </w:r>
      <w:r w:rsidR="004F1DFB">
        <w:rPr>
          <w:lang w:val="fr-FR"/>
        </w:rPr>
        <w:t>’</w:t>
      </w:r>
      <w:r w:rsidRPr="00AB1F22">
        <w:rPr>
          <w:lang w:val="fr-FR"/>
        </w:rPr>
        <w:t>aide juridictionnelle des dernières années. Le Gouvernement examine régulièrement les critères d</w:t>
      </w:r>
      <w:r w:rsidR="004F1DFB">
        <w:rPr>
          <w:lang w:val="fr-FR"/>
        </w:rPr>
        <w:t>’</w:t>
      </w:r>
      <w:r w:rsidRPr="00AB1F22">
        <w:rPr>
          <w:lang w:val="fr-FR"/>
        </w:rPr>
        <w:t>évaluation des conditions financières que les demandeurs d</w:t>
      </w:r>
      <w:r w:rsidR="004F1DFB">
        <w:rPr>
          <w:lang w:val="fr-FR"/>
        </w:rPr>
        <w:t>’</w:t>
      </w:r>
      <w:r w:rsidRPr="00AB1F22">
        <w:rPr>
          <w:lang w:val="fr-FR"/>
        </w:rPr>
        <w:t>aide juridictionnelle doivent remplir ainsi que la portée des régimes d</w:t>
      </w:r>
      <w:r w:rsidR="004F1DFB">
        <w:rPr>
          <w:lang w:val="fr-FR"/>
        </w:rPr>
        <w:t>’</w:t>
      </w:r>
      <w:r w:rsidRPr="00AB1F22">
        <w:rPr>
          <w:lang w:val="fr-FR"/>
        </w:rPr>
        <w:t xml:space="preserve">aide juridictionnelle. </w:t>
      </w:r>
    </w:p>
    <w:p w:rsidR="0024529D" w:rsidRPr="00AB1F22" w:rsidRDefault="0024529D" w:rsidP="0024529D">
      <w:pPr>
        <w:pStyle w:val="SingleTxtG"/>
        <w:rPr>
          <w:lang w:val="fr-FR"/>
        </w:rPr>
      </w:pPr>
      <w:r w:rsidRPr="00AB1F22">
        <w:rPr>
          <w:lang w:val="fr-FR"/>
        </w:rPr>
        <w:t>93.</w:t>
      </w:r>
      <w:r w:rsidRPr="00AB1F22">
        <w:rPr>
          <w:lang w:val="fr-FR"/>
        </w:rPr>
        <w:tab/>
        <w:t>S</w:t>
      </w:r>
      <w:r w:rsidR="004F1DFB">
        <w:rPr>
          <w:lang w:val="fr-FR"/>
        </w:rPr>
        <w:t>’</w:t>
      </w:r>
      <w:r w:rsidRPr="00AB1F22">
        <w:rPr>
          <w:lang w:val="fr-FR"/>
        </w:rPr>
        <w:t>agissant de l</w:t>
      </w:r>
      <w:r w:rsidR="004F1DFB">
        <w:rPr>
          <w:lang w:val="fr-FR"/>
        </w:rPr>
        <w:t>’</w:t>
      </w:r>
      <w:r w:rsidRPr="00AB1F22">
        <w:rPr>
          <w:lang w:val="fr-FR"/>
        </w:rPr>
        <w:t>indépendance du système d</w:t>
      </w:r>
      <w:r w:rsidR="004F1DFB">
        <w:rPr>
          <w:lang w:val="fr-FR"/>
        </w:rPr>
        <w:t>’</w:t>
      </w:r>
      <w:r w:rsidRPr="00AB1F22">
        <w:rPr>
          <w:lang w:val="fr-FR"/>
        </w:rPr>
        <w:t>aide juridictionnelle, le Conseil des services d</w:t>
      </w:r>
      <w:r w:rsidR="004F1DFB">
        <w:rPr>
          <w:lang w:val="fr-FR"/>
        </w:rPr>
        <w:t>’</w:t>
      </w:r>
      <w:r w:rsidRPr="00AB1F22">
        <w:rPr>
          <w:lang w:val="fr-FR"/>
        </w:rPr>
        <w:t>aide juridictionnelle</w:t>
      </w:r>
      <w:r w:rsidRPr="008A2C7C">
        <w:rPr>
          <w:rStyle w:val="Appelnotedebasdep"/>
        </w:rPr>
        <w:footnoteReference w:id="10"/>
      </w:r>
      <w:r w:rsidRPr="00AB1F22">
        <w:rPr>
          <w:lang w:val="fr-FR"/>
        </w:rPr>
        <w:t xml:space="preserve"> a procédé à un examen de la question en 2009, dont les</w:t>
      </w:r>
      <w:r w:rsidR="004F1DFB">
        <w:rPr>
          <w:lang w:val="fr-FR"/>
        </w:rPr>
        <w:t> </w:t>
      </w:r>
      <w:r w:rsidRPr="00AB1F22">
        <w:rPr>
          <w:lang w:val="fr-FR"/>
        </w:rPr>
        <w:t>conclusions ont été énoncées au paragraphe 175 du rapport précédent. Après l</w:t>
      </w:r>
      <w:r w:rsidR="004F1DFB">
        <w:rPr>
          <w:lang w:val="fr-FR"/>
        </w:rPr>
        <w:t>’</w:t>
      </w:r>
      <w:r w:rsidRPr="00AB1F22">
        <w:rPr>
          <w:lang w:val="fr-FR"/>
        </w:rPr>
        <w:t>examen de 2009, le Conseil des services d</w:t>
      </w:r>
      <w:r w:rsidR="004F1DFB">
        <w:rPr>
          <w:lang w:val="fr-FR"/>
        </w:rPr>
        <w:t>’</w:t>
      </w:r>
      <w:r w:rsidRPr="00AB1F22">
        <w:rPr>
          <w:lang w:val="fr-FR"/>
        </w:rPr>
        <w:t>aide juridictionnelle a réalisé un nouvel examen et formulé des recommandations en 2013. À l</w:t>
      </w:r>
      <w:r w:rsidR="004F1DFB">
        <w:rPr>
          <w:lang w:val="fr-FR"/>
        </w:rPr>
        <w:t>’</w:t>
      </w:r>
      <w:r w:rsidRPr="00AB1F22">
        <w:rPr>
          <w:lang w:val="fr-FR"/>
        </w:rPr>
        <w:t>issue de cet examen, le Conseil des services d</w:t>
      </w:r>
      <w:r w:rsidR="004F1DFB">
        <w:rPr>
          <w:lang w:val="fr-FR"/>
        </w:rPr>
        <w:t>’</w:t>
      </w:r>
      <w:r w:rsidRPr="00AB1F22">
        <w:rPr>
          <w:lang w:val="fr-FR"/>
        </w:rPr>
        <w:t>aide juridictionnelle a estimé qu</w:t>
      </w:r>
      <w:r w:rsidR="004F1DFB">
        <w:rPr>
          <w:lang w:val="fr-FR"/>
        </w:rPr>
        <w:t>’</w:t>
      </w:r>
      <w:r w:rsidRPr="00AB1F22">
        <w:rPr>
          <w:lang w:val="fr-FR"/>
        </w:rPr>
        <w:t>il n</w:t>
      </w:r>
      <w:r w:rsidR="004F1DFB">
        <w:rPr>
          <w:lang w:val="fr-FR"/>
        </w:rPr>
        <w:t>’</w:t>
      </w:r>
      <w:r w:rsidRPr="00AB1F22">
        <w:rPr>
          <w:lang w:val="fr-FR"/>
        </w:rPr>
        <w:t>y avait pas de besoin immédiat d</w:t>
      </w:r>
      <w:r w:rsidR="004F1DFB">
        <w:rPr>
          <w:lang w:val="fr-FR"/>
        </w:rPr>
        <w:t>’</w:t>
      </w:r>
      <w:r w:rsidRPr="00AB1F22">
        <w:rPr>
          <w:lang w:val="fr-FR"/>
        </w:rPr>
        <w:t>établir une autorité indépendante chargée de l</w:t>
      </w:r>
      <w:r w:rsidR="004F1DFB">
        <w:rPr>
          <w:lang w:val="fr-FR"/>
        </w:rPr>
        <w:t>’</w:t>
      </w:r>
      <w:r w:rsidRPr="00AB1F22">
        <w:rPr>
          <w:lang w:val="fr-FR"/>
        </w:rPr>
        <w:t>aide juridictionnelle, tout en admettant qu</w:t>
      </w:r>
      <w:r w:rsidR="004F1DFB">
        <w:rPr>
          <w:lang w:val="fr-FR"/>
        </w:rPr>
        <w:t>’</w:t>
      </w:r>
      <w:r w:rsidRPr="00AB1F22">
        <w:rPr>
          <w:lang w:val="fr-FR"/>
        </w:rPr>
        <w:t>il s</w:t>
      </w:r>
      <w:r>
        <w:rPr>
          <w:lang w:val="fr-FR"/>
        </w:rPr>
        <w:t>o</w:t>
      </w:r>
      <w:r w:rsidRPr="00AB1F22">
        <w:rPr>
          <w:lang w:val="fr-FR"/>
        </w:rPr>
        <w:t>it utile de réexaminer périodiquement la question de l</w:t>
      </w:r>
      <w:r w:rsidR="004F1DFB">
        <w:rPr>
          <w:lang w:val="fr-FR"/>
        </w:rPr>
        <w:t>’</w:t>
      </w:r>
      <w:r w:rsidRPr="00AB1F22">
        <w:rPr>
          <w:lang w:val="fr-FR"/>
        </w:rPr>
        <w:t xml:space="preserve">indépendance. </w:t>
      </w:r>
      <w:r>
        <w:rPr>
          <w:lang w:val="fr-FR"/>
        </w:rPr>
        <w:t>Davantage de détails figurent à</w:t>
      </w:r>
      <w:r w:rsidRPr="00AB1F22">
        <w:rPr>
          <w:lang w:val="fr-FR"/>
        </w:rPr>
        <w:t xml:space="preserve"> l</w:t>
      </w:r>
      <w:r w:rsidR="004F1DFB">
        <w:rPr>
          <w:lang w:val="fr-FR"/>
        </w:rPr>
        <w:t>’</w:t>
      </w:r>
      <w:r w:rsidRPr="00AB1F22">
        <w:rPr>
          <w:lang w:val="fr-FR"/>
        </w:rPr>
        <w:t>annexe</w:t>
      </w:r>
      <w:r>
        <w:rPr>
          <w:lang w:val="fr-FR"/>
        </w:rPr>
        <w:t> </w:t>
      </w:r>
      <w:r w:rsidRPr="00AB1F22">
        <w:rPr>
          <w:lang w:val="fr-FR"/>
        </w:rPr>
        <w:t xml:space="preserve">14A pour plus de détails.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Représentation légale des enfants</w:t>
      </w:r>
      <w:r w:rsidRPr="00AB1F22">
        <w:rPr>
          <w:lang w:val="fr-FR"/>
        </w:rPr>
        <w:t xml:space="preserve"> </w:t>
      </w:r>
      <w:bookmarkStart w:id="45" w:name="_Toc31721434"/>
      <w:bookmarkEnd w:id="45"/>
    </w:p>
    <w:p w:rsidR="0024529D" w:rsidRPr="00AB1F22" w:rsidRDefault="0024529D" w:rsidP="0024529D">
      <w:pPr>
        <w:pStyle w:val="SingleTxtG"/>
        <w:rPr>
          <w:lang w:val="fr-FR"/>
        </w:rPr>
      </w:pPr>
      <w:r w:rsidRPr="00AB1F22">
        <w:rPr>
          <w:lang w:val="fr-FR"/>
        </w:rPr>
        <w:t>94.</w:t>
      </w:r>
      <w:r w:rsidRPr="00AB1F22">
        <w:rPr>
          <w:lang w:val="fr-FR"/>
        </w:rPr>
        <w:tab/>
        <w:t>La situation reste pour l</w:t>
      </w:r>
      <w:r w:rsidR="004F1DFB">
        <w:rPr>
          <w:lang w:val="fr-FR"/>
        </w:rPr>
        <w:t>’</w:t>
      </w:r>
      <w:r w:rsidRPr="00AB1F22">
        <w:rPr>
          <w:lang w:val="fr-FR"/>
        </w:rPr>
        <w:t>essentiel telle qu</w:t>
      </w:r>
      <w:r w:rsidR="004F1DFB">
        <w:rPr>
          <w:lang w:val="fr-FR"/>
        </w:rPr>
        <w:t>’</w:t>
      </w:r>
      <w:r w:rsidRPr="00AB1F22">
        <w:rPr>
          <w:lang w:val="fr-FR"/>
        </w:rPr>
        <w:t>expliquée aux paragraphes</w:t>
      </w:r>
      <w:r>
        <w:rPr>
          <w:lang w:val="fr-FR"/>
        </w:rPr>
        <w:t> </w:t>
      </w:r>
      <w:r w:rsidRPr="00AB1F22">
        <w:rPr>
          <w:lang w:val="fr-FR"/>
        </w:rPr>
        <w:t>177 et</w:t>
      </w:r>
      <w:r w:rsidR="003F79A2">
        <w:rPr>
          <w:lang w:val="fr-FR"/>
        </w:rPr>
        <w:t> </w:t>
      </w:r>
      <w:r w:rsidRPr="00AB1F22">
        <w:rPr>
          <w:lang w:val="fr-FR"/>
        </w:rPr>
        <w:t>178 du rapport précédent.</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Liaison télévisuelle directe pour les victimes d</w:t>
      </w:r>
      <w:r w:rsidR="004F1DFB">
        <w:rPr>
          <w:bCs/>
          <w:lang w:val="fr-FR"/>
        </w:rPr>
        <w:t>’</w:t>
      </w:r>
      <w:r w:rsidRPr="00AB1F22">
        <w:rPr>
          <w:bCs/>
          <w:lang w:val="fr-FR"/>
        </w:rPr>
        <w:t>infractions sexuelles préc</w:t>
      </w:r>
      <w:r w:rsidR="006E4945">
        <w:rPr>
          <w:bCs/>
          <w:lang w:val="fr-FR"/>
        </w:rPr>
        <w:t>i</w:t>
      </w:r>
      <w:r w:rsidRPr="00AB1F22">
        <w:rPr>
          <w:bCs/>
          <w:lang w:val="fr-FR"/>
        </w:rPr>
        <w:t>ses</w:t>
      </w:r>
      <w:r w:rsidRPr="00AB1F22">
        <w:rPr>
          <w:lang w:val="fr-FR"/>
        </w:rPr>
        <w:t xml:space="preserve"> </w:t>
      </w:r>
      <w:bookmarkStart w:id="46" w:name="_Toc31721435"/>
      <w:bookmarkEnd w:id="46"/>
    </w:p>
    <w:p w:rsidR="0024529D" w:rsidRPr="00AB1F22" w:rsidRDefault="0024529D" w:rsidP="0024529D">
      <w:pPr>
        <w:pStyle w:val="SingleTxtG"/>
        <w:rPr>
          <w:lang w:val="fr-FR"/>
        </w:rPr>
      </w:pPr>
      <w:r w:rsidRPr="00AB1F22">
        <w:rPr>
          <w:lang w:val="fr-FR"/>
        </w:rPr>
        <w:t>95.</w:t>
      </w:r>
      <w:r w:rsidRPr="00AB1F22">
        <w:rPr>
          <w:lang w:val="fr-FR"/>
        </w:rPr>
        <w:tab/>
        <w:t>Dans le cadre d</w:t>
      </w:r>
      <w:r w:rsidR="004F1DFB">
        <w:rPr>
          <w:lang w:val="fr-FR"/>
        </w:rPr>
        <w:t>’</w:t>
      </w:r>
      <w:r w:rsidRPr="00AB1F22">
        <w:rPr>
          <w:lang w:val="fr-FR"/>
        </w:rPr>
        <w:t>une procédure pénale et dans certaines circonstances, un tribunal peut, de sa propre initiative ou sur demande, autoriser certaines personnes, y compris un enfant, une personne souffrant de maladie mentale ou un témoin qui a peur, à témoigner par liaison télévisuelle directe. En juin 2017, le Gouvernement a soumis au Conseil législatif un projet de loi visant à permettre au tribunal d</w:t>
      </w:r>
      <w:r w:rsidR="004F1DFB">
        <w:rPr>
          <w:lang w:val="fr-FR"/>
        </w:rPr>
        <w:t>’</w:t>
      </w:r>
      <w:r w:rsidRPr="00AB1F22">
        <w:rPr>
          <w:lang w:val="fr-FR"/>
        </w:rPr>
        <w:t>autoriser les victimes de certaines infractions sexuelles à témoigner par liaison télévisuelle directe, afin de leur éviter toute gêne ou tout supplice du fait d</w:t>
      </w:r>
      <w:r w:rsidR="004F1DFB">
        <w:rPr>
          <w:lang w:val="fr-FR"/>
        </w:rPr>
        <w:t>’</w:t>
      </w:r>
      <w:r w:rsidRPr="00AB1F22">
        <w:rPr>
          <w:lang w:val="fr-FR"/>
        </w:rPr>
        <w:t xml:space="preserve">être exposées à la vue du public, tout traitement indigne, et toute anxiété due à la confrontation avec les agresseurs pendant le procès.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Conséquences du pouvoir d</w:t>
      </w:r>
      <w:r w:rsidR="004F1DFB">
        <w:rPr>
          <w:bCs/>
          <w:lang w:val="fr-FR"/>
        </w:rPr>
        <w:t>’</w:t>
      </w:r>
      <w:r w:rsidRPr="00AB1F22">
        <w:rPr>
          <w:bCs/>
          <w:lang w:val="fr-FR"/>
        </w:rPr>
        <w:t>interprétation de la Loi fondamentale dont est investi le</w:t>
      </w:r>
      <w:r w:rsidR="003F79A2">
        <w:rPr>
          <w:bCs/>
          <w:lang w:val="fr-FR"/>
        </w:rPr>
        <w:t> </w:t>
      </w:r>
      <w:r w:rsidRPr="00AB1F22">
        <w:rPr>
          <w:bCs/>
          <w:lang w:val="fr-FR"/>
        </w:rPr>
        <w:t>Comité permanent de l</w:t>
      </w:r>
      <w:r w:rsidR="004F1DFB">
        <w:rPr>
          <w:bCs/>
          <w:lang w:val="fr-FR"/>
        </w:rPr>
        <w:t>’</w:t>
      </w:r>
      <w:r w:rsidRPr="00AB1F22">
        <w:rPr>
          <w:bCs/>
          <w:lang w:val="fr-FR"/>
        </w:rPr>
        <w:t>Assemblée nationale populaire sur l</w:t>
      </w:r>
      <w:r w:rsidR="004F1DFB">
        <w:rPr>
          <w:bCs/>
          <w:lang w:val="fr-FR"/>
        </w:rPr>
        <w:t>’</w:t>
      </w:r>
      <w:r w:rsidRPr="00AB1F22">
        <w:rPr>
          <w:bCs/>
          <w:lang w:val="fr-FR"/>
        </w:rPr>
        <w:t>état de droit et l</w:t>
      </w:r>
      <w:r w:rsidR="004F1DFB">
        <w:rPr>
          <w:bCs/>
          <w:lang w:val="fr-FR"/>
        </w:rPr>
        <w:t>’</w:t>
      </w:r>
      <w:r w:rsidRPr="00AB1F22">
        <w:rPr>
          <w:bCs/>
          <w:lang w:val="fr-FR"/>
        </w:rPr>
        <w:t>indépendance de l</w:t>
      </w:r>
      <w:r w:rsidR="004F1DFB">
        <w:rPr>
          <w:bCs/>
          <w:lang w:val="fr-FR"/>
        </w:rPr>
        <w:t>’</w:t>
      </w:r>
      <w:r w:rsidRPr="00AB1F22">
        <w:rPr>
          <w:bCs/>
          <w:lang w:val="fr-FR"/>
        </w:rPr>
        <w:t>appareil judiciaire dans la RAS de Hong Kong</w:t>
      </w:r>
      <w:r w:rsidRPr="00AB1F22">
        <w:rPr>
          <w:lang w:val="fr-FR"/>
        </w:rPr>
        <w:t xml:space="preserve"> </w:t>
      </w:r>
      <w:bookmarkStart w:id="47" w:name="_Toc31721436"/>
      <w:bookmarkEnd w:id="47"/>
    </w:p>
    <w:p w:rsidR="0024529D" w:rsidRPr="00AB1F22" w:rsidRDefault="0024529D" w:rsidP="0024529D">
      <w:pPr>
        <w:pStyle w:val="SingleTxtG"/>
        <w:rPr>
          <w:lang w:val="fr-FR"/>
        </w:rPr>
      </w:pPr>
      <w:r w:rsidRPr="00AB1F22">
        <w:rPr>
          <w:lang w:val="fr-FR"/>
        </w:rPr>
        <w:t>96.</w:t>
      </w:r>
      <w:r w:rsidRPr="00AB1F22">
        <w:rPr>
          <w:lang w:val="fr-FR"/>
        </w:rPr>
        <w:tab/>
        <w:t>Au paragraphe 5 des précédentes observations finales, le Comité a dit craindre que les interprétations de la Loi fondamentale par le Comité permanent de l</w:t>
      </w:r>
      <w:r w:rsidR="004F1DFB">
        <w:rPr>
          <w:lang w:val="fr-FR"/>
        </w:rPr>
        <w:t>’</w:t>
      </w:r>
      <w:r w:rsidRPr="00AB1F22">
        <w:rPr>
          <w:lang w:val="fr-FR"/>
        </w:rPr>
        <w:t>Assemblée nationale populaire n</w:t>
      </w:r>
      <w:r w:rsidR="004F1DFB">
        <w:rPr>
          <w:lang w:val="fr-FR"/>
        </w:rPr>
        <w:t>’</w:t>
      </w:r>
      <w:r w:rsidRPr="00AB1F22">
        <w:rPr>
          <w:lang w:val="fr-FR"/>
        </w:rPr>
        <w:t>affaiblissent et ne compromettent l</w:t>
      </w:r>
      <w:r w:rsidR="004F1DFB">
        <w:rPr>
          <w:lang w:val="fr-FR"/>
        </w:rPr>
        <w:t>’</w:t>
      </w:r>
      <w:r w:rsidRPr="00AB1F22">
        <w:rPr>
          <w:lang w:val="fr-FR"/>
        </w:rPr>
        <w:t>état de droit et l</w:t>
      </w:r>
      <w:r w:rsidR="004F1DFB">
        <w:rPr>
          <w:lang w:val="fr-FR"/>
        </w:rPr>
        <w:t>’</w:t>
      </w:r>
      <w:r w:rsidRPr="00AB1F22">
        <w:rPr>
          <w:lang w:val="fr-FR"/>
        </w:rPr>
        <w:t>indépendance de l</w:t>
      </w:r>
      <w:r w:rsidR="004F1DFB">
        <w:rPr>
          <w:lang w:val="fr-FR"/>
        </w:rPr>
        <w:t>’</w:t>
      </w:r>
      <w:r w:rsidRPr="00AB1F22">
        <w:rPr>
          <w:lang w:val="fr-FR"/>
        </w:rPr>
        <w:t>appareil judiciaire. Depuis le rapport précédent, le Comité permanent de l</w:t>
      </w:r>
      <w:r w:rsidR="004F1DFB">
        <w:rPr>
          <w:lang w:val="fr-FR"/>
        </w:rPr>
        <w:t>’</w:t>
      </w:r>
      <w:r w:rsidRPr="00AB1F22">
        <w:rPr>
          <w:lang w:val="fr-FR"/>
        </w:rPr>
        <w:t>Assemblée n</w:t>
      </w:r>
      <w:r>
        <w:rPr>
          <w:lang w:val="fr-FR"/>
        </w:rPr>
        <w:t>ationale populaire a donné deux </w:t>
      </w:r>
      <w:r w:rsidRPr="00AB1F22">
        <w:rPr>
          <w:lang w:val="fr-FR"/>
        </w:rPr>
        <w:t xml:space="preserve">interprétations de la Loi fondamentale. </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Interprétation des articles</w:t>
      </w:r>
      <w:r>
        <w:rPr>
          <w:iCs/>
          <w:lang w:val="fr-FR"/>
        </w:rPr>
        <w:t> </w:t>
      </w:r>
      <w:r w:rsidRPr="00AB1F22">
        <w:rPr>
          <w:iCs/>
          <w:lang w:val="fr-FR"/>
        </w:rPr>
        <w:t>13, paragraphe</w:t>
      </w:r>
      <w:r>
        <w:rPr>
          <w:iCs/>
          <w:lang w:val="fr-FR"/>
        </w:rPr>
        <w:t> </w:t>
      </w:r>
      <w:r w:rsidRPr="00AB1F22">
        <w:rPr>
          <w:iCs/>
          <w:lang w:val="fr-FR"/>
        </w:rPr>
        <w:t>1, et 19 de la Loi fondamentale en 2011</w:t>
      </w:r>
      <w:r w:rsidRPr="00AB1F22">
        <w:rPr>
          <w:lang w:val="fr-FR"/>
        </w:rPr>
        <w:t xml:space="preserve"> </w:t>
      </w:r>
    </w:p>
    <w:p w:rsidR="0024529D" w:rsidRPr="00AB1F22" w:rsidRDefault="0024529D" w:rsidP="0024529D">
      <w:pPr>
        <w:pStyle w:val="SingleTxtG"/>
        <w:rPr>
          <w:lang w:val="fr-FR"/>
        </w:rPr>
      </w:pPr>
      <w:r w:rsidRPr="00AB1F22">
        <w:rPr>
          <w:lang w:val="fr-FR"/>
        </w:rPr>
        <w:t>97.</w:t>
      </w:r>
      <w:r w:rsidRPr="00AB1F22">
        <w:rPr>
          <w:lang w:val="fr-FR"/>
        </w:rPr>
        <w:tab/>
        <w:t>La première interprétation donnée par le Comité permanent de l</w:t>
      </w:r>
      <w:r w:rsidR="004F1DFB">
        <w:rPr>
          <w:lang w:val="fr-FR"/>
        </w:rPr>
        <w:t>’</w:t>
      </w:r>
      <w:r w:rsidRPr="00AB1F22">
        <w:rPr>
          <w:lang w:val="fr-FR"/>
        </w:rPr>
        <w:t>Assemblée nationale populaire concerne l</w:t>
      </w:r>
      <w:r w:rsidR="004F1DFB">
        <w:rPr>
          <w:lang w:val="fr-FR"/>
        </w:rPr>
        <w:t>’</w:t>
      </w:r>
      <w:r w:rsidRPr="00AB1F22">
        <w:rPr>
          <w:lang w:val="fr-FR"/>
        </w:rPr>
        <w:t>affaire</w:t>
      </w:r>
      <w:r>
        <w:rPr>
          <w:lang w:val="fr-FR"/>
        </w:rPr>
        <w:t> </w:t>
      </w:r>
      <w:r w:rsidRPr="00AB1F22">
        <w:rPr>
          <w:i/>
          <w:iCs/>
          <w:lang w:val="fr-FR"/>
        </w:rPr>
        <w:t>République démocratique du Congo c.</w:t>
      </w:r>
      <w:r w:rsidR="004F1DFB">
        <w:rPr>
          <w:i/>
          <w:iCs/>
          <w:lang w:val="fr-FR"/>
        </w:rPr>
        <w:t> </w:t>
      </w:r>
      <w:r w:rsidRPr="00AB1F22">
        <w:rPr>
          <w:i/>
          <w:iCs/>
          <w:lang w:val="fr-FR"/>
        </w:rPr>
        <w:t>FG Hemisphere Associates LLC</w:t>
      </w:r>
      <w:r w:rsidRPr="00AB1F22">
        <w:rPr>
          <w:lang w:val="fr-FR"/>
        </w:rPr>
        <w:t xml:space="preserve"> (2011, 14 HKCFAR 95) relative à la nature et la portée de l</w:t>
      </w:r>
      <w:r w:rsidR="004F1DFB">
        <w:rPr>
          <w:lang w:val="fr-FR"/>
        </w:rPr>
        <w:t>’</w:t>
      </w:r>
      <w:r w:rsidRPr="00AB1F22">
        <w:rPr>
          <w:lang w:val="fr-FR"/>
        </w:rPr>
        <w:t>immunité des États qui s</w:t>
      </w:r>
      <w:r w:rsidR="004F1DFB">
        <w:rPr>
          <w:lang w:val="fr-FR"/>
        </w:rPr>
        <w:t>’</w:t>
      </w:r>
      <w:r w:rsidRPr="00AB1F22">
        <w:rPr>
          <w:lang w:val="fr-FR"/>
        </w:rPr>
        <w:t>applique aux États étrangers poursuivis dans la RAS de Hong</w:t>
      </w:r>
      <w:r>
        <w:rPr>
          <w:lang w:val="fr-FR"/>
        </w:rPr>
        <w:t> </w:t>
      </w:r>
      <w:r w:rsidRPr="00AB1F22">
        <w:rPr>
          <w:lang w:val="fr-FR"/>
        </w:rPr>
        <w:t>Kong. Le paragraphe 2 de l</w:t>
      </w:r>
      <w:r w:rsidR="004F1DFB">
        <w:rPr>
          <w:lang w:val="fr-FR"/>
        </w:rPr>
        <w:t>’</w:t>
      </w:r>
      <w:r w:rsidRPr="00AB1F22">
        <w:rPr>
          <w:lang w:val="fr-FR"/>
        </w:rPr>
        <w:t>article 158 de la Loi fondamentale prévoit que, lorsqu</w:t>
      </w:r>
      <w:r w:rsidR="004F1DFB">
        <w:rPr>
          <w:lang w:val="fr-FR"/>
        </w:rPr>
        <w:t>’</w:t>
      </w:r>
      <w:r w:rsidRPr="00AB1F22">
        <w:rPr>
          <w:lang w:val="fr-FR"/>
        </w:rPr>
        <w:t xml:space="preserve">ils statuent sur des affaires, </w:t>
      </w:r>
      <w:r>
        <w:rPr>
          <w:lang w:val="fr-FR"/>
        </w:rPr>
        <w:t>les tribunaux de la RAS de Hong </w:t>
      </w:r>
      <w:r w:rsidRPr="00AB1F22">
        <w:rPr>
          <w:lang w:val="fr-FR"/>
        </w:rPr>
        <w:t>Kong peuvent interpréter eux</w:t>
      </w:r>
      <w:r>
        <w:rPr>
          <w:lang w:val="fr-FR"/>
        </w:rPr>
        <w:noBreakHyphen/>
      </w:r>
      <w:r w:rsidRPr="00AB1F22">
        <w:rPr>
          <w:lang w:val="fr-FR"/>
        </w:rPr>
        <w:t>mêmes les dispositions de la Loi fondamentale qui se situent dans les limites de l</w:t>
      </w:r>
      <w:r w:rsidR="004F1DFB">
        <w:rPr>
          <w:lang w:val="fr-FR"/>
        </w:rPr>
        <w:t>’</w:t>
      </w:r>
      <w:r w:rsidRPr="00AB1F22">
        <w:rPr>
          <w:lang w:val="fr-FR"/>
        </w:rPr>
        <w:t>autonomie de la Région. Le paragraphe 3 de l</w:t>
      </w:r>
      <w:r w:rsidR="004F1DFB">
        <w:rPr>
          <w:lang w:val="fr-FR"/>
        </w:rPr>
        <w:t>’</w:t>
      </w:r>
      <w:r w:rsidRPr="00AB1F22">
        <w:rPr>
          <w:lang w:val="fr-FR"/>
        </w:rPr>
        <w:t>article 158 prévoit en outre que, si pour statuer sur des affaires, les tribunaux de la Région doivent interpréter les dispositions de la Loi fondamentale concernant les affaires qui relèvent de la responsabilité du Gouvernement populaire central, ou concernant les relations entre les autorités centrales et la Région, et si cette interprétation retentit sur les jugements rendus, ils doivent, avant de rendre leurs jugements définitifs non susceptibles d</w:t>
      </w:r>
      <w:r w:rsidR="004F1DFB">
        <w:rPr>
          <w:lang w:val="fr-FR"/>
        </w:rPr>
        <w:t>’</w:t>
      </w:r>
      <w:r w:rsidRPr="00AB1F22">
        <w:rPr>
          <w:lang w:val="fr-FR"/>
        </w:rPr>
        <w:t>appel, demander au Comité permanent de l</w:t>
      </w:r>
      <w:r w:rsidR="004F1DFB">
        <w:rPr>
          <w:lang w:val="fr-FR"/>
        </w:rPr>
        <w:t>’</w:t>
      </w:r>
      <w:r w:rsidRPr="00AB1F22">
        <w:rPr>
          <w:lang w:val="fr-FR"/>
        </w:rPr>
        <w:t>Assemblée nationale populaire, par l</w:t>
      </w:r>
      <w:r w:rsidR="004F1DFB">
        <w:rPr>
          <w:lang w:val="fr-FR"/>
        </w:rPr>
        <w:t>’</w:t>
      </w:r>
      <w:r w:rsidRPr="00AB1F22">
        <w:rPr>
          <w:lang w:val="fr-FR"/>
        </w:rPr>
        <w:t>intermédiaire de la Cour de dernier ressort, d</w:t>
      </w:r>
      <w:r w:rsidR="004F1DFB">
        <w:rPr>
          <w:lang w:val="fr-FR"/>
        </w:rPr>
        <w:t>’</w:t>
      </w:r>
      <w:r w:rsidRPr="00AB1F22">
        <w:rPr>
          <w:lang w:val="fr-FR"/>
        </w:rPr>
        <w:t>interpréter les dispositions en question. Dans les cas relevant du paragraphe 3 de l</w:t>
      </w:r>
      <w:r w:rsidR="004F1DFB">
        <w:rPr>
          <w:lang w:val="fr-FR"/>
        </w:rPr>
        <w:t>’</w:t>
      </w:r>
      <w:r w:rsidRPr="00AB1F22">
        <w:rPr>
          <w:lang w:val="fr-FR"/>
        </w:rPr>
        <w:t>article 158, la Cour de dernier ressort est tenue de demander une interprétation au Comité permanent de l</w:t>
      </w:r>
      <w:r w:rsidR="004F1DFB">
        <w:rPr>
          <w:lang w:val="fr-FR"/>
        </w:rPr>
        <w:t>’</w:t>
      </w:r>
      <w:r w:rsidRPr="00AB1F22">
        <w:rPr>
          <w:lang w:val="fr-FR"/>
        </w:rPr>
        <w:t xml:space="preserve">Assemblée nationale populaire. </w:t>
      </w:r>
    </w:p>
    <w:p w:rsidR="0024529D" w:rsidRPr="00AB1F22" w:rsidRDefault="0024529D" w:rsidP="0024529D">
      <w:pPr>
        <w:pStyle w:val="SingleTxtG"/>
        <w:rPr>
          <w:lang w:val="fr-FR"/>
        </w:rPr>
      </w:pPr>
      <w:r w:rsidRPr="00AB1F22">
        <w:rPr>
          <w:lang w:val="fr-FR"/>
        </w:rPr>
        <w:t>98.</w:t>
      </w:r>
      <w:r w:rsidRPr="00AB1F22">
        <w:rPr>
          <w:lang w:val="fr-FR"/>
        </w:rPr>
        <w:tab/>
        <w:t>Sur demande de la Cour de dernier ressort dans l</w:t>
      </w:r>
      <w:r w:rsidR="004F1DFB">
        <w:rPr>
          <w:lang w:val="fr-FR"/>
        </w:rPr>
        <w:t>’</w:t>
      </w:r>
      <w:r w:rsidRPr="00AB1F22">
        <w:rPr>
          <w:lang w:val="fr-FR"/>
        </w:rPr>
        <w:t>affaire</w:t>
      </w:r>
      <w:r>
        <w:rPr>
          <w:lang w:val="fr-FR"/>
        </w:rPr>
        <w:t> </w:t>
      </w:r>
      <w:r w:rsidRPr="00AB1F22">
        <w:rPr>
          <w:i/>
          <w:iCs/>
          <w:lang w:val="fr-FR"/>
        </w:rPr>
        <w:t>République démocratique du Congo</w:t>
      </w:r>
      <w:r w:rsidRPr="00AB1F22">
        <w:rPr>
          <w:lang w:val="fr-FR"/>
        </w:rPr>
        <w:t>, le Comité permanent de l</w:t>
      </w:r>
      <w:r w:rsidR="004F1DFB">
        <w:rPr>
          <w:lang w:val="fr-FR"/>
        </w:rPr>
        <w:t>’</w:t>
      </w:r>
      <w:r w:rsidRPr="00AB1F22">
        <w:rPr>
          <w:lang w:val="fr-FR"/>
        </w:rPr>
        <w:t>Assemblée nationale populaire a publié une interprétation des articles</w:t>
      </w:r>
      <w:r>
        <w:rPr>
          <w:lang w:val="fr-FR"/>
        </w:rPr>
        <w:t> </w:t>
      </w:r>
      <w:r w:rsidRPr="00AB1F22">
        <w:rPr>
          <w:lang w:val="fr-FR"/>
        </w:rPr>
        <w:t>13, paragraphe 1</w:t>
      </w:r>
      <w:r w:rsidRPr="008A2C7C">
        <w:rPr>
          <w:rStyle w:val="Appelnotedebasdep"/>
        </w:rPr>
        <w:footnoteReference w:id="11"/>
      </w:r>
      <w:r w:rsidRPr="00AB1F22">
        <w:rPr>
          <w:lang w:val="fr-FR"/>
        </w:rPr>
        <w:t xml:space="preserve"> et 19</w:t>
      </w:r>
      <w:r w:rsidRPr="008A2C7C">
        <w:rPr>
          <w:rStyle w:val="Appelnotedebasdep"/>
        </w:rPr>
        <w:footnoteReference w:id="12"/>
      </w:r>
      <w:r w:rsidRPr="00AB1F22">
        <w:rPr>
          <w:lang w:val="fr-FR"/>
        </w:rPr>
        <w:t xml:space="preserve"> de la Loi fondamentale en août 2011. Dans cette interprétation, le Comité permanent de l</w:t>
      </w:r>
      <w:r w:rsidR="004F1DFB">
        <w:rPr>
          <w:lang w:val="fr-FR"/>
        </w:rPr>
        <w:t>’</w:t>
      </w:r>
      <w:r w:rsidRPr="00AB1F22">
        <w:rPr>
          <w:lang w:val="fr-FR"/>
        </w:rPr>
        <w:t>Assemblée nationale populaire a clarifié l</w:t>
      </w:r>
      <w:r w:rsidR="004F1DFB">
        <w:rPr>
          <w:lang w:val="fr-FR"/>
        </w:rPr>
        <w:t>’</w:t>
      </w:r>
      <w:r w:rsidRPr="00AB1F22">
        <w:rPr>
          <w:lang w:val="fr-FR"/>
        </w:rPr>
        <w:t>application de la doctrine de l</w:t>
      </w:r>
      <w:r w:rsidR="004F1DFB">
        <w:rPr>
          <w:lang w:val="fr-FR"/>
        </w:rPr>
        <w:t>’</w:t>
      </w:r>
      <w:r w:rsidRPr="00AB1F22">
        <w:rPr>
          <w:lang w:val="fr-FR"/>
        </w:rPr>
        <w:t>immunité des États dans la RAS de Hong</w:t>
      </w:r>
      <w:r>
        <w:rPr>
          <w:lang w:val="fr-FR"/>
        </w:rPr>
        <w:t> </w:t>
      </w:r>
      <w:r w:rsidRPr="00AB1F22">
        <w:rPr>
          <w:lang w:val="fr-FR"/>
        </w:rPr>
        <w:t>Kong, indiquant que la définition des règles ou des politiques relatives à l</w:t>
      </w:r>
      <w:r w:rsidR="004F1DFB">
        <w:rPr>
          <w:lang w:val="fr-FR"/>
        </w:rPr>
        <w:t>’</w:t>
      </w:r>
      <w:r w:rsidRPr="00AB1F22">
        <w:rPr>
          <w:lang w:val="fr-FR"/>
        </w:rPr>
        <w:t>immunité des États était un acte de souveraineté ayant trait aux affaires étrangères, et que les lois précédemment en vigueur à Hong</w:t>
      </w:r>
      <w:r>
        <w:rPr>
          <w:lang w:val="fr-FR"/>
        </w:rPr>
        <w:t> </w:t>
      </w:r>
      <w:r w:rsidRPr="00AB1F22">
        <w:rPr>
          <w:lang w:val="fr-FR"/>
        </w:rPr>
        <w:t>Kong concernant les règles relatives à l</w:t>
      </w:r>
      <w:r w:rsidR="004F1DFB">
        <w:rPr>
          <w:lang w:val="fr-FR"/>
        </w:rPr>
        <w:t>’</w:t>
      </w:r>
      <w:r w:rsidRPr="00AB1F22">
        <w:rPr>
          <w:lang w:val="fr-FR"/>
        </w:rPr>
        <w:t>immunité des États pouvaient continuer à être appliquées après le 1</w:t>
      </w:r>
      <w:r w:rsidRPr="00AB1F22">
        <w:rPr>
          <w:vertAlign w:val="superscript"/>
          <w:lang w:val="fr-FR"/>
        </w:rPr>
        <w:t>er</w:t>
      </w:r>
      <w:r w:rsidRPr="00AB1F22">
        <w:rPr>
          <w:lang w:val="fr-FR"/>
        </w:rPr>
        <w:t> juillet 1997, sous réserve des modifications, adaptations, limitations ou exceptions nécessaires pour les rendre compatibles avec les règles ou les politiques relatives à l</w:t>
      </w:r>
      <w:r w:rsidR="004F1DFB">
        <w:rPr>
          <w:lang w:val="fr-FR"/>
        </w:rPr>
        <w:t>’</w:t>
      </w:r>
      <w:r w:rsidRPr="00AB1F22">
        <w:rPr>
          <w:lang w:val="fr-FR"/>
        </w:rPr>
        <w:t xml:space="preserve">immunité des États </w:t>
      </w:r>
      <w:r>
        <w:rPr>
          <w:lang w:val="fr-FR"/>
        </w:rPr>
        <w:t>définies par</w:t>
      </w:r>
      <w:r w:rsidRPr="00AB1F22">
        <w:rPr>
          <w:lang w:val="fr-FR"/>
        </w:rPr>
        <w:t xml:space="preserve"> le Gouvernement populaire central. </w:t>
      </w:r>
    </w:p>
    <w:p w:rsidR="0024529D" w:rsidRPr="00AB1F22" w:rsidRDefault="0024529D" w:rsidP="0024529D">
      <w:pPr>
        <w:pStyle w:val="SingleTxtG"/>
        <w:rPr>
          <w:lang w:val="fr-FR"/>
        </w:rPr>
      </w:pPr>
      <w:r w:rsidRPr="00AB1F22">
        <w:rPr>
          <w:lang w:val="fr-FR"/>
        </w:rPr>
        <w:t>99.</w:t>
      </w:r>
      <w:r w:rsidRPr="00AB1F22">
        <w:rPr>
          <w:lang w:val="fr-FR"/>
        </w:rPr>
        <w:tab/>
        <w:t>L</w:t>
      </w:r>
      <w:r w:rsidR="004F1DFB">
        <w:rPr>
          <w:lang w:val="fr-FR"/>
        </w:rPr>
        <w:t>’</w:t>
      </w:r>
      <w:r w:rsidRPr="00AB1F22">
        <w:rPr>
          <w:lang w:val="fr-FR"/>
        </w:rPr>
        <w:t>interprétation du Comité permanent de l</w:t>
      </w:r>
      <w:r w:rsidR="004F1DFB">
        <w:rPr>
          <w:lang w:val="fr-FR"/>
        </w:rPr>
        <w:t>’</w:t>
      </w:r>
      <w:r w:rsidRPr="00AB1F22">
        <w:rPr>
          <w:lang w:val="fr-FR"/>
        </w:rPr>
        <w:t>Assemblée nationale populaire est conforme au jugement provisoire adopté par la majorité des juges de la Cour de dernier ressort dans cette affaire. La décision de saisir le Comité permanent de l</w:t>
      </w:r>
      <w:r w:rsidR="004F1DFB">
        <w:rPr>
          <w:lang w:val="fr-FR"/>
        </w:rPr>
        <w:t>’</w:t>
      </w:r>
      <w:r w:rsidRPr="00AB1F22">
        <w:rPr>
          <w:lang w:val="fr-FR"/>
        </w:rPr>
        <w:t>Assemblée nationale populaire d</w:t>
      </w:r>
      <w:r w:rsidR="004F1DFB">
        <w:rPr>
          <w:lang w:val="fr-FR"/>
        </w:rPr>
        <w:t>’</w:t>
      </w:r>
      <w:r w:rsidRPr="00AB1F22">
        <w:rPr>
          <w:lang w:val="fr-FR"/>
        </w:rPr>
        <w:t>une demande d</w:t>
      </w:r>
      <w:r w:rsidR="004F1DFB">
        <w:rPr>
          <w:lang w:val="fr-FR"/>
        </w:rPr>
        <w:t>’</w:t>
      </w:r>
      <w:r w:rsidRPr="00AB1F22">
        <w:rPr>
          <w:lang w:val="fr-FR"/>
        </w:rPr>
        <w:t>interprétation a été prise par la Cour de dernier ressort conformément à la loi. Alors que la RAS de Hong</w:t>
      </w:r>
      <w:r>
        <w:rPr>
          <w:lang w:val="fr-FR"/>
        </w:rPr>
        <w:t> </w:t>
      </w:r>
      <w:r w:rsidRPr="00AB1F22">
        <w:rPr>
          <w:lang w:val="fr-FR"/>
        </w:rPr>
        <w:t>Kong est dotée d</w:t>
      </w:r>
      <w:r w:rsidR="004F1DFB">
        <w:rPr>
          <w:lang w:val="fr-FR"/>
        </w:rPr>
        <w:t>’</w:t>
      </w:r>
      <w:r w:rsidRPr="00AB1F22">
        <w:rPr>
          <w:lang w:val="fr-FR"/>
        </w:rPr>
        <w:t>un pouvoir judiciaire indépendant et que les tribunaux ont compétence pour connaître de toutes les affaires, en application du paragraphe 3 de l</w:t>
      </w:r>
      <w:r w:rsidR="004F1DFB">
        <w:rPr>
          <w:lang w:val="fr-FR"/>
        </w:rPr>
        <w:t>’</w:t>
      </w:r>
      <w:r w:rsidRPr="00AB1F22">
        <w:rPr>
          <w:lang w:val="fr-FR"/>
        </w:rPr>
        <w:t>article 19 de la Loi fondamentale, les tribunaux de la RAS de Hong</w:t>
      </w:r>
      <w:r>
        <w:rPr>
          <w:lang w:val="fr-FR"/>
        </w:rPr>
        <w:t> </w:t>
      </w:r>
      <w:r w:rsidRPr="00AB1F22">
        <w:rPr>
          <w:lang w:val="fr-FR"/>
        </w:rPr>
        <w:t>Kong n</w:t>
      </w:r>
      <w:r w:rsidR="004F1DFB">
        <w:rPr>
          <w:lang w:val="fr-FR"/>
        </w:rPr>
        <w:t>’</w:t>
      </w:r>
      <w:r w:rsidRPr="00AB1F22">
        <w:rPr>
          <w:lang w:val="fr-FR"/>
        </w:rPr>
        <w:t>ont pas compétence pour connaître des actes de souveraineté comme ceux relatifs à la défense et aux affaires étrangères. La demande d</w:t>
      </w:r>
      <w:r w:rsidR="004F1DFB">
        <w:rPr>
          <w:lang w:val="fr-FR"/>
        </w:rPr>
        <w:t>’</w:t>
      </w:r>
      <w:r w:rsidRPr="00AB1F22">
        <w:rPr>
          <w:lang w:val="fr-FR"/>
        </w:rPr>
        <w:t>interprétation faite par la Cour de dernier ressort et l</w:t>
      </w:r>
      <w:r w:rsidR="004F1DFB">
        <w:rPr>
          <w:lang w:val="fr-FR"/>
        </w:rPr>
        <w:t>’</w:t>
      </w:r>
      <w:r w:rsidRPr="00AB1F22">
        <w:rPr>
          <w:lang w:val="fr-FR"/>
        </w:rPr>
        <w:t>interprétation donnée par le Comité permanent de l</w:t>
      </w:r>
      <w:r w:rsidR="004F1DFB">
        <w:rPr>
          <w:lang w:val="fr-FR"/>
        </w:rPr>
        <w:t>’</w:t>
      </w:r>
      <w:r w:rsidRPr="00AB1F22">
        <w:rPr>
          <w:lang w:val="fr-FR"/>
        </w:rPr>
        <w:t xml:space="preserve">Assemblée nationale populaire sont entièrement conformes au principe </w:t>
      </w:r>
      <w:r>
        <w:rPr>
          <w:lang w:val="fr-FR"/>
        </w:rPr>
        <w:t>« </w:t>
      </w:r>
      <w:r w:rsidRPr="00AB1F22">
        <w:rPr>
          <w:lang w:val="fr-FR"/>
        </w:rPr>
        <w:t>un pays, deux systèmes</w:t>
      </w:r>
      <w:r>
        <w:rPr>
          <w:lang w:val="fr-FR"/>
        </w:rPr>
        <w:t> »</w:t>
      </w:r>
      <w:r w:rsidRPr="00AB1F22">
        <w:rPr>
          <w:lang w:val="fr-FR"/>
        </w:rPr>
        <w:t xml:space="preserve"> et à l</w:t>
      </w:r>
      <w:r w:rsidR="004F1DFB">
        <w:rPr>
          <w:lang w:val="fr-FR"/>
        </w:rPr>
        <w:t>’</w:t>
      </w:r>
      <w:r w:rsidRPr="00AB1F22">
        <w:rPr>
          <w:lang w:val="fr-FR"/>
        </w:rPr>
        <w:t>indépendance de l</w:t>
      </w:r>
      <w:r w:rsidR="004F1DFB">
        <w:rPr>
          <w:lang w:val="fr-FR"/>
        </w:rPr>
        <w:t>’</w:t>
      </w:r>
      <w:r w:rsidRPr="00AB1F22">
        <w:rPr>
          <w:lang w:val="fr-FR"/>
        </w:rPr>
        <w:t xml:space="preserve">appareil judiciaire consacrés dans la Loi fondamentale. </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Interprétation de l</w:t>
      </w:r>
      <w:r w:rsidR="004F1DFB">
        <w:rPr>
          <w:iCs/>
          <w:lang w:val="fr-FR"/>
        </w:rPr>
        <w:t>’</w:t>
      </w:r>
      <w:r w:rsidRPr="00AB1F22">
        <w:rPr>
          <w:iCs/>
          <w:lang w:val="fr-FR"/>
        </w:rPr>
        <w:t>article 104 de la Loi fondamentale en 2016</w:t>
      </w:r>
      <w:r w:rsidRPr="00AB1F22">
        <w:rPr>
          <w:lang w:val="fr-FR"/>
        </w:rPr>
        <w:t xml:space="preserve"> </w:t>
      </w:r>
    </w:p>
    <w:p w:rsidR="0024529D" w:rsidRPr="00AB1F22" w:rsidRDefault="0024529D" w:rsidP="0024529D">
      <w:pPr>
        <w:pStyle w:val="SingleTxtG"/>
        <w:rPr>
          <w:lang w:val="fr-FR"/>
        </w:rPr>
      </w:pPr>
      <w:r w:rsidRPr="00AB1F22">
        <w:rPr>
          <w:lang w:val="fr-FR"/>
        </w:rPr>
        <w:t>100.</w:t>
      </w:r>
      <w:r w:rsidRPr="00AB1F22">
        <w:rPr>
          <w:lang w:val="fr-FR"/>
        </w:rPr>
        <w:tab/>
        <w:t>L</w:t>
      </w:r>
      <w:r w:rsidR="004F1DFB">
        <w:rPr>
          <w:lang w:val="fr-FR"/>
        </w:rPr>
        <w:t>’</w:t>
      </w:r>
      <w:r w:rsidRPr="00AB1F22">
        <w:rPr>
          <w:lang w:val="fr-FR"/>
        </w:rPr>
        <w:t>article</w:t>
      </w:r>
      <w:r>
        <w:rPr>
          <w:lang w:val="fr-FR"/>
        </w:rPr>
        <w:t> </w:t>
      </w:r>
      <w:r w:rsidRPr="00AB1F22">
        <w:rPr>
          <w:lang w:val="fr-FR"/>
        </w:rPr>
        <w:t>104 de la Loi fondamentale prévoit que, lors de leur entrée en fonction, le Chef de l</w:t>
      </w:r>
      <w:r w:rsidR="004F1DFB">
        <w:rPr>
          <w:lang w:val="fr-FR"/>
        </w:rPr>
        <w:t>’</w:t>
      </w:r>
      <w:r w:rsidRPr="00AB1F22">
        <w:rPr>
          <w:lang w:val="fr-FR"/>
        </w:rPr>
        <w:t>exécutif, les principaux fonctionnaires, les membres du Conseil exécutif et du Conseil législatif, les juges des tribunaux à tous les niveaux et les autres membres du pouvo</w:t>
      </w:r>
      <w:r>
        <w:rPr>
          <w:lang w:val="fr-FR"/>
        </w:rPr>
        <w:t>ir judiciaire de la RAS de Hong </w:t>
      </w:r>
      <w:r w:rsidRPr="00AB1F22">
        <w:rPr>
          <w:lang w:val="fr-FR"/>
        </w:rPr>
        <w:t>Kong doivent, conformément à la loi, jurer de respecter la Loi fondamentale et prêter allégeance à la RAS de Hong</w:t>
      </w:r>
      <w:r>
        <w:rPr>
          <w:lang w:val="fr-FR"/>
        </w:rPr>
        <w:t> </w:t>
      </w:r>
      <w:r w:rsidRPr="00AB1F22">
        <w:rPr>
          <w:lang w:val="fr-FR"/>
        </w:rPr>
        <w:t xml:space="preserve">Kong de la République populaire de Chine. </w:t>
      </w:r>
    </w:p>
    <w:p w:rsidR="0024529D" w:rsidRPr="00AB1F22" w:rsidRDefault="0024529D" w:rsidP="0024529D">
      <w:pPr>
        <w:pStyle w:val="SingleTxtG"/>
        <w:rPr>
          <w:lang w:val="fr-FR"/>
        </w:rPr>
      </w:pPr>
      <w:r w:rsidRPr="00AB1F22">
        <w:rPr>
          <w:lang w:val="fr-FR"/>
        </w:rPr>
        <w:t>101.</w:t>
      </w:r>
      <w:r w:rsidRPr="00AB1F22">
        <w:rPr>
          <w:lang w:val="fr-FR"/>
        </w:rPr>
        <w:tab/>
        <w:t>Le 7 novembre 2016, le Comité permanent de l</w:t>
      </w:r>
      <w:r w:rsidR="004F1DFB">
        <w:rPr>
          <w:lang w:val="fr-FR"/>
        </w:rPr>
        <w:t>’</w:t>
      </w:r>
      <w:r w:rsidRPr="00AB1F22">
        <w:rPr>
          <w:lang w:val="fr-FR"/>
        </w:rPr>
        <w:t>Assemblée nationale populaire a publié une interprétation de l</w:t>
      </w:r>
      <w:r w:rsidR="004F1DFB">
        <w:rPr>
          <w:lang w:val="fr-FR"/>
        </w:rPr>
        <w:t>’</w:t>
      </w:r>
      <w:r w:rsidRPr="00AB1F22">
        <w:rPr>
          <w:lang w:val="fr-FR"/>
        </w:rPr>
        <w:t>article 104 de la Loi fondamentale conformément au paragraphe 1 de l</w:t>
      </w:r>
      <w:r w:rsidR="004F1DFB">
        <w:rPr>
          <w:lang w:val="fr-FR"/>
        </w:rPr>
        <w:t>’</w:t>
      </w:r>
      <w:r w:rsidRPr="00AB1F22">
        <w:rPr>
          <w:lang w:val="fr-FR"/>
        </w:rPr>
        <w:t>article 158 de la Loi fondamentale, dans laquelle il rappelle et explique clairement le sens de l</w:t>
      </w:r>
      <w:r w:rsidR="004F1DFB">
        <w:rPr>
          <w:lang w:val="fr-FR"/>
        </w:rPr>
        <w:t>’</w:t>
      </w:r>
      <w:r w:rsidRPr="00AB1F22">
        <w:rPr>
          <w:lang w:val="fr-FR"/>
        </w:rPr>
        <w:t>article 104, et aucun changement n</w:t>
      </w:r>
      <w:r w:rsidR="004F1DFB">
        <w:rPr>
          <w:lang w:val="fr-FR"/>
        </w:rPr>
        <w:t>’</w:t>
      </w:r>
      <w:r w:rsidRPr="00AB1F22">
        <w:rPr>
          <w:lang w:val="fr-FR"/>
        </w:rPr>
        <w:t>a été apporté au contenu de cet article. Lors de leur entrée en fonction, les fonctionnaires continuent de prêter serment conformément à l</w:t>
      </w:r>
      <w:r w:rsidR="004F1DFB">
        <w:rPr>
          <w:lang w:val="fr-FR"/>
        </w:rPr>
        <w:t>’</w:t>
      </w:r>
      <w:r w:rsidRPr="00AB1F22">
        <w:rPr>
          <w:lang w:val="fr-FR"/>
        </w:rPr>
        <w:t>article 104 et à l</w:t>
      </w:r>
      <w:r w:rsidR="004F1DFB">
        <w:rPr>
          <w:lang w:val="fr-FR"/>
        </w:rPr>
        <w:t>’</w:t>
      </w:r>
      <w:r w:rsidRPr="00AB1F22">
        <w:rPr>
          <w:lang w:val="fr-FR"/>
        </w:rPr>
        <w:t>ordonnance relative aux sermen</w:t>
      </w:r>
      <w:r>
        <w:rPr>
          <w:lang w:val="fr-FR"/>
        </w:rPr>
        <w:t>ts et déclarations (chap. 11).</w:t>
      </w:r>
      <w:r w:rsidR="004F1DFB" w:rsidRPr="004F1DFB">
        <w:rPr>
          <w:lang w:val="fr-FR"/>
        </w:rPr>
        <w:t xml:space="preserve"> </w:t>
      </w:r>
    </w:p>
    <w:p w:rsidR="0024529D" w:rsidRPr="00AB1F22" w:rsidRDefault="0024529D" w:rsidP="0024529D">
      <w:pPr>
        <w:pStyle w:val="SingleTxtG"/>
        <w:rPr>
          <w:lang w:val="fr-FR"/>
        </w:rPr>
      </w:pPr>
      <w:r w:rsidRPr="00AB1F22">
        <w:rPr>
          <w:lang w:val="fr-FR"/>
        </w:rPr>
        <w:t>102.</w:t>
      </w:r>
      <w:r w:rsidRPr="00AB1F22">
        <w:rPr>
          <w:lang w:val="fr-FR"/>
        </w:rPr>
        <w:tab/>
        <w:t>En novembre 2016, le Tribunal de première instance (HCAL 185/2016) a rendu un jugement sur la question de savoir si les serments prétendument prêtés par deux</w:t>
      </w:r>
      <w:r>
        <w:rPr>
          <w:lang w:val="fr-FR"/>
        </w:rPr>
        <w:t> </w:t>
      </w:r>
      <w:r w:rsidRPr="00AB1F22">
        <w:rPr>
          <w:lang w:val="fr-FR"/>
        </w:rPr>
        <w:t>membres du Conseil législatif élus lors des élections générales de 2016 allaient à l</w:t>
      </w:r>
      <w:r w:rsidR="004F1DFB">
        <w:rPr>
          <w:lang w:val="fr-FR"/>
        </w:rPr>
        <w:t>’</w:t>
      </w:r>
      <w:r w:rsidRPr="00AB1F22">
        <w:rPr>
          <w:lang w:val="fr-FR"/>
        </w:rPr>
        <w:t>encontre de la Loi fondamentale et de l</w:t>
      </w:r>
      <w:r w:rsidR="004F1DFB">
        <w:rPr>
          <w:lang w:val="fr-FR"/>
        </w:rPr>
        <w:t>’</w:t>
      </w:r>
      <w:r w:rsidRPr="00AB1F22">
        <w:rPr>
          <w:lang w:val="fr-FR"/>
        </w:rPr>
        <w:t>ordonnance relative aux serments et déclarations. Le Tribunal a estimé que, indépendamment de l</w:t>
      </w:r>
      <w:r w:rsidR="004F1DFB">
        <w:rPr>
          <w:lang w:val="fr-FR"/>
        </w:rPr>
        <w:t>’</w:t>
      </w:r>
      <w:r w:rsidRPr="00AB1F22">
        <w:rPr>
          <w:lang w:val="fr-FR"/>
        </w:rPr>
        <w:t>interprétation de l</w:t>
      </w:r>
      <w:r w:rsidR="004F1DFB">
        <w:rPr>
          <w:lang w:val="fr-FR"/>
        </w:rPr>
        <w:t>’</w:t>
      </w:r>
      <w:r w:rsidRPr="00AB1F22">
        <w:rPr>
          <w:lang w:val="fr-FR"/>
        </w:rPr>
        <w:t>article</w:t>
      </w:r>
      <w:r>
        <w:rPr>
          <w:lang w:val="fr-FR"/>
        </w:rPr>
        <w:t> </w:t>
      </w:r>
      <w:r w:rsidRPr="00AB1F22">
        <w:rPr>
          <w:lang w:val="fr-FR"/>
        </w:rPr>
        <w:t>104 de la Loi fondamentale donnée par le Comité permanent de l</w:t>
      </w:r>
      <w:r w:rsidR="004F1DFB">
        <w:rPr>
          <w:lang w:val="fr-FR"/>
        </w:rPr>
        <w:t>’</w:t>
      </w:r>
      <w:r w:rsidRPr="00AB1F22">
        <w:rPr>
          <w:lang w:val="fr-FR"/>
        </w:rPr>
        <w:t>Assemblée nationale populaire, les lois de Hong</w:t>
      </w:r>
      <w:r>
        <w:rPr>
          <w:lang w:val="fr-FR"/>
        </w:rPr>
        <w:t> </w:t>
      </w:r>
      <w:r w:rsidRPr="00AB1F22">
        <w:rPr>
          <w:lang w:val="fr-FR"/>
        </w:rPr>
        <w:t>Kong telles qu</w:t>
      </w:r>
      <w:r w:rsidR="004F1DFB">
        <w:rPr>
          <w:lang w:val="fr-FR"/>
        </w:rPr>
        <w:t>’</w:t>
      </w:r>
      <w:r w:rsidRPr="00AB1F22">
        <w:rPr>
          <w:lang w:val="fr-FR"/>
        </w:rPr>
        <w:t>énoncées dans les dispositions pertinentes de l</w:t>
      </w:r>
      <w:r w:rsidR="004F1DFB">
        <w:rPr>
          <w:lang w:val="fr-FR"/>
        </w:rPr>
        <w:t>’</w:t>
      </w:r>
      <w:r w:rsidRPr="00AB1F22">
        <w:rPr>
          <w:lang w:val="fr-FR"/>
        </w:rPr>
        <w:t>ordonnance relative aux serments et déclarations ont effectivement le même sens et les mêmes effets juridiques que l</w:t>
      </w:r>
      <w:r w:rsidR="004F1DFB">
        <w:rPr>
          <w:lang w:val="fr-FR"/>
        </w:rPr>
        <w:t>’</w:t>
      </w:r>
      <w:r w:rsidRPr="00AB1F22">
        <w:rPr>
          <w:lang w:val="fr-FR"/>
        </w:rPr>
        <w:t>article 104 tel qu</w:t>
      </w:r>
      <w:r w:rsidR="004F1DFB">
        <w:rPr>
          <w:lang w:val="fr-FR"/>
        </w:rPr>
        <w:t>’</w:t>
      </w:r>
      <w:r w:rsidRPr="00AB1F22">
        <w:rPr>
          <w:lang w:val="fr-FR"/>
        </w:rPr>
        <w:t>interprété par le Comité. Le serment étant une déclaration solennelle, l</w:t>
      </w:r>
      <w:r w:rsidR="004F1DFB">
        <w:rPr>
          <w:lang w:val="fr-FR"/>
        </w:rPr>
        <w:t>’</w:t>
      </w:r>
      <w:r w:rsidRPr="00AB1F22">
        <w:rPr>
          <w:lang w:val="fr-FR"/>
        </w:rPr>
        <w:t>ordonnance relative aux serments et déclarations n</w:t>
      </w:r>
      <w:r w:rsidR="004F1DFB">
        <w:rPr>
          <w:lang w:val="fr-FR"/>
        </w:rPr>
        <w:t>’</w:t>
      </w:r>
      <w:r w:rsidRPr="00AB1F22">
        <w:rPr>
          <w:lang w:val="fr-FR"/>
        </w:rPr>
        <w:t>autorise aucune réelle différence s</w:t>
      </w:r>
      <w:r w:rsidR="004F1DFB">
        <w:rPr>
          <w:lang w:val="fr-FR"/>
        </w:rPr>
        <w:t>’</w:t>
      </w:r>
      <w:r w:rsidRPr="00AB1F22">
        <w:rPr>
          <w:lang w:val="fr-FR"/>
        </w:rPr>
        <w:t>agissant de la forme et du fond du serment en tant que tel. Le Tribunal a estimé qu</w:t>
      </w:r>
      <w:r w:rsidR="004F1DFB">
        <w:rPr>
          <w:lang w:val="fr-FR"/>
        </w:rPr>
        <w:t>’</w:t>
      </w:r>
      <w:r w:rsidRPr="00AB1F22">
        <w:rPr>
          <w:lang w:val="fr-FR"/>
        </w:rPr>
        <w:t>ils avaient manifestement refusé ou délibérément omis de prêter serment, et a jugé que, par l</w:t>
      </w:r>
      <w:r w:rsidR="004F1DFB">
        <w:rPr>
          <w:lang w:val="fr-FR"/>
        </w:rPr>
        <w:t>’</w:t>
      </w:r>
      <w:r w:rsidRPr="00AB1F22">
        <w:rPr>
          <w:lang w:val="fr-FR"/>
        </w:rPr>
        <w:t>effet de la loi, ils devaient être déchus de leurs fonctions et considérés comme ayant quitté leur poste</w:t>
      </w:r>
      <w:r w:rsidRPr="002E396D">
        <w:rPr>
          <w:lang w:val="fr-FR"/>
        </w:rPr>
        <w:t xml:space="preserve"> </w:t>
      </w:r>
      <w:r w:rsidRPr="00AB1F22">
        <w:rPr>
          <w:lang w:val="fr-FR"/>
        </w:rPr>
        <w:t>depuis la date de la première réunion du Conseil législatif en octobre 2016, comme le prévoit l</w:t>
      </w:r>
      <w:r w:rsidR="004F1DFB">
        <w:rPr>
          <w:lang w:val="fr-FR"/>
        </w:rPr>
        <w:t>’</w:t>
      </w:r>
      <w:r w:rsidRPr="00AB1F22">
        <w:rPr>
          <w:lang w:val="fr-FR"/>
        </w:rPr>
        <w:t>article 21 de l</w:t>
      </w:r>
      <w:r w:rsidR="004F1DFB">
        <w:rPr>
          <w:lang w:val="fr-FR"/>
        </w:rPr>
        <w:t>’</w:t>
      </w:r>
      <w:r w:rsidRPr="00AB1F22">
        <w:rPr>
          <w:lang w:val="fr-FR"/>
        </w:rPr>
        <w:t xml:space="preserve">ordonnance relative aux serments et déclarations. </w:t>
      </w:r>
    </w:p>
    <w:p w:rsidR="0024529D" w:rsidRPr="00AB1F22" w:rsidRDefault="0024529D" w:rsidP="0024529D">
      <w:pPr>
        <w:pStyle w:val="SingleTxtG"/>
        <w:rPr>
          <w:lang w:val="fr-FR"/>
        </w:rPr>
      </w:pPr>
      <w:r w:rsidRPr="00AB1F22">
        <w:rPr>
          <w:lang w:val="fr-FR"/>
        </w:rPr>
        <w:t>103.</w:t>
      </w:r>
      <w:r w:rsidRPr="00AB1F22">
        <w:rPr>
          <w:lang w:val="fr-FR"/>
        </w:rPr>
        <w:tab/>
        <w:t>Leur appel a été rejeté à l</w:t>
      </w:r>
      <w:r w:rsidR="004F1DFB">
        <w:rPr>
          <w:lang w:val="fr-FR"/>
        </w:rPr>
        <w:t>’</w:t>
      </w:r>
      <w:r w:rsidRPr="00AB1F22">
        <w:rPr>
          <w:lang w:val="fr-FR"/>
        </w:rPr>
        <w:t>unanimité par la Cour d</w:t>
      </w:r>
      <w:r w:rsidR="004F1DFB">
        <w:rPr>
          <w:lang w:val="fr-FR"/>
        </w:rPr>
        <w:t>’</w:t>
      </w:r>
      <w:r w:rsidRPr="00AB1F22">
        <w:rPr>
          <w:lang w:val="fr-FR"/>
        </w:rPr>
        <w:t>appel (CACV 224/2016). La</w:t>
      </w:r>
      <w:r w:rsidR="004F1DFB">
        <w:rPr>
          <w:lang w:val="fr-FR"/>
        </w:rPr>
        <w:t> </w:t>
      </w:r>
      <w:r w:rsidRPr="00AB1F22">
        <w:rPr>
          <w:lang w:val="fr-FR"/>
        </w:rPr>
        <w:t>Commission d</w:t>
      </w:r>
      <w:r w:rsidR="004F1DFB">
        <w:rPr>
          <w:lang w:val="fr-FR"/>
        </w:rPr>
        <w:t>’</w:t>
      </w:r>
      <w:r w:rsidRPr="00AB1F22">
        <w:rPr>
          <w:lang w:val="fr-FR"/>
        </w:rPr>
        <w:t>appel de la Cour de dernier ressort a également estimé qu</w:t>
      </w:r>
      <w:r w:rsidR="004F1DFB">
        <w:rPr>
          <w:lang w:val="fr-FR"/>
        </w:rPr>
        <w:t>’</w:t>
      </w:r>
      <w:r w:rsidRPr="00AB1F22">
        <w:rPr>
          <w:lang w:val="fr-FR"/>
        </w:rPr>
        <w:t>il n</w:t>
      </w:r>
      <w:r w:rsidR="004F1DFB">
        <w:rPr>
          <w:lang w:val="fr-FR"/>
        </w:rPr>
        <w:t>’</w:t>
      </w:r>
      <w:r w:rsidRPr="00AB1F22">
        <w:rPr>
          <w:lang w:val="fr-FR"/>
        </w:rPr>
        <w:t>y avait pas de motif raisonnablement défendable de modifier les jugements des juridictions inférieures et a donc refusé de leur accorder l</w:t>
      </w:r>
      <w:r w:rsidR="004F1DFB">
        <w:rPr>
          <w:lang w:val="fr-FR"/>
        </w:rPr>
        <w:t>’</w:t>
      </w:r>
      <w:r w:rsidRPr="00AB1F22">
        <w:rPr>
          <w:lang w:val="fr-FR"/>
        </w:rPr>
        <w:t>autorisation d</w:t>
      </w:r>
      <w:r w:rsidR="004F1DFB">
        <w:rPr>
          <w:lang w:val="fr-FR"/>
        </w:rPr>
        <w:t>’</w:t>
      </w:r>
      <w:r w:rsidRPr="00AB1F22">
        <w:rPr>
          <w:lang w:val="fr-FR"/>
        </w:rPr>
        <w:t xml:space="preserve">interjeter appel devant la Cour de dernier ressort. </w:t>
      </w:r>
    </w:p>
    <w:p w:rsidR="0024529D" w:rsidRPr="00AB1F22" w:rsidRDefault="0024529D" w:rsidP="0024529D">
      <w:pPr>
        <w:pStyle w:val="SingleTxtG"/>
        <w:rPr>
          <w:lang w:val="fr-FR"/>
        </w:rPr>
      </w:pPr>
      <w:r w:rsidRPr="00AB1F22">
        <w:rPr>
          <w:lang w:val="fr-FR"/>
        </w:rPr>
        <w:t>104.</w:t>
      </w:r>
      <w:r w:rsidRPr="00AB1F22">
        <w:rPr>
          <w:lang w:val="fr-FR"/>
        </w:rPr>
        <w:tab/>
        <w:t>Par ailleurs, le 14 juillet 2017, le Tribunal de première instance a déclaré que les serments prétendument prêtés par quatre autres personnes, toutes élues membres du Conseil législatif lors des élections générales tenues en septembre 2016, étaient invalides et que ces personnes étaient considérées comme ayant été déchues de leurs fonctions ou comme ayant quitté leur poste, comme le prévoit l</w:t>
      </w:r>
      <w:r w:rsidR="004F1DFB">
        <w:rPr>
          <w:lang w:val="fr-FR"/>
        </w:rPr>
        <w:t>’</w:t>
      </w:r>
      <w:r w:rsidRPr="00AB1F22">
        <w:rPr>
          <w:lang w:val="fr-FR"/>
        </w:rPr>
        <w:t>article 21 de l</w:t>
      </w:r>
      <w:r w:rsidR="004F1DFB">
        <w:rPr>
          <w:lang w:val="fr-FR"/>
        </w:rPr>
        <w:t>’</w:t>
      </w:r>
      <w:r w:rsidRPr="00AB1F22">
        <w:rPr>
          <w:lang w:val="fr-FR"/>
        </w:rPr>
        <w:t>ordonnance relative aux serments et déclarations (HCAL</w:t>
      </w:r>
      <w:r w:rsidR="003F79A2">
        <w:rPr>
          <w:lang w:val="fr-FR"/>
        </w:rPr>
        <w:t> </w:t>
      </w:r>
      <w:r w:rsidRPr="00AB1F22">
        <w:rPr>
          <w:lang w:val="fr-FR"/>
        </w:rPr>
        <w:t>223226/2016). Deux d</w:t>
      </w:r>
      <w:r w:rsidR="004F1DFB">
        <w:rPr>
          <w:lang w:val="fr-FR"/>
        </w:rPr>
        <w:t>’</w:t>
      </w:r>
      <w:r w:rsidRPr="00AB1F22">
        <w:rPr>
          <w:lang w:val="fr-FR"/>
        </w:rPr>
        <w:t>entre eux ont déposé des déclarations d</w:t>
      </w:r>
      <w:r w:rsidR="004F1DFB">
        <w:rPr>
          <w:lang w:val="fr-FR"/>
        </w:rPr>
        <w:t>’</w:t>
      </w:r>
      <w:r w:rsidRPr="00AB1F22">
        <w:rPr>
          <w:lang w:val="fr-FR"/>
        </w:rPr>
        <w:t xml:space="preserve">appel en septembre 2017. </w:t>
      </w:r>
    </w:p>
    <w:p w:rsidR="0024529D" w:rsidRPr="00AB1F22" w:rsidRDefault="0024529D" w:rsidP="0024529D">
      <w:pPr>
        <w:pStyle w:val="H1G"/>
        <w:rPr>
          <w:lang w:val="fr-FR"/>
        </w:rPr>
      </w:pPr>
      <w:r w:rsidRPr="00AB1F22">
        <w:rPr>
          <w:lang w:val="fr-FR"/>
        </w:rPr>
        <w:tab/>
      </w:r>
      <w:r w:rsidRPr="00AB1F22">
        <w:rPr>
          <w:lang w:val="fr-FR"/>
        </w:rPr>
        <w:tab/>
      </w:r>
      <w:r w:rsidRPr="00AB1F22">
        <w:rPr>
          <w:bCs/>
          <w:lang w:val="fr-FR"/>
        </w:rPr>
        <w:t>Article 15</w:t>
      </w:r>
      <w:r>
        <w:rPr>
          <w:bCs/>
          <w:lang w:val="fr-FR"/>
        </w:rPr>
        <w:br/>
      </w:r>
      <w:r w:rsidRPr="00AB1F22">
        <w:rPr>
          <w:bCs/>
          <w:lang w:val="fr-FR"/>
        </w:rPr>
        <w:t>Non</w:t>
      </w:r>
      <w:r>
        <w:rPr>
          <w:bCs/>
          <w:lang w:val="fr-FR"/>
        </w:rPr>
        <w:noBreakHyphen/>
      </w:r>
      <w:r w:rsidRPr="00AB1F22">
        <w:rPr>
          <w:bCs/>
          <w:lang w:val="fr-FR"/>
        </w:rPr>
        <w:t>rétroactivité des lois et des sanctions pénales</w:t>
      </w:r>
      <w:r w:rsidRPr="00AB1F22">
        <w:rPr>
          <w:lang w:val="fr-FR"/>
        </w:rPr>
        <w:t xml:space="preserve"> </w:t>
      </w:r>
      <w:bookmarkStart w:id="48" w:name="_Toc31721437"/>
      <w:bookmarkEnd w:id="48"/>
    </w:p>
    <w:p w:rsidR="0024529D" w:rsidRPr="00AB1F22" w:rsidRDefault="0024529D" w:rsidP="0024529D">
      <w:pPr>
        <w:pStyle w:val="SingleTxtG"/>
        <w:rPr>
          <w:lang w:val="fr-FR"/>
        </w:rPr>
      </w:pPr>
      <w:r w:rsidRPr="00AB1F22">
        <w:rPr>
          <w:lang w:val="fr-FR"/>
        </w:rPr>
        <w:t>105.</w:t>
      </w:r>
      <w:r w:rsidRPr="00AB1F22">
        <w:rPr>
          <w:lang w:val="fr-FR"/>
        </w:rPr>
        <w:tab/>
        <w:t>L</w:t>
      </w:r>
      <w:r w:rsidR="004F1DFB">
        <w:rPr>
          <w:lang w:val="fr-FR"/>
        </w:rPr>
        <w:t>’</w:t>
      </w:r>
      <w:r w:rsidRPr="00AB1F22">
        <w:rPr>
          <w:lang w:val="fr-FR"/>
        </w:rPr>
        <w:t>article 12 de la Charte des droits de Hong Kong donne effet à l</w:t>
      </w:r>
      <w:r w:rsidR="004F1DFB">
        <w:rPr>
          <w:lang w:val="fr-FR"/>
        </w:rPr>
        <w:t>’</w:t>
      </w:r>
      <w:r w:rsidRPr="00AB1F22">
        <w:rPr>
          <w:lang w:val="fr-FR"/>
        </w:rPr>
        <w:t>article 15 du Pacte. Aucune modification majeure n</w:t>
      </w:r>
      <w:r w:rsidR="004F1DFB">
        <w:rPr>
          <w:lang w:val="fr-FR"/>
        </w:rPr>
        <w:t>’</w:t>
      </w:r>
      <w:r w:rsidRPr="00AB1F22">
        <w:rPr>
          <w:lang w:val="fr-FR"/>
        </w:rPr>
        <w:t>est intervenue en ce qui concerne l</w:t>
      </w:r>
      <w:r w:rsidR="004F1DFB">
        <w:rPr>
          <w:lang w:val="fr-FR"/>
        </w:rPr>
        <w:t>’</w:t>
      </w:r>
      <w:r w:rsidRPr="00AB1F22">
        <w:rPr>
          <w:lang w:val="fr-FR"/>
        </w:rPr>
        <w:t xml:space="preserve">article 15. </w:t>
      </w:r>
    </w:p>
    <w:p w:rsidR="0024529D" w:rsidRPr="00AB1F22" w:rsidRDefault="0024529D" w:rsidP="0024529D">
      <w:pPr>
        <w:pStyle w:val="H1G"/>
        <w:rPr>
          <w:lang w:val="fr-FR"/>
        </w:rPr>
      </w:pPr>
      <w:r w:rsidRPr="00AB1F22">
        <w:rPr>
          <w:lang w:val="fr-FR"/>
        </w:rPr>
        <w:tab/>
      </w:r>
      <w:r w:rsidRPr="00AB1F22">
        <w:rPr>
          <w:lang w:val="fr-FR"/>
        </w:rPr>
        <w:tab/>
      </w:r>
      <w:r w:rsidRPr="00AB1F22">
        <w:rPr>
          <w:bCs/>
          <w:lang w:val="fr-FR"/>
        </w:rPr>
        <w:t>Article</w:t>
      </w:r>
      <w:r>
        <w:rPr>
          <w:bCs/>
          <w:lang w:val="fr-FR"/>
        </w:rPr>
        <w:t> </w:t>
      </w:r>
      <w:r w:rsidRPr="00AB1F22">
        <w:rPr>
          <w:bCs/>
          <w:lang w:val="fr-FR"/>
        </w:rPr>
        <w:t>16</w:t>
      </w:r>
      <w:r>
        <w:rPr>
          <w:bCs/>
          <w:lang w:val="fr-FR"/>
        </w:rPr>
        <w:br/>
      </w:r>
      <w:r w:rsidRPr="00AB1F22">
        <w:rPr>
          <w:bCs/>
          <w:lang w:val="fr-FR"/>
        </w:rPr>
        <w:t>Droit à la reconnaissance de la personnalité juridique</w:t>
      </w:r>
      <w:r w:rsidRPr="00AB1F22">
        <w:rPr>
          <w:lang w:val="fr-FR"/>
        </w:rPr>
        <w:t xml:space="preserve"> </w:t>
      </w:r>
      <w:bookmarkStart w:id="49" w:name="_Toc31721438"/>
      <w:bookmarkEnd w:id="49"/>
    </w:p>
    <w:p w:rsidR="0024529D" w:rsidRPr="00AB1F22" w:rsidRDefault="0024529D" w:rsidP="0024529D">
      <w:pPr>
        <w:pStyle w:val="SingleTxtG"/>
        <w:rPr>
          <w:lang w:val="fr-FR"/>
        </w:rPr>
      </w:pPr>
      <w:r w:rsidRPr="00AB1F22">
        <w:rPr>
          <w:lang w:val="fr-FR"/>
        </w:rPr>
        <w:t>106.</w:t>
      </w:r>
      <w:r w:rsidRPr="00AB1F22">
        <w:rPr>
          <w:lang w:val="fr-FR"/>
        </w:rPr>
        <w:tab/>
        <w:t>La situation est celle qui est décrite au paragraphe 301 de la deuxième partie du rapport initial. En d</w:t>
      </w:r>
      <w:r w:rsidR="004F1DFB">
        <w:rPr>
          <w:lang w:val="fr-FR"/>
        </w:rPr>
        <w:t>’</w:t>
      </w:r>
      <w:r w:rsidRPr="00AB1F22">
        <w:rPr>
          <w:lang w:val="fr-FR"/>
        </w:rPr>
        <w:t>autres termes, le droit à la reconnaissance de la personnalité juridique est garanti par l</w:t>
      </w:r>
      <w:r w:rsidR="004F1DFB">
        <w:rPr>
          <w:lang w:val="fr-FR"/>
        </w:rPr>
        <w:t>’</w:t>
      </w:r>
      <w:r w:rsidRPr="00AB1F22">
        <w:rPr>
          <w:lang w:val="fr-FR"/>
        </w:rPr>
        <w:t>article 13 de la Charte des droits de Hong</w:t>
      </w:r>
      <w:r>
        <w:rPr>
          <w:lang w:val="fr-FR"/>
        </w:rPr>
        <w:t> </w:t>
      </w:r>
      <w:r w:rsidRPr="00AB1F22">
        <w:rPr>
          <w:lang w:val="fr-FR"/>
        </w:rPr>
        <w:t>Kong qui donne effet à l</w:t>
      </w:r>
      <w:r w:rsidR="004F1DFB">
        <w:rPr>
          <w:lang w:val="fr-FR"/>
        </w:rPr>
        <w:t>’</w:t>
      </w:r>
      <w:r w:rsidRPr="00AB1F22">
        <w:rPr>
          <w:lang w:val="fr-FR"/>
        </w:rPr>
        <w:t>article 16 du Pacte.</w:t>
      </w:r>
    </w:p>
    <w:p w:rsidR="0024529D" w:rsidRPr="00AB1F22" w:rsidRDefault="0024529D" w:rsidP="0024529D">
      <w:pPr>
        <w:pStyle w:val="H1G"/>
        <w:rPr>
          <w:lang w:val="fr-FR"/>
        </w:rPr>
      </w:pPr>
      <w:r w:rsidRPr="00AB1F22">
        <w:rPr>
          <w:lang w:val="fr-FR"/>
        </w:rPr>
        <w:tab/>
      </w:r>
      <w:r w:rsidRPr="00AB1F22">
        <w:rPr>
          <w:lang w:val="fr-FR"/>
        </w:rPr>
        <w:tab/>
      </w:r>
      <w:r w:rsidRPr="00AB1F22">
        <w:rPr>
          <w:bCs/>
          <w:lang w:val="fr-FR"/>
        </w:rPr>
        <w:t>Article</w:t>
      </w:r>
      <w:r>
        <w:rPr>
          <w:bCs/>
          <w:lang w:val="fr-FR"/>
        </w:rPr>
        <w:t> </w:t>
      </w:r>
      <w:r w:rsidRPr="00AB1F22">
        <w:rPr>
          <w:bCs/>
          <w:lang w:val="fr-FR"/>
        </w:rPr>
        <w:t>17</w:t>
      </w:r>
      <w:r>
        <w:rPr>
          <w:bCs/>
          <w:lang w:val="fr-FR"/>
        </w:rPr>
        <w:br/>
      </w:r>
      <w:r w:rsidRPr="00AB1F22">
        <w:rPr>
          <w:bCs/>
          <w:lang w:val="fr-FR"/>
        </w:rPr>
        <w:t xml:space="preserve">Protection de la vie privée, de la famille, du domicile, </w:t>
      </w:r>
      <w:r w:rsidR="004F1DFB">
        <w:rPr>
          <w:bCs/>
          <w:lang w:val="fr-FR"/>
        </w:rPr>
        <w:br/>
      </w:r>
      <w:r w:rsidRPr="00AB1F22">
        <w:rPr>
          <w:bCs/>
          <w:lang w:val="fr-FR"/>
        </w:rPr>
        <w:t>de la correspondance, de l</w:t>
      </w:r>
      <w:r w:rsidR="004F1DFB">
        <w:rPr>
          <w:bCs/>
          <w:lang w:val="fr-FR"/>
        </w:rPr>
        <w:t>’</w:t>
      </w:r>
      <w:r w:rsidRPr="00AB1F22">
        <w:rPr>
          <w:bCs/>
          <w:lang w:val="fr-FR"/>
        </w:rPr>
        <w:t>honneur et de la réputation</w:t>
      </w:r>
      <w:r w:rsidRPr="00AB1F22">
        <w:rPr>
          <w:lang w:val="fr-FR"/>
        </w:rPr>
        <w:t xml:space="preserve"> </w:t>
      </w:r>
      <w:bookmarkStart w:id="50" w:name="_Toc31721439"/>
      <w:bookmarkEnd w:id="50"/>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Ordonnance relative à l</w:t>
      </w:r>
      <w:r w:rsidR="004F1DFB">
        <w:rPr>
          <w:bCs/>
          <w:lang w:val="fr-FR"/>
        </w:rPr>
        <w:t>’</w:t>
      </w:r>
      <w:r w:rsidRPr="00AB1F22">
        <w:rPr>
          <w:bCs/>
          <w:lang w:val="fr-FR"/>
        </w:rPr>
        <w:t xml:space="preserve">interception des communications </w:t>
      </w:r>
      <w:r w:rsidR="004F1DFB">
        <w:rPr>
          <w:bCs/>
          <w:lang w:val="fr-FR"/>
        </w:rPr>
        <w:br/>
      </w:r>
      <w:r w:rsidRPr="00AB1F22">
        <w:rPr>
          <w:bCs/>
          <w:lang w:val="fr-FR"/>
        </w:rPr>
        <w:t>et à la surveillance (chap. 589)</w:t>
      </w:r>
      <w:bookmarkStart w:id="51" w:name="_Toc31721440"/>
      <w:bookmarkEnd w:id="51"/>
    </w:p>
    <w:p w:rsidR="0024529D" w:rsidRPr="00AB1F22" w:rsidRDefault="0024529D" w:rsidP="0024529D">
      <w:pPr>
        <w:pStyle w:val="SingleTxtG"/>
        <w:rPr>
          <w:lang w:val="fr-FR"/>
        </w:rPr>
      </w:pPr>
      <w:r w:rsidRPr="00AB1F22">
        <w:rPr>
          <w:lang w:val="fr-FR"/>
        </w:rPr>
        <w:t>107.</w:t>
      </w:r>
      <w:r w:rsidRPr="00AB1F22">
        <w:rPr>
          <w:lang w:val="fr-FR"/>
        </w:rPr>
        <w:tab/>
        <w:t>L</w:t>
      </w:r>
      <w:r w:rsidR="004F1DFB">
        <w:rPr>
          <w:lang w:val="fr-FR"/>
        </w:rPr>
        <w:t>’</w:t>
      </w:r>
      <w:r w:rsidRPr="00AB1F22">
        <w:rPr>
          <w:lang w:val="fr-FR"/>
        </w:rPr>
        <w:t>ordonnance relative à l</w:t>
      </w:r>
      <w:r w:rsidR="004F1DFB">
        <w:rPr>
          <w:lang w:val="fr-FR"/>
        </w:rPr>
        <w:t>’</w:t>
      </w:r>
      <w:r w:rsidRPr="00AB1F22">
        <w:rPr>
          <w:lang w:val="fr-FR"/>
        </w:rPr>
        <w:t>interception des communications et à la surveillance, qui a été promulguée en août 2006 et modifiée en juin 2016, prévoit un régime légal réglementant l</w:t>
      </w:r>
      <w:r w:rsidR="004F1DFB">
        <w:rPr>
          <w:lang w:val="fr-FR"/>
        </w:rPr>
        <w:t>’</w:t>
      </w:r>
      <w:r w:rsidRPr="00AB1F22">
        <w:rPr>
          <w:lang w:val="fr-FR"/>
        </w:rPr>
        <w:t>interception des communications et les surveillances secrètes impliquant l</w:t>
      </w:r>
      <w:r w:rsidR="004F1DFB">
        <w:rPr>
          <w:lang w:val="fr-FR"/>
        </w:rPr>
        <w:t>’</w:t>
      </w:r>
      <w:r w:rsidRPr="00AB1F22">
        <w:rPr>
          <w:lang w:val="fr-FR"/>
        </w:rPr>
        <w:t>utilisation de moyens techniques. L</w:t>
      </w:r>
      <w:r w:rsidR="004F1DFB">
        <w:rPr>
          <w:lang w:val="fr-FR"/>
        </w:rPr>
        <w:t>’</w:t>
      </w:r>
      <w:r w:rsidRPr="00AB1F22">
        <w:rPr>
          <w:lang w:val="fr-FR"/>
        </w:rPr>
        <w:t>ordonnance fournit des garanties strictes à tous les stades, à savoir la demande d</w:t>
      </w:r>
      <w:r w:rsidR="004F1DFB">
        <w:rPr>
          <w:lang w:val="fr-FR"/>
        </w:rPr>
        <w:t>’</w:t>
      </w:r>
      <w:r w:rsidRPr="00AB1F22">
        <w:rPr>
          <w:lang w:val="fr-FR"/>
        </w:rPr>
        <w:t>autorisation, l</w:t>
      </w:r>
      <w:r w:rsidR="004F1DFB">
        <w:rPr>
          <w:lang w:val="fr-FR"/>
        </w:rPr>
        <w:t>’</w:t>
      </w:r>
      <w:r w:rsidRPr="00AB1F22">
        <w:rPr>
          <w:lang w:val="fr-FR"/>
        </w:rPr>
        <w:t>exécution de l</w:t>
      </w:r>
      <w:r w:rsidR="004F1DFB">
        <w:rPr>
          <w:lang w:val="fr-FR"/>
        </w:rPr>
        <w:t>’</w:t>
      </w:r>
      <w:r w:rsidRPr="00AB1F22">
        <w:rPr>
          <w:lang w:val="fr-FR"/>
        </w:rPr>
        <w:t>autorisation et la surveillance ultérieure. Le régime est conforme à l</w:t>
      </w:r>
      <w:r w:rsidR="004F1DFB">
        <w:rPr>
          <w:lang w:val="fr-FR"/>
        </w:rPr>
        <w:t>’</w:t>
      </w:r>
      <w:r w:rsidRPr="00AB1F22">
        <w:rPr>
          <w:lang w:val="fr-FR"/>
        </w:rPr>
        <w:t>article 30 de la Loi fondamentale et vise à protéger le droit à la vie privée prévu à l</w:t>
      </w:r>
      <w:r w:rsidR="004F1DFB">
        <w:rPr>
          <w:lang w:val="fr-FR"/>
        </w:rPr>
        <w:t>’</w:t>
      </w:r>
      <w:r w:rsidRPr="00AB1F22">
        <w:rPr>
          <w:lang w:val="fr-FR"/>
        </w:rPr>
        <w:t>article 14 de la Charte des droits de Hong</w:t>
      </w:r>
      <w:r>
        <w:rPr>
          <w:lang w:val="fr-FR"/>
        </w:rPr>
        <w:t> </w:t>
      </w:r>
      <w:r w:rsidRPr="00AB1F22">
        <w:rPr>
          <w:lang w:val="fr-FR"/>
        </w:rPr>
        <w:t>Kong qui donne effet à l</w:t>
      </w:r>
      <w:r w:rsidR="004F1DFB">
        <w:rPr>
          <w:lang w:val="fr-FR"/>
        </w:rPr>
        <w:t>’</w:t>
      </w:r>
      <w:r w:rsidRPr="00AB1F22">
        <w:rPr>
          <w:lang w:val="fr-FR"/>
        </w:rPr>
        <w:t>article 17 du Pacte. La situation la plus récente est présentée à l</w:t>
      </w:r>
      <w:r w:rsidR="004F1DFB">
        <w:rPr>
          <w:lang w:val="fr-FR"/>
        </w:rPr>
        <w:t>’</w:t>
      </w:r>
      <w:r w:rsidRPr="00AB1F22">
        <w:rPr>
          <w:lang w:val="fr-FR"/>
        </w:rPr>
        <w:t xml:space="preserve">annexe 17A.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Protection des données personnelles</w:t>
      </w:r>
      <w:r w:rsidRPr="00AB1F22">
        <w:rPr>
          <w:lang w:val="fr-FR"/>
        </w:rPr>
        <w:t xml:space="preserve"> </w:t>
      </w:r>
      <w:bookmarkStart w:id="52" w:name="_Toc31721441"/>
      <w:bookmarkEnd w:id="52"/>
    </w:p>
    <w:p w:rsidR="0024529D" w:rsidRPr="00AB1F22" w:rsidRDefault="0024529D" w:rsidP="0024529D">
      <w:pPr>
        <w:pStyle w:val="SingleTxtG"/>
        <w:rPr>
          <w:lang w:val="fr-FR"/>
        </w:rPr>
      </w:pPr>
      <w:r w:rsidRPr="00AB1F22">
        <w:rPr>
          <w:lang w:val="fr-FR"/>
        </w:rPr>
        <w:t>108.</w:t>
      </w:r>
      <w:r w:rsidRPr="00AB1F22">
        <w:rPr>
          <w:lang w:val="fr-FR"/>
        </w:rPr>
        <w:tab/>
        <w:t>La situation est pour l</w:t>
      </w:r>
      <w:r w:rsidR="004F1DFB">
        <w:rPr>
          <w:lang w:val="fr-FR"/>
        </w:rPr>
        <w:t>’</w:t>
      </w:r>
      <w:r w:rsidRPr="00AB1F22">
        <w:rPr>
          <w:lang w:val="fr-FR"/>
        </w:rPr>
        <w:t>essentiel celle expliquée aux paragraphes</w:t>
      </w:r>
      <w:r>
        <w:rPr>
          <w:lang w:val="fr-FR"/>
        </w:rPr>
        <w:t> </w:t>
      </w:r>
      <w:r w:rsidRPr="00AB1F22">
        <w:rPr>
          <w:lang w:val="fr-FR"/>
        </w:rPr>
        <w:t>186 à</w:t>
      </w:r>
      <w:r w:rsidR="003F79A2">
        <w:rPr>
          <w:lang w:val="fr-FR"/>
        </w:rPr>
        <w:t> </w:t>
      </w:r>
      <w:r w:rsidRPr="00AB1F22">
        <w:rPr>
          <w:lang w:val="fr-FR"/>
        </w:rPr>
        <w:t>195 du rapport précédent relatifs à l</w:t>
      </w:r>
      <w:r w:rsidR="004F1DFB">
        <w:rPr>
          <w:lang w:val="fr-FR"/>
        </w:rPr>
        <w:t>’</w:t>
      </w:r>
      <w:r w:rsidRPr="00AB1F22">
        <w:rPr>
          <w:lang w:val="fr-FR"/>
        </w:rPr>
        <w:t>article 17</w:t>
      </w:r>
      <w:r>
        <w:rPr>
          <w:lang w:val="fr-FR"/>
        </w:rPr>
        <w:t xml:space="preserve"> du Pacte</w:t>
      </w:r>
      <w:r w:rsidRPr="00AB1F22">
        <w:rPr>
          <w:lang w:val="fr-FR"/>
        </w:rPr>
        <w:t>. Le Gouvernement continue à soutenir le Commissaire à la protection des données personnelles dans la promotion de la protection des données personnelles et le contrôle du respect des exigences énoncées dans l</w:t>
      </w:r>
      <w:r w:rsidR="004F1DFB">
        <w:rPr>
          <w:lang w:val="fr-FR"/>
        </w:rPr>
        <w:t>’</w:t>
      </w:r>
      <w:r w:rsidRPr="00AB1F22">
        <w:rPr>
          <w:lang w:val="fr-FR"/>
        </w:rPr>
        <w:t xml:space="preserve">ordonnance relative à la protection des données personnelles. </w:t>
      </w:r>
      <w:r>
        <w:rPr>
          <w:lang w:val="fr-FR"/>
        </w:rPr>
        <w:t>L</w:t>
      </w:r>
      <w:r w:rsidRPr="00AB1F22">
        <w:rPr>
          <w:lang w:val="fr-FR"/>
        </w:rPr>
        <w:t>es informations les plus récentes en la matière</w:t>
      </w:r>
      <w:r>
        <w:rPr>
          <w:lang w:val="fr-FR"/>
        </w:rPr>
        <w:t xml:space="preserve"> figurent </w:t>
      </w:r>
      <w:r w:rsidRPr="00AB1F22">
        <w:rPr>
          <w:lang w:val="fr-FR"/>
        </w:rPr>
        <w:t>l</w:t>
      </w:r>
      <w:r w:rsidR="004F1DFB">
        <w:rPr>
          <w:lang w:val="fr-FR"/>
        </w:rPr>
        <w:t>’</w:t>
      </w:r>
      <w:r w:rsidRPr="00AB1F22">
        <w:rPr>
          <w:lang w:val="fr-FR"/>
        </w:rPr>
        <w:t xml:space="preserve">annexe 17B. </w:t>
      </w:r>
    </w:p>
    <w:p w:rsidR="0024529D" w:rsidRPr="00AB1F22" w:rsidRDefault="0024529D" w:rsidP="0024529D">
      <w:pPr>
        <w:pStyle w:val="H1G"/>
        <w:rPr>
          <w:lang w:val="fr-FR"/>
        </w:rPr>
      </w:pPr>
      <w:r w:rsidRPr="00AB1F22">
        <w:rPr>
          <w:lang w:val="fr-FR"/>
        </w:rPr>
        <w:tab/>
      </w:r>
      <w:r w:rsidRPr="00AB1F22">
        <w:rPr>
          <w:lang w:val="fr-FR"/>
        </w:rPr>
        <w:tab/>
      </w:r>
      <w:r w:rsidRPr="00AB1F22">
        <w:rPr>
          <w:bCs/>
          <w:lang w:val="fr-FR"/>
        </w:rPr>
        <w:t>Article 18</w:t>
      </w:r>
      <w:r>
        <w:rPr>
          <w:bCs/>
          <w:lang w:val="fr-FR"/>
        </w:rPr>
        <w:br/>
      </w:r>
      <w:r w:rsidRPr="00AB1F22">
        <w:rPr>
          <w:bCs/>
          <w:lang w:val="fr-FR"/>
        </w:rPr>
        <w:t>Liberté de pensée, de conscience et de religion</w:t>
      </w:r>
      <w:r w:rsidRPr="00AB1F22">
        <w:rPr>
          <w:lang w:val="fr-FR"/>
        </w:rPr>
        <w:t xml:space="preserve"> </w:t>
      </w:r>
      <w:bookmarkStart w:id="53" w:name="_Toc31721442"/>
      <w:bookmarkEnd w:id="53"/>
    </w:p>
    <w:p w:rsidR="0024529D" w:rsidRPr="00AB1F22" w:rsidRDefault="0024529D" w:rsidP="0024529D">
      <w:pPr>
        <w:pStyle w:val="SingleTxtG"/>
        <w:rPr>
          <w:lang w:val="fr-FR"/>
        </w:rPr>
      </w:pPr>
      <w:r w:rsidRPr="00AB1F22">
        <w:rPr>
          <w:lang w:val="fr-FR"/>
        </w:rPr>
        <w:t>109.</w:t>
      </w:r>
      <w:r w:rsidRPr="00AB1F22">
        <w:rPr>
          <w:lang w:val="fr-FR"/>
        </w:rPr>
        <w:tab/>
        <w:t>Au paragraphe 17 de ses précédentes observations finales, le Comité a recommandé au Gouvernement de veiller à ce que ses politiques et pratiques relatives aux adeptes du Falun Gong soient pleinement conformes aux dispositions du Pacte. Nous réaffirmons que les adeptes du Falun Gong à Hong</w:t>
      </w:r>
      <w:r>
        <w:rPr>
          <w:lang w:val="fr-FR"/>
        </w:rPr>
        <w:t> </w:t>
      </w:r>
      <w:r w:rsidRPr="00AB1F22">
        <w:rPr>
          <w:lang w:val="fr-FR"/>
        </w:rPr>
        <w:t>Kong jouissent des droits reconnus dans la Charte des droits de Hong</w:t>
      </w:r>
      <w:r>
        <w:rPr>
          <w:lang w:val="fr-FR"/>
        </w:rPr>
        <w:t> </w:t>
      </w:r>
      <w:r w:rsidRPr="00AB1F22">
        <w:rPr>
          <w:lang w:val="fr-FR"/>
        </w:rPr>
        <w:t>Kong sans distinction aucune, y compris de la liberté de pensée, de conscience et de religion et de la liberté d</w:t>
      </w:r>
      <w:r w:rsidR="004F1DFB">
        <w:rPr>
          <w:lang w:val="fr-FR"/>
        </w:rPr>
        <w:t>’</w:t>
      </w:r>
      <w:r w:rsidRPr="00AB1F22">
        <w:rPr>
          <w:lang w:val="fr-FR"/>
        </w:rPr>
        <w:t>opinion et d</w:t>
      </w:r>
      <w:r w:rsidR="004F1DFB">
        <w:rPr>
          <w:lang w:val="fr-FR"/>
        </w:rPr>
        <w:t>’</w:t>
      </w:r>
      <w:r w:rsidRPr="00AB1F22">
        <w:rPr>
          <w:lang w:val="fr-FR"/>
        </w:rPr>
        <w:t>expression. Ils ont également droit à l</w:t>
      </w:r>
      <w:r w:rsidR="004F1DFB">
        <w:rPr>
          <w:lang w:val="fr-FR"/>
        </w:rPr>
        <w:t>’</w:t>
      </w:r>
      <w:r w:rsidRPr="00AB1F22">
        <w:rPr>
          <w:lang w:val="fr-FR"/>
        </w:rPr>
        <w:t>égalité devant la loi et à l</w:t>
      </w:r>
      <w:r w:rsidR="004F1DFB">
        <w:rPr>
          <w:lang w:val="fr-FR"/>
        </w:rPr>
        <w:t>’</w:t>
      </w:r>
      <w:r w:rsidRPr="00AB1F22">
        <w:rPr>
          <w:lang w:val="fr-FR"/>
        </w:rPr>
        <w:t xml:space="preserve">égale protection de la loi. </w:t>
      </w:r>
    </w:p>
    <w:p w:rsidR="0024529D" w:rsidRPr="00AB1F22" w:rsidRDefault="0024529D" w:rsidP="0024529D">
      <w:pPr>
        <w:pStyle w:val="SingleTxtG"/>
        <w:rPr>
          <w:lang w:val="fr-FR"/>
        </w:rPr>
      </w:pPr>
      <w:r w:rsidRPr="00AB1F22">
        <w:rPr>
          <w:lang w:val="fr-FR"/>
        </w:rPr>
        <w:t>110.</w:t>
      </w:r>
      <w:r w:rsidRPr="00AB1F22">
        <w:rPr>
          <w:lang w:val="fr-FR"/>
        </w:rPr>
        <w:tab/>
        <w:t>Comme expliqué aux paragraphes 321 et 322 de la deuxième partie du rapport initial, la liberté de croyance religieuse est l</w:t>
      </w:r>
      <w:r w:rsidR="004F1DFB">
        <w:rPr>
          <w:lang w:val="fr-FR"/>
        </w:rPr>
        <w:t>’</w:t>
      </w:r>
      <w:r w:rsidRPr="00AB1F22">
        <w:rPr>
          <w:lang w:val="fr-FR"/>
        </w:rPr>
        <w:t>un des droits fondamentaux dont jouissent les résidents de Hong</w:t>
      </w:r>
      <w:r>
        <w:rPr>
          <w:lang w:val="fr-FR"/>
        </w:rPr>
        <w:t> </w:t>
      </w:r>
      <w:r w:rsidRPr="00AB1F22">
        <w:rPr>
          <w:lang w:val="fr-FR"/>
        </w:rPr>
        <w:t>Kong. Le Gouvernement est déterminé à faire respecter la liberté de religion à Hong</w:t>
      </w:r>
      <w:r>
        <w:rPr>
          <w:lang w:val="fr-FR"/>
        </w:rPr>
        <w:t> </w:t>
      </w:r>
      <w:r w:rsidRPr="00AB1F22">
        <w:rPr>
          <w:lang w:val="fr-FR"/>
        </w:rPr>
        <w:t>Kong conformément aux articles 32 et</w:t>
      </w:r>
      <w:r w:rsidR="004F1DFB">
        <w:rPr>
          <w:lang w:val="fr-FR"/>
        </w:rPr>
        <w:t> </w:t>
      </w:r>
      <w:r w:rsidRPr="00AB1F22">
        <w:rPr>
          <w:lang w:val="fr-FR"/>
        </w:rPr>
        <w:t>141 de la Loi fondamentale, à l</w:t>
      </w:r>
      <w:r w:rsidR="004F1DFB">
        <w:rPr>
          <w:lang w:val="fr-FR"/>
        </w:rPr>
        <w:t>’</w:t>
      </w:r>
      <w:r w:rsidRPr="00AB1F22">
        <w:rPr>
          <w:lang w:val="fr-FR"/>
        </w:rPr>
        <w:t>article 15 de la Charte des droits de Hong</w:t>
      </w:r>
      <w:r>
        <w:rPr>
          <w:lang w:val="fr-FR"/>
        </w:rPr>
        <w:t> </w:t>
      </w:r>
      <w:r w:rsidRPr="00AB1F22">
        <w:rPr>
          <w:lang w:val="fr-FR"/>
        </w:rPr>
        <w:t>Kong et à la législation pertinente. Les</w:t>
      </w:r>
      <w:r w:rsidR="004F1DFB">
        <w:rPr>
          <w:lang w:val="fr-FR"/>
        </w:rPr>
        <w:t> </w:t>
      </w:r>
      <w:r w:rsidRPr="00AB1F22">
        <w:rPr>
          <w:lang w:val="fr-FR"/>
        </w:rPr>
        <w:t>organisations religieuses ont la liberté de mener des activités religieuses en vertu des lois en vigueur à Hong</w:t>
      </w:r>
      <w:r>
        <w:rPr>
          <w:lang w:val="fr-FR"/>
        </w:rPr>
        <w:t> </w:t>
      </w:r>
      <w:r w:rsidRPr="00AB1F22">
        <w:rPr>
          <w:lang w:val="fr-FR"/>
        </w:rPr>
        <w:t>Kong. Des précisions sont données à l</w:t>
      </w:r>
      <w:r w:rsidR="004F1DFB">
        <w:rPr>
          <w:lang w:val="fr-FR"/>
        </w:rPr>
        <w:t>’</w:t>
      </w:r>
      <w:r w:rsidRPr="00AB1F22">
        <w:rPr>
          <w:lang w:val="fr-FR"/>
        </w:rPr>
        <w:t xml:space="preserve">annexe 18A. </w:t>
      </w:r>
    </w:p>
    <w:p w:rsidR="0024529D" w:rsidRPr="00AB1F22" w:rsidRDefault="0024529D" w:rsidP="0024529D">
      <w:pPr>
        <w:pStyle w:val="H1G"/>
        <w:rPr>
          <w:lang w:val="fr-FR"/>
        </w:rPr>
      </w:pPr>
      <w:r w:rsidRPr="00AB1F22">
        <w:rPr>
          <w:lang w:val="fr-FR"/>
        </w:rPr>
        <w:tab/>
      </w:r>
      <w:r w:rsidRPr="00AB1F22">
        <w:rPr>
          <w:lang w:val="fr-FR"/>
        </w:rPr>
        <w:tab/>
      </w:r>
      <w:r w:rsidRPr="00AB1F22">
        <w:rPr>
          <w:bCs/>
          <w:lang w:val="fr-FR"/>
        </w:rPr>
        <w:t xml:space="preserve">Article 19 </w:t>
      </w:r>
      <w:r w:rsidR="004F1DFB">
        <w:rPr>
          <w:bCs/>
          <w:lang w:val="fr-FR"/>
        </w:rPr>
        <w:br/>
      </w:r>
      <w:r w:rsidRPr="00AB1F22">
        <w:rPr>
          <w:bCs/>
          <w:lang w:val="fr-FR"/>
        </w:rPr>
        <w:t>Liberté d</w:t>
      </w:r>
      <w:r w:rsidR="004F1DFB">
        <w:rPr>
          <w:bCs/>
          <w:lang w:val="fr-FR"/>
        </w:rPr>
        <w:t>’</w:t>
      </w:r>
      <w:r w:rsidRPr="00AB1F22">
        <w:rPr>
          <w:bCs/>
          <w:lang w:val="fr-FR"/>
        </w:rPr>
        <w:t>opinion et d</w:t>
      </w:r>
      <w:r w:rsidR="004F1DFB">
        <w:rPr>
          <w:bCs/>
          <w:lang w:val="fr-FR"/>
        </w:rPr>
        <w:t>’</w:t>
      </w:r>
      <w:r w:rsidRPr="00AB1F22">
        <w:rPr>
          <w:bCs/>
          <w:lang w:val="fr-FR"/>
        </w:rPr>
        <w:t>expression</w:t>
      </w:r>
      <w:r w:rsidRPr="00AB1F22">
        <w:rPr>
          <w:lang w:val="fr-FR"/>
        </w:rPr>
        <w:t xml:space="preserve"> </w:t>
      </w:r>
      <w:bookmarkStart w:id="54" w:name="_Toc31721443"/>
      <w:bookmarkEnd w:id="54"/>
    </w:p>
    <w:p w:rsidR="0024529D" w:rsidRPr="00AB1F22" w:rsidRDefault="0024529D" w:rsidP="0024529D">
      <w:pPr>
        <w:pStyle w:val="SingleTxtG"/>
        <w:rPr>
          <w:lang w:val="fr-FR"/>
        </w:rPr>
      </w:pPr>
      <w:r w:rsidRPr="00AB1F22">
        <w:rPr>
          <w:lang w:val="fr-FR"/>
        </w:rPr>
        <w:t>111.</w:t>
      </w:r>
      <w:r w:rsidRPr="00AB1F22">
        <w:rPr>
          <w:lang w:val="fr-FR"/>
        </w:rPr>
        <w:tab/>
        <w:t>Les protections juridiques en vigueur sont telles qu</w:t>
      </w:r>
      <w:r w:rsidR="004F1DFB">
        <w:rPr>
          <w:lang w:val="fr-FR"/>
        </w:rPr>
        <w:t>’</w:t>
      </w:r>
      <w:r w:rsidRPr="00AB1F22">
        <w:rPr>
          <w:lang w:val="fr-FR"/>
        </w:rPr>
        <w:t>expliquées aux paragraphes 326 et</w:t>
      </w:r>
      <w:r w:rsidR="003F79A2">
        <w:rPr>
          <w:lang w:val="fr-FR"/>
        </w:rPr>
        <w:t> </w:t>
      </w:r>
      <w:r w:rsidRPr="00AB1F22">
        <w:rPr>
          <w:lang w:val="fr-FR"/>
        </w:rPr>
        <w:t xml:space="preserve">327 de la deuxième partie du rapport initial.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Liberté de la presse</w:t>
      </w:r>
      <w:r w:rsidRPr="00AB1F22">
        <w:rPr>
          <w:lang w:val="fr-FR"/>
        </w:rPr>
        <w:t xml:space="preserve"> </w:t>
      </w:r>
      <w:bookmarkStart w:id="55" w:name="_Toc31721444"/>
      <w:bookmarkEnd w:id="55"/>
    </w:p>
    <w:p w:rsidR="0024529D" w:rsidRPr="00AB1F22" w:rsidRDefault="0024529D" w:rsidP="0024529D">
      <w:pPr>
        <w:pStyle w:val="SingleTxtG"/>
        <w:rPr>
          <w:lang w:val="fr-FR"/>
        </w:rPr>
      </w:pPr>
      <w:r w:rsidRPr="00AB1F22">
        <w:rPr>
          <w:lang w:val="fr-FR"/>
        </w:rPr>
        <w:t>112.</w:t>
      </w:r>
      <w:r w:rsidRPr="00AB1F22">
        <w:rPr>
          <w:lang w:val="fr-FR"/>
        </w:rPr>
        <w:tab/>
        <w:t>La liberté d</w:t>
      </w:r>
      <w:r w:rsidR="004F1DFB">
        <w:rPr>
          <w:lang w:val="fr-FR"/>
        </w:rPr>
        <w:t>’</w:t>
      </w:r>
      <w:r w:rsidRPr="00AB1F22">
        <w:rPr>
          <w:lang w:val="fr-FR"/>
        </w:rPr>
        <w:t>expression et la liberté de la presse sont garanties par la Loi fondamentale et par l</w:t>
      </w:r>
      <w:r w:rsidR="004F1DFB">
        <w:rPr>
          <w:lang w:val="fr-FR"/>
        </w:rPr>
        <w:t>’</w:t>
      </w:r>
      <w:r w:rsidRPr="00AB1F22">
        <w:rPr>
          <w:lang w:val="fr-FR"/>
        </w:rPr>
        <w:t>ordonnance po</w:t>
      </w:r>
      <w:r>
        <w:rPr>
          <w:lang w:val="fr-FR"/>
        </w:rPr>
        <w:t>rtant Charte des droits de Hong </w:t>
      </w:r>
      <w:r w:rsidRPr="00AB1F22">
        <w:rPr>
          <w:lang w:val="fr-FR"/>
        </w:rPr>
        <w:t>Kong. Le</w:t>
      </w:r>
      <w:r w:rsidR="004F1DFB">
        <w:rPr>
          <w:lang w:val="fr-FR"/>
        </w:rPr>
        <w:t> </w:t>
      </w:r>
      <w:r w:rsidRPr="00AB1F22">
        <w:rPr>
          <w:lang w:val="fr-FR"/>
        </w:rPr>
        <w:t>Gouvernement soutient le principe de l</w:t>
      </w:r>
      <w:r w:rsidR="004F1DFB">
        <w:rPr>
          <w:lang w:val="fr-FR"/>
        </w:rPr>
        <w:t>’</w:t>
      </w:r>
      <w:r w:rsidRPr="00AB1F22">
        <w:rPr>
          <w:lang w:val="fr-FR"/>
        </w:rPr>
        <w:t>autonomie éditoriale des journalistes, et n</w:t>
      </w:r>
      <w:r w:rsidR="004F1DFB">
        <w:rPr>
          <w:lang w:val="fr-FR"/>
        </w:rPr>
        <w:t>’</w:t>
      </w:r>
      <w:r w:rsidRPr="00AB1F22">
        <w:rPr>
          <w:lang w:val="fr-FR"/>
        </w:rPr>
        <w:t xml:space="preserve">intervient pas dans le fonctionnement interne des médias.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Prévention des actes d</w:t>
      </w:r>
      <w:r w:rsidR="004F1DFB">
        <w:rPr>
          <w:bCs/>
          <w:lang w:val="fr-FR"/>
        </w:rPr>
        <w:t>’</w:t>
      </w:r>
      <w:r w:rsidRPr="00AB1F22">
        <w:rPr>
          <w:bCs/>
          <w:lang w:val="fr-FR"/>
        </w:rPr>
        <w:t>intimidation et de harcèlement visant des législateurs, des</w:t>
      </w:r>
      <w:r w:rsidR="004F1DFB">
        <w:rPr>
          <w:bCs/>
          <w:lang w:val="fr-FR"/>
        </w:rPr>
        <w:t> </w:t>
      </w:r>
      <w:r w:rsidRPr="00AB1F22">
        <w:rPr>
          <w:bCs/>
          <w:lang w:val="fr-FR"/>
        </w:rPr>
        <w:t>professionnels des médias et des universitaires</w:t>
      </w:r>
      <w:r>
        <w:rPr>
          <w:bCs/>
          <w:lang w:val="fr-FR"/>
        </w:rPr>
        <w:t>,</w:t>
      </w:r>
      <w:r w:rsidRPr="00AB1F22">
        <w:rPr>
          <w:bCs/>
          <w:lang w:val="fr-FR"/>
        </w:rPr>
        <w:t xml:space="preserve"> et protection contre ces actes</w:t>
      </w:r>
      <w:r w:rsidRPr="00AB1F22">
        <w:rPr>
          <w:lang w:val="fr-FR"/>
        </w:rPr>
        <w:t xml:space="preserve"> </w:t>
      </w:r>
      <w:bookmarkStart w:id="56" w:name="_Toc31721445"/>
      <w:bookmarkEnd w:id="56"/>
    </w:p>
    <w:p w:rsidR="0024529D" w:rsidRPr="00AB1F22" w:rsidRDefault="0024529D" w:rsidP="0024529D">
      <w:pPr>
        <w:pStyle w:val="SingleTxtG"/>
        <w:rPr>
          <w:lang w:val="fr-FR"/>
        </w:rPr>
      </w:pPr>
      <w:r w:rsidRPr="00AB1F22">
        <w:rPr>
          <w:lang w:val="fr-FR"/>
        </w:rPr>
        <w:t>113.</w:t>
      </w:r>
      <w:r w:rsidRPr="00AB1F22">
        <w:rPr>
          <w:lang w:val="fr-FR"/>
        </w:rPr>
        <w:tab/>
        <w:t>Au paragraphe 13 de ses précédentes observations finales, le Comité s</w:t>
      </w:r>
      <w:r w:rsidR="004F1DFB">
        <w:rPr>
          <w:lang w:val="fr-FR"/>
        </w:rPr>
        <w:t>’</w:t>
      </w:r>
      <w:r w:rsidRPr="00AB1F22">
        <w:rPr>
          <w:lang w:val="fr-FR"/>
        </w:rPr>
        <w:t>est dit préoccupé par les agressions et le harcèlement de journalistes et d</w:t>
      </w:r>
      <w:r w:rsidR="004F1DFB">
        <w:rPr>
          <w:lang w:val="fr-FR"/>
        </w:rPr>
        <w:t>’</w:t>
      </w:r>
      <w:r w:rsidRPr="00AB1F22">
        <w:rPr>
          <w:lang w:val="fr-FR"/>
        </w:rPr>
        <w:t>universitaires et a recommandé l</w:t>
      </w:r>
      <w:r w:rsidR="004F1DFB">
        <w:rPr>
          <w:lang w:val="fr-FR"/>
        </w:rPr>
        <w:t>’</w:t>
      </w:r>
      <w:r w:rsidRPr="00AB1F22">
        <w:rPr>
          <w:lang w:val="fr-FR"/>
        </w:rPr>
        <w:t xml:space="preserve">adoption de mesures effectives pour enquêter sur ces attaques. </w:t>
      </w:r>
    </w:p>
    <w:p w:rsidR="0024529D" w:rsidRPr="00AB1F22" w:rsidRDefault="0024529D" w:rsidP="0024529D">
      <w:pPr>
        <w:pStyle w:val="SingleTxtG"/>
        <w:rPr>
          <w:lang w:val="fr-FR"/>
        </w:rPr>
      </w:pPr>
      <w:r w:rsidRPr="00AB1F22">
        <w:rPr>
          <w:lang w:val="fr-FR"/>
        </w:rPr>
        <w:t>114.</w:t>
      </w:r>
      <w:r w:rsidRPr="00AB1F22">
        <w:rPr>
          <w:lang w:val="fr-FR"/>
        </w:rPr>
        <w:tab/>
        <w:t>Le Gouvernement est pleinement résolu à assurer la sécurité de toute la population, indépendamment du fait qu</w:t>
      </w:r>
      <w:r w:rsidR="004F1DFB">
        <w:rPr>
          <w:lang w:val="fr-FR"/>
        </w:rPr>
        <w:t>’</w:t>
      </w:r>
      <w:r w:rsidRPr="00AB1F22">
        <w:rPr>
          <w:lang w:val="fr-FR"/>
        </w:rPr>
        <w:t>il s</w:t>
      </w:r>
      <w:r w:rsidR="004F1DFB">
        <w:rPr>
          <w:lang w:val="fr-FR"/>
        </w:rPr>
        <w:t>’</w:t>
      </w:r>
      <w:r w:rsidRPr="00AB1F22">
        <w:rPr>
          <w:lang w:val="fr-FR"/>
        </w:rPr>
        <w:t>agisse de personnes appartenant ou non à un groupe particulier. Lorsqu</w:t>
      </w:r>
      <w:r w:rsidR="004F1DFB">
        <w:rPr>
          <w:lang w:val="fr-FR"/>
        </w:rPr>
        <w:t>’</w:t>
      </w:r>
      <w:r w:rsidRPr="00AB1F22">
        <w:rPr>
          <w:lang w:val="fr-FR"/>
        </w:rPr>
        <w:t>elle reçoit un signalement d</w:t>
      </w:r>
      <w:r w:rsidR="004F1DFB">
        <w:rPr>
          <w:lang w:val="fr-FR"/>
        </w:rPr>
        <w:t>’</w:t>
      </w:r>
      <w:r w:rsidRPr="00AB1F22">
        <w:rPr>
          <w:lang w:val="fr-FR"/>
        </w:rPr>
        <w:t>acte d</w:t>
      </w:r>
      <w:r w:rsidR="004F1DFB">
        <w:rPr>
          <w:lang w:val="fr-FR"/>
        </w:rPr>
        <w:t>’</w:t>
      </w:r>
      <w:r w:rsidRPr="00AB1F22">
        <w:rPr>
          <w:lang w:val="fr-FR"/>
        </w:rPr>
        <w:t>intimidation ou de violence criminelle, la police mène une enquête approfondie sur l</w:t>
      </w:r>
      <w:r w:rsidR="004F1DFB">
        <w:rPr>
          <w:lang w:val="fr-FR"/>
        </w:rPr>
        <w:t>’</w:t>
      </w:r>
      <w:r w:rsidRPr="00AB1F22">
        <w:rPr>
          <w:lang w:val="fr-FR"/>
        </w:rPr>
        <w:t>affaire afin de traduire en justice l</w:t>
      </w:r>
      <w:r w:rsidR="004F1DFB">
        <w:rPr>
          <w:lang w:val="fr-FR"/>
        </w:rPr>
        <w:t>’</w:t>
      </w:r>
      <w:r w:rsidRPr="00AB1F22">
        <w:rPr>
          <w:lang w:val="fr-FR"/>
        </w:rPr>
        <w:t>auteur de l</w:t>
      </w:r>
      <w:r w:rsidR="004F1DFB">
        <w:rPr>
          <w:lang w:val="fr-FR"/>
        </w:rPr>
        <w:t>’</w:t>
      </w:r>
      <w:r w:rsidRPr="00AB1F22">
        <w:rPr>
          <w:lang w:val="fr-FR"/>
        </w:rPr>
        <w:t>acte. La police prend ces incidents très au sérieux et joue la carte de la prévention dans ses enquêtes. En fonction des éléments de preuve et de l</w:t>
      </w:r>
      <w:r w:rsidR="004F1DFB">
        <w:rPr>
          <w:lang w:val="fr-FR"/>
        </w:rPr>
        <w:t>’</w:t>
      </w:r>
      <w:r w:rsidRPr="00AB1F22">
        <w:rPr>
          <w:lang w:val="fr-FR"/>
        </w:rPr>
        <w:t xml:space="preserve">accompagnement juridique dont elle dispose, la police pourra arrêter et inculper les auteurs. </w:t>
      </w:r>
    </w:p>
    <w:p w:rsidR="0024529D" w:rsidRPr="00AB1F22" w:rsidRDefault="0024529D" w:rsidP="0024529D">
      <w:pPr>
        <w:pStyle w:val="SingleTxtG"/>
        <w:rPr>
          <w:lang w:val="fr-FR"/>
        </w:rPr>
      </w:pPr>
      <w:r w:rsidRPr="00AB1F22">
        <w:rPr>
          <w:lang w:val="fr-FR"/>
        </w:rPr>
        <w:t>115.</w:t>
      </w:r>
      <w:r w:rsidRPr="00AB1F22">
        <w:rPr>
          <w:lang w:val="fr-FR"/>
        </w:rPr>
        <w:tab/>
        <w:t>Pour ce qui est de la sécurité et du bien</w:t>
      </w:r>
      <w:r>
        <w:rPr>
          <w:lang w:val="fr-FR"/>
        </w:rPr>
        <w:noBreakHyphen/>
      </w:r>
      <w:r w:rsidRPr="00AB1F22">
        <w:rPr>
          <w:lang w:val="fr-FR"/>
        </w:rPr>
        <w:t>être des victimes, la police évalue le risque et prend les mesures adaptées si elle constate ou soupçonne qu</w:t>
      </w:r>
      <w:r w:rsidR="004F1DFB">
        <w:rPr>
          <w:lang w:val="fr-FR"/>
        </w:rPr>
        <w:t>’</w:t>
      </w:r>
      <w:r w:rsidRPr="00AB1F22">
        <w:rPr>
          <w:lang w:val="fr-FR"/>
        </w:rPr>
        <w:t>une victime, sa famille ou leurs biens sont menacés. Elle peut, par exemple, renforcer la patrouille au domicile ou sur le lieu de travail des victimes, et dispenser aux victimes des conseils en matière de sécurité. Conformément à l</w:t>
      </w:r>
      <w:r w:rsidR="004F1DFB">
        <w:rPr>
          <w:lang w:val="fr-FR"/>
        </w:rPr>
        <w:t>’</w:t>
      </w:r>
      <w:r w:rsidRPr="00AB1F22">
        <w:rPr>
          <w:lang w:val="fr-FR"/>
        </w:rPr>
        <w:t>ordonnance relative à la protection des témoins (chap. 564), la police a mis en place un programme de protection des témoins, dans le cadre duquel une protection et d</w:t>
      </w:r>
      <w:r w:rsidR="004F1DFB">
        <w:rPr>
          <w:lang w:val="fr-FR"/>
        </w:rPr>
        <w:t>’</w:t>
      </w:r>
      <w:r w:rsidRPr="00AB1F22">
        <w:rPr>
          <w:lang w:val="fr-FR"/>
        </w:rPr>
        <w:t>autres formes d</w:t>
      </w:r>
      <w:r w:rsidR="004F1DFB">
        <w:rPr>
          <w:lang w:val="fr-FR"/>
        </w:rPr>
        <w:t>’</w:t>
      </w:r>
      <w:r w:rsidRPr="00AB1F22">
        <w:rPr>
          <w:lang w:val="fr-FR"/>
        </w:rPr>
        <w:t>assistance sont fournies aux témoins dont la sécurité ou le bien</w:t>
      </w:r>
      <w:r>
        <w:rPr>
          <w:lang w:val="fr-FR"/>
        </w:rPr>
        <w:noBreakHyphen/>
      </w:r>
      <w:r w:rsidRPr="00AB1F22">
        <w:rPr>
          <w:lang w:val="fr-FR"/>
        </w:rPr>
        <w:t>être personnel</w:t>
      </w:r>
      <w:r>
        <w:rPr>
          <w:lang w:val="fr-FR"/>
        </w:rPr>
        <w:t>s</w:t>
      </w:r>
      <w:r w:rsidRPr="00AB1F22">
        <w:rPr>
          <w:lang w:val="fr-FR"/>
        </w:rPr>
        <w:t xml:space="preserve"> pourrai</w:t>
      </w:r>
      <w:r>
        <w:rPr>
          <w:lang w:val="fr-FR"/>
        </w:rPr>
        <w:t>en</w:t>
      </w:r>
      <w:r w:rsidRPr="00AB1F22">
        <w:rPr>
          <w:lang w:val="fr-FR"/>
        </w:rPr>
        <w:t>t être menacé</w:t>
      </w:r>
      <w:r>
        <w:rPr>
          <w:lang w:val="fr-FR"/>
        </w:rPr>
        <w:t>s.</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Les infractions de trahison et de sédition</w:t>
      </w:r>
      <w:r w:rsidRPr="00AB1F22">
        <w:rPr>
          <w:lang w:val="fr-FR"/>
        </w:rPr>
        <w:t xml:space="preserve"> </w:t>
      </w:r>
      <w:bookmarkStart w:id="57" w:name="_Toc31721446"/>
      <w:bookmarkEnd w:id="57"/>
    </w:p>
    <w:p w:rsidR="0024529D" w:rsidRPr="00AB1F22" w:rsidRDefault="0024529D" w:rsidP="0024529D">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right" w:pos="8504"/>
        </w:tabs>
        <w:rPr>
          <w:lang w:val="fr-FR"/>
        </w:rPr>
      </w:pPr>
      <w:r w:rsidRPr="00AB1F22">
        <w:rPr>
          <w:lang w:val="fr-FR"/>
        </w:rPr>
        <w:t>116.</w:t>
      </w:r>
      <w:r w:rsidRPr="00AB1F22">
        <w:rPr>
          <w:lang w:val="fr-FR"/>
        </w:rPr>
        <w:tab/>
        <w:t>La situation reste inchangée par rapport à celle exposée au paragraphe 205 du rapport précédent.</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Liberté d</w:t>
      </w:r>
      <w:r w:rsidR="004F1DFB">
        <w:rPr>
          <w:bCs/>
          <w:lang w:val="fr-FR"/>
        </w:rPr>
        <w:t>’</w:t>
      </w:r>
      <w:r w:rsidRPr="00AB1F22">
        <w:rPr>
          <w:bCs/>
          <w:lang w:val="fr-FR"/>
        </w:rPr>
        <w:t>expression</w:t>
      </w:r>
      <w:r w:rsidRPr="00AB1F22">
        <w:rPr>
          <w:lang w:val="fr-FR"/>
        </w:rPr>
        <w:t xml:space="preserve"> </w:t>
      </w:r>
      <w:bookmarkStart w:id="58" w:name="_Toc31721447"/>
      <w:bookmarkEnd w:id="58"/>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Liberté d</w:t>
      </w:r>
      <w:r w:rsidR="004F1DFB">
        <w:rPr>
          <w:iCs/>
          <w:lang w:val="fr-FR"/>
        </w:rPr>
        <w:t>’</w:t>
      </w:r>
      <w:r w:rsidRPr="00AB1F22">
        <w:rPr>
          <w:iCs/>
          <w:lang w:val="fr-FR"/>
        </w:rPr>
        <w:t>enseignement</w:t>
      </w:r>
      <w:r w:rsidRPr="00AB1F22">
        <w:rPr>
          <w:lang w:val="fr-FR"/>
        </w:rPr>
        <w:t xml:space="preserve"> </w:t>
      </w:r>
    </w:p>
    <w:p w:rsidR="0024529D" w:rsidRPr="00AB1F22" w:rsidRDefault="0024529D" w:rsidP="0024529D">
      <w:pPr>
        <w:pStyle w:val="SingleTxtG"/>
        <w:rPr>
          <w:lang w:val="fr-FR"/>
        </w:rPr>
      </w:pPr>
      <w:r w:rsidRPr="00AB1F22">
        <w:rPr>
          <w:lang w:val="fr-FR"/>
        </w:rPr>
        <w:t>117.</w:t>
      </w:r>
      <w:r w:rsidRPr="00AB1F22">
        <w:rPr>
          <w:lang w:val="fr-FR"/>
        </w:rPr>
        <w:tab/>
        <w:t>En réponse au paragraphe 13 des précédentes observations finales, dans lequel le</w:t>
      </w:r>
      <w:r w:rsidR="003F79A2">
        <w:rPr>
          <w:lang w:val="fr-FR"/>
        </w:rPr>
        <w:t> </w:t>
      </w:r>
      <w:r w:rsidRPr="00AB1F22">
        <w:rPr>
          <w:lang w:val="fr-FR"/>
        </w:rPr>
        <w:t>Comité s</w:t>
      </w:r>
      <w:r w:rsidR="004F1DFB">
        <w:rPr>
          <w:lang w:val="fr-FR"/>
        </w:rPr>
        <w:t>’</w:t>
      </w:r>
      <w:r w:rsidRPr="00AB1F22">
        <w:rPr>
          <w:lang w:val="fr-FR"/>
        </w:rPr>
        <w:t>est dit préoccupé par les informations relatives à la liberté d</w:t>
      </w:r>
      <w:r w:rsidR="004F1DFB">
        <w:rPr>
          <w:lang w:val="fr-FR"/>
        </w:rPr>
        <w:t>’</w:t>
      </w:r>
      <w:r w:rsidRPr="00AB1F22">
        <w:rPr>
          <w:lang w:val="fr-FR"/>
        </w:rPr>
        <w:t>enseignement, le</w:t>
      </w:r>
      <w:r w:rsidR="004F1DFB">
        <w:rPr>
          <w:lang w:val="fr-FR"/>
        </w:rPr>
        <w:t> </w:t>
      </w:r>
      <w:r w:rsidRPr="00AB1F22">
        <w:rPr>
          <w:lang w:val="fr-FR"/>
        </w:rPr>
        <w:t>Gouvernement souhaite rappeler qu</w:t>
      </w:r>
      <w:r w:rsidR="004F1DFB">
        <w:rPr>
          <w:lang w:val="fr-FR"/>
        </w:rPr>
        <w:t>’</w:t>
      </w:r>
      <w:r w:rsidRPr="00AB1F22">
        <w:rPr>
          <w:lang w:val="fr-FR"/>
        </w:rPr>
        <w:t>il s</w:t>
      </w:r>
      <w:r w:rsidR="004F1DFB">
        <w:rPr>
          <w:lang w:val="fr-FR"/>
        </w:rPr>
        <w:t>’</w:t>
      </w:r>
      <w:r w:rsidRPr="00AB1F22">
        <w:rPr>
          <w:lang w:val="fr-FR"/>
        </w:rPr>
        <w:t>agit d</w:t>
      </w:r>
      <w:r w:rsidR="004F1DFB">
        <w:rPr>
          <w:lang w:val="fr-FR"/>
        </w:rPr>
        <w:t>’</w:t>
      </w:r>
      <w:r w:rsidRPr="00AB1F22">
        <w:rPr>
          <w:lang w:val="fr-FR"/>
        </w:rPr>
        <w:t>une liberté à laquelle Hong</w:t>
      </w:r>
      <w:r>
        <w:rPr>
          <w:lang w:val="fr-FR"/>
        </w:rPr>
        <w:t> </w:t>
      </w:r>
      <w:r w:rsidRPr="00AB1F22">
        <w:rPr>
          <w:lang w:val="fr-FR"/>
        </w:rPr>
        <w:t>Kong attache une grande importance et qui est protégée par la Loi fondamentale. C</w:t>
      </w:r>
      <w:r w:rsidR="004F1DFB">
        <w:rPr>
          <w:lang w:val="fr-FR"/>
        </w:rPr>
        <w:t>’</w:t>
      </w:r>
      <w:r w:rsidRPr="00AB1F22">
        <w:rPr>
          <w:lang w:val="fr-FR"/>
        </w:rPr>
        <w:t>est en outre un pilier de notre secteur de l</w:t>
      </w:r>
      <w:r w:rsidR="004F1DFB">
        <w:rPr>
          <w:lang w:val="fr-FR"/>
        </w:rPr>
        <w:t>’</w:t>
      </w:r>
      <w:r w:rsidRPr="00AB1F22">
        <w:rPr>
          <w:lang w:val="fr-FR"/>
        </w:rPr>
        <w:t>enseignement supérieur. Le Gouvernement est déterminé à faire respecter la liberté d</w:t>
      </w:r>
      <w:r w:rsidR="004F1DFB">
        <w:rPr>
          <w:lang w:val="fr-FR"/>
        </w:rPr>
        <w:t>’</w:t>
      </w:r>
      <w:r w:rsidRPr="00AB1F22">
        <w:rPr>
          <w:lang w:val="fr-FR"/>
        </w:rPr>
        <w:t>enseignement et l</w:t>
      </w:r>
      <w:r w:rsidR="004F1DFB">
        <w:rPr>
          <w:lang w:val="fr-FR"/>
        </w:rPr>
        <w:t>’</w:t>
      </w:r>
      <w:r w:rsidRPr="00AB1F22">
        <w:rPr>
          <w:lang w:val="fr-FR"/>
        </w:rPr>
        <w:t xml:space="preserve">autonomie institutionnelle. </w:t>
      </w:r>
    </w:p>
    <w:p w:rsidR="0024529D" w:rsidRPr="00AB1F22" w:rsidRDefault="0024529D" w:rsidP="0024529D">
      <w:pPr>
        <w:pStyle w:val="SingleTxtG"/>
        <w:rPr>
          <w:lang w:val="fr-FR"/>
        </w:rPr>
      </w:pPr>
      <w:r w:rsidRPr="00AB1F22">
        <w:rPr>
          <w:lang w:val="fr-FR"/>
        </w:rPr>
        <w:t>118.</w:t>
      </w:r>
      <w:r w:rsidRPr="00AB1F22">
        <w:rPr>
          <w:lang w:val="fr-FR"/>
        </w:rPr>
        <w:tab/>
        <w:t>Les universités jouissent de la liberté d</w:t>
      </w:r>
      <w:r w:rsidR="004F1DFB">
        <w:rPr>
          <w:lang w:val="fr-FR"/>
        </w:rPr>
        <w:t>’</w:t>
      </w:r>
      <w:r w:rsidRPr="00AB1F22">
        <w:rPr>
          <w:lang w:val="fr-FR"/>
        </w:rPr>
        <w:t>enseignement et de l</w:t>
      </w:r>
      <w:r w:rsidR="004F1DFB">
        <w:rPr>
          <w:lang w:val="fr-FR"/>
        </w:rPr>
        <w:t>’</w:t>
      </w:r>
      <w:r w:rsidRPr="00AB1F22">
        <w:rPr>
          <w:lang w:val="fr-FR"/>
        </w:rPr>
        <w:t>autonomie institutionnelle en vertu de la loi. Au titre de l</w:t>
      </w:r>
      <w:r w:rsidR="004F1DFB">
        <w:rPr>
          <w:lang w:val="fr-FR"/>
        </w:rPr>
        <w:t>’</w:t>
      </w:r>
      <w:r w:rsidRPr="00AB1F22">
        <w:rPr>
          <w:lang w:val="fr-FR"/>
        </w:rPr>
        <w:t>article 137 de la Loi fondamentale, les</w:t>
      </w:r>
      <w:r w:rsidR="004F1DFB">
        <w:rPr>
          <w:lang w:val="fr-FR"/>
        </w:rPr>
        <w:t> </w:t>
      </w:r>
      <w:r w:rsidRPr="00AB1F22">
        <w:rPr>
          <w:lang w:val="fr-FR"/>
        </w:rPr>
        <w:t>établissements d</w:t>
      </w:r>
      <w:r w:rsidR="004F1DFB">
        <w:rPr>
          <w:lang w:val="fr-FR"/>
        </w:rPr>
        <w:t>’</w:t>
      </w:r>
      <w:r w:rsidRPr="00AB1F22">
        <w:rPr>
          <w:lang w:val="fr-FR"/>
        </w:rPr>
        <w:t>enseignement de tous ordres peuvent conserver leur autonomie et jouir de la liberté d</w:t>
      </w:r>
      <w:r w:rsidR="004F1DFB">
        <w:rPr>
          <w:lang w:val="fr-FR"/>
        </w:rPr>
        <w:t>’</w:t>
      </w:r>
      <w:r w:rsidRPr="00AB1F22">
        <w:rPr>
          <w:lang w:val="fr-FR"/>
        </w:rPr>
        <w:t>enseignement. Ils peuvent continuer à recruter du personnel et à utiliser du matériel pédagogique provenant de l</w:t>
      </w:r>
      <w:r w:rsidR="004F1DFB">
        <w:rPr>
          <w:lang w:val="fr-FR"/>
        </w:rPr>
        <w:t>’</w:t>
      </w:r>
      <w:r w:rsidRPr="00AB1F22">
        <w:rPr>
          <w:lang w:val="fr-FR"/>
        </w:rPr>
        <w:t>extérieur de la RAS de Hong</w:t>
      </w:r>
      <w:r>
        <w:rPr>
          <w:lang w:val="fr-FR"/>
        </w:rPr>
        <w:t> </w:t>
      </w:r>
      <w:r w:rsidRPr="00AB1F22">
        <w:rPr>
          <w:lang w:val="fr-FR"/>
        </w:rPr>
        <w:t>Kong. De plus, l</w:t>
      </w:r>
      <w:r w:rsidR="004F1DFB">
        <w:rPr>
          <w:lang w:val="fr-FR"/>
        </w:rPr>
        <w:t>’</w:t>
      </w:r>
      <w:r w:rsidRPr="00AB1F22">
        <w:rPr>
          <w:lang w:val="fr-FR"/>
        </w:rPr>
        <w:t>article 34 de la Loi fondamentale dispose que les résidents de Hong</w:t>
      </w:r>
      <w:r>
        <w:rPr>
          <w:lang w:val="fr-FR"/>
        </w:rPr>
        <w:t> </w:t>
      </w:r>
      <w:r w:rsidRPr="00AB1F22">
        <w:rPr>
          <w:lang w:val="fr-FR"/>
        </w:rPr>
        <w:t>Kong sont libres de se livrer à la recherche universitaire, à la création littéraire et artistique et à d</w:t>
      </w:r>
      <w:r w:rsidR="004F1DFB">
        <w:rPr>
          <w:lang w:val="fr-FR"/>
        </w:rPr>
        <w:t>’</w:t>
      </w:r>
      <w:r w:rsidRPr="00AB1F22">
        <w:rPr>
          <w:lang w:val="fr-FR"/>
        </w:rPr>
        <w:t xml:space="preserve">autres activités culturelles. </w:t>
      </w:r>
    </w:p>
    <w:p w:rsidR="0024529D" w:rsidRPr="00AB1F22" w:rsidRDefault="0024529D" w:rsidP="0024529D">
      <w:pPr>
        <w:pStyle w:val="SingleTxtG"/>
        <w:rPr>
          <w:lang w:val="fr-FR"/>
        </w:rPr>
      </w:pPr>
      <w:r w:rsidRPr="00AB1F22">
        <w:rPr>
          <w:lang w:val="fr-FR"/>
        </w:rPr>
        <w:t>119.</w:t>
      </w:r>
      <w:r w:rsidRPr="00AB1F22">
        <w:rPr>
          <w:lang w:val="fr-FR"/>
        </w:rPr>
        <w:tab/>
        <w:t xml:space="preserve">Les </w:t>
      </w:r>
      <w:r w:rsidRPr="008A2C7C">
        <w:rPr>
          <w:lang w:val="fr-FR"/>
        </w:rPr>
        <w:t>huit universités</w:t>
      </w:r>
      <w:r w:rsidRPr="00AB1F22">
        <w:rPr>
          <w:lang w:val="fr-FR"/>
        </w:rPr>
        <w:t xml:space="preserve"> financées par la Commission des bourses universitaires sont des établissements publics indépendants et autonomes. Elles disposent de leurs propres ordonnances et statuts qui définissent leurs objectifs, leurs fonctions et leur structure de gouvernance. La législation donne aux universités le pouvoir et la liberté de réaliser leurs objectifs et de remplir leurs fonctions. La Commission des bourses universitaires, qui sert d</w:t>
      </w:r>
      <w:r w:rsidR="004F1DFB">
        <w:rPr>
          <w:lang w:val="fr-FR"/>
        </w:rPr>
        <w:t>’</w:t>
      </w:r>
      <w:r w:rsidRPr="00AB1F22">
        <w:rPr>
          <w:lang w:val="fr-FR"/>
        </w:rPr>
        <w:t>intermédiaire entre le Gouvernement et les universités, garantit également la liberté d</w:t>
      </w:r>
      <w:r w:rsidR="004F1DFB">
        <w:rPr>
          <w:lang w:val="fr-FR"/>
        </w:rPr>
        <w:t>’</w:t>
      </w:r>
      <w:r w:rsidRPr="00AB1F22">
        <w:rPr>
          <w:lang w:val="fr-FR"/>
        </w:rPr>
        <w:t>enseignement et l</w:t>
      </w:r>
      <w:r w:rsidR="004F1DFB">
        <w:rPr>
          <w:lang w:val="fr-FR"/>
        </w:rPr>
        <w:t>’</w:t>
      </w:r>
      <w:r w:rsidRPr="00AB1F22">
        <w:rPr>
          <w:lang w:val="fr-FR"/>
        </w:rPr>
        <w:t>autonomie institutionnelle. En fait, les rôles que la Commission des bourses universitaires, le Gouvernement et les universités jouent dans l</w:t>
      </w:r>
      <w:r w:rsidR="004F1DFB">
        <w:rPr>
          <w:lang w:val="fr-FR"/>
        </w:rPr>
        <w:t>’</w:t>
      </w:r>
      <w:r w:rsidRPr="00AB1F22">
        <w:rPr>
          <w:lang w:val="fr-FR"/>
        </w:rPr>
        <w:t>enseignement supérieur sont clairement définis dans les règles de procédure de la Commission. Les règles définissent notamment cinq grands domaines d</w:t>
      </w:r>
      <w:r w:rsidR="004F1DFB">
        <w:rPr>
          <w:lang w:val="fr-FR"/>
        </w:rPr>
        <w:t>’</w:t>
      </w:r>
      <w:r w:rsidRPr="00AB1F22">
        <w:rPr>
          <w:lang w:val="fr-FR"/>
        </w:rPr>
        <w:t>autonomie institutionnelle, à savoir</w:t>
      </w:r>
      <w:r>
        <w:rPr>
          <w:lang w:val="fr-FR"/>
        </w:rPr>
        <w:t> : la sélection du personnel ;</w:t>
      </w:r>
      <w:r w:rsidRPr="00AB1F22">
        <w:rPr>
          <w:lang w:val="fr-FR"/>
        </w:rPr>
        <w:t xml:space="preserve"> la sélection des étudiants</w:t>
      </w:r>
      <w:r>
        <w:rPr>
          <w:lang w:val="fr-FR"/>
        </w:rPr>
        <w:t> ;</w:t>
      </w:r>
      <w:r w:rsidRPr="00AB1F22">
        <w:rPr>
          <w:lang w:val="fr-FR"/>
        </w:rPr>
        <w:t xml:space="preserve"> les programmes d</w:t>
      </w:r>
      <w:r w:rsidR="004F1DFB">
        <w:rPr>
          <w:lang w:val="fr-FR"/>
        </w:rPr>
        <w:t>’</w:t>
      </w:r>
      <w:r w:rsidRPr="00AB1F22">
        <w:rPr>
          <w:lang w:val="fr-FR"/>
        </w:rPr>
        <w:t>études et les normes universitaires</w:t>
      </w:r>
      <w:r>
        <w:rPr>
          <w:lang w:val="fr-FR"/>
        </w:rPr>
        <w:t> ;</w:t>
      </w:r>
      <w:r w:rsidRPr="00AB1F22">
        <w:rPr>
          <w:lang w:val="fr-FR"/>
        </w:rPr>
        <w:t xml:space="preserve"> la validation des programmes de recherche</w:t>
      </w:r>
      <w:r>
        <w:rPr>
          <w:lang w:val="fr-FR"/>
        </w:rPr>
        <w:t> ;</w:t>
      </w:r>
      <w:r w:rsidRPr="00AB1F22">
        <w:rPr>
          <w:lang w:val="fr-FR"/>
        </w:rPr>
        <w:t xml:space="preserve"> et l</w:t>
      </w:r>
      <w:r w:rsidR="004F1DFB">
        <w:rPr>
          <w:lang w:val="fr-FR"/>
        </w:rPr>
        <w:t>’</w:t>
      </w:r>
      <w:r w:rsidRPr="00AB1F22">
        <w:rPr>
          <w:lang w:val="fr-FR"/>
        </w:rPr>
        <w:t>affectation de fonds au sein de l</w:t>
      </w:r>
      <w:r w:rsidR="004F1DFB">
        <w:rPr>
          <w:lang w:val="fr-FR"/>
        </w:rPr>
        <w:t>’</w:t>
      </w:r>
      <w:r>
        <w:rPr>
          <w:lang w:val="fr-FR"/>
        </w:rPr>
        <w:t>université.</w:t>
      </w:r>
    </w:p>
    <w:p w:rsidR="0024529D" w:rsidRPr="00AB1F22" w:rsidRDefault="0024529D" w:rsidP="0024529D">
      <w:pPr>
        <w:pStyle w:val="SingleTxtG"/>
        <w:rPr>
          <w:lang w:val="fr-FR"/>
        </w:rPr>
      </w:pPr>
      <w:r w:rsidRPr="00AB1F22">
        <w:rPr>
          <w:lang w:val="fr-FR"/>
        </w:rPr>
        <w:t>120.</w:t>
      </w:r>
      <w:r w:rsidRPr="00AB1F22">
        <w:rPr>
          <w:lang w:val="fr-FR"/>
        </w:rPr>
        <w:tab/>
        <w:t>En fait, les universitaires de Hong</w:t>
      </w:r>
      <w:r>
        <w:rPr>
          <w:lang w:val="fr-FR"/>
        </w:rPr>
        <w:t> </w:t>
      </w:r>
      <w:r w:rsidRPr="00AB1F22">
        <w:rPr>
          <w:lang w:val="fr-FR"/>
        </w:rPr>
        <w:t>Kong continuent de jouir de la liberté de mener leurs travaux universitaires, y compris de faire des recherches et de publier des ouvrages sur les sujets de leur choix. Il est particulièrement intéressant de relever que, conformément à la pratique internationale, un mécanisme d</w:t>
      </w:r>
      <w:r w:rsidR="004F1DFB">
        <w:rPr>
          <w:lang w:val="fr-FR"/>
        </w:rPr>
        <w:t>’</w:t>
      </w:r>
      <w:r w:rsidRPr="00AB1F22">
        <w:rPr>
          <w:lang w:val="fr-FR"/>
        </w:rPr>
        <w:t>évaluation par les pairs a été adopté dès le début pour évaluer les propositions de recherche soumises dans le cadre des différents régimes de financement de la recherche concurrentielle administrés par le Conseil des bourses de recherche sous l</w:t>
      </w:r>
      <w:r w:rsidR="004F1DFB">
        <w:rPr>
          <w:lang w:val="fr-FR"/>
        </w:rPr>
        <w:t>’</w:t>
      </w:r>
      <w:r w:rsidRPr="00AB1F22">
        <w:rPr>
          <w:lang w:val="fr-FR"/>
        </w:rPr>
        <w:t>égide de la Commission des bourses universitaires. Les jurys chargés des évaluations sont invariablement présidés par d</w:t>
      </w:r>
      <w:r w:rsidR="004F1DFB">
        <w:rPr>
          <w:lang w:val="fr-FR"/>
        </w:rPr>
        <w:t>’</w:t>
      </w:r>
      <w:r w:rsidRPr="00AB1F22">
        <w:rPr>
          <w:lang w:val="fr-FR"/>
        </w:rPr>
        <w:t>éminents experts étrangers, ce qui contribue à garantir des évaluations fondées sur la qualité académique et le bien</w:t>
      </w:r>
      <w:r>
        <w:rPr>
          <w:lang w:val="fr-FR"/>
        </w:rPr>
        <w:noBreakHyphen/>
      </w:r>
      <w:r w:rsidRPr="00AB1F22">
        <w:rPr>
          <w:lang w:val="fr-FR"/>
        </w:rPr>
        <w:t xml:space="preserve">fondé des projets de recherche.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Accès aux informations détenues par le Gouvernement</w:t>
      </w:r>
      <w:r w:rsidRPr="00AB1F22">
        <w:rPr>
          <w:lang w:val="fr-FR"/>
        </w:rPr>
        <w:t xml:space="preserve"> </w:t>
      </w:r>
      <w:bookmarkStart w:id="59" w:name="_Toc31721448"/>
      <w:bookmarkEnd w:id="59"/>
    </w:p>
    <w:p w:rsidR="0024529D" w:rsidRPr="00AB1F22" w:rsidRDefault="0024529D" w:rsidP="0024529D">
      <w:pPr>
        <w:pStyle w:val="SingleTxtG"/>
        <w:rPr>
          <w:lang w:val="fr-FR"/>
        </w:rPr>
      </w:pPr>
      <w:r w:rsidRPr="00AB1F22">
        <w:rPr>
          <w:lang w:val="fr-FR"/>
        </w:rPr>
        <w:t>121.</w:t>
      </w:r>
      <w:r w:rsidRPr="00AB1F22">
        <w:rPr>
          <w:lang w:val="fr-FR"/>
        </w:rPr>
        <w:tab/>
        <w:t>Les informations les plus récentes concernant le Code de l</w:t>
      </w:r>
      <w:r w:rsidR="004F1DFB">
        <w:rPr>
          <w:lang w:val="fr-FR"/>
        </w:rPr>
        <w:t>’</w:t>
      </w:r>
      <w:r w:rsidRPr="00AB1F22">
        <w:rPr>
          <w:lang w:val="fr-FR"/>
        </w:rPr>
        <w:t>accès à l</w:t>
      </w:r>
      <w:r w:rsidR="004F1DFB">
        <w:rPr>
          <w:lang w:val="fr-FR"/>
        </w:rPr>
        <w:t>’</w:t>
      </w:r>
      <w:r w:rsidRPr="00AB1F22">
        <w:rPr>
          <w:lang w:val="fr-FR"/>
        </w:rPr>
        <w:t>information et les plaintes traitées par l</w:t>
      </w:r>
      <w:r w:rsidR="004F1DFB">
        <w:rPr>
          <w:lang w:val="fr-FR"/>
        </w:rPr>
        <w:t>’</w:t>
      </w:r>
      <w:r w:rsidRPr="00AB1F22">
        <w:rPr>
          <w:lang w:val="fr-FR"/>
        </w:rPr>
        <w:t>Ombudsman sont présentées à l</w:t>
      </w:r>
      <w:r w:rsidR="004F1DFB">
        <w:rPr>
          <w:lang w:val="fr-FR"/>
        </w:rPr>
        <w:t>’</w:t>
      </w:r>
      <w:r w:rsidRPr="00AB1F22">
        <w:rPr>
          <w:lang w:val="fr-FR"/>
        </w:rPr>
        <w:t xml:space="preserve">annexe 19A. </w:t>
      </w:r>
    </w:p>
    <w:p w:rsidR="0024529D" w:rsidRPr="00AB1F22" w:rsidRDefault="0024529D" w:rsidP="0024529D">
      <w:pPr>
        <w:pStyle w:val="SingleTxtG"/>
        <w:rPr>
          <w:lang w:val="fr-FR"/>
        </w:rPr>
      </w:pPr>
      <w:r w:rsidRPr="00AB1F22">
        <w:rPr>
          <w:lang w:val="fr-FR"/>
        </w:rPr>
        <w:t>122.</w:t>
      </w:r>
      <w:r w:rsidRPr="00AB1F22">
        <w:rPr>
          <w:lang w:val="fr-FR"/>
        </w:rPr>
        <w:tab/>
        <w:t>Au paragraphe 13 des précédentes observations finales, le Comité a recommandé l</w:t>
      </w:r>
      <w:r w:rsidR="004F1DFB">
        <w:rPr>
          <w:lang w:val="fr-FR"/>
        </w:rPr>
        <w:t>’</w:t>
      </w:r>
      <w:r w:rsidRPr="00AB1F22">
        <w:rPr>
          <w:lang w:val="fr-FR"/>
        </w:rPr>
        <w:t>adoption de mesures effectives pour faire respecter le droit d</w:t>
      </w:r>
      <w:r w:rsidR="004F1DFB">
        <w:rPr>
          <w:lang w:val="fr-FR"/>
        </w:rPr>
        <w:t>’</w:t>
      </w:r>
      <w:r w:rsidRPr="00AB1F22">
        <w:rPr>
          <w:lang w:val="fr-FR"/>
        </w:rPr>
        <w:t>accès à des informations détenues par des organismes publics. En 2013, la Commission de réforme des lois a créé un sous</w:t>
      </w:r>
      <w:r>
        <w:rPr>
          <w:lang w:val="fr-FR"/>
        </w:rPr>
        <w:noBreakHyphen/>
      </w:r>
      <w:r w:rsidRPr="00AB1F22">
        <w:rPr>
          <w:lang w:val="fr-FR"/>
        </w:rPr>
        <w:t>comité chargé d</w:t>
      </w:r>
      <w:r w:rsidR="004F1DFB">
        <w:rPr>
          <w:lang w:val="fr-FR"/>
        </w:rPr>
        <w:t>’</w:t>
      </w:r>
      <w:r w:rsidRPr="00AB1F22">
        <w:rPr>
          <w:lang w:val="fr-FR"/>
        </w:rPr>
        <w:t>étudier la question de l</w:t>
      </w:r>
      <w:r w:rsidR="004F1DFB">
        <w:rPr>
          <w:lang w:val="fr-FR"/>
        </w:rPr>
        <w:t>’</w:t>
      </w:r>
      <w:r w:rsidRPr="00AB1F22">
        <w:rPr>
          <w:lang w:val="fr-FR"/>
        </w:rPr>
        <w:t>accès à l</w:t>
      </w:r>
      <w:r w:rsidR="004F1DFB">
        <w:rPr>
          <w:lang w:val="fr-FR"/>
        </w:rPr>
        <w:t>’</w:t>
      </w:r>
      <w:r w:rsidRPr="00AB1F22">
        <w:rPr>
          <w:lang w:val="fr-FR"/>
        </w:rPr>
        <w:t xml:space="preserve">information. Le </w:t>
      </w:r>
      <w:r w:rsidR="003770DB" w:rsidRPr="00AB1F22">
        <w:rPr>
          <w:lang w:val="fr-FR"/>
        </w:rPr>
        <w:t>S</w:t>
      </w:r>
      <w:r w:rsidRPr="00AB1F22">
        <w:rPr>
          <w:lang w:val="fr-FR"/>
        </w:rPr>
        <w:t>ous</w:t>
      </w:r>
      <w:r>
        <w:rPr>
          <w:lang w:val="fr-FR"/>
        </w:rPr>
        <w:noBreakHyphen/>
      </w:r>
      <w:r w:rsidR="003770DB" w:rsidRPr="00AB1F22">
        <w:rPr>
          <w:lang w:val="fr-FR"/>
        </w:rPr>
        <w:t>C</w:t>
      </w:r>
      <w:r w:rsidRPr="00AB1F22">
        <w:rPr>
          <w:lang w:val="fr-FR"/>
        </w:rPr>
        <w:t>omité étudie le régime d</w:t>
      </w:r>
      <w:r w:rsidR="004F1DFB">
        <w:rPr>
          <w:lang w:val="fr-FR"/>
        </w:rPr>
        <w:t>’</w:t>
      </w:r>
      <w:r w:rsidRPr="00AB1F22">
        <w:rPr>
          <w:lang w:val="fr-FR"/>
        </w:rPr>
        <w:t>accès à l</w:t>
      </w:r>
      <w:r w:rsidR="004F1DFB">
        <w:rPr>
          <w:lang w:val="fr-FR"/>
        </w:rPr>
        <w:t>’</w:t>
      </w:r>
      <w:r w:rsidRPr="00AB1F22">
        <w:rPr>
          <w:lang w:val="fr-FR"/>
        </w:rPr>
        <w:t>information en vigueur à Hong</w:t>
      </w:r>
      <w:r>
        <w:rPr>
          <w:lang w:val="fr-FR"/>
        </w:rPr>
        <w:t> </w:t>
      </w:r>
      <w:r w:rsidRPr="00AB1F22">
        <w:rPr>
          <w:lang w:val="fr-FR"/>
        </w:rPr>
        <w:t>Kong, ainsi que les lois et régimes d</w:t>
      </w:r>
      <w:r w:rsidR="004F1DFB">
        <w:rPr>
          <w:lang w:val="fr-FR"/>
        </w:rPr>
        <w:t>’</w:t>
      </w:r>
      <w:r w:rsidRPr="00AB1F22">
        <w:rPr>
          <w:lang w:val="fr-FR"/>
        </w:rPr>
        <w:t>autres juridictions, et mènera une consultation publique relative aux propositions de réforme du régime d</w:t>
      </w:r>
      <w:r w:rsidR="004F1DFB">
        <w:rPr>
          <w:lang w:val="fr-FR"/>
        </w:rPr>
        <w:t>’</w:t>
      </w:r>
      <w:r w:rsidRPr="00AB1F22">
        <w:rPr>
          <w:lang w:val="fr-FR"/>
        </w:rPr>
        <w:t>accès à l</w:t>
      </w:r>
      <w:r w:rsidR="004F1DFB">
        <w:rPr>
          <w:lang w:val="fr-FR"/>
        </w:rPr>
        <w:t>’</w:t>
      </w:r>
      <w:r w:rsidRPr="00AB1F22">
        <w:rPr>
          <w:lang w:val="fr-FR"/>
        </w:rPr>
        <w:t>information. Une fois qu</w:t>
      </w:r>
      <w:r w:rsidR="004F1DFB">
        <w:rPr>
          <w:lang w:val="fr-FR"/>
        </w:rPr>
        <w:t>’</w:t>
      </w:r>
      <w:r w:rsidRPr="00AB1F22">
        <w:rPr>
          <w:lang w:val="fr-FR"/>
        </w:rPr>
        <w:t xml:space="preserve">elle aura examiné les avis recueillis lors de la consultation, la Commission de réforme des lois présentera des propositions de réforme au Gouvernement. Les </w:t>
      </w:r>
      <w:r>
        <w:rPr>
          <w:lang w:val="fr-FR"/>
        </w:rPr>
        <w:t>possibilités</w:t>
      </w:r>
      <w:r w:rsidRPr="00AB1F22">
        <w:rPr>
          <w:lang w:val="fr-FR"/>
        </w:rPr>
        <w:t xml:space="preserve"> de réforme du régime d</w:t>
      </w:r>
      <w:r w:rsidR="004F1DFB">
        <w:rPr>
          <w:lang w:val="fr-FR"/>
        </w:rPr>
        <w:t>’</w:t>
      </w:r>
      <w:r w:rsidRPr="00AB1F22">
        <w:rPr>
          <w:lang w:val="fr-FR"/>
        </w:rPr>
        <w:t>accès à l</w:t>
      </w:r>
      <w:r w:rsidR="004F1DFB">
        <w:rPr>
          <w:lang w:val="fr-FR"/>
        </w:rPr>
        <w:t>’</w:t>
      </w:r>
      <w:r>
        <w:rPr>
          <w:lang w:val="fr-FR"/>
        </w:rPr>
        <w:t>information à Hong </w:t>
      </w:r>
      <w:r w:rsidRPr="00AB1F22">
        <w:rPr>
          <w:lang w:val="fr-FR"/>
        </w:rPr>
        <w:t xml:space="preserve">Kong seront examinées à la lumière des conclusions et recommandations de la Commission de réforme des lois. </w:t>
      </w:r>
    </w:p>
    <w:p w:rsidR="0024529D" w:rsidRPr="00AB1F22" w:rsidRDefault="0024529D" w:rsidP="0024529D">
      <w:pPr>
        <w:pStyle w:val="SingleTxtG"/>
        <w:rPr>
          <w:lang w:val="fr-FR"/>
        </w:rPr>
      </w:pPr>
      <w:r w:rsidRPr="00AB1F22">
        <w:rPr>
          <w:lang w:val="fr-FR"/>
        </w:rPr>
        <w:t>123.</w:t>
      </w:r>
      <w:r w:rsidRPr="00AB1F22">
        <w:rPr>
          <w:lang w:val="fr-FR"/>
        </w:rPr>
        <w:tab/>
      </w:r>
      <w:r>
        <w:rPr>
          <w:lang w:val="fr-FR"/>
        </w:rPr>
        <w:t>L</w:t>
      </w:r>
      <w:r w:rsidR="004F1DFB">
        <w:rPr>
          <w:lang w:val="fr-FR"/>
        </w:rPr>
        <w:t>’</w:t>
      </w:r>
      <w:r w:rsidRPr="00AB1F22">
        <w:rPr>
          <w:lang w:val="fr-FR"/>
        </w:rPr>
        <w:t xml:space="preserve">annexe 19B </w:t>
      </w:r>
      <w:r>
        <w:rPr>
          <w:lang w:val="fr-FR"/>
        </w:rPr>
        <w:t xml:space="preserve">contient </w:t>
      </w:r>
      <w:r w:rsidRPr="00AB1F22">
        <w:rPr>
          <w:lang w:val="fr-FR"/>
        </w:rPr>
        <w:t>des informations actualisées sur la réglementation des médias audiovisuels et l</w:t>
      </w:r>
      <w:r w:rsidR="004F1DFB">
        <w:rPr>
          <w:lang w:val="fr-FR"/>
        </w:rPr>
        <w:t>’</w:t>
      </w:r>
      <w:r w:rsidRPr="00AB1F22">
        <w:rPr>
          <w:lang w:val="fr-FR"/>
        </w:rPr>
        <w:t>octroi de licences, la Radio Télévision de Hong</w:t>
      </w:r>
      <w:r>
        <w:rPr>
          <w:lang w:val="fr-FR"/>
        </w:rPr>
        <w:t> </w:t>
      </w:r>
      <w:r w:rsidRPr="00AB1F22">
        <w:rPr>
          <w:lang w:val="fr-FR"/>
        </w:rPr>
        <w:t>Kong, le système de classification des films, les recours contre les décisions de l</w:t>
      </w:r>
      <w:r w:rsidR="004F1DFB">
        <w:rPr>
          <w:lang w:val="fr-FR"/>
        </w:rPr>
        <w:t>’</w:t>
      </w:r>
      <w:r w:rsidRPr="00AB1F22">
        <w:rPr>
          <w:lang w:val="fr-FR"/>
        </w:rPr>
        <w:t xml:space="preserve">Autorité de censure des films et des censeurs, la réglementation des contenus obscènes et indécents, ainsi que la gestion des bibliothèques et des musées. </w:t>
      </w:r>
    </w:p>
    <w:p w:rsidR="0024529D" w:rsidRPr="00AB1F22" w:rsidRDefault="0024529D" w:rsidP="0024529D">
      <w:pPr>
        <w:pStyle w:val="H1G"/>
        <w:rPr>
          <w:lang w:val="fr-FR"/>
        </w:rPr>
      </w:pPr>
      <w:r w:rsidRPr="00AB1F22">
        <w:rPr>
          <w:lang w:val="fr-FR"/>
        </w:rPr>
        <w:tab/>
      </w:r>
      <w:r w:rsidRPr="00AB1F22">
        <w:rPr>
          <w:lang w:val="fr-FR"/>
        </w:rPr>
        <w:tab/>
      </w:r>
      <w:r w:rsidRPr="00AB1F22">
        <w:rPr>
          <w:bCs/>
          <w:lang w:val="fr-FR"/>
        </w:rPr>
        <w:t>Article</w:t>
      </w:r>
      <w:r>
        <w:rPr>
          <w:bCs/>
          <w:lang w:val="fr-FR"/>
        </w:rPr>
        <w:t> </w:t>
      </w:r>
      <w:r w:rsidRPr="00AB1F22">
        <w:rPr>
          <w:bCs/>
          <w:lang w:val="fr-FR"/>
        </w:rPr>
        <w:t>20</w:t>
      </w:r>
      <w:r>
        <w:rPr>
          <w:bCs/>
          <w:lang w:val="fr-FR"/>
        </w:rPr>
        <w:br/>
      </w:r>
      <w:r w:rsidRPr="00AB1F22">
        <w:rPr>
          <w:bCs/>
          <w:lang w:val="fr-FR"/>
        </w:rPr>
        <w:t>Interdiction de la propagande en faveur de la guerre</w:t>
      </w:r>
      <w:r w:rsidRPr="00AB1F22">
        <w:rPr>
          <w:lang w:val="fr-FR"/>
        </w:rPr>
        <w:t xml:space="preserve"> </w:t>
      </w:r>
      <w:bookmarkStart w:id="60" w:name="_Toc31721449"/>
      <w:bookmarkEnd w:id="60"/>
    </w:p>
    <w:p w:rsidR="0024529D" w:rsidRPr="00AB1F22" w:rsidRDefault="0024529D" w:rsidP="0024529D">
      <w:pPr>
        <w:pStyle w:val="SingleTxtG"/>
        <w:rPr>
          <w:lang w:val="fr-FR"/>
        </w:rPr>
      </w:pPr>
      <w:r w:rsidRPr="00AB1F22">
        <w:rPr>
          <w:lang w:val="fr-FR"/>
        </w:rPr>
        <w:t>124.</w:t>
      </w:r>
      <w:r w:rsidRPr="00AB1F22">
        <w:rPr>
          <w:lang w:val="fr-FR"/>
        </w:rPr>
        <w:tab/>
        <w:t>La situation générale est celle décrite au paragraphe</w:t>
      </w:r>
      <w:r>
        <w:rPr>
          <w:lang w:val="fr-FR"/>
        </w:rPr>
        <w:t> </w:t>
      </w:r>
      <w:r w:rsidRPr="00AB1F22">
        <w:rPr>
          <w:lang w:val="fr-FR"/>
        </w:rPr>
        <w:t xml:space="preserve">373 de la deuxième partie du rapport initial. </w:t>
      </w:r>
    </w:p>
    <w:p w:rsidR="0024529D" w:rsidRPr="00AB1F22" w:rsidRDefault="0024529D" w:rsidP="0024529D">
      <w:pPr>
        <w:pStyle w:val="H1G"/>
        <w:rPr>
          <w:lang w:val="fr-FR"/>
        </w:rPr>
      </w:pPr>
      <w:r w:rsidRPr="00AB1F22">
        <w:rPr>
          <w:lang w:val="fr-FR"/>
        </w:rPr>
        <w:tab/>
      </w:r>
      <w:r w:rsidRPr="00AB1F22">
        <w:rPr>
          <w:lang w:val="fr-FR"/>
        </w:rPr>
        <w:tab/>
      </w:r>
      <w:r w:rsidRPr="00AB1F22">
        <w:rPr>
          <w:bCs/>
          <w:lang w:val="fr-FR"/>
        </w:rPr>
        <w:t>Article</w:t>
      </w:r>
      <w:r>
        <w:rPr>
          <w:bCs/>
          <w:lang w:val="fr-FR"/>
        </w:rPr>
        <w:t> </w:t>
      </w:r>
      <w:r w:rsidRPr="00AB1F22">
        <w:rPr>
          <w:bCs/>
          <w:lang w:val="fr-FR"/>
        </w:rPr>
        <w:t>21</w:t>
      </w:r>
      <w:r>
        <w:rPr>
          <w:bCs/>
          <w:lang w:val="fr-FR"/>
        </w:rPr>
        <w:br/>
      </w:r>
      <w:r w:rsidRPr="00AB1F22">
        <w:rPr>
          <w:bCs/>
          <w:lang w:val="fr-FR"/>
        </w:rPr>
        <w:t>Droit à la liberté de réunion pacifique</w:t>
      </w:r>
      <w:r w:rsidRPr="00AB1F22">
        <w:rPr>
          <w:lang w:val="fr-FR"/>
        </w:rPr>
        <w:t xml:space="preserve"> </w:t>
      </w:r>
      <w:bookmarkStart w:id="61" w:name="_Toc31721450"/>
      <w:bookmarkEnd w:id="61"/>
    </w:p>
    <w:p w:rsidR="0024529D" w:rsidRPr="00AB1F22" w:rsidRDefault="0024529D" w:rsidP="0024529D">
      <w:pPr>
        <w:pStyle w:val="SingleTxtG"/>
        <w:rPr>
          <w:lang w:val="fr-FR"/>
        </w:rPr>
      </w:pPr>
      <w:r w:rsidRPr="00AB1F22">
        <w:rPr>
          <w:lang w:val="fr-FR"/>
        </w:rPr>
        <w:t>125.</w:t>
      </w:r>
      <w:r w:rsidRPr="00AB1F22">
        <w:rPr>
          <w:lang w:val="fr-FR"/>
        </w:rPr>
        <w:tab/>
        <w:t>Comme expliqué au paragraphe 375 de la deuxième partie du rapport initial, la liberté de réunion, de cortège et de manifestation est garantie par l</w:t>
      </w:r>
      <w:r w:rsidR="004F1DFB">
        <w:rPr>
          <w:lang w:val="fr-FR"/>
        </w:rPr>
        <w:t>’</w:t>
      </w:r>
      <w:r w:rsidRPr="00AB1F22">
        <w:rPr>
          <w:lang w:val="fr-FR"/>
        </w:rPr>
        <w:t>article 27 de la Loi fondamentale et par l</w:t>
      </w:r>
      <w:r w:rsidR="004F1DFB">
        <w:rPr>
          <w:lang w:val="fr-FR"/>
        </w:rPr>
        <w:t>’</w:t>
      </w:r>
      <w:r w:rsidRPr="00AB1F22">
        <w:rPr>
          <w:lang w:val="fr-FR"/>
        </w:rPr>
        <w:t>article 17 de la Charte des droits de Hong Kong (qui donne effet à l</w:t>
      </w:r>
      <w:r w:rsidR="004F1DFB">
        <w:rPr>
          <w:lang w:val="fr-FR"/>
        </w:rPr>
        <w:t>’</w:t>
      </w:r>
      <w:r w:rsidRPr="00AB1F22">
        <w:rPr>
          <w:lang w:val="fr-FR"/>
        </w:rPr>
        <w:t>article 21 du Pacte). Les dispositions de l</w:t>
      </w:r>
      <w:r w:rsidR="004F1DFB">
        <w:rPr>
          <w:lang w:val="fr-FR"/>
        </w:rPr>
        <w:t>’</w:t>
      </w:r>
      <w:r w:rsidRPr="00AB1F22">
        <w:rPr>
          <w:lang w:val="fr-FR"/>
        </w:rPr>
        <w:t>ordonnance relative à l</w:t>
      </w:r>
      <w:r w:rsidR="004F1DFB">
        <w:rPr>
          <w:lang w:val="fr-FR"/>
        </w:rPr>
        <w:t>’</w:t>
      </w:r>
      <w:r w:rsidRPr="00AB1F22">
        <w:rPr>
          <w:lang w:val="fr-FR"/>
        </w:rPr>
        <w:t>ordre public (chap. 245) afférentes aux réunions et aux cortèges publics ont été spécifiquement formulées de manière à respecter l</w:t>
      </w:r>
      <w:r w:rsidR="004F1DFB">
        <w:rPr>
          <w:lang w:val="fr-FR"/>
        </w:rPr>
        <w:t>’</w:t>
      </w:r>
      <w:r w:rsidRPr="00AB1F22">
        <w:rPr>
          <w:lang w:val="fr-FR"/>
        </w:rPr>
        <w:t xml:space="preserve">article 21 du Pacte.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Application de l</w:t>
      </w:r>
      <w:r w:rsidR="004F1DFB">
        <w:rPr>
          <w:bCs/>
          <w:lang w:val="fr-FR"/>
        </w:rPr>
        <w:t>’</w:t>
      </w:r>
      <w:r w:rsidRPr="00AB1F22">
        <w:rPr>
          <w:bCs/>
          <w:lang w:val="fr-FR"/>
        </w:rPr>
        <w:t>ordonnance relative à l</w:t>
      </w:r>
      <w:r w:rsidR="004F1DFB">
        <w:rPr>
          <w:bCs/>
          <w:lang w:val="fr-FR"/>
        </w:rPr>
        <w:t>’</w:t>
      </w:r>
      <w:r w:rsidRPr="00AB1F22">
        <w:rPr>
          <w:bCs/>
          <w:lang w:val="fr-FR"/>
        </w:rPr>
        <w:t>ordre public</w:t>
      </w:r>
      <w:r w:rsidRPr="00AB1F22">
        <w:rPr>
          <w:lang w:val="fr-FR"/>
        </w:rPr>
        <w:t xml:space="preserve"> </w:t>
      </w:r>
      <w:bookmarkStart w:id="62" w:name="_Toc31721451"/>
      <w:bookmarkEnd w:id="62"/>
    </w:p>
    <w:p w:rsidR="0024529D" w:rsidRPr="00AB1F22" w:rsidRDefault="0024529D" w:rsidP="0024529D">
      <w:pPr>
        <w:pStyle w:val="SingleTxtG"/>
        <w:rPr>
          <w:lang w:val="fr-FR"/>
        </w:rPr>
      </w:pPr>
      <w:r w:rsidRPr="00AB1F22">
        <w:rPr>
          <w:lang w:val="fr-FR"/>
        </w:rPr>
        <w:t>126.</w:t>
      </w:r>
      <w:r w:rsidRPr="00AB1F22">
        <w:rPr>
          <w:lang w:val="fr-FR"/>
        </w:rPr>
        <w:tab/>
        <w:t>Le Gouvernement respecte et veille à protéger le droit de la population de participer à des réunions et des cortèges pacifiques et à exprimer ses opinions. Hong</w:t>
      </w:r>
      <w:r>
        <w:rPr>
          <w:lang w:val="fr-FR"/>
        </w:rPr>
        <w:t> </w:t>
      </w:r>
      <w:r w:rsidRPr="00AB1F22">
        <w:rPr>
          <w:lang w:val="fr-FR"/>
        </w:rPr>
        <w:t>Kong étant très peuplée, les réunions et cortèges de grande ampleur peuvent gêner les autres personnes ou les usagers de la route, et pourraient nuire à la sûreté et à l</w:t>
      </w:r>
      <w:r w:rsidR="004F1DFB">
        <w:rPr>
          <w:lang w:val="fr-FR"/>
        </w:rPr>
        <w:t>’</w:t>
      </w:r>
      <w:r w:rsidRPr="00AB1F22">
        <w:rPr>
          <w:lang w:val="fr-FR"/>
        </w:rPr>
        <w:t>ordre publics. À cet égard, le</w:t>
      </w:r>
      <w:r w:rsidR="004F1DFB">
        <w:rPr>
          <w:lang w:val="fr-FR"/>
        </w:rPr>
        <w:t> </w:t>
      </w:r>
      <w:r w:rsidRPr="00AB1F22">
        <w:rPr>
          <w:lang w:val="fr-FR"/>
        </w:rPr>
        <w:t>Gouvernement est chargé non seulement de faciliter l</w:t>
      </w:r>
      <w:r w:rsidR="004F1DFB">
        <w:rPr>
          <w:lang w:val="fr-FR"/>
        </w:rPr>
        <w:t>’</w:t>
      </w:r>
      <w:r w:rsidRPr="00AB1F22">
        <w:rPr>
          <w:lang w:val="fr-FR"/>
        </w:rPr>
        <w:t>expression de l</w:t>
      </w:r>
      <w:r w:rsidR="004F1DFB">
        <w:rPr>
          <w:lang w:val="fr-FR"/>
        </w:rPr>
        <w:t>’</w:t>
      </w:r>
      <w:r w:rsidRPr="00AB1F22">
        <w:rPr>
          <w:lang w:val="fr-FR"/>
        </w:rPr>
        <w:t>avis des participants aux cortèges, mais également de maintenir l</w:t>
      </w:r>
      <w:r w:rsidR="004F1DFB">
        <w:rPr>
          <w:lang w:val="fr-FR"/>
        </w:rPr>
        <w:t>’</w:t>
      </w:r>
      <w:r w:rsidRPr="00AB1F22">
        <w:rPr>
          <w:lang w:val="fr-FR"/>
        </w:rPr>
        <w:t>ordre public et, dans le même temps, de garantir le droit des autres personnes d</w:t>
      </w:r>
      <w:r w:rsidR="004F1DFB">
        <w:rPr>
          <w:lang w:val="fr-FR"/>
        </w:rPr>
        <w:t>’</w:t>
      </w:r>
      <w:r w:rsidRPr="00AB1F22">
        <w:rPr>
          <w:lang w:val="fr-FR"/>
        </w:rPr>
        <w:t>utiliser le</w:t>
      </w:r>
      <w:r>
        <w:rPr>
          <w:lang w:val="fr-FR"/>
        </w:rPr>
        <w:t>s lieux ou voies de circulation</w:t>
      </w:r>
      <w:r w:rsidRPr="00AB1F22">
        <w:rPr>
          <w:lang w:val="fr-FR"/>
        </w:rPr>
        <w:t xml:space="preserve"> publics, ainsi que de préserver leur sécurité. Dans l</w:t>
      </w:r>
      <w:r w:rsidR="004F1DFB">
        <w:rPr>
          <w:lang w:val="fr-FR"/>
        </w:rPr>
        <w:t>’</w:t>
      </w:r>
      <w:r w:rsidRPr="00AB1F22">
        <w:rPr>
          <w:lang w:val="fr-FR"/>
        </w:rPr>
        <w:t>exercice de leur liberté d</w:t>
      </w:r>
      <w:r w:rsidR="004F1DFB">
        <w:rPr>
          <w:lang w:val="fr-FR"/>
        </w:rPr>
        <w:t>’</w:t>
      </w:r>
      <w:r w:rsidRPr="00AB1F22">
        <w:rPr>
          <w:lang w:val="fr-FR"/>
        </w:rPr>
        <w:t>expression, les participants aux réunions et cortèges publics doivent, dans le respect du droit en vigueur à Hong Kong, se comporter d</w:t>
      </w:r>
      <w:r w:rsidR="004F1DFB">
        <w:rPr>
          <w:lang w:val="fr-FR"/>
        </w:rPr>
        <w:t>’</w:t>
      </w:r>
      <w:r w:rsidRPr="00AB1F22">
        <w:rPr>
          <w:lang w:val="fr-FR"/>
        </w:rPr>
        <w:t xml:space="preserve">une manière pacifique et ordonnée. </w:t>
      </w:r>
    </w:p>
    <w:p w:rsidR="0024529D" w:rsidRPr="00AB1F22" w:rsidRDefault="0024529D" w:rsidP="0024529D">
      <w:pPr>
        <w:pStyle w:val="SingleTxtG"/>
        <w:rPr>
          <w:lang w:val="fr-FR"/>
        </w:rPr>
      </w:pPr>
      <w:r w:rsidRPr="00AB1F22">
        <w:rPr>
          <w:lang w:val="fr-FR"/>
        </w:rPr>
        <w:t>127.</w:t>
      </w:r>
      <w:r w:rsidRPr="00AB1F22">
        <w:rPr>
          <w:lang w:val="fr-FR"/>
        </w:rPr>
        <w:tab/>
        <w:t>La police est chargée de prendre les mesures nécessaires contre tout comportement illégal. Lorsqu</w:t>
      </w:r>
      <w:r w:rsidR="004F1DFB">
        <w:rPr>
          <w:lang w:val="fr-FR"/>
        </w:rPr>
        <w:t>’</w:t>
      </w:r>
      <w:r w:rsidRPr="00AB1F22">
        <w:rPr>
          <w:lang w:val="fr-FR"/>
        </w:rPr>
        <w:t>il existe des éléments de preuve qui permettent de penser qu</w:t>
      </w:r>
      <w:r w:rsidR="004F1DFB">
        <w:rPr>
          <w:lang w:val="fr-FR"/>
        </w:rPr>
        <w:t>’</w:t>
      </w:r>
      <w:r w:rsidRPr="00AB1F22">
        <w:rPr>
          <w:lang w:val="fr-FR"/>
        </w:rPr>
        <w:t>une personne aurait commis une infraction pénale, l</w:t>
      </w:r>
      <w:r w:rsidR="004F1DFB">
        <w:rPr>
          <w:lang w:val="fr-FR"/>
        </w:rPr>
        <w:t>’</w:t>
      </w:r>
      <w:r w:rsidRPr="00AB1F22">
        <w:rPr>
          <w:lang w:val="fr-FR"/>
        </w:rPr>
        <w:t>affaire est renvoyée à la Division des poursuites du Département de la justice pour qu</w:t>
      </w:r>
      <w:r w:rsidR="004F1DFB">
        <w:rPr>
          <w:lang w:val="fr-FR"/>
        </w:rPr>
        <w:t>’</w:t>
      </w:r>
      <w:r w:rsidRPr="00AB1F22">
        <w:rPr>
          <w:lang w:val="fr-FR"/>
        </w:rPr>
        <w:t>elle détermine si la personne en cause doit être poursuivie et, le cas échéant, pour qu</w:t>
      </w:r>
      <w:r w:rsidR="004F1DFB">
        <w:rPr>
          <w:lang w:val="fr-FR"/>
        </w:rPr>
        <w:t>’</w:t>
      </w:r>
      <w:r w:rsidRPr="00AB1F22">
        <w:rPr>
          <w:lang w:val="fr-FR"/>
        </w:rPr>
        <w:t>elle précise les infractions visées. Le Département de la justice traitera toutes les poursuites en tenant compte du droit applicable, des preuves pertinentes et du Code des poursuites. Ce code donne des orientations aux procureurs sur la manière de traiter les poursuites liées à des événements qui troublent l</w:t>
      </w:r>
      <w:r w:rsidR="004F1DFB">
        <w:rPr>
          <w:lang w:val="fr-FR"/>
        </w:rPr>
        <w:t>’</w:t>
      </w:r>
      <w:r w:rsidRPr="00AB1F22">
        <w:rPr>
          <w:lang w:val="fr-FR"/>
        </w:rPr>
        <w:t>ordre public. Des poursuites ne seront engagées qu</w:t>
      </w:r>
      <w:r w:rsidR="004F1DFB">
        <w:rPr>
          <w:lang w:val="fr-FR"/>
        </w:rPr>
        <w:t>’</w:t>
      </w:r>
      <w:r w:rsidRPr="00AB1F22">
        <w:rPr>
          <w:lang w:val="fr-FR"/>
        </w:rPr>
        <w:t xml:space="preserve">en cas de comportement excessivement disproportionné ou déraisonnable. </w:t>
      </w:r>
    </w:p>
    <w:p w:rsidR="0024529D" w:rsidRPr="00AB1F22" w:rsidRDefault="0024529D" w:rsidP="0024529D">
      <w:pPr>
        <w:pStyle w:val="SingleTxtG"/>
        <w:rPr>
          <w:lang w:val="fr-FR"/>
        </w:rPr>
      </w:pPr>
      <w:r w:rsidRPr="00AB1F22">
        <w:rPr>
          <w:lang w:val="fr-FR"/>
        </w:rPr>
        <w:t>128.</w:t>
      </w:r>
      <w:r w:rsidRPr="00AB1F22">
        <w:rPr>
          <w:lang w:val="fr-FR"/>
        </w:rPr>
        <w:tab/>
        <w:t>En application de l</w:t>
      </w:r>
      <w:r w:rsidR="004F1DFB">
        <w:rPr>
          <w:lang w:val="fr-FR"/>
        </w:rPr>
        <w:t>’</w:t>
      </w:r>
      <w:r w:rsidRPr="00AB1F22">
        <w:rPr>
          <w:lang w:val="fr-FR"/>
        </w:rPr>
        <w:t>ordonnance relative à l</w:t>
      </w:r>
      <w:r w:rsidR="004F1DFB">
        <w:rPr>
          <w:lang w:val="fr-FR"/>
        </w:rPr>
        <w:t>’</w:t>
      </w:r>
      <w:r w:rsidRPr="00AB1F22">
        <w:rPr>
          <w:lang w:val="fr-FR"/>
        </w:rPr>
        <w:t>ordre public, toute réunion ou tout cortège public</w:t>
      </w:r>
      <w:r>
        <w:rPr>
          <w:lang w:val="fr-FR"/>
        </w:rPr>
        <w:t>s</w:t>
      </w:r>
      <w:r w:rsidRPr="00AB1F22">
        <w:rPr>
          <w:lang w:val="fr-FR"/>
        </w:rPr>
        <w:t xml:space="preserve"> dont le nombre de participants dépasse la limite prescrite par l</w:t>
      </w:r>
      <w:r w:rsidR="004F1DFB">
        <w:rPr>
          <w:lang w:val="fr-FR"/>
        </w:rPr>
        <w:t>’</w:t>
      </w:r>
      <w:r w:rsidRPr="00AB1F22">
        <w:rPr>
          <w:lang w:val="fr-FR"/>
        </w:rPr>
        <w:t>ordonnance, à savoir une réunion publique de plus de 50 personnes et un cortège public de plus de 30 personnes, doit avoir été déclaré au directeur général de la police et n</w:t>
      </w:r>
      <w:r w:rsidR="004F1DFB">
        <w:rPr>
          <w:lang w:val="fr-FR"/>
        </w:rPr>
        <w:t>’</w:t>
      </w:r>
      <w:r w:rsidRPr="00AB1F22">
        <w:rPr>
          <w:lang w:val="fr-FR"/>
        </w:rPr>
        <w:t>être organisé que si ce dernier ne l</w:t>
      </w:r>
      <w:r w:rsidR="004F1DFB">
        <w:rPr>
          <w:lang w:val="fr-FR"/>
        </w:rPr>
        <w:t>’</w:t>
      </w:r>
      <w:r w:rsidRPr="00AB1F22">
        <w:rPr>
          <w:lang w:val="fr-FR"/>
        </w:rPr>
        <w:t>a pas interdit ou ne s</w:t>
      </w:r>
      <w:r w:rsidR="004F1DFB">
        <w:rPr>
          <w:lang w:val="fr-FR"/>
        </w:rPr>
        <w:t>’</w:t>
      </w:r>
      <w:r w:rsidRPr="00AB1F22">
        <w:rPr>
          <w:lang w:val="fr-FR"/>
        </w:rPr>
        <w:t>y est pas opposé. Le directeur général de la police (ou les fonctionnaires délégués) examine chaque cas avec attention. Il peut imposer des conditions à une réunion ou à un cortège public déclaré, dans la mesure où cela est raisonnablement nécessaire pour assurer l</w:t>
      </w:r>
      <w:r w:rsidR="004F1DFB">
        <w:rPr>
          <w:lang w:val="fr-FR"/>
        </w:rPr>
        <w:t>’</w:t>
      </w:r>
      <w:r w:rsidRPr="00AB1F22">
        <w:rPr>
          <w:lang w:val="fr-FR"/>
        </w:rPr>
        <w:t>ordre et la sûreté publics. En règle générale, dès qu</w:t>
      </w:r>
      <w:r w:rsidR="004F1DFB">
        <w:rPr>
          <w:lang w:val="fr-FR"/>
        </w:rPr>
        <w:t>’</w:t>
      </w:r>
      <w:r w:rsidRPr="00AB1F22">
        <w:rPr>
          <w:lang w:val="fr-FR"/>
        </w:rPr>
        <w:t>elle reçoit une déclaration concernant une réunion ou un cortège public, la police entre rapidement en contact avec l</w:t>
      </w:r>
      <w:r w:rsidR="004F1DFB">
        <w:rPr>
          <w:lang w:val="fr-FR"/>
        </w:rPr>
        <w:t>’</w:t>
      </w:r>
      <w:r w:rsidRPr="00AB1F22">
        <w:rPr>
          <w:lang w:val="fr-FR"/>
        </w:rPr>
        <w:t>organisateur de l</w:t>
      </w:r>
      <w:r w:rsidR="004F1DFB">
        <w:rPr>
          <w:lang w:val="fr-FR"/>
        </w:rPr>
        <w:t>’</w:t>
      </w:r>
      <w:r w:rsidRPr="00AB1F22">
        <w:rPr>
          <w:lang w:val="fr-FR"/>
        </w:rPr>
        <w:t xml:space="preserve">événement et maintient une communication active et étroite pour lui fournir conseils et assistance. </w:t>
      </w:r>
    </w:p>
    <w:p w:rsidR="0024529D" w:rsidRPr="00AB1F22" w:rsidRDefault="0024529D" w:rsidP="0024529D">
      <w:pPr>
        <w:pStyle w:val="SingleTxtG"/>
        <w:rPr>
          <w:lang w:val="fr-FR"/>
        </w:rPr>
      </w:pPr>
      <w:r w:rsidRPr="00AB1F22">
        <w:rPr>
          <w:lang w:val="fr-FR"/>
        </w:rPr>
        <w:t>129.</w:t>
      </w:r>
      <w:r w:rsidRPr="00AB1F22">
        <w:rPr>
          <w:lang w:val="fr-FR"/>
        </w:rPr>
        <w:tab/>
        <w:t>La Cour de dernier ressort a souligné dans un jugement que l</w:t>
      </w:r>
      <w:r w:rsidR="004F1DFB">
        <w:rPr>
          <w:lang w:val="fr-FR"/>
        </w:rPr>
        <w:t>’</w:t>
      </w:r>
      <w:r w:rsidRPr="00AB1F22">
        <w:rPr>
          <w:lang w:val="fr-FR"/>
        </w:rPr>
        <w:t>obligation légale d</w:t>
      </w:r>
      <w:r>
        <w:rPr>
          <w:lang w:val="fr-FR"/>
        </w:rPr>
        <w:t>e déclaration en vigueur à Hong </w:t>
      </w:r>
      <w:r w:rsidRPr="00AB1F22">
        <w:rPr>
          <w:lang w:val="fr-FR"/>
        </w:rPr>
        <w:t>Kong était très répandue dans les juridictions du monde entier. Elle a également affirmé que l</w:t>
      </w:r>
      <w:r w:rsidR="004F1DFB">
        <w:rPr>
          <w:lang w:val="fr-FR"/>
        </w:rPr>
        <w:t>’</w:t>
      </w:r>
      <w:r w:rsidRPr="00AB1F22">
        <w:rPr>
          <w:lang w:val="fr-FR"/>
        </w:rPr>
        <w:t>obligation légale de déclaration était compatible avec le droit de réunion, et nécessaire pour permettre à la police de s</w:t>
      </w:r>
      <w:r w:rsidR="004F1DFB">
        <w:rPr>
          <w:lang w:val="fr-FR"/>
        </w:rPr>
        <w:t>’</w:t>
      </w:r>
      <w:r w:rsidRPr="00AB1F22">
        <w:rPr>
          <w:lang w:val="fr-FR"/>
        </w:rPr>
        <w:t xml:space="preserve">acquitter de son devoir de prendre des mesures raisonnables et appropriées pour permettre le déroulement pacifique des réunions et manifestations légales. </w:t>
      </w:r>
    </w:p>
    <w:p w:rsidR="0024529D" w:rsidRPr="00AB1F22" w:rsidRDefault="0024529D" w:rsidP="0024529D">
      <w:pPr>
        <w:pStyle w:val="SingleTxtG"/>
        <w:rPr>
          <w:lang w:val="fr-FR"/>
        </w:rPr>
      </w:pPr>
      <w:r w:rsidRPr="00AB1F22">
        <w:rPr>
          <w:lang w:val="fr-FR"/>
        </w:rPr>
        <w:t>130.</w:t>
      </w:r>
      <w:r w:rsidRPr="00AB1F22">
        <w:rPr>
          <w:lang w:val="fr-FR"/>
        </w:rPr>
        <w:tab/>
        <w:t>Si le directeur général de la police interdit une réunion ou un cortège public, s</w:t>
      </w:r>
      <w:r w:rsidR="004F1DFB">
        <w:rPr>
          <w:lang w:val="fr-FR"/>
        </w:rPr>
        <w:t>’</w:t>
      </w:r>
      <w:r w:rsidRPr="00AB1F22">
        <w:rPr>
          <w:lang w:val="fr-FR"/>
        </w:rPr>
        <w:t>y oppose ou fixe des conditions en vertu de l</w:t>
      </w:r>
      <w:r w:rsidR="004F1DFB">
        <w:rPr>
          <w:lang w:val="fr-FR"/>
        </w:rPr>
        <w:t>’</w:t>
      </w:r>
      <w:r w:rsidRPr="00AB1F22">
        <w:rPr>
          <w:lang w:val="fr-FR"/>
        </w:rPr>
        <w:t>ordonnance relative à l</w:t>
      </w:r>
      <w:r w:rsidR="004F1DFB">
        <w:rPr>
          <w:lang w:val="fr-FR"/>
        </w:rPr>
        <w:t>’</w:t>
      </w:r>
      <w:r w:rsidRPr="00AB1F22">
        <w:rPr>
          <w:lang w:val="fr-FR"/>
        </w:rPr>
        <w:t>ordre public et si l</w:t>
      </w:r>
      <w:r w:rsidR="004F1DFB">
        <w:rPr>
          <w:lang w:val="fr-FR"/>
        </w:rPr>
        <w:t>’</w:t>
      </w:r>
      <w:r w:rsidRPr="00AB1F22">
        <w:rPr>
          <w:lang w:val="fr-FR"/>
        </w:rPr>
        <w:t>organisateur est en désaccord, celui-ci peut former un recours devant la Commission indépendante chargée des recours liés aux réunions et cortèges publics. La Commission chargée des recours est présidée par un juge à la retraite et se compose de trois autres membres choisis à tour de rôle parmi 15 membres indépendants nommés par le Chef de l</w:t>
      </w:r>
      <w:r w:rsidR="004F1DFB">
        <w:rPr>
          <w:lang w:val="fr-FR"/>
        </w:rPr>
        <w:t>’</w:t>
      </w:r>
      <w:r w:rsidRPr="00AB1F22">
        <w:rPr>
          <w:lang w:val="fr-FR"/>
        </w:rPr>
        <w:t>exécutif. Elle peut confirmer, annuler ou modifier l</w:t>
      </w:r>
      <w:r w:rsidR="004F1DFB">
        <w:rPr>
          <w:lang w:val="fr-FR"/>
        </w:rPr>
        <w:t>’</w:t>
      </w:r>
      <w:r w:rsidRPr="00AB1F22">
        <w:rPr>
          <w:lang w:val="fr-FR"/>
        </w:rPr>
        <w:t>interdiction, l</w:t>
      </w:r>
      <w:r w:rsidR="004F1DFB">
        <w:rPr>
          <w:lang w:val="fr-FR"/>
        </w:rPr>
        <w:t>’</w:t>
      </w:r>
      <w:r w:rsidRPr="00AB1F22">
        <w:rPr>
          <w:lang w:val="fr-FR"/>
        </w:rPr>
        <w:t xml:space="preserve">objection ou la condition imposée par le directeur général de la police. </w:t>
      </w:r>
    </w:p>
    <w:p w:rsidR="0024529D" w:rsidRPr="00AB1F22" w:rsidRDefault="0024529D" w:rsidP="0024529D">
      <w:pPr>
        <w:pStyle w:val="SingleTxtG"/>
        <w:rPr>
          <w:lang w:val="fr-FR"/>
        </w:rPr>
      </w:pPr>
      <w:r w:rsidRPr="00AB1F22">
        <w:rPr>
          <w:lang w:val="fr-FR"/>
        </w:rPr>
        <w:t>131.</w:t>
      </w:r>
      <w:r w:rsidRPr="00AB1F22">
        <w:rPr>
          <w:lang w:val="fr-FR"/>
        </w:rPr>
        <w:tab/>
        <w:t>Entre le 1</w:t>
      </w:r>
      <w:r w:rsidRPr="00AB1F22">
        <w:rPr>
          <w:vertAlign w:val="superscript"/>
          <w:lang w:val="fr-FR"/>
        </w:rPr>
        <w:t>er</w:t>
      </w:r>
      <w:r w:rsidRPr="00AB1F22">
        <w:rPr>
          <w:lang w:val="fr-FR"/>
        </w:rPr>
        <w:t> juillet 1997 et le 31 juillet 2017, plus de 90 000 réunions et cortèges publics ont été organisés à Ho</w:t>
      </w:r>
      <w:r>
        <w:rPr>
          <w:lang w:val="fr-FR"/>
        </w:rPr>
        <w:t>ng </w:t>
      </w:r>
      <w:r w:rsidRPr="00AB1F22">
        <w:rPr>
          <w:lang w:val="fr-FR"/>
        </w:rPr>
        <w:t xml:space="preserve">Kong. </w:t>
      </w:r>
    </w:p>
    <w:p w:rsidR="0024529D" w:rsidRPr="00AB1F22" w:rsidRDefault="0024529D" w:rsidP="0024529D">
      <w:pPr>
        <w:pStyle w:val="SingleTxtG"/>
        <w:rPr>
          <w:lang w:val="fr-FR"/>
        </w:rPr>
      </w:pPr>
      <w:r w:rsidRPr="00AB1F22">
        <w:rPr>
          <w:lang w:val="fr-FR"/>
        </w:rPr>
        <w:t>132.</w:t>
      </w:r>
      <w:r w:rsidRPr="00AB1F22">
        <w:rPr>
          <w:lang w:val="fr-FR"/>
        </w:rPr>
        <w:tab/>
        <w:t>Il est évident que depui</w:t>
      </w:r>
      <w:r>
        <w:rPr>
          <w:lang w:val="fr-FR"/>
        </w:rPr>
        <w:t>s la création de la RAS de Hong </w:t>
      </w:r>
      <w:r w:rsidRPr="00AB1F22">
        <w:rPr>
          <w:lang w:val="fr-FR"/>
        </w:rPr>
        <w:t>Kong, la population continue de jouir d</w:t>
      </w:r>
      <w:r w:rsidR="004F1DFB">
        <w:rPr>
          <w:lang w:val="fr-FR"/>
        </w:rPr>
        <w:t>’</w:t>
      </w:r>
      <w:r w:rsidRPr="00AB1F22">
        <w:rPr>
          <w:lang w:val="fr-FR"/>
        </w:rPr>
        <w:t xml:space="preserve">une grande liberté de réunion. La plupart de ces événements se sont déroulés de manière pacifique et ordonnée et dans le respect de la loi. </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Enregistrement vidéo des manifestations publiques par la police</w:t>
      </w:r>
      <w:r w:rsidRPr="00AB1F22">
        <w:rPr>
          <w:lang w:val="fr-FR"/>
        </w:rPr>
        <w:t xml:space="preserve"> </w:t>
      </w:r>
    </w:p>
    <w:p w:rsidR="0024529D" w:rsidRPr="00AB1F22" w:rsidRDefault="0024529D" w:rsidP="0024529D">
      <w:pPr>
        <w:pStyle w:val="SingleTxtG"/>
        <w:rPr>
          <w:lang w:val="fr-FR"/>
        </w:rPr>
      </w:pPr>
      <w:r w:rsidRPr="00AB1F22">
        <w:rPr>
          <w:lang w:val="fr-FR"/>
        </w:rPr>
        <w:t>133.</w:t>
      </w:r>
      <w:r w:rsidRPr="00AB1F22">
        <w:rPr>
          <w:lang w:val="fr-FR"/>
        </w:rPr>
        <w:tab/>
        <w:t>Il peut être nécessaire pour la police d</w:t>
      </w:r>
      <w:r w:rsidR="004F1DFB">
        <w:rPr>
          <w:lang w:val="fr-FR"/>
        </w:rPr>
        <w:t>’</w:t>
      </w:r>
      <w:r w:rsidRPr="00AB1F22">
        <w:rPr>
          <w:lang w:val="fr-FR"/>
        </w:rPr>
        <w:t>effectuer des enregistrements vidéo pendant les événements susceptibles de troubler l</w:t>
      </w:r>
      <w:r w:rsidR="004F1DFB">
        <w:rPr>
          <w:lang w:val="fr-FR"/>
        </w:rPr>
        <w:t>’</w:t>
      </w:r>
      <w:r w:rsidRPr="00AB1F22">
        <w:rPr>
          <w:lang w:val="fr-FR"/>
        </w:rPr>
        <w:t>ordre public, notamment de filmer l</w:t>
      </w:r>
      <w:r w:rsidR="004F1DFB">
        <w:rPr>
          <w:lang w:val="fr-FR"/>
        </w:rPr>
        <w:t>’</w:t>
      </w:r>
      <w:r w:rsidRPr="00AB1F22">
        <w:rPr>
          <w:lang w:val="fr-FR"/>
        </w:rPr>
        <w:t>ensemble des activités et des mouvements de la foule participant à des cortèges publics, afin de faciliter l</w:t>
      </w:r>
      <w:r w:rsidR="004F1DFB">
        <w:rPr>
          <w:lang w:val="fr-FR"/>
        </w:rPr>
        <w:t>’</w:t>
      </w:r>
      <w:r w:rsidRPr="00AB1F22">
        <w:rPr>
          <w:lang w:val="fr-FR"/>
        </w:rPr>
        <w:t>examen interne de sorte que la gestion des événements publics et des plans d</w:t>
      </w:r>
      <w:r w:rsidR="004F1DFB">
        <w:rPr>
          <w:lang w:val="fr-FR"/>
        </w:rPr>
        <w:t>’</w:t>
      </w:r>
      <w:r w:rsidRPr="00AB1F22">
        <w:rPr>
          <w:lang w:val="fr-FR"/>
        </w:rPr>
        <w:t xml:space="preserve">intervention puisse être améliorée en permanence. </w:t>
      </w:r>
    </w:p>
    <w:p w:rsidR="0024529D" w:rsidRPr="00AB1F22" w:rsidRDefault="0024529D" w:rsidP="0024529D">
      <w:pPr>
        <w:pStyle w:val="SingleTxtG"/>
        <w:rPr>
          <w:lang w:val="fr-FR"/>
        </w:rPr>
      </w:pPr>
      <w:r w:rsidRPr="00AB1F22">
        <w:rPr>
          <w:lang w:val="fr-FR"/>
        </w:rPr>
        <w:t>134.</w:t>
      </w:r>
      <w:r w:rsidRPr="00AB1F22">
        <w:rPr>
          <w:lang w:val="fr-FR"/>
        </w:rPr>
        <w:tab/>
        <w:t>L</w:t>
      </w:r>
      <w:r w:rsidR="004F1DFB">
        <w:rPr>
          <w:lang w:val="fr-FR"/>
        </w:rPr>
        <w:t>’</w:t>
      </w:r>
      <w:r w:rsidRPr="00AB1F22">
        <w:rPr>
          <w:lang w:val="fr-FR"/>
        </w:rPr>
        <w:t>enregistrement de ces événements par la police ne vise pas les participants à titre individuel. Ce n</w:t>
      </w:r>
      <w:r w:rsidR="004F1DFB">
        <w:rPr>
          <w:lang w:val="fr-FR"/>
        </w:rPr>
        <w:t>’</w:t>
      </w:r>
      <w:r w:rsidRPr="00AB1F22">
        <w:rPr>
          <w:lang w:val="fr-FR"/>
        </w:rPr>
        <w:t>est que lorsqu</w:t>
      </w:r>
      <w:r w:rsidR="004F1DFB">
        <w:rPr>
          <w:lang w:val="fr-FR"/>
        </w:rPr>
        <w:t>’</w:t>
      </w:r>
      <w:r w:rsidRPr="00AB1F22">
        <w:rPr>
          <w:lang w:val="fr-FR"/>
        </w:rPr>
        <w:t>une atteinte à la paix ou à l</w:t>
      </w:r>
      <w:r w:rsidR="004F1DFB">
        <w:rPr>
          <w:lang w:val="fr-FR"/>
        </w:rPr>
        <w:t>’</w:t>
      </w:r>
      <w:r w:rsidRPr="00AB1F22">
        <w:rPr>
          <w:lang w:val="fr-FR"/>
        </w:rPr>
        <w:t>ordre public se produit ou est susceptible de se produire qu</w:t>
      </w:r>
      <w:r w:rsidR="004F1DFB">
        <w:rPr>
          <w:lang w:val="fr-FR"/>
        </w:rPr>
        <w:t>’</w:t>
      </w:r>
      <w:r w:rsidRPr="00AB1F22">
        <w:rPr>
          <w:lang w:val="fr-FR"/>
        </w:rPr>
        <w:t>un policier enregistre l</w:t>
      </w:r>
      <w:r w:rsidR="004F1DFB">
        <w:rPr>
          <w:lang w:val="fr-FR"/>
        </w:rPr>
        <w:t>’</w:t>
      </w:r>
      <w:r w:rsidRPr="00AB1F22">
        <w:rPr>
          <w:lang w:val="fr-FR"/>
        </w:rPr>
        <w:t>acte ou l</w:t>
      </w:r>
      <w:r w:rsidR="004F1DFB">
        <w:rPr>
          <w:lang w:val="fr-FR"/>
        </w:rPr>
        <w:t>’</w:t>
      </w:r>
      <w:r w:rsidRPr="00AB1F22">
        <w:rPr>
          <w:lang w:val="fr-FR"/>
        </w:rPr>
        <w:t>événement en question. Les</w:t>
      </w:r>
      <w:r w:rsidR="004F1DFB">
        <w:rPr>
          <w:lang w:val="fr-FR"/>
        </w:rPr>
        <w:t> </w:t>
      </w:r>
      <w:r w:rsidRPr="00AB1F22">
        <w:rPr>
          <w:lang w:val="fr-FR"/>
        </w:rPr>
        <w:t>policiers doivent, lorsque cela est raisonnablement possible, faire connaître l</w:t>
      </w:r>
      <w:r w:rsidR="004F1DFB">
        <w:rPr>
          <w:lang w:val="fr-FR"/>
        </w:rPr>
        <w:t>’</w:t>
      </w:r>
      <w:r w:rsidRPr="00AB1F22">
        <w:rPr>
          <w:lang w:val="fr-FR"/>
        </w:rPr>
        <w:t>objet de l</w:t>
      </w:r>
      <w:r w:rsidR="004F1DFB">
        <w:rPr>
          <w:lang w:val="fr-FR"/>
        </w:rPr>
        <w:t>’</w:t>
      </w:r>
      <w:r w:rsidRPr="00AB1F22">
        <w:rPr>
          <w:lang w:val="fr-FR"/>
        </w:rPr>
        <w:t>enregistrement avant de le lancer. Dans ces circonstances, l</w:t>
      </w:r>
      <w:r w:rsidR="004F1DFB">
        <w:rPr>
          <w:lang w:val="fr-FR"/>
        </w:rPr>
        <w:t>’</w:t>
      </w:r>
      <w:r w:rsidRPr="00AB1F22">
        <w:rPr>
          <w:lang w:val="fr-FR"/>
        </w:rPr>
        <w:t>enregistrement est raisonnable et légal, étant donné qu</w:t>
      </w:r>
      <w:r w:rsidR="004F1DFB">
        <w:rPr>
          <w:lang w:val="fr-FR"/>
        </w:rPr>
        <w:t>’</w:t>
      </w:r>
      <w:r w:rsidRPr="00AB1F22">
        <w:rPr>
          <w:lang w:val="fr-FR"/>
        </w:rPr>
        <w:t xml:space="preserve">il vise à recueillir des preuves pour faciliter les enquêtes et les poursuites contre les auteurs des infractions. </w:t>
      </w:r>
    </w:p>
    <w:p w:rsidR="0024529D" w:rsidRPr="00AB1F22" w:rsidRDefault="0024529D" w:rsidP="0024529D">
      <w:pPr>
        <w:pStyle w:val="SingleTxtG"/>
        <w:rPr>
          <w:lang w:val="fr-FR"/>
        </w:rPr>
      </w:pPr>
      <w:r w:rsidRPr="00AB1F22">
        <w:rPr>
          <w:lang w:val="fr-FR"/>
        </w:rPr>
        <w:t>135.</w:t>
      </w:r>
      <w:r w:rsidRPr="00AB1F22">
        <w:rPr>
          <w:lang w:val="fr-FR"/>
        </w:rPr>
        <w:tab/>
        <w:t>Les policiers chargés des enregistrements vidéo d</w:t>
      </w:r>
      <w:r w:rsidR="004F1DFB">
        <w:rPr>
          <w:lang w:val="fr-FR"/>
        </w:rPr>
        <w:t>’</w:t>
      </w:r>
      <w:r w:rsidRPr="00AB1F22">
        <w:rPr>
          <w:lang w:val="fr-FR"/>
        </w:rPr>
        <w:t>événements susceptibles de troubler l</w:t>
      </w:r>
      <w:r w:rsidR="004F1DFB">
        <w:rPr>
          <w:lang w:val="fr-FR"/>
        </w:rPr>
        <w:t>’</w:t>
      </w:r>
      <w:r w:rsidRPr="00AB1F22">
        <w:rPr>
          <w:lang w:val="fr-FR"/>
        </w:rPr>
        <w:t>ordre public ont suivi une formation appropriée, notamment sur les exigences légales, le but et la portée du pouvoir de réaliser des enregistrements vidéo, la bonne utilisation du matériel d</w:t>
      </w:r>
      <w:r w:rsidR="004F1DFB">
        <w:rPr>
          <w:lang w:val="fr-FR"/>
        </w:rPr>
        <w:t>’</w:t>
      </w:r>
      <w:r w:rsidRPr="00AB1F22">
        <w:rPr>
          <w:lang w:val="fr-FR"/>
        </w:rPr>
        <w:t xml:space="preserve">enregistrement vidéo et les procédures à mettre en place. </w:t>
      </w:r>
    </w:p>
    <w:p w:rsidR="0024529D" w:rsidRPr="00AB1F22" w:rsidRDefault="0024529D" w:rsidP="0024529D">
      <w:pPr>
        <w:pStyle w:val="SingleTxtG"/>
        <w:rPr>
          <w:lang w:val="fr-FR"/>
        </w:rPr>
      </w:pPr>
      <w:r w:rsidRPr="00AB1F22">
        <w:rPr>
          <w:lang w:val="fr-FR"/>
        </w:rPr>
        <w:t>136.</w:t>
      </w:r>
      <w:r w:rsidRPr="00AB1F22">
        <w:rPr>
          <w:lang w:val="fr-FR"/>
        </w:rPr>
        <w:tab/>
        <w:t>Les enregistrements vidéo ne seront utilisés qu</w:t>
      </w:r>
      <w:r w:rsidR="004F1DFB">
        <w:rPr>
          <w:lang w:val="fr-FR"/>
        </w:rPr>
        <w:t>’</w:t>
      </w:r>
      <w:r w:rsidRPr="00AB1F22">
        <w:rPr>
          <w:lang w:val="fr-FR"/>
        </w:rPr>
        <w:t>à des fins d</w:t>
      </w:r>
      <w:r w:rsidR="004F1DFB">
        <w:rPr>
          <w:lang w:val="fr-FR"/>
        </w:rPr>
        <w:t>’</w:t>
      </w:r>
      <w:r w:rsidRPr="00AB1F22">
        <w:rPr>
          <w:lang w:val="fr-FR"/>
        </w:rPr>
        <w:t xml:space="preserve">enquête, de recueillement de preuves ou de contrôle interne et ne seront pas conservés plus longtemps que nécessaire. La police dispose de directives et de procédures claires et strictes sur la gestion des enregistrements, y compris leur conservation en lieu sûr, la façon de les manipuler et leur destruction en temps voulu. </w:t>
      </w:r>
    </w:p>
    <w:p w:rsidR="0024529D" w:rsidRPr="00AB1F22" w:rsidRDefault="0024529D" w:rsidP="0024529D">
      <w:pPr>
        <w:pStyle w:val="SingleTxtG"/>
        <w:rPr>
          <w:lang w:val="fr-FR"/>
        </w:rPr>
      </w:pPr>
      <w:r w:rsidRPr="00AB1F22">
        <w:rPr>
          <w:lang w:val="fr-FR"/>
        </w:rPr>
        <w:t>137.</w:t>
      </w:r>
      <w:r w:rsidRPr="00AB1F22">
        <w:rPr>
          <w:lang w:val="fr-FR"/>
        </w:rPr>
        <w:tab/>
      </w:r>
      <w:r>
        <w:rPr>
          <w:lang w:val="fr-FR"/>
        </w:rPr>
        <w:t>L</w:t>
      </w:r>
      <w:r w:rsidR="004F1DFB">
        <w:rPr>
          <w:lang w:val="fr-FR"/>
        </w:rPr>
        <w:t>’</w:t>
      </w:r>
      <w:r w:rsidRPr="00AB1F22">
        <w:rPr>
          <w:lang w:val="fr-FR"/>
        </w:rPr>
        <w:t xml:space="preserve">annexe 21A </w:t>
      </w:r>
      <w:r>
        <w:rPr>
          <w:lang w:val="fr-FR"/>
        </w:rPr>
        <w:t>contient</w:t>
      </w:r>
      <w:r w:rsidRPr="00AB1F22">
        <w:rPr>
          <w:lang w:val="fr-FR"/>
        </w:rPr>
        <w:t xml:space="preserve"> des précisions sur le port de caméras par les policiers. </w:t>
      </w:r>
    </w:p>
    <w:p w:rsidR="0024529D" w:rsidRPr="00AB1F22" w:rsidRDefault="0024529D" w:rsidP="0024529D">
      <w:pPr>
        <w:pStyle w:val="SingleTxtG"/>
        <w:rPr>
          <w:lang w:val="fr-FR"/>
        </w:rPr>
      </w:pPr>
      <w:r w:rsidRPr="00AB1F22">
        <w:rPr>
          <w:lang w:val="fr-FR"/>
        </w:rPr>
        <w:t>138.</w:t>
      </w:r>
      <w:r w:rsidRPr="00AB1F22">
        <w:rPr>
          <w:lang w:val="fr-FR"/>
        </w:rPr>
        <w:tab/>
        <w:t>L</w:t>
      </w:r>
      <w:r w:rsidR="004F1DFB">
        <w:rPr>
          <w:lang w:val="fr-FR"/>
        </w:rPr>
        <w:t>’</w:t>
      </w:r>
      <w:r w:rsidRPr="00AB1F22">
        <w:rPr>
          <w:lang w:val="fr-FR"/>
        </w:rPr>
        <w:t>annexe 21B décrit la situation en ce qui concerne la confiscation d</w:t>
      </w:r>
      <w:r w:rsidR="004F1DFB">
        <w:rPr>
          <w:lang w:val="fr-FR"/>
        </w:rPr>
        <w:t>’</w:t>
      </w:r>
      <w:r w:rsidRPr="00AB1F22">
        <w:rPr>
          <w:lang w:val="fr-FR"/>
        </w:rPr>
        <w:t>objets exposés, sur le fondement des lois sur le divertissement public</w:t>
      </w:r>
      <w:r>
        <w:rPr>
          <w:lang w:val="fr-FR"/>
        </w:rPr>
        <w:t> ;</w:t>
      </w:r>
      <w:r w:rsidRPr="00AB1F22">
        <w:rPr>
          <w:lang w:val="fr-FR"/>
        </w:rPr>
        <w:t xml:space="preserve"> les stands destinés à recueillir des fonds ou des signatures sur le parcours des cortèges</w:t>
      </w:r>
      <w:r>
        <w:rPr>
          <w:lang w:val="fr-FR"/>
        </w:rPr>
        <w:t> ;</w:t>
      </w:r>
      <w:r w:rsidRPr="00AB1F22">
        <w:rPr>
          <w:lang w:val="fr-FR"/>
        </w:rPr>
        <w:t xml:space="preserve"> et les rassemblements publics devant les bureaux du Gouvernement central. </w:t>
      </w:r>
    </w:p>
    <w:p w:rsidR="0024529D" w:rsidRPr="00AB1F22" w:rsidRDefault="0024529D" w:rsidP="0024529D">
      <w:pPr>
        <w:pStyle w:val="H1G"/>
        <w:rPr>
          <w:lang w:val="fr-FR"/>
        </w:rPr>
      </w:pPr>
      <w:r w:rsidRPr="00AB1F22">
        <w:rPr>
          <w:lang w:val="fr-FR"/>
        </w:rPr>
        <w:tab/>
      </w:r>
      <w:r w:rsidRPr="00AB1F22">
        <w:rPr>
          <w:lang w:val="fr-FR"/>
        </w:rPr>
        <w:tab/>
      </w:r>
      <w:r w:rsidRPr="00AB1F22">
        <w:rPr>
          <w:bCs/>
          <w:lang w:val="fr-FR"/>
        </w:rPr>
        <w:t>Article</w:t>
      </w:r>
      <w:r>
        <w:rPr>
          <w:bCs/>
          <w:lang w:val="fr-FR"/>
        </w:rPr>
        <w:t> </w:t>
      </w:r>
      <w:r w:rsidRPr="00AB1F22">
        <w:rPr>
          <w:bCs/>
          <w:lang w:val="fr-FR"/>
        </w:rPr>
        <w:t>22</w:t>
      </w:r>
      <w:r>
        <w:rPr>
          <w:bCs/>
          <w:lang w:val="fr-FR"/>
        </w:rPr>
        <w:br/>
      </w:r>
      <w:r w:rsidRPr="00AB1F22">
        <w:rPr>
          <w:bCs/>
          <w:lang w:val="fr-FR"/>
        </w:rPr>
        <w:t>Liberté d</w:t>
      </w:r>
      <w:r w:rsidR="004F1DFB">
        <w:rPr>
          <w:bCs/>
          <w:lang w:val="fr-FR"/>
        </w:rPr>
        <w:t>’</w:t>
      </w:r>
      <w:r w:rsidRPr="00AB1F22">
        <w:rPr>
          <w:bCs/>
          <w:lang w:val="fr-FR"/>
        </w:rPr>
        <w:t>association</w:t>
      </w:r>
      <w:r w:rsidRPr="00AB1F22">
        <w:rPr>
          <w:lang w:val="fr-FR"/>
        </w:rPr>
        <w:t xml:space="preserve"> </w:t>
      </w:r>
      <w:bookmarkStart w:id="63" w:name="_Toc31721452"/>
      <w:bookmarkEnd w:id="63"/>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Ordonnance relative aux associations (chap. 151)</w:t>
      </w:r>
      <w:bookmarkStart w:id="64" w:name="_Toc31721453"/>
      <w:bookmarkEnd w:id="64"/>
    </w:p>
    <w:p w:rsidR="0024529D" w:rsidRPr="00AB1F22" w:rsidRDefault="0024529D" w:rsidP="0024529D">
      <w:pPr>
        <w:pStyle w:val="SingleTxtG"/>
        <w:rPr>
          <w:lang w:val="fr-FR"/>
        </w:rPr>
      </w:pPr>
      <w:r w:rsidRPr="00AB1F22">
        <w:rPr>
          <w:lang w:val="fr-FR"/>
        </w:rPr>
        <w:t>139.</w:t>
      </w:r>
      <w:r w:rsidRPr="00AB1F22">
        <w:rPr>
          <w:lang w:val="fr-FR"/>
        </w:rPr>
        <w:tab/>
        <w:t>Comme indiqué dans le rapport précédent, le nombre d</w:t>
      </w:r>
      <w:r w:rsidR="004F1DFB">
        <w:rPr>
          <w:lang w:val="fr-FR"/>
        </w:rPr>
        <w:t>’</w:t>
      </w:r>
      <w:r w:rsidRPr="00AB1F22">
        <w:rPr>
          <w:lang w:val="fr-FR"/>
        </w:rPr>
        <w:t>associati</w:t>
      </w:r>
      <w:r>
        <w:rPr>
          <w:lang w:val="fr-FR"/>
        </w:rPr>
        <w:t>ons a fortement augmenté. Le 31 </w:t>
      </w:r>
      <w:r w:rsidRPr="00AB1F22">
        <w:rPr>
          <w:lang w:val="fr-FR"/>
        </w:rPr>
        <w:t>août 2017, le nombre d</w:t>
      </w:r>
      <w:r w:rsidR="004F1DFB">
        <w:rPr>
          <w:lang w:val="fr-FR"/>
        </w:rPr>
        <w:t>’</w:t>
      </w:r>
      <w:r w:rsidRPr="00AB1F22">
        <w:rPr>
          <w:lang w:val="fr-FR"/>
        </w:rPr>
        <w:t>associations enregistrées ou dispensées d</w:t>
      </w:r>
      <w:r w:rsidR="004F1DFB">
        <w:rPr>
          <w:lang w:val="fr-FR"/>
        </w:rPr>
        <w:t>’</w:t>
      </w:r>
      <w:r w:rsidRPr="00AB1F22">
        <w:rPr>
          <w:lang w:val="fr-FR"/>
        </w:rPr>
        <w:t>enregistrement depuis la création de la RAS de Hong</w:t>
      </w:r>
      <w:r>
        <w:rPr>
          <w:lang w:val="fr-FR"/>
        </w:rPr>
        <w:t> </w:t>
      </w:r>
      <w:r w:rsidRPr="00AB1F22">
        <w:rPr>
          <w:lang w:val="fr-FR"/>
        </w:rPr>
        <w:t>Kong s</w:t>
      </w:r>
      <w:r w:rsidR="004F1DFB">
        <w:rPr>
          <w:lang w:val="fr-FR"/>
        </w:rPr>
        <w:t>’</w:t>
      </w:r>
      <w:r w:rsidRPr="00AB1F22">
        <w:rPr>
          <w:lang w:val="fr-FR"/>
        </w:rPr>
        <w:t xml:space="preserve">élevait à plus de 38 900.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Réglementation des activités syndicales</w:t>
      </w:r>
      <w:r w:rsidRPr="00AB1F22">
        <w:rPr>
          <w:lang w:val="fr-FR"/>
        </w:rPr>
        <w:t xml:space="preserve"> </w:t>
      </w:r>
      <w:bookmarkStart w:id="65" w:name="_Toc31721454"/>
      <w:bookmarkEnd w:id="65"/>
    </w:p>
    <w:p w:rsidR="0024529D" w:rsidRPr="00AB1F22" w:rsidRDefault="0024529D" w:rsidP="0024529D">
      <w:pPr>
        <w:pStyle w:val="SingleTxtG"/>
        <w:rPr>
          <w:lang w:val="fr-FR"/>
        </w:rPr>
      </w:pPr>
      <w:r w:rsidRPr="00AB1F22">
        <w:rPr>
          <w:lang w:val="fr-FR"/>
        </w:rPr>
        <w:t>140.</w:t>
      </w:r>
      <w:r w:rsidRPr="00AB1F22">
        <w:rPr>
          <w:lang w:val="fr-FR"/>
        </w:rPr>
        <w:tab/>
        <w:t>La situation reste telle qu</w:t>
      </w:r>
      <w:r w:rsidR="004F1DFB">
        <w:rPr>
          <w:lang w:val="fr-FR"/>
        </w:rPr>
        <w:t>’</w:t>
      </w:r>
      <w:r w:rsidRPr="00AB1F22">
        <w:rPr>
          <w:lang w:val="fr-FR"/>
        </w:rPr>
        <w:t>expliquée aux paragraphes</w:t>
      </w:r>
      <w:r>
        <w:rPr>
          <w:lang w:val="fr-FR"/>
        </w:rPr>
        <w:t> </w:t>
      </w:r>
      <w:r w:rsidRPr="00AB1F22">
        <w:rPr>
          <w:lang w:val="fr-FR"/>
        </w:rPr>
        <w:t>120 à 126 de la deuxième partie du rapport initial de la RAS de Hong</w:t>
      </w:r>
      <w:r>
        <w:rPr>
          <w:lang w:val="fr-FR"/>
        </w:rPr>
        <w:t> </w:t>
      </w:r>
      <w:r w:rsidRPr="00AB1F22">
        <w:rPr>
          <w:lang w:val="fr-FR"/>
        </w:rPr>
        <w:t>Kong sur la mise en œuvre du Pacte international relatif aux droits économiques, sociaux et culturels se rapportant à l</w:t>
      </w:r>
      <w:r w:rsidR="004F1DFB">
        <w:rPr>
          <w:lang w:val="fr-FR"/>
        </w:rPr>
        <w:t>’</w:t>
      </w:r>
      <w:r w:rsidRPr="00AB1F22">
        <w:rPr>
          <w:lang w:val="fr-FR"/>
        </w:rPr>
        <w:t>article 8 du Pacte. Le nombre de syndicats et d</w:t>
      </w:r>
      <w:r w:rsidR="004F1DFB">
        <w:rPr>
          <w:lang w:val="fr-FR"/>
        </w:rPr>
        <w:t>’</w:t>
      </w:r>
      <w:r w:rsidRPr="00AB1F22">
        <w:rPr>
          <w:lang w:val="fr-FR"/>
        </w:rPr>
        <w:t>adhérents est indiqué à l</w:t>
      </w:r>
      <w:r w:rsidR="004F1DFB">
        <w:rPr>
          <w:lang w:val="fr-FR"/>
        </w:rPr>
        <w:t>’</w:t>
      </w:r>
      <w:r w:rsidRPr="00AB1F22">
        <w:rPr>
          <w:lang w:val="fr-FR"/>
        </w:rPr>
        <w:t xml:space="preserve">annexe 22A.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Organisations de promotion des droits de l</w:t>
      </w:r>
      <w:r w:rsidR="004F1DFB">
        <w:rPr>
          <w:bCs/>
          <w:lang w:val="fr-FR"/>
        </w:rPr>
        <w:t>’</w:t>
      </w:r>
      <w:r w:rsidRPr="00AB1F22">
        <w:rPr>
          <w:bCs/>
          <w:lang w:val="fr-FR"/>
        </w:rPr>
        <w:t>homme</w:t>
      </w:r>
      <w:r w:rsidRPr="00AB1F22">
        <w:rPr>
          <w:lang w:val="fr-FR"/>
        </w:rPr>
        <w:t xml:space="preserve"> </w:t>
      </w:r>
      <w:bookmarkStart w:id="66" w:name="_Toc31721455"/>
      <w:bookmarkEnd w:id="66"/>
    </w:p>
    <w:p w:rsidR="0024529D" w:rsidRPr="00AB1F22" w:rsidRDefault="0024529D" w:rsidP="0024529D">
      <w:pPr>
        <w:pStyle w:val="SingleTxtG"/>
        <w:rPr>
          <w:lang w:val="fr-FR"/>
        </w:rPr>
      </w:pPr>
      <w:r w:rsidRPr="00AB1F22">
        <w:rPr>
          <w:lang w:val="fr-FR"/>
        </w:rPr>
        <w:t>141.</w:t>
      </w:r>
      <w:r w:rsidRPr="00AB1F22">
        <w:rPr>
          <w:lang w:val="fr-FR"/>
        </w:rPr>
        <w:tab/>
        <w:t>La situation reste inchangée par rapport à celle décrite aux paragraphes 401 à 404 de la deuxième partie du rapport initial. La liste établie à l</w:t>
      </w:r>
      <w:r w:rsidR="004F1DFB">
        <w:rPr>
          <w:lang w:val="fr-FR"/>
        </w:rPr>
        <w:t>’</w:t>
      </w:r>
      <w:r w:rsidRPr="00AB1F22">
        <w:rPr>
          <w:lang w:val="fr-FR"/>
        </w:rPr>
        <w:t xml:space="preserve">annexe 22B est une actualisation de la même annexe du rapport précédent. </w:t>
      </w:r>
    </w:p>
    <w:p w:rsidR="0024529D" w:rsidRPr="00AB1F22" w:rsidRDefault="0024529D" w:rsidP="0024529D">
      <w:pPr>
        <w:pStyle w:val="H1G"/>
        <w:rPr>
          <w:lang w:val="fr-FR"/>
        </w:rPr>
      </w:pPr>
      <w:r w:rsidRPr="00AB1F22">
        <w:rPr>
          <w:lang w:val="fr-FR"/>
        </w:rPr>
        <w:tab/>
      </w:r>
      <w:r w:rsidRPr="00AB1F22">
        <w:rPr>
          <w:lang w:val="fr-FR"/>
        </w:rPr>
        <w:tab/>
      </w:r>
      <w:r w:rsidRPr="00AB1F22">
        <w:rPr>
          <w:bCs/>
          <w:lang w:val="fr-FR"/>
        </w:rPr>
        <w:t>Article</w:t>
      </w:r>
      <w:r>
        <w:rPr>
          <w:bCs/>
          <w:lang w:val="fr-FR"/>
        </w:rPr>
        <w:t> </w:t>
      </w:r>
      <w:r w:rsidRPr="00AB1F22">
        <w:rPr>
          <w:bCs/>
          <w:lang w:val="fr-FR"/>
        </w:rPr>
        <w:t>23</w:t>
      </w:r>
      <w:r>
        <w:rPr>
          <w:bCs/>
          <w:lang w:val="fr-FR"/>
        </w:rPr>
        <w:br/>
      </w:r>
      <w:r w:rsidRPr="00AB1F22">
        <w:rPr>
          <w:bCs/>
          <w:lang w:val="fr-FR"/>
        </w:rPr>
        <w:t>La famille, composante fondamentale de la société</w:t>
      </w:r>
      <w:r w:rsidRPr="00AB1F22">
        <w:rPr>
          <w:lang w:val="fr-FR"/>
        </w:rPr>
        <w:t xml:space="preserve"> </w:t>
      </w:r>
      <w:bookmarkStart w:id="67" w:name="_Toc31721456"/>
      <w:bookmarkEnd w:id="67"/>
    </w:p>
    <w:p w:rsidR="0024529D" w:rsidRPr="00AB1F22" w:rsidRDefault="0024529D" w:rsidP="0024529D">
      <w:pPr>
        <w:pStyle w:val="SingleTxtG"/>
        <w:rPr>
          <w:lang w:val="fr-FR"/>
        </w:rPr>
      </w:pPr>
      <w:r w:rsidRPr="00AB1F22">
        <w:rPr>
          <w:lang w:val="fr-FR"/>
        </w:rPr>
        <w:t>142.</w:t>
      </w:r>
      <w:r w:rsidRPr="00AB1F22">
        <w:rPr>
          <w:lang w:val="fr-FR"/>
        </w:rPr>
        <w:tab/>
        <w:t xml:space="preserve">La situation générale reste inchangée par rapport à celle expliquée au paragraphe 234 de la deuxième partie du deuxième rapport.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Services de protection sociale de la famille</w:t>
      </w:r>
      <w:r w:rsidRPr="00AB1F22">
        <w:rPr>
          <w:lang w:val="fr-FR"/>
        </w:rPr>
        <w:t xml:space="preserve"> </w:t>
      </w:r>
      <w:bookmarkStart w:id="68" w:name="_Toc31721457"/>
      <w:bookmarkEnd w:id="68"/>
    </w:p>
    <w:p w:rsidR="0024529D" w:rsidRPr="00AB1F22" w:rsidRDefault="0024529D" w:rsidP="0024529D">
      <w:pPr>
        <w:pStyle w:val="SingleTxtG"/>
        <w:rPr>
          <w:lang w:val="fr-FR"/>
        </w:rPr>
      </w:pPr>
      <w:r w:rsidRPr="00AB1F22">
        <w:rPr>
          <w:lang w:val="fr-FR"/>
        </w:rPr>
        <w:t>143.</w:t>
      </w:r>
      <w:r w:rsidRPr="00AB1F22">
        <w:rPr>
          <w:lang w:val="fr-FR"/>
        </w:rPr>
        <w:tab/>
        <w:t>La situation la plus récente concernant les centres de consultation familiale, les</w:t>
      </w:r>
      <w:r w:rsidR="003F79A2">
        <w:rPr>
          <w:lang w:val="fr-FR"/>
        </w:rPr>
        <w:t> </w:t>
      </w:r>
      <w:r w:rsidRPr="00AB1F22">
        <w:rPr>
          <w:lang w:val="fr-FR"/>
        </w:rPr>
        <w:t>unités de services chargés de la protection de la famille et de l</w:t>
      </w:r>
      <w:r w:rsidR="004F1DFB">
        <w:rPr>
          <w:lang w:val="fr-FR"/>
        </w:rPr>
        <w:t>’</w:t>
      </w:r>
      <w:r w:rsidRPr="00AB1F22">
        <w:rPr>
          <w:lang w:val="fr-FR"/>
        </w:rPr>
        <w:t>enfance, l</w:t>
      </w:r>
      <w:r w:rsidR="004F1DFB">
        <w:rPr>
          <w:lang w:val="fr-FR"/>
        </w:rPr>
        <w:t>’</w:t>
      </w:r>
      <w:r w:rsidRPr="00AB1F22">
        <w:rPr>
          <w:lang w:val="fr-FR"/>
        </w:rPr>
        <w:t>examen des lois relatives à la tutelle et à la garde des enfants par la Commission de réforme des lois, et la responsabilité parentale est présentée à l</w:t>
      </w:r>
      <w:r w:rsidR="004F1DFB">
        <w:rPr>
          <w:lang w:val="fr-FR"/>
        </w:rPr>
        <w:t>’</w:t>
      </w:r>
      <w:r w:rsidRPr="00AB1F22">
        <w:rPr>
          <w:lang w:val="fr-FR"/>
        </w:rPr>
        <w:t xml:space="preserve">annexe 23A.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Familles séparées</w:t>
      </w:r>
      <w:r w:rsidRPr="00AB1F22">
        <w:rPr>
          <w:lang w:val="fr-FR"/>
        </w:rPr>
        <w:t xml:space="preserve"> </w:t>
      </w:r>
      <w:bookmarkStart w:id="69" w:name="_Toc31721458"/>
      <w:bookmarkEnd w:id="69"/>
    </w:p>
    <w:p w:rsidR="0024529D" w:rsidRPr="00AB1F22" w:rsidRDefault="0024529D" w:rsidP="0024529D">
      <w:pPr>
        <w:pStyle w:val="SingleTxtG"/>
        <w:rPr>
          <w:lang w:val="fr-FR"/>
        </w:rPr>
      </w:pPr>
      <w:r w:rsidRPr="00AB1F22">
        <w:rPr>
          <w:lang w:val="fr-FR"/>
        </w:rPr>
        <w:t>144.</w:t>
      </w:r>
      <w:r w:rsidRPr="00AB1F22">
        <w:rPr>
          <w:lang w:val="fr-FR"/>
        </w:rPr>
        <w:tab/>
        <w:t>Le Gouvernement comprend les souhaits de regroupement familial, mais il n</w:t>
      </w:r>
      <w:r w:rsidR="004F1DFB">
        <w:rPr>
          <w:lang w:val="fr-FR"/>
        </w:rPr>
        <w:t>’</w:t>
      </w:r>
      <w:r w:rsidRPr="00AB1F22">
        <w:rPr>
          <w:lang w:val="fr-FR"/>
        </w:rPr>
        <w:t>existe pas de droit absolu pour les personnes qui ne sont pas résidentes de Hong</w:t>
      </w:r>
      <w:r>
        <w:rPr>
          <w:lang w:val="fr-FR"/>
        </w:rPr>
        <w:t> </w:t>
      </w:r>
      <w:r w:rsidRPr="00AB1F22">
        <w:rPr>
          <w:lang w:val="fr-FR"/>
        </w:rPr>
        <w:t>Kong d</w:t>
      </w:r>
      <w:r w:rsidR="004F1DFB">
        <w:rPr>
          <w:lang w:val="fr-FR"/>
        </w:rPr>
        <w:t>’</w:t>
      </w:r>
      <w:r>
        <w:rPr>
          <w:lang w:val="fr-FR"/>
        </w:rPr>
        <w:t xml:space="preserve">y </w:t>
      </w:r>
      <w:r w:rsidRPr="00AB1F22">
        <w:rPr>
          <w:lang w:val="fr-FR"/>
        </w:rPr>
        <w:t>entrer et d</w:t>
      </w:r>
      <w:r w:rsidR="004F1DFB">
        <w:rPr>
          <w:lang w:val="fr-FR"/>
        </w:rPr>
        <w:t>’</w:t>
      </w:r>
      <w:r>
        <w:rPr>
          <w:lang w:val="fr-FR"/>
        </w:rPr>
        <w:t>y</w:t>
      </w:r>
      <w:r w:rsidRPr="00AB1F22">
        <w:rPr>
          <w:lang w:val="fr-FR"/>
        </w:rPr>
        <w:t xml:space="preserve"> rester aux fins de regroupement familial. Les gouvernements du monde entier demandent aux personnes qui souhaitent rejoindre leur famille de soumettre des demandes formelles pour examen, avant d</w:t>
      </w:r>
      <w:r w:rsidR="004F1DFB">
        <w:rPr>
          <w:lang w:val="fr-FR"/>
        </w:rPr>
        <w:t>’</w:t>
      </w:r>
      <w:r w:rsidRPr="00AB1F22">
        <w:rPr>
          <w:lang w:val="fr-FR"/>
        </w:rPr>
        <w:t xml:space="preserve">entrer dans les juridictions concernées, conformément aux lois et politiques locales. </w:t>
      </w:r>
    </w:p>
    <w:p w:rsidR="0024529D" w:rsidRPr="00AB1F22" w:rsidRDefault="0024529D" w:rsidP="0024529D">
      <w:pPr>
        <w:pStyle w:val="SingleTxtG"/>
        <w:rPr>
          <w:lang w:val="fr-FR"/>
        </w:rPr>
      </w:pPr>
      <w:r w:rsidRPr="00AB1F22">
        <w:rPr>
          <w:lang w:val="fr-FR"/>
        </w:rPr>
        <w:t>145.</w:t>
      </w:r>
      <w:r w:rsidRPr="00AB1F22">
        <w:rPr>
          <w:lang w:val="fr-FR"/>
        </w:rPr>
        <w:tab/>
        <w:t>Le Gouvernement a traité les questions liées au droit de séjour et aux familles séparées conformément à la Loi fondamentale, à l</w:t>
      </w:r>
      <w:r w:rsidR="004F1DFB">
        <w:rPr>
          <w:lang w:val="fr-FR"/>
        </w:rPr>
        <w:t>’</w:t>
      </w:r>
      <w:r w:rsidRPr="00AB1F22">
        <w:rPr>
          <w:lang w:val="fr-FR"/>
        </w:rPr>
        <w:t>ordonnance portant Charte des droits de Hong</w:t>
      </w:r>
      <w:r>
        <w:rPr>
          <w:lang w:val="fr-FR"/>
        </w:rPr>
        <w:t> </w:t>
      </w:r>
      <w:r w:rsidRPr="00AB1F22">
        <w:rPr>
          <w:lang w:val="fr-FR"/>
        </w:rPr>
        <w:t>Kong, et aux lois et politiques locales pertinentes qui sont conformes aux dispositions du Pacte telles qu</w:t>
      </w:r>
      <w:r w:rsidR="004F1DFB">
        <w:rPr>
          <w:lang w:val="fr-FR"/>
        </w:rPr>
        <w:t>’</w:t>
      </w:r>
      <w:r w:rsidRPr="00AB1F22">
        <w:rPr>
          <w:lang w:val="fr-FR"/>
        </w:rPr>
        <w:t>elles s</w:t>
      </w:r>
      <w:r w:rsidR="004F1DFB">
        <w:rPr>
          <w:lang w:val="fr-FR"/>
        </w:rPr>
        <w:t>’</w:t>
      </w:r>
      <w:r w:rsidRPr="00AB1F22">
        <w:rPr>
          <w:lang w:val="fr-FR"/>
        </w:rPr>
        <w:t>appliquent à Hong</w:t>
      </w:r>
      <w:r>
        <w:rPr>
          <w:lang w:val="fr-FR"/>
        </w:rPr>
        <w:t> </w:t>
      </w:r>
      <w:r w:rsidRPr="00AB1F22">
        <w:rPr>
          <w:lang w:val="fr-FR"/>
        </w:rPr>
        <w:t xml:space="preserve">Kong. </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Familles séparées entre la RAS de Hong</w:t>
      </w:r>
      <w:r>
        <w:rPr>
          <w:iCs/>
          <w:lang w:val="fr-FR"/>
        </w:rPr>
        <w:t> </w:t>
      </w:r>
      <w:r w:rsidRPr="00AB1F22">
        <w:rPr>
          <w:iCs/>
          <w:lang w:val="fr-FR"/>
        </w:rPr>
        <w:t>Kong et la Chine continentale</w:t>
      </w:r>
      <w:r w:rsidRPr="00AB1F22">
        <w:rPr>
          <w:lang w:val="fr-FR"/>
        </w:rPr>
        <w:t xml:space="preserve"> </w:t>
      </w:r>
    </w:p>
    <w:p w:rsidR="0024529D" w:rsidRPr="00AB1F22" w:rsidRDefault="0024529D" w:rsidP="0024529D">
      <w:pPr>
        <w:pStyle w:val="SingleTxtG"/>
        <w:rPr>
          <w:lang w:val="fr-FR"/>
        </w:rPr>
      </w:pPr>
      <w:r w:rsidRPr="00AB1F22">
        <w:rPr>
          <w:lang w:val="fr-FR"/>
        </w:rPr>
        <w:t>146.</w:t>
      </w:r>
      <w:r w:rsidRPr="00AB1F22">
        <w:rPr>
          <w:lang w:val="fr-FR"/>
        </w:rPr>
        <w:tab/>
        <w:t>Au paragraphe</w:t>
      </w:r>
      <w:r>
        <w:rPr>
          <w:lang w:val="fr-FR"/>
        </w:rPr>
        <w:t> </w:t>
      </w:r>
      <w:r w:rsidRPr="00AB1F22">
        <w:rPr>
          <w:lang w:val="fr-FR"/>
        </w:rPr>
        <w:t>15 de ses précédentes observations finales, le Comité s</w:t>
      </w:r>
      <w:r w:rsidR="004F1DFB">
        <w:rPr>
          <w:lang w:val="fr-FR"/>
        </w:rPr>
        <w:t>’</w:t>
      </w:r>
      <w:r w:rsidRPr="00AB1F22">
        <w:rPr>
          <w:lang w:val="fr-FR"/>
        </w:rPr>
        <w:t>est dit préoccupé par les familles qui sont séparées entre la Chine continentale et la RAS de Hong</w:t>
      </w:r>
      <w:r>
        <w:rPr>
          <w:lang w:val="fr-FR"/>
        </w:rPr>
        <w:t> </w:t>
      </w:r>
      <w:r w:rsidRPr="00AB1F22">
        <w:rPr>
          <w:lang w:val="fr-FR"/>
        </w:rPr>
        <w:t>Kong. Notre position, y compris les dispositions législatives sur le droit de séjour et le système d</w:t>
      </w:r>
      <w:r w:rsidR="004F1DFB">
        <w:rPr>
          <w:lang w:val="fr-FR"/>
        </w:rPr>
        <w:t>’</w:t>
      </w:r>
      <w:r w:rsidRPr="00AB1F22">
        <w:rPr>
          <w:lang w:val="fr-FR"/>
        </w:rPr>
        <w:t>attestation des droits, a été exposée aux paragraphes 126 et</w:t>
      </w:r>
      <w:r w:rsidR="003F79A2">
        <w:rPr>
          <w:lang w:val="fr-FR"/>
        </w:rPr>
        <w:t> </w:t>
      </w:r>
      <w:r w:rsidRPr="00AB1F22">
        <w:rPr>
          <w:lang w:val="fr-FR"/>
        </w:rPr>
        <w:t xml:space="preserve">127 de la deuxième partie du deuxième rapport. </w:t>
      </w:r>
    </w:p>
    <w:p w:rsidR="0024529D" w:rsidRPr="00AB1F22" w:rsidRDefault="0024529D" w:rsidP="0024529D">
      <w:pPr>
        <w:pStyle w:val="SingleTxtG"/>
        <w:rPr>
          <w:lang w:val="fr-FR"/>
        </w:rPr>
      </w:pPr>
      <w:r w:rsidRPr="00AB1F22">
        <w:rPr>
          <w:lang w:val="fr-FR"/>
        </w:rPr>
        <w:t>147.</w:t>
      </w:r>
      <w:r w:rsidRPr="00AB1F22">
        <w:rPr>
          <w:lang w:val="fr-FR"/>
        </w:rPr>
        <w:tab/>
        <w:t>En application de l</w:t>
      </w:r>
      <w:r w:rsidR="004F1DFB">
        <w:rPr>
          <w:lang w:val="fr-FR"/>
        </w:rPr>
        <w:t>’</w:t>
      </w:r>
      <w:r w:rsidRPr="00AB1F22">
        <w:rPr>
          <w:lang w:val="fr-FR"/>
        </w:rPr>
        <w:t>article 22 de la Loi fondamentale, pour entrer dans la RAS de Hong</w:t>
      </w:r>
      <w:r>
        <w:rPr>
          <w:lang w:val="fr-FR"/>
        </w:rPr>
        <w:t> </w:t>
      </w:r>
      <w:r w:rsidRPr="00AB1F22">
        <w:rPr>
          <w:lang w:val="fr-FR"/>
        </w:rPr>
        <w:t>Kong, les personnes originaires d</w:t>
      </w:r>
      <w:r w:rsidR="004F1DFB">
        <w:rPr>
          <w:lang w:val="fr-FR"/>
        </w:rPr>
        <w:t>’</w:t>
      </w:r>
      <w:r w:rsidRPr="00AB1F22">
        <w:rPr>
          <w:lang w:val="fr-FR"/>
        </w:rPr>
        <w:t>autres régions de Chine doivent demander une autorisation. Les résidents de la Chine continentale qui souhaitent s</w:t>
      </w:r>
      <w:r w:rsidR="004F1DFB">
        <w:rPr>
          <w:lang w:val="fr-FR"/>
        </w:rPr>
        <w:t>’</w:t>
      </w:r>
      <w:r w:rsidRPr="00AB1F22">
        <w:rPr>
          <w:lang w:val="fr-FR"/>
        </w:rPr>
        <w:t>installer à Hong</w:t>
      </w:r>
      <w:r>
        <w:rPr>
          <w:lang w:val="fr-FR"/>
        </w:rPr>
        <w:t> </w:t>
      </w:r>
      <w:r w:rsidRPr="00AB1F22">
        <w:rPr>
          <w:lang w:val="fr-FR"/>
        </w:rPr>
        <w:t>Kong pour des raisons de regroupement familial doivent demander un permis à sens unique (c</w:t>
      </w:r>
      <w:r w:rsidR="004F1DFB">
        <w:rPr>
          <w:lang w:val="fr-FR"/>
        </w:rPr>
        <w:t>’</w:t>
      </w:r>
      <w:r w:rsidRPr="00AB1F22">
        <w:rPr>
          <w:lang w:val="fr-FR"/>
        </w:rPr>
        <w:t>est-à-dire un permis pour se rendre à Hong</w:t>
      </w:r>
      <w:r>
        <w:rPr>
          <w:lang w:val="fr-FR"/>
        </w:rPr>
        <w:t> </w:t>
      </w:r>
      <w:r w:rsidRPr="00AB1F22">
        <w:rPr>
          <w:lang w:val="fr-FR"/>
        </w:rPr>
        <w:t>Kong et à Macao) aux autorités compétentes de la Chine continentale. Des précisions sur le régime du permis à sens unique sont données à l</w:t>
      </w:r>
      <w:r w:rsidR="004F1DFB">
        <w:rPr>
          <w:lang w:val="fr-FR"/>
        </w:rPr>
        <w:t>’</w:t>
      </w:r>
      <w:r w:rsidRPr="00AB1F22">
        <w:rPr>
          <w:lang w:val="fr-FR"/>
        </w:rPr>
        <w:t xml:space="preserve">annexe 23B. </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Familles séparées dont les membres sont originaires d</w:t>
      </w:r>
      <w:r w:rsidR="004F1DFB">
        <w:rPr>
          <w:iCs/>
          <w:lang w:val="fr-FR"/>
        </w:rPr>
        <w:t>’</w:t>
      </w:r>
      <w:r w:rsidRPr="00AB1F22">
        <w:rPr>
          <w:iCs/>
          <w:lang w:val="fr-FR"/>
        </w:rPr>
        <w:t>autres pays</w:t>
      </w:r>
    </w:p>
    <w:p w:rsidR="0024529D" w:rsidRPr="00AB1F22" w:rsidRDefault="0024529D" w:rsidP="0024529D">
      <w:pPr>
        <w:pStyle w:val="SingleTxtG"/>
        <w:rPr>
          <w:lang w:val="fr-FR"/>
        </w:rPr>
      </w:pPr>
      <w:r w:rsidRPr="00AB1F22">
        <w:rPr>
          <w:lang w:val="fr-FR"/>
        </w:rPr>
        <w:t>148.</w:t>
      </w:r>
      <w:r w:rsidRPr="00AB1F22">
        <w:rPr>
          <w:lang w:val="fr-FR"/>
        </w:rPr>
        <w:tab/>
        <w:t>Notre politique d</w:t>
      </w:r>
      <w:r w:rsidR="004F1DFB">
        <w:rPr>
          <w:lang w:val="fr-FR"/>
        </w:rPr>
        <w:t>’</w:t>
      </w:r>
      <w:r w:rsidRPr="00AB1F22">
        <w:rPr>
          <w:lang w:val="fr-FR"/>
        </w:rPr>
        <w:t>immigration actuelle qui autorise les résidents de Hong</w:t>
      </w:r>
      <w:r>
        <w:rPr>
          <w:lang w:val="fr-FR"/>
        </w:rPr>
        <w:t> </w:t>
      </w:r>
      <w:r w:rsidRPr="00AB1F22">
        <w:rPr>
          <w:lang w:val="fr-FR"/>
        </w:rPr>
        <w:t>Kong remplissant les conditions requises à aider l</w:t>
      </w:r>
      <w:r>
        <w:rPr>
          <w:lang w:val="fr-FR"/>
        </w:rPr>
        <w:t xml:space="preserve">es personnes </w:t>
      </w:r>
      <w:r w:rsidRPr="00AB1F22">
        <w:rPr>
          <w:lang w:val="fr-FR"/>
        </w:rPr>
        <w:t>à leur charge qui ne sont pas résidents de la Chine continentale à venir s</w:t>
      </w:r>
      <w:r w:rsidR="004F1DFB">
        <w:rPr>
          <w:lang w:val="fr-FR"/>
        </w:rPr>
        <w:t>’</w:t>
      </w:r>
      <w:r w:rsidRPr="00AB1F22">
        <w:rPr>
          <w:lang w:val="fr-FR"/>
        </w:rPr>
        <w:t>installer à Hong</w:t>
      </w:r>
      <w:r>
        <w:rPr>
          <w:lang w:val="fr-FR"/>
        </w:rPr>
        <w:t> </w:t>
      </w:r>
      <w:r w:rsidRPr="00AB1F22">
        <w:rPr>
          <w:lang w:val="fr-FR"/>
        </w:rPr>
        <w:t>Kong a été exposée au paragraphe 272 du rapport précédent. Il peut être fait droit aux demandes en ce sens si les conditions normales d</w:t>
      </w:r>
      <w:r w:rsidR="004F1DFB">
        <w:rPr>
          <w:lang w:val="fr-FR"/>
        </w:rPr>
        <w:t>’</w:t>
      </w:r>
      <w:r w:rsidRPr="00AB1F22">
        <w:rPr>
          <w:lang w:val="fr-FR"/>
        </w:rPr>
        <w:t>immigration et les critères spécifiques d</w:t>
      </w:r>
      <w:r w:rsidR="004F1DFB">
        <w:rPr>
          <w:lang w:val="fr-FR"/>
        </w:rPr>
        <w:t>’</w:t>
      </w:r>
      <w:r w:rsidRPr="00AB1F22">
        <w:rPr>
          <w:lang w:val="fr-FR"/>
        </w:rPr>
        <w:t>admissibilité sont remplis. Après avoir examiné tous les facteurs pertinents, le Directeur de l</w:t>
      </w:r>
      <w:r w:rsidR="004F1DFB">
        <w:rPr>
          <w:lang w:val="fr-FR"/>
        </w:rPr>
        <w:t>’</w:t>
      </w:r>
      <w:r w:rsidRPr="00AB1F22">
        <w:rPr>
          <w:lang w:val="fr-FR"/>
        </w:rPr>
        <w:t>immigration peut faire usage de son pouvoir discrétionnaire pour autoriser, au cas par cas, l</w:t>
      </w:r>
      <w:r w:rsidR="004F1DFB">
        <w:rPr>
          <w:lang w:val="fr-FR"/>
        </w:rPr>
        <w:t>’</w:t>
      </w:r>
      <w:r w:rsidRPr="00AB1F22">
        <w:rPr>
          <w:lang w:val="fr-FR"/>
        </w:rPr>
        <w:t>entrée sur le territoire de la RAS de Hong</w:t>
      </w:r>
      <w:r>
        <w:rPr>
          <w:lang w:val="fr-FR"/>
        </w:rPr>
        <w:t> </w:t>
      </w:r>
      <w:r w:rsidRPr="00AB1F22">
        <w:rPr>
          <w:lang w:val="fr-FR"/>
        </w:rPr>
        <w:t>Kong des demandeurs en tant que personnes à charge, dans les cas où il existe des raisons humanitaires exceptionnelles. Le Gouvernement continuera à examiner régulièrement ses politiques d</w:t>
      </w:r>
      <w:r w:rsidR="004F1DFB">
        <w:rPr>
          <w:lang w:val="fr-FR"/>
        </w:rPr>
        <w:t>’</w:t>
      </w:r>
      <w:r w:rsidRPr="00AB1F22">
        <w:rPr>
          <w:lang w:val="fr-FR"/>
        </w:rPr>
        <w:t>immigration pour faire en sorte qu</w:t>
      </w:r>
      <w:r w:rsidR="004F1DFB">
        <w:rPr>
          <w:lang w:val="fr-FR"/>
        </w:rPr>
        <w:t>’</w:t>
      </w:r>
      <w:r w:rsidRPr="00AB1F22">
        <w:rPr>
          <w:lang w:val="fr-FR"/>
        </w:rPr>
        <w:t xml:space="preserve">elles répondent aux besoins de la société.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Exécution des ordonnances de versement de pension alimentaire</w:t>
      </w:r>
      <w:r w:rsidRPr="00AB1F22">
        <w:rPr>
          <w:lang w:val="fr-FR"/>
        </w:rPr>
        <w:t xml:space="preserve"> </w:t>
      </w:r>
      <w:bookmarkStart w:id="70" w:name="_Toc31721459"/>
      <w:bookmarkEnd w:id="70"/>
    </w:p>
    <w:p w:rsidR="0024529D" w:rsidRPr="00AB1F22" w:rsidRDefault="0024529D" w:rsidP="0024529D">
      <w:pPr>
        <w:pStyle w:val="SingleTxtG"/>
        <w:rPr>
          <w:lang w:val="fr-FR"/>
        </w:rPr>
      </w:pPr>
      <w:r w:rsidRPr="00AB1F22">
        <w:rPr>
          <w:lang w:val="fr-FR"/>
        </w:rPr>
        <w:t>149.</w:t>
      </w:r>
      <w:r w:rsidRPr="00AB1F22">
        <w:rPr>
          <w:lang w:val="fr-FR"/>
        </w:rPr>
        <w:tab/>
        <w:t>Le Gouvernement est déterminé à améliorer l</w:t>
      </w:r>
      <w:r w:rsidR="004F1DFB">
        <w:rPr>
          <w:lang w:val="fr-FR"/>
        </w:rPr>
        <w:t>’</w:t>
      </w:r>
      <w:r w:rsidRPr="00AB1F22">
        <w:rPr>
          <w:lang w:val="fr-FR"/>
        </w:rPr>
        <w:t>efficacité du système de recouvrement des pensions alimentaires et d</w:t>
      </w:r>
      <w:r w:rsidR="004F1DFB">
        <w:rPr>
          <w:lang w:val="fr-FR"/>
        </w:rPr>
        <w:t>’</w:t>
      </w:r>
      <w:r w:rsidRPr="00AB1F22">
        <w:rPr>
          <w:lang w:val="fr-FR"/>
        </w:rPr>
        <w:t>exécution des ordonnances de versement de pension alimentaire. Alors que la révision des procédures de citation à comparaître est en cours, le</w:t>
      </w:r>
      <w:r w:rsidR="003F79A2">
        <w:rPr>
          <w:lang w:val="fr-FR"/>
        </w:rPr>
        <w:t> </w:t>
      </w:r>
      <w:r w:rsidRPr="00AB1F22">
        <w:rPr>
          <w:lang w:val="fr-FR"/>
        </w:rPr>
        <w:t>Gouvernement a introduit une série de mesures législatives et administratives au fil des ans pour améliorer et faciliter le recouvrement en temps voulu des pensions alimentaires et l</w:t>
      </w:r>
      <w:r w:rsidR="004F1DFB">
        <w:rPr>
          <w:lang w:val="fr-FR"/>
        </w:rPr>
        <w:t>’</w:t>
      </w:r>
      <w:r w:rsidRPr="00AB1F22">
        <w:rPr>
          <w:lang w:val="fr-FR"/>
        </w:rPr>
        <w:t xml:space="preserve">exécution des ordonnances de versement de pension alimentaire.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Nouveaux arrivants en provenance de la Chine continentale</w:t>
      </w:r>
      <w:r w:rsidRPr="00AB1F22">
        <w:rPr>
          <w:lang w:val="fr-FR"/>
        </w:rPr>
        <w:t xml:space="preserve"> </w:t>
      </w:r>
      <w:bookmarkStart w:id="71" w:name="_Toc31721460"/>
      <w:bookmarkEnd w:id="71"/>
    </w:p>
    <w:p w:rsidR="0024529D" w:rsidRPr="00AB1F22" w:rsidRDefault="0024529D" w:rsidP="0024529D">
      <w:pPr>
        <w:pStyle w:val="SingleTxtG"/>
        <w:rPr>
          <w:b/>
          <w:lang w:val="fr-FR"/>
        </w:rPr>
      </w:pPr>
      <w:r w:rsidRPr="00AB1F22">
        <w:rPr>
          <w:lang w:val="fr-FR"/>
        </w:rPr>
        <w:t>150.</w:t>
      </w:r>
      <w:r w:rsidRPr="00AB1F22">
        <w:rPr>
          <w:lang w:val="fr-FR"/>
        </w:rPr>
        <w:tab/>
        <w:t>Entre le 1</w:t>
      </w:r>
      <w:r w:rsidRPr="00AB1F22">
        <w:rPr>
          <w:vertAlign w:val="superscript"/>
          <w:lang w:val="fr-FR"/>
        </w:rPr>
        <w:t>er</w:t>
      </w:r>
      <w:r w:rsidRPr="00AB1F22">
        <w:rPr>
          <w:lang w:val="fr-FR"/>
        </w:rPr>
        <w:t> janvier 2010 et le 31 décembre 2016, près de 322</w:t>
      </w:r>
      <w:r>
        <w:rPr>
          <w:lang w:val="fr-FR"/>
        </w:rPr>
        <w:t> </w:t>
      </w:r>
      <w:r w:rsidRPr="00AB1F22">
        <w:rPr>
          <w:lang w:val="fr-FR"/>
        </w:rPr>
        <w:t>000</w:t>
      </w:r>
      <w:r>
        <w:rPr>
          <w:lang w:val="fr-FR"/>
        </w:rPr>
        <w:t> </w:t>
      </w:r>
      <w:r w:rsidRPr="00AB1F22">
        <w:rPr>
          <w:lang w:val="fr-FR"/>
        </w:rPr>
        <w:t>personnes originaires de la Chine continentale se sont installées à Hong</w:t>
      </w:r>
      <w:r>
        <w:rPr>
          <w:lang w:val="fr-FR"/>
        </w:rPr>
        <w:t> </w:t>
      </w:r>
      <w:r w:rsidRPr="00AB1F22">
        <w:rPr>
          <w:lang w:val="fr-FR"/>
        </w:rPr>
        <w:t>Kong. Leur situation et les mesures prises pour faciliter leur installation sont exposées à l</w:t>
      </w:r>
      <w:r w:rsidR="004F1DFB">
        <w:rPr>
          <w:lang w:val="fr-FR"/>
        </w:rPr>
        <w:t>’</w:t>
      </w:r>
      <w:r w:rsidRPr="00AB1F22">
        <w:rPr>
          <w:lang w:val="fr-FR"/>
        </w:rPr>
        <w:t>annexe 23C.</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Congé de paternité légal</w:t>
      </w:r>
      <w:r w:rsidRPr="00AB1F22">
        <w:rPr>
          <w:lang w:val="fr-FR"/>
        </w:rPr>
        <w:t xml:space="preserve"> </w:t>
      </w:r>
      <w:bookmarkStart w:id="72" w:name="_Toc31721461"/>
      <w:bookmarkEnd w:id="72"/>
    </w:p>
    <w:p w:rsidR="0024529D" w:rsidRPr="00AB1F22" w:rsidRDefault="0024529D" w:rsidP="0024529D">
      <w:pPr>
        <w:pStyle w:val="SingleTxtG"/>
        <w:rPr>
          <w:lang w:val="fr-FR"/>
        </w:rPr>
      </w:pPr>
      <w:r w:rsidRPr="00AB1F22">
        <w:rPr>
          <w:lang w:val="fr-FR"/>
        </w:rPr>
        <w:t>151.</w:t>
      </w:r>
      <w:r w:rsidRPr="00AB1F22">
        <w:rPr>
          <w:lang w:val="fr-FR"/>
        </w:rPr>
        <w:tab/>
        <w:t>À compter de février 2015, les employés de sexe masculin qui remplissent les conditions requises ont droit à trois</w:t>
      </w:r>
      <w:r>
        <w:rPr>
          <w:lang w:val="fr-FR"/>
        </w:rPr>
        <w:t> </w:t>
      </w:r>
      <w:r w:rsidRPr="00AB1F22">
        <w:rPr>
          <w:lang w:val="fr-FR"/>
        </w:rPr>
        <w:t>jours de congé de paternité avec traitement au moment de la naissance de leur enfant. Ce droit favorable à la famille aide les pères qui travaillent à apporter un soutien à leur épouse ou partenaire avant et après l</w:t>
      </w:r>
      <w:r w:rsidR="004F1DFB">
        <w:rPr>
          <w:lang w:val="fr-FR"/>
        </w:rPr>
        <w:t>’</w:t>
      </w:r>
      <w:r w:rsidRPr="00AB1F22">
        <w:rPr>
          <w:lang w:val="fr-FR"/>
        </w:rPr>
        <w:t>accouchement, à créer des liens avec leur nouveau</w:t>
      </w:r>
      <w:r>
        <w:rPr>
          <w:lang w:val="fr-FR"/>
        </w:rPr>
        <w:noBreakHyphen/>
      </w:r>
      <w:r w:rsidRPr="00AB1F22">
        <w:rPr>
          <w:lang w:val="fr-FR"/>
        </w:rPr>
        <w:t xml:space="preserve">né et à partager les responsabilités familiales avec leur épouse ou partenaire. </w:t>
      </w:r>
    </w:p>
    <w:p w:rsidR="0024529D" w:rsidRPr="00AB1F22" w:rsidRDefault="0024529D" w:rsidP="0024529D">
      <w:pPr>
        <w:pStyle w:val="SingleTxtG"/>
        <w:rPr>
          <w:lang w:val="fr-FR"/>
        </w:rPr>
      </w:pPr>
      <w:r w:rsidRPr="00AB1F22">
        <w:rPr>
          <w:lang w:val="fr-FR"/>
        </w:rPr>
        <w:t>152.</w:t>
      </w:r>
      <w:r w:rsidRPr="00AB1F22">
        <w:rPr>
          <w:lang w:val="fr-FR"/>
        </w:rPr>
        <w:tab/>
        <w:t>Le Gouvernement a examiné la mise en œuvre du congé de paternité légal et recommande que sa durée soit portée à cinq</w:t>
      </w:r>
      <w:r>
        <w:rPr>
          <w:lang w:val="fr-FR"/>
        </w:rPr>
        <w:t> </w:t>
      </w:r>
      <w:r w:rsidRPr="00AB1F22">
        <w:rPr>
          <w:lang w:val="fr-FR"/>
        </w:rPr>
        <w:t>jours. Le Conseil consultatif du travail et le Comité de la main</w:t>
      </w:r>
      <w:r>
        <w:rPr>
          <w:lang w:val="fr-FR"/>
        </w:rPr>
        <w:noBreakHyphen/>
      </w:r>
      <w:r w:rsidRPr="00AB1F22">
        <w:rPr>
          <w:lang w:val="fr-FR"/>
        </w:rPr>
        <w:t>d</w:t>
      </w:r>
      <w:r w:rsidR="004F1DFB">
        <w:rPr>
          <w:lang w:val="fr-FR"/>
        </w:rPr>
        <w:t>’</w:t>
      </w:r>
      <w:r w:rsidRPr="00AB1F22">
        <w:rPr>
          <w:lang w:val="fr-FR"/>
        </w:rPr>
        <w:t>œuvre du Conseil législatif soutiennent tous deux la proposition. Le</w:t>
      </w:r>
      <w:r w:rsidR="003F79A2">
        <w:rPr>
          <w:lang w:val="fr-FR"/>
        </w:rPr>
        <w:t> </w:t>
      </w:r>
      <w:r w:rsidRPr="00AB1F22">
        <w:rPr>
          <w:lang w:val="fr-FR"/>
        </w:rPr>
        <w:t>Gouvernement prépare la loi d</w:t>
      </w:r>
      <w:r w:rsidR="004F1DFB">
        <w:rPr>
          <w:lang w:val="fr-FR"/>
        </w:rPr>
        <w:t>’</w:t>
      </w:r>
      <w:r w:rsidRPr="00AB1F22">
        <w:rPr>
          <w:lang w:val="fr-FR"/>
        </w:rPr>
        <w:t xml:space="preserve">application. </w:t>
      </w:r>
    </w:p>
    <w:p w:rsidR="0024529D" w:rsidRPr="00AB1F22" w:rsidRDefault="0024529D" w:rsidP="0024529D">
      <w:pPr>
        <w:pStyle w:val="H1G"/>
        <w:rPr>
          <w:lang w:val="fr-FR"/>
        </w:rPr>
      </w:pPr>
      <w:r w:rsidRPr="00AB1F22">
        <w:rPr>
          <w:lang w:val="fr-FR"/>
        </w:rPr>
        <w:tab/>
      </w:r>
      <w:r w:rsidRPr="00AB1F22">
        <w:rPr>
          <w:lang w:val="fr-FR"/>
        </w:rPr>
        <w:tab/>
      </w:r>
      <w:r w:rsidRPr="00AB1F22">
        <w:rPr>
          <w:bCs/>
          <w:lang w:val="fr-FR"/>
        </w:rPr>
        <w:t>Article 24</w:t>
      </w:r>
      <w:r>
        <w:rPr>
          <w:bCs/>
          <w:lang w:val="fr-FR"/>
        </w:rPr>
        <w:br/>
      </w:r>
      <w:r w:rsidRPr="00AB1F22">
        <w:rPr>
          <w:bCs/>
          <w:lang w:val="fr-FR"/>
        </w:rPr>
        <w:t>Droits des enfants</w:t>
      </w:r>
      <w:r w:rsidRPr="00AB1F22">
        <w:rPr>
          <w:lang w:val="fr-FR"/>
        </w:rPr>
        <w:t xml:space="preserve"> </w:t>
      </w:r>
      <w:bookmarkStart w:id="73" w:name="_Toc31721462"/>
      <w:bookmarkEnd w:id="73"/>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Commission pour l</w:t>
      </w:r>
      <w:r w:rsidR="004F1DFB">
        <w:rPr>
          <w:bCs/>
          <w:lang w:val="fr-FR"/>
        </w:rPr>
        <w:t>’</w:t>
      </w:r>
      <w:r w:rsidRPr="00AB1F22">
        <w:rPr>
          <w:bCs/>
          <w:lang w:val="fr-FR"/>
        </w:rPr>
        <w:t>enfance</w:t>
      </w:r>
      <w:r w:rsidRPr="00AB1F22">
        <w:rPr>
          <w:lang w:val="fr-FR"/>
        </w:rPr>
        <w:t xml:space="preserve"> </w:t>
      </w:r>
      <w:bookmarkStart w:id="74" w:name="_Toc31721463"/>
      <w:bookmarkEnd w:id="74"/>
    </w:p>
    <w:p w:rsidR="0024529D" w:rsidRPr="00AB1F22" w:rsidRDefault="0024529D" w:rsidP="0024529D">
      <w:pPr>
        <w:pStyle w:val="SingleTxtG"/>
        <w:rPr>
          <w:lang w:val="fr-FR"/>
        </w:rPr>
      </w:pPr>
      <w:r w:rsidRPr="00AB1F22">
        <w:rPr>
          <w:lang w:val="fr-FR"/>
        </w:rPr>
        <w:t>153.</w:t>
      </w:r>
      <w:r w:rsidRPr="00AB1F22">
        <w:rPr>
          <w:lang w:val="fr-FR"/>
        </w:rPr>
        <w:tab/>
        <w:t>Le Gouvernement prévoit d</w:t>
      </w:r>
      <w:r w:rsidR="004F1DFB">
        <w:rPr>
          <w:lang w:val="fr-FR"/>
        </w:rPr>
        <w:t>’</w:t>
      </w:r>
      <w:r w:rsidRPr="00AB1F22">
        <w:rPr>
          <w:lang w:val="fr-FR"/>
        </w:rPr>
        <w:t>établir une Commission pour l</w:t>
      </w:r>
      <w:r w:rsidR="004F1DFB">
        <w:rPr>
          <w:lang w:val="fr-FR"/>
        </w:rPr>
        <w:t>’</w:t>
      </w:r>
      <w:r w:rsidRPr="00AB1F22">
        <w:rPr>
          <w:lang w:val="fr-FR"/>
        </w:rPr>
        <w:t>enfance au milieu de l</w:t>
      </w:r>
      <w:r w:rsidR="004F1DFB">
        <w:rPr>
          <w:lang w:val="fr-FR"/>
        </w:rPr>
        <w:t>’</w:t>
      </w:r>
      <w:r w:rsidRPr="00AB1F22">
        <w:rPr>
          <w:lang w:val="fr-FR"/>
        </w:rPr>
        <w:t>année 2018 afin d</w:t>
      </w:r>
      <w:r w:rsidR="004F1DFB">
        <w:rPr>
          <w:lang w:val="fr-FR"/>
        </w:rPr>
        <w:t>’</w:t>
      </w:r>
      <w:r w:rsidRPr="00AB1F22">
        <w:rPr>
          <w:lang w:val="fr-FR"/>
        </w:rPr>
        <w:t>unifier les efforts déployés par les bureaux ou départements concernés et les groupes de protection de l</w:t>
      </w:r>
      <w:r w:rsidR="004F1DFB">
        <w:rPr>
          <w:lang w:val="fr-FR"/>
        </w:rPr>
        <w:t>’</w:t>
      </w:r>
      <w:r w:rsidRPr="00AB1F22">
        <w:rPr>
          <w:lang w:val="fr-FR"/>
        </w:rPr>
        <w:t>enfance, et de se concentrer sur les problèmes que les enfants rencontrent en grandissant, y compris les problèmes examinés dans le présent rapport</w:t>
      </w:r>
      <w:r>
        <w:rPr>
          <w:lang w:val="fr-FR"/>
        </w:rPr>
        <w:t>,</w:t>
      </w:r>
      <w:r w:rsidRPr="00AB1F22">
        <w:rPr>
          <w:lang w:val="fr-FR"/>
        </w:rPr>
        <w:t xml:space="preserve"> tels que la pauvreté touchant les enfants, la maltraitance à l</w:t>
      </w:r>
      <w:r w:rsidR="004F1DFB">
        <w:rPr>
          <w:lang w:val="fr-FR"/>
        </w:rPr>
        <w:t>’</w:t>
      </w:r>
      <w:r w:rsidRPr="00AB1F22">
        <w:rPr>
          <w:lang w:val="fr-FR"/>
        </w:rPr>
        <w:t>égard des enfants, les décès d</w:t>
      </w:r>
      <w:r w:rsidR="004F1DFB">
        <w:rPr>
          <w:lang w:val="fr-FR"/>
        </w:rPr>
        <w:t>’</w:t>
      </w:r>
      <w:r w:rsidRPr="00AB1F22">
        <w:rPr>
          <w:lang w:val="fr-FR"/>
        </w:rPr>
        <w:t xml:space="preserve">enfants, la garde des enfants, </w:t>
      </w:r>
      <w:r>
        <w:rPr>
          <w:lang w:val="fr-FR"/>
        </w:rPr>
        <w:t>et</w:t>
      </w:r>
      <w:r w:rsidRPr="00AB1F22">
        <w:rPr>
          <w:lang w:val="fr-FR"/>
        </w:rPr>
        <w:t xml:space="preserve"> leur protection et prise en charge. La Commission formulera des objectifs à long terme et des orientations stratégiques concernant le développement global des enfants et les principales étapes de leur croissance.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Services destinés à l</w:t>
      </w:r>
      <w:r w:rsidR="004F1DFB">
        <w:rPr>
          <w:bCs/>
          <w:lang w:val="fr-FR"/>
        </w:rPr>
        <w:t>’</w:t>
      </w:r>
      <w:r w:rsidRPr="00AB1F22">
        <w:rPr>
          <w:bCs/>
          <w:lang w:val="fr-FR"/>
        </w:rPr>
        <w:t>enfant</w:t>
      </w:r>
      <w:r w:rsidRPr="00AB1F22">
        <w:rPr>
          <w:lang w:val="fr-FR"/>
        </w:rPr>
        <w:t xml:space="preserve"> </w:t>
      </w:r>
      <w:bookmarkStart w:id="75" w:name="_Toc31721464"/>
      <w:bookmarkEnd w:id="75"/>
    </w:p>
    <w:p w:rsidR="0024529D" w:rsidRPr="00AB1F22" w:rsidRDefault="0024529D" w:rsidP="0024529D">
      <w:pPr>
        <w:pStyle w:val="SingleTxtG"/>
        <w:rPr>
          <w:lang w:val="fr-FR"/>
        </w:rPr>
      </w:pPr>
      <w:r w:rsidRPr="00AB1F22">
        <w:rPr>
          <w:lang w:val="fr-FR"/>
        </w:rPr>
        <w:t>154.</w:t>
      </w:r>
      <w:r w:rsidRPr="00AB1F22">
        <w:rPr>
          <w:lang w:val="fr-FR"/>
        </w:rPr>
        <w:tab/>
        <w:t>Le Gouvernement continue à fournir divers services destinés à l</w:t>
      </w:r>
      <w:r w:rsidR="004F1DFB">
        <w:rPr>
          <w:lang w:val="fr-FR"/>
        </w:rPr>
        <w:t>’</w:t>
      </w:r>
      <w:r w:rsidRPr="00AB1F22">
        <w:rPr>
          <w:lang w:val="fr-FR"/>
        </w:rPr>
        <w:t>enfant, ainsi qu</w:t>
      </w:r>
      <w:r w:rsidR="004F1DFB">
        <w:rPr>
          <w:lang w:val="fr-FR"/>
        </w:rPr>
        <w:t>’</w:t>
      </w:r>
      <w:r w:rsidRPr="00AB1F22">
        <w:rPr>
          <w:lang w:val="fr-FR"/>
        </w:rPr>
        <w:t>à surveiller la situation de la pauvreté et l</w:t>
      </w:r>
      <w:r w:rsidR="004F1DFB">
        <w:rPr>
          <w:lang w:val="fr-FR"/>
        </w:rPr>
        <w:t>’</w:t>
      </w:r>
      <w:r w:rsidRPr="00AB1F22">
        <w:rPr>
          <w:lang w:val="fr-FR"/>
        </w:rPr>
        <w:t>efficacité des mesures de lutte contre la pauvreté, y</w:t>
      </w:r>
      <w:r w:rsidR="003F79A2">
        <w:rPr>
          <w:lang w:val="fr-FR"/>
        </w:rPr>
        <w:t> </w:t>
      </w:r>
      <w:r w:rsidRPr="00AB1F22">
        <w:rPr>
          <w:lang w:val="fr-FR"/>
        </w:rPr>
        <w:t xml:space="preserve">compris celles qui concernent les enfants (voir annexe 24A).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Maltraitance à l</w:t>
      </w:r>
      <w:r w:rsidR="004F1DFB">
        <w:rPr>
          <w:bCs/>
          <w:lang w:val="fr-FR"/>
        </w:rPr>
        <w:t>’</w:t>
      </w:r>
      <w:r w:rsidRPr="00AB1F22">
        <w:rPr>
          <w:bCs/>
          <w:lang w:val="fr-FR"/>
        </w:rPr>
        <w:t>égard des enfants et violence familiale</w:t>
      </w:r>
      <w:r w:rsidRPr="00AB1F22">
        <w:rPr>
          <w:lang w:val="fr-FR"/>
        </w:rPr>
        <w:t xml:space="preserve"> </w:t>
      </w:r>
      <w:bookmarkStart w:id="76" w:name="_Toc31721465"/>
      <w:bookmarkEnd w:id="76"/>
    </w:p>
    <w:p w:rsidR="0024529D" w:rsidRPr="00AB1F22" w:rsidRDefault="0024529D" w:rsidP="0024529D">
      <w:pPr>
        <w:pStyle w:val="SingleTxtG"/>
        <w:rPr>
          <w:lang w:val="fr-FR"/>
        </w:rPr>
      </w:pPr>
      <w:r w:rsidRPr="00AB1F22">
        <w:rPr>
          <w:lang w:val="fr-FR"/>
        </w:rPr>
        <w:t>155.</w:t>
      </w:r>
      <w:r w:rsidRPr="00AB1F22">
        <w:rPr>
          <w:lang w:val="fr-FR"/>
        </w:rPr>
        <w:tab/>
        <w:t>Le Gouvernement a lancé plusieurs initiatives pour lutter contre la maltraitance à l</w:t>
      </w:r>
      <w:r w:rsidR="004F1DFB">
        <w:rPr>
          <w:lang w:val="fr-FR"/>
        </w:rPr>
        <w:t>’</w:t>
      </w:r>
      <w:r w:rsidRPr="00AB1F22">
        <w:rPr>
          <w:lang w:val="fr-FR"/>
        </w:rPr>
        <w:t>égard des enfants et contre la violence familiale, ainsi que pour renforcer le soutien aux victimes et aux familles dans le besoin. Les mesures que nous avons prises en la matière ont été exposées aux paragraphes</w:t>
      </w:r>
      <w:r>
        <w:rPr>
          <w:lang w:val="fr-FR"/>
        </w:rPr>
        <w:t> </w:t>
      </w:r>
      <w:r w:rsidRPr="00AB1F22">
        <w:rPr>
          <w:lang w:val="fr-FR"/>
        </w:rPr>
        <w:t>10.46 à 10.57 du troisième rapport de la RAS de Hong</w:t>
      </w:r>
      <w:r>
        <w:rPr>
          <w:lang w:val="fr-FR"/>
        </w:rPr>
        <w:t> </w:t>
      </w:r>
      <w:r w:rsidRPr="00AB1F22">
        <w:rPr>
          <w:lang w:val="fr-FR"/>
        </w:rPr>
        <w:t>Kong sur la mise en œuvre du Pacte international relatif aux droits économiques, sociaux et culturels, consacrés à l</w:t>
      </w:r>
      <w:r w:rsidR="004F1DFB">
        <w:rPr>
          <w:lang w:val="fr-FR"/>
        </w:rPr>
        <w:t>’</w:t>
      </w:r>
      <w:r w:rsidRPr="00AB1F22">
        <w:rPr>
          <w:lang w:val="fr-FR"/>
        </w:rPr>
        <w:t>article 10</w:t>
      </w:r>
      <w:r>
        <w:rPr>
          <w:lang w:val="fr-FR"/>
        </w:rPr>
        <w:t xml:space="preserve"> de ce pacte</w:t>
      </w:r>
      <w:r w:rsidRPr="00AB1F22">
        <w:rPr>
          <w:lang w:val="fr-FR"/>
        </w:rPr>
        <w:t>, ainsi qu</w:t>
      </w:r>
      <w:r w:rsidR="004F1DFB">
        <w:rPr>
          <w:lang w:val="fr-FR"/>
        </w:rPr>
        <w:t>’</w:t>
      </w:r>
      <w:r w:rsidRPr="00AB1F22">
        <w:rPr>
          <w:lang w:val="fr-FR"/>
        </w:rPr>
        <w:t>aux paragraphes 16.9 à</w:t>
      </w:r>
      <w:r w:rsidR="003F79A2">
        <w:rPr>
          <w:lang w:val="fr-FR"/>
        </w:rPr>
        <w:t> </w:t>
      </w:r>
      <w:r w:rsidRPr="00AB1F22">
        <w:rPr>
          <w:lang w:val="fr-FR"/>
        </w:rPr>
        <w:t>16.33 du troisième rapport de la RAS de Hong</w:t>
      </w:r>
      <w:r>
        <w:rPr>
          <w:lang w:val="fr-FR"/>
        </w:rPr>
        <w:t> </w:t>
      </w:r>
      <w:r w:rsidRPr="00AB1F22">
        <w:rPr>
          <w:lang w:val="fr-FR"/>
        </w:rPr>
        <w:t>Kong sur la mise en œuvre de la Convention contre la torture. Elles seront détaillées dans le quatrième rapport de la RAS de Hong</w:t>
      </w:r>
      <w:r>
        <w:rPr>
          <w:lang w:val="fr-FR"/>
        </w:rPr>
        <w:t> </w:t>
      </w:r>
      <w:r w:rsidRPr="00AB1F22">
        <w:rPr>
          <w:lang w:val="fr-FR"/>
        </w:rPr>
        <w:t>Kong sur la mise en œuvre de la Convention sur l</w:t>
      </w:r>
      <w:r w:rsidR="004F1DFB">
        <w:rPr>
          <w:lang w:val="fr-FR"/>
        </w:rPr>
        <w:t>’</w:t>
      </w:r>
      <w:r w:rsidRPr="00AB1F22">
        <w:rPr>
          <w:lang w:val="fr-FR"/>
        </w:rPr>
        <w:t>élimination de toutes les formes de discrimination à l</w:t>
      </w:r>
      <w:r w:rsidR="004F1DFB">
        <w:rPr>
          <w:lang w:val="fr-FR"/>
        </w:rPr>
        <w:t>’</w:t>
      </w:r>
      <w:r w:rsidRPr="00AB1F22">
        <w:rPr>
          <w:lang w:val="fr-FR"/>
        </w:rPr>
        <w:t xml:space="preserve">égard des femmes. </w:t>
      </w:r>
    </w:p>
    <w:p w:rsidR="0024529D" w:rsidRPr="00AB1F22" w:rsidRDefault="0024529D" w:rsidP="0024529D">
      <w:pPr>
        <w:pStyle w:val="SingleTxtG"/>
        <w:rPr>
          <w:lang w:val="fr-FR"/>
        </w:rPr>
      </w:pPr>
      <w:r w:rsidRPr="00AB1F22">
        <w:rPr>
          <w:lang w:val="fr-FR"/>
        </w:rPr>
        <w:t>156.</w:t>
      </w:r>
      <w:r w:rsidRPr="00AB1F22">
        <w:rPr>
          <w:lang w:val="fr-FR"/>
        </w:rPr>
        <w:tab/>
        <w:t>En plus de fournir un soutien et des services spécialisés aux victimes de violence familiale, nous apportons également un soutien aux familles dans le besoin, notamment en fournissant des services de garde d</w:t>
      </w:r>
      <w:r w:rsidR="004F1DFB">
        <w:rPr>
          <w:lang w:val="fr-FR"/>
        </w:rPr>
        <w:t>’</w:t>
      </w:r>
      <w:r w:rsidRPr="00AB1F22">
        <w:rPr>
          <w:lang w:val="fr-FR"/>
        </w:rPr>
        <w:t>enfants, en intervenant en cas de crise familiale et en proposant des services de consultation. Nous avons pour cela alloué d</w:t>
      </w:r>
      <w:r w:rsidR="004F1DFB">
        <w:rPr>
          <w:lang w:val="fr-FR"/>
        </w:rPr>
        <w:t>’</w:t>
      </w:r>
      <w:r w:rsidRPr="00AB1F22">
        <w:rPr>
          <w:lang w:val="fr-FR"/>
        </w:rPr>
        <w:t>importantes ressources au Département de la protection sociale pour qu</w:t>
      </w:r>
      <w:r w:rsidR="004F1DFB">
        <w:rPr>
          <w:lang w:val="fr-FR"/>
        </w:rPr>
        <w:t>’</w:t>
      </w:r>
      <w:r w:rsidRPr="00AB1F22">
        <w:rPr>
          <w:lang w:val="fr-FR"/>
        </w:rPr>
        <w:t>il propose un ensemble coordonné de services de prévention et de soutien spécialisés pour les personnes touchées par la violence familiale et pour les familles dans le besoin. Les dépenses engagées dans ce domaine par le Département de la protection sociale sont passées de 2,1</w:t>
      </w:r>
      <w:r>
        <w:rPr>
          <w:lang w:val="fr-FR"/>
        </w:rPr>
        <w:t> </w:t>
      </w:r>
      <w:r w:rsidRPr="00AB1F22">
        <w:rPr>
          <w:lang w:val="fr-FR"/>
        </w:rPr>
        <w:t xml:space="preserve">milliards de dollars des </w:t>
      </w:r>
      <w:r>
        <w:rPr>
          <w:lang w:val="fr-FR"/>
        </w:rPr>
        <w:t>États</w:t>
      </w:r>
      <w:r>
        <w:rPr>
          <w:lang w:val="fr-FR"/>
        </w:rPr>
        <w:noBreakHyphen/>
      </w:r>
      <w:r w:rsidRPr="00AB1F22">
        <w:rPr>
          <w:lang w:val="fr-FR"/>
        </w:rPr>
        <w:t>Unis pour l</w:t>
      </w:r>
      <w:r w:rsidR="004F1DFB">
        <w:rPr>
          <w:lang w:val="fr-FR"/>
        </w:rPr>
        <w:t>’</w:t>
      </w:r>
      <w:r w:rsidRPr="00AB1F22">
        <w:rPr>
          <w:lang w:val="fr-FR"/>
        </w:rPr>
        <w:t>exercice 2012-2013 à 3,2</w:t>
      </w:r>
      <w:r>
        <w:rPr>
          <w:lang w:val="fr-FR"/>
        </w:rPr>
        <w:t> </w:t>
      </w:r>
      <w:r w:rsidRPr="00AB1F22">
        <w:rPr>
          <w:lang w:val="fr-FR"/>
        </w:rPr>
        <w:t>milliards de dollars pour l</w:t>
      </w:r>
      <w:r w:rsidR="004F1DFB">
        <w:rPr>
          <w:lang w:val="fr-FR"/>
        </w:rPr>
        <w:t>’</w:t>
      </w:r>
      <w:r w:rsidRPr="00AB1F22">
        <w:rPr>
          <w:lang w:val="fr-FR"/>
        </w:rPr>
        <w:t>exercice 2016</w:t>
      </w:r>
      <w:r>
        <w:rPr>
          <w:lang w:val="fr-FR"/>
        </w:rPr>
        <w:noBreakHyphen/>
      </w:r>
      <w:r w:rsidRPr="00AB1F22">
        <w:rPr>
          <w:lang w:val="fr-FR"/>
        </w:rPr>
        <w:t>2017. Le budget pour l</w:t>
      </w:r>
      <w:r w:rsidR="004F1DFB">
        <w:rPr>
          <w:lang w:val="fr-FR"/>
        </w:rPr>
        <w:t>’</w:t>
      </w:r>
      <w:r w:rsidRPr="00AB1F22">
        <w:rPr>
          <w:lang w:val="fr-FR"/>
        </w:rPr>
        <w:t>exercice 2017</w:t>
      </w:r>
      <w:r>
        <w:rPr>
          <w:lang w:val="fr-FR"/>
        </w:rPr>
        <w:noBreakHyphen/>
      </w:r>
      <w:r w:rsidRPr="00AB1F22">
        <w:rPr>
          <w:lang w:val="fr-FR"/>
        </w:rPr>
        <w:t>2018 devrait encore augmenter et a été estimé à environ 3,4</w:t>
      </w:r>
      <w:r>
        <w:rPr>
          <w:lang w:val="fr-FR"/>
        </w:rPr>
        <w:t> </w:t>
      </w:r>
      <w:r w:rsidRPr="00AB1F22">
        <w:rPr>
          <w:lang w:val="fr-FR"/>
        </w:rPr>
        <w:t>milliards de dollars. Des effectifs supplémentaires ont également été attribués au Département de la protection sociale pour renforcer sa capacité de traiter les cas de violence familiale. Les questions connexes, y compris la formation des policiers à la gestion des cas de maltraitance à l</w:t>
      </w:r>
      <w:r w:rsidR="004F1DFB">
        <w:rPr>
          <w:lang w:val="fr-FR"/>
        </w:rPr>
        <w:t>’</w:t>
      </w:r>
      <w:r w:rsidRPr="00AB1F22">
        <w:rPr>
          <w:lang w:val="fr-FR"/>
        </w:rPr>
        <w:t>égard des enfants et des cas de violence familiale, ainsi que les services de soutien et les services spécialisés offerts aux victimes de violence familiale, sont présentées à l</w:t>
      </w:r>
      <w:r w:rsidR="004F1DFB">
        <w:rPr>
          <w:lang w:val="fr-FR"/>
        </w:rPr>
        <w:t>’</w:t>
      </w:r>
      <w:r w:rsidRPr="00AB1F22">
        <w:rPr>
          <w:lang w:val="fr-FR"/>
        </w:rPr>
        <w:t xml:space="preserve">annexe 24B. </w:t>
      </w:r>
    </w:p>
    <w:p w:rsidR="0024529D" w:rsidRPr="00AB1F22" w:rsidRDefault="0024529D" w:rsidP="0024529D">
      <w:pPr>
        <w:pStyle w:val="SingleTxtG"/>
        <w:rPr>
          <w:lang w:val="fr-FR"/>
        </w:rPr>
      </w:pPr>
      <w:r w:rsidRPr="00AB1F22">
        <w:rPr>
          <w:lang w:val="fr-FR"/>
        </w:rPr>
        <w:t>157.</w:t>
      </w:r>
      <w:r w:rsidRPr="00AB1F22">
        <w:rPr>
          <w:lang w:val="fr-FR"/>
        </w:rPr>
        <w:tab/>
        <w:t>Les informations les plus récentes concernant la Convention relative aux droits de l</w:t>
      </w:r>
      <w:r w:rsidR="004F1DFB">
        <w:rPr>
          <w:lang w:val="fr-FR"/>
        </w:rPr>
        <w:t>’</w:t>
      </w:r>
      <w:r w:rsidRPr="00AB1F22">
        <w:rPr>
          <w:lang w:val="fr-FR"/>
        </w:rPr>
        <w:t>enfant et la promotion des droits de l</w:t>
      </w:r>
      <w:r w:rsidR="004F1DFB">
        <w:rPr>
          <w:lang w:val="fr-FR"/>
        </w:rPr>
        <w:t>’</w:t>
      </w:r>
      <w:r w:rsidRPr="00AB1F22">
        <w:rPr>
          <w:lang w:val="fr-FR"/>
        </w:rPr>
        <w:t>enfant sont présentées à l</w:t>
      </w:r>
      <w:r w:rsidR="004F1DFB">
        <w:rPr>
          <w:lang w:val="fr-FR"/>
        </w:rPr>
        <w:t>’</w:t>
      </w:r>
      <w:r w:rsidRPr="00AB1F22">
        <w:rPr>
          <w:lang w:val="fr-FR"/>
        </w:rPr>
        <w:t xml:space="preserve">annexe 24C.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Châtiments corporels</w:t>
      </w:r>
      <w:bookmarkStart w:id="77" w:name="_Toc31721466"/>
      <w:bookmarkEnd w:id="77"/>
    </w:p>
    <w:p w:rsidR="0024529D" w:rsidRPr="00AB1F22" w:rsidRDefault="0024529D" w:rsidP="0024529D">
      <w:pPr>
        <w:pStyle w:val="SingleTxtG"/>
        <w:rPr>
          <w:lang w:val="fr-FR"/>
        </w:rPr>
      </w:pPr>
      <w:r w:rsidRPr="00AB1F22">
        <w:rPr>
          <w:lang w:val="fr-FR"/>
        </w:rPr>
        <w:t>158.</w:t>
      </w:r>
      <w:r w:rsidRPr="00AB1F22">
        <w:rPr>
          <w:lang w:val="fr-FR"/>
        </w:rPr>
        <w:tab/>
        <w:t>Au paragraphe</w:t>
      </w:r>
      <w:r>
        <w:rPr>
          <w:lang w:val="fr-FR"/>
        </w:rPr>
        <w:t> </w:t>
      </w:r>
      <w:r w:rsidRPr="00AB1F22">
        <w:rPr>
          <w:lang w:val="fr-FR"/>
        </w:rPr>
        <w:t>16 des précédentes observations finales, le Comité a recommandé que des mesures pratiques soient prises pour mettre un terme à l</w:t>
      </w:r>
      <w:r w:rsidR="004F1DFB">
        <w:rPr>
          <w:lang w:val="fr-FR"/>
        </w:rPr>
        <w:t>’</w:t>
      </w:r>
      <w:r w:rsidRPr="00AB1F22">
        <w:rPr>
          <w:lang w:val="fr-FR"/>
        </w:rPr>
        <w:t>utilisation des châtiments corporels, encourager l</w:t>
      </w:r>
      <w:r w:rsidR="004F1DFB">
        <w:rPr>
          <w:lang w:val="fr-FR"/>
        </w:rPr>
        <w:t>’</w:t>
      </w:r>
      <w:r w:rsidRPr="00AB1F22">
        <w:rPr>
          <w:lang w:val="fr-FR"/>
        </w:rPr>
        <w:t>adoption de formes non violentes de discipline et mener des campagnes d</w:t>
      </w:r>
      <w:r w:rsidR="004F1DFB">
        <w:rPr>
          <w:lang w:val="fr-FR"/>
        </w:rPr>
        <w:t>’</w:t>
      </w:r>
      <w:r w:rsidRPr="00AB1F22">
        <w:rPr>
          <w:lang w:val="fr-FR"/>
        </w:rPr>
        <w:t xml:space="preserve">information de la population. </w:t>
      </w:r>
    </w:p>
    <w:p w:rsidR="0024529D" w:rsidRPr="00AB1F22" w:rsidRDefault="0024529D" w:rsidP="0024529D">
      <w:pPr>
        <w:pStyle w:val="SingleTxtG"/>
        <w:rPr>
          <w:lang w:val="fr-FR"/>
        </w:rPr>
      </w:pPr>
      <w:r w:rsidRPr="00AB1F22">
        <w:rPr>
          <w:lang w:val="fr-FR"/>
        </w:rPr>
        <w:t>159.</w:t>
      </w:r>
      <w:r w:rsidRPr="00AB1F22">
        <w:rPr>
          <w:lang w:val="fr-FR"/>
        </w:rPr>
        <w:tab/>
        <w:t>Le Règlement des services de protection de l</w:t>
      </w:r>
      <w:r w:rsidR="004F1DFB">
        <w:rPr>
          <w:lang w:val="fr-FR"/>
        </w:rPr>
        <w:t>’</w:t>
      </w:r>
      <w:r w:rsidRPr="00AB1F22">
        <w:rPr>
          <w:lang w:val="fr-FR"/>
        </w:rPr>
        <w:t>enfance (chap. 243A) contient des dispositions qui interdisent les châtiments corporels dans les garderies et les centres d</w:t>
      </w:r>
      <w:r w:rsidR="004F1DFB">
        <w:rPr>
          <w:lang w:val="fr-FR"/>
        </w:rPr>
        <w:t>’</w:t>
      </w:r>
      <w:r w:rsidRPr="00AB1F22">
        <w:rPr>
          <w:lang w:val="fr-FR"/>
        </w:rPr>
        <w:t>entraide pour enfants. Selon l</w:t>
      </w:r>
      <w:r w:rsidR="004F1DFB">
        <w:rPr>
          <w:lang w:val="fr-FR"/>
        </w:rPr>
        <w:t>’</w:t>
      </w:r>
      <w:r w:rsidRPr="00AB1F22">
        <w:rPr>
          <w:lang w:val="fr-FR"/>
        </w:rPr>
        <w:t>article</w:t>
      </w:r>
      <w:r>
        <w:rPr>
          <w:lang w:val="fr-FR"/>
        </w:rPr>
        <w:t> </w:t>
      </w:r>
      <w:r w:rsidRPr="00AB1F22">
        <w:rPr>
          <w:lang w:val="fr-FR"/>
        </w:rPr>
        <w:t>27 de l</w:t>
      </w:r>
      <w:r w:rsidR="004F1DFB">
        <w:rPr>
          <w:lang w:val="fr-FR"/>
        </w:rPr>
        <w:t>’</w:t>
      </w:r>
      <w:r w:rsidRPr="00AB1F22">
        <w:rPr>
          <w:lang w:val="fr-FR"/>
        </w:rPr>
        <w:t>ordonnance relative aux atteintes à la personne (chap. 212), il est illégal pour une personne âgée de plus de 16</w:t>
      </w:r>
      <w:r>
        <w:rPr>
          <w:lang w:val="fr-FR"/>
        </w:rPr>
        <w:t> </w:t>
      </w:r>
      <w:r w:rsidRPr="00AB1F22">
        <w:rPr>
          <w:lang w:val="fr-FR"/>
        </w:rPr>
        <w:t>ans, y compris un parent, qui a la garde ou la charge d</w:t>
      </w:r>
      <w:r w:rsidR="004F1DFB">
        <w:rPr>
          <w:lang w:val="fr-FR"/>
        </w:rPr>
        <w:t>’</w:t>
      </w:r>
      <w:r w:rsidRPr="00AB1F22">
        <w:rPr>
          <w:lang w:val="fr-FR"/>
        </w:rPr>
        <w:t>un enfant ou d</w:t>
      </w:r>
      <w:r w:rsidR="004F1DFB">
        <w:rPr>
          <w:lang w:val="fr-FR"/>
        </w:rPr>
        <w:t>’</w:t>
      </w:r>
      <w:r w:rsidRPr="00AB1F22">
        <w:rPr>
          <w:lang w:val="fr-FR"/>
        </w:rPr>
        <w:t>un jeune de moins de 16</w:t>
      </w:r>
      <w:r>
        <w:rPr>
          <w:lang w:val="fr-FR"/>
        </w:rPr>
        <w:t> </w:t>
      </w:r>
      <w:r w:rsidRPr="00AB1F22">
        <w:rPr>
          <w:lang w:val="fr-FR"/>
        </w:rPr>
        <w:t>ans, de l</w:t>
      </w:r>
      <w:r w:rsidR="004F1DFB">
        <w:rPr>
          <w:lang w:val="fr-FR"/>
        </w:rPr>
        <w:t>’</w:t>
      </w:r>
      <w:r w:rsidRPr="00AB1F22">
        <w:rPr>
          <w:lang w:val="fr-FR"/>
        </w:rPr>
        <w:t>agresser ou de le maltraiter délibérément, ou de faire en sorte que cet enfant ou ce jeune soit agressé ou maltraité d</w:t>
      </w:r>
      <w:r w:rsidR="004F1DFB">
        <w:rPr>
          <w:lang w:val="fr-FR"/>
        </w:rPr>
        <w:t>’</w:t>
      </w:r>
      <w:r w:rsidRPr="00AB1F22">
        <w:rPr>
          <w:lang w:val="fr-FR"/>
        </w:rPr>
        <w:t xml:space="preserve">une manière susceptible de lui causer des souffrances inutiles ou de nuire à sa santé. </w:t>
      </w:r>
    </w:p>
    <w:p w:rsidR="0024529D" w:rsidRPr="00AB1F22" w:rsidRDefault="0024529D" w:rsidP="0024529D">
      <w:pPr>
        <w:pStyle w:val="SingleTxtG"/>
        <w:rPr>
          <w:lang w:val="fr-FR"/>
        </w:rPr>
      </w:pPr>
      <w:r w:rsidRPr="00AB1F22">
        <w:rPr>
          <w:lang w:val="fr-FR"/>
        </w:rPr>
        <w:t>160.</w:t>
      </w:r>
      <w:r w:rsidRPr="00AB1F22">
        <w:rPr>
          <w:lang w:val="fr-FR"/>
        </w:rPr>
        <w:tab/>
        <w:t>Dans le cadre du système de subvention du Département de la protection sociale, les garderies subventionnées (y compris les centres susmentionnés) et les services de garde à domicile sont tenus de prendre toutes les mesures raisonnables pour protéger les enfants contre les abus, y compris les violences corporelles. Si ces prestataires de services soupçonnent des cas de maltraitance d</w:t>
      </w:r>
      <w:r w:rsidR="004F1DFB">
        <w:rPr>
          <w:lang w:val="fr-FR"/>
        </w:rPr>
        <w:t>’</w:t>
      </w:r>
      <w:r w:rsidRPr="00AB1F22">
        <w:rPr>
          <w:lang w:val="fr-FR"/>
        </w:rPr>
        <w:t>enfants, ils doivent prendre les mesures prescrites dans le Guide de procédure pour le traitement des cas de maltraitance d</w:t>
      </w:r>
      <w:r w:rsidR="004F1DFB">
        <w:rPr>
          <w:lang w:val="fr-FR"/>
        </w:rPr>
        <w:t>’</w:t>
      </w:r>
      <w:r w:rsidRPr="00AB1F22">
        <w:rPr>
          <w:lang w:val="fr-FR"/>
        </w:rPr>
        <w:t>enfants publié par le Département de la protection sociale</w:t>
      </w:r>
      <w:r>
        <w:rPr>
          <w:lang w:val="fr-FR"/>
        </w:rPr>
        <w:t xml:space="preserve"> </w:t>
      </w:r>
      <w:r w:rsidRPr="00AB1F22">
        <w:rPr>
          <w:lang w:val="fr-FR"/>
        </w:rPr>
        <w:t>(version révisée de 2015)</w:t>
      </w:r>
      <w:r>
        <w:rPr>
          <w:lang w:val="fr-FR"/>
        </w:rPr>
        <w:t>.</w:t>
      </w:r>
    </w:p>
    <w:p w:rsidR="0024529D" w:rsidRPr="00AB1F22" w:rsidRDefault="0024529D" w:rsidP="0024529D">
      <w:pPr>
        <w:pStyle w:val="SingleTxtG"/>
        <w:rPr>
          <w:lang w:val="fr-FR"/>
        </w:rPr>
      </w:pPr>
      <w:r w:rsidRPr="00AB1F22">
        <w:rPr>
          <w:lang w:val="fr-FR"/>
        </w:rPr>
        <w:t>161.</w:t>
      </w:r>
      <w:r w:rsidRPr="00AB1F22">
        <w:rPr>
          <w:lang w:val="fr-FR"/>
        </w:rPr>
        <w:tab/>
        <w:t>Outre la protection juridique, pour sauvegarder le bien</w:t>
      </w:r>
      <w:r>
        <w:rPr>
          <w:lang w:val="fr-FR"/>
        </w:rPr>
        <w:noBreakHyphen/>
      </w:r>
      <w:r w:rsidRPr="00AB1F22">
        <w:rPr>
          <w:lang w:val="fr-FR"/>
        </w:rPr>
        <w:t>être des enfants, le Département de la protection sociale et les ONG fournissent une série de services de prévention, de soutien et de soins, notamment l</w:t>
      </w:r>
      <w:r w:rsidR="004F1DFB">
        <w:rPr>
          <w:lang w:val="fr-FR"/>
        </w:rPr>
        <w:t>’</w:t>
      </w:r>
      <w:r w:rsidRPr="00AB1F22">
        <w:rPr>
          <w:lang w:val="fr-FR"/>
        </w:rPr>
        <w:t>éducation publique, l</w:t>
      </w:r>
      <w:r w:rsidR="004F1DFB">
        <w:rPr>
          <w:lang w:val="fr-FR"/>
        </w:rPr>
        <w:t>’</w:t>
      </w:r>
      <w:r w:rsidRPr="00AB1F22">
        <w:rPr>
          <w:lang w:val="fr-FR"/>
        </w:rPr>
        <w:t>éducation des parents, des groupes de soutien et des services de consultation pour permettre aux parents d</w:t>
      </w:r>
      <w:r w:rsidR="004F1DFB">
        <w:rPr>
          <w:lang w:val="fr-FR"/>
        </w:rPr>
        <w:t>’</w:t>
      </w:r>
      <w:r w:rsidRPr="00AB1F22">
        <w:rPr>
          <w:lang w:val="fr-FR"/>
        </w:rPr>
        <w:t xml:space="preserve">avoir de meilleures connaissances sur le développement physique et psychologique des enfants, les rendre aptes au rôle parental, à la communication, à la gestion des émotions, du stress et des troubles du comportement chez les enfants. </w:t>
      </w:r>
    </w:p>
    <w:p w:rsidR="0024529D" w:rsidRPr="00AB1F22" w:rsidRDefault="0024529D" w:rsidP="0024529D">
      <w:pPr>
        <w:pStyle w:val="SingleTxtG"/>
        <w:rPr>
          <w:lang w:val="fr-FR"/>
        </w:rPr>
      </w:pPr>
      <w:r w:rsidRPr="00AB1F22">
        <w:rPr>
          <w:lang w:val="fr-FR"/>
        </w:rPr>
        <w:t>162.</w:t>
      </w:r>
      <w:r w:rsidRPr="00AB1F22">
        <w:rPr>
          <w:lang w:val="fr-FR"/>
        </w:rPr>
        <w:tab/>
        <w:t>Le Département de la protection sociale lance chaque année, à l</w:t>
      </w:r>
      <w:r w:rsidR="004F1DFB">
        <w:rPr>
          <w:lang w:val="fr-FR"/>
        </w:rPr>
        <w:t>’</w:t>
      </w:r>
      <w:r w:rsidRPr="00AB1F22">
        <w:rPr>
          <w:lang w:val="fr-FR"/>
        </w:rPr>
        <w:t xml:space="preserve">échelle du territoire et des districts, une campagne publicitaire sur le thème </w:t>
      </w:r>
      <w:r>
        <w:rPr>
          <w:lang w:val="fr-FR"/>
        </w:rPr>
        <w:t>« </w:t>
      </w:r>
      <w:r w:rsidRPr="00AB1F22">
        <w:rPr>
          <w:lang w:val="fr-FR"/>
        </w:rPr>
        <w:t>Renforcer les familles pour lutter contre la violence</w:t>
      </w:r>
      <w:r>
        <w:rPr>
          <w:lang w:val="fr-FR"/>
        </w:rPr>
        <w:t> »</w:t>
      </w:r>
      <w:r w:rsidRPr="00AB1F22">
        <w:rPr>
          <w:lang w:val="fr-FR"/>
        </w:rPr>
        <w:t xml:space="preserve"> destinée à sensibiliser la population à l</w:t>
      </w:r>
      <w:r w:rsidR="004F1DFB">
        <w:rPr>
          <w:lang w:val="fr-FR"/>
        </w:rPr>
        <w:t>’</w:t>
      </w:r>
      <w:r w:rsidRPr="00AB1F22">
        <w:rPr>
          <w:lang w:val="fr-FR"/>
        </w:rPr>
        <w:t>importance de la solidarité familiale, de la prévention de la maltraitance à l</w:t>
      </w:r>
      <w:r w:rsidR="004F1DFB">
        <w:rPr>
          <w:lang w:val="fr-FR"/>
        </w:rPr>
        <w:t>’</w:t>
      </w:r>
      <w:r w:rsidRPr="00AB1F22">
        <w:rPr>
          <w:lang w:val="fr-FR"/>
        </w:rPr>
        <w:t>égard des enfants et de la violence familiale, et à encourager les personnes en détresse à demander de l</w:t>
      </w:r>
      <w:r w:rsidR="004F1DFB">
        <w:rPr>
          <w:lang w:val="fr-FR"/>
        </w:rPr>
        <w:t>’</w:t>
      </w:r>
      <w:r w:rsidRPr="00AB1F22">
        <w:rPr>
          <w:lang w:val="fr-FR"/>
        </w:rPr>
        <w:t>aide. Les activités publicitaires de ces dernières années ont consisté à diffuser, par le biais de vidéos, d</w:t>
      </w:r>
      <w:r w:rsidR="004F1DFB">
        <w:rPr>
          <w:lang w:val="fr-FR"/>
        </w:rPr>
        <w:t>’</w:t>
      </w:r>
      <w:r w:rsidRPr="00AB1F22">
        <w:rPr>
          <w:lang w:val="fr-FR"/>
        </w:rPr>
        <w:t>animations et d</w:t>
      </w:r>
      <w:r w:rsidR="004F1DFB">
        <w:rPr>
          <w:lang w:val="fr-FR"/>
        </w:rPr>
        <w:t>’</w:t>
      </w:r>
      <w:r w:rsidRPr="00AB1F22">
        <w:rPr>
          <w:lang w:val="fr-FR"/>
        </w:rPr>
        <w:t>affiches, le message selon lequel les châtiments corporels et les agressions verbales ne doivent pas faire partie des méthodes de discipline et la violence familiale ne nuit pas seulement aux victimes</w:t>
      </w:r>
      <w:r>
        <w:rPr>
          <w:lang w:val="fr-FR"/>
        </w:rPr>
        <w:t>,</w:t>
      </w:r>
      <w:r w:rsidRPr="00AB1F22">
        <w:rPr>
          <w:lang w:val="fr-FR"/>
        </w:rPr>
        <w:t xml:space="preserve"> mais peut également faire subir aux enfants des dommages psychologiques durables qui compromettent gravement le développement de leur personnalité et leur croissance. </w:t>
      </w:r>
    </w:p>
    <w:p w:rsidR="0024529D" w:rsidRPr="00AB1F22" w:rsidRDefault="0024529D" w:rsidP="0024529D">
      <w:pPr>
        <w:pStyle w:val="SingleTxtG"/>
        <w:rPr>
          <w:lang w:val="fr-FR"/>
        </w:rPr>
      </w:pPr>
      <w:r w:rsidRPr="00AB1F22">
        <w:rPr>
          <w:lang w:val="fr-FR"/>
        </w:rPr>
        <w:t>163.</w:t>
      </w:r>
      <w:r w:rsidRPr="00AB1F22">
        <w:rPr>
          <w:lang w:val="fr-FR"/>
        </w:rPr>
        <w:tab/>
        <w:t>Le centre de ressources éducatives sur la vie familiale du Département de la protection sociale prête une grande variété de ressources multimédias aux départements gouvernementaux et aux ONG pour la mise en œuvre de programmes éducatifs sur la vie familiale en vue d</w:t>
      </w:r>
      <w:r w:rsidR="004F1DFB">
        <w:rPr>
          <w:lang w:val="fr-FR"/>
        </w:rPr>
        <w:t>’</w:t>
      </w:r>
      <w:r w:rsidRPr="00AB1F22">
        <w:rPr>
          <w:lang w:val="fr-FR"/>
        </w:rPr>
        <w:t>améliorer le fonctionnement de la famille, de renforcer les relations familiales et de prévenir l</w:t>
      </w:r>
      <w:r w:rsidR="004F1DFB">
        <w:rPr>
          <w:lang w:val="fr-FR"/>
        </w:rPr>
        <w:t>’</w:t>
      </w:r>
      <w:r w:rsidRPr="00AB1F22">
        <w:rPr>
          <w:lang w:val="fr-FR"/>
        </w:rPr>
        <w:t xml:space="preserve">éclatement de la famille. </w:t>
      </w:r>
    </w:p>
    <w:p w:rsidR="0024529D" w:rsidRPr="00AB1F22" w:rsidRDefault="0024529D" w:rsidP="0024529D">
      <w:pPr>
        <w:pStyle w:val="SingleTxtG"/>
        <w:rPr>
          <w:lang w:val="fr-FR"/>
        </w:rPr>
      </w:pPr>
      <w:r w:rsidRPr="00AB1F22">
        <w:rPr>
          <w:lang w:val="fr-FR"/>
        </w:rPr>
        <w:t>164.</w:t>
      </w:r>
      <w:r w:rsidRPr="00AB1F22">
        <w:rPr>
          <w:lang w:val="fr-FR"/>
        </w:rPr>
        <w:tab/>
        <w:t>En ce qui concerne la maltraitance à l</w:t>
      </w:r>
      <w:r w:rsidR="004F1DFB">
        <w:rPr>
          <w:lang w:val="fr-FR"/>
        </w:rPr>
        <w:t>’</w:t>
      </w:r>
      <w:r w:rsidRPr="00AB1F22">
        <w:rPr>
          <w:lang w:val="fr-FR"/>
        </w:rPr>
        <w:t>égard des enfants, les dispositions de l</w:t>
      </w:r>
      <w:r w:rsidR="004F1DFB">
        <w:rPr>
          <w:lang w:val="fr-FR"/>
        </w:rPr>
        <w:t>’</w:t>
      </w:r>
      <w:r w:rsidRPr="00AB1F22">
        <w:rPr>
          <w:lang w:val="fr-FR"/>
        </w:rPr>
        <w:t>ordonnance relative aux atteintes à la personne peuvent s</w:t>
      </w:r>
      <w:r w:rsidR="004F1DFB">
        <w:rPr>
          <w:lang w:val="fr-FR"/>
        </w:rPr>
        <w:t>’</w:t>
      </w:r>
      <w:r w:rsidRPr="00AB1F22">
        <w:rPr>
          <w:lang w:val="fr-FR"/>
        </w:rPr>
        <w:t>appliquer. Par exemple, une personne qui est reconnue coupable d</w:t>
      </w:r>
      <w:r w:rsidR="004F1DFB">
        <w:rPr>
          <w:lang w:val="fr-FR"/>
        </w:rPr>
        <w:t>’</w:t>
      </w:r>
      <w:r w:rsidRPr="00AB1F22">
        <w:rPr>
          <w:lang w:val="fr-FR"/>
        </w:rPr>
        <w:t>agression ayant causé de réelles lésions corporelles (art</w:t>
      </w:r>
      <w:r w:rsidR="003F79A2">
        <w:rPr>
          <w:lang w:val="fr-FR"/>
        </w:rPr>
        <w:t>.</w:t>
      </w:r>
      <w:r w:rsidRPr="00AB1F22">
        <w:rPr>
          <w:lang w:val="fr-FR"/>
        </w:rPr>
        <w:t> 39) ou de voies de fait (art</w:t>
      </w:r>
      <w:r w:rsidR="003F79A2">
        <w:rPr>
          <w:lang w:val="fr-FR"/>
        </w:rPr>
        <w:t>.</w:t>
      </w:r>
      <w:r w:rsidRPr="00AB1F22">
        <w:rPr>
          <w:lang w:val="fr-FR"/>
        </w:rPr>
        <w:t> 40) est passible d</w:t>
      </w:r>
      <w:r w:rsidR="004F1DFB">
        <w:rPr>
          <w:lang w:val="fr-FR"/>
        </w:rPr>
        <w:t>’</w:t>
      </w:r>
      <w:r w:rsidRPr="00AB1F22">
        <w:rPr>
          <w:lang w:val="fr-FR"/>
        </w:rPr>
        <w:t>une peine d</w:t>
      </w:r>
      <w:r w:rsidR="004F1DFB">
        <w:rPr>
          <w:lang w:val="fr-FR"/>
        </w:rPr>
        <w:t>’</w:t>
      </w:r>
      <w:r w:rsidRPr="00AB1F22">
        <w:rPr>
          <w:lang w:val="fr-FR"/>
        </w:rPr>
        <w:t>emprisonnement de trois ans ou d</w:t>
      </w:r>
      <w:r w:rsidR="004F1DFB">
        <w:rPr>
          <w:lang w:val="fr-FR"/>
        </w:rPr>
        <w:t>’</w:t>
      </w:r>
      <w:r w:rsidRPr="00AB1F22">
        <w:rPr>
          <w:lang w:val="fr-FR"/>
        </w:rPr>
        <w:t>un an respectivement. En outre, conformément au paragraphe 1 de l</w:t>
      </w:r>
      <w:r w:rsidR="004F1DFB">
        <w:rPr>
          <w:lang w:val="fr-FR"/>
        </w:rPr>
        <w:t>’</w:t>
      </w:r>
      <w:r w:rsidRPr="00AB1F22">
        <w:rPr>
          <w:lang w:val="fr-FR"/>
        </w:rPr>
        <w:t>article 27 de l</w:t>
      </w:r>
      <w:r w:rsidR="004F1DFB">
        <w:rPr>
          <w:lang w:val="fr-FR"/>
        </w:rPr>
        <w:t>’</w:t>
      </w:r>
      <w:r w:rsidRPr="00AB1F22">
        <w:rPr>
          <w:lang w:val="fr-FR"/>
        </w:rPr>
        <w:t>ordonnance (évoqué ci</w:t>
      </w:r>
      <w:r>
        <w:rPr>
          <w:lang w:val="fr-FR"/>
        </w:rPr>
        <w:noBreakHyphen/>
      </w:r>
      <w:r w:rsidRPr="00AB1F22">
        <w:rPr>
          <w:lang w:val="fr-FR"/>
        </w:rPr>
        <w:t>dessus), une personne reconnue coupable de mauvais traitements sur un enfant ou un jeune dont il a la charge encourt une peine d</w:t>
      </w:r>
      <w:r w:rsidR="004F1DFB">
        <w:rPr>
          <w:lang w:val="fr-FR"/>
        </w:rPr>
        <w:t>’</w:t>
      </w:r>
      <w:r w:rsidRPr="00AB1F22">
        <w:rPr>
          <w:lang w:val="fr-FR"/>
        </w:rPr>
        <w:t>emprisonnement de dix ans</w:t>
      </w:r>
      <w:r>
        <w:rPr>
          <w:lang w:val="fr-FR"/>
        </w:rPr>
        <w:t>.</w:t>
      </w:r>
    </w:p>
    <w:p w:rsidR="0024529D" w:rsidRPr="00AB1F22" w:rsidRDefault="0024529D" w:rsidP="0024529D">
      <w:pPr>
        <w:pStyle w:val="SingleTxtG"/>
        <w:rPr>
          <w:lang w:val="fr-FR"/>
        </w:rPr>
      </w:pPr>
      <w:r w:rsidRPr="00AB1F22">
        <w:rPr>
          <w:lang w:val="fr-FR"/>
        </w:rPr>
        <w:t>165.</w:t>
      </w:r>
      <w:r w:rsidRPr="00AB1F22">
        <w:rPr>
          <w:lang w:val="fr-FR"/>
        </w:rPr>
        <w:tab/>
        <w:t>S</w:t>
      </w:r>
      <w:r w:rsidR="004F1DFB">
        <w:rPr>
          <w:lang w:val="fr-FR"/>
        </w:rPr>
        <w:t>’</w:t>
      </w:r>
      <w:r w:rsidRPr="00AB1F22">
        <w:rPr>
          <w:lang w:val="fr-FR"/>
        </w:rPr>
        <w:t>agissant de la question de savoir si les châtiments corporels au sein de la famille qui ne constituent pas une infraction pénale en application des lois en vigueur doivent être interdits par la loi, nous constatons que les lois d</w:t>
      </w:r>
      <w:r w:rsidR="004F1DFB">
        <w:rPr>
          <w:lang w:val="fr-FR"/>
        </w:rPr>
        <w:t>’</w:t>
      </w:r>
      <w:r w:rsidRPr="00AB1F22">
        <w:rPr>
          <w:lang w:val="fr-FR"/>
        </w:rPr>
        <w:t>autres juridictions évoluent et que la question demeure controversée, même dans les sociétés occidentales. Nous ne pensons pas qu</w:t>
      </w:r>
      <w:r w:rsidR="004F1DFB">
        <w:rPr>
          <w:lang w:val="fr-FR"/>
        </w:rPr>
        <w:t>’</w:t>
      </w:r>
      <w:r w:rsidRPr="00AB1F22">
        <w:rPr>
          <w:lang w:val="fr-FR"/>
        </w:rPr>
        <w:t>à ce stade légiférer serait le moyen le plus efficace de répondre à cette question à Hong</w:t>
      </w:r>
      <w:r>
        <w:rPr>
          <w:lang w:val="fr-FR"/>
        </w:rPr>
        <w:t> </w:t>
      </w:r>
      <w:r w:rsidRPr="00AB1F22">
        <w:rPr>
          <w:lang w:val="fr-FR"/>
        </w:rPr>
        <w:t xml:space="preserve">Kong.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Représentation des enfants dans les procédures de garde ou de protection</w:t>
      </w:r>
      <w:r w:rsidRPr="00AB1F22">
        <w:rPr>
          <w:lang w:val="fr-FR"/>
        </w:rPr>
        <w:t xml:space="preserve"> </w:t>
      </w:r>
      <w:bookmarkStart w:id="78" w:name="_Toc31721467"/>
      <w:bookmarkEnd w:id="78"/>
    </w:p>
    <w:p w:rsidR="0024529D" w:rsidRPr="00AB1F22" w:rsidRDefault="0024529D" w:rsidP="0024529D">
      <w:pPr>
        <w:pStyle w:val="SingleTxtG"/>
        <w:rPr>
          <w:lang w:val="fr-FR"/>
        </w:rPr>
      </w:pPr>
      <w:r w:rsidRPr="00AB1F22">
        <w:rPr>
          <w:lang w:val="fr-FR"/>
        </w:rPr>
        <w:t>166.</w:t>
      </w:r>
      <w:r w:rsidRPr="00AB1F22">
        <w:rPr>
          <w:lang w:val="fr-FR"/>
        </w:rPr>
        <w:tab/>
        <w:t xml:space="preserve">La situation reste inchangée par rapport à celle exposée au paragraphe 310 du rapport précédent. </w:t>
      </w:r>
    </w:p>
    <w:p w:rsidR="0024529D" w:rsidRPr="00AB1F22" w:rsidRDefault="0024529D" w:rsidP="0024529D">
      <w:pPr>
        <w:pStyle w:val="SingleTxtG"/>
        <w:rPr>
          <w:lang w:val="fr-FR"/>
        </w:rPr>
      </w:pPr>
      <w:r w:rsidRPr="00AB1F22">
        <w:rPr>
          <w:lang w:val="fr-FR"/>
        </w:rPr>
        <w:t>167.</w:t>
      </w:r>
      <w:r w:rsidRPr="00AB1F22">
        <w:rPr>
          <w:lang w:val="fr-FR"/>
        </w:rPr>
        <w:tab/>
        <w:t>Les informations les plus récentes sur la vérification des antécédents en matière d</w:t>
      </w:r>
      <w:r w:rsidR="004F1DFB">
        <w:rPr>
          <w:lang w:val="fr-FR"/>
        </w:rPr>
        <w:t>’</w:t>
      </w:r>
      <w:r w:rsidRPr="00AB1F22">
        <w:rPr>
          <w:lang w:val="fr-FR"/>
        </w:rPr>
        <w:t>infraction sexuelle sont présentées à l</w:t>
      </w:r>
      <w:r w:rsidR="004F1DFB">
        <w:rPr>
          <w:lang w:val="fr-FR"/>
        </w:rPr>
        <w:t>’</w:t>
      </w:r>
      <w:r w:rsidRPr="00AB1F22">
        <w:rPr>
          <w:lang w:val="fr-FR"/>
        </w:rPr>
        <w:t xml:space="preserve">annexe 24D. </w:t>
      </w:r>
    </w:p>
    <w:p w:rsidR="0024529D" w:rsidRPr="00AB1F22" w:rsidRDefault="0024529D" w:rsidP="0024529D">
      <w:pPr>
        <w:pStyle w:val="H1G"/>
        <w:rPr>
          <w:lang w:val="fr-FR"/>
        </w:rPr>
      </w:pPr>
      <w:r w:rsidRPr="00AB1F22">
        <w:rPr>
          <w:lang w:val="fr-FR"/>
        </w:rPr>
        <w:tab/>
      </w:r>
      <w:r w:rsidRPr="00AB1F22">
        <w:rPr>
          <w:lang w:val="fr-FR"/>
        </w:rPr>
        <w:tab/>
      </w:r>
      <w:r w:rsidRPr="00AB1F22">
        <w:rPr>
          <w:bCs/>
          <w:lang w:val="fr-FR"/>
        </w:rPr>
        <w:t>Article</w:t>
      </w:r>
      <w:r>
        <w:rPr>
          <w:bCs/>
          <w:lang w:val="fr-FR"/>
        </w:rPr>
        <w:t> </w:t>
      </w:r>
      <w:r w:rsidRPr="00AB1F22">
        <w:rPr>
          <w:bCs/>
          <w:lang w:val="fr-FR"/>
        </w:rPr>
        <w:t>25</w:t>
      </w:r>
      <w:r>
        <w:rPr>
          <w:bCs/>
          <w:lang w:val="fr-FR"/>
        </w:rPr>
        <w:br/>
      </w:r>
      <w:r w:rsidRPr="00AB1F22">
        <w:rPr>
          <w:bCs/>
          <w:lang w:val="fr-FR"/>
        </w:rPr>
        <w:t>Droit de participer à la vie publique</w:t>
      </w:r>
      <w:bookmarkStart w:id="79" w:name="_Toc31721468"/>
      <w:bookmarkEnd w:id="79"/>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Développement constitutionnel</w:t>
      </w:r>
      <w:r w:rsidRPr="00AB1F22">
        <w:rPr>
          <w:lang w:val="fr-FR"/>
        </w:rPr>
        <w:t xml:space="preserve"> </w:t>
      </w:r>
      <w:bookmarkStart w:id="80" w:name="_Toc31721469"/>
      <w:bookmarkEnd w:id="80"/>
    </w:p>
    <w:p w:rsidR="0024529D" w:rsidRPr="00AB1F22" w:rsidRDefault="0024529D" w:rsidP="0024529D">
      <w:pPr>
        <w:pStyle w:val="SingleTxtG"/>
        <w:rPr>
          <w:lang w:val="fr-FR"/>
        </w:rPr>
      </w:pPr>
      <w:r w:rsidRPr="00AB1F22">
        <w:rPr>
          <w:lang w:val="fr-FR"/>
        </w:rPr>
        <w:t>168.</w:t>
      </w:r>
      <w:r w:rsidRPr="00AB1F22">
        <w:rPr>
          <w:lang w:val="fr-FR"/>
        </w:rPr>
        <w:tab/>
        <w:t>Depuis la présentation du rapport précédent, et comme expliqué dans les derniers renseignements communiqués au sujet de la suite donnée au paragraphe 6 des précédentes observations finales, nous avons poursuivi nos efforts pour faire avancer le développement constitutionnel de Hong</w:t>
      </w:r>
      <w:r>
        <w:rPr>
          <w:lang w:val="fr-FR"/>
        </w:rPr>
        <w:t> </w:t>
      </w:r>
      <w:r w:rsidRPr="00AB1F22">
        <w:rPr>
          <w:lang w:val="fr-FR"/>
        </w:rPr>
        <w:t xml:space="preserve">Kong dans le strict respect de la Loi fondamentale. </w:t>
      </w:r>
    </w:p>
    <w:p w:rsidR="0024529D" w:rsidRPr="00AB1F22" w:rsidRDefault="0024529D" w:rsidP="0024529D">
      <w:pPr>
        <w:pStyle w:val="SingleTxtG"/>
        <w:rPr>
          <w:lang w:val="fr-FR"/>
        </w:rPr>
      </w:pPr>
      <w:r w:rsidRPr="00AB1F22">
        <w:rPr>
          <w:lang w:val="fr-FR"/>
        </w:rPr>
        <w:t>169.</w:t>
      </w:r>
      <w:r w:rsidRPr="00AB1F22">
        <w:rPr>
          <w:lang w:val="fr-FR"/>
        </w:rPr>
        <w:tab/>
        <w:t>Conformément à la Loi fondamentale et à l</w:t>
      </w:r>
      <w:r w:rsidR="004F1DFB">
        <w:rPr>
          <w:lang w:val="fr-FR"/>
        </w:rPr>
        <w:t>’</w:t>
      </w:r>
      <w:r w:rsidRPr="00AB1F22">
        <w:rPr>
          <w:lang w:val="fr-FR"/>
        </w:rPr>
        <w:t>interprétation de l</w:t>
      </w:r>
      <w:r w:rsidR="004F1DFB">
        <w:rPr>
          <w:lang w:val="fr-FR"/>
        </w:rPr>
        <w:t>’</w:t>
      </w:r>
      <w:r w:rsidRPr="00AB1F22">
        <w:rPr>
          <w:lang w:val="fr-FR"/>
        </w:rPr>
        <w:t>article 7 de l</w:t>
      </w:r>
      <w:r w:rsidR="004F1DFB">
        <w:rPr>
          <w:lang w:val="fr-FR"/>
        </w:rPr>
        <w:t>’</w:t>
      </w:r>
      <w:r w:rsidRPr="00AB1F22">
        <w:rPr>
          <w:lang w:val="fr-FR"/>
        </w:rPr>
        <w:t>annexe I et de l</w:t>
      </w:r>
      <w:r w:rsidR="004F1DFB">
        <w:rPr>
          <w:lang w:val="fr-FR"/>
        </w:rPr>
        <w:t>’</w:t>
      </w:r>
      <w:r w:rsidRPr="00AB1F22">
        <w:rPr>
          <w:lang w:val="fr-FR"/>
        </w:rPr>
        <w:t>article III de l</w:t>
      </w:r>
      <w:r w:rsidR="004F1DFB">
        <w:rPr>
          <w:lang w:val="fr-FR"/>
        </w:rPr>
        <w:t>’</w:t>
      </w:r>
      <w:r w:rsidRPr="00AB1F22">
        <w:rPr>
          <w:lang w:val="fr-FR"/>
        </w:rPr>
        <w:t>annexe II de la Loi fondamentale, adoptée par le Comité permanent de l</w:t>
      </w:r>
      <w:r w:rsidR="004F1DFB">
        <w:rPr>
          <w:lang w:val="fr-FR"/>
        </w:rPr>
        <w:t>’</w:t>
      </w:r>
      <w:r w:rsidRPr="00AB1F22">
        <w:rPr>
          <w:lang w:val="fr-FR"/>
        </w:rPr>
        <w:t>Assemblée nationale populaire le 6 avril 2004, les modifications apportées au mode de désignation du Chef de l</w:t>
      </w:r>
      <w:r w:rsidR="004F1DFB">
        <w:rPr>
          <w:lang w:val="fr-FR"/>
        </w:rPr>
        <w:t>’</w:t>
      </w:r>
      <w:r w:rsidRPr="00AB1F22">
        <w:rPr>
          <w:lang w:val="fr-FR"/>
        </w:rPr>
        <w:t xml:space="preserve">exécutif et de formation du Conseil législatif doivent respecter les cinq étapes suivantes : </w:t>
      </w:r>
    </w:p>
    <w:p w:rsidR="0024529D" w:rsidRPr="00AB1F22" w:rsidRDefault="0024529D" w:rsidP="0024529D">
      <w:pPr>
        <w:pStyle w:val="Bullet1G"/>
        <w:numPr>
          <w:ilvl w:val="0"/>
          <w:numId w:val="1"/>
        </w:numPr>
        <w:rPr>
          <w:lang w:val="fr-FR"/>
        </w:rPr>
      </w:pPr>
      <w:r w:rsidRPr="00AB1F22">
        <w:rPr>
          <w:lang w:val="fr-FR"/>
        </w:rPr>
        <w:t xml:space="preserve">Première étape </w:t>
      </w:r>
      <w:r w:rsidR="004F1DFB">
        <w:rPr>
          <w:lang w:val="fr-FR"/>
        </w:rPr>
        <w:t>− </w:t>
      </w:r>
      <w:r w:rsidRPr="00AB1F22">
        <w:rPr>
          <w:lang w:val="fr-FR"/>
        </w:rPr>
        <w:t>le Chef de l</w:t>
      </w:r>
      <w:r w:rsidR="004F1DFB">
        <w:rPr>
          <w:lang w:val="fr-FR"/>
        </w:rPr>
        <w:t>’</w:t>
      </w:r>
      <w:r w:rsidRPr="00AB1F22">
        <w:rPr>
          <w:lang w:val="fr-FR"/>
        </w:rPr>
        <w:t>exécutif doit soumettre un rapport au Comité permanent de l</w:t>
      </w:r>
      <w:r w:rsidR="004F1DFB">
        <w:rPr>
          <w:lang w:val="fr-FR"/>
        </w:rPr>
        <w:t>’</w:t>
      </w:r>
      <w:r w:rsidRPr="00AB1F22">
        <w:rPr>
          <w:lang w:val="fr-FR"/>
        </w:rPr>
        <w:t>Assemblée nationale populaire pour l</w:t>
      </w:r>
      <w:r w:rsidR="004F1DFB">
        <w:rPr>
          <w:lang w:val="fr-FR"/>
        </w:rPr>
        <w:t>’</w:t>
      </w:r>
      <w:r w:rsidRPr="00AB1F22">
        <w:rPr>
          <w:lang w:val="fr-FR"/>
        </w:rPr>
        <w:t>inviter à déterminer s</w:t>
      </w:r>
      <w:r w:rsidR="004F1DFB">
        <w:rPr>
          <w:lang w:val="fr-FR"/>
        </w:rPr>
        <w:t>’</w:t>
      </w:r>
      <w:r w:rsidRPr="00AB1F22">
        <w:rPr>
          <w:lang w:val="fr-FR"/>
        </w:rPr>
        <w:t xml:space="preserve">il est nécessaire de modifier le mode de désignation et de formation susmentionné ; </w:t>
      </w:r>
    </w:p>
    <w:p w:rsidR="0024529D" w:rsidRPr="00AB1F22" w:rsidRDefault="0024529D" w:rsidP="0024529D">
      <w:pPr>
        <w:pStyle w:val="Bullet1G"/>
        <w:numPr>
          <w:ilvl w:val="0"/>
          <w:numId w:val="1"/>
        </w:numPr>
        <w:rPr>
          <w:lang w:val="fr-FR"/>
        </w:rPr>
      </w:pPr>
      <w:r>
        <w:rPr>
          <w:lang w:val="fr-FR"/>
        </w:rPr>
        <w:t xml:space="preserve">Deuxième étape </w:t>
      </w:r>
      <w:r w:rsidR="004F1DFB">
        <w:rPr>
          <w:lang w:val="fr-FR"/>
        </w:rPr>
        <w:t>− </w:t>
      </w:r>
      <w:r w:rsidRPr="00AB1F22">
        <w:rPr>
          <w:lang w:val="fr-FR"/>
        </w:rPr>
        <w:t>le Comité permanent de l</w:t>
      </w:r>
      <w:r w:rsidR="004F1DFB">
        <w:rPr>
          <w:lang w:val="fr-FR"/>
        </w:rPr>
        <w:t>’</w:t>
      </w:r>
      <w:r w:rsidRPr="00AB1F22">
        <w:rPr>
          <w:lang w:val="fr-FR"/>
        </w:rPr>
        <w:t xml:space="preserve">Assemblée nationale populaire doit déterminer si une telle modification est possible ; </w:t>
      </w:r>
    </w:p>
    <w:p w:rsidR="0024529D" w:rsidRPr="00AB1F22" w:rsidRDefault="0024529D" w:rsidP="0024529D">
      <w:pPr>
        <w:pStyle w:val="Bullet1G"/>
        <w:numPr>
          <w:ilvl w:val="0"/>
          <w:numId w:val="1"/>
        </w:numPr>
        <w:rPr>
          <w:lang w:val="fr-FR"/>
        </w:rPr>
      </w:pPr>
      <w:r w:rsidRPr="00AB1F22">
        <w:rPr>
          <w:lang w:val="fr-FR"/>
        </w:rPr>
        <w:t xml:space="preserve">Troisième étape </w:t>
      </w:r>
      <w:r w:rsidR="004F1DFB">
        <w:rPr>
          <w:lang w:val="fr-FR"/>
        </w:rPr>
        <w:t>− </w:t>
      </w:r>
      <w:r w:rsidRPr="00AB1F22">
        <w:rPr>
          <w:lang w:val="fr-FR"/>
        </w:rPr>
        <w:t>si le Comité permanent de l</w:t>
      </w:r>
      <w:r w:rsidR="004F1DFB">
        <w:rPr>
          <w:lang w:val="fr-FR"/>
        </w:rPr>
        <w:t>’</w:t>
      </w:r>
      <w:r w:rsidRPr="00AB1F22">
        <w:rPr>
          <w:lang w:val="fr-FR"/>
        </w:rPr>
        <w:t>Assemblée nationale populaire décide que la modification est possible, le Gouvernement doit présenter au Conseil législatif une ou plusieurs résolutions sur les modifications à apporter au mode de désignation du Chef de l</w:t>
      </w:r>
      <w:r w:rsidR="004F1DFB">
        <w:rPr>
          <w:lang w:val="fr-FR"/>
        </w:rPr>
        <w:t>’</w:t>
      </w:r>
      <w:r w:rsidRPr="00AB1F22">
        <w:rPr>
          <w:lang w:val="fr-FR"/>
        </w:rPr>
        <w:t xml:space="preserve">exécutif ou de formation du Conseil législatif, qui doivent être adoptées à la majorité des deux tiers de tous les membres du Conseil législatif ; </w:t>
      </w:r>
    </w:p>
    <w:p w:rsidR="0024529D" w:rsidRPr="00AB1F22" w:rsidRDefault="0024529D" w:rsidP="0024529D">
      <w:pPr>
        <w:pStyle w:val="Bullet1G"/>
        <w:numPr>
          <w:ilvl w:val="0"/>
          <w:numId w:val="1"/>
        </w:numPr>
        <w:rPr>
          <w:lang w:val="fr-FR"/>
        </w:rPr>
      </w:pPr>
      <w:r w:rsidRPr="00AB1F22">
        <w:rPr>
          <w:lang w:val="fr-FR"/>
        </w:rPr>
        <w:t xml:space="preserve">Quatrième étape </w:t>
      </w:r>
      <w:r w:rsidR="004F1DFB">
        <w:rPr>
          <w:lang w:val="fr-FR"/>
        </w:rPr>
        <w:t>− </w:t>
      </w:r>
      <w:r w:rsidRPr="00AB1F22">
        <w:rPr>
          <w:lang w:val="fr-FR"/>
        </w:rPr>
        <w:t>le Chef de l</w:t>
      </w:r>
      <w:r w:rsidR="004F1DFB">
        <w:rPr>
          <w:lang w:val="fr-FR"/>
        </w:rPr>
        <w:t>’</w:t>
      </w:r>
      <w:r w:rsidRPr="00AB1F22">
        <w:rPr>
          <w:lang w:val="fr-FR"/>
        </w:rPr>
        <w:t>exécutif doit approuver les résolutions telles qu</w:t>
      </w:r>
      <w:r w:rsidR="004F1DFB">
        <w:rPr>
          <w:lang w:val="fr-FR"/>
        </w:rPr>
        <w:t>’</w:t>
      </w:r>
      <w:r w:rsidRPr="00AB1F22">
        <w:rPr>
          <w:lang w:val="fr-FR"/>
        </w:rPr>
        <w:t xml:space="preserve">adoptées par le Conseil législatif ; et </w:t>
      </w:r>
    </w:p>
    <w:p w:rsidR="0024529D" w:rsidRPr="00AB1F22" w:rsidRDefault="0024529D" w:rsidP="0024529D">
      <w:pPr>
        <w:pStyle w:val="Bullet1G"/>
        <w:numPr>
          <w:ilvl w:val="0"/>
          <w:numId w:val="1"/>
        </w:numPr>
        <w:rPr>
          <w:lang w:val="fr-FR"/>
        </w:rPr>
      </w:pPr>
      <w:r w:rsidRPr="00AB1F22">
        <w:rPr>
          <w:lang w:val="fr-FR"/>
        </w:rPr>
        <w:t xml:space="preserve">Cinquième étape </w:t>
      </w:r>
      <w:r w:rsidR="004F1DFB">
        <w:rPr>
          <w:lang w:val="fr-FR"/>
        </w:rPr>
        <w:t>− </w:t>
      </w:r>
      <w:r w:rsidRPr="00AB1F22">
        <w:rPr>
          <w:lang w:val="fr-FR"/>
        </w:rPr>
        <w:t>le Chef de l</w:t>
      </w:r>
      <w:r w:rsidR="004F1DFB">
        <w:rPr>
          <w:lang w:val="fr-FR"/>
        </w:rPr>
        <w:t>’</w:t>
      </w:r>
      <w:r w:rsidRPr="00AB1F22">
        <w:rPr>
          <w:lang w:val="fr-FR"/>
        </w:rPr>
        <w:t>exécutif doit déposer les projets de loi pertinents devant le Comité permanent de l</w:t>
      </w:r>
      <w:r w:rsidR="004F1DFB">
        <w:rPr>
          <w:lang w:val="fr-FR"/>
        </w:rPr>
        <w:t>’</w:t>
      </w:r>
      <w:r w:rsidRPr="00AB1F22">
        <w:rPr>
          <w:lang w:val="fr-FR"/>
        </w:rPr>
        <w:t>Assemblée nationale populaire pour qu</w:t>
      </w:r>
      <w:r w:rsidR="004F1DFB">
        <w:rPr>
          <w:lang w:val="fr-FR"/>
        </w:rPr>
        <w:t>’</w:t>
      </w:r>
      <w:r w:rsidRPr="00AB1F22">
        <w:rPr>
          <w:lang w:val="fr-FR"/>
        </w:rPr>
        <w:t xml:space="preserve">il les approuve ou les enregistre. </w:t>
      </w:r>
    </w:p>
    <w:p w:rsidR="0024529D" w:rsidRPr="00AB1F22" w:rsidRDefault="0024529D" w:rsidP="0024529D">
      <w:pPr>
        <w:pStyle w:val="SingleTxtG"/>
        <w:ind w:firstLine="397"/>
        <w:rPr>
          <w:lang w:val="fr-FR"/>
        </w:rPr>
      </w:pPr>
      <w:r w:rsidRPr="00AB1F22">
        <w:rPr>
          <w:lang w:val="fr-FR"/>
        </w:rPr>
        <w:t>Ainsi, les autorités centrales, le Chef de l</w:t>
      </w:r>
      <w:r w:rsidR="004F1DFB">
        <w:rPr>
          <w:lang w:val="fr-FR"/>
        </w:rPr>
        <w:t>’</w:t>
      </w:r>
      <w:r w:rsidRPr="00AB1F22">
        <w:rPr>
          <w:lang w:val="fr-FR"/>
        </w:rPr>
        <w:t>exécutif et le Conseil législatif ont leurs rôles respectifs dans le développement co</w:t>
      </w:r>
      <w:r>
        <w:rPr>
          <w:lang w:val="fr-FR"/>
        </w:rPr>
        <w:t>nstitutionnel de la RAS de Hong </w:t>
      </w:r>
      <w:r w:rsidRPr="00AB1F22">
        <w:rPr>
          <w:lang w:val="fr-FR"/>
        </w:rPr>
        <w:t xml:space="preserve">Kong. </w:t>
      </w:r>
    </w:p>
    <w:p w:rsidR="0024529D" w:rsidRPr="00AB1F22" w:rsidRDefault="0024529D" w:rsidP="0024529D">
      <w:pPr>
        <w:pStyle w:val="SingleTxtG"/>
        <w:rPr>
          <w:lang w:val="fr-FR"/>
        </w:rPr>
      </w:pPr>
      <w:r w:rsidRPr="00AB1F22">
        <w:rPr>
          <w:lang w:val="fr-FR"/>
        </w:rPr>
        <w:t>170.</w:t>
      </w:r>
      <w:r w:rsidRPr="00AB1F22">
        <w:rPr>
          <w:lang w:val="fr-FR"/>
        </w:rPr>
        <w:tab/>
        <w:t>Comme indiqué dans le rapport précédent, le 14 avril 2010, le Gouvernement a formulé un ensemble de propositions concernant le mode de désignation du Chef de l</w:t>
      </w:r>
      <w:r w:rsidR="004F1DFB">
        <w:rPr>
          <w:lang w:val="fr-FR"/>
        </w:rPr>
        <w:t>’</w:t>
      </w:r>
      <w:r w:rsidRPr="00AB1F22">
        <w:rPr>
          <w:lang w:val="fr-FR"/>
        </w:rPr>
        <w:t>exécutif et de formation du Conseil législatif applicable en 2012 et, le 21 juin 2010, il a présenté de nouvelles propositions tenant compte des avis des différents secteurs de la communauté. En résumé, s</w:t>
      </w:r>
      <w:r w:rsidR="004F1DFB">
        <w:rPr>
          <w:lang w:val="fr-FR"/>
        </w:rPr>
        <w:t>’</w:t>
      </w:r>
      <w:r w:rsidRPr="00AB1F22">
        <w:rPr>
          <w:lang w:val="fr-FR"/>
        </w:rPr>
        <w:t>agissant du mode de désignation du Chef de l</w:t>
      </w:r>
      <w:r w:rsidR="004F1DFB">
        <w:rPr>
          <w:lang w:val="fr-FR"/>
        </w:rPr>
        <w:t>’</w:t>
      </w:r>
      <w:r w:rsidRPr="00AB1F22">
        <w:rPr>
          <w:lang w:val="fr-FR"/>
        </w:rPr>
        <w:t xml:space="preserve">exécutif, le Gouvernement a proposé ce qui suit : </w:t>
      </w:r>
    </w:p>
    <w:p w:rsidR="0024529D" w:rsidRPr="00AB1F22" w:rsidRDefault="0024529D" w:rsidP="004F1DFB">
      <w:pPr>
        <w:pStyle w:val="SingleTxtG"/>
        <w:ind w:firstLine="567"/>
        <w:rPr>
          <w:lang w:val="fr-FR"/>
        </w:rPr>
      </w:pPr>
      <w:r w:rsidRPr="00AB1F22">
        <w:rPr>
          <w:lang w:val="fr-FR"/>
        </w:rPr>
        <w:t>a)</w:t>
      </w:r>
      <w:r w:rsidRPr="00AB1F22">
        <w:rPr>
          <w:lang w:val="fr-FR"/>
        </w:rPr>
        <w:tab/>
        <w:t>En 2012, le nombre de membres de la commission électorale devait passer de 800 à 1</w:t>
      </w:r>
      <w:r>
        <w:rPr>
          <w:lang w:val="fr-FR"/>
        </w:rPr>
        <w:t> </w:t>
      </w:r>
      <w:r w:rsidRPr="00AB1F22">
        <w:rPr>
          <w:lang w:val="fr-FR"/>
        </w:rPr>
        <w:t>200, et le nombre de membres des quatre</w:t>
      </w:r>
      <w:r>
        <w:rPr>
          <w:lang w:val="fr-FR"/>
        </w:rPr>
        <w:t> </w:t>
      </w:r>
      <w:r w:rsidRPr="00AB1F22">
        <w:rPr>
          <w:lang w:val="fr-FR"/>
        </w:rPr>
        <w:t>secteurs de la commission électorale augmentait dans les mêmes proportions, c</w:t>
      </w:r>
      <w:r w:rsidR="004F1DFB">
        <w:rPr>
          <w:lang w:val="fr-FR"/>
        </w:rPr>
        <w:t>’</w:t>
      </w:r>
      <w:r w:rsidRPr="00AB1F22">
        <w:rPr>
          <w:lang w:val="fr-FR"/>
        </w:rPr>
        <w:t xml:space="preserve">est-à-dire que chaque secteur disposait de 100 sièges supplémentaires ; </w:t>
      </w:r>
    </w:p>
    <w:p w:rsidR="0024529D" w:rsidRPr="00AB1F22" w:rsidRDefault="0024529D" w:rsidP="004F1DFB">
      <w:pPr>
        <w:pStyle w:val="SingleTxtG"/>
        <w:ind w:firstLine="567"/>
        <w:rPr>
          <w:lang w:val="fr-FR"/>
        </w:rPr>
      </w:pPr>
      <w:r w:rsidRPr="00AB1F22">
        <w:rPr>
          <w:lang w:val="fr-FR"/>
        </w:rPr>
        <w:t>b)</w:t>
      </w:r>
      <w:r w:rsidRPr="00AB1F22">
        <w:rPr>
          <w:lang w:val="fr-FR"/>
        </w:rPr>
        <w:tab/>
        <w:t>Les trois quarts des 100</w:t>
      </w:r>
      <w:r w:rsidR="004F1DFB">
        <w:rPr>
          <w:lang w:val="fr-FR"/>
        </w:rPr>
        <w:t> </w:t>
      </w:r>
      <w:r w:rsidRPr="00AB1F22">
        <w:rPr>
          <w:lang w:val="fr-FR"/>
        </w:rPr>
        <w:t>nouveaux sièges (soit 75 sièges) du quatrième secteur de la commission électorale (c</w:t>
      </w:r>
      <w:r w:rsidR="004F1DFB">
        <w:rPr>
          <w:lang w:val="fr-FR"/>
        </w:rPr>
        <w:t>’</w:t>
      </w:r>
      <w:r w:rsidRPr="00AB1F22">
        <w:rPr>
          <w:lang w:val="fr-FR"/>
        </w:rPr>
        <w:t>est-à-dire le secteur politique) devaient être attribués aux membres élus des conseils de district ; avec les 42 sièges existants, le sous</w:t>
      </w:r>
      <w:r>
        <w:rPr>
          <w:lang w:val="fr-FR"/>
        </w:rPr>
        <w:noBreakHyphen/>
      </w:r>
      <w:r w:rsidRPr="00AB1F22">
        <w:rPr>
          <w:lang w:val="fr-FR"/>
        </w:rPr>
        <w:t>secteur des conseils de district disposait alors d</w:t>
      </w:r>
      <w:r w:rsidR="004F1DFB">
        <w:rPr>
          <w:lang w:val="fr-FR"/>
        </w:rPr>
        <w:t>’</w:t>
      </w:r>
      <w:r w:rsidRPr="00AB1F22">
        <w:rPr>
          <w:lang w:val="fr-FR"/>
        </w:rPr>
        <w:t>un total de 117 sièges, pourvus grâce à l</w:t>
      </w:r>
      <w:r w:rsidR="004F1DFB">
        <w:rPr>
          <w:lang w:val="fr-FR"/>
        </w:rPr>
        <w:t>’</w:t>
      </w:r>
      <w:r w:rsidRPr="00AB1F22">
        <w:rPr>
          <w:lang w:val="fr-FR"/>
        </w:rPr>
        <w:t xml:space="preserve">élection de membres </w:t>
      </w:r>
      <w:r>
        <w:rPr>
          <w:lang w:val="fr-FR"/>
        </w:rPr>
        <w:t>élus des conseils de district ;</w:t>
      </w:r>
    </w:p>
    <w:p w:rsidR="0024529D" w:rsidRPr="00AB1F22" w:rsidRDefault="0024529D" w:rsidP="004F1DFB">
      <w:pPr>
        <w:pStyle w:val="SingleTxtG"/>
        <w:ind w:firstLine="567"/>
        <w:rPr>
          <w:lang w:val="fr-FR"/>
        </w:rPr>
      </w:pPr>
      <w:r w:rsidRPr="00AB1F22">
        <w:rPr>
          <w:lang w:val="fr-FR"/>
        </w:rPr>
        <w:t>c)</w:t>
      </w:r>
      <w:r w:rsidRPr="00AB1F22">
        <w:rPr>
          <w:lang w:val="fr-FR"/>
        </w:rPr>
        <w:tab/>
        <w:t>Le seuil de signatures était maintenu à 1/8</w:t>
      </w:r>
      <w:r w:rsidRPr="00AB1F22">
        <w:rPr>
          <w:vertAlign w:val="superscript"/>
          <w:lang w:val="fr-FR"/>
        </w:rPr>
        <w:t>e</w:t>
      </w:r>
      <w:r w:rsidRPr="00AB1F22">
        <w:rPr>
          <w:lang w:val="fr-FR"/>
        </w:rPr>
        <w:t xml:space="preserve"> du nombre total de membres de la commission électorale (c</w:t>
      </w:r>
      <w:r w:rsidR="004F1DFB">
        <w:rPr>
          <w:lang w:val="fr-FR"/>
        </w:rPr>
        <w:t>’</w:t>
      </w:r>
      <w:r w:rsidRPr="00AB1F22">
        <w:rPr>
          <w:lang w:val="fr-FR"/>
        </w:rPr>
        <w:t>est-à-dire que le nombre de signatures requis ne devait pas être inférieur à 150), de manière à permettre une concurrence suffisante et à garantir que les candidats bénéficient d</w:t>
      </w:r>
      <w:r w:rsidR="004F1DFB">
        <w:rPr>
          <w:lang w:val="fr-FR"/>
        </w:rPr>
        <w:t>’</w:t>
      </w:r>
      <w:r w:rsidRPr="00AB1F22">
        <w:rPr>
          <w:lang w:val="fr-FR"/>
        </w:rPr>
        <w:t xml:space="preserve">un soutien suffisant. </w:t>
      </w:r>
    </w:p>
    <w:p w:rsidR="0024529D" w:rsidRPr="00AB1F22" w:rsidRDefault="0024529D" w:rsidP="004F1DFB">
      <w:pPr>
        <w:pStyle w:val="Bullet1G"/>
        <w:rPr>
          <w:lang w:val="fr-FR"/>
        </w:rPr>
      </w:pPr>
      <w:r w:rsidRPr="00AB1F22">
        <w:rPr>
          <w:lang w:val="fr-FR"/>
        </w:rPr>
        <w:t xml:space="preserve">En ce qui concerne le mode de formation du Conseil législatif, le Gouvernement a proposé ce qui suit : </w:t>
      </w:r>
    </w:p>
    <w:p w:rsidR="0024529D" w:rsidRPr="00AB1F22" w:rsidRDefault="0024529D" w:rsidP="004F1DFB">
      <w:pPr>
        <w:pStyle w:val="SingleTxtG"/>
        <w:ind w:firstLine="567"/>
        <w:rPr>
          <w:lang w:val="fr-FR"/>
        </w:rPr>
      </w:pPr>
      <w:r w:rsidRPr="00AB1F22">
        <w:rPr>
          <w:lang w:val="fr-FR"/>
        </w:rPr>
        <w:t>a)</w:t>
      </w:r>
      <w:r w:rsidRPr="00AB1F22">
        <w:rPr>
          <w:lang w:val="fr-FR"/>
        </w:rPr>
        <w:tab/>
        <w:t>En 2012, le nombre de sièges à pourvoir au Conseil législatif devait passer de</w:t>
      </w:r>
      <w:r w:rsidR="004F1DFB">
        <w:rPr>
          <w:lang w:val="fr-FR"/>
        </w:rPr>
        <w:t> </w:t>
      </w:r>
      <w:r w:rsidRPr="00AB1F22">
        <w:rPr>
          <w:lang w:val="fr-FR"/>
        </w:rPr>
        <w:t xml:space="preserve">60 à 70 ; </w:t>
      </w:r>
    </w:p>
    <w:p w:rsidR="0024529D" w:rsidRPr="00AB1F22" w:rsidRDefault="0024529D" w:rsidP="004F1DFB">
      <w:pPr>
        <w:pStyle w:val="SingleTxtG"/>
        <w:ind w:firstLine="567"/>
        <w:rPr>
          <w:lang w:val="fr-FR"/>
        </w:rPr>
      </w:pPr>
      <w:r w:rsidRPr="00AB1F22">
        <w:rPr>
          <w:lang w:val="fr-FR"/>
        </w:rPr>
        <w:t>b)</w:t>
      </w:r>
      <w:r w:rsidRPr="00AB1F22">
        <w:rPr>
          <w:lang w:val="fr-FR"/>
        </w:rPr>
        <w:tab/>
        <w:t>Le nombre de sièges à pourvoir au scrutin direct par des circonscriptions géographiques et par des circonscriptions fonctionnelles devait passer dans les deux cas de</w:t>
      </w:r>
      <w:r w:rsidR="004F1DFB">
        <w:rPr>
          <w:lang w:val="fr-FR"/>
        </w:rPr>
        <w:t> </w:t>
      </w:r>
      <w:r w:rsidRPr="00AB1F22">
        <w:rPr>
          <w:lang w:val="fr-FR"/>
        </w:rPr>
        <w:t>30 à 35</w:t>
      </w:r>
      <w:r>
        <w:rPr>
          <w:lang w:val="fr-FR"/>
        </w:rPr>
        <w:t> ;</w:t>
      </w:r>
      <w:r w:rsidRPr="00AB1F22">
        <w:rPr>
          <w:lang w:val="fr-FR"/>
        </w:rPr>
        <w:t xml:space="preserve"> et </w:t>
      </w:r>
    </w:p>
    <w:p w:rsidR="0024529D" w:rsidRPr="00AB1F22" w:rsidRDefault="0024529D" w:rsidP="004F1DFB">
      <w:pPr>
        <w:pStyle w:val="SingleTxtG"/>
        <w:ind w:firstLine="567"/>
        <w:rPr>
          <w:lang w:val="fr-FR"/>
        </w:rPr>
      </w:pPr>
      <w:r w:rsidRPr="00AB1F22">
        <w:rPr>
          <w:lang w:val="fr-FR"/>
        </w:rPr>
        <w:t>c)</w:t>
      </w:r>
      <w:r w:rsidRPr="00AB1F22">
        <w:rPr>
          <w:lang w:val="fr-FR"/>
        </w:rPr>
        <w:tab/>
        <w:t>Les candidats aux cinq nouveaux sièges des circonscriptions fonctionnelles devaient être désignés parmi les membres élus des conseils de district et élus par tous les électeurs inscrits qui n</w:t>
      </w:r>
      <w:r w:rsidR="004F1DFB">
        <w:rPr>
          <w:lang w:val="fr-FR"/>
        </w:rPr>
        <w:t>’</w:t>
      </w:r>
      <w:r w:rsidRPr="00AB1F22">
        <w:rPr>
          <w:lang w:val="fr-FR"/>
        </w:rPr>
        <w:t>avaient pas le droit de voter individuellement dans les circonscriptions fonctionnelles traditionnelles (le nombre d</w:t>
      </w:r>
      <w:r w:rsidR="004F1DFB">
        <w:rPr>
          <w:lang w:val="fr-FR"/>
        </w:rPr>
        <w:t>’</w:t>
      </w:r>
      <w:r w:rsidRPr="00AB1F22">
        <w:rPr>
          <w:lang w:val="fr-FR"/>
        </w:rPr>
        <w:t>électeurs s</w:t>
      </w:r>
      <w:r w:rsidR="004F1DFB">
        <w:rPr>
          <w:lang w:val="fr-FR"/>
        </w:rPr>
        <w:t>’</w:t>
      </w:r>
      <w:r w:rsidRPr="00AB1F22">
        <w:rPr>
          <w:lang w:val="fr-FR"/>
        </w:rPr>
        <w:t>élevait à environ 3,2</w:t>
      </w:r>
      <w:r>
        <w:rPr>
          <w:lang w:val="fr-FR"/>
        </w:rPr>
        <w:t> </w:t>
      </w:r>
      <w:r w:rsidRPr="00AB1F22">
        <w:rPr>
          <w:lang w:val="fr-FR"/>
        </w:rPr>
        <w:t>millions, soit le total de 3,43 millions d</w:t>
      </w:r>
      <w:r w:rsidR="004F1DFB">
        <w:rPr>
          <w:lang w:val="fr-FR"/>
        </w:rPr>
        <w:t>’</w:t>
      </w:r>
      <w:r w:rsidRPr="00AB1F22">
        <w:rPr>
          <w:lang w:val="fr-FR"/>
        </w:rPr>
        <w:t>électeurs inscrits moins les 230</w:t>
      </w:r>
      <w:r>
        <w:rPr>
          <w:lang w:val="fr-FR"/>
        </w:rPr>
        <w:t> 000 </w:t>
      </w:r>
      <w:r w:rsidRPr="00AB1F22">
        <w:rPr>
          <w:lang w:val="fr-FR"/>
        </w:rPr>
        <w:t>électeurs inscrits dans les circonscriptions fonctionnelles existantes). En d</w:t>
      </w:r>
      <w:r w:rsidR="004F1DFB">
        <w:rPr>
          <w:lang w:val="fr-FR"/>
        </w:rPr>
        <w:t>’</w:t>
      </w:r>
      <w:r w:rsidRPr="00AB1F22">
        <w:rPr>
          <w:lang w:val="fr-FR"/>
        </w:rPr>
        <w:t xml:space="preserve">autres termes, chaque électeur devait voter deux fois, une fois pour la circonscription géographique et une fois pour la circonscription fonctionnelle. </w:t>
      </w:r>
    </w:p>
    <w:p w:rsidR="0024529D" w:rsidRPr="00AB1F22" w:rsidRDefault="0024529D" w:rsidP="0024529D">
      <w:pPr>
        <w:pStyle w:val="SingleTxtG"/>
        <w:rPr>
          <w:lang w:val="fr-FR"/>
        </w:rPr>
      </w:pPr>
      <w:r w:rsidRPr="00AB1F22">
        <w:rPr>
          <w:lang w:val="fr-FR"/>
        </w:rPr>
        <w:t>171.</w:t>
      </w:r>
      <w:r w:rsidRPr="00AB1F22">
        <w:rPr>
          <w:lang w:val="fr-FR"/>
        </w:rPr>
        <w:tab/>
        <w:t>Les propositions faites par le Gouvernement concernant les projets de modification du mode de désignation du Chef de l</w:t>
      </w:r>
      <w:r w:rsidR="004F1DFB">
        <w:rPr>
          <w:lang w:val="fr-FR"/>
        </w:rPr>
        <w:t>’</w:t>
      </w:r>
      <w:r w:rsidRPr="00AB1F22">
        <w:rPr>
          <w:lang w:val="fr-FR"/>
        </w:rPr>
        <w:t>exécutif et de formation du Conseil législatif applicables en 2012 ont été adoptées à la majorité des deux tiers de tous les membres du Conseil législatif les 24 et 25</w:t>
      </w:r>
      <w:r>
        <w:rPr>
          <w:lang w:val="fr-FR"/>
        </w:rPr>
        <w:t> </w:t>
      </w:r>
      <w:r w:rsidRPr="00AB1F22">
        <w:rPr>
          <w:lang w:val="fr-FR"/>
        </w:rPr>
        <w:t>juin 2010 respectivement. Ces projets ont ensuite été approuvés par le Chef de l</w:t>
      </w:r>
      <w:r w:rsidR="004F1DFB">
        <w:rPr>
          <w:lang w:val="fr-FR"/>
        </w:rPr>
        <w:t>’</w:t>
      </w:r>
      <w:r w:rsidRPr="00AB1F22">
        <w:rPr>
          <w:lang w:val="fr-FR"/>
        </w:rPr>
        <w:t>exécutif le 29 juin 2010 puis approuvés et enregistrés par le Comité permanent de l</w:t>
      </w:r>
      <w:r w:rsidR="004F1DFB">
        <w:rPr>
          <w:lang w:val="fr-FR"/>
        </w:rPr>
        <w:t>’</w:t>
      </w:r>
      <w:r w:rsidRPr="00AB1F22">
        <w:rPr>
          <w:lang w:val="fr-FR"/>
        </w:rPr>
        <w:t>Assemblée nationale populaire le 28 août 2010. Le Gouvernement a déposé deux projets de loi devant le Conseil législatif en décembre 2010 en vue de la mise en œuvre des modifications qu</w:t>
      </w:r>
      <w:r w:rsidR="004F1DFB">
        <w:rPr>
          <w:lang w:val="fr-FR"/>
        </w:rPr>
        <w:t>’</w:t>
      </w:r>
      <w:r w:rsidRPr="00AB1F22">
        <w:rPr>
          <w:lang w:val="fr-FR"/>
        </w:rPr>
        <w:t>il a proposé d</w:t>
      </w:r>
      <w:r w:rsidR="004F1DFB">
        <w:rPr>
          <w:lang w:val="fr-FR"/>
        </w:rPr>
        <w:t>’</w:t>
      </w:r>
      <w:r w:rsidRPr="00AB1F22">
        <w:rPr>
          <w:lang w:val="fr-FR"/>
        </w:rPr>
        <w:t>apporter au mode de désignation du Chef de l</w:t>
      </w:r>
      <w:r w:rsidR="004F1DFB">
        <w:rPr>
          <w:lang w:val="fr-FR"/>
        </w:rPr>
        <w:t>’</w:t>
      </w:r>
      <w:r w:rsidRPr="00AB1F22">
        <w:rPr>
          <w:lang w:val="fr-FR"/>
        </w:rPr>
        <w:t>exécutif et de formation du Conseil législatif à compter de 2012. Les projets de loi ont été adoptés par le Conseil législatif en mars 2011. Le nouveau mode de désignation du Chef de l</w:t>
      </w:r>
      <w:r w:rsidR="004F1DFB">
        <w:rPr>
          <w:lang w:val="fr-FR"/>
        </w:rPr>
        <w:t>’</w:t>
      </w:r>
      <w:r w:rsidRPr="00AB1F22">
        <w:rPr>
          <w:lang w:val="fr-FR"/>
        </w:rPr>
        <w:t>exécutif et de formation du Conseil législatif a été officiellement mis en œuvre lors de l</w:t>
      </w:r>
      <w:r w:rsidR="004F1DFB">
        <w:rPr>
          <w:lang w:val="fr-FR"/>
        </w:rPr>
        <w:t>’</w:t>
      </w:r>
      <w:r w:rsidRPr="00AB1F22">
        <w:rPr>
          <w:lang w:val="fr-FR"/>
        </w:rPr>
        <w:t>élection du Chef de l</w:t>
      </w:r>
      <w:r w:rsidR="004F1DFB">
        <w:rPr>
          <w:lang w:val="fr-FR"/>
        </w:rPr>
        <w:t>’</w:t>
      </w:r>
      <w:r w:rsidRPr="00AB1F22">
        <w:rPr>
          <w:lang w:val="fr-FR"/>
        </w:rPr>
        <w:t xml:space="preserve">exécutif et des membres du Conseil législatif en 2012 comme prévu. </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Le suffrage universel pour l</w:t>
      </w:r>
      <w:r w:rsidR="004F1DFB">
        <w:rPr>
          <w:iCs/>
          <w:lang w:val="fr-FR"/>
        </w:rPr>
        <w:t>’</w:t>
      </w:r>
      <w:r w:rsidRPr="00AB1F22">
        <w:rPr>
          <w:iCs/>
          <w:lang w:val="fr-FR"/>
        </w:rPr>
        <w:t>élection du Chef de l</w:t>
      </w:r>
      <w:r w:rsidR="004F1DFB">
        <w:rPr>
          <w:iCs/>
          <w:lang w:val="fr-FR"/>
        </w:rPr>
        <w:t>’</w:t>
      </w:r>
      <w:r w:rsidRPr="00AB1F22">
        <w:rPr>
          <w:iCs/>
          <w:lang w:val="fr-FR"/>
        </w:rPr>
        <w:t xml:space="preserve">exécutif </w:t>
      </w:r>
      <w:r w:rsidR="004F1DFB">
        <w:rPr>
          <w:iCs/>
          <w:lang w:val="fr-FR"/>
        </w:rPr>
        <w:br/>
      </w:r>
      <w:r w:rsidRPr="00AB1F22">
        <w:rPr>
          <w:iCs/>
          <w:lang w:val="fr-FR"/>
        </w:rPr>
        <w:t>et des membres du Conseil législatif en 2016</w:t>
      </w:r>
      <w:r w:rsidRPr="00AB1F22">
        <w:rPr>
          <w:lang w:val="fr-FR"/>
        </w:rPr>
        <w:t xml:space="preserve"> </w:t>
      </w:r>
    </w:p>
    <w:p w:rsidR="0024529D" w:rsidRPr="00AB1F22" w:rsidRDefault="0024529D" w:rsidP="0024529D">
      <w:pPr>
        <w:pStyle w:val="SingleTxtG"/>
        <w:rPr>
          <w:lang w:val="fr-FR"/>
        </w:rPr>
      </w:pPr>
      <w:r w:rsidRPr="00AB1F22">
        <w:rPr>
          <w:lang w:val="fr-FR"/>
        </w:rPr>
        <w:t>172.</w:t>
      </w:r>
      <w:r w:rsidRPr="00AB1F22">
        <w:rPr>
          <w:lang w:val="fr-FR"/>
        </w:rPr>
        <w:tab/>
        <w:t>D</w:t>
      </w:r>
      <w:r w:rsidR="004F1DFB">
        <w:rPr>
          <w:lang w:val="fr-FR"/>
        </w:rPr>
        <w:t>’</w:t>
      </w:r>
      <w:r w:rsidRPr="00AB1F22">
        <w:rPr>
          <w:lang w:val="fr-FR"/>
        </w:rPr>
        <w:t>après l</w:t>
      </w:r>
      <w:r w:rsidR="004F1DFB">
        <w:rPr>
          <w:lang w:val="fr-FR"/>
        </w:rPr>
        <w:t>’</w:t>
      </w:r>
      <w:r w:rsidRPr="00AB1F22">
        <w:rPr>
          <w:lang w:val="fr-FR"/>
        </w:rPr>
        <w:t>article 45 de la Loi fondamentale, le mode de désignation du Chef de l</w:t>
      </w:r>
      <w:r w:rsidR="004F1DFB">
        <w:rPr>
          <w:lang w:val="fr-FR"/>
        </w:rPr>
        <w:t>’</w:t>
      </w:r>
      <w:r w:rsidRPr="00AB1F22">
        <w:rPr>
          <w:lang w:val="fr-FR"/>
        </w:rPr>
        <w:t>exécutif est déterminé en fonction de la situation concrète dans la RAS de Hong</w:t>
      </w:r>
      <w:r>
        <w:rPr>
          <w:lang w:val="fr-FR"/>
        </w:rPr>
        <w:t> </w:t>
      </w:r>
      <w:r w:rsidRPr="00AB1F22">
        <w:rPr>
          <w:lang w:val="fr-FR"/>
        </w:rPr>
        <w:t>Kong et conformément au principe d</w:t>
      </w:r>
      <w:r w:rsidR="004F1DFB">
        <w:rPr>
          <w:lang w:val="fr-FR"/>
        </w:rPr>
        <w:t>’</w:t>
      </w:r>
      <w:r w:rsidRPr="00AB1F22">
        <w:rPr>
          <w:lang w:val="fr-FR"/>
        </w:rPr>
        <w:t>évolution progressive et méthodique. L</w:t>
      </w:r>
      <w:r w:rsidR="004F1DFB">
        <w:rPr>
          <w:lang w:val="fr-FR"/>
        </w:rPr>
        <w:t>’</w:t>
      </w:r>
      <w:r w:rsidRPr="00AB1F22">
        <w:rPr>
          <w:lang w:val="fr-FR"/>
        </w:rPr>
        <w:t>objectif ultime est que le Chef de l</w:t>
      </w:r>
      <w:r w:rsidR="004F1DFB">
        <w:rPr>
          <w:lang w:val="fr-FR"/>
        </w:rPr>
        <w:t>’</w:t>
      </w:r>
      <w:r w:rsidRPr="00AB1F22">
        <w:rPr>
          <w:lang w:val="fr-FR"/>
        </w:rPr>
        <w:t>exécutif soit désigné au suffrage universel après sélection par un comité de nomination largement représentatif, en accord avec les procédures démocratiques. De plus, d</w:t>
      </w:r>
      <w:r w:rsidR="004F1DFB">
        <w:rPr>
          <w:lang w:val="fr-FR"/>
        </w:rPr>
        <w:t>’</w:t>
      </w:r>
      <w:r w:rsidRPr="00AB1F22">
        <w:rPr>
          <w:lang w:val="fr-FR"/>
        </w:rPr>
        <w:t>après l</w:t>
      </w:r>
      <w:r w:rsidR="004F1DFB">
        <w:rPr>
          <w:lang w:val="fr-FR"/>
        </w:rPr>
        <w:t>’</w:t>
      </w:r>
      <w:r w:rsidRPr="00AB1F22">
        <w:rPr>
          <w:lang w:val="fr-FR"/>
        </w:rPr>
        <w:t>article 68 de la Loi fondamentale, le mode de formation du Conseil législatif est précisé en fonction de la situation concrète dans la RAS de Hong</w:t>
      </w:r>
      <w:r>
        <w:rPr>
          <w:lang w:val="fr-FR"/>
        </w:rPr>
        <w:t> </w:t>
      </w:r>
      <w:r w:rsidRPr="00AB1F22">
        <w:rPr>
          <w:lang w:val="fr-FR"/>
        </w:rPr>
        <w:t>Kong et conformément au principe d</w:t>
      </w:r>
      <w:r w:rsidR="004F1DFB">
        <w:rPr>
          <w:lang w:val="fr-FR"/>
        </w:rPr>
        <w:t>’</w:t>
      </w:r>
      <w:r w:rsidRPr="00AB1F22">
        <w:rPr>
          <w:lang w:val="fr-FR"/>
        </w:rPr>
        <w:t>évolution progressive et méthodique. L</w:t>
      </w:r>
      <w:r w:rsidR="004F1DFB">
        <w:rPr>
          <w:lang w:val="fr-FR"/>
        </w:rPr>
        <w:t>’</w:t>
      </w:r>
      <w:r w:rsidRPr="00AB1F22">
        <w:rPr>
          <w:lang w:val="fr-FR"/>
        </w:rPr>
        <w:t>objectif ultime est que tous les membres du Conseil législatif soient élus au suffrage universel. La décision relative, d</w:t>
      </w:r>
      <w:r w:rsidR="004F1DFB">
        <w:rPr>
          <w:lang w:val="fr-FR"/>
        </w:rPr>
        <w:t>’</w:t>
      </w:r>
      <w:r w:rsidRPr="00AB1F22">
        <w:rPr>
          <w:lang w:val="fr-FR"/>
        </w:rPr>
        <w:t>une part, au mode de désignation du Chef de l</w:t>
      </w:r>
      <w:r w:rsidR="004F1DFB">
        <w:rPr>
          <w:lang w:val="fr-FR"/>
        </w:rPr>
        <w:t>’</w:t>
      </w:r>
      <w:r w:rsidRPr="00AB1F22">
        <w:rPr>
          <w:lang w:val="fr-FR"/>
        </w:rPr>
        <w:t>exécutif et de formation du Conseil législatif de la RAS de Hong</w:t>
      </w:r>
      <w:r>
        <w:rPr>
          <w:lang w:val="fr-FR"/>
        </w:rPr>
        <w:t> </w:t>
      </w:r>
      <w:r w:rsidRPr="00AB1F22">
        <w:rPr>
          <w:lang w:val="fr-FR"/>
        </w:rPr>
        <w:t>Kong pour 2012 et, d</w:t>
      </w:r>
      <w:r w:rsidR="004F1DFB">
        <w:rPr>
          <w:lang w:val="fr-FR"/>
        </w:rPr>
        <w:t>’</w:t>
      </w:r>
      <w:r w:rsidRPr="00AB1F22">
        <w:rPr>
          <w:lang w:val="fr-FR"/>
        </w:rPr>
        <w:t>autre part, aux questions touchant au suffrage universel, adoptée par le Comité permanent de l</w:t>
      </w:r>
      <w:r w:rsidR="004F1DFB">
        <w:rPr>
          <w:lang w:val="fr-FR"/>
        </w:rPr>
        <w:t>’</w:t>
      </w:r>
      <w:r w:rsidRPr="00AB1F22">
        <w:rPr>
          <w:lang w:val="fr-FR"/>
        </w:rPr>
        <w:t>Assemblée nationale populaire le 29</w:t>
      </w:r>
      <w:r>
        <w:rPr>
          <w:lang w:val="fr-FR"/>
        </w:rPr>
        <w:t> </w:t>
      </w:r>
      <w:r w:rsidRPr="00AB1F22">
        <w:rPr>
          <w:lang w:val="fr-FR"/>
        </w:rPr>
        <w:t>décembre 2007, précisait que le suffrage universel pouvait être instauré pour la cinquième élection du Chef de l</w:t>
      </w:r>
      <w:r w:rsidR="004F1DFB">
        <w:rPr>
          <w:lang w:val="fr-FR"/>
        </w:rPr>
        <w:t>’</w:t>
      </w:r>
      <w:r w:rsidRPr="00AB1F22">
        <w:rPr>
          <w:lang w:val="fr-FR"/>
        </w:rPr>
        <w:t>exécutif en 2017 ; et une fois le Chef de l</w:t>
      </w:r>
      <w:r w:rsidR="004F1DFB">
        <w:rPr>
          <w:lang w:val="fr-FR"/>
        </w:rPr>
        <w:t>’</w:t>
      </w:r>
      <w:r w:rsidRPr="00AB1F22">
        <w:rPr>
          <w:lang w:val="fr-FR"/>
        </w:rPr>
        <w:t>exécutif élu au suffrage universel, tous les membres du Conseil législatif de la RAS de Hong</w:t>
      </w:r>
      <w:r>
        <w:rPr>
          <w:lang w:val="fr-FR"/>
        </w:rPr>
        <w:t> </w:t>
      </w:r>
      <w:r w:rsidRPr="00AB1F22">
        <w:rPr>
          <w:lang w:val="fr-FR"/>
        </w:rPr>
        <w:t xml:space="preserve">Kong pourraient être élus au suffrage universel. </w:t>
      </w:r>
    </w:p>
    <w:p w:rsidR="0024529D" w:rsidRPr="00AB1F22" w:rsidRDefault="0024529D" w:rsidP="0024529D">
      <w:pPr>
        <w:pStyle w:val="SingleTxtG"/>
        <w:rPr>
          <w:lang w:val="fr-FR"/>
        </w:rPr>
      </w:pPr>
      <w:r w:rsidRPr="00AB1F22">
        <w:rPr>
          <w:lang w:val="fr-FR"/>
        </w:rPr>
        <w:t>173.</w:t>
      </w:r>
      <w:r w:rsidRPr="00AB1F22">
        <w:rPr>
          <w:lang w:val="fr-FR"/>
        </w:rPr>
        <w:tab/>
        <w:t>Le Gouvernement est fermement déterminé à atteindre l</w:t>
      </w:r>
      <w:r w:rsidR="004F1DFB">
        <w:rPr>
          <w:lang w:val="fr-FR"/>
        </w:rPr>
        <w:t>’</w:t>
      </w:r>
      <w:r w:rsidRPr="00AB1F22">
        <w:rPr>
          <w:lang w:val="fr-FR"/>
        </w:rPr>
        <w:t>objectif ultime du suffrage universel dans le strict respect de la Loi fondamentale et des interprétations et décisions pertinentes du Comité permanent de l</w:t>
      </w:r>
      <w:r w:rsidR="004F1DFB">
        <w:rPr>
          <w:lang w:val="fr-FR"/>
        </w:rPr>
        <w:t>’</w:t>
      </w:r>
      <w:r w:rsidRPr="00AB1F22">
        <w:rPr>
          <w:lang w:val="fr-FR"/>
        </w:rPr>
        <w:t>Assemblée nationale populaire. À cet égard, en octobre</w:t>
      </w:r>
      <w:r w:rsidR="00332FF5">
        <w:rPr>
          <w:lang w:val="fr-FR"/>
        </w:rPr>
        <w:t> </w:t>
      </w:r>
      <w:r w:rsidRPr="00AB1F22">
        <w:rPr>
          <w:lang w:val="fr-FR"/>
        </w:rPr>
        <w:t>2013, le Gouvernement a mis en place une équipe spéciale chargée du développement constitutionnel. Le Gouvernement a publié un document de consultation sur le mode de désignation du Chef de l</w:t>
      </w:r>
      <w:r w:rsidR="004F1DFB">
        <w:rPr>
          <w:lang w:val="fr-FR"/>
        </w:rPr>
        <w:t>’</w:t>
      </w:r>
      <w:r w:rsidRPr="00AB1F22">
        <w:rPr>
          <w:lang w:val="fr-FR"/>
        </w:rPr>
        <w:t>exécutif pour 2017 et le mode de formation du Conseil législatif pour 2016 et a officiellement lancé une consultation publique de cinq</w:t>
      </w:r>
      <w:r>
        <w:rPr>
          <w:lang w:val="fr-FR"/>
        </w:rPr>
        <w:t> </w:t>
      </w:r>
      <w:r w:rsidRPr="00AB1F22">
        <w:rPr>
          <w:lang w:val="fr-FR"/>
        </w:rPr>
        <w:t>mois pour recueillir l</w:t>
      </w:r>
      <w:r w:rsidR="004F1DFB">
        <w:rPr>
          <w:lang w:val="fr-FR"/>
        </w:rPr>
        <w:t>’</w:t>
      </w:r>
      <w:r w:rsidRPr="00AB1F22">
        <w:rPr>
          <w:lang w:val="fr-FR"/>
        </w:rPr>
        <w:t>avis de divers secteurs de la communauté sur les principaux enjeux et les questions connexes liés à ces deux élections. Le document de consultation énonce les principales questions qui se posent quant au mode de désignation ou de formation visé</w:t>
      </w:r>
      <w:r>
        <w:rPr>
          <w:lang w:val="fr-FR"/>
        </w:rPr>
        <w:t>,</w:t>
      </w:r>
      <w:r w:rsidRPr="00AB1F22">
        <w:rPr>
          <w:lang w:val="fr-FR"/>
        </w:rPr>
        <w:t xml:space="preserve"> dans le cadre de la Loi fondamentale et des interprétations et décisions pertinentes du Comité permanent de l</w:t>
      </w:r>
      <w:r w:rsidR="004F1DFB">
        <w:rPr>
          <w:lang w:val="fr-FR"/>
        </w:rPr>
        <w:t>’</w:t>
      </w:r>
      <w:r w:rsidRPr="00AB1F22">
        <w:rPr>
          <w:lang w:val="fr-FR"/>
        </w:rPr>
        <w:t>Assemblée nationale populaire, comme la taille, la composition, la</w:t>
      </w:r>
      <w:r w:rsidR="00332FF5">
        <w:rPr>
          <w:lang w:val="fr-FR"/>
        </w:rPr>
        <w:t> </w:t>
      </w:r>
      <w:r w:rsidRPr="00AB1F22">
        <w:rPr>
          <w:lang w:val="fr-FR"/>
        </w:rPr>
        <w:t>méthode de constitution et l</w:t>
      </w:r>
      <w:r w:rsidR="004F1DFB">
        <w:rPr>
          <w:lang w:val="fr-FR"/>
        </w:rPr>
        <w:t>’</w:t>
      </w:r>
      <w:r w:rsidRPr="00AB1F22">
        <w:rPr>
          <w:lang w:val="fr-FR"/>
        </w:rPr>
        <w:t>électorat du comité de nomination conformément aux exigences de l</w:t>
      </w:r>
      <w:r w:rsidR="004F1DFB">
        <w:rPr>
          <w:lang w:val="fr-FR"/>
        </w:rPr>
        <w:t>’</w:t>
      </w:r>
      <w:r w:rsidRPr="00AB1F22">
        <w:rPr>
          <w:lang w:val="fr-FR"/>
        </w:rPr>
        <w:t>article 45 de la Loi fondamentale, les procédures que le comité de nomination doit suivre pour nommer les candidats à l</w:t>
      </w:r>
      <w:r w:rsidR="004F1DFB">
        <w:rPr>
          <w:lang w:val="fr-FR"/>
        </w:rPr>
        <w:t>’</w:t>
      </w:r>
      <w:r w:rsidRPr="00AB1F22">
        <w:rPr>
          <w:lang w:val="fr-FR"/>
        </w:rPr>
        <w:t>élection du Chef de l</w:t>
      </w:r>
      <w:r w:rsidR="004F1DFB">
        <w:rPr>
          <w:lang w:val="fr-FR"/>
        </w:rPr>
        <w:t>’</w:t>
      </w:r>
      <w:r w:rsidRPr="00AB1F22">
        <w:rPr>
          <w:lang w:val="fr-FR"/>
        </w:rPr>
        <w:t>exécutif</w:t>
      </w:r>
      <w:r>
        <w:rPr>
          <w:lang w:val="fr-FR"/>
        </w:rPr>
        <w:t xml:space="preserve"> ou</w:t>
      </w:r>
      <w:r w:rsidRPr="00AB1F22">
        <w:rPr>
          <w:lang w:val="fr-FR"/>
        </w:rPr>
        <w:t xml:space="preserve"> les modalités de vote pour l</w:t>
      </w:r>
      <w:r w:rsidR="004F1DFB">
        <w:rPr>
          <w:lang w:val="fr-FR"/>
        </w:rPr>
        <w:t>’</w:t>
      </w:r>
      <w:r w:rsidRPr="00AB1F22">
        <w:rPr>
          <w:lang w:val="fr-FR"/>
        </w:rPr>
        <w:t>élection du Chef de l</w:t>
      </w:r>
      <w:r w:rsidR="004F1DFB">
        <w:rPr>
          <w:lang w:val="fr-FR"/>
        </w:rPr>
        <w:t>’</w:t>
      </w:r>
      <w:r w:rsidRPr="00AB1F22">
        <w:rPr>
          <w:lang w:val="fr-FR"/>
        </w:rPr>
        <w:t>exécutif au suffrage universel. S</w:t>
      </w:r>
      <w:r w:rsidR="004F1DFB">
        <w:rPr>
          <w:lang w:val="fr-FR"/>
        </w:rPr>
        <w:t>’</w:t>
      </w:r>
      <w:r w:rsidRPr="00AB1F22">
        <w:rPr>
          <w:lang w:val="fr-FR"/>
        </w:rPr>
        <w:t>agissant du mode de constitution du Conseil législatif en 2016, les principales questions sont notamment le nombre de sièges au Conseil législatif et sa composition, la composition des circonscriptions fonctionnelles et leur électorat et le nombre de circonscriptions géographiques et le nombre de sièges dans chacune d</w:t>
      </w:r>
      <w:r w:rsidR="004F1DFB">
        <w:rPr>
          <w:lang w:val="fr-FR"/>
        </w:rPr>
        <w:t>’</w:t>
      </w:r>
      <w:r>
        <w:rPr>
          <w:lang w:val="fr-FR"/>
        </w:rPr>
        <w:t>elles.</w:t>
      </w:r>
    </w:p>
    <w:p w:rsidR="0024529D" w:rsidRPr="00AB1F22" w:rsidRDefault="0024529D" w:rsidP="0024529D">
      <w:pPr>
        <w:pStyle w:val="SingleTxtG"/>
        <w:rPr>
          <w:lang w:val="fr-FR"/>
        </w:rPr>
      </w:pPr>
      <w:r w:rsidRPr="00AB1F22">
        <w:rPr>
          <w:lang w:val="fr-FR"/>
        </w:rPr>
        <w:t>174.</w:t>
      </w:r>
      <w:r w:rsidRPr="00AB1F22">
        <w:rPr>
          <w:lang w:val="fr-FR"/>
        </w:rPr>
        <w:tab/>
        <w:t>Après une vaste consultation publique qui a duré cinq</w:t>
      </w:r>
      <w:r>
        <w:rPr>
          <w:lang w:val="fr-FR"/>
        </w:rPr>
        <w:t> </w:t>
      </w:r>
      <w:r w:rsidRPr="00AB1F22">
        <w:rPr>
          <w:lang w:val="fr-FR"/>
        </w:rPr>
        <w:t>mois, le Gouvernement a fait la synthèse des opinions exprimées par les divers secteurs de la communauté sur les modes d</w:t>
      </w:r>
      <w:r w:rsidR="004F1DFB">
        <w:rPr>
          <w:lang w:val="fr-FR"/>
        </w:rPr>
        <w:t>’</w:t>
      </w:r>
      <w:r w:rsidRPr="00AB1F22">
        <w:rPr>
          <w:lang w:val="fr-FR"/>
        </w:rPr>
        <w:t>élection du Chef de l</w:t>
      </w:r>
      <w:r w:rsidR="004F1DFB">
        <w:rPr>
          <w:lang w:val="fr-FR"/>
        </w:rPr>
        <w:t>’</w:t>
      </w:r>
      <w:r w:rsidRPr="00AB1F22">
        <w:rPr>
          <w:lang w:val="fr-FR"/>
        </w:rPr>
        <w:t>exécutif et des membres du Conseil législatif, y compris celles contenues dans plus de 120</w:t>
      </w:r>
      <w:r>
        <w:rPr>
          <w:lang w:val="fr-FR"/>
        </w:rPr>
        <w:t> </w:t>
      </w:r>
      <w:r w:rsidRPr="00AB1F22">
        <w:rPr>
          <w:lang w:val="fr-FR"/>
        </w:rPr>
        <w:t>000</w:t>
      </w:r>
      <w:r>
        <w:rPr>
          <w:lang w:val="fr-FR"/>
        </w:rPr>
        <w:t> </w:t>
      </w:r>
      <w:r w:rsidRPr="00AB1F22">
        <w:rPr>
          <w:lang w:val="fr-FR"/>
        </w:rPr>
        <w:t>documents soumis par différents groupes et individus, celles recueillies lors de 226</w:t>
      </w:r>
      <w:r>
        <w:rPr>
          <w:lang w:val="fr-FR"/>
        </w:rPr>
        <w:t> </w:t>
      </w:r>
      <w:r w:rsidRPr="00AB1F22">
        <w:rPr>
          <w:lang w:val="fr-FR"/>
        </w:rPr>
        <w:t>consultations et manifestations de district auxquelles ont participé l</w:t>
      </w:r>
      <w:r w:rsidR="004F1DFB">
        <w:rPr>
          <w:lang w:val="fr-FR"/>
        </w:rPr>
        <w:t>’</w:t>
      </w:r>
      <w:r w:rsidRPr="00AB1F22">
        <w:rPr>
          <w:lang w:val="fr-FR"/>
        </w:rPr>
        <w:t>équipe spéciale et les responsables politiques concernés, et celles recueillies dans le cadre de sondages d</w:t>
      </w:r>
      <w:r w:rsidR="004F1DFB">
        <w:rPr>
          <w:lang w:val="fr-FR"/>
        </w:rPr>
        <w:t>’</w:t>
      </w:r>
      <w:r w:rsidRPr="00AB1F22">
        <w:rPr>
          <w:lang w:val="fr-FR"/>
        </w:rPr>
        <w:t>opinion réalisés par des organismes compétents. Le 15</w:t>
      </w:r>
      <w:r>
        <w:rPr>
          <w:lang w:val="fr-FR"/>
        </w:rPr>
        <w:t> </w:t>
      </w:r>
      <w:r w:rsidRPr="00AB1F22">
        <w:rPr>
          <w:lang w:val="fr-FR"/>
        </w:rPr>
        <w:t>juillet 2014, le Gouvernement a publié le rapport sur la consultation publique concernant le mode de désignation du Chef de l</w:t>
      </w:r>
      <w:r w:rsidR="004F1DFB">
        <w:rPr>
          <w:lang w:val="fr-FR"/>
        </w:rPr>
        <w:t>’</w:t>
      </w:r>
      <w:r w:rsidRPr="00AB1F22">
        <w:rPr>
          <w:lang w:val="fr-FR"/>
        </w:rPr>
        <w:t>exécutif en 2017 et le mode de formation du Conseil législatif en 2016. Le même jour, conformément à l</w:t>
      </w:r>
      <w:r w:rsidR="004F1DFB">
        <w:rPr>
          <w:lang w:val="fr-FR"/>
        </w:rPr>
        <w:t>’</w:t>
      </w:r>
      <w:r w:rsidRPr="00AB1F22">
        <w:rPr>
          <w:lang w:val="fr-FR"/>
        </w:rPr>
        <w:t>interprétation donnée par le Comité permanent de l</w:t>
      </w:r>
      <w:r w:rsidR="004F1DFB">
        <w:rPr>
          <w:lang w:val="fr-FR"/>
        </w:rPr>
        <w:t>’</w:t>
      </w:r>
      <w:r w:rsidRPr="00AB1F22">
        <w:rPr>
          <w:lang w:val="fr-FR"/>
        </w:rPr>
        <w:t>Assemblée nationale populaire en 2004, le Chef de l</w:t>
      </w:r>
      <w:r w:rsidR="004F1DFB">
        <w:rPr>
          <w:lang w:val="fr-FR"/>
        </w:rPr>
        <w:t>’</w:t>
      </w:r>
      <w:r w:rsidRPr="00AB1F22">
        <w:rPr>
          <w:lang w:val="fr-FR"/>
        </w:rPr>
        <w:t>exécutif a soumis son rapport au Comité permanent, l</w:t>
      </w:r>
      <w:r w:rsidR="004F1DFB">
        <w:rPr>
          <w:lang w:val="fr-FR"/>
        </w:rPr>
        <w:t>’</w:t>
      </w:r>
      <w:r w:rsidRPr="00AB1F22">
        <w:rPr>
          <w:lang w:val="fr-FR"/>
        </w:rPr>
        <w:t>invitant à déterminer s</w:t>
      </w:r>
      <w:r w:rsidR="004F1DFB">
        <w:rPr>
          <w:lang w:val="fr-FR"/>
        </w:rPr>
        <w:t>’</w:t>
      </w:r>
      <w:r w:rsidRPr="00AB1F22">
        <w:rPr>
          <w:lang w:val="fr-FR"/>
        </w:rPr>
        <w:t>il était nécessaire de modifier ce mode de désignation du Chef de l</w:t>
      </w:r>
      <w:r w:rsidR="004F1DFB">
        <w:rPr>
          <w:lang w:val="fr-FR"/>
        </w:rPr>
        <w:t>’</w:t>
      </w:r>
      <w:r w:rsidRPr="00AB1F22">
        <w:rPr>
          <w:lang w:val="fr-FR"/>
        </w:rPr>
        <w:t>exécutif et de formation du Conseil législatif. Compte tenu des résultats de la consultation publique, le Chef de l</w:t>
      </w:r>
      <w:r w:rsidR="004F1DFB">
        <w:rPr>
          <w:lang w:val="fr-FR"/>
        </w:rPr>
        <w:t>’</w:t>
      </w:r>
      <w:r w:rsidRPr="00AB1F22">
        <w:rPr>
          <w:lang w:val="fr-FR"/>
        </w:rPr>
        <w:t>exécutif a conclu, d</w:t>
      </w:r>
      <w:r w:rsidR="004F1DFB">
        <w:rPr>
          <w:lang w:val="fr-FR"/>
        </w:rPr>
        <w:t>’</w:t>
      </w:r>
      <w:r w:rsidRPr="00AB1F22">
        <w:rPr>
          <w:lang w:val="fr-FR"/>
        </w:rPr>
        <w:t xml:space="preserve">une </w:t>
      </w:r>
      <w:r>
        <w:rPr>
          <w:lang w:val="fr-FR"/>
        </w:rPr>
        <w:t>part, que la communauté de Hong </w:t>
      </w:r>
      <w:r w:rsidRPr="00AB1F22">
        <w:rPr>
          <w:lang w:val="fr-FR"/>
        </w:rPr>
        <w:t>Kong souhaitait dans l</w:t>
      </w:r>
      <w:r w:rsidR="004F1DFB">
        <w:rPr>
          <w:lang w:val="fr-FR"/>
        </w:rPr>
        <w:t>’</w:t>
      </w:r>
      <w:r w:rsidRPr="00AB1F22">
        <w:rPr>
          <w:lang w:val="fr-FR"/>
        </w:rPr>
        <w:t>ensemble que le Chef de l</w:t>
      </w:r>
      <w:r w:rsidR="004F1DFB">
        <w:rPr>
          <w:lang w:val="fr-FR"/>
        </w:rPr>
        <w:t>’</w:t>
      </w:r>
      <w:r w:rsidRPr="00AB1F22">
        <w:rPr>
          <w:lang w:val="fr-FR"/>
        </w:rPr>
        <w:t>exécutif soit élu au suffrage universel en 2017, ce</w:t>
      </w:r>
      <w:r>
        <w:rPr>
          <w:lang w:val="fr-FR"/>
        </w:rPr>
        <w:t xml:space="preserve"> qui permettrait à plus de cinq </w:t>
      </w:r>
      <w:r w:rsidRPr="00AB1F22">
        <w:rPr>
          <w:lang w:val="fr-FR"/>
        </w:rPr>
        <w:t>millions d</w:t>
      </w:r>
      <w:r w:rsidR="004F1DFB">
        <w:rPr>
          <w:lang w:val="fr-FR"/>
        </w:rPr>
        <w:t>’</w:t>
      </w:r>
      <w:r w:rsidRPr="00AB1F22">
        <w:rPr>
          <w:lang w:val="fr-FR"/>
        </w:rPr>
        <w:t>éle</w:t>
      </w:r>
      <w:r>
        <w:rPr>
          <w:lang w:val="fr-FR"/>
        </w:rPr>
        <w:t>cteurs habilités à voter à Hong </w:t>
      </w:r>
      <w:r w:rsidRPr="00AB1F22">
        <w:rPr>
          <w:lang w:val="fr-FR"/>
        </w:rPr>
        <w:t>Kong d</w:t>
      </w:r>
      <w:r w:rsidR="004F1DFB">
        <w:rPr>
          <w:lang w:val="fr-FR"/>
        </w:rPr>
        <w:t>’</w:t>
      </w:r>
      <w:r w:rsidRPr="00AB1F22">
        <w:rPr>
          <w:lang w:val="fr-FR"/>
        </w:rPr>
        <w:t>élire le prochain Chef de l</w:t>
      </w:r>
      <w:r w:rsidR="004F1DFB">
        <w:rPr>
          <w:lang w:val="fr-FR"/>
        </w:rPr>
        <w:t>’</w:t>
      </w:r>
      <w:r w:rsidRPr="00AB1F22">
        <w:rPr>
          <w:lang w:val="fr-FR"/>
        </w:rPr>
        <w:t xml:space="preserve">exécutif grâce au système </w:t>
      </w:r>
      <w:r>
        <w:rPr>
          <w:lang w:val="fr-FR"/>
        </w:rPr>
        <w:t>« </w:t>
      </w:r>
      <w:r w:rsidRPr="00AB1F22">
        <w:rPr>
          <w:lang w:val="fr-FR"/>
        </w:rPr>
        <w:t>une personne, une voix</w:t>
      </w:r>
      <w:r>
        <w:rPr>
          <w:lang w:val="fr-FR"/>
        </w:rPr>
        <w:t> »</w:t>
      </w:r>
      <w:r w:rsidRPr="00AB1F22">
        <w:rPr>
          <w:lang w:val="fr-FR"/>
        </w:rPr>
        <w:t>, et de franchir une étape importante dans le développement constitutionnel de Hong</w:t>
      </w:r>
      <w:r>
        <w:rPr>
          <w:lang w:val="fr-FR"/>
        </w:rPr>
        <w:t> </w:t>
      </w:r>
      <w:r w:rsidRPr="00AB1F22">
        <w:rPr>
          <w:lang w:val="fr-FR"/>
        </w:rPr>
        <w:t>Kong et, d</w:t>
      </w:r>
      <w:r w:rsidR="004F1DFB">
        <w:rPr>
          <w:lang w:val="fr-FR"/>
        </w:rPr>
        <w:t>’</w:t>
      </w:r>
      <w:r w:rsidRPr="00AB1F22">
        <w:rPr>
          <w:lang w:val="fr-FR"/>
        </w:rPr>
        <w:t>autre part, qu</w:t>
      </w:r>
      <w:r w:rsidR="004F1DFB">
        <w:rPr>
          <w:lang w:val="fr-FR"/>
        </w:rPr>
        <w:t>’</w:t>
      </w:r>
      <w:r w:rsidRPr="00AB1F22">
        <w:rPr>
          <w:lang w:val="fr-FR"/>
        </w:rPr>
        <w:t>il n</w:t>
      </w:r>
      <w:r w:rsidR="004F1DFB">
        <w:rPr>
          <w:lang w:val="fr-FR"/>
        </w:rPr>
        <w:t>’</w:t>
      </w:r>
      <w:r w:rsidRPr="00AB1F22">
        <w:rPr>
          <w:lang w:val="fr-FR"/>
        </w:rPr>
        <w:t>était pas nécessaire de modifier l</w:t>
      </w:r>
      <w:r w:rsidR="004F1DFB">
        <w:rPr>
          <w:lang w:val="fr-FR"/>
        </w:rPr>
        <w:t>’</w:t>
      </w:r>
      <w:r w:rsidRPr="00AB1F22">
        <w:rPr>
          <w:lang w:val="fr-FR"/>
        </w:rPr>
        <w:t>annexe</w:t>
      </w:r>
      <w:r>
        <w:rPr>
          <w:lang w:val="fr-FR"/>
        </w:rPr>
        <w:t> </w:t>
      </w:r>
      <w:r w:rsidRPr="00AB1F22">
        <w:rPr>
          <w:lang w:val="fr-FR"/>
        </w:rPr>
        <w:t xml:space="preserve">II de la Loi fondamentale concernant le mode de formation du Conseil législatif </w:t>
      </w:r>
      <w:r>
        <w:rPr>
          <w:lang w:val="fr-FR"/>
        </w:rPr>
        <w:t>pour</w:t>
      </w:r>
      <w:r w:rsidRPr="00AB1F22">
        <w:rPr>
          <w:lang w:val="fr-FR"/>
        </w:rPr>
        <w:t xml:space="preserve"> 2016. </w:t>
      </w:r>
    </w:p>
    <w:p w:rsidR="0024529D" w:rsidRPr="00AB1F22" w:rsidRDefault="0024529D" w:rsidP="0024529D">
      <w:pPr>
        <w:pStyle w:val="SingleTxtG"/>
        <w:rPr>
          <w:lang w:val="fr-FR"/>
        </w:rPr>
      </w:pPr>
      <w:r w:rsidRPr="00AB1F22">
        <w:rPr>
          <w:lang w:val="fr-FR"/>
        </w:rPr>
        <w:t>175.</w:t>
      </w:r>
      <w:r w:rsidRPr="00AB1F22">
        <w:rPr>
          <w:lang w:val="fr-FR"/>
        </w:rPr>
        <w:tab/>
        <w:t>Après avoir examiné le rapport soumis par le Chef de l</w:t>
      </w:r>
      <w:r w:rsidR="004F1DFB">
        <w:rPr>
          <w:lang w:val="fr-FR"/>
        </w:rPr>
        <w:t>’</w:t>
      </w:r>
      <w:r w:rsidRPr="00AB1F22">
        <w:rPr>
          <w:lang w:val="fr-FR"/>
        </w:rPr>
        <w:t>exécutif et longuement écouté les points de vue et opinions des différents secteurs de la communauté de Hong</w:t>
      </w:r>
      <w:r>
        <w:rPr>
          <w:lang w:val="fr-FR"/>
        </w:rPr>
        <w:t> </w:t>
      </w:r>
      <w:r w:rsidRPr="00AB1F22">
        <w:rPr>
          <w:lang w:val="fr-FR"/>
        </w:rPr>
        <w:t>Kong, le Comité permanent de l</w:t>
      </w:r>
      <w:r w:rsidR="004F1DFB">
        <w:rPr>
          <w:lang w:val="fr-FR"/>
        </w:rPr>
        <w:t>’</w:t>
      </w:r>
      <w:r w:rsidRPr="00AB1F22">
        <w:rPr>
          <w:lang w:val="fr-FR"/>
        </w:rPr>
        <w:t>Assemblée nationale populaire a adopté, le 31 août 2014, la décision relative au mode de désignation du Chef de l</w:t>
      </w:r>
      <w:r w:rsidR="004F1DFB">
        <w:rPr>
          <w:lang w:val="fr-FR"/>
        </w:rPr>
        <w:t>’</w:t>
      </w:r>
      <w:r w:rsidRPr="00AB1F22">
        <w:rPr>
          <w:lang w:val="fr-FR"/>
        </w:rPr>
        <w:t>exécutif de la RAS de Hong</w:t>
      </w:r>
      <w:r>
        <w:rPr>
          <w:lang w:val="fr-FR"/>
        </w:rPr>
        <w:t> </w:t>
      </w:r>
      <w:r w:rsidRPr="00AB1F22">
        <w:rPr>
          <w:lang w:val="fr-FR"/>
        </w:rPr>
        <w:t>Kong au suffrage universel et au mode de formation du Conseil législatif de la RAS de Hong</w:t>
      </w:r>
      <w:r>
        <w:rPr>
          <w:lang w:val="fr-FR"/>
        </w:rPr>
        <w:t> </w:t>
      </w:r>
      <w:r w:rsidRPr="00AB1F22">
        <w:rPr>
          <w:lang w:val="fr-FR"/>
        </w:rPr>
        <w:t>Kong en 2016 (la décision 8.31). La décision de 8.31 a été prise conformément à la Loi fondamentale et à l</w:t>
      </w:r>
      <w:r w:rsidR="004F1DFB">
        <w:rPr>
          <w:lang w:val="fr-FR"/>
        </w:rPr>
        <w:t>’</w:t>
      </w:r>
      <w:r w:rsidRPr="00AB1F22">
        <w:rPr>
          <w:lang w:val="fr-FR"/>
        </w:rPr>
        <w:t>interprétation donnée par le Comité permanent de l</w:t>
      </w:r>
      <w:r w:rsidR="004F1DFB">
        <w:rPr>
          <w:lang w:val="fr-FR"/>
        </w:rPr>
        <w:t>’</w:t>
      </w:r>
      <w:r w:rsidRPr="00AB1F22">
        <w:rPr>
          <w:lang w:val="fr-FR"/>
        </w:rPr>
        <w:t>Assemblée nationale populaire en 2004, et compte tenu du rôle spécifique des autorités centrales dans le développement co</w:t>
      </w:r>
      <w:r>
        <w:rPr>
          <w:lang w:val="fr-FR"/>
        </w:rPr>
        <w:t>nstitutionnel de la RAS de Hong </w:t>
      </w:r>
      <w:r w:rsidRPr="00AB1F22">
        <w:rPr>
          <w:lang w:val="fr-FR"/>
        </w:rPr>
        <w:t>Kong. Elle a officialisé le fait qu</w:t>
      </w:r>
      <w:r w:rsidR="004F1DFB">
        <w:rPr>
          <w:lang w:val="fr-FR"/>
        </w:rPr>
        <w:t>’</w:t>
      </w:r>
      <w:r w:rsidRPr="00AB1F22">
        <w:rPr>
          <w:lang w:val="fr-FR"/>
        </w:rPr>
        <w:t>à partir de 2017, le Chef de l</w:t>
      </w:r>
      <w:r w:rsidR="004F1DFB">
        <w:rPr>
          <w:lang w:val="fr-FR"/>
        </w:rPr>
        <w:t>’</w:t>
      </w:r>
      <w:r w:rsidRPr="00AB1F22">
        <w:rPr>
          <w:lang w:val="fr-FR"/>
        </w:rPr>
        <w:t>exécutif pouvait être élu au suffrage universel. Elle a également défini un cadre clair pour le mode spécifique de désignation du Chef de l</w:t>
      </w:r>
      <w:r w:rsidR="004F1DFB">
        <w:rPr>
          <w:lang w:val="fr-FR"/>
        </w:rPr>
        <w:t>’</w:t>
      </w:r>
      <w:r w:rsidRPr="00AB1F22">
        <w:rPr>
          <w:lang w:val="fr-FR"/>
        </w:rPr>
        <w:t>exécutif au suffrage universel. Concernant le Conseil législatif élu en 2016, il n</w:t>
      </w:r>
      <w:r w:rsidR="004F1DFB">
        <w:rPr>
          <w:lang w:val="fr-FR"/>
        </w:rPr>
        <w:t>’</w:t>
      </w:r>
      <w:r>
        <w:rPr>
          <w:lang w:val="fr-FR"/>
        </w:rPr>
        <w:t>était</w:t>
      </w:r>
      <w:r w:rsidRPr="00AB1F22">
        <w:rPr>
          <w:lang w:val="fr-FR"/>
        </w:rPr>
        <w:t xml:space="preserve"> pas nécessaire de modifier le mode de formation en vigueur ni les procédures de vote prévues à l</w:t>
      </w:r>
      <w:r w:rsidR="004F1DFB">
        <w:rPr>
          <w:lang w:val="fr-FR"/>
        </w:rPr>
        <w:t>’</w:t>
      </w:r>
      <w:r w:rsidRPr="00AB1F22">
        <w:rPr>
          <w:lang w:val="fr-FR"/>
        </w:rPr>
        <w:t>annexe</w:t>
      </w:r>
      <w:r>
        <w:rPr>
          <w:lang w:val="fr-FR"/>
        </w:rPr>
        <w:t> </w:t>
      </w:r>
      <w:r w:rsidRPr="00AB1F22">
        <w:rPr>
          <w:lang w:val="fr-FR"/>
        </w:rPr>
        <w:t>II de la Loi fond</w:t>
      </w:r>
      <w:r>
        <w:rPr>
          <w:lang w:val="fr-FR"/>
        </w:rPr>
        <w:t>amentale.</w:t>
      </w:r>
    </w:p>
    <w:p w:rsidR="0024529D" w:rsidRPr="00AB1F22" w:rsidRDefault="0024529D" w:rsidP="0024529D">
      <w:pPr>
        <w:pStyle w:val="SingleTxtG"/>
        <w:rPr>
          <w:lang w:val="fr-FR"/>
        </w:rPr>
      </w:pPr>
      <w:r w:rsidRPr="00AB1F22">
        <w:rPr>
          <w:lang w:val="fr-FR"/>
        </w:rPr>
        <w:t>176.</w:t>
      </w:r>
      <w:r w:rsidRPr="00AB1F22">
        <w:rPr>
          <w:lang w:val="fr-FR"/>
        </w:rPr>
        <w:tab/>
        <w:t>Lorsqu</w:t>
      </w:r>
      <w:r w:rsidR="004F1DFB">
        <w:rPr>
          <w:lang w:val="fr-FR"/>
        </w:rPr>
        <w:t>’</w:t>
      </w:r>
      <w:r w:rsidRPr="00AB1F22">
        <w:rPr>
          <w:lang w:val="fr-FR"/>
        </w:rPr>
        <w:t>il s</w:t>
      </w:r>
      <w:r w:rsidR="004F1DFB">
        <w:rPr>
          <w:lang w:val="fr-FR"/>
        </w:rPr>
        <w:t>’</w:t>
      </w:r>
      <w:r w:rsidRPr="00AB1F22">
        <w:rPr>
          <w:lang w:val="fr-FR"/>
        </w:rPr>
        <w:t>agit de concevoir un modèle spécifique pour la mise en œuvre du suffrage universel, il faut intégrer le fait que le système électoral de chaque pays ou juridiction a été conçu en tenant compte de son histoire, de son système constitutionnel et de sa situation concrète. Lorsque l</w:t>
      </w:r>
      <w:r w:rsidR="004F1DFB">
        <w:rPr>
          <w:lang w:val="fr-FR"/>
        </w:rPr>
        <w:t>’</w:t>
      </w:r>
      <w:r w:rsidRPr="00AB1F22">
        <w:rPr>
          <w:lang w:val="fr-FR"/>
        </w:rPr>
        <w:t>on réfléchit à la possibilité d</w:t>
      </w:r>
      <w:r w:rsidR="004F1DFB">
        <w:rPr>
          <w:lang w:val="fr-FR"/>
        </w:rPr>
        <w:t>’</w:t>
      </w:r>
      <w:r w:rsidRPr="00AB1F22">
        <w:rPr>
          <w:lang w:val="fr-FR"/>
        </w:rPr>
        <w:t>élire le Chef de l</w:t>
      </w:r>
      <w:r w:rsidR="004F1DFB">
        <w:rPr>
          <w:lang w:val="fr-FR"/>
        </w:rPr>
        <w:t>’</w:t>
      </w:r>
      <w:r w:rsidRPr="00AB1F22">
        <w:rPr>
          <w:lang w:val="fr-FR"/>
        </w:rPr>
        <w:t>exécutif au suffrage universel, il faut respecter scrupuleusement la Loi fondamentale et les interprétations et décisions pertinentes du Comité permanent de l</w:t>
      </w:r>
      <w:r w:rsidR="004F1DFB">
        <w:rPr>
          <w:lang w:val="fr-FR"/>
        </w:rPr>
        <w:t>’</w:t>
      </w:r>
      <w:r w:rsidRPr="00AB1F22">
        <w:rPr>
          <w:lang w:val="fr-FR"/>
        </w:rPr>
        <w:t xml:space="preserve">Assemblée nationale populaire et le mode de désignation choisi doit être conforme au principe </w:t>
      </w:r>
      <w:r>
        <w:rPr>
          <w:lang w:val="fr-FR"/>
        </w:rPr>
        <w:t>« </w:t>
      </w:r>
      <w:r w:rsidRPr="00AB1F22">
        <w:rPr>
          <w:lang w:val="fr-FR"/>
        </w:rPr>
        <w:t>un pays, deux systèmes</w:t>
      </w:r>
      <w:r>
        <w:rPr>
          <w:lang w:val="fr-FR"/>
        </w:rPr>
        <w:t> »</w:t>
      </w:r>
      <w:r w:rsidRPr="00AB1F22">
        <w:rPr>
          <w:lang w:val="fr-FR"/>
        </w:rPr>
        <w:t xml:space="preserve"> et à la ligne d</w:t>
      </w:r>
      <w:r w:rsidR="004F1DFB">
        <w:rPr>
          <w:lang w:val="fr-FR"/>
        </w:rPr>
        <w:t>’</w:t>
      </w:r>
      <w:r w:rsidRPr="00AB1F22">
        <w:rPr>
          <w:lang w:val="fr-FR"/>
        </w:rPr>
        <w:t>action de la République populaire de Chine concernant Hong</w:t>
      </w:r>
      <w:r>
        <w:rPr>
          <w:lang w:val="fr-FR"/>
        </w:rPr>
        <w:t> </w:t>
      </w:r>
      <w:r w:rsidRPr="00AB1F22">
        <w:rPr>
          <w:lang w:val="fr-FR"/>
        </w:rPr>
        <w:t xml:space="preserve">Kong. </w:t>
      </w:r>
    </w:p>
    <w:p w:rsidR="0024529D" w:rsidRPr="00AB1F22" w:rsidRDefault="0024529D" w:rsidP="0024529D">
      <w:pPr>
        <w:pStyle w:val="SingleTxtG"/>
        <w:rPr>
          <w:lang w:val="fr-FR"/>
        </w:rPr>
      </w:pPr>
      <w:r>
        <w:rPr>
          <w:lang w:val="fr-FR"/>
        </w:rPr>
        <w:t>177.</w:t>
      </w:r>
      <w:r>
        <w:rPr>
          <w:lang w:val="fr-FR"/>
        </w:rPr>
        <w:tab/>
        <w:t>Le 7 </w:t>
      </w:r>
      <w:r w:rsidRPr="00AB1F22">
        <w:rPr>
          <w:lang w:val="fr-FR"/>
        </w:rPr>
        <w:t>janvier 2015, en se fondant sur la Loi fondamentale et la décision</w:t>
      </w:r>
      <w:r>
        <w:rPr>
          <w:lang w:val="fr-FR"/>
        </w:rPr>
        <w:t> </w:t>
      </w:r>
      <w:r w:rsidRPr="00AB1F22">
        <w:rPr>
          <w:lang w:val="fr-FR"/>
        </w:rPr>
        <w:t>8.31, le Gouvernement a publié le document de consultation sur le mode de désignation du Chef de l</w:t>
      </w:r>
      <w:r w:rsidR="004F1DFB">
        <w:rPr>
          <w:lang w:val="fr-FR"/>
        </w:rPr>
        <w:t>’</w:t>
      </w:r>
      <w:r w:rsidRPr="00AB1F22">
        <w:rPr>
          <w:lang w:val="fr-FR"/>
        </w:rPr>
        <w:t>exécutif au suffrage universel et a lancé un</w:t>
      </w:r>
      <w:r>
        <w:rPr>
          <w:lang w:val="fr-FR"/>
        </w:rPr>
        <w:t>e consultation publique de deux mois sur cette question. Le 22 </w:t>
      </w:r>
      <w:r w:rsidRPr="00AB1F22">
        <w:rPr>
          <w:lang w:val="fr-FR"/>
        </w:rPr>
        <w:t>avril 2015, le Gouvernement a publié le rapport de consultation et les propositions relatives au mode de désignation du Chef de l</w:t>
      </w:r>
      <w:r w:rsidR="004F1DFB">
        <w:rPr>
          <w:lang w:val="fr-FR"/>
        </w:rPr>
        <w:t>’</w:t>
      </w:r>
      <w:r w:rsidRPr="00AB1F22">
        <w:rPr>
          <w:lang w:val="fr-FR"/>
        </w:rPr>
        <w:t xml:space="preserve">exécutif au suffrage universel, dans lequel il </w:t>
      </w:r>
      <w:r>
        <w:rPr>
          <w:lang w:val="fr-FR"/>
        </w:rPr>
        <w:t>présente</w:t>
      </w:r>
      <w:r w:rsidRPr="00AB1F22">
        <w:rPr>
          <w:lang w:val="fr-FR"/>
        </w:rPr>
        <w:t xml:space="preserve"> une synthèse des avis reçus et un ensemble de propositions raisonnables et rationnelles conformes à la Constitution et aux lois. Les principales propositions présentées par le Gouvernement sont les suivantes : </w:t>
      </w:r>
    </w:p>
    <w:p w:rsidR="0024529D" w:rsidRPr="00AB1F22" w:rsidRDefault="0024529D" w:rsidP="004F1DFB">
      <w:pPr>
        <w:pStyle w:val="SingleTxtG"/>
        <w:ind w:firstLine="567"/>
        <w:rPr>
          <w:lang w:val="fr-FR"/>
        </w:rPr>
      </w:pPr>
      <w:r w:rsidRPr="00AB1F22">
        <w:rPr>
          <w:lang w:val="fr-FR"/>
        </w:rPr>
        <w:t>a)</w:t>
      </w:r>
      <w:r w:rsidRPr="00AB1F22">
        <w:rPr>
          <w:lang w:val="fr-FR"/>
        </w:rPr>
        <w:tab/>
        <w:t>Le comité de nomination comprend 1</w:t>
      </w:r>
      <w:r>
        <w:rPr>
          <w:lang w:val="fr-FR"/>
        </w:rPr>
        <w:t> </w:t>
      </w:r>
      <w:r w:rsidRPr="00AB1F22">
        <w:rPr>
          <w:lang w:val="fr-FR"/>
        </w:rPr>
        <w:t>200</w:t>
      </w:r>
      <w:r>
        <w:rPr>
          <w:lang w:val="fr-FR"/>
        </w:rPr>
        <w:t> </w:t>
      </w:r>
      <w:r w:rsidRPr="00AB1F22">
        <w:rPr>
          <w:lang w:val="fr-FR"/>
        </w:rPr>
        <w:t>membres et sa composition respecte les 38</w:t>
      </w:r>
      <w:r>
        <w:rPr>
          <w:lang w:val="fr-FR"/>
        </w:rPr>
        <w:t> </w:t>
      </w:r>
      <w:r w:rsidRPr="00AB1F22">
        <w:rPr>
          <w:lang w:val="fr-FR"/>
        </w:rPr>
        <w:t>sous</w:t>
      </w:r>
      <w:r>
        <w:rPr>
          <w:lang w:val="fr-FR"/>
        </w:rPr>
        <w:noBreakHyphen/>
      </w:r>
      <w:r w:rsidRPr="00AB1F22">
        <w:rPr>
          <w:lang w:val="fr-FR"/>
        </w:rPr>
        <w:t>secteurs des quatre grands secteurs de la commission électorale en place</w:t>
      </w:r>
      <w:r>
        <w:rPr>
          <w:lang w:val="fr-FR"/>
        </w:rPr>
        <w:t> ;</w:t>
      </w:r>
      <w:r w:rsidRPr="00AB1F22">
        <w:rPr>
          <w:lang w:val="fr-FR"/>
        </w:rPr>
        <w:t xml:space="preserve"> le mode d</w:t>
      </w:r>
      <w:r w:rsidR="004F1DFB">
        <w:rPr>
          <w:lang w:val="fr-FR"/>
        </w:rPr>
        <w:t>’</w:t>
      </w:r>
      <w:r w:rsidRPr="00AB1F22">
        <w:rPr>
          <w:lang w:val="fr-FR"/>
        </w:rPr>
        <w:t>élection des membres des 38</w:t>
      </w:r>
      <w:r>
        <w:rPr>
          <w:lang w:val="fr-FR"/>
        </w:rPr>
        <w:t> </w:t>
      </w:r>
      <w:r w:rsidRPr="00AB1F22">
        <w:rPr>
          <w:lang w:val="fr-FR"/>
        </w:rPr>
        <w:t>sous</w:t>
      </w:r>
      <w:r>
        <w:rPr>
          <w:lang w:val="fr-FR"/>
        </w:rPr>
        <w:noBreakHyphen/>
      </w:r>
      <w:r w:rsidRPr="00AB1F22">
        <w:rPr>
          <w:lang w:val="fr-FR"/>
        </w:rPr>
        <w:t>secteurs et l</w:t>
      </w:r>
      <w:r w:rsidR="004F1DFB">
        <w:rPr>
          <w:lang w:val="fr-FR"/>
        </w:rPr>
        <w:t>’</w:t>
      </w:r>
      <w:r w:rsidRPr="00AB1F22">
        <w:rPr>
          <w:lang w:val="fr-FR"/>
        </w:rPr>
        <w:t>électorat de chaque sous</w:t>
      </w:r>
      <w:r>
        <w:rPr>
          <w:lang w:val="fr-FR"/>
        </w:rPr>
        <w:noBreakHyphen/>
        <w:t>secteur restent inchangés ;</w:t>
      </w:r>
    </w:p>
    <w:p w:rsidR="00332FF5" w:rsidRDefault="0024529D" w:rsidP="004F1DFB">
      <w:pPr>
        <w:pStyle w:val="SingleTxtG"/>
        <w:ind w:firstLine="567"/>
        <w:rPr>
          <w:lang w:val="fr-FR"/>
        </w:rPr>
      </w:pPr>
      <w:r w:rsidRPr="00AB1F22">
        <w:rPr>
          <w:lang w:val="fr-FR"/>
        </w:rPr>
        <w:t>b)</w:t>
      </w:r>
      <w:r w:rsidRPr="00AB1F22">
        <w:rPr>
          <w:lang w:val="fr-FR"/>
        </w:rPr>
        <w:tab/>
        <w:t>Les procédures de nomination comprennent deux étapes, à savoir la recommandation des membres et la nomination par le comité. Une personne recommandée conjointement par 120</w:t>
      </w:r>
      <w:r>
        <w:rPr>
          <w:lang w:val="fr-FR"/>
        </w:rPr>
        <w:t> </w:t>
      </w:r>
      <w:r w:rsidRPr="00AB1F22">
        <w:rPr>
          <w:lang w:val="fr-FR"/>
        </w:rPr>
        <w:t>membres du comité de nomination agissant à titre individuel peut se porter candidat à l</w:t>
      </w:r>
      <w:r w:rsidR="004F1DFB">
        <w:rPr>
          <w:lang w:val="fr-FR"/>
        </w:rPr>
        <w:t>’</w:t>
      </w:r>
      <w:r w:rsidRPr="00AB1F22">
        <w:rPr>
          <w:lang w:val="fr-FR"/>
        </w:rPr>
        <w:t>élection du Chef de l</w:t>
      </w:r>
      <w:r w:rsidR="004F1DFB">
        <w:rPr>
          <w:lang w:val="fr-FR"/>
        </w:rPr>
        <w:t>’</w:t>
      </w:r>
      <w:r w:rsidRPr="00AB1F22">
        <w:rPr>
          <w:lang w:val="fr-FR"/>
        </w:rPr>
        <w:t>exécutif ; chaque membre du comité de nomination ne peut recommander qu</w:t>
      </w:r>
      <w:r w:rsidR="004F1DFB">
        <w:rPr>
          <w:lang w:val="fr-FR"/>
        </w:rPr>
        <w:t>’</w:t>
      </w:r>
      <w:r w:rsidRPr="00AB1F22">
        <w:rPr>
          <w:lang w:val="fr-FR"/>
        </w:rPr>
        <w:t>une seule personne ; chaque personne souhaitant se porter candidat doit obtenir 240</w:t>
      </w:r>
      <w:r>
        <w:rPr>
          <w:lang w:val="fr-FR"/>
        </w:rPr>
        <w:t> </w:t>
      </w:r>
      <w:r w:rsidRPr="00AB1F22">
        <w:rPr>
          <w:lang w:val="fr-FR"/>
        </w:rPr>
        <w:t xml:space="preserve">recommandations au maximum ; </w:t>
      </w:r>
    </w:p>
    <w:p w:rsidR="0024529D" w:rsidRPr="00AB1F22" w:rsidRDefault="0024529D" w:rsidP="004F1DFB">
      <w:pPr>
        <w:pStyle w:val="SingleTxtG"/>
        <w:ind w:firstLine="567"/>
        <w:rPr>
          <w:lang w:val="fr-FR"/>
        </w:rPr>
      </w:pPr>
      <w:r w:rsidRPr="00AB1F22">
        <w:rPr>
          <w:lang w:val="fr-FR"/>
        </w:rPr>
        <w:t>c)</w:t>
      </w:r>
      <w:r w:rsidRPr="00AB1F22">
        <w:rPr>
          <w:lang w:val="fr-FR"/>
        </w:rPr>
        <w:tab/>
        <w:t>Au stade de la nomination par le comité, le comité de nomination désigne deux à trois candidats à l</w:t>
      </w:r>
      <w:r w:rsidR="004F1DFB">
        <w:rPr>
          <w:lang w:val="fr-FR"/>
        </w:rPr>
        <w:t>’</w:t>
      </w:r>
      <w:r w:rsidRPr="00AB1F22">
        <w:rPr>
          <w:lang w:val="fr-FR"/>
        </w:rPr>
        <w:t>élection du Chef de l</w:t>
      </w:r>
      <w:r w:rsidR="004F1DFB">
        <w:rPr>
          <w:lang w:val="fr-FR"/>
        </w:rPr>
        <w:t>’</w:t>
      </w:r>
      <w:r w:rsidRPr="00AB1F22">
        <w:rPr>
          <w:lang w:val="fr-FR"/>
        </w:rPr>
        <w:t>exécutif par un vote à bulletin secret. Chaque membre du comité de nomination peut soutenir au moins deux candidats. Les deux ou trois personnes qui peuvent obtenir l</w:t>
      </w:r>
      <w:r w:rsidR="004F1DFB">
        <w:rPr>
          <w:lang w:val="fr-FR"/>
        </w:rPr>
        <w:t>’</w:t>
      </w:r>
      <w:r w:rsidRPr="00AB1F22">
        <w:rPr>
          <w:lang w:val="fr-FR"/>
        </w:rPr>
        <w:t>appui de plus de la moitié des membres du comité de nomination et qui ont le plus grand nombre d</w:t>
      </w:r>
      <w:r w:rsidR="004F1DFB">
        <w:rPr>
          <w:lang w:val="fr-FR"/>
        </w:rPr>
        <w:t>’</w:t>
      </w:r>
      <w:r w:rsidRPr="00AB1F22">
        <w:rPr>
          <w:lang w:val="fr-FR"/>
        </w:rPr>
        <w:t xml:space="preserve">appuis deviendront candidats ; et </w:t>
      </w:r>
    </w:p>
    <w:p w:rsidR="0024529D" w:rsidRPr="00AB1F22" w:rsidRDefault="0024529D" w:rsidP="004F1DFB">
      <w:pPr>
        <w:pStyle w:val="SingleTxtG"/>
        <w:ind w:firstLine="567"/>
        <w:rPr>
          <w:lang w:val="fr-FR"/>
        </w:rPr>
      </w:pPr>
      <w:r w:rsidRPr="00AB1F22">
        <w:rPr>
          <w:lang w:val="fr-FR"/>
        </w:rPr>
        <w:t>d)</w:t>
      </w:r>
      <w:r w:rsidRPr="00AB1F22">
        <w:rPr>
          <w:lang w:val="fr-FR"/>
        </w:rPr>
        <w:tab/>
        <w:t>Pour ce qui est de l</w:t>
      </w:r>
      <w:r w:rsidR="004F1DFB">
        <w:rPr>
          <w:lang w:val="fr-FR"/>
        </w:rPr>
        <w:t>’</w:t>
      </w:r>
      <w:r w:rsidRPr="00AB1F22">
        <w:rPr>
          <w:lang w:val="fr-FR"/>
        </w:rPr>
        <w:t>élection du Chef de l</w:t>
      </w:r>
      <w:r w:rsidR="004F1DFB">
        <w:rPr>
          <w:lang w:val="fr-FR"/>
        </w:rPr>
        <w:t>’</w:t>
      </w:r>
      <w:r w:rsidRPr="00AB1F22">
        <w:rPr>
          <w:lang w:val="fr-FR"/>
        </w:rPr>
        <w:t>exécutif au suffrage universel, tous les électeurs habilités à voter à Hong</w:t>
      </w:r>
      <w:r>
        <w:rPr>
          <w:lang w:val="fr-FR"/>
        </w:rPr>
        <w:t> </w:t>
      </w:r>
      <w:r w:rsidRPr="00AB1F22">
        <w:rPr>
          <w:lang w:val="fr-FR"/>
        </w:rPr>
        <w:t>Kong éliront le Chef de l</w:t>
      </w:r>
      <w:r w:rsidR="004F1DFB">
        <w:rPr>
          <w:lang w:val="fr-FR"/>
        </w:rPr>
        <w:t>’</w:t>
      </w:r>
      <w:r w:rsidRPr="00AB1F22">
        <w:rPr>
          <w:lang w:val="fr-FR"/>
        </w:rPr>
        <w:t xml:space="preserve">exécutif parmi les deux ou trois candidats désignés par le comité de nomination dans un scrutin majoritaire à un tour. </w:t>
      </w:r>
    </w:p>
    <w:p w:rsidR="0024529D" w:rsidRPr="00AB1F22" w:rsidRDefault="0024529D" w:rsidP="0024529D">
      <w:pPr>
        <w:pStyle w:val="SingleTxtG"/>
        <w:rPr>
          <w:lang w:val="fr-FR"/>
        </w:rPr>
      </w:pPr>
      <w:r w:rsidRPr="00AB1F22">
        <w:rPr>
          <w:lang w:val="fr-FR"/>
        </w:rPr>
        <w:t>178.</w:t>
      </w:r>
      <w:r w:rsidRPr="00AB1F22">
        <w:rPr>
          <w:lang w:val="fr-FR"/>
        </w:rPr>
        <w:tab/>
        <w:t>Le Gouvernement ne partage pas les préoccupations soulevées par certains commentateurs selon lesquelles ces propositions permettraient d</w:t>
      </w:r>
      <w:r w:rsidR="004F1DFB">
        <w:rPr>
          <w:lang w:val="fr-FR"/>
        </w:rPr>
        <w:t>’</w:t>
      </w:r>
      <w:r w:rsidRPr="00AB1F22">
        <w:rPr>
          <w:lang w:val="fr-FR"/>
        </w:rPr>
        <w:t xml:space="preserve">écarter certains candidats. En fait, si la proposition était mise en œuvre, tous les électeurs habilités à voter </w:t>
      </w:r>
      <w:r>
        <w:rPr>
          <w:lang w:val="fr-FR"/>
        </w:rPr>
        <w:t>à</w:t>
      </w:r>
      <w:r w:rsidRPr="00AB1F22">
        <w:rPr>
          <w:lang w:val="fr-FR"/>
        </w:rPr>
        <w:t xml:space="preserve"> Hong</w:t>
      </w:r>
      <w:r>
        <w:rPr>
          <w:lang w:val="fr-FR"/>
        </w:rPr>
        <w:t> </w:t>
      </w:r>
      <w:r w:rsidRPr="00AB1F22">
        <w:rPr>
          <w:lang w:val="fr-FR"/>
        </w:rPr>
        <w:t>Kong auraient le droit de voter pour les candidats désignés au poste de Chef de l</w:t>
      </w:r>
      <w:r w:rsidR="004F1DFB">
        <w:rPr>
          <w:lang w:val="fr-FR"/>
        </w:rPr>
        <w:t>’</w:t>
      </w:r>
      <w:r w:rsidRPr="00AB1F22">
        <w:rPr>
          <w:lang w:val="fr-FR"/>
        </w:rPr>
        <w:t xml:space="preserve">exécutif sur la base du principe </w:t>
      </w:r>
      <w:r>
        <w:rPr>
          <w:lang w:val="fr-FR"/>
        </w:rPr>
        <w:t>« </w:t>
      </w:r>
      <w:r w:rsidRPr="00AB1F22">
        <w:rPr>
          <w:lang w:val="fr-FR"/>
        </w:rPr>
        <w:t>une personne, une voix</w:t>
      </w:r>
      <w:r>
        <w:rPr>
          <w:lang w:val="fr-FR"/>
        </w:rPr>
        <w:t xml:space="preserve"> », </w:t>
      </w:r>
      <w:r w:rsidRPr="00AB1F22">
        <w:rPr>
          <w:lang w:val="fr-FR"/>
        </w:rPr>
        <w:t xml:space="preserve">et le droit de vote serait universel et égal. </w:t>
      </w:r>
    </w:p>
    <w:p w:rsidR="0024529D" w:rsidRPr="00AB1F22" w:rsidRDefault="0024529D" w:rsidP="0024529D">
      <w:pPr>
        <w:pStyle w:val="SingleTxtG"/>
        <w:rPr>
          <w:lang w:val="fr-FR"/>
        </w:rPr>
      </w:pPr>
      <w:r w:rsidRPr="00AB1F22">
        <w:rPr>
          <w:lang w:val="fr-FR"/>
        </w:rPr>
        <w:t>179.</w:t>
      </w:r>
      <w:r w:rsidRPr="00AB1F22">
        <w:rPr>
          <w:lang w:val="fr-FR"/>
        </w:rPr>
        <w:tab/>
        <w:t>Au cours de la consultation publique, certains citoyens et certains membres du Conseil législatif ont défendu d</w:t>
      </w:r>
      <w:r w:rsidR="004F1DFB">
        <w:rPr>
          <w:lang w:val="fr-FR"/>
        </w:rPr>
        <w:t>’</w:t>
      </w:r>
      <w:r w:rsidRPr="00AB1F22">
        <w:rPr>
          <w:lang w:val="fr-FR"/>
        </w:rPr>
        <w:t xml:space="preserve">autres propositions, telles que la </w:t>
      </w:r>
      <w:r>
        <w:rPr>
          <w:lang w:val="fr-FR"/>
        </w:rPr>
        <w:t>« </w:t>
      </w:r>
      <w:r w:rsidRPr="00AB1F22">
        <w:rPr>
          <w:lang w:val="fr-FR"/>
        </w:rPr>
        <w:t>nomination civique</w:t>
      </w:r>
      <w:r>
        <w:rPr>
          <w:lang w:val="fr-FR"/>
        </w:rPr>
        <w:t> »</w:t>
      </w:r>
      <w:r w:rsidRPr="00AB1F22">
        <w:rPr>
          <w:lang w:val="fr-FR"/>
        </w:rPr>
        <w:t>, qui contourneraient ou affaibliraient de facto le pouvoir concret du comité de nomination de désigner des candidats. En réponse, le Gouvernement a déclaré à plusieurs reprises que ces propositions étaient incompatibles avec la Loi fondamentale, qui prévoit expressément que l</w:t>
      </w:r>
      <w:r w:rsidR="004F1DFB">
        <w:rPr>
          <w:lang w:val="fr-FR"/>
        </w:rPr>
        <w:t>’</w:t>
      </w:r>
      <w:r w:rsidRPr="00AB1F22">
        <w:rPr>
          <w:lang w:val="fr-FR"/>
        </w:rPr>
        <w:t>objectif ultime est que le Chef de l</w:t>
      </w:r>
      <w:r w:rsidR="004F1DFB">
        <w:rPr>
          <w:lang w:val="fr-FR"/>
        </w:rPr>
        <w:t>’</w:t>
      </w:r>
      <w:r w:rsidRPr="00AB1F22">
        <w:rPr>
          <w:lang w:val="fr-FR"/>
        </w:rPr>
        <w:t xml:space="preserve">exécutif soit désigné au suffrage universel après sélection par un comité de nomination largement représentatif, en accord avec les procédures démocratiques. Par conséquent, il aurait été inconstitutionnel, et donc impossible, de mettre en œuvre de telles propositions. </w:t>
      </w:r>
    </w:p>
    <w:p w:rsidR="0024529D" w:rsidRPr="00AB1F22" w:rsidRDefault="0024529D" w:rsidP="0024529D">
      <w:pPr>
        <w:pStyle w:val="SingleTxtG"/>
        <w:rPr>
          <w:lang w:val="fr-FR"/>
        </w:rPr>
      </w:pPr>
      <w:r w:rsidRPr="00AB1F22">
        <w:rPr>
          <w:lang w:val="fr-FR"/>
        </w:rPr>
        <w:t>180.</w:t>
      </w:r>
      <w:r w:rsidRPr="00AB1F22">
        <w:rPr>
          <w:lang w:val="fr-FR"/>
        </w:rPr>
        <w:tab/>
        <w:t>Malgré les résultats des sondages d</w:t>
      </w:r>
      <w:r w:rsidR="004F1DFB">
        <w:rPr>
          <w:lang w:val="fr-FR"/>
        </w:rPr>
        <w:t>’</w:t>
      </w:r>
      <w:r w:rsidRPr="00AB1F22">
        <w:rPr>
          <w:lang w:val="fr-FR"/>
        </w:rPr>
        <w:t>opinion réalisés par différents organismes, d</w:t>
      </w:r>
      <w:r w:rsidR="004F1DFB">
        <w:rPr>
          <w:lang w:val="fr-FR"/>
        </w:rPr>
        <w:t>’</w:t>
      </w:r>
      <w:r w:rsidRPr="00AB1F22">
        <w:rPr>
          <w:lang w:val="fr-FR"/>
        </w:rPr>
        <w:t>après lesquels une majorité de la population était favorable et non opposée aux propositions présentées par le Gouvernement, ces propositions n</w:t>
      </w:r>
      <w:r w:rsidR="004F1DFB">
        <w:rPr>
          <w:lang w:val="fr-FR"/>
        </w:rPr>
        <w:t>’</w:t>
      </w:r>
      <w:r w:rsidRPr="00AB1F22">
        <w:rPr>
          <w:lang w:val="fr-FR"/>
        </w:rPr>
        <w:t>ont pas obtenu l</w:t>
      </w:r>
      <w:r w:rsidR="004F1DFB">
        <w:rPr>
          <w:lang w:val="fr-FR"/>
        </w:rPr>
        <w:t>’</w:t>
      </w:r>
      <w:r w:rsidRPr="00AB1F22">
        <w:rPr>
          <w:lang w:val="fr-FR"/>
        </w:rPr>
        <w:t>approbation des deux tiers de tous les membres du Conseil législatif</w:t>
      </w:r>
      <w:r w:rsidRPr="0049708D">
        <w:rPr>
          <w:lang w:val="fr-FR"/>
        </w:rPr>
        <w:t xml:space="preserve"> </w:t>
      </w:r>
      <w:r w:rsidRPr="00AB1F22">
        <w:rPr>
          <w:lang w:val="fr-FR"/>
        </w:rPr>
        <w:t>à sa réunion du 18 juin 2015, comme le prévoit l</w:t>
      </w:r>
      <w:r w:rsidR="004F1DFB">
        <w:rPr>
          <w:lang w:val="fr-FR"/>
        </w:rPr>
        <w:t>’</w:t>
      </w:r>
      <w:r w:rsidRPr="00AB1F22">
        <w:rPr>
          <w:lang w:val="fr-FR"/>
        </w:rPr>
        <w:t>annexe</w:t>
      </w:r>
      <w:r>
        <w:rPr>
          <w:lang w:val="fr-FR"/>
        </w:rPr>
        <w:t> </w:t>
      </w:r>
      <w:r w:rsidRPr="00AB1F22">
        <w:rPr>
          <w:lang w:val="fr-FR"/>
        </w:rPr>
        <w:t>I de la Loi fondamentale. Par conséqu</w:t>
      </w:r>
      <w:r>
        <w:rPr>
          <w:lang w:val="fr-FR"/>
        </w:rPr>
        <w:t>ent, conformément à la décision </w:t>
      </w:r>
      <w:r w:rsidRPr="00AB1F22">
        <w:rPr>
          <w:lang w:val="fr-FR"/>
        </w:rPr>
        <w:t>8.31, le mode de désignation utilisé en 2012 pour le quatrième Chef de l</w:t>
      </w:r>
      <w:r w:rsidR="004F1DFB">
        <w:rPr>
          <w:lang w:val="fr-FR"/>
        </w:rPr>
        <w:t>’</w:t>
      </w:r>
      <w:r w:rsidRPr="00AB1F22">
        <w:rPr>
          <w:lang w:val="fr-FR"/>
        </w:rPr>
        <w:t>exécutif continuerait de s</w:t>
      </w:r>
      <w:r w:rsidR="004F1DFB">
        <w:rPr>
          <w:lang w:val="fr-FR"/>
        </w:rPr>
        <w:t>’</w:t>
      </w:r>
      <w:r w:rsidRPr="00AB1F22">
        <w:rPr>
          <w:lang w:val="fr-FR"/>
        </w:rPr>
        <w:t>appliquer pour désigner le cinquième Chef de l</w:t>
      </w:r>
      <w:r w:rsidR="004F1DFB">
        <w:rPr>
          <w:lang w:val="fr-FR"/>
        </w:rPr>
        <w:t>’</w:t>
      </w:r>
      <w:r w:rsidRPr="00AB1F22">
        <w:rPr>
          <w:lang w:val="fr-FR"/>
        </w:rPr>
        <w:t>exécutif en 2017, à savoir qu</w:t>
      </w:r>
      <w:r w:rsidR="004F1DFB">
        <w:rPr>
          <w:lang w:val="fr-FR"/>
        </w:rPr>
        <w:t>’</w:t>
      </w:r>
      <w:r w:rsidRPr="00AB1F22">
        <w:rPr>
          <w:lang w:val="fr-FR"/>
        </w:rPr>
        <w:t>il doit être élu par une commission électorale composée de 1</w:t>
      </w:r>
      <w:r>
        <w:rPr>
          <w:lang w:val="fr-FR"/>
        </w:rPr>
        <w:t> </w:t>
      </w:r>
      <w:r w:rsidRPr="00AB1F22">
        <w:rPr>
          <w:lang w:val="fr-FR"/>
        </w:rPr>
        <w:t>200</w:t>
      </w:r>
      <w:r>
        <w:rPr>
          <w:lang w:val="fr-FR"/>
        </w:rPr>
        <w:t> </w:t>
      </w:r>
      <w:r w:rsidRPr="00AB1F22">
        <w:rPr>
          <w:lang w:val="fr-FR"/>
        </w:rPr>
        <w:t xml:space="preserve">membres. </w:t>
      </w:r>
    </w:p>
    <w:p w:rsidR="0024529D" w:rsidRPr="00AB1F22" w:rsidRDefault="0024529D" w:rsidP="0024529D">
      <w:pPr>
        <w:pStyle w:val="SingleTxtG"/>
        <w:rPr>
          <w:lang w:val="fr-FR"/>
        </w:rPr>
      </w:pPr>
      <w:r w:rsidRPr="00AB1F22">
        <w:rPr>
          <w:lang w:val="fr-FR"/>
        </w:rPr>
        <w:t>181.</w:t>
      </w:r>
      <w:r w:rsidRPr="00AB1F22">
        <w:rPr>
          <w:lang w:val="fr-FR"/>
        </w:rPr>
        <w:tab/>
        <w:t>Le Gouvernement apprécie l</w:t>
      </w:r>
      <w:r w:rsidR="004F1DFB">
        <w:rPr>
          <w:lang w:val="fr-FR"/>
        </w:rPr>
        <w:t>’</w:t>
      </w:r>
      <w:r w:rsidRPr="00AB1F22">
        <w:rPr>
          <w:lang w:val="fr-FR"/>
        </w:rPr>
        <w:t>importance que la population attache à la mise en place du suffrage universel pour élire le Chef de l</w:t>
      </w:r>
      <w:r w:rsidR="004F1DFB">
        <w:rPr>
          <w:lang w:val="fr-FR"/>
        </w:rPr>
        <w:t>’</w:t>
      </w:r>
      <w:r w:rsidRPr="00AB1F22">
        <w:rPr>
          <w:lang w:val="fr-FR"/>
        </w:rPr>
        <w:t>exécutif et les membres du Conseil législatif. Il</w:t>
      </w:r>
      <w:r w:rsidR="00332FF5">
        <w:rPr>
          <w:lang w:val="fr-FR"/>
        </w:rPr>
        <w:t> </w:t>
      </w:r>
      <w:r w:rsidRPr="00AB1F22">
        <w:rPr>
          <w:lang w:val="fr-FR"/>
        </w:rPr>
        <w:t>est également conscient de la nature complexe et controversée des questions touchant au développement constitutionnel. Il doit examiner avec prudence tous les facteurs et rechercher un consensus à un moment et dans des circonstances approprié</w:t>
      </w:r>
      <w:r>
        <w:rPr>
          <w:lang w:val="fr-FR"/>
        </w:rPr>
        <w:t>e</w:t>
      </w:r>
      <w:r w:rsidRPr="00AB1F22">
        <w:rPr>
          <w:lang w:val="fr-FR"/>
        </w:rPr>
        <w:t>s de manière à obtenir un soutien des deux tiers de tous les membres du Conseil législatif, et à atteindre l</w:t>
      </w:r>
      <w:r w:rsidR="004F1DFB">
        <w:rPr>
          <w:lang w:val="fr-FR"/>
        </w:rPr>
        <w:t>’</w:t>
      </w:r>
      <w:r w:rsidRPr="00AB1F22">
        <w:rPr>
          <w:lang w:val="fr-FR"/>
        </w:rPr>
        <w:t>objectif ultime de la mise en œuvre du suffrage universel dans le respect de la Loi fondamentale et des interprétations et décisions pertinentes du Comité permanent de l</w:t>
      </w:r>
      <w:r w:rsidR="004F1DFB">
        <w:rPr>
          <w:lang w:val="fr-FR"/>
        </w:rPr>
        <w:t>’</w:t>
      </w:r>
      <w:r w:rsidRPr="00AB1F22">
        <w:rPr>
          <w:lang w:val="fr-FR"/>
        </w:rPr>
        <w:t xml:space="preserve">Assemblée nationale populaire. À cet égard, le Gouvernement fera de son mieux pour créer un climat favorable au développement constitutionnel. </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Élections publiques</w:t>
      </w:r>
    </w:p>
    <w:p w:rsidR="0024529D" w:rsidRPr="00AB1F22" w:rsidRDefault="0024529D" w:rsidP="0024529D">
      <w:pPr>
        <w:pStyle w:val="SingleTxtG"/>
        <w:rPr>
          <w:lang w:val="fr-FR"/>
        </w:rPr>
      </w:pPr>
      <w:r w:rsidRPr="00AB1F22">
        <w:rPr>
          <w:lang w:val="fr-FR"/>
        </w:rPr>
        <w:t>182.</w:t>
      </w:r>
      <w:r w:rsidRPr="00AB1F22">
        <w:rPr>
          <w:lang w:val="fr-FR"/>
        </w:rPr>
        <w:tab/>
        <w:t>Le Pacte a été étendu à Hong</w:t>
      </w:r>
      <w:r>
        <w:rPr>
          <w:lang w:val="fr-FR"/>
        </w:rPr>
        <w:t> </w:t>
      </w:r>
      <w:r w:rsidRPr="00AB1F22">
        <w:rPr>
          <w:lang w:val="fr-FR"/>
        </w:rPr>
        <w:t>Kong en 1976 avec une réserve excluant l</w:t>
      </w:r>
      <w:r w:rsidR="004F1DFB">
        <w:rPr>
          <w:lang w:val="fr-FR"/>
        </w:rPr>
        <w:t>’</w:t>
      </w:r>
      <w:r w:rsidRPr="00AB1F22">
        <w:rPr>
          <w:lang w:val="fr-FR"/>
        </w:rPr>
        <w:t>application de l</w:t>
      </w:r>
      <w:r w:rsidR="004F1DFB">
        <w:rPr>
          <w:lang w:val="fr-FR"/>
        </w:rPr>
        <w:t>’</w:t>
      </w:r>
      <w:r w:rsidRPr="00AB1F22">
        <w:rPr>
          <w:lang w:val="fr-FR"/>
        </w:rPr>
        <w:t>article</w:t>
      </w:r>
      <w:r w:rsidR="003F79A2">
        <w:rPr>
          <w:lang w:val="fr-FR"/>
        </w:rPr>
        <w:t> </w:t>
      </w:r>
      <w:r w:rsidRPr="00AB1F22">
        <w:rPr>
          <w:lang w:val="fr-FR"/>
        </w:rPr>
        <w:t>25 b) à Hong</w:t>
      </w:r>
      <w:r>
        <w:rPr>
          <w:lang w:val="fr-FR"/>
        </w:rPr>
        <w:t> </w:t>
      </w:r>
      <w:r w:rsidRPr="00AB1F22">
        <w:rPr>
          <w:lang w:val="fr-FR"/>
        </w:rPr>
        <w:t>Kong. Par une note adressée le 20 juin 1997 au Secrétaire général de l</w:t>
      </w:r>
      <w:r w:rsidR="004F1DFB">
        <w:rPr>
          <w:lang w:val="fr-FR"/>
        </w:rPr>
        <w:t>’</w:t>
      </w:r>
      <w:r w:rsidRPr="00AB1F22">
        <w:rPr>
          <w:lang w:val="fr-FR"/>
        </w:rPr>
        <w:t>Organisation des Nations Unies, le Gouvernement de la République populaire de Chine a informé le Secrétaire général que les dispositions du Pacte telles qu</w:t>
      </w:r>
      <w:r w:rsidR="004F1DFB">
        <w:rPr>
          <w:lang w:val="fr-FR"/>
        </w:rPr>
        <w:t>’</w:t>
      </w:r>
      <w:r w:rsidRPr="00AB1F22">
        <w:rPr>
          <w:lang w:val="fr-FR"/>
        </w:rPr>
        <w:t>elles s</w:t>
      </w:r>
      <w:r w:rsidR="004F1DFB">
        <w:rPr>
          <w:lang w:val="fr-FR"/>
        </w:rPr>
        <w:t>’</w:t>
      </w:r>
      <w:r>
        <w:rPr>
          <w:lang w:val="fr-FR"/>
        </w:rPr>
        <w:t>appliquent à Hong </w:t>
      </w:r>
      <w:r w:rsidRPr="00AB1F22">
        <w:rPr>
          <w:lang w:val="fr-FR"/>
        </w:rPr>
        <w:t>Kong resteraient en vigueur après le 1</w:t>
      </w:r>
      <w:r w:rsidRPr="00AB1F22">
        <w:rPr>
          <w:vertAlign w:val="superscript"/>
          <w:lang w:val="fr-FR"/>
        </w:rPr>
        <w:t>er</w:t>
      </w:r>
      <w:r w:rsidRPr="00AB1F22">
        <w:rPr>
          <w:lang w:val="fr-FR"/>
        </w:rPr>
        <w:t> juillet 1997. L</w:t>
      </w:r>
      <w:r w:rsidR="004F1DFB">
        <w:rPr>
          <w:lang w:val="fr-FR"/>
        </w:rPr>
        <w:t>’</w:t>
      </w:r>
      <w:r w:rsidRPr="00AB1F22">
        <w:rPr>
          <w:lang w:val="fr-FR"/>
        </w:rPr>
        <w:t>article 39 de la Loi fondamentale de la RAS de Hong</w:t>
      </w:r>
      <w:r>
        <w:rPr>
          <w:lang w:val="fr-FR"/>
        </w:rPr>
        <w:t> </w:t>
      </w:r>
      <w:r w:rsidRPr="00AB1F22">
        <w:rPr>
          <w:lang w:val="fr-FR"/>
        </w:rPr>
        <w:t>Kong entrée en vigueur le 1</w:t>
      </w:r>
      <w:r w:rsidRPr="00AB1F22">
        <w:rPr>
          <w:vertAlign w:val="superscript"/>
          <w:lang w:val="fr-FR"/>
        </w:rPr>
        <w:t>er</w:t>
      </w:r>
      <w:r w:rsidRPr="00AB1F22">
        <w:rPr>
          <w:lang w:val="fr-FR"/>
        </w:rPr>
        <w:t> juillet 1997 prévoit que les dispositions du Pacte telles qu</w:t>
      </w:r>
      <w:r w:rsidR="004F1DFB">
        <w:rPr>
          <w:lang w:val="fr-FR"/>
        </w:rPr>
        <w:t>’</w:t>
      </w:r>
      <w:r w:rsidRPr="00AB1F22">
        <w:rPr>
          <w:lang w:val="fr-FR"/>
        </w:rPr>
        <w:t>elles s</w:t>
      </w:r>
      <w:r w:rsidR="004F1DFB">
        <w:rPr>
          <w:lang w:val="fr-FR"/>
        </w:rPr>
        <w:t>’</w:t>
      </w:r>
      <w:r w:rsidRPr="00AB1F22">
        <w:rPr>
          <w:lang w:val="fr-FR"/>
        </w:rPr>
        <w:t>appliquent à Hong</w:t>
      </w:r>
      <w:r>
        <w:rPr>
          <w:lang w:val="fr-FR"/>
        </w:rPr>
        <w:t> </w:t>
      </w:r>
      <w:r w:rsidRPr="00AB1F22">
        <w:rPr>
          <w:lang w:val="fr-FR"/>
        </w:rPr>
        <w:t>Kong restent en vigueur et sont mises en œuvre par l</w:t>
      </w:r>
      <w:r w:rsidR="004F1DFB">
        <w:rPr>
          <w:lang w:val="fr-FR"/>
        </w:rPr>
        <w:t>’</w:t>
      </w:r>
      <w:r w:rsidRPr="00AB1F22">
        <w:rPr>
          <w:lang w:val="fr-FR"/>
        </w:rPr>
        <w:t>intermédiaire de la législation de la RAS de Hong</w:t>
      </w:r>
      <w:r>
        <w:rPr>
          <w:lang w:val="fr-FR"/>
        </w:rPr>
        <w:t> </w:t>
      </w:r>
      <w:r w:rsidRPr="00AB1F22">
        <w:rPr>
          <w:lang w:val="fr-FR"/>
        </w:rPr>
        <w:t xml:space="preserve">Kong. </w:t>
      </w:r>
    </w:p>
    <w:p w:rsidR="0024529D" w:rsidRPr="00AB1F22" w:rsidRDefault="0024529D" w:rsidP="0024529D">
      <w:pPr>
        <w:pStyle w:val="SingleTxtG"/>
        <w:rPr>
          <w:lang w:val="fr-FR"/>
        </w:rPr>
      </w:pPr>
      <w:r w:rsidRPr="00AB1F22">
        <w:rPr>
          <w:lang w:val="fr-FR"/>
        </w:rPr>
        <w:t>183.</w:t>
      </w:r>
      <w:r w:rsidRPr="00AB1F22">
        <w:rPr>
          <w:lang w:val="fr-FR"/>
        </w:rPr>
        <w:tab/>
        <w:t>En application des articles 45 et 68 de la Loi fondamentale, le mode de désignation du Chef de l</w:t>
      </w:r>
      <w:r w:rsidR="004F1DFB">
        <w:rPr>
          <w:lang w:val="fr-FR"/>
        </w:rPr>
        <w:t>’</w:t>
      </w:r>
      <w:r w:rsidRPr="00AB1F22">
        <w:rPr>
          <w:lang w:val="fr-FR"/>
        </w:rPr>
        <w:t>exécution et de formation du Conseil législatif est déterminé en fonction de la situation concrète dans la RAS de Hong</w:t>
      </w:r>
      <w:r>
        <w:rPr>
          <w:lang w:val="fr-FR"/>
        </w:rPr>
        <w:t> </w:t>
      </w:r>
      <w:r w:rsidRPr="00AB1F22">
        <w:rPr>
          <w:lang w:val="fr-FR"/>
        </w:rPr>
        <w:t>Kong et conformément au principe d</w:t>
      </w:r>
      <w:r w:rsidR="004F1DFB">
        <w:rPr>
          <w:lang w:val="fr-FR"/>
        </w:rPr>
        <w:t>’</w:t>
      </w:r>
      <w:r w:rsidRPr="00AB1F22">
        <w:rPr>
          <w:lang w:val="fr-FR"/>
        </w:rPr>
        <w:t>évolution progressive et méthodique, l</w:t>
      </w:r>
      <w:r w:rsidR="004F1DFB">
        <w:rPr>
          <w:lang w:val="fr-FR"/>
        </w:rPr>
        <w:t>’</w:t>
      </w:r>
      <w:r w:rsidRPr="00AB1F22">
        <w:rPr>
          <w:lang w:val="fr-FR"/>
        </w:rPr>
        <w:t>objectif ultime étant que le Chef de l</w:t>
      </w:r>
      <w:r w:rsidR="004F1DFB">
        <w:rPr>
          <w:lang w:val="fr-FR"/>
        </w:rPr>
        <w:t>’</w:t>
      </w:r>
      <w:r w:rsidRPr="00AB1F22">
        <w:rPr>
          <w:lang w:val="fr-FR"/>
        </w:rPr>
        <w:t>exécutif et tous les membres du Conseil législatif soient élus au suffrage universel. Nonobstant la réserve excluant l</w:t>
      </w:r>
      <w:r w:rsidR="004F1DFB">
        <w:rPr>
          <w:lang w:val="fr-FR"/>
        </w:rPr>
        <w:t>’</w:t>
      </w:r>
      <w:r w:rsidRPr="00AB1F22">
        <w:rPr>
          <w:lang w:val="fr-FR"/>
        </w:rPr>
        <w:t>application de l</w:t>
      </w:r>
      <w:r w:rsidR="004F1DFB">
        <w:rPr>
          <w:lang w:val="fr-FR"/>
        </w:rPr>
        <w:t>’</w:t>
      </w:r>
      <w:r w:rsidRPr="00AB1F22">
        <w:rPr>
          <w:lang w:val="fr-FR"/>
        </w:rPr>
        <w:t>article 25 b) du Pacte, les autorités centrales et le Gouvernement sont fermement déterminés à atteindre l</w:t>
      </w:r>
      <w:r w:rsidR="004F1DFB">
        <w:rPr>
          <w:lang w:val="fr-FR"/>
        </w:rPr>
        <w:t>’</w:t>
      </w:r>
      <w:r w:rsidRPr="00AB1F22">
        <w:rPr>
          <w:lang w:val="fr-FR"/>
        </w:rPr>
        <w:t>objectif ultime du suffrage universel conformément à la Loi fondamentale et aux interprétations et décisions pertinentes du Comité permanent de l</w:t>
      </w:r>
      <w:r w:rsidR="004F1DFB">
        <w:rPr>
          <w:lang w:val="fr-FR"/>
        </w:rPr>
        <w:t>’</w:t>
      </w:r>
      <w:r w:rsidRPr="00AB1F22">
        <w:rPr>
          <w:lang w:val="fr-FR"/>
        </w:rPr>
        <w:t xml:space="preserve">Assemblée nationale populaire. Les élections qui </w:t>
      </w:r>
      <w:r>
        <w:rPr>
          <w:lang w:val="fr-FR"/>
        </w:rPr>
        <w:t>ont eu lieu dans la RAS de Hong </w:t>
      </w:r>
      <w:r w:rsidRPr="00AB1F22">
        <w:rPr>
          <w:lang w:val="fr-FR"/>
        </w:rPr>
        <w:t xml:space="preserve">Kong depuis la présentation du rapport précédent sont précisées aux paragraphes suivants. </w:t>
      </w:r>
    </w:p>
    <w:p w:rsidR="0024529D" w:rsidRPr="00AB1F22" w:rsidRDefault="0024529D" w:rsidP="0024529D">
      <w:pPr>
        <w:pStyle w:val="SingleTxtG"/>
        <w:rPr>
          <w:lang w:val="fr-FR"/>
        </w:rPr>
      </w:pPr>
      <w:r w:rsidRPr="00AB1F22">
        <w:rPr>
          <w:lang w:val="fr-FR"/>
        </w:rPr>
        <w:t>184.</w:t>
      </w:r>
      <w:r w:rsidRPr="00AB1F22">
        <w:rPr>
          <w:lang w:val="fr-FR"/>
        </w:rPr>
        <w:tab/>
        <w:t>La situation concernant les élections du Chef de l</w:t>
      </w:r>
      <w:r w:rsidR="004F1DFB">
        <w:rPr>
          <w:lang w:val="fr-FR"/>
        </w:rPr>
        <w:t>’</w:t>
      </w:r>
      <w:r w:rsidRPr="00AB1F22">
        <w:rPr>
          <w:lang w:val="fr-FR"/>
        </w:rPr>
        <w:t>exécutif, des membres du Conseil législatif, des conseils de district et les élections rurales est présentée à l</w:t>
      </w:r>
      <w:r w:rsidR="004F1DFB">
        <w:rPr>
          <w:lang w:val="fr-FR"/>
        </w:rPr>
        <w:t>’</w:t>
      </w:r>
      <w:r w:rsidRPr="00AB1F22">
        <w:rPr>
          <w:lang w:val="fr-FR"/>
        </w:rPr>
        <w:t xml:space="preserve">annexe 25A.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Organes consultatifs et officiels du Gouvernement</w:t>
      </w:r>
      <w:r w:rsidRPr="00AB1F22">
        <w:rPr>
          <w:lang w:val="fr-FR"/>
        </w:rPr>
        <w:t xml:space="preserve"> </w:t>
      </w:r>
      <w:bookmarkStart w:id="81" w:name="_Toc31721470"/>
      <w:bookmarkEnd w:id="81"/>
    </w:p>
    <w:p w:rsidR="0024529D" w:rsidRPr="00AB1F22" w:rsidRDefault="0024529D" w:rsidP="0024529D">
      <w:pPr>
        <w:pStyle w:val="SingleTxtG"/>
        <w:rPr>
          <w:lang w:val="fr-FR"/>
        </w:rPr>
      </w:pPr>
      <w:r w:rsidRPr="00AB1F22">
        <w:rPr>
          <w:lang w:val="fr-FR"/>
        </w:rPr>
        <w:t>185.</w:t>
      </w:r>
      <w:r w:rsidRPr="00AB1F22">
        <w:rPr>
          <w:lang w:val="fr-FR"/>
        </w:rPr>
        <w:tab/>
        <w:t>Le réseau des organes consultatifs et officiels du Gouvernement continue d</w:t>
      </w:r>
      <w:r w:rsidR="004F1DFB">
        <w:rPr>
          <w:lang w:val="fr-FR"/>
        </w:rPr>
        <w:t>’</w:t>
      </w:r>
      <w:r w:rsidRPr="00AB1F22">
        <w:rPr>
          <w:lang w:val="fr-FR"/>
        </w:rPr>
        <w:t>être une particularité de l</w:t>
      </w:r>
      <w:r w:rsidR="004F1DFB">
        <w:rPr>
          <w:lang w:val="fr-FR"/>
        </w:rPr>
        <w:t>’</w:t>
      </w:r>
      <w:r w:rsidRPr="00AB1F22">
        <w:rPr>
          <w:lang w:val="fr-FR"/>
        </w:rPr>
        <w:t>administration publique à Hong Kong et d</w:t>
      </w:r>
      <w:r w:rsidR="004F1DFB">
        <w:rPr>
          <w:lang w:val="fr-FR"/>
        </w:rPr>
        <w:t>’</w:t>
      </w:r>
      <w:r w:rsidRPr="00AB1F22">
        <w:rPr>
          <w:lang w:val="fr-FR"/>
        </w:rPr>
        <w:t>en faire partie intégrante. Les</w:t>
      </w:r>
      <w:r w:rsidR="003F79A2">
        <w:rPr>
          <w:lang w:val="fr-FR"/>
        </w:rPr>
        <w:t> </w:t>
      </w:r>
      <w:r w:rsidRPr="00AB1F22">
        <w:rPr>
          <w:lang w:val="fr-FR"/>
        </w:rPr>
        <w:t>organes consultatifs et officiels jouent un rôle important en aidant le Gouvernement à formuler des objectifs et à exercer ses fonctions officielles. Des précisions concernant ces organes sont données à l</w:t>
      </w:r>
      <w:r w:rsidR="004F1DFB">
        <w:rPr>
          <w:lang w:val="fr-FR"/>
        </w:rPr>
        <w:t>’</w:t>
      </w:r>
      <w:r w:rsidRPr="00AB1F22">
        <w:rPr>
          <w:lang w:val="fr-FR"/>
        </w:rPr>
        <w:t xml:space="preserve">annexe 25B. </w:t>
      </w:r>
    </w:p>
    <w:p w:rsidR="0024529D" w:rsidRPr="00AB1F22" w:rsidRDefault="0024529D" w:rsidP="0024529D">
      <w:pPr>
        <w:pStyle w:val="H1G"/>
        <w:rPr>
          <w:lang w:val="fr-FR"/>
        </w:rPr>
      </w:pPr>
      <w:r w:rsidRPr="00AB1F22">
        <w:rPr>
          <w:lang w:val="fr-FR"/>
        </w:rPr>
        <w:tab/>
      </w:r>
      <w:r w:rsidRPr="00AB1F22">
        <w:rPr>
          <w:lang w:val="fr-FR"/>
        </w:rPr>
        <w:tab/>
      </w:r>
      <w:r w:rsidRPr="00AB1F22">
        <w:rPr>
          <w:bCs/>
          <w:lang w:val="fr-FR"/>
        </w:rPr>
        <w:t>Article 26</w:t>
      </w:r>
      <w:r>
        <w:rPr>
          <w:bCs/>
          <w:lang w:val="fr-FR"/>
        </w:rPr>
        <w:br/>
      </w:r>
      <w:r w:rsidRPr="00AB1F22">
        <w:rPr>
          <w:bCs/>
          <w:lang w:val="fr-FR"/>
        </w:rPr>
        <w:t>Droit à une égale protection de la loi</w:t>
      </w:r>
      <w:r w:rsidRPr="00AB1F22">
        <w:rPr>
          <w:lang w:val="fr-FR"/>
        </w:rPr>
        <w:t xml:space="preserve"> </w:t>
      </w:r>
      <w:bookmarkStart w:id="82" w:name="_Toc31721471"/>
      <w:bookmarkEnd w:id="82"/>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Examen de la législation relative à la discrimination</w:t>
      </w:r>
      <w:r w:rsidRPr="00AB1F22">
        <w:rPr>
          <w:lang w:val="fr-FR"/>
        </w:rPr>
        <w:t xml:space="preserve"> </w:t>
      </w:r>
      <w:bookmarkStart w:id="83" w:name="_Toc31721472"/>
      <w:bookmarkEnd w:id="83"/>
    </w:p>
    <w:p w:rsidR="0024529D" w:rsidRPr="00AB1F22" w:rsidRDefault="0024529D" w:rsidP="0024529D">
      <w:pPr>
        <w:pStyle w:val="SingleTxtG"/>
        <w:rPr>
          <w:lang w:val="fr-FR"/>
        </w:rPr>
      </w:pPr>
      <w:r w:rsidRPr="00AB1F22">
        <w:rPr>
          <w:lang w:val="fr-FR"/>
        </w:rPr>
        <w:t>186.</w:t>
      </w:r>
      <w:r w:rsidRPr="00AB1F22">
        <w:rPr>
          <w:lang w:val="fr-FR"/>
        </w:rPr>
        <w:tab/>
        <w:t>La Commission de l</w:t>
      </w:r>
      <w:r w:rsidR="004F1DFB">
        <w:rPr>
          <w:lang w:val="fr-FR"/>
        </w:rPr>
        <w:t>’</w:t>
      </w:r>
      <w:r w:rsidRPr="00AB1F22">
        <w:rPr>
          <w:lang w:val="fr-FR"/>
        </w:rPr>
        <w:t>égalité des chances est chargée de mettre en œuvre les quatre ordonnances de lutte contre la discrimination, à savoir l</w:t>
      </w:r>
      <w:r w:rsidR="004F1DFB">
        <w:rPr>
          <w:lang w:val="fr-FR"/>
        </w:rPr>
        <w:t>’</w:t>
      </w:r>
      <w:r w:rsidRPr="00AB1F22">
        <w:rPr>
          <w:lang w:val="fr-FR"/>
        </w:rPr>
        <w:t>ordonnance relative à la discrimination fondée sur le sexe, l</w:t>
      </w:r>
      <w:r w:rsidR="004F1DFB">
        <w:rPr>
          <w:lang w:val="fr-FR"/>
        </w:rPr>
        <w:t>’</w:t>
      </w:r>
      <w:r w:rsidRPr="00AB1F22">
        <w:rPr>
          <w:lang w:val="fr-FR"/>
        </w:rPr>
        <w:t>ordonnance relative à la discrimination fondée sur le handicap (chap. 487), l</w:t>
      </w:r>
      <w:r w:rsidR="004F1DFB">
        <w:rPr>
          <w:lang w:val="fr-FR"/>
        </w:rPr>
        <w:t>’</w:t>
      </w:r>
      <w:r w:rsidRPr="00AB1F22">
        <w:rPr>
          <w:lang w:val="fr-FR"/>
        </w:rPr>
        <w:t>ordonnance relative à la discrimination fondée sur la situation familiale (chap. 527) et l</w:t>
      </w:r>
      <w:r w:rsidR="004F1DFB">
        <w:rPr>
          <w:lang w:val="fr-FR"/>
        </w:rPr>
        <w:t>’</w:t>
      </w:r>
      <w:r w:rsidRPr="00AB1F22">
        <w:rPr>
          <w:lang w:val="fr-FR"/>
        </w:rPr>
        <w:t>ordonnance relative à la discr</w:t>
      </w:r>
      <w:r>
        <w:rPr>
          <w:lang w:val="fr-FR"/>
        </w:rPr>
        <w:t xml:space="preserve">imination raciale (chap. 602). </w:t>
      </w:r>
      <w:r w:rsidRPr="00AB1F22">
        <w:rPr>
          <w:lang w:val="fr-FR"/>
        </w:rPr>
        <w:t>L</w:t>
      </w:r>
      <w:r w:rsidR="004F1DFB">
        <w:rPr>
          <w:lang w:val="fr-FR"/>
        </w:rPr>
        <w:t>’</w:t>
      </w:r>
      <w:r w:rsidRPr="00AB1F22">
        <w:rPr>
          <w:lang w:val="fr-FR"/>
        </w:rPr>
        <w:t>une des fonctions de la Commission de l</w:t>
      </w:r>
      <w:r w:rsidR="004F1DFB">
        <w:rPr>
          <w:lang w:val="fr-FR"/>
        </w:rPr>
        <w:t>’</w:t>
      </w:r>
      <w:r w:rsidRPr="00AB1F22">
        <w:rPr>
          <w:lang w:val="fr-FR"/>
        </w:rPr>
        <w:t>égalité des chances est de surveiller l</w:t>
      </w:r>
      <w:r w:rsidR="004F1DFB">
        <w:rPr>
          <w:lang w:val="fr-FR"/>
        </w:rPr>
        <w:t>’</w:t>
      </w:r>
      <w:r w:rsidRPr="00AB1F22">
        <w:rPr>
          <w:lang w:val="fr-FR"/>
        </w:rPr>
        <w:t>exécution des quatre ordonnances et d</w:t>
      </w:r>
      <w:r w:rsidR="004F1DFB">
        <w:rPr>
          <w:lang w:val="fr-FR"/>
        </w:rPr>
        <w:t>’</w:t>
      </w:r>
      <w:r w:rsidRPr="00AB1F22">
        <w:rPr>
          <w:lang w:val="fr-FR"/>
        </w:rPr>
        <w:t>élaborer des propositions de modification des ordonnances puis de les soumettre au Chef de l</w:t>
      </w:r>
      <w:r w:rsidR="004F1DFB">
        <w:rPr>
          <w:lang w:val="fr-FR"/>
        </w:rPr>
        <w:t>’</w:t>
      </w:r>
      <w:r w:rsidRPr="00AB1F22">
        <w:rPr>
          <w:lang w:val="fr-FR"/>
        </w:rPr>
        <w:t>exécutif, sur la demande de celui</w:t>
      </w:r>
      <w:r>
        <w:rPr>
          <w:lang w:val="fr-FR"/>
        </w:rPr>
        <w:noBreakHyphen/>
      </w:r>
      <w:r w:rsidRPr="00AB1F22">
        <w:rPr>
          <w:lang w:val="fr-FR"/>
        </w:rPr>
        <w:t>ci ou si la Commission le juge nécessaire. En mars 2016, la Commission de l</w:t>
      </w:r>
      <w:r w:rsidR="004F1DFB">
        <w:rPr>
          <w:lang w:val="fr-FR"/>
        </w:rPr>
        <w:t>’</w:t>
      </w:r>
      <w:r w:rsidRPr="00AB1F22">
        <w:rPr>
          <w:lang w:val="fr-FR"/>
        </w:rPr>
        <w:t>égalité des chances a présenté des observations concernant l</w:t>
      </w:r>
      <w:r w:rsidR="004F1DFB">
        <w:rPr>
          <w:lang w:val="fr-FR"/>
        </w:rPr>
        <w:t>’</w:t>
      </w:r>
      <w:r w:rsidRPr="00AB1F22">
        <w:rPr>
          <w:lang w:val="fr-FR"/>
        </w:rPr>
        <w:t>examen de la législation relative à la discrimination qui contenaient un total de 73 recommandations adressées au Gouvernement, dont</w:t>
      </w:r>
      <w:r w:rsidR="003F79A2">
        <w:rPr>
          <w:lang w:val="fr-FR"/>
        </w:rPr>
        <w:t> </w:t>
      </w:r>
      <w:r w:rsidRPr="00AB1F22">
        <w:rPr>
          <w:lang w:val="fr-FR"/>
        </w:rPr>
        <w:t>27 qu</w:t>
      </w:r>
      <w:r w:rsidR="004F1DFB">
        <w:rPr>
          <w:lang w:val="fr-FR"/>
        </w:rPr>
        <w:t>’</w:t>
      </w:r>
      <w:r w:rsidRPr="00AB1F22">
        <w:rPr>
          <w:lang w:val="fr-FR"/>
        </w:rPr>
        <w:t>elle c</w:t>
      </w:r>
      <w:r>
        <w:rPr>
          <w:lang w:val="fr-FR"/>
        </w:rPr>
        <w:t xml:space="preserve">onsidérait comme prioritaires. </w:t>
      </w:r>
      <w:r w:rsidRPr="00AB1F22">
        <w:rPr>
          <w:lang w:val="fr-FR"/>
        </w:rPr>
        <w:t>En mars 2017, le Gouvernement a consulté le Comité des affaires constitutionnelles au sujet de ces recommandations considérées comme susceptibles de susciter un consensus au sein de la société, et le Comité des affaires constitutionnelles appuie le Gouvernement pour qu</w:t>
      </w:r>
      <w:r w:rsidR="004F1DFB">
        <w:rPr>
          <w:lang w:val="fr-FR"/>
        </w:rPr>
        <w:t>’</w:t>
      </w:r>
      <w:r w:rsidRPr="00AB1F22">
        <w:rPr>
          <w:lang w:val="fr-FR"/>
        </w:rPr>
        <w:t>il mette en œuvre huit</w:t>
      </w:r>
      <w:r>
        <w:rPr>
          <w:lang w:val="fr-FR"/>
        </w:rPr>
        <w:t> </w:t>
      </w:r>
      <w:r w:rsidRPr="00AB1F22">
        <w:rPr>
          <w:lang w:val="fr-FR"/>
        </w:rPr>
        <w:t xml:space="preserve">recommandations prioritaires (voir annexe 26A). </w:t>
      </w:r>
    </w:p>
    <w:p w:rsidR="0024529D" w:rsidRPr="00AB1F22" w:rsidRDefault="0024529D" w:rsidP="0024529D">
      <w:pPr>
        <w:pStyle w:val="SingleTxtG"/>
        <w:rPr>
          <w:lang w:val="fr-FR"/>
        </w:rPr>
      </w:pPr>
      <w:r w:rsidRPr="00AB1F22">
        <w:rPr>
          <w:lang w:val="fr-FR"/>
        </w:rPr>
        <w:t>187.</w:t>
      </w:r>
      <w:r w:rsidRPr="00AB1F22">
        <w:rPr>
          <w:lang w:val="fr-FR"/>
        </w:rPr>
        <w:tab/>
        <w:t>L</w:t>
      </w:r>
      <w:r w:rsidR="004F1DFB">
        <w:rPr>
          <w:lang w:val="fr-FR"/>
        </w:rPr>
        <w:t>’</w:t>
      </w:r>
      <w:r w:rsidRPr="00AB1F22">
        <w:rPr>
          <w:lang w:val="fr-FR"/>
        </w:rPr>
        <w:t>objectif du Gouvernement est de présenter au Conseil législatif en 2018 des propositions de loi relat</w:t>
      </w:r>
      <w:r>
        <w:rPr>
          <w:lang w:val="fr-FR"/>
        </w:rPr>
        <w:t xml:space="preserve">ives aux huit recommandations, </w:t>
      </w:r>
      <w:r w:rsidRPr="00AB1F22">
        <w:rPr>
          <w:lang w:val="fr-FR"/>
        </w:rPr>
        <w:t xml:space="preserve">regroupées dans un seul projet </w:t>
      </w:r>
      <w:r>
        <w:rPr>
          <w:lang w:val="fr-FR"/>
        </w:rPr>
        <w:t>de</w:t>
      </w:r>
      <w:r w:rsidR="003F79A2">
        <w:rPr>
          <w:lang w:val="fr-FR"/>
        </w:rPr>
        <w:t> </w:t>
      </w:r>
      <w:r>
        <w:rPr>
          <w:lang w:val="fr-FR"/>
        </w:rPr>
        <w:t>loi.</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Législation de lutte contre la discrimination raciale</w:t>
      </w:r>
      <w:bookmarkStart w:id="84" w:name="_Toc31721473"/>
      <w:bookmarkEnd w:id="84"/>
    </w:p>
    <w:p w:rsidR="0024529D" w:rsidRPr="00AB1F22" w:rsidRDefault="0024529D" w:rsidP="0024529D">
      <w:pPr>
        <w:pStyle w:val="SingleTxtG"/>
        <w:rPr>
          <w:lang w:val="fr-FR"/>
        </w:rPr>
      </w:pPr>
      <w:r w:rsidRPr="00AB1F22">
        <w:rPr>
          <w:lang w:val="fr-FR"/>
        </w:rPr>
        <w:t>188.</w:t>
      </w:r>
      <w:r w:rsidRPr="00AB1F22">
        <w:rPr>
          <w:lang w:val="fr-FR"/>
        </w:rPr>
        <w:tab/>
        <w:t>L</w:t>
      </w:r>
      <w:r w:rsidR="004F1DFB">
        <w:rPr>
          <w:lang w:val="fr-FR"/>
        </w:rPr>
        <w:t>’</w:t>
      </w:r>
      <w:r w:rsidRPr="00AB1F22">
        <w:rPr>
          <w:lang w:val="fr-FR"/>
        </w:rPr>
        <w:t>ordonnance relative à la discrimination raciale, qui a pris pleinement effet en</w:t>
      </w:r>
      <w:r w:rsidR="003F79A2">
        <w:rPr>
          <w:lang w:val="fr-FR"/>
        </w:rPr>
        <w:t> </w:t>
      </w:r>
      <w:r w:rsidRPr="00AB1F22">
        <w:rPr>
          <w:lang w:val="fr-FR"/>
        </w:rPr>
        <w:t>2009, vise à défendre le droit des personnes d</w:t>
      </w:r>
      <w:r w:rsidR="004F1DFB">
        <w:rPr>
          <w:lang w:val="fr-FR"/>
        </w:rPr>
        <w:t>’</w:t>
      </w:r>
      <w:r w:rsidRPr="00AB1F22">
        <w:rPr>
          <w:lang w:val="fr-FR"/>
        </w:rPr>
        <w:t xml:space="preserve">être protégées contre la discrimination, le harcèlement et la diffamation fondés sur la race. </w:t>
      </w:r>
      <w:r>
        <w:rPr>
          <w:lang w:val="fr-FR"/>
        </w:rPr>
        <w:t>Davantage de détails figurent à</w:t>
      </w:r>
      <w:r w:rsidRPr="00AB1F22">
        <w:rPr>
          <w:lang w:val="fr-FR"/>
        </w:rPr>
        <w:t xml:space="preserve"> l</w:t>
      </w:r>
      <w:r w:rsidR="004F1DFB">
        <w:rPr>
          <w:lang w:val="fr-FR"/>
        </w:rPr>
        <w:t>’</w:t>
      </w:r>
      <w:r w:rsidRPr="00AB1F22">
        <w:rPr>
          <w:lang w:val="fr-FR"/>
        </w:rPr>
        <w:t xml:space="preserve">annexe 26B. </w:t>
      </w:r>
    </w:p>
    <w:p w:rsidR="0024529D" w:rsidRPr="00AB1F22" w:rsidRDefault="0024529D" w:rsidP="0024529D">
      <w:pPr>
        <w:pStyle w:val="SingleTxtG"/>
        <w:rPr>
          <w:lang w:val="fr-FR"/>
        </w:rPr>
      </w:pPr>
      <w:r w:rsidRPr="00AB1F22">
        <w:rPr>
          <w:lang w:val="fr-FR"/>
        </w:rPr>
        <w:t>189.</w:t>
      </w:r>
      <w:r w:rsidRPr="00AB1F22">
        <w:rPr>
          <w:lang w:val="fr-FR"/>
        </w:rPr>
        <w:tab/>
        <w:t>Comme indiqué aux paragraphes</w:t>
      </w:r>
      <w:r>
        <w:rPr>
          <w:lang w:val="fr-FR"/>
        </w:rPr>
        <w:t> </w:t>
      </w:r>
      <w:r w:rsidRPr="00AB1F22">
        <w:rPr>
          <w:lang w:val="fr-FR"/>
        </w:rPr>
        <w:t>186 et 187 ci</w:t>
      </w:r>
      <w:r>
        <w:rPr>
          <w:lang w:val="fr-FR"/>
        </w:rPr>
        <w:noBreakHyphen/>
      </w:r>
      <w:r w:rsidRPr="00AB1F22">
        <w:rPr>
          <w:lang w:val="fr-FR"/>
        </w:rPr>
        <w:t xml:space="preserve">dessus, le Gouvernement soumettra les propositions de loi </w:t>
      </w:r>
      <w:r>
        <w:rPr>
          <w:lang w:val="fr-FR"/>
        </w:rPr>
        <w:t>visant à faire avancer les huit </w:t>
      </w:r>
      <w:r w:rsidRPr="00AB1F22">
        <w:rPr>
          <w:lang w:val="fr-FR"/>
        </w:rPr>
        <w:t>recommandations prioritaires, dont six concernent l</w:t>
      </w:r>
      <w:r w:rsidR="004F1DFB">
        <w:rPr>
          <w:lang w:val="fr-FR"/>
        </w:rPr>
        <w:t>’</w:t>
      </w:r>
      <w:r w:rsidRPr="00AB1F22">
        <w:rPr>
          <w:lang w:val="fr-FR"/>
        </w:rPr>
        <w:t>ordonnance relative à la dis</w:t>
      </w:r>
      <w:r>
        <w:rPr>
          <w:lang w:val="fr-FR"/>
        </w:rPr>
        <w:t>crimination raciale.</w:t>
      </w:r>
    </w:p>
    <w:p w:rsidR="0024529D" w:rsidRPr="00AB1F22" w:rsidRDefault="0024529D" w:rsidP="0024529D">
      <w:pPr>
        <w:pStyle w:val="SingleTxtG"/>
        <w:rPr>
          <w:lang w:val="fr-FR"/>
        </w:rPr>
      </w:pPr>
      <w:r w:rsidRPr="00AB1F22">
        <w:rPr>
          <w:lang w:val="fr-FR"/>
        </w:rPr>
        <w:t>190.</w:t>
      </w:r>
      <w:r w:rsidRPr="00AB1F22">
        <w:rPr>
          <w:lang w:val="fr-FR"/>
        </w:rPr>
        <w:tab/>
        <w:t>Au paragraphe 19 des précédentes observations finales, le Comité a recommandé de combler la lacune de l</w:t>
      </w:r>
      <w:r w:rsidR="004F1DFB">
        <w:rPr>
          <w:lang w:val="fr-FR"/>
        </w:rPr>
        <w:t>’</w:t>
      </w:r>
      <w:r w:rsidRPr="00AB1F22">
        <w:rPr>
          <w:lang w:val="fr-FR"/>
        </w:rPr>
        <w:t>ordonnance relative à la discrimination raciale et de l</w:t>
      </w:r>
      <w:r w:rsidR="004F1DFB">
        <w:rPr>
          <w:lang w:val="fr-FR"/>
        </w:rPr>
        <w:t>’</w:t>
      </w:r>
      <w:r w:rsidRPr="00AB1F22">
        <w:rPr>
          <w:lang w:val="fr-FR"/>
        </w:rPr>
        <w:t>appliquer au Gouvernement dans l</w:t>
      </w:r>
      <w:r w:rsidR="004F1DFB">
        <w:rPr>
          <w:lang w:val="fr-FR"/>
        </w:rPr>
        <w:t>’</w:t>
      </w:r>
      <w:r w:rsidRPr="00AB1F22">
        <w:rPr>
          <w:lang w:val="fr-FR"/>
        </w:rPr>
        <w:t>exercice de ses fonctions publiques, comme les activités des forces de police et du Département de l</w:t>
      </w:r>
      <w:r w:rsidR="004F1DFB">
        <w:rPr>
          <w:lang w:val="fr-FR"/>
        </w:rPr>
        <w:t>’</w:t>
      </w:r>
      <w:r w:rsidRPr="00AB1F22">
        <w:rPr>
          <w:lang w:val="fr-FR"/>
        </w:rPr>
        <w:t xml:space="preserve">administration pénitentiaire. </w:t>
      </w:r>
    </w:p>
    <w:p w:rsidR="0024529D" w:rsidRPr="00AB1F22" w:rsidRDefault="0024529D" w:rsidP="0024529D">
      <w:pPr>
        <w:pStyle w:val="SingleTxtG"/>
        <w:rPr>
          <w:lang w:val="fr-FR"/>
        </w:rPr>
      </w:pPr>
      <w:r w:rsidRPr="00AB1F22">
        <w:rPr>
          <w:lang w:val="fr-FR"/>
        </w:rPr>
        <w:t>191.</w:t>
      </w:r>
      <w:r w:rsidRPr="00AB1F22">
        <w:rPr>
          <w:lang w:val="fr-FR"/>
        </w:rPr>
        <w:tab/>
        <w:t>La Loi fondamentale, l</w:t>
      </w:r>
      <w:r w:rsidR="004F1DFB">
        <w:rPr>
          <w:lang w:val="fr-FR"/>
        </w:rPr>
        <w:t>’</w:t>
      </w:r>
      <w:r w:rsidRPr="00AB1F22">
        <w:rPr>
          <w:lang w:val="fr-FR"/>
        </w:rPr>
        <w:t>ordonnance portant Charte des droits de Hong</w:t>
      </w:r>
      <w:r>
        <w:rPr>
          <w:lang w:val="fr-FR"/>
        </w:rPr>
        <w:t> </w:t>
      </w:r>
      <w:r w:rsidRPr="00AB1F22">
        <w:rPr>
          <w:lang w:val="fr-FR"/>
        </w:rPr>
        <w:t>Kong et l</w:t>
      </w:r>
      <w:r w:rsidR="004F1DFB">
        <w:rPr>
          <w:lang w:val="fr-FR"/>
        </w:rPr>
        <w:t>’</w:t>
      </w:r>
      <w:r w:rsidRPr="00AB1F22">
        <w:rPr>
          <w:lang w:val="fr-FR"/>
        </w:rPr>
        <w:t>ordonnance relative à la discrimination raciale établissent ensemble un cadre juridique complet pour protéger les personnes contre toute discrimination, quel qu</w:t>
      </w:r>
      <w:r w:rsidR="004F1DFB">
        <w:rPr>
          <w:lang w:val="fr-FR"/>
        </w:rPr>
        <w:t>’</w:t>
      </w:r>
      <w:r w:rsidRPr="00AB1F22">
        <w:rPr>
          <w:lang w:val="fr-FR"/>
        </w:rPr>
        <w:t>en soit le motif, y</w:t>
      </w:r>
      <w:r w:rsidR="003F79A2">
        <w:rPr>
          <w:lang w:val="fr-FR"/>
        </w:rPr>
        <w:t> </w:t>
      </w:r>
      <w:r w:rsidRPr="00AB1F22">
        <w:rPr>
          <w:lang w:val="fr-FR"/>
        </w:rPr>
        <w:t>compris la race. Lorsqu</w:t>
      </w:r>
      <w:r w:rsidR="004F1DFB">
        <w:rPr>
          <w:lang w:val="fr-FR"/>
        </w:rPr>
        <w:t>’</w:t>
      </w:r>
      <w:r w:rsidRPr="00AB1F22">
        <w:rPr>
          <w:lang w:val="fr-FR"/>
        </w:rPr>
        <w:t xml:space="preserve">il exerce ses fonctions ou pouvoirs, le Gouvernement doit respecter les dispositions de ces textes. </w:t>
      </w:r>
    </w:p>
    <w:p w:rsidR="0024529D" w:rsidRPr="00AB1F22" w:rsidRDefault="0024529D" w:rsidP="0024529D">
      <w:pPr>
        <w:pStyle w:val="SingleTxtG"/>
        <w:rPr>
          <w:lang w:val="fr-FR"/>
        </w:rPr>
      </w:pPr>
      <w:r w:rsidRPr="00AB1F22">
        <w:rPr>
          <w:lang w:val="fr-FR"/>
        </w:rPr>
        <w:t>192.</w:t>
      </w:r>
      <w:r w:rsidRPr="00AB1F22">
        <w:rPr>
          <w:lang w:val="fr-FR"/>
        </w:rPr>
        <w:tab/>
        <w:t>L</w:t>
      </w:r>
      <w:r w:rsidR="004F1DFB">
        <w:rPr>
          <w:lang w:val="fr-FR"/>
        </w:rPr>
        <w:t>’</w:t>
      </w:r>
      <w:r w:rsidRPr="00AB1F22">
        <w:rPr>
          <w:lang w:val="fr-FR"/>
        </w:rPr>
        <w:t>article 25 de la Loi fondamentale garantit le droit à l</w:t>
      </w:r>
      <w:r w:rsidR="004F1DFB">
        <w:rPr>
          <w:lang w:val="fr-FR"/>
        </w:rPr>
        <w:t>’</w:t>
      </w:r>
      <w:r w:rsidRPr="00AB1F22">
        <w:rPr>
          <w:lang w:val="fr-FR"/>
        </w:rPr>
        <w:t>égalité devant la loi. L</w:t>
      </w:r>
      <w:r w:rsidR="004F1DFB">
        <w:rPr>
          <w:lang w:val="fr-FR"/>
        </w:rPr>
        <w:t>’</w:t>
      </w:r>
      <w:r w:rsidRPr="00AB1F22">
        <w:rPr>
          <w:lang w:val="fr-FR"/>
        </w:rPr>
        <w:t>article 35 garantit le droit d</w:t>
      </w:r>
      <w:r w:rsidR="004F1DFB">
        <w:rPr>
          <w:lang w:val="fr-FR"/>
        </w:rPr>
        <w:t>’</w:t>
      </w:r>
      <w:r w:rsidRPr="00AB1F22">
        <w:rPr>
          <w:lang w:val="fr-FR"/>
        </w:rPr>
        <w:t>accès aux tribunaux et aux recours judiciaires, ainsi que le droit d</w:t>
      </w:r>
      <w:r w:rsidR="004F1DFB">
        <w:rPr>
          <w:lang w:val="fr-FR"/>
        </w:rPr>
        <w:t>’</w:t>
      </w:r>
      <w:r w:rsidRPr="00AB1F22">
        <w:rPr>
          <w:lang w:val="fr-FR"/>
        </w:rPr>
        <w:t>engager des poursuites judiciaires devant les tribunaux contre les actes du pouvoir exécutif et de ses agents. L</w:t>
      </w:r>
      <w:r w:rsidR="004F1DFB">
        <w:rPr>
          <w:lang w:val="fr-FR"/>
        </w:rPr>
        <w:t>’</w:t>
      </w:r>
      <w:r w:rsidRPr="00AB1F22">
        <w:rPr>
          <w:lang w:val="fr-FR"/>
        </w:rPr>
        <w:t xml:space="preserve">article 64 prévoit que le Gouvernement est tenu au respect de la loi et met en œuvre les lois adoptées par le Conseil législatif qui sont déjà en vigueur. </w:t>
      </w:r>
    </w:p>
    <w:p w:rsidR="0024529D" w:rsidRPr="00AB1F22" w:rsidRDefault="0024529D" w:rsidP="0024529D">
      <w:pPr>
        <w:pStyle w:val="SingleTxtG"/>
        <w:rPr>
          <w:lang w:val="fr-FR"/>
        </w:rPr>
      </w:pPr>
      <w:r w:rsidRPr="00AB1F22">
        <w:rPr>
          <w:lang w:val="fr-FR"/>
        </w:rPr>
        <w:t>193.</w:t>
      </w:r>
      <w:r w:rsidRPr="00AB1F22">
        <w:rPr>
          <w:lang w:val="fr-FR"/>
        </w:rPr>
        <w:tab/>
        <w:t>L</w:t>
      </w:r>
      <w:r w:rsidR="004F1DFB">
        <w:rPr>
          <w:lang w:val="fr-FR"/>
        </w:rPr>
        <w:t>’</w:t>
      </w:r>
      <w:r w:rsidRPr="00AB1F22">
        <w:rPr>
          <w:lang w:val="fr-FR"/>
        </w:rPr>
        <w:t>ordonnance portant Charte des droits de Hong</w:t>
      </w:r>
      <w:r>
        <w:rPr>
          <w:lang w:val="fr-FR"/>
        </w:rPr>
        <w:t> </w:t>
      </w:r>
      <w:r w:rsidRPr="00AB1F22">
        <w:rPr>
          <w:lang w:val="fr-FR"/>
        </w:rPr>
        <w:t xml:space="preserve">Kong lie le </w:t>
      </w:r>
      <w:r>
        <w:rPr>
          <w:lang w:val="fr-FR"/>
        </w:rPr>
        <w:t>G</w:t>
      </w:r>
      <w:r w:rsidRPr="00AB1F22">
        <w:rPr>
          <w:lang w:val="fr-FR"/>
        </w:rPr>
        <w:t>ouvernement et toutes les autorités publiques (y compris les forces de l</w:t>
      </w:r>
      <w:r w:rsidR="004F1DFB">
        <w:rPr>
          <w:lang w:val="fr-FR"/>
        </w:rPr>
        <w:t>’</w:t>
      </w:r>
      <w:r w:rsidRPr="00AB1F22">
        <w:rPr>
          <w:lang w:val="fr-FR"/>
        </w:rPr>
        <w:t>ordre), et toute personne agissant au nom du Gouvernement ou d</w:t>
      </w:r>
      <w:r w:rsidR="004F1DFB">
        <w:rPr>
          <w:lang w:val="fr-FR"/>
        </w:rPr>
        <w:t>’</w:t>
      </w:r>
      <w:r w:rsidRPr="00AB1F22">
        <w:rPr>
          <w:lang w:val="fr-FR"/>
        </w:rPr>
        <w:t>une autorité publique. Le premier paragraphe de l</w:t>
      </w:r>
      <w:r w:rsidR="004F1DFB">
        <w:rPr>
          <w:lang w:val="fr-FR"/>
        </w:rPr>
        <w:t>’</w:t>
      </w:r>
      <w:r w:rsidRPr="00AB1F22">
        <w:rPr>
          <w:lang w:val="fr-FR"/>
        </w:rPr>
        <w:t>article 1 de la Charte des droit</w:t>
      </w:r>
      <w:r>
        <w:rPr>
          <w:lang w:val="fr-FR"/>
        </w:rPr>
        <w:t>s de Hong </w:t>
      </w:r>
      <w:r w:rsidRPr="00AB1F22">
        <w:rPr>
          <w:lang w:val="fr-FR"/>
        </w:rPr>
        <w:t>Kong, qui donne effet au premier paragraphe de l</w:t>
      </w:r>
      <w:r w:rsidR="004F1DFB">
        <w:rPr>
          <w:lang w:val="fr-FR"/>
        </w:rPr>
        <w:t>’</w:t>
      </w:r>
      <w:r w:rsidRPr="00AB1F22">
        <w:rPr>
          <w:lang w:val="fr-FR"/>
        </w:rPr>
        <w:t>article 2 du Pacte sur le territoire de Hong</w:t>
      </w:r>
      <w:r>
        <w:rPr>
          <w:lang w:val="fr-FR"/>
        </w:rPr>
        <w:t> </w:t>
      </w:r>
      <w:r w:rsidRPr="00AB1F22">
        <w:rPr>
          <w:lang w:val="fr-FR"/>
        </w:rPr>
        <w:t>Kong, garantit que les droits reconnus dans la Charte sont exercés sans distinction aucune, notamment de race, de couleur, de langue ou d</w:t>
      </w:r>
      <w:r w:rsidR="004F1DFB">
        <w:rPr>
          <w:lang w:val="fr-FR"/>
        </w:rPr>
        <w:t>’</w:t>
      </w:r>
      <w:r w:rsidRPr="00AB1F22">
        <w:rPr>
          <w:lang w:val="fr-FR"/>
        </w:rPr>
        <w:t>origine nationale ou sociale. L</w:t>
      </w:r>
      <w:r w:rsidR="004F1DFB">
        <w:rPr>
          <w:lang w:val="fr-FR"/>
        </w:rPr>
        <w:t>’</w:t>
      </w:r>
      <w:r w:rsidRPr="00AB1F22">
        <w:rPr>
          <w:lang w:val="fr-FR"/>
        </w:rPr>
        <w:t>article 22 de la Charte des droits de Hong</w:t>
      </w:r>
      <w:r>
        <w:rPr>
          <w:lang w:val="fr-FR"/>
        </w:rPr>
        <w:t> </w:t>
      </w:r>
      <w:r w:rsidRPr="00AB1F22">
        <w:rPr>
          <w:lang w:val="fr-FR"/>
        </w:rPr>
        <w:t>Kong, qui donne effet à l</w:t>
      </w:r>
      <w:r w:rsidR="004F1DFB">
        <w:rPr>
          <w:lang w:val="fr-FR"/>
        </w:rPr>
        <w:t>’</w:t>
      </w:r>
      <w:r w:rsidRPr="00AB1F22">
        <w:rPr>
          <w:lang w:val="fr-FR"/>
        </w:rPr>
        <w:t>article 26 du Pacte, prévoit en outre que la loi garantit une protection égale et efficace contre la discrimination, quel qu</w:t>
      </w:r>
      <w:r w:rsidR="004F1DFB">
        <w:rPr>
          <w:lang w:val="fr-FR"/>
        </w:rPr>
        <w:t>’</w:t>
      </w:r>
      <w:r w:rsidRPr="00AB1F22">
        <w:rPr>
          <w:lang w:val="fr-FR"/>
        </w:rPr>
        <w:t>en so</w:t>
      </w:r>
      <w:r>
        <w:rPr>
          <w:lang w:val="fr-FR"/>
        </w:rPr>
        <w:t>it le motif, y compris la race.</w:t>
      </w:r>
    </w:p>
    <w:p w:rsidR="0024529D" w:rsidRPr="00AB1F22" w:rsidRDefault="0024529D" w:rsidP="0024529D">
      <w:pPr>
        <w:pStyle w:val="SingleTxtG"/>
        <w:rPr>
          <w:lang w:val="fr-FR"/>
        </w:rPr>
      </w:pPr>
      <w:r w:rsidRPr="00AB1F22">
        <w:rPr>
          <w:lang w:val="fr-FR"/>
        </w:rPr>
        <w:t>194.</w:t>
      </w:r>
      <w:r w:rsidRPr="00AB1F22">
        <w:rPr>
          <w:lang w:val="fr-FR"/>
        </w:rPr>
        <w:tab/>
        <w:t>Des voies sont disponibles pour traiter les plaintes contre le Gouvernement et les autorités publiques par l</w:t>
      </w:r>
      <w:r w:rsidR="004F1DFB">
        <w:rPr>
          <w:lang w:val="fr-FR"/>
        </w:rPr>
        <w:t>’</w:t>
      </w:r>
      <w:r w:rsidRPr="00AB1F22">
        <w:rPr>
          <w:lang w:val="fr-FR"/>
        </w:rPr>
        <w:t>intermédiaire de la Commission de l</w:t>
      </w:r>
      <w:r w:rsidR="004F1DFB">
        <w:rPr>
          <w:lang w:val="fr-FR"/>
        </w:rPr>
        <w:t>’</w:t>
      </w:r>
      <w:r w:rsidRPr="00AB1F22">
        <w:rPr>
          <w:lang w:val="fr-FR"/>
        </w:rPr>
        <w:t>égalité des chances, de l</w:t>
      </w:r>
      <w:r w:rsidR="004F1DFB">
        <w:rPr>
          <w:lang w:val="fr-FR"/>
        </w:rPr>
        <w:t>’</w:t>
      </w:r>
      <w:r w:rsidRPr="00AB1F22">
        <w:rPr>
          <w:lang w:val="fr-FR"/>
        </w:rPr>
        <w:t xml:space="preserve">Ombudsman, du Bureau des réclamations contre la police, du Conseil législatif, des mécanismes de plainte dans les différents bureaux et départements, et des tribunaux. </w:t>
      </w:r>
      <w:r>
        <w:rPr>
          <w:lang w:val="fr-FR"/>
        </w:rPr>
        <w:t>E</w:t>
      </w:r>
      <w:r w:rsidRPr="00AB1F22">
        <w:rPr>
          <w:lang w:val="fr-FR"/>
        </w:rPr>
        <w:t>n</w:t>
      </w:r>
      <w:r w:rsidR="003F79A2">
        <w:rPr>
          <w:lang w:val="fr-FR"/>
        </w:rPr>
        <w:t> </w:t>
      </w:r>
      <w:r w:rsidRPr="00AB1F22">
        <w:rPr>
          <w:lang w:val="fr-FR"/>
        </w:rPr>
        <w:t>vertu de l</w:t>
      </w:r>
      <w:r w:rsidR="004F1DFB">
        <w:rPr>
          <w:lang w:val="fr-FR"/>
        </w:rPr>
        <w:t>’</w:t>
      </w:r>
      <w:r w:rsidRPr="00AB1F22">
        <w:rPr>
          <w:lang w:val="fr-FR"/>
        </w:rPr>
        <w:t>article 6 de l</w:t>
      </w:r>
      <w:r w:rsidR="004F1DFB">
        <w:rPr>
          <w:lang w:val="fr-FR"/>
        </w:rPr>
        <w:t>’</w:t>
      </w:r>
      <w:r w:rsidRPr="00AB1F22">
        <w:rPr>
          <w:lang w:val="fr-FR"/>
        </w:rPr>
        <w:t>ordonnance po</w:t>
      </w:r>
      <w:r>
        <w:rPr>
          <w:lang w:val="fr-FR"/>
        </w:rPr>
        <w:t>rtant Charte des droits de Hong </w:t>
      </w:r>
      <w:r w:rsidRPr="00AB1F22">
        <w:rPr>
          <w:lang w:val="fr-FR"/>
        </w:rPr>
        <w:t>Kong</w:t>
      </w:r>
      <w:r>
        <w:rPr>
          <w:lang w:val="fr-FR"/>
        </w:rPr>
        <w:t>,</w:t>
      </w:r>
      <w:r w:rsidRPr="00AB1F22">
        <w:rPr>
          <w:lang w:val="fr-FR"/>
        </w:rPr>
        <w:t xml:space="preserve"> </w:t>
      </w:r>
      <w:r>
        <w:rPr>
          <w:lang w:val="fr-FR"/>
        </w:rPr>
        <w:t>u</w:t>
      </w:r>
      <w:r w:rsidRPr="00AB1F22">
        <w:rPr>
          <w:lang w:val="fr-FR"/>
        </w:rPr>
        <w:t>ne personne lésée peut notamment demander réparation en engageant des poursuites judiciaires contre le Gouvernement ou une autorité publique pour violation de l</w:t>
      </w:r>
      <w:r w:rsidR="004F1DFB">
        <w:rPr>
          <w:lang w:val="fr-FR"/>
        </w:rPr>
        <w:t>’</w:t>
      </w:r>
      <w:r>
        <w:rPr>
          <w:lang w:val="fr-FR"/>
        </w:rPr>
        <w:t>article </w:t>
      </w:r>
      <w:r w:rsidRPr="00AB1F22">
        <w:rPr>
          <w:lang w:val="fr-FR"/>
        </w:rPr>
        <w:t>1 1) ou 22 de la Charte des droits de Hong</w:t>
      </w:r>
      <w:r>
        <w:rPr>
          <w:lang w:val="fr-FR"/>
        </w:rPr>
        <w:t> </w:t>
      </w:r>
      <w:r w:rsidRPr="00AB1F22">
        <w:rPr>
          <w:lang w:val="fr-FR"/>
        </w:rPr>
        <w:t>Kong. Il convient donc de souligner que les organismes publics, y compris les forces de l</w:t>
      </w:r>
      <w:r w:rsidR="004F1DFB">
        <w:rPr>
          <w:lang w:val="fr-FR"/>
        </w:rPr>
        <w:t>’</w:t>
      </w:r>
      <w:r w:rsidRPr="00AB1F22">
        <w:rPr>
          <w:lang w:val="fr-FR"/>
        </w:rPr>
        <w:t xml:space="preserve">ordre, se sont toujours vu interdire de commettre </w:t>
      </w:r>
      <w:r>
        <w:rPr>
          <w:lang w:val="fr-FR"/>
        </w:rPr>
        <w:t>des</w:t>
      </w:r>
      <w:r w:rsidRPr="00AB1F22">
        <w:rPr>
          <w:lang w:val="fr-FR"/>
        </w:rPr>
        <w:t xml:space="preserve"> acte</w:t>
      </w:r>
      <w:r>
        <w:rPr>
          <w:lang w:val="fr-FR"/>
        </w:rPr>
        <w:t xml:space="preserve">s </w:t>
      </w:r>
      <w:r w:rsidRPr="00AB1F22">
        <w:rPr>
          <w:lang w:val="fr-FR"/>
        </w:rPr>
        <w:t>constitutif</w:t>
      </w:r>
      <w:r>
        <w:rPr>
          <w:lang w:val="fr-FR"/>
        </w:rPr>
        <w:t xml:space="preserve">s </w:t>
      </w:r>
      <w:r w:rsidRPr="00AB1F22">
        <w:rPr>
          <w:lang w:val="fr-FR"/>
        </w:rPr>
        <w:t>de discrimination raciale en applica</w:t>
      </w:r>
      <w:r>
        <w:rPr>
          <w:lang w:val="fr-FR"/>
        </w:rPr>
        <w:t>tion des lois de la RAS de Hong Kong.</w:t>
      </w:r>
    </w:p>
    <w:p w:rsidR="0024529D" w:rsidRPr="00AB1F22" w:rsidRDefault="0024529D" w:rsidP="0024529D">
      <w:pPr>
        <w:pStyle w:val="SingleTxtG"/>
        <w:rPr>
          <w:lang w:val="fr-FR"/>
        </w:rPr>
      </w:pPr>
      <w:r w:rsidRPr="00AB1F22">
        <w:rPr>
          <w:lang w:val="fr-FR"/>
        </w:rPr>
        <w:t>195.</w:t>
      </w:r>
      <w:r w:rsidRPr="00AB1F22">
        <w:rPr>
          <w:lang w:val="fr-FR"/>
        </w:rPr>
        <w:tab/>
        <w:t>L</w:t>
      </w:r>
      <w:r w:rsidR="004F1DFB">
        <w:rPr>
          <w:lang w:val="fr-FR"/>
        </w:rPr>
        <w:t>’</w:t>
      </w:r>
      <w:r w:rsidRPr="00AB1F22">
        <w:rPr>
          <w:lang w:val="fr-FR"/>
        </w:rPr>
        <w:t>ordonnance relative à la discrimination raciale lie le Gouvernement (art</w:t>
      </w:r>
      <w:r w:rsidR="003F79A2">
        <w:rPr>
          <w:lang w:val="fr-FR"/>
        </w:rPr>
        <w:t>.</w:t>
      </w:r>
      <w:r w:rsidRPr="00AB1F22">
        <w:rPr>
          <w:lang w:val="fr-FR"/>
        </w:rPr>
        <w:t> 3 de l</w:t>
      </w:r>
      <w:r w:rsidR="004F1DFB">
        <w:rPr>
          <w:lang w:val="fr-FR"/>
        </w:rPr>
        <w:t>’</w:t>
      </w:r>
      <w:r w:rsidRPr="00AB1F22">
        <w:rPr>
          <w:lang w:val="fr-FR"/>
        </w:rPr>
        <w:t>ordonnance) et interdit donc les actes et pratiques discriminatoires des forces de l</w:t>
      </w:r>
      <w:r w:rsidR="004F1DFB">
        <w:rPr>
          <w:lang w:val="fr-FR"/>
        </w:rPr>
        <w:t>’</w:t>
      </w:r>
      <w:r w:rsidRPr="00AB1F22">
        <w:rPr>
          <w:lang w:val="fr-FR"/>
        </w:rPr>
        <w:t>ordre dans tous les domaines précisés dans l</w:t>
      </w:r>
      <w:r w:rsidR="004F1DFB">
        <w:rPr>
          <w:lang w:val="fr-FR"/>
        </w:rPr>
        <w:t>’</w:t>
      </w:r>
      <w:r w:rsidRPr="00AB1F22">
        <w:rPr>
          <w:lang w:val="fr-FR"/>
        </w:rPr>
        <w:t>ordonnance, tels que l</w:t>
      </w:r>
      <w:r w:rsidR="004F1DFB">
        <w:rPr>
          <w:lang w:val="fr-FR"/>
        </w:rPr>
        <w:t>’</w:t>
      </w:r>
      <w:r w:rsidRPr="00AB1F22">
        <w:rPr>
          <w:lang w:val="fr-FR"/>
        </w:rPr>
        <w:t>emploi, l</w:t>
      </w:r>
      <w:r w:rsidR="004F1DFB">
        <w:rPr>
          <w:lang w:val="fr-FR"/>
        </w:rPr>
        <w:t>’</w:t>
      </w:r>
      <w:r w:rsidRPr="00AB1F22">
        <w:rPr>
          <w:lang w:val="fr-FR"/>
        </w:rPr>
        <w:t>éducation, la</w:t>
      </w:r>
      <w:r w:rsidR="003F79A2">
        <w:rPr>
          <w:lang w:val="fr-FR"/>
        </w:rPr>
        <w:t> </w:t>
      </w:r>
      <w:r w:rsidRPr="00AB1F22">
        <w:rPr>
          <w:lang w:val="fr-FR"/>
        </w:rPr>
        <w:t>fourniture de biens, équipements ou services, et la disposition ou la gestion de locaux. En</w:t>
      </w:r>
      <w:r w:rsidR="003F79A2">
        <w:rPr>
          <w:lang w:val="fr-FR"/>
        </w:rPr>
        <w:t> </w:t>
      </w:r>
      <w:r w:rsidRPr="00AB1F22">
        <w:rPr>
          <w:lang w:val="fr-FR"/>
        </w:rPr>
        <w:t>particulier, l</w:t>
      </w:r>
      <w:r w:rsidR="004F1DFB">
        <w:rPr>
          <w:lang w:val="fr-FR"/>
        </w:rPr>
        <w:t>’</w:t>
      </w:r>
      <w:r w:rsidRPr="00AB1F22">
        <w:rPr>
          <w:lang w:val="fr-FR"/>
        </w:rPr>
        <w:t>article 27 de l</w:t>
      </w:r>
      <w:r w:rsidR="004F1DFB">
        <w:rPr>
          <w:lang w:val="fr-FR"/>
        </w:rPr>
        <w:t>’</w:t>
      </w:r>
      <w:r w:rsidRPr="00AB1F22">
        <w:rPr>
          <w:lang w:val="fr-FR"/>
        </w:rPr>
        <w:t>ordonnance relative à la discrimination raciale rend illégal tout acte discriminatoire commis par le Gouvernement à l</w:t>
      </w:r>
      <w:r w:rsidR="004F1DFB">
        <w:rPr>
          <w:lang w:val="fr-FR"/>
        </w:rPr>
        <w:t>’</w:t>
      </w:r>
      <w:r w:rsidRPr="00AB1F22">
        <w:rPr>
          <w:lang w:val="fr-FR"/>
        </w:rPr>
        <w:t>égard d</w:t>
      </w:r>
      <w:r w:rsidR="004F1DFB">
        <w:rPr>
          <w:lang w:val="fr-FR"/>
        </w:rPr>
        <w:t>’</w:t>
      </w:r>
      <w:r w:rsidRPr="00AB1F22">
        <w:rPr>
          <w:lang w:val="fr-FR"/>
        </w:rPr>
        <w:t xml:space="preserve">une personne dans le cadre de services que lui fournit un département du Gouvernement ou de toute </w:t>
      </w:r>
      <w:r>
        <w:rPr>
          <w:lang w:val="fr-FR"/>
        </w:rPr>
        <w:t>mesure prise par le Gouvernement.</w:t>
      </w:r>
    </w:p>
    <w:p w:rsidR="0024529D" w:rsidRPr="00AB1F22" w:rsidRDefault="0024529D" w:rsidP="0024529D">
      <w:pPr>
        <w:pStyle w:val="SingleTxtG"/>
        <w:rPr>
          <w:lang w:val="fr-FR"/>
        </w:rPr>
      </w:pPr>
      <w:r w:rsidRPr="00AB1F22">
        <w:rPr>
          <w:lang w:val="fr-FR"/>
        </w:rPr>
        <w:t>196.</w:t>
      </w:r>
      <w:r w:rsidRPr="00AB1F22">
        <w:rPr>
          <w:lang w:val="fr-FR"/>
        </w:rPr>
        <w:tab/>
        <w:t>Dans l</w:t>
      </w:r>
      <w:r w:rsidR="004F1DFB">
        <w:rPr>
          <w:lang w:val="fr-FR"/>
        </w:rPr>
        <w:t>’</w:t>
      </w:r>
      <w:r w:rsidRPr="00AB1F22">
        <w:rPr>
          <w:lang w:val="fr-FR"/>
        </w:rPr>
        <w:t>affaire</w:t>
      </w:r>
      <w:r>
        <w:rPr>
          <w:lang w:val="fr-FR"/>
        </w:rPr>
        <w:t> </w:t>
      </w:r>
      <w:r w:rsidRPr="00AB1F22">
        <w:rPr>
          <w:i/>
          <w:iCs/>
          <w:lang w:val="fr-FR"/>
        </w:rPr>
        <w:t>Singh Arjun c.</w:t>
      </w:r>
      <w:r w:rsidR="003F79A2">
        <w:rPr>
          <w:i/>
          <w:iCs/>
          <w:lang w:val="fr-FR"/>
        </w:rPr>
        <w:t> </w:t>
      </w:r>
      <w:r w:rsidRPr="00AB1F22">
        <w:rPr>
          <w:i/>
          <w:iCs/>
          <w:lang w:val="fr-FR"/>
        </w:rPr>
        <w:t>Secrétaire à la Justice</w:t>
      </w:r>
      <w:r w:rsidRPr="00AB1F22">
        <w:rPr>
          <w:lang w:val="fr-FR"/>
        </w:rPr>
        <w:t xml:space="preserve"> (DCEO 9/2011) tranchée en mai 2016, le tribunal de district a estimé que l</w:t>
      </w:r>
      <w:r w:rsidR="004F1DFB">
        <w:rPr>
          <w:lang w:val="fr-FR"/>
        </w:rPr>
        <w:t>’</w:t>
      </w:r>
      <w:r w:rsidRPr="00AB1F22">
        <w:rPr>
          <w:lang w:val="fr-FR"/>
        </w:rPr>
        <w:t xml:space="preserve">interdiction de discrimination dans la prestation de </w:t>
      </w:r>
      <w:r>
        <w:rPr>
          <w:lang w:val="fr-FR"/>
        </w:rPr>
        <w:t>« </w:t>
      </w:r>
      <w:r w:rsidRPr="00AB1F22">
        <w:rPr>
          <w:lang w:val="fr-FR"/>
        </w:rPr>
        <w:t>services</w:t>
      </w:r>
      <w:r>
        <w:rPr>
          <w:lang w:val="fr-FR"/>
        </w:rPr>
        <w:t> »,</w:t>
      </w:r>
      <w:r w:rsidRPr="00AB1F22">
        <w:rPr>
          <w:lang w:val="fr-FR"/>
        </w:rPr>
        <w:t xml:space="preserve"> prévue à l</w:t>
      </w:r>
      <w:r w:rsidR="004F1DFB">
        <w:rPr>
          <w:lang w:val="fr-FR"/>
        </w:rPr>
        <w:t>’</w:t>
      </w:r>
      <w:r w:rsidRPr="00AB1F22">
        <w:rPr>
          <w:lang w:val="fr-FR"/>
        </w:rPr>
        <w:t>article</w:t>
      </w:r>
      <w:r>
        <w:rPr>
          <w:lang w:val="fr-FR"/>
        </w:rPr>
        <w:t> </w:t>
      </w:r>
      <w:r w:rsidRPr="00AB1F22">
        <w:rPr>
          <w:lang w:val="fr-FR"/>
        </w:rPr>
        <w:t>27 de l</w:t>
      </w:r>
      <w:r w:rsidR="004F1DFB">
        <w:rPr>
          <w:lang w:val="fr-FR"/>
        </w:rPr>
        <w:t>’</w:t>
      </w:r>
      <w:r w:rsidRPr="00AB1F22">
        <w:rPr>
          <w:lang w:val="fr-FR"/>
        </w:rPr>
        <w:t>ordonnance relative à la discrimination raciale, couvr</w:t>
      </w:r>
      <w:r>
        <w:rPr>
          <w:lang w:val="fr-FR"/>
        </w:rPr>
        <w:t>ait</w:t>
      </w:r>
      <w:r w:rsidRPr="00AB1F22">
        <w:rPr>
          <w:lang w:val="fr-FR"/>
        </w:rPr>
        <w:t xml:space="preserve"> les activités de la police lorsqu</w:t>
      </w:r>
      <w:r w:rsidR="004F1DFB">
        <w:rPr>
          <w:lang w:val="fr-FR"/>
        </w:rPr>
        <w:t>’</w:t>
      </w:r>
      <w:r w:rsidRPr="00AB1F22">
        <w:rPr>
          <w:lang w:val="fr-FR"/>
        </w:rPr>
        <w:t>elle répond</w:t>
      </w:r>
      <w:r>
        <w:rPr>
          <w:lang w:val="fr-FR"/>
        </w:rPr>
        <w:t>ait</w:t>
      </w:r>
      <w:r w:rsidRPr="00AB1F22">
        <w:rPr>
          <w:lang w:val="fr-FR"/>
        </w:rPr>
        <w:t xml:space="preserve"> à des demandes d</w:t>
      </w:r>
      <w:r w:rsidR="004F1DFB">
        <w:rPr>
          <w:lang w:val="fr-FR"/>
        </w:rPr>
        <w:t>’</w:t>
      </w:r>
      <w:r w:rsidRPr="00AB1F22">
        <w:rPr>
          <w:lang w:val="fr-FR"/>
        </w:rPr>
        <w:t>assistance et lorsqu</w:t>
      </w:r>
      <w:r w:rsidR="004F1DFB">
        <w:rPr>
          <w:lang w:val="fr-FR"/>
        </w:rPr>
        <w:t>’</w:t>
      </w:r>
      <w:r w:rsidRPr="00AB1F22">
        <w:rPr>
          <w:lang w:val="fr-FR"/>
        </w:rPr>
        <w:t>elle enquêt</w:t>
      </w:r>
      <w:r>
        <w:rPr>
          <w:lang w:val="fr-FR"/>
        </w:rPr>
        <w:t>ait</w:t>
      </w:r>
      <w:r w:rsidRPr="00AB1F22">
        <w:rPr>
          <w:lang w:val="fr-FR"/>
        </w:rPr>
        <w:t xml:space="preserve"> sur des crimes et infractions. Bien que le tribunal de district ait estimé qu</w:t>
      </w:r>
      <w:r w:rsidR="004F1DFB">
        <w:rPr>
          <w:lang w:val="fr-FR"/>
        </w:rPr>
        <w:t>’</w:t>
      </w:r>
      <w:r w:rsidRPr="00AB1F22">
        <w:rPr>
          <w:lang w:val="fr-FR"/>
        </w:rPr>
        <w:t>une personne qui prétend</w:t>
      </w:r>
      <w:r>
        <w:rPr>
          <w:lang w:val="fr-FR"/>
        </w:rPr>
        <w:t>ait</w:t>
      </w:r>
      <w:r w:rsidRPr="00AB1F22">
        <w:rPr>
          <w:lang w:val="fr-FR"/>
        </w:rPr>
        <w:t xml:space="preserve"> avoir fait l</w:t>
      </w:r>
      <w:r w:rsidR="004F1DFB">
        <w:rPr>
          <w:lang w:val="fr-FR"/>
        </w:rPr>
        <w:t>’</w:t>
      </w:r>
      <w:r w:rsidRPr="00AB1F22">
        <w:rPr>
          <w:lang w:val="fr-FR"/>
        </w:rPr>
        <w:t>objet d</w:t>
      </w:r>
      <w:r w:rsidR="004F1DFB">
        <w:rPr>
          <w:lang w:val="fr-FR"/>
        </w:rPr>
        <w:t>’</w:t>
      </w:r>
      <w:r w:rsidRPr="00AB1F22">
        <w:rPr>
          <w:lang w:val="fr-FR"/>
        </w:rPr>
        <w:t>une arrestation en raison de sa race ne p</w:t>
      </w:r>
      <w:r>
        <w:rPr>
          <w:lang w:val="fr-FR"/>
        </w:rPr>
        <w:t>ouvai</w:t>
      </w:r>
      <w:r w:rsidRPr="00AB1F22">
        <w:rPr>
          <w:lang w:val="fr-FR"/>
        </w:rPr>
        <w:t>t pas intenter une action civile en application de l</w:t>
      </w:r>
      <w:r w:rsidR="004F1DFB">
        <w:rPr>
          <w:lang w:val="fr-FR"/>
        </w:rPr>
        <w:t>’</w:t>
      </w:r>
      <w:r w:rsidRPr="00AB1F22">
        <w:rPr>
          <w:lang w:val="fr-FR"/>
        </w:rPr>
        <w:t>article 27 de l</w:t>
      </w:r>
      <w:r w:rsidR="004F1DFB">
        <w:rPr>
          <w:lang w:val="fr-FR"/>
        </w:rPr>
        <w:t>’</w:t>
      </w:r>
      <w:r w:rsidRPr="00AB1F22">
        <w:rPr>
          <w:lang w:val="fr-FR"/>
        </w:rPr>
        <w:t>ordonnance relative à la discrimination raciale, cette personne dispos</w:t>
      </w:r>
      <w:r>
        <w:rPr>
          <w:lang w:val="fr-FR"/>
        </w:rPr>
        <w:t>ait</w:t>
      </w:r>
      <w:r w:rsidRPr="00AB1F22">
        <w:rPr>
          <w:lang w:val="fr-FR"/>
        </w:rPr>
        <w:t xml:space="preserve"> d</w:t>
      </w:r>
      <w:r w:rsidR="004F1DFB">
        <w:rPr>
          <w:lang w:val="fr-FR"/>
        </w:rPr>
        <w:t>’</w:t>
      </w:r>
      <w:r w:rsidRPr="00AB1F22">
        <w:rPr>
          <w:lang w:val="fr-FR"/>
        </w:rPr>
        <w:t>un recours efficace de droit public qui lui permet</w:t>
      </w:r>
      <w:r>
        <w:rPr>
          <w:lang w:val="fr-FR"/>
        </w:rPr>
        <w:t>tait</w:t>
      </w:r>
      <w:r w:rsidRPr="00AB1F22">
        <w:rPr>
          <w:lang w:val="fr-FR"/>
        </w:rPr>
        <w:t xml:space="preserve"> de contester l</w:t>
      </w:r>
      <w:r w:rsidR="004F1DFB">
        <w:rPr>
          <w:lang w:val="fr-FR"/>
        </w:rPr>
        <w:t>’</w:t>
      </w:r>
      <w:r w:rsidRPr="00AB1F22">
        <w:rPr>
          <w:lang w:val="fr-FR"/>
        </w:rPr>
        <w:t>arrestation au motif qu</w:t>
      </w:r>
      <w:r w:rsidR="004F1DFB">
        <w:rPr>
          <w:lang w:val="fr-FR"/>
        </w:rPr>
        <w:t>’</w:t>
      </w:r>
      <w:r w:rsidRPr="00AB1F22">
        <w:rPr>
          <w:lang w:val="fr-FR"/>
        </w:rPr>
        <w:t>elle port</w:t>
      </w:r>
      <w:r>
        <w:rPr>
          <w:lang w:val="fr-FR"/>
        </w:rPr>
        <w:t>ait</w:t>
      </w:r>
      <w:r w:rsidRPr="00AB1F22">
        <w:rPr>
          <w:lang w:val="fr-FR"/>
        </w:rPr>
        <w:t xml:space="preserve"> atteinte au droit à l</w:t>
      </w:r>
      <w:r w:rsidR="004F1DFB">
        <w:rPr>
          <w:lang w:val="fr-FR"/>
        </w:rPr>
        <w:t>’</w:t>
      </w:r>
      <w:r w:rsidRPr="00AB1F22">
        <w:rPr>
          <w:lang w:val="fr-FR"/>
        </w:rPr>
        <w:t>égalité devant la loi garanti par l</w:t>
      </w:r>
      <w:r w:rsidR="004F1DFB">
        <w:rPr>
          <w:lang w:val="fr-FR"/>
        </w:rPr>
        <w:t>’</w:t>
      </w:r>
      <w:r w:rsidRPr="00AB1F22">
        <w:rPr>
          <w:lang w:val="fr-FR"/>
        </w:rPr>
        <w:t>article 25 de la Loi fondamentale et les articles</w:t>
      </w:r>
      <w:r>
        <w:rPr>
          <w:lang w:val="fr-FR"/>
        </w:rPr>
        <w:t> </w:t>
      </w:r>
      <w:r w:rsidRPr="00AB1F22">
        <w:rPr>
          <w:lang w:val="fr-FR"/>
        </w:rPr>
        <w:t>1 et 22 de la Charte des droits de Hong</w:t>
      </w:r>
      <w:r>
        <w:rPr>
          <w:lang w:val="fr-FR"/>
        </w:rPr>
        <w:t> </w:t>
      </w:r>
      <w:r w:rsidRPr="00AB1F22">
        <w:rPr>
          <w:lang w:val="fr-FR"/>
        </w:rPr>
        <w:t>Kong, et p</w:t>
      </w:r>
      <w:r>
        <w:rPr>
          <w:lang w:val="fr-FR"/>
        </w:rPr>
        <w:t>ouvai</w:t>
      </w:r>
      <w:r w:rsidRPr="00AB1F22">
        <w:rPr>
          <w:lang w:val="fr-FR"/>
        </w:rPr>
        <w:t>t demander des dommages</w:t>
      </w:r>
      <w:r>
        <w:rPr>
          <w:lang w:val="fr-FR"/>
        </w:rPr>
        <w:noBreakHyphen/>
      </w:r>
      <w:r w:rsidRPr="00AB1F22">
        <w:rPr>
          <w:lang w:val="fr-FR"/>
        </w:rPr>
        <w:t>intérêts pour atteinte à la personne ou arrestation arbitraire dans le cadre d</w:t>
      </w:r>
      <w:r w:rsidR="004F1DFB">
        <w:rPr>
          <w:lang w:val="fr-FR"/>
        </w:rPr>
        <w:t>’</w:t>
      </w:r>
      <w:r w:rsidRPr="00AB1F22">
        <w:rPr>
          <w:lang w:val="fr-FR"/>
        </w:rPr>
        <w:t>une action civile. Le tribunal de district n</w:t>
      </w:r>
      <w:r w:rsidR="004F1DFB">
        <w:rPr>
          <w:lang w:val="fr-FR"/>
        </w:rPr>
        <w:t>’</w:t>
      </w:r>
      <w:r w:rsidRPr="00AB1F22">
        <w:rPr>
          <w:lang w:val="fr-FR"/>
        </w:rPr>
        <w:t xml:space="preserve">a trouvé aucune preuve de profilage racial ou de racisme institutionnel de la part de la police dans cette affaire. Au contraire, les éléments de preuve </w:t>
      </w:r>
      <w:r>
        <w:rPr>
          <w:lang w:val="fr-FR"/>
        </w:rPr>
        <w:t>montraient</w:t>
      </w:r>
      <w:r w:rsidRPr="00AB1F22">
        <w:rPr>
          <w:lang w:val="fr-FR"/>
        </w:rPr>
        <w:t xml:space="preserve"> que la police avait dûment répondu aux besoins du demandeur compte tenu des circonstances.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Discrimination fondée sur l</w:t>
      </w:r>
      <w:r w:rsidR="004F1DFB">
        <w:rPr>
          <w:bCs/>
          <w:lang w:val="fr-FR"/>
        </w:rPr>
        <w:t>’</w:t>
      </w:r>
      <w:r w:rsidRPr="00AB1F22">
        <w:rPr>
          <w:bCs/>
          <w:lang w:val="fr-FR"/>
        </w:rPr>
        <w:t>âge</w:t>
      </w:r>
      <w:r w:rsidRPr="00AB1F22">
        <w:rPr>
          <w:lang w:val="fr-FR"/>
        </w:rPr>
        <w:t xml:space="preserve"> </w:t>
      </w:r>
      <w:bookmarkStart w:id="85" w:name="_Toc31721474"/>
      <w:bookmarkEnd w:id="85"/>
    </w:p>
    <w:p w:rsidR="0024529D" w:rsidRPr="00AB1F22" w:rsidRDefault="0024529D" w:rsidP="0024529D">
      <w:pPr>
        <w:pStyle w:val="SingleTxtG"/>
        <w:rPr>
          <w:lang w:val="fr-FR"/>
        </w:rPr>
      </w:pPr>
      <w:r w:rsidRPr="00AB1F22">
        <w:rPr>
          <w:lang w:val="fr-FR"/>
        </w:rPr>
        <w:t>197.</w:t>
      </w:r>
      <w:r w:rsidRPr="00AB1F22">
        <w:rPr>
          <w:lang w:val="fr-FR"/>
        </w:rPr>
        <w:tab/>
        <w:t>La situation reste inchangée par rapport à celle exposée au paragraphe</w:t>
      </w:r>
      <w:r>
        <w:rPr>
          <w:lang w:val="fr-FR"/>
        </w:rPr>
        <w:t> </w:t>
      </w:r>
      <w:r w:rsidRPr="00AB1F22">
        <w:rPr>
          <w:lang w:val="fr-FR"/>
        </w:rPr>
        <w:t>2.22 du troisième rapport de la RAS de Hong</w:t>
      </w:r>
      <w:r>
        <w:rPr>
          <w:lang w:val="fr-FR"/>
        </w:rPr>
        <w:t> </w:t>
      </w:r>
      <w:r w:rsidRPr="00AB1F22">
        <w:rPr>
          <w:lang w:val="fr-FR"/>
        </w:rPr>
        <w:t>Kong sur la mise en œuvre du Pacte international relatif aux droits économiques, sociaux et culturels, consacré à l</w:t>
      </w:r>
      <w:r w:rsidR="004F1DFB">
        <w:rPr>
          <w:lang w:val="fr-FR"/>
        </w:rPr>
        <w:t>’</w:t>
      </w:r>
      <w:r w:rsidRPr="00AB1F22">
        <w:rPr>
          <w:lang w:val="fr-FR"/>
        </w:rPr>
        <w:t>article</w:t>
      </w:r>
      <w:r>
        <w:rPr>
          <w:lang w:val="fr-FR"/>
        </w:rPr>
        <w:t> </w:t>
      </w:r>
      <w:r w:rsidRPr="00AB1F22">
        <w:rPr>
          <w:lang w:val="fr-FR"/>
        </w:rPr>
        <w:t xml:space="preserve">2 de ce </w:t>
      </w:r>
      <w:r w:rsidR="003770DB" w:rsidRPr="00AB1F22">
        <w:rPr>
          <w:lang w:val="fr-FR"/>
        </w:rPr>
        <w:t>P</w:t>
      </w:r>
      <w:r w:rsidRPr="00AB1F22">
        <w:rPr>
          <w:lang w:val="fr-FR"/>
        </w:rPr>
        <w:t>acte. Le</w:t>
      </w:r>
      <w:r w:rsidR="003F79A2">
        <w:rPr>
          <w:lang w:val="fr-FR"/>
        </w:rPr>
        <w:t> </w:t>
      </w:r>
      <w:r w:rsidRPr="00AB1F22">
        <w:rPr>
          <w:lang w:val="fr-FR"/>
        </w:rPr>
        <w:t>Gouvernement continue d</w:t>
      </w:r>
      <w:r w:rsidR="004F1DFB">
        <w:rPr>
          <w:lang w:val="fr-FR"/>
        </w:rPr>
        <w:t>’</w:t>
      </w:r>
      <w:r w:rsidRPr="00AB1F22">
        <w:rPr>
          <w:lang w:val="fr-FR"/>
        </w:rPr>
        <w:t>encourager les employeurs à assurer l</w:t>
      </w:r>
      <w:r w:rsidR="004F1DFB">
        <w:rPr>
          <w:lang w:val="fr-FR"/>
        </w:rPr>
        <w:t>’</w:t>
      </w:r>
      <w:r w:rsidRPr="00AB1F22">
        <w:rPr>
          <w:lang w:val="fr-FR"/>
        </w:rPr>
        <w:t>égalité des chances dans l</w:t>
      </w:r>
      <w:r w:rsidR="004F1DFB">
        <w:rPr>
          <w:lang w:val="fr-FR"/>
        </w:rPr>
        <w:t>’</w:t>
      </w:r>
      <w:r w:rsidRPr="00AB1F22">
        <w:rPr>
          <w:lang w:val="fr-FR"/>
        </w:rPr>
        <w:t>emploi et de sensibiliser le public à l</w:t>
      </w:r>
      <w:r w:rsidR="004F1DFB">
        <w:rPr>
          <w:lang w:val="fr-FR"/>
        </w:rPr>
        <w:t>’</w:t>
      </w:r>
      <w:r w:rsidRPr="00AB1F22">
        <w:rPr>
          <w:lang w:val="fr-FR"/>
        </w:rPr>
        <w:t>élimination de la discrimination fondée sur l</w:t>
      </w:r>
      <w:r w:rsidR="004F1DFB">
        <w:rPr>
          <w:lang w:val="fr-FR"/>
        </w:rPr>
        <w:t>’</w:t>
      </w:r>
      <w:r w:rsidRPr="00AB1F22">
        <w:rPr>
          <w:lang w:val="fr-FR"/>
        </w:rPr>
        <w:t>âge en matière d</w:t>
      </w:r>
      <w:r w:rsidR="004F1DFB">
        <w:rPr>
          <w:lang w:val="fr-FR"/>
        </w:rPr>
        <w:t>’</w:t>
      </w:r>
      <w:r w:rsidRPr="00AB1F22">
        <w:rPr>
          <w:lang w:val="fr-FR"/>
        </w:rPr>
        <w:t>emploi grâce à divers moyens comme les messages d</w:t>
      </w:r>
      <w:r w:rsidR="004F1DFB">
        <w:rPr>
          <w:lang w:val="fr-FR"/>
        </w:rPr>
        <w:t>’</w:t>
      </w:r>
      <w:r w:rsidRPr="00AB1F22">
        <w:rPr>
          <w:lang w:val="fr-FR"/>
        </w:rPr>
        <w:t>intérêt public radiodiffusés et télévisés et les articles de journaux. En outre, le Gouvernement a publié des directives pratiques à l</w:t>
      </w:r>
      <w:r w:rsidR="004F1DFB">
        <w:rPr>
          <w:lang w:val="fr-FR"/>
        </w:rPr>
        <w:t>’</w:t>
      </w:r>
      <w:r w:rsidRPr="00AB1F22">
        <w:rPr>
          <w:lang w:val="fr-FR"/>
        </w:rPr>
        <w:t>intention des employeurs sur l</w:t>
      </w:r>
      <w:r w:rsidR="004F1DFB">
        <w:rPr>
          <w:lang w:val="fr-FR"/>
        </w:rPr>
        <w:t>’</w:t>
      </w:r>
      <w:r w:rsidRPr="00AB1F22">
        <w:rPr>
          <w:lang w:val="fr-FR"/>
        </w:rPr>
        <w:t>élimination de la discrimination fondée sur l</w:t>
      </w:r>
      <w:r w:rsidR="004F1DFB">
        <w:rPr>
          <w:lang w:val="fr-FR"/>
        </w:rPr>
        <w:t>’</w:t>
      </w:r>
      <w:r w:rsidRPr="00AB1F22">
        <w:rPr>
          <w:lang w:val="fr-FR"/>
        </w:rPr>
        <w:t>âge en matière d</w:t>
      </w:r>
      <w:r w:rsidR="004F1DFB">
        <w:rPr>
          <w:lang w:val="fr-FR"/>
        </w:rPr>
        <w:t>’</w:t>
      </w:r>
      <w:r w:rsidRPr="00AB1F22">
        <w:rPr>
          <w:lang w:val="fr-FR"/>
        </w:rPr>
        <w:t>emploi, qui énoncent les meilleures pratiques que les employeurs et les agences pour l</w:t>
      </w:r>
      <w:r w:rsidR="004F1DFB">
        <w:rPr>
          <w:lang w:val="fr-FR"/>
        </w:rPr>
        <w:t>’</w:t>
      </w:r>
      <w:r w:rsidRPr="00AB1F22">
        <w:rPr>
          <w:lang w:val="fr-FR"/>
        </w:rPr>
        <w:t>emploi peuvent suivre sur une base volontaire, et un guide pour les employeurs sur l</w:t>
      </w:r>
      <w:r w:rsidR="004F1DFB">
        <w:rPr>
          <w:lang w:val="fr-FR"/>
        </w:rPr>
        <w:t>’</w:t>
      </w:r>
      <w:r w:rsidRPr="00AB1F22">
        <w:rPr>
          <w:lang w:val="fr-FR"/>
        </w:rPr>
        <w:t>élimination de la discrimination fondée sur l</w:t>
      </w:r>
      <w:r w:rsidR="004F1DFB">
        <w:rPr>
          <w:lang w:val="fr-FR"/>
        </w:rPr>
        <w:t>’</w:t>
      </w:r>
      <w:r w:rsidRPr="00AB1F22">
        <w:rPr>
          <w:lang w:val="fr-FR"/>
        </w:rPr>
        <w:t>âge en matière d</w:t>
      </w:r>
      <w:r w:rsidR="004F1DFB">
        <w:rPr>
          <w:lang w:val="fr-FR"/>
        </w:rPr>
        <w:t>’</w:t>
      </w:r>
      <w:r>
        <w:rPr>
          <w:lang w:val="fr-FR"/>
        </w:rPr>
        <w:t>emploi.</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Discrimination fondée sur l</w:t>
      </w:r>
      <w:r w:rsidR="004F1DFB">
        <w:rPr>
          <w:bCs/>
          <w:lang w:val="fr-FR"/>
        </w:rPr>
        <w:t>’</w:t>
      </w:r>
      <w:r w:rsidRPr="00AB1F22">
        <w:rPr>
          <w:bCs/>
          <w:lang w:val="fr-FR"/>
        </w:rPr>
        <w:t>orientation sexuelle et l</w:t>
      </w:r>
      <w:r w:rsidR="004F1DFB">
        <w:rPr>
          <w:bCs/>
          <w:lang w:val="fr-FR"/>
        </w:rPr>
        <w:t>’</w:t>
      </w:r>
      <w:r w:rsidRPr="00AB1F22">
        <w:rPr>
          <w:bCs/>
          <w:lang w:val="fr-FR"/>
        </w:rPr>
        <w:t>identité de genre</w:t>
      </w:r>
      <w:r w:rsidRPr="00AB1F22">
        <w:rPr>
          <w:lang w:val="fr-FR"/>
        </w:rPr>
        <w:t xml:space="preserve"> </w:t>
      </w:r>
      <w:bookmarkStart w:id="86" w:name="_Toc31721475"/>
      <w:bookmarkEnd w:id="86"/>
    </w:p>
    <w:p w:rsidR="0024529D" w:rsidRPr="00AB1F22" w:rsidRDefault="0024529D" w:rsidP="0024529D">
      <w:pPr>
        <w:pStyle w:val="SingleTxtG"/>
        <w:rPr>
          <w:lang w:val="fr-FR"/>
        </w:rPr>
      </w:pPr>
      <w:r w:rsidRPr="00AB1F22">
        <w:rPr>
          <w:lang w:val="fr-FR"/>
        </w:rPr>
        <w:t>198.</w:t>
      </w:r>
      <w:r w:rsidRPr="00AB1F22">
        <w:rPr>
          <w:lang w:val="fr-FR"/>
        </w:rPr>
        <w:tab/>
        <w:t>Le Gouvernement est déterminé à promouvoir l</w:t>
      </w:r>
      <w:r w:rsidR="004F1DFB">
        <w:rPr>
          <w:lang w:val="fr-FR"/>
        </w:rPr>
        <w:t>’</w:t>
      </w:r>
      <w:r w:rsidRPr="00AB1F22">
        <w:rPr>
          <w:lang w:val="fr-FR"/>
        </w:rPr>
        <w:t>égalité des chances pour les personnes d</w:t>
      </w:r>
      <w:r w:rsidR="004F1DFB">
        <w:rPr>
          <w:lang w:val="fr-FR"/>
        </w:rPr>
        <w:t>’</w:t>
      </w:r>
      <w:r w:rsidRPr="00AB1F22">
        <w:rPr>
          <w:lang w:val="fr-FR"/>
        </w:rPr>
        <w:t>orientation sexuelle différente et les personnes transgenres, en vue de favoriser une culture et des valeurs d</w:t>
      </w:r>
      <w:r w:rsidR="004F1DFB">
        <w:rPr>
          <w:lang w:val="fr-FR"/>
        </w:rPr>
        <w:t>’</w:t>
      </w:r>
      <w:r w:rsidRPr="00AB1F22">
        <w:rPr>
          <w:lang w:val="fr-FR"/>
        </w:rPr>
        <w:t>inclusion et de respect mutuel au sein de la communauté</w:t>
      </w:r>
      <w:r>
        <w:rPr>
          <w:lang w:val="fr-FR"/>
        </w:rPr>
        <w:t>.</w:t>
      </w:r>
    </w:p>
    <w:p w:rsidR="0024529D" w:rsidRPr="00AB1F22" w:rsidRDefault="0024529D" w:rsidP="0024529D">
      <w:pPr>
        <w:pStyle w:val="SingleTxtG"/>
        <w:rPr>
          <w:lang w:val="fr-FR"/>
        </w:rPr>
      </w:pPr>
      <w:r w:rsidRPr="00AB1F22">
        <w:rPr>
          <w:lang w:val="fr-FR"/>
        </w:rPr>
        <w:t>199.</w:t>
      </w:r>
      <w:r w:rsidRPr="00AB1F22">
        <w:rPr>
          <w:lang w:val="fr-FR"/>
        </w:rPr>
        <w:tab/>
        <w:t>Pour mieux traiter les questions relatives aux minorités sexuelles, le Gouvernement a créé en juin 2013 le Groupe consultatif sur l</w:t>
      </w:r>
      <w:r w:rsidR="004F1DFB">
        <w:rPr>
          <w:lang w:val="fr-FR"/>
        </w:rPr>
        <w:t>’</w:t>
      </w:r>
      <w:r w:rsidRPr="00AB1F22">
        <w:rPr>
          <w:lang w:val="fr-FR"/>
        </w:rPr>
        <w:t>élimination de la discrimination à l</w:t>
      </w:r>
      <w:r w:rsidR="004F1DFB">
        <w:rPr>
          <w:lang w:val="fr-FR"/>
        </w:rPr>
        <w:t>’</w:t>
      </w:r>
      <w:r w:rsidRPr="00AB1F22">
        <w:rPr>
          <w:lang w:val="fr-FR"/>
        </w:rPr>
        <w:t xml:space="preserve">égard des minorités sexuelles, qui réunit des </w:t>
      </w:r>
      <w:r>
        <w:rPr>
          <w:lang w:val="fr-FR"/>
        </w:rPr>
        <w:t>représentants</w:t>
      </w:r>
      <w:r w:rsidRPr="00AB1F22">
        <w:rPr>
          <w:lang w:val="fr-FR"/>
        </w:rPr>
        <w:t xml:space="preserve"> de la communauté des minorités sexuelles, du milieu universitaire, du monde des affaires et du Conseil législatif. Le Groupe consultatif est chargé de donner des conseils sur les questions liées aux préoccupations concernant la discrimination que subissent les minorités sexuelles à Hong</w:t>
      </w:r>
      <w:r>
        <w:rPr>
          <w:lang w:val="fr-FR"/>
        </w:rPr>
        <w:t> </w:t>
      </w:r>
      <w:r w:rsidRPr="00AB1F22">
        <w:rPr>
          <w:lang w:val="fr-FR"/>
        </w:rPr>
        <w:t>Kong, ainsi que sur les formes et l</w:t>
      </w:r>
      <w:r w:rsidR="004F1DFB">
        <w:rPr>
          <w:lang w:val="fr-FR"/>
        </w:rPr>
        <w:t>’</w:t>
      </w:r>
      <w:r w:rsidRPr="00AB1F22">
        <w:rPr>
          <w:lang w:val="fr-FR"/>
        </w:rPr>
        <w:t>étendue de cette discrimination. C</w:t>
      </w:r>
      <w:r w:rsidR="004F1DFB">
        <w:rPr>
          <w:lang w:val="fr-FR"/>
        </w:rPr>
        <w:t>’</w:t>
      </w:r>
      <w:r w:rsidRPr="00AB1F22">
        <w:rPr>
          <w:lang w:val="fr-FR"/>
        </w:rPr>
        <w:t>est pourquoi il a proposé des stratégies et des mesures de lutte contre cette discrimination (voir l</w:t>
      </w:r>
      <w:r w:rsidR="004F1DFB">
        <w:rPr>
          <w:lang w:val="fr-FR"/>
        </w:rPr>
        <w:t>’</w:t>
      </w:r>
      <w:r w:rsidRPr="00AB1F22">
        <w:rPr>
          <w:lang w:val="fr-FR"/>
        </w:rPr>
        <w:t>annexe</w:t>
      </w:r>
      <w:r>
        <w:rPr>
          <w:lang w:val="fr-FR"/>
        </w:rPr>
        <w:t> </w:t>
      </w:r>
      <w:r w:rsidRPr="00AB1F22">
        <w:rPr>
          <w:lang w:val="fr-FR"/>
        </w:rPr>
        <w:t xml:space="preserve">26C pour plus de détails). </w:t>
      </w:r>
    </w:p>
    <w:p w:rsidR="0024529D" w:rsidRPr="00AB1F22" w:rsidRDefault="0024529D" w:rsidP="0024529D">
      <w:pPr>
        <w:pStyle w:val="SingleTxtG"/>
        <w:rPr>
          <w:lang w:val="fr-FR"/>
        </w:rPr>
      </w:pPr>
      <w:r w:rsidRPr="00AB1F22">
        <w:rPr>
          <w:lang w:val="fr-FR"/>
        </w:rPr>
        <w:t>200.</w:t>
      </w:r>
      <w:r w:rsidRPr="00AB1F22">
        <w:rPr>
          <w:lang w:val="fr-FR"/>
        </w:rPr>
        <w:tab/>
        <w:t>Au paragraphe</w:t>
      </w:r>
      <w:r>
        <w:rPr>
          <w:lang w:val="fr-FR"/>
        </w:rPr>
        <w:t> </w:t>
      </w:r>
      <w:r w:rsidRPr="00AB1F22">
        <w:rPr>
          <w:lang w:val="fr-FR"/>
        </w:rPr>
        <w:t>23 des précédentes observations finales, le Comité a recommandé à la RAS de Hong</w:t>
      </w:r>
      <w:r>
        <w:rPr>
          <w:lang w:val="fr-FR"/>
        </w:rPr>
        <w:t> </w:t>
      </w:r>
      <w:r w:rsidRPr="00AB1F22">
        <w:rPr>
          <w:lang w:val="fr-FR"/>
        </w:rPr>
        <w:t>Kong de promulguer une loi interdisant expressément la discrimination fondée sur l</w:t>
      </w:r>
      <w:r w:rsidR="004F1DFB">
        <w:rPr>
          <w:lang w:val="fr-FR"/>
        </w:rPr>
        <w:t>’</w:t>
      </w:r>
      <w:r w:rsidRPr="00AB1F22">
        <w:rPr>
          <w:lang w:val="fr-FR"/>
        </w:rPr>
        <w:t>orientation sexuelle et l</w:t>
      </w:r>
      <w:r w:rsidR="004F1DFB">
        <w:rPr>
          <w:lang w:val="fr-FR"/>
        </w:rPr>
        <w:t>’</w:t>
      </w:r>
      <w:r w:rsidRPr="00AB1F22">
        <w:rPr>
          <w:lang w:val="fr-FR"/>
        </w:rPr>
        <w:t xml:space="preserve">identité de genre. Certains commentateurs se sont également renseignés sur le projet du Gouvernement de légiférer contre </w:t>
      </w:r>
      <w:r>
        <w:rPr>
          <w:lang w:val="fr-FR"/>
        </w:rPr>
        <w:t>cette forme de</w:t>
      </w:r>
      <w:r w:rsidRPr="00AB1F22">
        <w:rPr>
          <w:lang w:val="fr-FR"/>
        </w:rPr>
        <w:t xml:space="preserve"> discrimination. Comme l</w:t>
      </w:r>
      <w:r w:rsidR="004F1DFB">
        <w:rPr>
          <w:lang w:val="fr-FR"/>
        </w:rPr>
        <w:t>’</w:t>
      </w:r>
      <w:r w:rsidRPr="00AB1F22">
        <w:rPr>
          <w:lang w:val="fr-FR"/>
        </w:rPr>
        <w:t>a reconnu le Groupe consultatif, la société est profondément divisée quant à l</w:t>
      </w:r>
      <w:r w:rsidR="004F1DFB">
        <w:rPr>
          <w:lang w:val="fr-FR"/>
        </w:rPr>
        <w:t>’</w:t>
      </w:r>
      <w:r w:rsidRPr="00AB1F22">
        <w:rPr>
          <w:lang w:val="fr-FR"/>
        </w:rPr>
        <w:t>opportunité d</w:t>
      </w:r>
      <w:r w:rsidR="004F1DFB">
        <w:rPr>
          <w:lang w:val="fr-FR"/>
        </w:rPr>
        <w:t>’</w:t>
      </w:r>
      <w:r w:rsidRPr="00AB1F22">
        <w:rPr>
          <w:lang w:val="fr-FR"/>
        </w:rPr>
        <w:t>introduire une législation interdisant la discrimination fondée sur l</w:t>
      </w:r>
      <w:r w:rsidR="004F1DFB">
        <w:rPr>
          <w:lang w:val="fr-FR"/>
        </w:rPr>
        <w:t>’</w:t>
      </w:r>
      <w:r w:rsidRPr="00AB1F22">
        <w:rPr>
          <w:lang w:val="fr-FR"/>
        </w:rPr>
        <w:t>orientation sexuelle et l</w:t>
      </w:r>
      <w:r w:rsidR="004F1DFB">
        <w:rPr>
          <w:lang w:val="fr-FR"/>
        </w:rPr>
        <w:t>’</w:t>
      </w:r>
      <w:r w:rsidRPr="00AB1F22">
        <w:rPr>
          <w:lang w:val="fr-FR"/>
        </w:rPr>
        <w:t>identité de genre. D</w:t>
      </w:r>
      <w:r w:rsidR="004F1DFB">
        <w:rPr>
          <w:lang w:val="fr-FR"/>
        </w:rPr>
        <w:t>’</w:t>
      </w:r>
      <w:r w:rsidRPr="00AB1F22">
        <w:rPr>
          <w:lang w:val="fr-FR"/>
        </w:rPr>
        <w:t>une part, certains estiment que le Gouvernement devrait introduire une législation pour sauvegarder l</w:t>
      </w:r>
      <w:r w:rsidR="004F1DFB">
        <w:rPr>
          <w:lang w:val="fr-FR"/>
        </w:rPr>
        <w:t>’</w:t>
      </w:r>
      <w:r w:rsidRPr="00AB1F22">
        <w:rPr>
          <w:lang w:val="fr-FR"/>
        </w:rPr>
        <w:t>égalité des chances pour les minorités sexuelles. D</w:t>
      </w:r>
      <w:r w:rsidR="004F1DFB">
        <w:rPr>
          <w:lang w:val="fr-FR"/>
        </w:rPr>
        <w:t>’</w:t>
      </w:r>
      <w:r w:rsidRPr="00AB1F22">
        <w:rPr>
          <w:lang w:val="fr-FR"/>
        </w:rPr>
        <w:t>autre part, certains sont convaincus que l</w:t>
      </w:r>
      <w:r w:rsidR="004F1DFB">
        <w:rPr>
          <w:lang w:val="fr-FR"/>
        </w:rPr>
        <w:t>’</w:t>
      </w:r>
      <w:r w:rsidRPr="00AB1F22">
        <w:rPr>
          <w:lang w:val="fr-FR"/>
        </w:rPr>
        <w:t>introduction d</w:t>
      </w:r>
      <w:r w:rsidR="004F1DFB">
        <w:rPr>
          <w:lang w:val="fr-FR"/>
        </w:rPr>
        <w:t>’</w:t>
      </w:r>
      <w:r w:rsidRPr="00AB1F22">
        <w:rPr>
          <w:lang w:val="fr-FR"/>
        </w:rPr>
        <w:t>une telle législation aura une incidence sur les valeurs familiales traditionnelles et la liberté de croyance religieuse. Compte tenu de la nature complexe et très controversée de cette question, le Gouvernement mène une étude complémentaire sur les mesures législatives et non législatives prises par d</w:t>
      </w:r>
      <w:r w:rsidR="004F1DFB">
        <w:rPr>
          <w:lang w:val="fr-FR"/>
        </w:rPr>
        <w:t>’</w:t>
      </w:r>
      <w:r w:rsidRPr="00AB1F22">
        <w:rPr>
          <w:lang w:val="fr-FR"/>
        </w:rPr>
        <w:t>autres juridictions pour lutter contre la discrimination fondée sur l</w:t>
      </w:r>
      <w:r w:rsidR="004F1DFB">
        <w:rPr>
          <w:lang w:val="fr-FR"/>
        </w:rPr>
        <w:t>’</w:t>
      </w:r>
      <w:r w:rsidRPr="00AB1F22">
        <w:rPr>
          <w:lang w:val="fr-FR"/>
        </w:rPr>
        <w:t>orientation sexuelle et l</w:t>
      </w:r>
      <w:r w:rsidR="004F1DFB">
        <w:rPr>
          <w:lang w:val="fr-FR"/>
        </w:rPr>
        <w:t>’</w:t>
      </w:r>
      <w:r w:rsidRPr="00AB1F22">
        <w:rPr>
          <w:lang w:val="fr-FR"/>
        </w:rPr>
        <w:t>identité de genre. Les conclusions de l</w:t>
      </w:r>
      <w:r w:rsidR="004F1DFB">
        <w:rPr>
          <w:lang w:val="fr-FR"/>
        </w:rPr>
        <w:t>’</w:t>
      </w:r>
      <w:r w:rsidRPr="00AB1F22">
        <w:rPr>
          <w:lang w:val="fr-FR"/>
        </w:rPr>
        <w:t xml:space="preserve">étude serviront de base pour envisager des mesures législatives et administratives de lutte contre </w:t>
      </w:r>
      <w:r>
        <w:rPr>
          <w:lang w:val="fr-FR"/>
        </w:rPr>
        <w:t>cette</w:t>
      </w:r>
      <w:r w:rsidRPr="00AB1F22">
        <w:rPr>
          <w:lang w:val="fr-FR"/>
        </w:rPr>
        <w:t xml:space="preserve"> discrimination. Nous examinerons ces conclusions et continuerons à écouter attentivement les différentes opinions exprimées au sein de la société afin de définir la voie à suivre. </w:t>
      </w:r>
    </w:p>
    <w:p w:rsidR="0024529D" w:rsidRPr="00AB1F22" w:rsidRDefault="0024529D" w:rsidP="0024529D">
      <w:pPr>
        <w:pStyle w:val="SingleTxtG"/>
        <w:rPr>
          <w:lang w:val="fr-FR"/>
        </w:rPr>
      </w:pPr>
      <w:r w:rsidRPr="00AB1F22">
        <w:rPr>
          <w:lang w:val="fr-FR"/>
        </w:rPr>
        <w:t>201.</w:t>
      </w:r>
      <w:r w:rsidRPr="00AB1F22">
        <w:rPr>
          <w:lang w:val="fr-FR"/>
        </w:rPr>
        <w:tab/>
      </w:r>
      <w:r>
        <w:rPr>
          <w:lang w:val="fr-FR"/>
        </w:rPr>
        <w:t>L</w:t>
      </w:r>
      <w:r w:rsidR="004F1DFB">
        <w:rPr>
          <w:lang w:val="fr-FR"/>
        </w:rPr>
        <w:t>’</w:t>
      </w:r>
      <w:r>
        <w:rPr>
          <w:lang w:val="fr-FR"/>
        </w:rPr>
        <w:t>on se reportera à l</w:t>
      </w:r>
      <w:r w:rsidR="004F1DFB">
        <w:rPr>
          <w:lang w:val="fr-FR"/>
        </w:rPr>
        <w:t>’</w:t>
      </w:r>
      <w:r>
        <w:rPr>
          <w:lang w:val="fr-FR"/>
        </w:rPr>
        <w:t>annexe 26D pour</w:t>
      </w:r>
      <w:r w:rsidRPr="00AB1F22">
        <w:rPr>
          <w:lang w:val="fr-FR"/>
        </w:rPr>
        <w:t xml:space="preserve"> la question de la reconnaissance de l</w:t>
      </w:r>
      <w:r w:rsidR="004F1DFB">
        <w:rPr>
          <w:lang w:val="fr-FR"/>
        </w:rPr>
        <w:t>’</w:t>
      </w:r>
      <w:r w:rsidRPr="00AB1F22">
        <w:rPr>
          <w:lang w:val="fr-FR"/>
        </w:rPr>
        <w:t xml:space="preserve">identité de genre.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Discrimination fondée sur le handicap</w:t>
      </w:r>
      <w:r w:rsidRPr="00AB1F22">
        <w:rPr>
          <w:lang w:val="fr-FR"/>
        </w:rPr>
        <w:t xml:space="preserve"> </w:t>
      </w:r>
      <w:bookmarkStart w:id="87" w:name="_Toc31721476"/>
      <w:bookmarkEnd w:id="87"/>
    </w:p>
    <w:p w:rsidR="0024529D" w:rsidRPr="00AB1F22" w:rsidRDefault="0024529D" w:rsidP="0024529D">
      <w:pPr>
        <w:pStyle w:val="SingleTxtG"/>
        <w:rPr>
          <w:lang w:val="fr-FR"/>
        </w:rPr>
      </w:pPr>
      <w:r w:rsidRPr="00AB1F22">
        <w:rPr>
          <w:lang w:val="fr-FR"/>
        </w:rPr>
        <w:t>202.</w:t>
      </w:r>
      <w:r w:rsidRPr="00AB1F22">
        <w:rPr>
          <w:lang w:val="fr-FR"/>
        </w:rPr>
        <w:tab/>
        <w:t>La situation reste inchangée par rapport à celle exposée aux paragraphes 366 à 369</w:t>
      </w:r>
      <w:r w:rsidR="003F79A2">
        <w:rPr>
          <w:lang w:val="fr-FR"/>
        </w:rPr>
        <w:t> </w:t>
      </w:r>
      <w:r w:rsidRPr="00AB1F22">
        <w:rPr>
          <w:lang w:val="fr-FR"/>
        </w:rPr>
        <w:t>du rapport précédent. Le cadre général de la protection juridique des personnes handicapées et les mesures connexes les concernant sont expliqués aux paragraphes 92, 113</w:t>
      </w:r>
      <w:r w:rsidR="003F79A2">
        <w:rPr>
          <w:lang w:val="fr-FR"/>
        </w:rPr>
        <w:t> </w:t>
      </w:r>
      <w:r w:rsidRPr="00AB1F22">
        <w:rPr>
          <w:lang w:val="fr-FR"/>
        </w:rPr>
        <w:t>et 114 du document de base commun</w:t>
      </w:r>
      <w:r>
        <w:rPr>
          <w:lang w:val="fr-FR"/>
        </w:rPr>
        <w:t xml:space="preserve"> de la RAS de Hong </w:t>
      </w:r>
      <w:r w:rsidRPr="00AB1F22">
        <w:rPr>
          <w:lang w:val="fr-FR"/>
        </w:rPr>
        <w:t>Kong et dans le rapport initial de la RAS de Hong Kong sur la mise en œuvre de la Convention relative aux droits d</w:t>
      </w:r>
      <w:r>
        <w:rPr>
          <w:lang w:val="fr-FR"/>
        </w:rPr>
        <w:t>es personnes handicapées.</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Droit de vote des personnes souffrant de maladie mentale</w:t>
      </w:r>
      <w:r w:rsidRPr="00AB1F22">
        <w:rPr>
          <w:lang w:val="fr-FR"/>
        </w:rPr>
        <w:t xml:space="preserve"> </w:t>
      </w:r>
    </w:p>
    <w:p w:rsidR="0024529D" w:rsidRPr="00AB1F22" w:rsidRDefault="0024529D" w:rsidP="0024529D">
      <w:pPr>
        <w:pStyle w:val="SingleTxtG"/>
        <w:rPr>
          <w:lang w:val="fr-FR"/>
        </w:rPr>
      </w:pPr>
      <w:r w:rsidRPr="00AB1F22">
        <w:rPr>
          <w:lang w:val="fr-FR"/>
        </w:rPr>
        <w:t>203.</w:t>
      </w:r>
      <w:r w:rsidRPr="00AB1F22">
        <w:rPr>
          <w:lang w:val="fr-FR"/>
        </w:rPr>
        <w:tab/>
        <w:t>Au paragraphe 24 des précédentes observations finales, le Comit</w:t>
      </w:r>
      <w:r>
        <w:rPr>
          <w:lang w:val="fr-FR"/>
        </w:rPr>
        <w:t>é a recommandé à la RAS de Hong </w:t>
      </w:r>
      <w:r w:rsidRPr="00AB1F22">
        <w:rPr>
          <w:lang w:val="fr-FR"/>
        </w:rPr>
        <w:t>Kong de revoir sa législation afin qu</w:t>
      </w:r>
      <w:r w:rsidR="004F1DFB">
        <w:rPr>
          <w:lang w:val="fr-FR"/>
        </w:rPr>
        <w:t>’</w:t>
      </w:r>
      <w:r w:rsidRPr="00AB1F22">
        <w:rPr>
          <w:lang w:val="fr-FR"/>
        </w:rPr>
        <w:t>elle n</w:t>
      </w:r>
      <w:r w:rsidR="004F1DFB">
        <w:rPr>
          <w:lang w:val="fr-FR"/>
        </w:rPr>
        <w:t>’</w:t>
      </w:r>
      <w:r w:rsidRPr="00AB1F22">
        <w:rPr>
          <w:lang w:val="fr-FR"/>
        </w:rPr>
        <w:t>établisse pas de discrimination à l</w:t>
      </w:r>
      <w:r w:rsidR="004F1DFB">
        <w:rPr>
          <w:lang w:val="fr-FR"/>
        </w:rPr>
        <w:t>’</w:t>
      </w:r>
      <w:r w:rsidRPr="00AB1F22">
        <w:rPr>
          <w:lang w:val="fr-FR"/>
        </w:rPr>
        <w:t>égard des personnes souffrant d</w:t>
      </w:r>
      <w:r w:rsidR="004F1DFB">
        <w:rPr>
          <w:lang w:val="fr-FR"/>
        </w:rPr>
        <w:t>’</w:t>
      </w:r>
      <w:r w:rsidRPr="00AB1F22">
        <w:rPr>
          <w:lang w:val="fr-FR"/>
        </w:rPr>
        <w:t>un handicap mental, intellectuel ou psychosocial en les privant du droit de vote pour des raisons qui sont disproportionnées ou n</w:t>
      </w:r>
      <w:r w:rsidR="004F1DFB">
        <w:rPr>
          <w:lang w:val="fr-FR"/>
        </w:rPr>
        <w:t>’</w:t>
      </w:r>
      <w:r w:rsidRPr="00AB1F22">
        <w:rPr>
          <w:lang w:val="fr-FR"/>
        </w:rPr>
        <w:t xml:space="preserve">ont pas de rapport raisonnable et objectif avec leur aptitude à voter. </w:t>
      </w:r>
    </w:p>
    <w:p w:rsidR="0024529D" w:rsidRPr="00AB1F22" w:rsidRDefault="0024529D" w:rsidP="0024529D">
      <w:pPr>
        <w:pStyle w:val="SingleTxtG"/>
        <w:rPr>
          <w:lang w:val="fr-FR"/>
        </w:rPr>
      </w:pPr>
      <w:r w:rsidRPr="00AB1F22">
        <w:rPr>
          <w:lang w:val="fr-FR"/>
        </w:rPr>
        <w:t>204.</w:t>
      </w:r>
      <w:r w:rsidRPr="00AB1F22">
        <w:rPr>
          <w:lang w:val="fr-FR"/>
        </w:rPr>
        <w:tab/>
        <w:t>Les dispositions pertinentes de l</w:t>
      </w:r>
      <w:r w:rsidR="004F1DFB">
        <w:rPr>
          <w:lang w:val="fr-FR"/>
        </w:rPr>
        <w:t>’</w:t>
      </w:r>
      <w:r w:rsidRPr="00AB1F22">
        <w:rPr>
          <w:lang w:val="fr-FR"/>
        </w:rPr>
        <w:t>ordonnance relative au Conseil législatif (chap. 542) et de l</w:t>
      </w:r>
      <w:r w:rsidR="004F1DFB">
        <w:rPr>
          <w:lang w:val="fr-FR"/>
        </w:rPr>
        <w:t>’</w:t>
      </w:r>
      <w:r w:rsidRPr="00AB1F22">
        <w:rPr>
          <w:lang w:val="fr-FR"/>
        </w:rPr>
        <w:t>ordonnance relative aux conseils de district (chap. 547) prévoient qu</w:t>
      </w:r>
      <w:r w:rsidR="004F1DFB">
        <w:rPr>
          <w:lang w:val="fr-FR"/>
        </w:rPr>
        <w:t>’</w:t>
      </w:r>
      <w:r w:rsidRPr="00AB1F22">
        <w:rPr>
          <w:lang w:val="fr-FR"/>
        </w:rPr>
        <w:t>une personne physique peut être privée de l</w:t>
      </w:r>
      <w:r w:rsidR="004F1DFB">
        <w:rPr>
          <w:lang w:val="fr-FR"/>
        </w:rPr>
        <w:t>’</w:t>
      </w:r>
      <w:r w:rsidRPr="00AB1F22">
        <w:rPr>
          <w:lang w:val="fr-FR"/>
        </w:rPr>
        <w:t>inscription sur les listes électorales et du droit de vote si, par application de l</w:t>
      </w:r>
      <w:r w:rsidR="004F1DFB">
        <w:rPr>
          <w:lang w:val="fr-FR"/>
        </w:rPr>
        <w:t>’</w:t>
      </w:r>
      <w:r w:rsidRPr="00AB1F22">
        <w:rPr>
          <w:lang w:val="fr-FR"/>
        </w:rPr>
        <w:t>ordonnance relative à la santé mentale (chap. 136), la personne est jugée inapte, en raison d</w:t>
      </w:r>
      <w:r w:rsidR="004F1DFB">
        <w:rPr>
          <w:lang w:val="fr-FR"/>
        </w:rPr>
        <w:t>’</w:t>
      </w:r>
      <w:r w:rsidRPr="00AB1F22">
        <w:rPr>
          <w:lang w:val="fr-FR"/>
        </w:rPr>
        <w:t>une incapacité mentale, à gérer et à administrer ses biens et ses affaires. L</w:t>
      </w:r>
      <w:r w:rsidR="004F1DFB">
        <w:rPr>
          <w:lang w:val="fr-FR"/>
        </w:rPr>
        <w:t>’</w:t>
      </w:r>
      <w:r w:rsidRPr="00AB1F22">
        <w:rPr>
          <w:lang w:val="fr-FR"/>
        </w:rPr>
        <w:t>interdiction d</w:t>
      </w:r>
      <w:r w:rsidR="004F1DFB">
        <w:rPr>
          <w:lang w:val="fr-FR"/>
        </w:rPr>
        <w:t>’</w:t>
      </w:r>
      <w:r w:rsidRPr="00AB1F22">
        <w:rPr>
          <w:lang w:val="fr-FR"/>
        </w:rPr>
        <w:t>être inscrit sur les listes électorales et de voter vise à faire en sorte que les votes exprimés lors de l</w:t>
      </w:r>
      <w:r w:rsidR="004F1DFB">
        <w:rPr>
          <w:lang w:val="fr-FR"/>
        </w:rPr>
        <w:t>’</w:t>
      </w:r>
      <w:r w:rsidRPr="00AB1F22">
        <w:rPr>
          <w:lang w:val="fr-FR"/>
        </w:rPr>
        <w:t>élection reflètent réellement le libre arbitre des électeurs et à réduire le risque que les électeurs soient victimes de contrainte morale ou de manipulation, et ce, afin de garantir l</w:t>
      </w:r>
      <w:r w:rsidR="004F1DFB">
        <w:rPr>
          <w:lang w:val="fr-FR"/>
        </w:rPr>
        <w:t>’</w:t>
      </w:r>
      <w:r w:rsidRPr="00AB1F22">
        <w:rPr>
          <w:lang w:val="fr-FR"/>
        </w:rPr>
        <w:t>équité de l</w:t>
      </w:r>
      <w:r w:rsidR="004F1DFB">
        <w:rPr>
          <w:lang w:val="fr-FR"/>
        </w:rPr>
        <w:t>’</w:t>
      </w:r>
      <w:r w:rsidRPr="00AB1F22">
        <w:rPr>
          <w:lang w:val="fr-FR"/>
        </w:rPr>
        <w:t xml:space="preserve">élection. </w:t>
      </w:r>
    </w:p>
    <w:p w:rsidR="0024529D" w:rsidRPr="00AB1F22" w:rsidRDefault="0024529D" w:rsidP="0024529D">
      <w:pPr>
        <w:pStyle w:val="SingleTxtG"/>
        <w:rPr>
          <w:lang w:val="fr-FR"/>
        </w:rPr>
      </w:pPr>
      <w:r w:rsidRPr="00AB1F22">
        <w:rPr>
          <w:lang w:val="fr-FR"/>
        </w:rPr>
        <w:t>205.</w:t>
      </w:r>
      <w:r w:rsidRPr="00AB1F22">
        <w:rPr>
          <w:lang w:val="fr-FR"/>
        </w:rPr>
        <w:tab/>
        <w:t>Les restrictions sont raisonnables et proportionnées à ces objectifs légitimes. Aucune interdiction ne sera imposée à une personne du simple fait qu</w:t>
      </w:r>
      <w:r w:rsidR="004F1DFB">
        <w:rPr>
          <w:lang w:val="fr-FR"/>
        </w:rPr>
        <w:t>’</w:t>
      </w:r>
      <w:r w:rsidRPr="00AB1F22">
        <w:rPr>
          <w:lang w:val="fr-FR"/>
        </w:rPr>
        <w:t>elle souffre d</w:t>
      </w:r>
      <w:r w:rsidR="004F1DFB">
        <w:rPr>
          <w:lang w:val="fr-FR"/>
        </w:rPr>
        <w:t>’</w:t>
      </w:r>
      <w:r w:rsidRPr="00AB1F22">
        <w:rPr>
          <w:lang w:val="fr-FR"/>
        </w:rPr>
        <w:t>un handicap mental, intellectuel ou psychosocial. L</w:t>
      </w:r>
      <w:r w:rsidR="004F1DFB">
        <w:rPr>
          <w:lang w:val="fr-FR"/>
        </w:rPr>
        <w:t>’</w:t>
      </w:r>
      <w:r w:rsidRPr="00AB1F22">
        <w:rPr>
          <w:lang w:val="fr-FR"/>
        </w:rPr>
        <w:t>interdiction ne s</w:t>
      </w:r>
      <w:r w:rsidR="004F1DFB">
        <w:rPr>
          <w:lang w:val="fr-FR"/>
        </w:rPr>
        <w:t>’</w:t>
      </w:r>
      <w:r w:rsidRPr="00AB1F22">
        <w:rPr>
          <w:lang w:val="fr-FR"/>
        </w:rPr>
        <w:t>applique qu</w:t>
      </w:r>
      <w:r w:rsidR="004F1DFB">
        <w:rPr>
          <w:lang w:val="fr-FR"/>
        </w:rPr>
        <w:t>’</w:t>
      </w:r>
      <w:r w:rsidRPr="00AB1F22">
        <w:rPr>
          <w:lang w:val="fr-FR"/>
        </w:rPr>
        <w:t>à une personne qu</w:t>
      </w:r>
      <w:r w:rsidR="004F1DFB">
        <w:rPr>
          <w:lang w:val="fr-FR"/>
        </w:rPr>
        <w:t>’</w:t>
      </w:r>
      <w:r w:rsidRPr="00AB1F22">
        <w:rPr>
          <w:lang w:val="fr-FR"/>
        </w:rPr>
        <w:t>un tribunal juge inapte, en raison d</w:t>
      </w:r>
      <w:r w:rsidR="004F1DFB">
        <w:rPr>
          <w:lang w:val="fr-FR"/>
        </w:rPr>
        <w:t>’</w:t>
      </w:r>
      <w:r w:rsidRPr="00AB1F22">
        <w:rPr>
          <w:lang w:val="fr-FR"/>
        </w:rPr>
        <w:t>une incapacité mentale, à gérer et à administrer ses biens et ses affaires conformément à l</w:t>
      </w:r>
      <w:r w:rsidR="004F1DFB">
        <w:rPr>
          <w:lang w:val="fr-FR"/>
        </w:rPr>
        <w:t>’</w:t>
      </w:r>
      <w:r w:rsidRPr="00AB1F22">
        <w:rPr>
          <w:lang w:val="fr-FR"/>
        </w:rPr>
        <w:t>ordonnance relative à la santé mentale. L</w:t>
      </w:r>
      <w:r w:rsidR="004F1DFB">
        <w:rPr>
          <w:lang w:val="fr-FR"/>
        </w:rPr>
        <w:t>’</w:t>
      </w:r>
      <w:r w:rsidRPr="00AB1F22">
        <w:rPr>
          <w:lang w:val="fr-FR"/>
        </w:rPr>
        <w:t>ordonnance dispose en outre que le tribunal doit suivre une série de procédures établies avant de conclure à l</w:t>
      </w:r>
      <w:r w:rsidR="004F1DFB">
        <w:rPr>
          <w:lang w:val="fr-FR"/>
        </w:rPr>
        <w:t>’</w:t>
      </w:r>
      <w:r w:rsidRPr="00AB1F22">
        <w:rPr>
          <w:lang w:val="fr-FR"/>
        </w:rPr>
        <w:t>inaptitude d</w:t>
      </w:r>
      <w:r w:rsidR="004F1DFB">
        <w:rPr>
          <w:lang w:val="fr-FR"/>
        </w:rPr>
        <w:t>’</w:t>
      </w:r>
      <w:r w:rsidRPr="00AB1F22">
        <w:rPr>
          <w:lang w:val="fr-FR"/>
        </w:rPr>
        <w:t xml:space="preserve">une personne. </w:t>
      </w:r>
    </w:p>
    <w:p w:rsidR="0024529D" w:rsidRPr="00AB1F22" w:rsidRDefault="0024529D" w:rsidP="0024529D">
      <w:pPr>
        <w:pStyle w:val="SingleTxtG"/>
        <w:rPr>
          <w:lang w:val="fr-FR"/>
        </w:rPr>
      </w:pPr>
      <w:r w:rsidRPr="00AB1F22">
        <w:rPr>
          <w:lang w:val="fr-FR"/>
        </w:rPr>
        <w:t>206.</w:t>
      </w:r>
      <w:r w:rsidRPr="00AB1F22">
        <w:rPr>
          <w:lang w:val="fr-FR"/>
        </w:rPr>
        <w:tab/>
        <w:t>Plus précisément, le tribunal peut, sur demande, ordonner une enquête pour déterminer si une personne donnée est inapte, en raison d</w:t>
      </w:r>
      <w:r w:rsidR="004F1DFB">
        <w:rPr>
          <w:lang w:val="fr-FR"/>
        </w:rPr>
        <w:t>’</w:t>
      </w:r>
      <w:r w:rsidRPr="00AB1F22">
        <w:rPr>
          <w:lang w:val="fr-FR"/>
        </w:rPr>
        <w:t>une incapacité mentale, à gérer et à administrer ses biens et ses affaires. La demande adressée au tribunal doit être accompagnée de deux certificats médicaux établis et signés par des médecins agréés attestant que la personne souffrant de maladie mentale est inapte, en raison de cette maladie, à gérer et à administrer ses biens et ses affaires. Le tribunal peut demander à la personne qui souffrirait de maladie mentale d</w:t>
      </w:r>
      <w:r w:rsidR="004F1DFB">
        <w:rPr>
          <w:lang w:val="fr-FR"/>
        </w:rPr>
        <w:t>’</w:t>
      </w:r>
      <w:r w:rsidRPr="00AB1F22">
        <w:rPr>
          <w:lang w:val="fr-FR"/>
        </w:rPr>
        <w:t>assister à l</w:t>
      </w:r>
      <w:r w:rsidR="004F1DFB">
        <w:rPr>
          <w:lang w:val="fr-FR"/>
        </w:rPr>
        <w:t>’</w:t>
      </w:r>
      <w:r w:rsidRPr="00AB1F22">
        <w:rPr>
          <w:lang w:val="fr-FR"/>
        </w:rPr>
        <w:t>enquête et d</w:t>
      </w:r>
      <w:r w:rsidR="004F1DFB">
        <w:rPr>
          <w:lang w:val="fr-FR"/>
        </w:rPr>
        <w:t>’</w:t>
      </w:r>
      <w:r w:rsidRPr="00AB1F22">
        <w:rPr>
          <w:lang w:val="fr-FR"/>
        </w:rPr>
        <w:t>être personnellement interrogée par le tribunal ou par toute autre personne désignée par celui</w:t>
      </w:r>
      <w:r>
        <w:rPr>
          <w:lang w:val="fr-FR"/>
        </w:rPr>
        <w:noBreakHyphen/>
      </w:r>
      <w:r w:rsidRPr="00AB1F22">
        <w:rPr>
          <w:lang w:val="fr-FR"/>
        </w:rPr>
        <w:t>ci. De plus, l</w:t>
      </w:r>
      <w:r w:rsidR="004F1DFB">
        <w:rPr>
          <w:lang w:val="fr-FR"/>
        </w:rPr>
        <w:t>’</w:t>
      </w:r>
      <w:r w:rsidRPr="00AB1F22">
        <w:rPr>
          <w:lang w:val="fr-FR"/>
        </w:rPr>
        <w:t>interdiction sera levée si, par application de l</w:t>
      </w:r>
      <w:r w:rsidR="004F1DFB">
        <w:rPr>
          <w:lang w:val="fr-FR"/>
        </w:rPr>
        <w:t>’</w:t>
      </w:r>
      <w:r w:rsidRPr="00AB1F22">
        <w:rPr>
          <w:lang w:val="fr-FR"/>
        </w:rPr>
        <w:t xml:space="preserve">ordonnance relative à la santé mentale, la personne est finalement jugée apte à gérer et à administrer ses biens et ses affaires. </w:t>
      </w:r>
    </w:p>
    <w:p w:rsidR="0024529D" w:rsidRPr="00AB1F22" w:rsidRDefault="0024529D" w:rsidP="0024529D">
      <w:pPr>
        <w:pStyle w:val="SingleTxtG"/>
        <w:rPr>
          <w:lang w:val="fr-FR"/>
        </w:rPr>
      </w:pPr>
      <w:r w:rsidRPr="00AB1F22">
        <w:rPr>
          <w:lang w:val="fr-FR"/>
        </w:rPr>
        <w:t>207.</w:t>
      </w:r>
      <w:r w:rsidRPr="00AB1F22">
        <w:rPr>
          <w:lang w:val="fr-FR"/>
        </w:rPr>
        <w:tab/>
        <w:t>Compte tenu de ce qui précède, les dispositions qui prévoient cette interdiction sont manifestement raisonnables et proportionnées à la poursuite d</w:t>
      </w:r>
      <w:r w:rsidR="004F1DFB">
        <w:rPr>
          <w:lang w:val="fr-FR"/>
        </w:rPr>
        <w:t>’</w:t>
      </w:r>
      <w:r w:rsidRPr="00AB1F22">
        <w:rPr>
          <w:lang w:val="fr-FR"/>
        </w:rPr>
        <w:t>objectifs légitimes importants, et elles sont pleinement conformes à l</w:t>
      </w:r>
      <w:r w:rsidR="004F1DFB">
        <w:rPr>
          <w:lang w:val="fr-FR"/>
        </w:rPr>
        <w:t>’</w:t>
      </w:r>
      <w:r>
        <w:rPr>
          <w:lang w:val="fr-FR"/>
        </w:rPr>
        <w:t>article </w:t>
      </w:r>
      <w:r w:rsidRPr="00AB1F22">
        <w:rPr>
          <w:lang w:val="fr-FR"/>
        </w:rPr>
        <w:t xml:space="preserve">25 du Pacte. </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Discrimination à l</w:t>
      </w:r>
      <w:r w:rsidR="004F1DFB">
        <w:rPr>
          <w:bCs/>
          <w:lang w:val="fr-FR"/>
        </w:rPr>
        <w:t>’</w:t>
      </w:r>
      <w:r w:rsidRPr="00AB1F22">
        <w:rPr>
          <w:bCs/>
          <w:lang w:val="fr-FR"/>
        </w:rPr>
        <w:t>encontre des personnes réinsérées</w:t>
      </w:r>
      <w:r w:rsidRPr="00AB1F22">
        <w:rPr>
          <w:lang w:val="fr-FR"/>
        </w:rPr>
        <w:t xml:space="preserve"> </w:t>
      </w:r>
      <w:bookmarkStart w:id="88" w:name="_Toc31721477"/>
      <w:bookmarkEnd w:id="88"/>
    </w:p>
    <w:p w:rsidR="0024529D" w:rsidRPr="00AB1F22" w:rsidRDefault="0024529D" w:rsidP="0024529D">
      <w:pPr>
        <w:pStyle w:val="SingleTxtG"/>
        <w:rPr>
          <w:lang w:val="fr-FR"/>
        </w:rPr>
      </w:pPr>
      <w:r w:rsidRPr="00AB1F22">
        <w:rPr>
          <w:lang w:val="fr-FR"/>
        </w:rPr>
        <w:t>208.</w:t>
      </w:r>
      <w:r w:rsidRPr="00AB1F22">
        <w:rPr>
          <w:lang w:val="fr-FR"/>
        </w:rPr>
        <w:tab/>
        <w:t>S</w:t>
      </w:r>
      <w:r w:rsidR="004F1DFB">
        <w:rPr>
          <w:lang w:val="fr-FR"/>
        </w:rPr>
        <w:t>’</w:t>
      </w:r>
      <w:r w:rsidRPr="00AB1F22">
        <w:rPr>
          <w:lang w:val="fr-FR"/>
        </w:rPr>
        <w:t>agissant des travaux du Département de l</w:t>
      </w:r>
      <w:r w:rsidR="004F1DFB">
        <w:rPr>
          <w:lang w:val="fr-FR"/>
        </w:rPr>
        <w:t>’</w:t>
      </w:r>
      <w:r w:rsidRPr="00AB1F22">
        <w:rPr>
          <w:lang w:val="fr-FR"/>
        </w:rPr>
        <w:t>administration pénitentiaire visant à faciliter la réinsertion des personnes dans la société et à promouvoir l</w:t>
      </w:r>
      <w:r w:rsidR="004F1DFB">
        <w:rPr>
          <w:lang w:val="fr-FR"/>
        </w:rPr>
        <w:t>’</w:t>
      </w:r>
      <w:r w:rsidRPr="00AB1F22">
        <w:rPr>
          <w:lang w:val="fr-FR"/>
        </w:rPr>
        <w:t>acceptation des personnes réinsérées dans la communauté, la situation reste pour l</w:t>
      </w:r>
      <w:r w:rsidR="004F1DFB">
        <w:rPr>
          <w:lang w:val="fr-FR"/>
        </w:rPr>
        <w:t>’</w:t>
      </w:r>
      <w:r w:rsidRPr="00AB1F22">
        <w:rPr>
          <w:lang w:val="fr-FR"/>
        </w:rPr>
        <w:t>essentiel telle qu</w:t>
      </w:r>
      <w:r w:rsidR="004F1DFB">
        <w:rPr>
          <w:lang w:val="fr-FR"/>
        </w:rPr>
        <w:t>’</w:t>
      </w:r>
      <w:r w:rsidRPr="00AB1F22">
        <w:rPr>
          <w:lang w:val="fr-FR"/>
        </w:rPr>
        <w:t>exposée au paragraphe 371 du rapport précédent.</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Obligations de résidence imposées par les régimes de sécurité sociale</w:t>
      </w:r>
      <w:r w:rsidRPr="00AB1F22">
        <w:rPr>
          <w:lang w:val="fr-FR"/>
        </w:rPr>
        <w:t xml:space="preserve"> </w:t>
      </w:r>
      <w:bookmarkStart w:id="89" w:name="_Toc31721478"/>
      <w:bookmarkEnd w:id="89"/>
    </w:p>
    <w:p w:rsidR="0024529D" w:rsidRPr="00AB1F22" w:rsidRDefault="0024529D" w:rsidP="0024529D">
      <w:pPr>
        <w:pStyle w:val="SingleTxtG"/>
        <w:rPr>
          <w:lang w:val="fr-FR"/>
        </w:rPr>
      </w:pPr>
      <w:r w:rsidRPr="00AB1F22">
        <w:rPr>
          <w:lang w:val="fr-FR"/>
        </w:rPr>
        <w:t>209.</w:t>
      </w:r>
      <w:r w:rsidRPr="00AB1F22">
        <w:rPr>
          <w:lang w:val="fr-FR"/>
        </w:rPr>
        <w:tab/>
        <w:t>À la suite du jugement rendu par la Cour de dernier ressort le 17</w:t>
      </w:r>
      <w:r>
        <w:rPr>
          <w:lang w:val="fr-FR"/>
        </w:rPr>
        <w:t> </w:t>
      </w:r>
      <w:r w:rsidRPr="00AB1F22">
        <w:rPr>
          <w:lang w:val="fr-FR"/>
        </w:rPr>
        <w:t>décembre 2013</w:t>
      </w:r>
      <w:r>
        <w:rPr>
          <w:lang w:val="fr-FR"/>
        </w:rPr>
        <w:t>,</w:t>
      </w:r>
      <w:r w:rsidRPr="00AB1F22">
        <w:rPr>
          <w:lang w:val="fr-FR"/>
        </w:rPr>
        <w:t xml:space="preserve"> dans le cadre d</w:t>
      </w:r>
      <w:r w:rsidR="004F1DFB">
        <w:rPr>
          <w:lang w:val="fr-FR"/>
        </w:rPr>
        <w:t>’</w:t>
      </w:r>
      <w:r w:rsidRPr="00AB1F22">
        <w:rPr>
          <w:lang w:val="fr-FR"/>
        </w:rPr>
        <w:t>un contrôle judiciaire de l</w:t>
      </w:r>
      <w:r w:rsidR="004F1DFB">
        <w:rPr>
          <w:lang w:val="fr-FR"/>
        </w:rPr>
        <w:t>’</w:t>
      </w:r>
      <w:r w:rsidRPr="00AB1F22">
        <w:rPr>
          <w:lang w:val="fr-FR"/>
        </w:rPr>
        <w:t>obligation de résidence de sept</w:t>
      </w:r>
      <w:r>
        <w:rPr>
          <w:lang w:val="fr-FR"/>
        </w:rPr>
        <w:t> </w:t>
      </w:r>
      <w:r w:rsidRPr="00AB1F22">
        <w:rPr>
          <w:lang w:val="fr-FR"/>
        </w:rPr>
        <w:t>ans pour pouvoir adhérer au régime général de sécurité sociale</w:t>
      </w:r>
      <w:r w:rsidRPr="003F79A2">
        <w:rPr>
          <w:rStyle w:val="Appelnotedebasdep"/>
        </w:rPr>
        <w:footnoteReference w:id="13"/>
      </w:r>
      <w:r w:rsidRPr="00AB1F22">
        <w:rPr>
          <w:lang w:val="fr-FR"/>
        </w:rPr>
        <w:t>, le Département de la protection sociale a rétabli l</w:t>
      </w:r>
      <w:r w:rsidR="004F1DFB">
        <w:rPr>
          <w:lang w:val="fr-FR"/>
        </w:rPr>
        <w:t>’</w:t>
      </w:r>
      <w:r w:rsidRPr="00AB1F22">
        <w:rPr>
          <w:lang w:val="fr-FR"/>
        </w:rPr>
        <w:t>obligation de résidence d</w:t>
      </w:r>
      <w:r w:rsidR="004F1DFB">
        <w:rPr>
          <w:lang w:val="fr-FR"/>
        </w:rPr>
        <w:t>’</w:t>
      </w:r>
      <w:r w:rsidRPr="00AB1F22">
        <w:rPr>
          <w:lang w:val="fr-FR"/>
        </w:rPr>
        <w:t>un</w:t>
      </w:r>
      <w:r>
        <w:rPr>
          <w:lang w:val="fr-FR"/>
        </w:rPr>
        <w:t> </w:t>
      </w:r>
      <w:r w:rsidRPr="00AB1F22">
        <w:rPr>
          <w:lang w:val="fr-FR"/>
        </w:rPr>
        <w:t>an qui était imposée avant le 1</w:t>
      </w:r>
      <w:r w:rsidRPr="00AB1F22">
        <w:rPr>
          <w:vertAlign w:val="superscript"/>
          <w:lang w:val="fr-FR"/>
        </w:rPr>
        <w:t>er</w:t>
      </w:r>
      <w:r w:rsidRPr="00AB1F22">
        <w:rPr>
          <w:lang w:val="fr-FR"/>
        </w:rPr>
        <w:t> janvier 2004, à savoir qu</w:t>
      </w:r>
      <w:r w:rsidR="004F1DFB">
        <w:rPr>
          <w:lang w:val="fr-FR"/>
        </w:rPr>
        <w:t>’</w:t>
      </w:r>
      <w:r w:rsidRPr="00AB1F22">
        <w:rPr>
          <w:lang w:val="fr-FR"/>
        </w:rPr>
        <w:t>une personne voulant adhérer au régime général de sécurité sociale doit avoir eu le statut de résident de Hong</w:t>
      </w:r>
      <w:r>
        <w:rPr>
          <w:lang w:val="fr-FR"/>
        </w:rPr>
        <w:t> </w:t>
      </w:r>
      <w:r w:rsidRPr="00AB1F22">
        <w:rPr>
          <w:lang w:val="fr-FR"/>
        </w:rPr>
        <w:t xml:space="preserve">Kong </w:t>
      </w:r>
      <w:r>
        <w:rPr>
          <w:lang w:val="fr-FR"/>
        </w:rPr>
        <w:t xml:space="preserve">et </w:t>
      </w:r>
      <w:r w:rsidRPr="00AB1F22">
        <w:rPr>
          <w:lang w:val="fr-FR"/>
        </w:rPr>
        <w:t>résidé à Hong</w:t>
      </w:r>
      <w:r>
        <w:rPr>
          <w:lang w:val="fr-FR"/>
        </w:rPr>
        <w:t> </w:t>
      </w:r>
      <w:r w:rsidRPr="00AB1F22">
        <w:rPr>
          <w:lang w:val="fr-FR"/>
        </w:rPr>
        <w:t>Kong pendant au moins un an (depuis l</w:t>
      </w:r>
      <w:r w:rsidR="004F1DFB">
        <w:rPr>
          <w:lang w:val="fr-FR"/>
        </w:rPr>
        <w:t>’</w:t>
      </w:r>
      <w:r w:rsidRPr="00AB1F22">
        <w:rPr>
          <w:lang w:val="fr-FR"/>
        </w:rPr>
        <w:t>acquisition du statut de résident de Hong</w:t>
      </w:r>
      <w:r>
        <w:rPr>
          <w:lang w:val="fr-FR"/>
        </w:rPr>
        <w:t> </w:t>
      </w:r>
      <w:r w:rsidRPr="00AB1F22">
        <w:rPr>
          <w:lang w:val="fr-FR"/>
        </w:rPr>
        <w:t>Kong jusqu</w:t>
      </w:r>
      <w:r w:rsidR="004F1DFB">
        <w:rPr>
          <w:lang w:val="fr-FR"/>
        </w:rPr>
        <w:t>’</w:t>
      </w:r>
      <w:r w:rsidRPr="00AB1F22">
        <w:rPr>
          <w:lang w:val="fr-FR"/>
        </w:rPr>
        <w:t>à la veille de la date de la demande d</w:t>
      </w:r>
      <w:r w:rsidR="004F1DFB">
        <w:rPr>
          <w:lang w:val="fr-FR"/>
        </w:rPr>
        <w:t>’</w:t>
      </w:r>
      <w:r w:rsidRPr="00AB1F22">
        <w:rPr>
          <w:lang w:val="fr-FR"/>
        </w:rPr>
        <w:t>adhésion). La résidence d</w:t>
      </w:r>
      <w:r w:rsidR="004F1DFB">
        <w:rPr>
          <w:lang w:val="fr-FR"/>
        </w:rPr>
        <w:t>’</w:t>
      </w:r>
      <w:r w:rsidRPr="00AB1F22">
        <w:rPr>
          <w:lang w:val="fr-FR"/>
        </w:rPr>
        <w:t>un an ne doit pas nécessairement être ininterrompue ni immédiatement précéder la date de la demande. Une personne qui s</w:t>
      </w:r>
      <w:r w:rsidR="004F1DFB">
        <w:rPr>
          <w:lang w:val="fr-FR"/>
        </w:rPr>
        <w:t>’</w:t>
      </w:r>
      <w:r w:rsidRPr="00AB1F22">
        <w:rPr>
          <w:lang w:val="fr-FR"/>
        </w:rPr>
        <w:t>absente de Hong</w:t>
      </w:r>
      <w:r>
        <w:rPr>
          <w:lang w:val="fr-FR"/>
        </w:rPr>
        <w:t> </w:t>
      </w:r>
      <w:r w:rsidRPr="00AB1F22">
        <w:rPr>
          <w:lang w:val="fr-FR"/>
        </w:rPr>
        <w:t>Kong pendant un maximum de 56 jours (consécutifs ou non) avant la date de la demande d</w:t>
      </w:r>
      <w:r w:rsidR="004F1DFB">
        <w:rPr>
          <w:lang w:val="fr-FR"/>
        </w:rPr>
        <w:t>’</w:t>
      </w:r>
      <w:r w:rsidRPr="00AB1F22">
        <w:rPr>
          <w:lang w:val="fr-FR"/>
        </w:rPr>
        <w:t>adhésion reste considérée comme résidente de Hong</w:t>
      </w:r>
      <w:r>
        <w:rPr>
          <w:lang w:val="fr-FR"/>
        </w:rPr>
        <w:t> </w:t>
      </w:r>
      <w:r w:rsidRPr="00AB1F22">
        <w:rPr>
          <w:lang w:val="fr-FR"/>
        </w:rPr>
        <w:t>Kong. Les personnes âgées de moins de 18</w:t>
      </w:r>
      <w:r>
        <w:rPr>
          <w:lang w:val="fr-FR"/>
        </w:rPr>
        <w:t> </w:t>
      </w:r>
      <w:r w:rsidRPr="00AB1F22">
        <w:rPr>
          <w:lang w:val="fr-FR"/>
        </w:rPr>
        <w:t>ans sont dispensées de l</w:t>
      </w:r>
      <w:r w:rsidR="004F1DFB">
        <w:rPr>
          <w:lang w:val="fr-FR"/>
        </w:rPr>
        <w:t>’</w:t>
      </w:r>
      <w:r w:rsidRPr="00AB1F22">
        <w:rPr>
          <w:lang w:val="fr-FR"/>
        </w:rPr>
        <w:t>obligation de résidence. Dans des circonstances particulières, le Département de la protection sociale peut exempter un demandeur de l</w:t>
      </w:r>
      <w:r w:rsidR="004F1DFB">
        <w:rPr>
          <w:lang w:val="fr-FR"/>
        </w:rPr>
        <w:t>’</w:t>
      </w:r>
      <w:r w:rsidRPr="00AB1F22">
        <w:rPr>
          <w:lang w:val="fr-FR"/>
        </w:rPr>
        <w:t>obligation de résidence d</w:t>
      </w:r>
      <w:r w:rsidR="004F1DFB">
        <w:rPr>
          <w:lang w:val="fr-FR"/>
        </w:rPr>
        <w:t>’</w:t>
      </w:r>
      <w:r w:rsidRPr="00AB1F22">
        <w:rPr>
          <w:lang w:val="fr-FR"/>
        </w:rPr>
        <w:t>un</w:t>
      </w:r>
      <w:r>
        <w:rPr>
          <w:lang w:val="fr-FR"/>
        </w:rPr>
        <w:t> </w:t>
      </w:r>
      <w:r w:rsidRPr="00AB1F22">
        <w:rPr>
          <w:lang w:val="fr-FR"/>
        </w:rPr>
        <w:t xml:space="preserve">an pour bénéficier du régime général de sécurité sociale. </w:t>
      </w:r>
    </w:p>
    <w:p w:rsidR="0024529D" w:rsidRPr="00AB1F22" w:rsidRDefault="0024529D" w:rsidP="0024529D">
      <w:pPr>
        <w:pStyle w:val="H1G"/>
        <w:rPr>
          <w:lang w:val="fr-FR"/>
        </w:rPr>
      </w:pPr>
      <w:r w:rsidRPr="00AB1F22">
        <w:rPr>
          <w:lang w:val="fr-FR"/>
        </w:rPr>
        <w:tab/>
      </w:r>
      <w:r w:rsidRPr="00AB1F22">
        <w:rPr>
          <w:lang w:val="fr-FR"/>
        </w:rPr>
        <w:tab/>
      </w:r>
      <w:r w:rsidRPr="00AB1F22">
        <w:rPr>
          <w:bCs/>
          <w:lang w:val="fr-FR"/>
        </w:rPr>
        <w:t>Article</w:t>
      </w:r>
      <w:r>
        <w:rPr>
          <w:bCs/>
          <w:lang w:val="fr-FR"/>
        </w:rPr>
        <w:t> </w:t>
      </w:r>
      <w:r w:rsidRPr="00AB1F22">
        <w:rPr>
          <w:bCs/>
          <w:lang w:val="fr-FR"/>
        </w:rPr>
        <w:t>27</w:t>
      </w:r>
      <w:r>
        <w:rPr>
          <w:bCs/>
          <w:lang w:val="fr-FR"/>
        </w:rPr>
        <w:br/>
      </w:r>
      <w:r w:rsidRPr="00AB1F22">
        <w:rPr>
          <w:bCs/>
          <w:lang w:val="fr-FR"/>
        </w:rPr>
        <w:t>Droit des minorités ethniques</w:t>
      </w:r>
      <w:bookmarkStart w:id="90" w:name="_Toc31721479"/>
      <w:bookmarkEnd w:id="90"/>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Cadre juridique général</w:t>
      </w:r>
      <w:r w:rsidRPr="00AB1F22">
        <w:rPr>
          <w:lang w:val="fr-FR"/>
        </w:rPr>
        <w:t xml:space="preserve"> </w:t>
      </w:r>
      <w:bookmarkStart w:id="91" w:name="_Toc31721480"/>
      <w:bookmarkEnd w:id="91"/>
    </w:p>
    <w:p w:rsidR="0024529D" w:rsidRPr="00AB1F22" w:rsidRDefault="0024529D" w:rsidP="0024529D">
      <w:pPr>
        <w:pStyle w:val="SingleTxtG"/>
        <w:rPr>
          <w:lang w:val="fr-FR"/>
        </w:rPr>
      </w:pPr>
      <w:r w:rsidRPr="00AB1F22">
        <w:rPr>
          <w:lang w:val="fr-FR"/>
        </w:rPr>
        <w:t>210.</w:t>
      </w:r>
      <w:r w:rsidRPr="00AB1F22">
        <w:rPr>
          <w:lang w:val="fr-FR"/>
        </w:rPr>
        <w:tab/>
        <w:t xml:space="preserve">Le </w:t>
      </w:r>
      <w:r>
        <w:rPr>
          <w:lang w:val="fr-FR"/>
        </w:rPr>
        <w:t>G</w:t>
      </w:r>
      <w:r w:rsidRPr="00AB1F22">
        <w:rPr>
          <w:lang w:val="fr-FR"/>
        </w:rPr>
        <w:t>ouvernement est déterminé à éliminer la discrimination raciale et à promouvoir l</w:t>
      </w:r>
      <w:r w:rsidR="004F1DFB">
        <w:rPr>
          <w:lang w:val="fr-FR"/>
        </w:rPr>
        <w:t>’</w:t>
      </w:r>
      <w:r w:rsidRPr="00AB1F22">
        <w:rPr>
          <w:lang w:val="fr-FR"/>
        </w:rPr>
        <w:t>égalité des chances pour les minorités ethniques. Comme indiqué dans la déclaration de politique générale de 2017, en améliorant la législation applicable et en mettant en œuvre des mesures visant à renforcer le soutien à l</w:t>
      </w:r>
      <w:r w:rsidR="004F1DFB">
        <w:rPr>
          <w:lang w:val="fr-FR"/>
        </w:rPr>
        <w:t>’</w:t>
      </w:r>
      <w:r w:rsidRPr="00AB1F22">
        <w:rPr>
          <w:lang w:val="fr-FR"/>
        </w:rPr>
        <w:t>éducation, à l</w:t>
      </w:r>
      <w:r w:rsidR="004F1DFB">
        <w:rPr>
          <w:lang w:val="fr-FR"/>
        </w:rPr>
        <w:t>’</w:t>
      </w:r>
      <w:r w:rsidRPr="00AB1F22">
        <w:rPr>
          <w:lang w:val="fr-FR"/>
        </w:rPr>
        <w:t>emploi et aux autres services d</w:t>
      </w:r>
      <w:r w:rsidR="004F1DFB">
        <w:rPr>
          <w:lang w:val="fr-FR"/>
        </w:rPr>
        <w:t>’</w:t>
      </w:r>
      <w:r w:rsidRPr="00AB1F22">
        <w:rPr>
          <w:lang w:val="fr-FR"/>
        </w:rPr>
        <w:t>appui en faveur des minorités ethniques, le Gouvernement cherche à garantir l</w:t>
      </w:r>
      <w:r w:rsidR="004F1DFB">
        <w:rPr>
          <w:lang w:val="fr-FR"/>
        </w:rPr>
        <w:t>’</w:t>
      </w:r>
      <w:r w:rsidRPr="00AB1F22">
        <w:rPr>
          <w:lang w:val="fr-FR"/>
        </w:rPr>
        <w:t xml:space="preserve">égalité des chances, à faciliter leur intégration dans la communauté, tout en préservant leurs particularités culturelles. Certaines de ces mesures sont développées dans les paragraphes suivants. </w:t>
      </w:r>
    </w:p>
    <w:p w:rsidR="0024529D" w:rsidRPr="00AB1F22" w:rsidRDefault="0024529D" w:rsidP="0024529D">
      <w:pPr>
        <w:pStyle w:val="SingleTxtG"/>
        <w:rPr>
          <w:lang w:val="fr-FR"/>
        </w:rPr>
      </w:pPr>
      <w:r w:rsidRPr="00AB1F22">
        <w:rPr>
          <w:lang w:val="fr-FR"/>
        </w:rPr>
        <w:t>211.</w:t>
      </w:r>
      <w:r w:rsidRPr="00AB1F22">
        <w:rPr>
          <w:lang w:val="fr-FR"/>
        </w:rPr>
        <w:tab/>
        <w:t>Sur le plan législatif, l</w:t>
      </w:r>
      <w:r w:rsidR="004F1DFB">
        <w:rPr>
          <w:lang w:val="fr-FR"/>
        </w:rPr>
        <w:t>’</w:t>
      </w:r>
      <w:r w:rsidRPr="00AB1F22">
        <w:rPr>
          <w:lang w:val="fr-FR"/>
        </w:rPr>
        <w:t>ordonnance relative à la discrimination raciale a pris pleinement effet en 2009 et la Commission de l</w:t>
      </w:r>
      <w:r w:rsidR="004F1DFB">
        <w:rPr>
          <w:lang w:val="fr-FR"/>
        </w:rPr>
        <w:t>’</w:t>
      </w:r>
      <w:r w:rsidRPr="00AB1F22">
        <w:rPr>
          <w:lang w:val="fr-FR"/>
        </w:rPr>
        <w:t>égalité des chances est chargée de la mettre en œuvre. Les informations les plus récentes à ce sujet figurent aux paragraphes</w:t>
      </w:r>
      <w:r>
        <w:rPr>
          <w:lang w:val="fr-FR"/>
        </w:rPr>
        <w:t> </w:t>
      </w:r>
      <w:r w:rsidRPr="00AB1F22">
        <w:rPr>
          <w:lang w:val="fr-FR"/>
        </w:rPr>
        <w:t>188 et</w:t>
      </w:r>
      <w:r w:rsidR="00332FF5">
        <w:rPr>
          <w:lang w:val="fr-FR"/>
        </w:rPr>
        <w:t> </w:t>
      </w:r>
      <w:r w:rsidRPr="00AB1F22">
        <w:rPr>
          <w:lang w:val="fr-FR"/>
        </w:rPr>
        <w:t>189 ci</w:t>
      </w:r>
      <w:r>
        <w:rPr>
          <w:lang w:val="fr-FR"/>
        </w:rPr>
        <w:noBreakHyphen/>
      </w:r>
      <w:r w:rsidRPr="00AB1F22">
        <w:rPr>
          <w:lang w:val="fr-FR"/>
        </w:rPr>
        <w:t>dessus.</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Enseignement à l</w:t>
      </w:r>
      <w:r w:rsidR="004F1DFB">
        <w:rPr>
          <w:bCs/>
          <w:lang w:val="fr-FR"/>
        </w:rPr>
        <w:t>’</w:t>
      </w:r>
      <w:r w:rsidRPr="00AB1F22">
        <w:rPr>
          <w:bCs/>
          <w:lang w:val="fr-FR"/>
        </w:rPr>
        <w:t>intention des élèves non sinophones</w:t>
      </w:r>
      <w:bookmarkStart w:id="92" w:name="_Toc31721481"/>
      <w:bookmarkEnd w:id="92"/>
    </w:p>
    <w:p w:rsidR="0024529D" w:rsidRPr="00AB1F22" w:rsidRDefault="0024529D" w:rsidP="0024529D">
      <w:pPr>
        <w:pStyle w:val="SingleTxtG"/>
        <w:rPr>
          <w:lang w:val="fr-FR"/>
        </w:rPr>
      </w:pPr>
      <w:r w:rsidRPr="00AB1F22">
        <w:rPr>
          <w:lang w:val="fr-FR"/>
        </w:rPr>
        <w:t>212.</w:t>
      </w:r>
      <w:r w:rsidRPr="00AB1F22">
        <w:rPr>
          <w:lang w:val="fr-FR"/>
        </w:rPr>
        <w:tab/>
        <w:t>Au paragraphe 22 des précédentes observations finales, le Comité a recommandé à la RAS de Hong</w:t>
      </w:r>
      <w:r>
        <w:rPr>
          <w:lang w:val="fr-FR"/>
        </w:rPr>
        <w:t> </w:t>
      </w:r>
      <w:r w:rsidRPr="00AB1F22">
        <w:rPr>
          <w:lang w:val="fr-FR"/>
        </w:rPr>
        <w:t>Kong d</w:t>
      </w:r>
      <w:r w:rsidR="004F1DFB">
        <w:rPr>
          <w:lang w:val="fr-FR"/>
        </w:rPr>
        <w:t>’</w:t>
      </w:r>
      <w:r w:rsidRPr="00AB1F22">
        <w:rPr>
          <w:lang w:val="fr-FR"/>
        </w:rPr>
        <w:t>intensifier ses efforts pour améliorer l</w:t>
      </w:r>
      <w:r w:rsidR="004F1DFB">
        <w:rPr>
          <w:lang w:val="fr-FR"/>
        </w:rPr>
        <w:t>’</w:t>
      </w:r>
      <w:r w:rsidRPr="00AB1F22">
        <w:rPr>
          <w:lang w:val="fr-FR"/>
        </w:rPr>
        <w:t>enseignement du chinois à l</w:t>
      </w:r>
      <w:r w:rsidR="004F1DFB">
        <w:rPr>
          <w:lang w:val="fr-FR"/>
        </w:rPr>
        <w:t>’</w:t>
      </w:r>
      <w:r w:rsidRPr="00AB1F22">
        <w:rPr>
          <w:lang w:val="fr-FR"/>
        </w:rPr>
        <w:t xml:space="preserve">intention des minorités ethniques et des élèves non sinophones issus de familles </w:t>
      </w:r>
      <w:r>
        <w:rPr>
          <w:lang w:val="fr-FR"/>
        </w:rPr>
        <w:t xml:space="preserve">immigrées, et </w:t>
      </w:r>
      <w:r w:rsidRPr="00AB1F22">
        <w:rPr>
          <w:lang w:val="fr-FR"/>
        </w:rPr>
        <w:t>pour encourager l</w:t>
      </w:r>
      <w:r w:rsidR="004F1DFB">
        <w:rPr>
          <w:lang w:val="fr-FR"/>
        </w:rPr>
        <w:t>’</w:t>
      </w:r>
      <w:r w:rsidRPr="00AB1F22">
        <w:rPr>
          <w:lang w:val="fr-FR"/>
        </w:rPr>
        <w:t>intégration des élèves appartenant à des minorités ethniques dans l</w:t>
      </w:r>
      <w:r w:rsidR="004F1DFB">
        <w:rPr>
          <w:lang w:val="fr-FR"/>
        </w:rPr>
        <w:t>’</w:t>
      </w:r>
      <w:r w:rsidRPr="00AB1F22">
        <w:rPr>
          <w:lang w:val="fr-FR"/>
        </w:rPr>
        <w:t>enseignement public.</w:t>
      </w:r>
    </w:p>
    <w:p w:rsidR="0024529D" w:rsidRPr="00AB1F22" w:rsidRDefault="0024529D" w:rsidP="0024529D">
      <w:pPr>
        <w:pStyle w:val="SingleTxtG"/>
        <w:rPr>
          <w:lang w:val="fr-FR"/>
        </w:rPr>
      </w:pPr>
      <w:r w:rsidRPr="00AB1F22">
        <w:rPr>
          <w:lang w:val="fr-FR"/>
        </w:rPr>
        <w:t>213.</w:t>
      </w:r>
      <w:r w:rsidRPr="00AB1F22">
        <w:rPr>
          <w:lang w:val="fr-FR"/>
        </w:rPr>
        <w:tab/>
        <w:t>Le Gouvernement garantit l</w:t>
      </w:r>
      <w:r w:rsidR="004F1DFB">
        <w:rPr>
          <w:lang w:val="fr-FR"/>
        </w:rPr>
        <w:t>’</w:t>
      </w:r>
      <w:r w:rsidRPr="00AB1F22">
        <w:rPr>
          <w:lang w:val="fr-FR"/>
        </w:rPr>
        <w:t>égalité des chances en matière d</w:t>
      </w:r>
      <w:r w:rsidR="004F1DFB">
        <w:rPr>
          <w:lang w:val="fr-FR"/>
        </w:rPr>
        <w:t>’</w:t>
      </w:r>
      <w:r w:rsidRPr="00AB1F22">
        <w:rPr>
          <w:lang w:val="fr-FR"/>
        </w:rPr>
        <w:t>admission dans les écoles du secteur public à tous les enfants éligibles (y compris les enfants non sinophones), quelle que soit leur race. Le Gouvernement est déterminé à encourager et à soutenir l</w:t>
      </w:r>
      <w:r w:rsidR="004F1DFB">
        <w:rPr>
          <w:lang w:val="fr-FR"/>
        </w:rPr>
        <w:t>’</w:t>
      </w:r>
      <w:r w:rsidRPr="00AB1F22">
        <w:rPr>
          <w:lang w:val="fr-FR"/>
        </w:rPr>
        <w:t>intégration précoce des élèves non sinophones dans la communauté, notamment en facilitant leur adaptation au système éducatif local et leur maîtrise de la langue chinoise.</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Programme d</w:t>
      </w:r>
      <w:r w:rsidR="004F1DFB">
        <w:rPr>
          <w:iCs/>
          <w:lang w:val="fr-FR"/>
        </w:rPr>
        <w:t>’</w:t>
      </w:r>
      <w:r w:rsidRPr="00AB1F22">
        <w:rPr>
          <w:iCs/>
          <w:lang w:val="fr-FR"/>
        </w:rPr>
        <w:t>enseignement de la langue chinoise</w:t>
      </w:r>
    </w:p>
    <w:p w:rsidR="0024529D" w:rsidRPr="00AB1F22" w:rsidRDefault="0024529D" w:rsidP="0024529D">
      <w:pPr>
        <w:pStyle w:val="SingleTxtG"/>
        <w:rPr>
          <w:lang w:val="fr-FR"/>
        </w:rPr>
      </w:pPr>
      <w:r w:rsidRPr="00AB1F22">
        <w:rPr>
          <w:lang w:val="fr-FR"/>
        </w:rPr>
        <w:t>214.</w:t>
      </w:r>
      <w:r w:rsidRPr="00AB1F22">
        <w:rPr>
          <w:lang w:val="fr-FR"/>
        </w:rPr>
        <w:tab/>
        <w:t>À partir de l</w:t>
      </w:r>
      <w:r w:rsidR="004F1DFB">
        <w:rPr>
          <w:lang w:val="fr-FR"/>
        </w:rPr>
        <w:t>’</w:t>
      </w:r>
      <w:r w:rsidRPr="00AB1F22">
        <w:rPr>
          <w:lang w:val="fr-FR"/>
        </w:rPr>
        <w:t>année scolaire 2014</w:t>
      </w:r>
      <w:r>
        <w:rPr>
          <w:lang w:val="fr-FR"/>
        </w:rPr>
        <w:noBreakHyphen/>
      </w:r>
      <w:r w:rsidRPr="00AB1F22">
        <w:rPr>
          <w:lang w:val="fr-FR"/>
        </w:rPr>
        <w:t>2015, le Bureau de l</w:t>
      </w:r>
      <w:r w:rsidR="004F1DFB">
        <w:rPr>
          <w:lang w:val="fr-FR"/>
        </w:rPr>
        <w:t>’</w:t>
      </w:r>
      <w:r w:rsidRPr="00AB1F22">
        <w:rPr>
          <w:lang w:val="fr-FR"/>
        </w:rPr>
        <w:t>éducation a mis en œuvre le cadre d</w:t>
      </w:r>
      <w:r w:rsidR="004F1DFB">
        <w:rPr>
          <w:lang w:val="fr-FR"/>
        </w:rPr>
        <w:t>’</w:t>
      </w:r>
      <w:r w:rsidRPr="00AB1F22">
        <w:rPr>
          <w:lang w:val="fr-FR"/>
        </w:rPr>
        <w:t>apprentissage du chinois comme seconde langue dans les écoles primaires et secondaires. Le cadre d</w:t>
      </w:r>
      <w:r w:rsidR="004F1DFB">
        <w:rPr>
          <w:lang w:val="fr-FR"/>
        </w:rPr>
        <w:t>’</w:t>
      </w:r>
      <w:r w:rsidRPr="00AB1F22">
        <w:rPr>
          <w:lang w:val="fr-FR"/>
        </w:rPr>
        <w:t>apprentissage est élaboré du point de vue des apprenants de seconde langue, afin d</w:t>
      </w:r>
      <w:r w:rsidR="004F1DFB">
        <w:rPr>
          <w:lang w:val="fr-FR"/>
        </w:rPr>
        <w:t>’</w:t>
      </w:r>
      <w:r w:rsidRPr="00AB1F22">
        <w:rPr>
          <w:lang w:val="fr-FR"/>
        </w:rPr>
        <w:t>aider les élèves non sinophones à surmonter les difficultés d</w:t>
      </w:r>
      <w:r w:rsidR="004F1DFB">
        <w:rPr>
          <w:lang w:val="fr-FR"/>
        </w:rPr>
        <w:t>’</w:t>
      </w:r>
      <w:r w:rsidRPr="00AB1F22">
        <w:rPr>
          <w:lang w:val="fr-FR"/>
        </w:rPr>
        <w:t>apprentissage du chinois comme seconde langue et de leur permettre de s</w:t>
      </w:r>
      <w:r w:rsidR="004F1DFB">
        <w:rPr>
          <w:lang w:val="fr-FR"/>
        </w:rPr>
        <w:t>’</w:t>
      </w:r>
      <w:r w:rsidRPr="00AB1F22">
        <w:rPr>
          <w:lang w:val="fr-FR"/>
        </w:rPr>
        <w:t>adapter aux cours classiques en chinois. Le cadre d</w:t>
      </w:r>
      <w:r w:rsidR="004F1DFB">
        <w:rPr>
          <w:lang w:val="fr-FR"/>
        </w:rPr>
        <w:t>’</w:t>
      </w:r>
      <w:r w:rsidRPr="00AB1F22">
        <w:rPr>
          <w:lang w:val="fr-FR"/>
        </w:rPr>
        <w:t>apprentissage est applicable à toutes les écoles du secteur public et aux établissements bénéficiant de subventions directes qui admettent des élèvent non sinophones et proposent le programme d</w:t>
      </w:r>
      <w:r w:rsidR="004F1DFB">
        <w:rPr>
          <w:lang w:val="fr-FR"/>
        </w:rPr>
        <w:t>’</w:t>
      </w:r>
      <w:r w:rsidRPr="00AB1F22">
        <w:rPr>
          <w:lang w:val="fr-FR"/>
        </w:rPr>
        <w:t>enseignement local. Au cours de l</w:t>
      </w:r>
      <w:r w:rsidR="004F1DFB">
        <w:rPr>
          <w:lang w:val="fr-FR"/>
        </w:rPr>
        <w:t>’</w:t>
      </w:r>
      <w:r w:rsidRPr="00AB1F22">
        <w:rPr>
          <w:lang w:val="fr-FR"/>
        </w:rPr>
        <w:t>année scolaire 2016</w:t>
      </w:r>
      <w:r>
        <w:rPr>
          <w:lang w:val="fr-FR"/>
        </w:rPr>
        <w:noBreakHyphen/>
      </w:r>
      <w:r w:rsidRPr="00AB1F22">
        <w:rPr>
          <w:lang w:val="fr-FR"/>
        </w:rPr>
        <w:t>2017, environ 18</w:t>
      </w:r>
      <w:r>
        <w:rPr>
          <w:lang w:val="fr-FR"/>
        </w:rPr>
        <w:t> </w:t>
      </w:r>
      <w:r w:rsidRPr="00AB1F22">
        <w:rPr>
          <w:lang w:val="fr-FR"/>
        </w:rPr>
        <w:t>200</w:t>
      </w:r>
      <w:r>
        <w:rPr>
          <w:lang w:val="fr-FR"/>
        </w:rPr>
        <w:t> </w:t>
      </w:r>
      <w:r w:rsidRPr="00AB1F22">
        <w:rPr>
          <w:lang w:val="fr-FR"/>
        </w:rPr>
        <w:t>élèves non sinophones (dont 9</w:t>
      </w:r>
      <w:r>
        <w:rPr>
          <w:lang w:val="fr-FR"/>
        </w:rPr>
        <w:t> </w:t>
      </w:r>
      <w:r w:rsidRPr="00AB1F22">
        <w:rPr>
          <w:lang w:val="fr-FR"/>
        </w:rPr>
        <w:t>200 dans le primaire et 9</w:t>
      </w:r>
      <w:r>
        <w:rPr>
          <w:lang w:val="fr-FR"/>
        </w:rPr>
        <w:t> </w:t>
      </w:r>
      <w:r w:rsidRPr="00AB1F22">
        <w:rPr>
          <w:lang w:val="fr-FR"/>
        </w:rPr>
        <w:t>000</w:t>
      </w:r>
      <w:r>
        <w:rPr>
          <w:lang w:val="fr-FR"/>
        </w:rPr>
        <w:t xml:space="preserve"> </w:t>
      </w:r>
      <w:r w:rsidRPr="00AB1F22">
        <w:rPr>
          <w:lang w:val="fr-FR"/>
        </w:rPr>
        <w:t>dans le secondaire) menaient leurs études dans ces établissements.</w:t>
      </w:r>
    </w:p>
    <w:p w:rsidR="0024529D" w:rsidRPr="00AB1F22" w:rsidRDefault="0024529D" w:rsidP="0024529D">
      <w:pPr>
        <w:pStyle w:val="SingleTxtG"/>
        <w:rPr>
          <w:lang w:val="fr-FR"/>
        </w:rPr>
      </w:pPr>
      <w:r w:rsidRPr="00AB1F22">
        <w:rPr>
          <w:lang w:val="fr-FR"/>
        </w:rPr>
        <w:t>215.</w:t>
      </w:r>
      <w:r w:rsidRPr="00AB1F22">
        <w:rPr>
          <w:lang w:val="fr-FR"/>
        </w:rPr>
        <w:tab/>
        <w:t>En outre, pour répondre aux multiples attentes et besoins des élèves non sinophones, l</w:t>
      </w:r>
      <w:r w:rsidR="004F1DFB">
        <w:rPr>
          <w:lang w:val="fr-FR"/>
        </w:rPr>
        <w:t>’</w:t>
      </w:r>
      <w:r w:rsidRPr="00AB1F22">
        <w:rPr>
          <w:lang w:val="fr-FR"/>
        </w:rPr>
        <w:t>apprentissage du chinois appliqué, rattaché aux niveaux</w:t>
      </w:r>
      <w:r>
        <w:rPr>
          <w:lang w:val="fr-FR"/>
        </w:rPr>
        <w:t> </w:t>
      </w:r>
      <w:r w:rsidRPr="00AB1F22">
        <w:rPr>
          <w:lang w:val="fr-FR"/>
        </w:rPr>
        <w:t>1 à 3 du cadre des qualifications, a été mis en place dans le deuxième cycle du secondaire afin de fournir aux élèves non sinophones un moyen supplémentaire d</w:t>
      </w:r>
      <w:r w:rsidR="004F1DFB">
        <w:rPr>
          <w:lang w:val="fr-FR"/>
        </w:rPr>
        <w:t>’</w:t>
      </w:r>
      <w:r w:rsidRPr="00AB1F22">
        <w:rPr>
          <w:lang w:val="fr-FR"/>
        </w:rPr>
        <w:t>acquérir un autre diplôme en chinois qui peut leur être utile pour poursuivre leurs études et construire une carrière. Les résultats sont consignés dans le diplôme de fin d</w:t>
      </w:r>
      <w:r w:rsidR="004F1DFB">
        <w:rPr>
          <w:lang w:val="fr-FR"/>
        </w:rPr>
        <w:t>’</w:t>
      </w:r>
      <w:r w:rsidRPr="00AB1F22">
        <w:rPr>
          <w:lang w:val="fr-FR"/>
        </w:rPr>
        <w:t>études secondaires de Hong</w:t>
      </w:r>
      <w:r>
        <w:rPr>
          <w:lang w:val="fr-FR"/>
        </w:rPr>
        <w:t> </w:t>
      </w:r>
      <w:r w:rsidRPr="00AB1F22">
        <w:rPr>
          <w:lang w:val="fr-FR"/>
        </w:rPr>
        <w:t>Kong. En outre, pour les élèves non sinophones éligibles, les universités financées par la Commission des bourses universitaires peuvent être flexibles quant au niveau de chinois exigé et examiner les demandes d</w:t>
      </w:r>
      <w:r w:rsidR="004F1DFB">
        <w:rPr>
          <w:lang w:val="fr-FR"/>
        </w:rPr>
        <w:t>’</w:t>
      </w:r>
      <w:r w:rsidRPr="00AB1F22">
        <w:rPr>
          <w:lang w:val="fr-FR"/>
        </w:rPr>
        <w:t>admission au cas par cas. Par ailleurs, les élèves non sinophones éligibles continueront à bénéficier d</w:t>
      </w:r>
      <w:r w:rsidR="004F1DFB">
        <w:rPr>
          <w:lang w:val="fr-FR"/>
        </w:rPr>
        <w:t>’</w:t>
      </w:r>
      <w:r w:rsidRPr="00AB1F22">
        <w:rPr>
          <w:lang w:val="fr-FR"/>
        </w:rPr>
        <w:t>une subvention aux examens (les frais d</w:t>
      </w:r>
      <w:r w:rsidR="004F1DFB">
        <w:rPr>
          <w:lang w:val="fr-FR"/>
        </w:rPr>
        <w:t>’</w:t>
      </w:r>
      <w:r w:rsidRPr="00AB1F22">
        <w:rPr>
          <w:lang w:val="fr-FR"/>
        </w:rPr>
        <w:t>examen subventionnés correspondant aux frais de l</w:t>
      </w:r>
      <w:r w:rsidR="004F1DFB">
        <w:rPr>
          <w:lang w:val="fr-FR"/>
        </w:rPr>
        <w:t>’</w:t>
      </w:r>
      <w:r w:rsidRPr="00AB1F22">
        <w:rPr>
          <w:lang w:val="fr-FR"/>
        </w:rPr>
        <w:t>examen de chinois à la fin des études secondaires) pour obtenir des diplômes en langue chinoise reconnus au niveau international, notamment le certificat général d</w:t>
      </w:r>
      <w:r w:rsidR="004F1DFB">
        <w:rPr>
          <w:lang w:val="fr-FR"/>
        </w:rPr>
        <w:t>’</w:t>
      </w:r>
      <w:r w:rsidRPr="00AB1F22">
        <w:rPr>
          <w:lang w:val="fr-FR"/>
        </w:rPr>
        <w:t>études secondaires, le certificat général international d</w:t>
      </w:r>
      <w:r w:rsidR="004F1DFB">
        <w:rPr>
          <w:lang w:val="fr-FR"/>
        </w:rPr>
        <w:t>’</w:t>
      </w:r>
      <w:r w:rsidRPr="00AB1F22">
        <w:rPr>
          <w:lang w:val="fr-FR"/>
        </w:rPr>
        <w:t>études secondaires et le certificat général d</w:t>
      </w:r>
      <w:r w:rsidR="004F1DFB">
        <w:rPr>
          <w:lang w:val="fr-FR"/>
        </w:rPr>
        <w:t>’</w:t>
      </w:r>
      <w:r w:rsidRPr="00AB1F22">
        <w:rPr>
          <w:lang w:val="fr-FR"/>
        </w:rPr>
        <w:t>études, et être ainsi admis dans les universités financées par la Commission des bourses universitaires et dans les établissements d</w:t>
      </w:r>
      <w:r w:rsidR="004F1DFB">
        <w:rPr>
          <w:lang w:val="fr-FR"/>
        </w:rPr>
        <w:t>’</w:t>
      </w:r>
      <w:r w:rsidRPr="00AB1F22">
        <w:rPr>
          <w:lang w:val="fr-FR"/>
        </w:rPr>
        <w:t>enseignement supérieur. Les élèves dans le besoin peuvent également bénéficier d</w:t>
      </w:r>
      <w:r w:rsidR="004F1DFB">
        <w:rPr>
          <w:lang w:val="fr-FR"/>
        </w:rPr>
        <w:t>’</w:t>
      </w:r>
      <w:r w:rsidRPr="00AB1F22">
        <w:rPr>
          <w:lang w:val="fr-FR"/>
        </w:rPr>
        <w:t>une remise de la moitié ou de la totalité des frais d</w:t>
      </w:r>
      <w:r w:rsidR="004F1DFB">
        <w:rPr>
          <w:lang w:val="fr-FR"/>
        </w:rPr>
        <w:t>’</w:t>
      </w:r>
      <w:r w:rsidRPr="00AB1F22">
        <w:rPr>
          <w:lang w:val="fr-FR"/>
        </w:rPr>
        <w:t>examen subventionnés. Au cours de l</w:t>
      </w:r>
      <w:r w:rsidR="004F1DFB">
        <w:rPr>
          <w:lang w:val="fr-FR"/>
        </w:rPr>
        <w:t>’</w:t>
      </w:r>
      <w:r w:rsidRPr="00AB1F22">
        <w:rPr>
          <w:lang w:val="fr-FR"/>
        </w:rPr>
        <w:t>année scolaire 2016</w:t>
      </w:r>
      <w:r>
        <w:rPr>
          <w:lang w:val="fr-FR"/>
        </w:rPr>
        <w:noBreakHyphen/>
      </w:r>
      <w:r w:rsidRPr="00AB1F22">
        <w:rPr>
          <w:lang w:val="fr-FR"/>
        </w:rPr>
        <w:t>2017, environ 1 750 élèves non sinophones ont bénéficié de subventions pour passer les examens susmentionnés. Parmi eux, 164 ont bénéficié d</w:t>
      </w:r>
      <w:r w:rsidR="004F1DFB">
        <w:rPr>
          <w:lang w:val="fr-FR"/>
        </w:rPr>
        <w:t>’</w:t>
      </w:r>
      <w:r w:rsidRPr="00AB1F22">
        <w:rPr>
          <w:lang w:val="fr-FR"/>
        </w:rPr>
        <w:t>une remise de la totalité des frais d</w:t>
      </w:r>
      <w:r w:rsidR="004F1DFB">
        <w:rPr>
          <w:lang w:val="fr-FR"/>
        </w:rPr>
        <w:t>’</w:t>
      </w:r>
      <w:r w:rsidRPr="00AB1F22">
        <w:rPr>
          <w:lang w:val="fr-FR"/>
        </w:rPr>
        <w:t>examen subventionnés et 123 d</w:t>
      </w:r>
      <w:r w:rsidR="004F1DFB">
        <w:rPr>
          <w:lang w:val="fr-FR"/>
        </w:rPr>
        <w:t>’</w:t>
      </w:r>
      <w:r w:rsidRPr="00AB1F22">
        <w:rPr>
          <w:lang w:val="fr-FR"/>
        </w:rPr>
        <w:t>une remise de la moitié de ces frais.</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Soutien professionnel et financier</w:t>
      </w:r>
    </w:p>
    <w:p w:rsidR="0024529D" w:rsidRPr="00AB1F22" w:rsidRDefault="0024529D" w:rsidP="0024529D">
      <w:pPr>
        <w:pStyle w:val="SingleTxtG"/>
        <w:rPr>
          <w:lang w:val="fr-FR"/>
        </w:rPr>
      </w:pPr>
      <w:r w:rsidRPr="00AB1F22">
        <w:rPr>
          <w:lang w:val="fr-FR"/>
        </w:rPr>
        <w:t>216.</w:t>
      </w:r>
      <w:r w:rsidRPr="00AB1F22">
        <w:rPr>
          <w:lang w:val="fr-FR"/>
        </w:rPr>
        <w:tab/>
        <w:t>Pour faciliter la mise en œuvre du cadre d</w:t>
      </w:r>
      <w:r w:rsidR="004F1DFB">
        <w:rPr>
          <w:lang w:val="fr-FR"/>
        </w:rPr>
        <w:t>’</w:t>
      </w:r>
      <w:r w:rsidRPr="00AB1F22">
        <w:rPr>
          <w:lang w:val="fr-FR"/>
        </w:rPr>
        <w:t>apprentissage dans les écoles et la création d</w:t>
      </w:r>
      <w:r w:rsidR="004F1DFB">
        <w:rPr>
          <w:lang w:val="fr-FR"/>
        </w:rPr>
        <w:t>’</w:t>
      </w:r>
      <w:r w:rsidRPr="00AB1F22">
        <w:rPr>
          <w:lang w:val="fr-FR"/>
        </w:rPr>
        <w:t>un environnement d</w:t>
      </w:r>
      <w:r w:rsidR="004F1DFB">
        <w:rPr>
          <w:lang w:val="fr-FR"/>
        </w:rPr>
        <w:t>’</w:t>
      </w:r>
      <w:r w:rsidRPr="00AB1F22">
        <w:rPr>
          <w:lang w:val="fr-FR"/>
        </w:rPr>
        <w:t>apprentissage inclusif, à partir de l</w:t>
      </w:r>
      <w:r w:rsidR="004F1DFB">
        <w:rPr>
          <w:lang w:val="fr-FR"/>
        </w:rPr>
        <w:t>’</w:t>
      </w:r>
      <w:r w:rsidRPr="00AB1F22">
        <w:rPr>
          <w:lang w:val="fr-FR"/>
        </w:rPr>
        <w:t>année scolaire 2014</w:t>
      </w:r>
      <w:r>
        <w:rPr>
          <w:lang w:val="fr-FR"/>
        </w:rPr>
        <w:noBreakHyphen/>
      </w:r>
      <w:r w:rsidRPr="00AB1F22">
        <w:rPr>
          <w:lang w:val="fr-FR"/>
        </w:rPr>
        <w:t>2015, le Bureau de l</w:t>
      </w:r>
      <w:r w:rsidR="004F1DFB">
        <w:rPr>
          <w:lang w:val="fr-FR"/>
        </w:rPr>
        <w:t>’</w:t>
      </w:r>
      <w:r w:rsidRPr="00AB1F22">
        <w:rPr>
          <w:lang w:val="fr-FR"/>
        </w:rPr>
        <w:t>éducation a considérablement augmenté le financement des écoles et a renforcé les services de soutien professionnel et les programmes de développement professionnel pour les enseignants (voir l</w:t>
      </w:r>
      <w:r w:rsidR="004F1DFB">
        <w:rPr>
          <w:lang w:val="fr-FR"/>
        </w:rPr>
        <w:t>’</w:t>
      </w:r>
      <w:r w:rsidRPr="00AB1F22">
        <w:rPr>
          <w:lang w:val="fr-FR"/>
        </w:rPr>
        <w:t xml:space="preserve">annexe 27A pour plus de détails). </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Des solutions multiples</w:t>
      </w:r>
    </w:p>
    <w:p w:rsidR="0024529D" w:rsidRPr="00AB1F22" w:rsidRDefault="0024529D" w:rsidP="0024529D">
      <w:pPr>
        <w:pStyle w:val="SingleTxtG"/>
        <w:rPr>
          <w:lang w:val="fr-FR"/>
        </w:rPr>
      </w:pPr>
      <w:r w:rsidRPr="00AB1F22">
        <w:rPr>
          <w:lang w:val="fr-FR"/>
        </w:rPr>
        <w:t>217.</w:t>
      </w:r>
      <w:r w:rsidRPr="00AB1F22">
        <w:rPr>
          <w:lang w:val="fr-FR"/>
        </w:rPr>
        <w:tab/>
        <w:t>Afin d</w:t>
      </w:r>
      <w:r w:rsidR="004F1DFB">
        <w:rPr>
          <w:lang w:val="fr-FR"/>
        </w:rPr>
        <w:t>’</w:t>
      </w:r>
      <w:r w:rsidRPr="00AB1F22">
        <w:rPr>
          <w:lang w:val="fr-FR"/>
        </w:rPr>
        <w:t>améliorer l</w:t>
      </w:r>
      <w:r w:rsidR="004F1DFB">
        <w:rPr>
          <w:lang w:val="fr-FR"/>
        </w:rPr>
        <w:t>’</w:t>
      </w:r>
      <w:r w:rsidRPr="00AB1F22">
        <w:rPr>
          <w:lang w:val="fr-FR"/>
        </w:rPr>
        <w:t>employabilité des jeunes non sinophones qui quittent l</w:t>
      </w:r>
      <w:r w:rsidR="004F1DFB">
        <w:rPr>
          <w:lang w:val="fr-FR"/>
        </w:rPr>
        <w:t>’</w:t>
      </w:r>
      <w:r w:rsidRPr="00AB1F22">
        <w:rPr>
          <w:lang w:val="fr-FR"/>
        </w:rPr>
        <w:t>école, le Comité permanent pour l</w:t>
      </w:r>
      <w:r w:rsidR="004F1DFB">
        <w:rPr>
          <w:lang w:val="fr-FR"/>
        </w:rPr>
        <w:t>’</w:t>
      </w:r>
      <w:r w:rsidRPr="00AB1F22">
        <w:rPr>
          <w:lang w:val="fr-FR"/>
        </w:rPr>
        <w:t>enseignement et la recherche linguistiques propose depuis avril 2016 des cours de chinois professionnel rattachés au niveau</w:t>
      </w:r>
      <w:r>
        <w:rPr>
          <w:lang w:val="fr-FR"/>
        </w:rPr>
        <w:t> </w:t>
      </w:r>
      <w:r w:rsidRPr="00AB1F22">
        <w:rPr>
          <w:lang w:val="fr-FR"/>
        </w:rPr>
        <w:t>1 ou 2 du cadre des qualifications pour les jeunes non sinophones qui quittent l</w:t>
      </w:r>
      <w:r w:rsidR="004F1DFB">
        <w:rPr>
          <w:lang w:val="fr-FR"/>
        </w:rPr>
        <w:t>’</w:t>
      </w:r>
      <w:r w:rsidRPr="00AB1F22">
        <w:rPr>
          <w:lang w:val="fr-FR"/>
        </w:rPr>
        <w:t>école.</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Recherche</w:t>
      </w:r>
    </w:p>
    <w:p w:rsidR="0024529D" w:rsidRPr="00AB1F22" w:rsidRDefault="0024529D" w:rsidP="0024529D">
      <w:pPr>
        <w:pStyle w:val="SingleTxtG"/>
        <w:rPr>
          <w:lang w:val="fr-FR"/>
        </w:rPr>
      </w:pPr>
      <w:r w:rsidRPr="00AB1F22">
        <w:rPr>
          <w:lang w:val="fr-FR"/>
        </w:rPr>
        <w:t>218.</w:t>
      </w:r>
      <w:r w:rsidRPr="00AB1F22">
        <w:rPr>
          <w:lang w:val="fr-FR"/>
        </w:rPr>
        <w:tab/>
        <w:t>En se fondant sur le cadre de recherche établi à la lumière des conseils d</w:t>
      </w:r>
      <w:r w:rsidR="004F1DFB">
        <w:rPr>
          <w:lang w:val="fr-FR"/>
        </w:rPr>
        <w:t>’</w:t>
      </w:r>
      <w:r w:rsidRPr="00AB1F22">
        <w:rPr>
          <w:lang w:val="fr-FR"/>
        </w:rPr>
        <w:t>experts en recherche et en langues, le Bureau de l</w:t>
      </w:r>
      <w:r w:rsidR="004F1DFB">
        <w:rPr>
          <w:lang w:val="fr-FR"/>
        </w:rPr>
        <w:t>’</w:t>
      </w:r>
      <w:r w:rsidRPr="00AB1F22">
        <w:rPr>
          <w:lang w:val="fr-FR"/>
        </w:rPr>
        <w:t>éducation continuera à recueillir et à analyser des données pour évaluer l</w:t>
      </w:r>
      <w:r w:rsidR="004F1DFB">
        <w:rPr>
          <w:lang w:val="fr-FR"/>
        </w:rPr>
        <w:t>’</w:t>
      </w:r>
      <w:r w:rsidRPr="00AB1F22">
        <w:rPr>
          <w:lang w:val="fr-FR"/>
        </w:rPr>
        <w:t>efficacité des mesures de soutien aux élèves non sinophones afin de garantir la qualité des mesures de soutien et de les perfectionner le cas échéant. Le cadre d</w:t>
      </w:r>
      <w:r w:rsidR="004F1DFB">
        <w:rPr>
          <w:lang w:val="fr-FR"/>
        </w:rPr>
        <w:t>’</w:t>
      </w:r>
      <w:r w:rsidRPr="00AB1F22">
        <w:rPr>
          <w:lang w:val="fr-FR"/>
        </w:rPr>
        <w:t>apprentissage sera perfectionné en temps utile, en tenant compte des avis des enseignants et de l</w:t>
      </w:r>
      <w:r w:rsidR="004F1DFB">
        <w:rPr>
          <w:lang w:val="fr-FR"/>
        </w:rPr>
        <w:t>’</w:t>
      </w:r>
      <w:r w:rsidRPr="00AB1F22">
        <w:rPr>
          <w:lang w:val="fr-FR"/>
        </w:rPr>
        <w:t>expérience d</w:t>
      </w:r>
      <w:r w:rsidR="004F1DFB">
        <w:rPr>
          <w:lang w:val="fr-FR"/>
        </w:rPr>
        <w:t>’</w:t>
      </w:r>
      <w:r w:rsidRPr="00AB1F22">
        <w:rPr>
          <w:lang w:val="fr-FR"/>
        </w:rPr>
        <w:t>apprentissage et d</w:t>
      </w:r>
      <w:r w:rsidR="004F1DFB">
        <w:rPr>
          <w:lang w:val="fr-FR"/>
        </w:rPr>
        <w:t>’</w:t>
      </w:r>
      <w:r w:rsidRPr="00AB1F22">
        <w:rPr>
          <w:lang w:val="fr-FR"/>
        </w:rPr>
        <w:t>enseignement des différentes écoles.</w:t>
      </w:r>
    </w:p>
    <w:p w:rsidR="0024529D" w:rsidRPr="00AB1F22" w:rsidRDefault="0024529D" w:rsidP="0024529D">
      <w:pPr>
        <w:pStyle w:val="H4G"/>
        <w:rPr>
          <w:lang w:val="fr-FR"/>
        </w:rPr>
      </w:pPr>
      <w:r w:rsidRPr="00AB1F22">
        <w:rPr>
          <w:lang w:val="fr-FR"/>
        </w:rPr>
        <w:tab/>
      </w:r>
      <w:r w:rsidRPr="00AB1F22">
        <w:rPr>
          <w:lang w:val="fr-FR"/>
        </w:rPr>
        <w:tab/>
      </w:r>
      <w:r w:rsidRPr="00AB1F22">
        <w:rPr>
          <w:iCs/>
          <w:lang w:val="fr-FR"/>
        </w:rPr>
        <w:t>Jardins d</w:t>
      </w:r>
      <w:r w:rsidR="004F1DFB">
        <w:rPr>
          <w:iCs/>
          <w:lang w:val="fr-FR"/>
        </w:rPr>
        <w:t>’</w:t>
      </w:r>
      <w:r w:rsidRPr="00AB1F22">
        <w:rPr>
          <w:iCs/>
          <w:lang w:val="fr-FR"/>
        </w:rPr>
        <w:t>enfants</w:t>
      </w:r>
    </w:p>
    <w:p w:rsidR="0024529D" w:rsidRPr="00AB1F22" w:rsidRDefault="0024529D" w:rsidP="0024529D">
      <w:pPr>
        <w:pStyle w:val="SingleTxtG"/>
        <w:rPr>
          <w:lang w:val="fr-FR"/>
        </w:rPr>
      </w:pPr>
      <w:r w:rsidRPr="00AB1F22">
        <w:rPr>
          <w:lang w:val="fr-FR"/>
        </w:rPr>
        <w:t>219.</w:t>
      </w:r>
      <w:r w:rsidRPr="00AB1F22">
        <w:rPr>
          <w:lang w:val="fr-FR"/>
        </w:rPr>
        <w:tab/>
        <w:t>Le Bureau de l</w:t>
      </w:r>
      <w:r w:rsidR="004F1DFB">
        <w:rPr>
          <w:lang w:val="fr-FR"/>
        </w:rPr>
        <w:t>’</w:t>
      </w:r>
      <w:r w:rsidRPr="00AB1F22">
        <w:rPr>
          <w:lang w:val="fr-FR"/>
        </w:rPr>
        <w:t>éducation encourage les enfants non sinophones à fréquenter les jardins d</w:t>
      </w:r>
      <w:r w:rsidR="004F1DFB">
        <w:rPr>
          <w:lang w:val="fr-FR"/>
        </w:rPr>
        <w:t>’</w:t>
      </w:r>
      <w:r w:rsidRPr="00AB1F22">
        <w:rPr>
          <w:lang w:val="fr-FR"/>
        </w:rPr>
        <w:t>enfants locaux pour être exposés à un environnement sinophone et y être immergés le plus tôt possible afin de progresser en douceur vers l</w:t>
      </w:r>
      <w:r w:rsidR="004F1DFB">
        <w:rPr>
          <w:lang w:val="fr-FR"/>
        </w:rPr>
        <w:t>’</w:t>
      </w:r>
      <w:r w:rsidRPr="00AB1F22">
        <w:rPr>
          <w:lang w:val="fr-FR"/>
        </w:rPr>
        <w:t>enseignement primaire classique. Dans le cadre de la nouvelle politique relative aux jardins d</w:t>
      </w:r>
      <w:r w:rsidR="004F1DFB">
        <w:rPr>
          <w:lang w:val="fr-FR"/>
        </w:rPr>
        <w:t>’</w:t>
      </w:r>
      <w:r w:rsidRPr="00AB1F22">
        <w:rPr>
          <w:lang w:val="fr-FR"/>
        </w:rPr>
        <w:t>enfants mise en œuvre depuis l</w:t>
      </w:r>
      <w:r w:rsidR="004F1DFB">
        <w:rPr>
          <w:lang w:val="fr-FR"/>
        </w:rPr>
        <w:t>’</w:t>
      </w:r>
      <w:r w:rsidRPr="00AB1F22">
        <w:rPr>
          <w:lang w:val="fr-FR"/>
        </w:rPr>
        <w:t>année scolaire 2017</w:t>
      </w:r>
      <w:r>
        <w:rPr>
          <w:lang w:val="fr-FR"/>
        </w:rPr>
        <w:noBreakHyphen/>
      </w:r>
      <w:r w:rsidRPr="00AB1F22">
        <w:rPr>
          <w:lang w:val="fr-FR"/>
        </w:rPr>
        <w:t>2018, les jardins d</w:t>
      </w:r>
      <w:r w:rsidR="004F1DFB">
        <w:rPr>
          <w:lang w:val="fr-FR"/>
        </w:rPr>
        <w:t>’</w:t>
      </w:r>
      <w:r w:rsidRPr="00AB1F22">
        <w:rPr>
          <w:lang w:val="fr-FR"/>
        </w:rPr>
        <w:t>enfants qui admettent des élèves non sinophones (quel que soit leur nombre) peuvent demander à participer à des cours de formation et à des programmes de soutien afin d</w:t>
      </w:r>
      <w:r w:rsidR="004F1DFB">
        <w:rPr>
          <w:lang w:val="fr-FR"/>
        </w:rPr>
        <w:t>’</w:t>
      </w:r>
      <w:r w:rsidRPr="00AB1F22">
        <w:rPr>
          <w:lang w:val="fr-FR"/>
        </w:rPr>
        <w:t>améliorer les compétences des enseignants en matière de soutien aux élèves non sinophones (voir l</w:t>
      </w:r>
      <w:r w:rsidR="004F1DFB">
        <w:rPr>
          <w:lang w:val="fr-FR"/>
        </w:rPr>
        <w:t>’</w:t>
      </w:r>
      <w:r w:rsidRPr="00AB1F22">
        <w:rPr>
          <w:lang w:val="fr-FR"/>
        </w:rPr>
        <w:t xml:space="preserve">annexe 27B pour plus de détails). </w:t>
      </w:r>
    </w:p>
    <w:p w:rsidR="0024529D" w:rsidRPr="00AB1F22" w:rsidRDefault="0024529D" w:rsidP="0024529D">
      <w:pPr>
        <w:pStyle w:val="SingleTxtG"/>
        <w:rPr>
          <w:lang w:val="fr-FR"/>
        </w:rPr>
      </w:pPr>
      <w:r w:rsidRPr="00AB1F22">
        <w:rPr>
          <w:lang w:val="fr-FR"/>
        </w:rPr>
        <w:t>220.</w:t>
      </w:r>
      <w:r w:rsidRPr="00AB1F22">
        <w:rPr>
          <w:lang w:val="fr-FR"/>
        </w:rPr>
        <w:tab/>
        <w:t>Avec la mise en place du cadre d</w:t>
      </w:r>
      <w:r w:rsidR="004F1DFB">
        <w:rPr>
          <w:lang w:val="fr-FR"/>
        </w:rPr>
        <w:t>’</w:t>
      </w:r>
      <w:r w:rsidRPr="00AB1F22">
        <w:rPr>
          <w:lang w:val="fr-FR"/>
        </w:rPr>
        <w:t>apprentissage et de l</w:t>
      </w:r>
      <w:r w:rsidR="004F1DFB">
        <w:rPr>
          <w:lang w:val="fr-FR"/>
        </w:rPr>
        <w:t>’</w:t>
      </w:r>
      <w:r w:rsidRPr="00AB1F22">
        <w:rPr>
          <w:lang w:val="fr-FR"/>
        </w:rPr>
        <w:t>apprentissage du chinois appliqué, les élèves non sinophones sont de plus en plus motivés et efficaces dans leur apprentissage du chinois. De plus en plus d</w:t>
      </w:r>
      <w:r w:rsidR="004F1DFB">
        <w:rPr>
          <w:lang w:val="fr-FR"/>
        </w:rPr>
        <w:t>’</w:t>
      </w:r>
      <w:r w:rsidRPr="00AB1F22">
        <w:rPr>
          <w:lang w:val="fr-FR"/>
        </w:rPr>
        <w:t>écoles acceptent les élèves non sinophones et de plus en plus de parents d</w:t>
      </w:r>
      <w:r w:rsidR="004F1DFB">
        <w:rPr>
          <w:lang w:val="fr-FR"/>
        </w:rPr>
        <w:t>’</w:t>
      </w:r>
      <w:r w:rsidRPr="00AB1F22">
        <w:rPr>
          <w:lang w:val="fr-FR"/>
        </w:rPr>
        <w:t>enfants non sinophones sont prêts à inscrire leurs enfants dans un plus grand nombre d</w:t>
      </w:r>
      <w:r w:rsidR="004F1DFB">
        <w:rPr>
          <w:lang w:val="fr-FR"/>
        </w:rPr>
        <w:t>’</w:t>
      </w:r>
      <w:r w:rsidRPr="00AB1F22">
        <w:rPr>
          <w:lang w:val="fr-FR"/>
        </w:rPr>
        <w:t>écoles. En règle générale, cet ensemble d</w:t>
      </w:r>
      <w:r w:rsidR="004F1DFB">
        <w:rPr>
          <w:lang w:val="fr-FR"/>
        </w:rPr>
        <w:t>’</w:t>
      </w:r>
      <w:r w:rsidRPr="00AB1F22">
        <w:rPr>
          <w:lang w:val="fr-FR"/>
        </w:rPr>
        <w:t>initiatives a jusqu</w:t>
      </w:r>
      <w:r w:rsidR="004F1DFB">
        <w:rPr>
          <w:lang w:val="fr-FR"/>
        </w:rPr>
        <w:t>’</w:t>
      </w:r>
      <w:r w:rsidRPr="00AB1F22">
        <w:rPr>
          <w:lang w:val="fr-FR"/>
        </w:rPr>
        <w:t>ici apporté des résultats positifs. Le Bureau de l</w:t>
      </w:r>
      <w:r w:rsidR="004F1DFB">
        <w:rPr>
          <w:lang w:val="fr-FR"/>
        </w:rPr>
        <w:t>’</w:t>
      </w:r>
      <w:r w:rsidRPr="00AB1F22">
        <w:rPr>
          <w:lang w:val="fr-FR"/>
        </w:rPr>
        <w:t>éducation continuera à suivre les progrès réalisés grâce à ces initiatives et à en perfectionner la mise en œuvre pour répondre aux besoins les plus importants des élèves non sinophones.</w:t>
      </w:r>
    </w:p>
    <w:p w:rsidR="0024529D" w:rsidRPr="00AB1F22" w:rsidRDefault="0024529D" w:rsidP="0024529D">
      <w:pPr>
        <w:pStyle w:val="H23G"/>
        <w:rPr>
          <w:lang w:val="fr-FR"/>
        </w:rPr>
      </w:pPr>
      <w:r w:rsidRPr="00AB1F22">
        <w:rPr>
          <w:lang w:val="fr-FR"/>
        </w:rPr>
        <w:tab/>
      </w:r>
      <w:r w:rsidRPr="00AB1F22">
        <w:rPr>
          <w:lang w:val="fr-FR"/>
        </w:rPr>
        <w:tab/>
      </w:r>
      <w:r w:rsidRPr="00AB1F22">
        <w:rPr>
          <w:bCs/>
          <w:lang w:val="fr-FR"/>
        </w:rPr>
        <w:t>Accès à l</w:t>
      </w:r>
      <w:r w:rsidR="004F1DFB">
        <w:rPr>
          <w:bCs/>
          <w:lang w:val="fr-FR"/>
        </w:rPr>
        <w:t>’</w:t>
      </w:r>
      <w:r w:rsidRPr="00AB1F22">
        <w:rPr>
          <w:bCs/>
          <w:lang w:val="fr-FR"/>
        </w:rPr>
        <w:t>emploi dans le secteur public</w:t>
      </w:r>
      <w:bookmarkStart w:id="93" w:name="_Toc31721482"/>
      <w:bookmarkEnd w:id="93"/>
    </w:p>
    <w:p w:rsidR="0024529D" w:rsidRPr="00AB1F22" w:rsidRDefault="0024529D" w:rsidP="0024529D">
      <w:pPr>
        <w:pStyle w:val="SingleTxtG"/>
        <w:rPr>
          <w:lang w:val="fr-FR"/>
        </w:rPr>
      </w:pPr>
      <w:r w:rsidRPr="00AB1F22">
        <w:rPr>
          <w:lang w:val="fr-FR"/>
        </w:rPr>
        <w:t>221.</w:t>
      </w:r>
      <w:r w:rsidRPr="00AB1F22">
        <w:rPr>
          <w:lang w:val="fr-FR"/>
        </w:rPr>
        <w:tab/>
        <w:t>La situation reste pour l</w:t>
      </w:r>
      <w:r w:rsidR="004F1DFB">
        <w:rPr>
          <w:lang w:val="fr-FR"/>
        </w:rPr>
        <w:t>’</w:t>
      </w:r>
      <w:r w:rsidRPr="00AB1F22">
        <w:rPr>
          <w:lang w:val="fr-FR"/>
        </w:rPr>
        <w:t>essentiel telle qu</w:t>
      </w:r>
      <w:r w:rsidR="004F1DFB">
        <w:rPr>
          <w:lang w:val="fr-FR"/>
        </w:rPr>
        <w:t>’</w:t>
      </w:r>
      <w:r w:rsidRPr="00AB1F22">
        <w:rPr>
          <w:lang w:val="fr-FR"/>
        </w:rPr>
        <w:t>expliquée aux paragraphes</w:t>
      </w:r>
      <w:r>
        <w:rPr>
          <w:lang w:val="fr-FR"/>
        </w:rPr>
        <w:t> </w:t>
      </w:r>
      <w:r w:rsidRPr="00AB1F22">
        <w:rPr>
          <w:lang w:val="fr-FR"/>
        </w:rPr>
        <w:t>381 à 383 du rapport précédent. Les nominations dans la fonction publique se fondent sur un concours ouvert et équitable, et les critères d</w:t>
      </w:r>
      <w:r w:rsidR="004F1DFB">
        <w:rPr>
          <w:lang w:val="fr-FR"/>
        </w:rPr>
        <w:t>’</w:t>
      </w:r>
      <w:r w:rsidRPr="00AB1F22">
        <w:rPr>
          <w:lang w:val="fr-FR"/>
        </w:rPr>
        <w:t>obtention d</w:t>
      </w:r>
      <w:r w:rsidR="004F1DFB">
        <w:rPr>
          <w:lang w:val="fr-FR"/>
        </w:rPr>
        <w:t>’</w:t>
      </w:r>
      <w:r w:rsidRPr="00AB1F22">
        <w:rPr>
          <w:lang w:val="fr-FR"/>
        </w:rPr>
        <w:t>un poste de fonctionnaire reposent sur les qualités requises pour exercer les fonctions liées à un poste donné. La race n</w:t>
      </w:r>
      <w:r w:rsidR="004F1DFB">
        <w:rPr>
          <w:lang w:val="fr-FR"/>
        </w:rPr>
        <w:t>’</w:t>
      </w:r>
      <w:r w:rsidRPr="00AB1F22">
        <w:rPr>
          <w:lang w:val="fr-FR"/>
        </w:rPr>
        <w:t>est pas prise en considération dans l</w:t>
      </w:r>
      <w:r w:rsidR="004F1DFB">
        <w:rPr>
          <w:lang w:val="fr-FR"/>
        </w:rPr>
        <w:t>’</w:t>
      </w:r>
      <w:r w:rsidRPr="00AB1F22">
        <w:rPr>
          <w:lang w:val="fr-FR"/>
        </w:rPr>
        <w:t>évaluation d</w:t>
      </w:r>
      <w:r w:rsidR="004F1DFB">
        <w:rPr>
          <w:lang w:val="fr-FR"/>
        </w:rPr>
        <w:t>’</w:t>
      </w:r>
      <w:r w:rsidRPr="00AB1F22">
        <w:rPr>
          <w:lang w:val="fr-FR"/>
        </w:rPr>
        <w:t>un candidat en vue du recrutement ou dans l</w:t>
      </w:r>
      <w:r w:rsidR="004F1DFB">
        <w:rPr>
          <w:lang w:val="fr-FR"/>
        </w:rPr>
        <w:t>’</w:t>
      </w:r>
      <w:r w:rsidRPr="00AB1F22">
        <w:rPr>
          <w:lang w:val="fr-FR"/>
        </w:rPr>
        <w:t>évaluation d</w:t>
      </w:r>
      <w:r w:rsidR="004F1DFB">
        <w:rPr>
          <w:lang w:val="fr-FR"/>
        </w:rPr>
        <w:t>’</w:t>
      </w:r>
      <w:r w:rsidRPr="00AB1F22">
        <w:rPr>
          <w:lang w:val="fr-FR"/>
        </w:rPr>
        <w:t>un fonctionnaire en vue d</w:t>
      </w:r>
      <w:r w:rsidR="004F1DFB">
        <w:rPr>
          <w:lang w:val="fr-FR"/>
        </w:rPr>
        <w:t>’</w:t>
      </w:r>
      <w:r w:rsidRPr="00AB1F22">
        <w:rPr>
          <w:lang w:val="fr-FR"/>
        </w:rPr>
        <w:t>une promotion (voir annexe</w:t>
      </w:r>
      <w:r>
        <w:rPr>
          <w:lang w:val="fr-FR"/>
        </w:rPr>
        <w:t> </w:t>
      </w:r>
      <w:r w:rsidRPr="00AB1F22">
        <w:rPr>
          <w:lang w:val="fr-FR"/>
        </w:rPr>
        <w:t xml:space="preserve">27C). </w:t>
      </w:r>
    </w:p>
    <w:p w:rsidR="0024529D" w:rsidRPr="00AB1F22" w:rsidRDefault="0024529D" w:rsidP="0024529D">
      <w:pPr>
        <w:pStyle w:val="SingleTxtG"/>
        <w:rPr>
          <w:lang w:val="fr-FR"/>
        </w:rPr>
      </w:pPr>
      <w:r w:rsidRPr="00AB1F22">
        <w:rPr>
          <w:lang w:val="fr-FR"/>
        </w:rPr>
        <w:t>222.</w:t>
      </w:r>
      <w:r w:rsidRPr="00AB1F22">
        <w:rPr>
          <w:lang w:val="fr-FR"/>
        </w:rPr>
        <w:tab/>
        <w:t>Les informations les plus récentes concernant les orientations administratives sur la promotion de l</w:t>
      </w:r>
      <w:r w:rsidR="004F1DFB">
        <w:rPr>
          <w:lang w:val="fr-FR"/>
        </w:rPr>
        <w:t>’</w:t>
      </w:r>
      <w:r w:rsidRPr="00AB1F22">
        <w:rPr>
          <w:lang w:val="fr-FR"/>
        </w:rPr>
        <w:t>égalité des races, les services de soutien aux minorités ethniques et les mesures prises en faveur de l</w:t>
      </w:r>
      <w:r w:rsidR="004F1DFB">
        <w:rPr>
          <w:lang w:val="fr-FR"/>
        </w:rPr>
        <w:t>’</w:t>
      </w:r>
      <w:r w:rsidRPr="00AB1F22">
        <w:rPr>
          <w:lang w:val="fr-FR"/>
        </w:rPr>
        <w:t>enseignement public sont présentées à l</w:t>
      </w:r>
      <w:r w:rsidR="004F1DFB">
        <w:rPr>
          <w:lang w:val="fr-FR"/>
        </w:rPr>
        <w:t>’</w:t>
      </w:r>
      <w:r w:rsidRPr="00AB1F22">
        <w:rPr>
          <w:lang w:val="fr-FR"/>
        </w:rPr>
        <w:t xml:space="preserve">annexe 27D. </w:t>
      </w:r>
    </w:p>
    <w:p w:rsidR="0024529D" w:rsidRPr="00332FF5" w:rsidRDefault="00332FF5" w:rsidP="00332FF5">
      <w:pPr>
        <w:pStyle w:val="SingleTxtG"/>
        <w:spacing w:before="240" w:after="0"/>
        <w:jc w:val="center"/>
        <w:rPr>
          <w:u w:val="single"/>
        </w:rPr>
      </w:pPr>
      <w:r>
        <w:rPr>
          <w:u w:val="single"/>
          <w:lang w:val="fr-FR"/>
        </w:rPr>
        <w:tab/>
      </w:r>
      <w:r>
        <w:rPr>
          <w:u w:val="single"/>
          <w:lang w:val="fr-FR"/>
        </w:rPr>
        <w:tab/>
      </w:r>
      <w:r>
        <w:rPr>
          <w:u w:val="single"/>
          <w:lang w:val="fr-FR"/>
        </w:rPr>
        <w:tab/>
      </w:r>
    </w:p>
    <w:sectPr w:rsidR="0024529D" w:rsidRPr="00332FF5" w:rsidSect="0024529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306E" w:rsidRDefault="0007306E" w:rsidP="00F95C08">
      <w:pPr>
        <w:spacing w:line="240" w:lineRule="auto"/>
      </w:pPr>
    </w:p>
  </w:endnote>
  <w:endnote w:type="continuationSeparator" w:id="0">
    <w:p w:rsidR="0007306E" w:rsidRPr="00AC3823" w:rsidRDefault="0007306E" w:rsidP="00AC3823">
      <w:pPr>
        <w:pStyle w:val="Pieddepage"/>
      </w:pPr>
    </w:p>
  </w:endnote>
  <w:endnote w:type="continuationNotice" w:id="1">
    <w:p w:rsidR="0007306E" w:rsidRDefault="000730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06E" w:rsidRPr="0024529D" w:rsidRDefault="0007306E" w:rsidP="0024529D">
    <w:pPr>
      <w:pStyle w:val="Pieddepage"/>
      <w:tabs>
        <w:tab w:val="right" w:pos="9638"/>
      </w:tabs>
    </w:pPr>
    <w:r w:rsidRPr="0024529D">
      <w:rPr>
        <w:b/>
        <w:sz w:val="18"/>
      </w:rPr>
      <w:fldChar w:fldCharType="begin"/>
    </w:r>
    <w:r w:rsidRPr="0024529D">
      <w:rPr>
        <w:b/>
        <w:sz w:val="18"/>
      </w:rPr>
      <w:instrText xml:space="preserve"> PAGE  \* MERGEFORMAT </w:instrText>
    </w:r>
    <w:r w:rsidRPr="0024529D">
      <w:rPr>
        <w:b/>
        <w:sz w:val="18"/>
      </w:rPr>
      <w:fldChar w:fldCharType="separate"/>
    </w:r>
    <w:r w:rsidRPr="0024529D">
      <w:rPr>
        <w:b/>
        <w:noProof/>
        <w:sz w:val="18"/>
      </w:rPr>
      <w:t>2</w:t>
    </w:r>
    <w:r w:rsidRPr="0024529D">
      <w:rPr>
        <w:b/>
        <w:sz w:val="18"/>
      </w:rPr>
      <w:fldChar w:fldCharType="end"/>
    </w:r>
    <w:r>
      <w:rPr>
        <w:b/>
        <w:sz w:val="18"/>
      </w:rPr>
      <w:tab/>
    </w:r>
    <w:r>
      <w:t>GE.20-02265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06E" w:rsidRPr="0024529D" w:rsidRDefault="0007306E" w:rsidP="0024529D">
    <w:pPr>
      <w:pStyle w:val="Pieddepage"/>
      <w:tabs>
        <w:tab w:val="right" w:pos="9638"/>
      </w:tabs>
      <w:rPr>
        <w:b/>
        <w:sz w:val="18"/>
      </w:rPr>
    </w:pPr>
    <w:r>
      <w:t>GE.20-02265</w:t>
    </w:r>
    <w:r>
      <w:tab/>
    </w:r>
    <w:r w:rsidRPr="0024529D">
      <w:rPr>
        <w:b/>
        <w:sz w:val="18"/>
      </w:rPr>
      <w:fldChar w:fldCharType="begin"/>
    </w:r>
    <w:r w:rsidRPr="0024529D">
      <w:rPr>
        <w:b/>
        <w:sz w:val="18"/>
      </w:rPr>
      <w:instrText xml:space="preserve"> PAGE  \* MERGEFORMAT </w:instrText>
    </w:r>
    <w:r w:rsidRPr="0024529D">
      <w:rPr>
        <w:b/>
        <w:sz w:val="18"/>
      </w:rPr>
      <w:fldChar w:fldCharType="separate"/>
    </w:r>
    <w:r w:rsidRPr="0024529D">
      <w:rPr>
        <w:b/>
        <w:noProof/>
        <w:sz w:val="18"/>
      </w:rPr>
      <w:t>3</w:t>
    </w:r>
    <w:r w:rsidRPr="002452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06E" w:rsidRPr="0024529D" w:rsidRDefault="0007306E" w:rsidP="0024529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20-02265  (F)    080520    110520</w:t>
    </w:r>
    <w:r>
      <w:rPr>
        <w:sz w:val="20"/>
      </w:rPr>
      <w:br/>
    </w:r>
    <w:r w:rsidRPr="0024529D">
      <w:rPr>
        <w:rFonts w:ascii="C39T30Lfz" w:hAnsi="C39T30Lfz"/>
        <w:sz w:val="56"/>
      </w:rPr>
      <w:t></w:t>
    </w:r>
    <w:r w:rsidRPr="0024529D">
      <w:rPr>
        <w:rFonts w:ascii="C39T30Lfz" w:hAnsi="C39T30Lfz"/>
        <w:sz w:val="56"/>
      </w:rPr>
      <w:t></w:t>
    </w:r>
    <w:r w:rsidRPr="0024529D">
      <w:rPr>
        <w:rFonts w:ascii="C39T30Lfz" w:hAnsi="C39T30Lfz"/>
        <w:sz w:val="56"/>
      </w:rPr>
      <w:t></w:t>
    </w:r>
    <w:r w:rsidRPr="0024529D">
      <w:rPr>
        <w:rFonts w:ascii="C39T30Lfz" w:hAnsi="C39T30Lfz"/>
        <w:sz w:val="56"/>
      </w:rPr>
      <w:t></w:t>
    </w:r>
    <w:r w:rsidRPr="0024529D">
      <w:rPr>
        <w:rFonts w:ascii="C39T30Lfz" w:hAnsi="C39T30Lfz"/>
        <w:sz w:val="56"/>
      </w:rPr>
      <w:t></w:t>
    </w:r>
    <w:r w:rsidRPr="0024529D">
      <w:rPr>
        <w:rFonts w:ascii="C39T30Lfz" w:hAnsi="C39T30Lfz"/>
        <w:sz w:val="56"/>
      </w:rPr>
      <w:t></w:t>
    </w:r>
    <w:r w:rsidRPr="0024529D">
      <w:rPr>
        <w:rFonts w:ascii="C39T30Lfz" w:hAnsi="C39T30Lfz"/>
        <w:sz w:val="56"/>
      </w:rPr>
      <w:t></w:t>
    </w:r>
    <w:r w:rsidRPr="0024529D">
      <w:rPr>
        <w:rFonts w:ascii="C39T30Lfz" w:hAnsi="C39T30Lfz"/>
        <w:sz w:val="56"/>
      </w:rPr>
      <w:t></w:t>
    </w:r>
    <w:r w:rsidRPr="0024529D">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CHN-HKG/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HN-HKG/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306E" w:rsidRPr="00AC3823" w:rsidRDefault="0007306E" w:rsidP="00AC3823">
      <w:pPr>
        <w:pStyle w:val="Pieddepage"/>
        <w:tabs>
          <w:tab w:val="right" w:pos="2155"/>
        </w:tabs>
        <w:spacing w:after="80" w:line="240" w:lineRule="atLeast"/>
        <w:ind w:left="680"/>
        <w:rPr>
          <w:u w:val="single"/>
        </w:rPr>
      </w:pPr>
      <w:r>
        <w:rPr>
          <w:u w:val="single"/>
        </w:rPr>
        <w:tab/>
      </w:r>
    </w:p>
  </w:footnote>
  <w:footnote w:type="continuationSeparator" w:id="0">
    <w:p w:rsidR="0007306E" w:rsidRPr="00AC3823" w:rsidRDefault="0007306E" w:rsidP="00AC3823">
      <w:pPr>
        <w:pStyle w:val="Pieddepage"/>
        <w:tabs>
          <w:tab w:val="right" w:pos="2155"/>
        </w:tabs>
        <w:spacing w:after="80" w:line="240" w:lineRule="atLeast"/>
        <w:ind w:left="680"/>
        <w:rPr>
          <w:u w:val="single"/>
        </w:rPr>
      </w:pPr>
      <w:r>
        <w:rPr>
          <w:u w:val="single"/>
        </w:rPr>
        <w:tab/>
      </w:r>
    </w:p>
  </w:footnote>
  <w:footnote w:type="continuationNotice" w:id="1">
    <w:p w:rsidR="0007306E" w:rsidRPr="00AC3823" w:rsidRDefault="0007306E">
      <w:pPr>
        <w:spacing w:line="240" w:lineRule="auto"/>
        <w:rPr>
          <w:sz w:val="2"/>
          <w:szCs w:val="2"/>
        </w:rPr>
      </w:pPr>
    </w:p>
  </w:footnote>
  <w:footnote w:id="2">
    <w:p w:rsidR="0007306E" w:rsidRPr="008A2C7C" w:rsidRDefault="0007306E" w:rsidP="0024529D">
      <w:pPr>
        <w:pStyle w:val="Notedebasdepage"/>
        <w:rPr>
          <w:sz w:val="20"/>
          <w:lang w:val="fr-FR"/>
        </w:rPr>
      </w:pPr>
      <w:r>
        <w:rPr>
          <w:lang w:val="fr-FR"/>
        </w:rPr>
        <w:tab/>
        <w:t>*</w:t>
      </w:r>
      <w:r>
        <w:rPr>
          <w:lang w:val="fr-FR"/>
        </w:rPr>
        <w:tab/>
        <w:t>La version originale du présent document n’a pas été revue par les services d’édition.</w:t>
      </w:r>
    </w:p>
  </w:footnote>
  <w:footnote w:id="3">
    <w:p w:rsidR="0007306E" w:rsidRPr="008A2C7C" w:rsidRDefault="0007306E" w:rsidP="0024529D">
      <w:pPr>
        <w:pStyle w:val="Notedebasdepage"/>
        <w:rPr>
          <w:lang w:val="fr-FR"/>
        </w:rPr>
      </w:pPr>
      <w:r>
        <w:rPr>
          <w:lang w:val="fr-FR"/>
        </w:rPr>
        <w:tab/>
        <w:t>**</w:t>
      </w:r>
      <w:r>
        <w:rPr>
          <w:lang w:val="fr-FR"/>
        </w:rPr>
        <w:tab/>
        <w:t>Les annexes au présent rapport peuvent être consultées sur la page Web du Comité.</w:t>
      </w:r>
    </w:p>
  </w:footnote>
  <w:footnote w:id="4">
    <w:p w:rsidR="0007306E" w:rsidRPr="008A2C7C" w:rsidRDefault="0007306E" w:rsidP="0024529D">
      <w:pPr>
        <w:pStyle w:val="Notedebasdepage"/>
        <w:rPr>
          <w:lang w:val="fr-FR"/>
        </w:rPr>
      </w:pPr>
      <w:r>
        <w:rPr>
          <w:lang w:val="fr-FR"/>
        </w:rPr>
        <w:tab/>
      </w:r>
      <w:r w:rsidRPr="008A2C7C">
        <w:rPr>
          <w:rStyle w:val="Appelnotedebasdep"/>
        </w:rPr>
        <w:footnoteRef/>
      </w:r>
      <w:r>
        <w:rPr>
          <w:lang w:val="fr-FR"/>
        </w:rPr>
        <w:t xml:space="preserve"> </w:t>
      </w:r>
      <w:r>
        <w:rPr>
          <w:lang w:val="fr-FR"/>
        </w:rPr>
        <w:tab/>
        <w:t>En mars 2013, dans l’affaire </w:t>
      </w:r>
      <w:r>
        <w:rPr>
          <w:i/>
          <w:iCs/>
          <w:lang w:val="fr-FR"/>
        </w:rPr>
        <w:t>C &amp; autres c. Directeur de l’immigration</w:t>
      </w:r>
      <w:r>
        <w:rPr>
          <w:lang w:val="fr-FR"/>
        </w:rPr>
        <w:t xml:space="preserve"> (2013, 16 HKCFAR 280), la Cour de dernier ressort a statué comme suit : le directeur de l’immigration ayant décidé que toute crainte de persécution exprimée par une personne devait être prise en considération pour déterminer si elle devait ou non être renvoyée vers un autre pays, il est tenu de procéder à une évaluation indépendante du bien</w:t>
      </w:r>
      <w:r>
        <w:rPr>
          <w:lang w:val="fr-FR"/>
        </w:rPr>
        <w:noBreakHyphen/>
        <w:t>fondé de la crainte de persécution exprimée avant de procéder à la reconduite à la frontière. Avant cette décision, le Gouvernement maintenait, pour des raisons humanitaires, une pratique consistant à ne pas reconduire à la frontière les étrangers qui avaient demandé au Haut</w:t>
      </w:r>
      <w:r>
        <w:rPr>
          <w:lang w:val="fr-FR"/>
        </w:rPr>
        <w:noBreakHyphen/>
        <w:t>Commissaire des Nations Unies pour les réfugiés de reconnaître leur statut de réfugié dans la RAS de Hong Kong, et ce, malgré la politique de longue date du Gouvernement consistant à ne pas déterminer le statut de réfugié de quiconque et à ne pas accorder l’asile. Cependant, le Haut</w:t>
      </w:r>
      <w:r>
        <w:rPr>
          <w:lang w:val="fr-FR"/>
        </w:rPr>
        <w:noBreakHyphen/>
        <w:t xml:space="preserve">Commissariat des Nations Unies pour les réfugiés a cessé de déterminer le statut de réfugié dans la RAS de Hong Kong après le lancement du mécanisme unifié de traitement des demandes de protection. </w:t>
      </w:r>
    </w:p>
  </w:footnote>
  <w:footnote w:id="5">
    <w:p w:rsidR="0007306E" w:rsidRPr="008A2C7C" w:rsidRDefault="0007306E" w:rsidP="0024529D">
      <w:pPr>
        <w:pStyle w:val="Notedebasdepage"/>
        <w:rPr>
          <w:lang w:val="fr-FR"/>
        </w:rPr>
      </w:pPr>
      <w:r>
        <w:rPr>
          <w:lang w:val="fr-FR"/>
        </w:rPr>
        <w:tab/>
      </w:r>
      <w:r w:rsidRPr="008A2C7C">
        <w:rPr>
          <w:rStyle w:val="Appelnotedebasdep"/>
        </w:rPr>
        <w:footnoteRef/>
      </w:r>
      <w:r>
        <w:rPr>
          <w:lang w:val="fr-FR"/>
        </w:rPr>
        <w:tab/>
        <w:t>Y compris la décision rendue par la Cour de dernier ressort dans l’affaire </w:t>
      </w:r>
      <w:r>
        <w:rPr>
          <w:i/>
          <w:iCs/>
          <w:lang w:val="fr-FR"/>
        </w:rPr>
        <w:t>Secrétaire à la sécurité c. Sakthevel Prabakar</w:t>
      </w:r>
      <w:r>
        <w:rPr>
          <w:lang w:val="fr-FR"/>
        </w:rPr>
        <w:t xml:space="preserve"> (2004, 7 HKCFAR 187), et la décision rendue par le Tribunal de première instance dans </w:t>
      </w:r>
      <w:r w:rsidRPr="008A2C7C">
        <w:rPr>
          <w:lang w:val="fr-FR"/>
        </w:rPr>
        <w:t>l</w:t>
      </w:r>
      <w:r>
        <w:rPr>
          <w:lang w:val="fr-FR"/>
        </w:rPr>
        <w:t>’</w:t>
      </w:r>
      <w:r w:rsidRPr="008A2C7C">
        <w:rPr>
          <w:lang w:val="fr-FR"/>
        </w:rPr>
        <w:t>affaire </w:t>
      </w:r>
      <w:r w:rsidRPr="008A2C7C">
        <w:rPr>
          <w:i/>
          <w:lang w:val="fr-FR"/>
        </w:rPr>
        <w:t>FB</w:t>
      </w:r>
      <w:r w:rsidRPr="000D5E83">
        <w:rPr>
          <w:i/>
          <w:iCs/>
          <w:lang w:val="fr-FR"/>
        </w:rPr>
        <w:t xml:space="preserve"> </w:t>
      </w:r>
      <w:r>
        <w:rPr>
          <w:i/>
          <w:iCs/>
          <w:lang w:val="fr-FR"/>
        </w:rPr>
        <w:t>c. Directeur de l’immigration</w:t>
      </w:r>
      <w:r>
        <w:rPr>
          <w:lang w:val="fr-FR"/>
        </w:rPr>
        <w:t xml:space="preserve"> (2009, 2 HKLRD 346). </w:t>
      </w:r>
    </w:p>
  </w:footnote>
  <w:footnote w:id="6">
    <w:p w:rsidR="0007306E" w:rsidRPr="008A2C7C" w:rsidRDefault="0007306E" w:rsidP="0024529D">
      <w:pPr>
        <w:pStyle w:val="Notedebasdepage"/>
        <w:rPr>
          <w:lang w:val="fr-FR"/>
        </w:rPr>
      </w:pPr>
      <w:r>
        <w:rPr>
          <w:lang w:val="fr-FR"/>
        </w:rPr>
        <w:tab/>
      </w:r>
      <w:r w:rsidRPr="008A2C7C">
        <w:rPr>
          <w:rStyle w:val="Appelnotedebasdep"/>
        </w:rPr>
        <w:footnoteRef/>
      </w:r>
      <w:r>
        <w:rPr>
          <w:lang w:val="fr-FR"/>
        </w:rPr>
        <w:tab/>
        <w:t>Dans l’affaire </w:t>
      </w:r>
      <w:r>
        <w:rPr>
          <w:i/>
          <w:iCs/>
          <w:lang w:val="fr-FR"/>
        </w:rPr>
        <w:t>Ubamaka</w:t>
      </w:r>
      <w:r>
        <w:rPr>
          <w:lang w:val="fr-FR"/>
        </w:rPr>
        <w:t xml:space="preserve">, la Cour de dernier ressort a décidé que le droit de ne pas être soumis à des peines ou traitements cruels, inhumains ou dégradants consacré à l’article 3 de la Charte des droits (qui donne effet à l’article 7 du Pacte) était absolu et non susceptible de dérogation et que le Gouvernement ne devait pas renvoyer un étranger vers un pays où il courait un risque réel et considérable d’être soumis à des peines ou traitements cruels, inhumains ou dégradants, aussi contestable que soit sa conduite ou sa moralité. </w:t>
      </w:r>
    </w:p>
  </w:footnote>
  <w:footnote w:id="7">
    <w:p w:rsidR="0007306E" w:rsidRPr="008A2C7C" w:rsidRDefault="0007306E" w:rsidP="0024529D">
      <w:pPr>
        <w:pStyle w:val="Notedebasdepage"/>
        <w:rPr>
          <w:lang w:val="fr-FR"/>
        </w:rPr>
      </w:pPr>
      <w:r>
        <w:rPr>
          <w:lang w:val="fr-FR"/>
        </w:rPr>
        <w:tab/>
      </w:r>
      <w:r w:rsidRPr="008A2C7C">
        <w:rPr>
          <w:rStyle w:val="Appelnotedebasdep"/>
        </w:rPr>
        <w:footnoteRef/>
      </w:r>
      <w:r>
        <w:rPr>
          <w:lang w:val="fr-FR"/>
        </w:rPr>
        <w:t xml:space="preserve"> </w:t>
      </w:r>
      <w:r>
        <w:rPr>
          <w:lang w:val="fr-FR"/>
        </w:rPr>
        <w:tab/>
        <w:t>Par exemple : des femmes sont chargées des dossiers des requérantes qui disent avoir été victimes d’abus sexuels ou qui demandent une protection pour des raisons religieuses ; un parent ou un tuteur est autorisé à accompagner un mineur ou un requérant frappé d’incapacité mentale lors des entretiens ; un accès facilité est garanti aux requérants handicapés, etc.</w:t>
      </w:r>
    </w:p>
  </w:footnote>
  <w:footnote w:id="8">
    <w:p w:rsidR="0007306E" w:rsidRPr="008A2C7C" w:rsidRDefault="0007306E" w:rsidP="0024529D">
      <w:pPr>
        <w:pStyle w:val="Notedebasdepage"/>
        <w:rPr>
          <w:lang w:val="fr-FR"/>
        </w:rPr>
      </w:pPr>
      <w:r>
        <w:rPr>
          <w:lang w:val="fr-FR"/>
        </w:rPr>
        <w:tab/>
      </w:r>
      <w:r w:rsidRPr="008A2C7C">
        <w:rPr>
          <w:rStyle w:val="Appelnotedebasdep"/>
        </w:rPr>
        <w:footnoteRef/>
      </w:r>
      <w:r>
        <w:rPr>
          <w:lang w:val="fr-FR"/>
        </w:rPr>
        <w:t xml:space="preserve"> </w:t>
      </w:r>
      <w:r>
        <w:rPr>
          <w:lang w:val="fr-FR"/>
        </w:rPr>
        <w:tab/>
        <w:t xml:space="preserve">Selon la politique en vigueur, un employé de maison étranger doit quitter la RAS de Hong Kong à l’expiration de son contrat de travail ou dans les deux semaines qui suivent la résiliation du contrat, la date la plus proche étant retenue. À cette fin, en application du contrat de travail type, l’employeur est tenu de fournir à l’employé de maison étranger un billet de retour dans son pays après l’expiration ou la résiliation du contrat de travail. </w:t>
      </w:r>
    </w:p>
  </w:footnote>
  <w:footnote w:id="9">
    <w:p w:rsidR="0007306E" w:rsidRPr="008A2C7C" w:rsidRDefault="0007306E" w:rsidP="0024529D">
      <w:pPr>
        <w:pStyle w:val="Notedebasdepage"/>
        <w:rPr>
          <w:lang w:val="fr-FR"/>
        </w:rPr>
      </w:pPr>
      <w:r>
        <w:rPr>
          <w:lang w:val="fr-FR"/>
        </w:rPr>
        <w:tab/>
      </w:r>
      <w:r w:rsidRPr="008A2C7C">
        <w:rPr>
          <w:rStyle w:val="Appelnotedebasdep"/>
        </w:rPr>
        <w:footnoteRef/>
      </w:r>
      <w:r>
        <w:rPr>
          <w:lang w:val="fr-FR"/>
        </w:rPr>
        <w:t xml:space="preserve"> </w:t>
      </w:r>
      <w:r>
        <w:rPr>
          <w:lang w:val="fr-FR"/>
        </w:rPr>
        <w:tab/>
        <w:t>Si par exemple l’employeur ne pouvait poursuivre l’exécution du contrat pour cause d’émigration, d’expatriation, de décès ou de difficultés financières, ou s’il est prouvé que l’employé de maison a été maltraité ou exploité.</w:t>
      </w:r>
    </w:p>
  </w:footnote>
  <w:footnote w:id="10">
    <w:p w:rsidR="0007306E" w:rsidRPr="008A2C7C" w:rsidRDefault="0007306E" w:rsidP="0024529D">
      <w:pPr>
        <w:pStyle w:val="Notedebasdepage"/>
        <w:rPr>
          <w:lang w:val="fr-FR"/>
        </w:rPr>
      </w:pPr>
      <w:r>
        <w:rPr>
          <w:lang w:val="fr-FR"/>
        </w:rPr>
        <w:tab/>
      </w:r>
      <w:r w:rsidRPr="008A2C7C">
        <w:rPr>
          <w:rStyle w:val="Appelnotedebasdep"/>
        </w:rPr>
        <w:footnoteRef/>
      </w:r>
      <w:r>
        <w:rPr>
          <w:lang w:val="fr-FR"/>
        </w:rPr>
        <w:t xml:space="preserve"> </w:t>
      </w:r>
      <w:r>
        <w:rPr>
          <w:lang w:val="fr-FR"/>
        </w:rPr>
        <w:tab/>
        <w:t xml:space="preserve">Le Conseil des services d’aide juridictionnelle est un organe officiel créé en 1996 en vertu de l’ordonnance relative au Conseil des services d’aide juridictionnelle (chap. 489) pour superviser la prestation des services d’aide juridictionnelle fournis par le Département de l’aide juridictionnelle et conseiller le Chef de l’exécutif sur la politique d’aide juridictionnelle. Le Conseil des services d’aide juridictionnelle est présidé par un membre non officiel et comprend huit autres membres (deux </w:t>
      </w:r>
      <w:r>
        <w:rPr>
          <w:i/>
          <w:iCs/>
          <w:lang w:val="fr-FR"/>
        </w:rPr>
        <w:t>barristers</w:t>
      </w:r>
      <w:r>
        <w:rPr>
          <w:lang w:val="fr-FR"/>
        </w:rPr>
        <w:t xml:space="preserve">, deux </w:t>
      </w:r>
      <w:r>
        <w:rPr>
          <w:i/>
          <w:iCs/>
          <w:lang w:val="fr-FR"/>
        </w:rPr>
        <w:t>solicitors</w:t>
      </w:r>
      <w:r>
        <w:rPr>
          <w:lang w:val="fr-FR"/>
        </w:rPr>
        <w:t xml:space="preserve"> et quatre membres non professionnels), le directeur de l’aide juridictionnelle étant membre de droit. </w:t>
      </w:r>
    </w:p>
  </w:footnote>
  <w:footnote w:id="11">
    <w:p w:rsidR="0007306E" w:rsidRPr="008A2C7C" w:rsidRDefault="0007306E" w:rsidP="0024529D">
      <w:pPr>
        <w:pStyle w:val="Notedebasdepage"/>
        <w:rPr>
          <w:lang w:val="fr-FR"/>
        </w:rPr>
      </w:pPr>
      <w:r>
        <w:rPr>
          <w:lang w:val="fr-FR"/>
        </w:rPr>
        <w:tab/>
      </w:r>
      <w:r w:rsidRPr="008A2C7C">
        <w:rPr>
          <w:rStyle w:val="Appelnotedebasdep"/>
        </w:rPr>
        <w:footnoteRef/>
      </w:r>
      <w:r>
        <w:rPr>
          <w:lang w:val="fr-FR"/>
        </w:rPr>
        <w:t xml:space="preserve"> </w:t>
      </w:r>
      <w:r>
        <w:rPr>
          <w:lang w:val="fr-FR"/>
        </w:rPr>
        <w:tab/>
        <w:t xml:space="preserve">Le paragraphe 1 de l’article 13 de la Loi fondamentale dispose que le Gouvernement populaire central est chargé des affaires étrangères en lien avec la RAS de Hong Kong. </w:t>
      </w:r>
    </w:p>
  </w:footnote>
  <w:footnote w:id="12">
    <w:p w:rsidR="0007306E" w:rsidRPr="008A2C7C" w:rsidRDefault="0007306E" w:rsidP="0024529D">
      <w:pPr>
        <w:pStyle w:val="Notedebasdepage"/>
        <w:rPr>
          <w:lang w:val="fr-FR"/>
        </w:rPr>
      </w:pPr>
      <w:r>
        <w:rPr>
          <w:lang w:val="fr-FR"/>
        </w:rPr>
        <w:tab/>
      </w:r>
      <w:r w:rsidRPr="008A2C7C">
        <w:rPr>
          <w:rStyle w:val="Appelnotedebasdep"/>
        </w:rPr>
        <w:footnoteRef/>
      </w:r>
      <w:r>
        <w:rPr>
          <w:lang w:val="fr-FR"/>
        </w:rPr>
        <w:t xml:space="preserve"> </w:t>
      </w:r>
      <w:r>
        <w:rPr>
          <w:lang w:val="fr-FR"/>
        </w:rPr>
        <w:tab/>
        <w:t>L’article 19 de la Loi fondamentale dispose ce qui suit :</w:t>
      </w:r>
    </w:p>
    <w:p w:rsidR="0007306E" w:rsidRPr="008A2C7C" w:rsidRDefault="0007306E" w:rsidP="0024529D">
      <w:pPr>
        <w:pStyle w:val="Notedebasdepage"/>
        <w:rPr>
          <w:lang w:val="fr-FR"/>
        </w:rPr>
      </w:pPr>
      <w:r>
        <w:rPr>
          <w:lang w:val="fr-FR"/>
        </w:rPr>
        <w:tab/>
      </w:r>
      <w:r>
        <w:rPr>
          <w:lang w:val="fr-FR"/>
        </w:rPr>
        <w:tab/>
        <w:t xml:space="preserve">1) la RAS de Hong Kong est investie d’un pouvoir judiciaire indépendant, y compris celui de statuer en dernier ressort ; 2) les tribunaux de la RAS de Hong Kong ont compétence pour connaître de toutes les affaires dans la Région, sous réserve du maintien des restrictions imposées par l’ordre juridique et les principes précédemment en vigueur à Hong Kong ; 3) les tribunaux de la RAS de Hong Kong n’ont pas compétence pour connaître des actes de souveraineté comme ceux relatifs à la défense et aux affaires étrangères. Les tribunaux de la Région doivent obtenir un certificat du Chef de l’exécutif sur les questions de fait relatives à des actes de souveraineté comme ceux relatifs à la défense et aux affaires étrangères, chaque fois que de telles questions se posent dans le cadre d’une affaire. Ce certificat a force obligatoire pour les tribunaux. Avant de délivrer un tel certificat, le Chef de l’exécutif doit obtenir un document certifié du Gouvernement populaire central. </w:t>
      </w:r>
    </w:p>
  </w:footnote>
  <w:footnote w:id="13">
    <w:p w:rsidR="0007306E" w:rsidRPr="008A2C7C" w:rsidRDefault="0007306E" w:rsidP="0024529D">
      <w:pPr>
        <w:pStyle w:val="Notedebasdepage"/>
        <w:rPr>
          <w:lang w:val="fr-FR"/>
        </w:rPr>
      </w:pPr>
      <w:r>
        <w:rPr>
          <w:lang w:val="fr-FR"/>
        </w:rPr>
        <w:tab/>
      </w:r>
      <w:r w:rsidRPr="008A2C7C">
        <w:rPr>
          <w:rStyle w:val="Appelnotedebasdep"/>
        </w:rPr>
        <w:footnoteRef/>
      </w:r>
      <w:r>
        <w:rPr>
          <w:lang w:val="fr-FR"/>
        </w:rPr>
        <w:t xml:space="preserve"> </w:t>
      </w:r>
      <w:r>
        <w:rPr>
          <w:lang w:val="fr-FR"/>
        </w:rPr>
        <w:tab/>
        <w:t xml:space="preserve">Le jugement de la Cour de dernier ressort portait exclusivement sur le régime général de sécurité sociale et ne concernait aucun autre programme de protection sociale.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06E" w:rsidRPr="0024529D" w:rsidRDefault="0007306E">
    <w:pPr>
      <w:pStyle w:val="En-tte"/>
    </w:pPr>
    <w:fldSimple w:instr=" TITLE  \* MERGEFORMAT ">
      <w:r>
        <w:t>CCPR/C/CHN-HKG/4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06E" w:rsidRPr="0024529D" w:rsidRDefault="0007306E" w:rsidP="0024529D">
    <w:pPr>
      <w:pStyle w:val="En-tte"/>
      <w:jc w:val="right"/>
    </w:pPr>
    <w:fldSimple w:instr=" TITLE  \* MERGEFORMAT ">
      <w:r>
        <w:t>CCPR/C/CHN-HKG/4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2750C"/>
    <w:rsid w:val="00017F94"/>
    <w:rsid w:val="00023842"/>
    <w:rsid w:val="000334F9"/>
    <w:rsid w:val="0007306E"/>
    <w:rsid w:val="0007796D"/>
    <w:rsid w:val="000B7790"/>
    <w:rsid w:val="000C2225"/>
    <w:rsid w:val="000D1B59"/>
    <w:rsid w:val="00111F2F"/>
    <w:rsid w:val="00135370"/>
    <w:rsid w:val="0014365E"/>
    <w:rsid w:val="00176178"/>
    <w:rsid w:val="001B379B"/>
    <w:rsid w:val="001F525A"/>
    <w:rsid w:val="00223272"/>
    <w:rsid w:val="0024529D"/>
    <w:rsid w:val="0024779E"/>
    <w:rsid w:val="002B7BC7"/>
    <w:rsid w:val="002E2D46"/>
    <w:rsid w:val="0032225A"/>
    <w:rsid w:val="00332FF5"/>
    <w:rsid w:val="003402F1"/>
    <w:rsid w:val="00351332"/>
    <w:rsid w:val="003770DB"/>
    <w:rsid w:val="003A6E96"/>
    <w:rsid w:val="003B235F"/>
    <w:rsid w:val="003F79A2"/>
    <w:rsid w:val="00446FE5"/>
    <w:rsid w:val="00452396"/>
    <w:rsid w:val="004F1DFB"/>
    <w:rsid w:val="005505B7"/>
    <w:rsid w:val="00573BE5"/>
    <w:rsid w:val="00586ED3"/>
    <w:rsid w:val="00596AA9"/>
    <w:rsid w:val="005B4265"/>
    <w:rsid w:val="006E4945"/>
    <w:rsid w:val="006F7144"/>
    <w:rsid w:val="006F71EA"/>
    <w:rsid w:val="0071601D"/>
    <w:rsid w:val="00793E85"/>
    <w:rsid w:val="007A611C"/>
    <w:rsid w:val="007A62E6"/>
    <w:rsid w:val="007E2032"/>
    <w:rsid w:val="0080684C"/>
    <w:rsid w:val="008560DB"/>
    <w:rsid w:val="00871C75"/>
    <w:rsid w:val="008776DC"/>
    <w:rsid w:val="0092750C"/>
    <w:rsid w:val="00954D5D"/>
    <w:rsid w:val="009705C8"/>
    <w:rsid w:val="009B1E6C"/>
    <w:rsid w:val="009E1152"/>
    <w:rsid w:val="009E2C6A"/>
    <w:rsid w:val="00A9151D"/>
    <w:rsid w:val="00AA6A35"/>
    <w:rsid w:val="00AC3823"/>
    <w:rsid w:val="00AE323C"/>
    <w:rsid w:val="00B00181"/>
    <w:rsid w:val="00B63183"/>
    <w:rsid w:val="00B765F7"/>
    <w:rsid w:val="00B917A0"/>
    <w:rsid w:val="00BA0CA9"/>
    <w:rsid w:val="00C01ACF"/>
    <w:rsid w:val="00C02897"/>
    <w:rsid w:val="00CA7BC4"/>
    <w:rsid w:val="00D05667"/>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11A3DE"/>
  <w15:docId w15:val="{8F1AFFF7-FDC3-47DF-9264-C6D7E95F8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D744E5"/>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A9151D"/>
    <w:pPr>
      <w:outlineLvl w:val="1"/>
    </w:pPr>
  </w:style>
  <w:style w:type="paragraph" w:styleId="Titre3">
    <w:name w:val="heading 3"/>
    <w:basedOn w:val="Normal"/>
    <w:next w:val="Normal"/>
    <w:link w:val="Titre3Car"/>
    <w:uiPriority w:val="9"/>
    <w:semiHidden/>
    <w:qFormat/>
    <w:rsid w:val="00793E85"/>
    <w:pPr>
      <w:outlineLvl w:val="2"/>
    </w:pPr>
  </w:style>
  <w:style w:type="paragraph" w:styleId="Titre4">
    <w:name w:val="heading 4"/>
    <w:basedOn w:val="Normal"/>
    <w:next w:val="Normal"/>
    <w:link w:val="Titre4Car"/>
    <w:uiPriority w:val="9"/>
    <w:semiHidden/>
    <w:qFormat/>
    <w:rsid w:val="00793E85"/>
    <w:pPr>
      <w:outlineLvl w:val="3"/>
    </w:pPr>
  </w:style>
  <w:style w:type="paragraph" w:styleId="Titre5">
    <w:name w:val="heading 5"/>
    <w:basedOn w:val="Normal"/>
    <w:next w:val="Normal"/>
    <w:link w:val="Titre5Car"/>
    <w:uiPriority w:val="9"/>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uiPriority w:val="9"/>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uiPriority w:val="9"/>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uiPriority w:val="9"/>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24529D"/>
    <w:rPr>
      <w:rFonts w:ascii="Times New Roman" w:eastAsiaTheme="minorHAnsi" w:hAnsi="Times New Roman" w:cs="Times New Roman"/>
      <w:sz w:val="20"/>
      <w:szCs w:val="20"/>
      <w:lang w:eastAsia="en-US"/>
    </w:rPr>
  </w:style>
  <w:style w:type="paragraph" w:customStyle="1" w:styleId="ParaNoG">
    <w:name w:val="_ParaNo._G"/>
    <w:basedOn w:val="SingleTxtG"/>
    <w:rsid w:val="0024529D"/>
    <w:pPr>
      <w:numPr>
        <w:numId w:val="22"/>
      </w:numPr>
      <w:kinsoku/>
      <w:overflowPunct/>
      <w:autoSpaceDE/>
      <w:autoSpaceDN/>
      <w:adjustRightInd/>
      <w:snapToGrid/>
    </w:pPr>
    <w:rPr>
      <w:rFonts w:eastAsia="SimSun"/>
      <w:lang w:val="en-GB" w:eastAsia="zh-CN"/>
    </w:rPr>
  </w:style>
  <w:style w:type="numbering" w:styleId="111111">
    <w:name w:val="Outline List 2"/>
    <w:basedOn w:val="Aucuneliste"/>
    <w:semiHidden/>
    <w:rsid w:val="0024529D"/>
    <w:pPr>
      <w:numPr>
        <w:numId w:val="24"/>
      </w:numPr>
    </w:pPr>
  </w:style>
  <w:style w:type="numbering" w:styleId="1ai">
    <w:name w:val="Outline List 1"/>
    <w:basedOn w:val="Aucuneliste"/>
    <w:semiHidden/>
    <w:rsid w:val="0024529D"/>
    <w:pPr>
      <w:numPr>
        <w:numId w:val="25"/>
      </w:numPr>
    </w:pPr>
  </w:style>
  <w:style w:type="character" w:styleId="Titredulivre">
    <w:name w:val="Book Title"/>
    <w:basedOn w:val="Policepardfaut"/>
    <w:uiPriority w:val="33"/>
    <w:semiHidden/>
    <w:rsid w:val="0024529D"/>
    <w:rPr>
      <w:b/>
      <w:bCs/>
      <w:smallCaps/>
      <w:spacing w:val="5"/>
    </w:rPr>
  </w:style>
  <w:style w:type="paragraph" w:styleId="TM1">
    <w:name w:val="toc 1"/>
    <w:basedOn w:val="Normal"/>
    <w:next w:val="Normal"/>
    <w:autoRedefine/>
    <w:uiPriority w:val="39"/>
    <w:unhideWhenUsed/>
    <w:rsid w:val="0024529D"/>
    <w:pPr>
      <w:kinsoku/>
      <w:overflowPunct/>
      <w:autoSpaceDE/>
      <w:autoSpaceDN/>
      <w:adjustRightInd/>
      <w:snapToGrid/>
      <w:spacing w:after="100"/>
    </w:pPr>
    <w:rPr>
      <w:rFonts w:eastAsia="Times New Roman"/>
      <w:lang w:val="en-GB"/>
    </w:rPr>
  </w:style>
  <w:style w:type="table" w:customStyle="1" w:styleId="TableGrid1">
    <w:name w:val="Table Grid1"/>
    <w:basedOn w:val="TableauNormal"/>
    <w:rsid w:val="0024529D"/>
    <w:pPr>
      <w:suppressAutoHyphens/>
      <w:spacing w:after="0" w:line="240" w:lineRule="atLeast"/>
    </w:pPr>
    <w:rPr>
      <w:rFonts w:ascii="Times New Roman" w:eastAsiaTheme="minorHAnsi"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footnotedescription">
    <w:name w:val="footnote description"/>
    <w:next w:val="Normal"/>
    <w:link w:val="footnotedescriptionChar"/>
    <w:hidden/>
    <w:rsid w:val="0024529D"/>
    <w:pPr>
      <w:spacing w:after="0" w:line="256" w:lineRule="auto"/>
      <w:ind w:left="283" w:right="71" w:hanging="283"/>
      <w:jc w:val="both"/>
    </w:pPr>
    <w:rPr>
      <w:rFonts w:ascii="Times New Roman" w:hAnsi="Times New Roman" w:cs="Times New Roman"/>
      <w:color w:val="000000"/>
      <w:lang w:val="en-GB" w:eastAsia="en-GB"/>
    </w:rPr>
  </w:style>
  <w:style w:type="character" w:customStyle="1" w:styleId="footnotedescriptionChar">
    <w:name w:val="footnote description Char"/>
    <w:link w:val="footnotedescription"/>
    <w:rsid w:val="0024529D"/>
    <w:rPr>
      <w:rFonts w:ascii="Times New Roman" w:hAnsi="Times New Roman" w:cs="Times New Roman"/>
      <w:color w:val="000000"/>
      <w:lang w:val="en-GB" w:eastAsia="en-GB"/>
    </w:rPr>
  </w:style>
  <w:style w:type="character" w:customStyle="1" w:styleId="footnotemark">
    <w:name w:val="footnote mark"/>
    <w:hidden/>
    <w:rsid w:val="0024529D"/>
    <w:rPr>
      <w:rFonts w:ascii="Times New Roman" w:eastAsia="Times New Roman" w:hAnsi="Times New Roman" w:cs="Times New Roman"/>
      <w:color w:val="000000"/>
      <w:sz w:val="22"/>
      <w:vertAlign w:val="superscript"/>
    </w:rPr>
  </w:style>
  <w:style w:type="table" w:customStyle="1" w:styleId="TableGrid">
    <w:name w:val="TableGrid"/>
    <w:rsid w:val="0024529D"/>
    <w:pPr>
      <w:spacing w:after="0" w:line="240" w:lineRule="auto"/>
    </w:pPr>
    <w:rPr>
      <w:rFonts w:eastAsiaTheme="minorEastAsia"/>
      <w:lang w:val="en-GB" w:eastAsia="en-GB"/>
    </w:rPr>
    <w:tblPr>
      <w:tblCellMar>
        <w:top w:w="0" w:type="dxa"/>
        <w:left w:w="0" w:type="dxa"/>
        <w:bottom w:w="0" w:type="dxa"/>
        <w:right w:w="0" w:type="dxa"/>
      </w:tblCellMar>
    </w:tblPr>
  </w:style>
  <w:style w:type="paragraph" w:styleId="TM2">
    <w:name w:val="toc 2"/>
    <w:basedOn w:val="Normal"/>
    <w:next w:val="Normal"/>
    <w:autoRedefine/>
    <w:uiPriority w:val="39"/>
    <w:unhideWhenUsed/>
    <w:rsid w:val="0024529D"/>
    <w:pPr>
      <w:kinsoku/>
      <w:overflowPunct/>
      <w:autoSpaceDE/>
      <w:autoSpaceDN/>
      <w:adjustRightInd/>
      <w:snapToGrid/>
      <w:spacing w:after="100"/>
      <w:ind w:left="200"/>
    </w:pPr>
    <w:rPr>
      <w:rFonts w:eastAsia="Times New Roman"/>
      <w:lang w:val="en-GB"/>
    </w:rPr>
  </w:style>
  <w:style w:type="paragraph" w:styleId="TM3">
    <w:name w:val="toc 3"/>
    <w:basedOn w:val="Normal"/>
    <w:next w:val="Normal"/>
    <w:autoRedefine/>
    <w:uiPriority w:val="39"/>
    <w:unhideWhenUsed/>
    <w:rsid w:val="0024529D"/>
    <w:pPr>
      <w:kinsoku/>
      <w:overflowPunct/>
      <w:autoSpaceDE/>
      <w:autoSpaceDN/>
      <w:adjustRightInd/>
      <w:snapToGrid/>
      <w:spacing w:after="100"/>
      <w:ind w:left="400"/>
    </w:pPr>
    <w:rPr>
      <w:rFonts w:eastAsia="Times New Roman"/>
      <w:lang w:val="en-GB"/>
    </w:rPr>
  </w:style>
  <w:style w:type="paragraph" w:styleId="Commentaire">
    <w:name w:val="annotation text"/>
    <w:basedOn w:val="Normal"/>
    <w:link w:val="CommentaireCar"/>
    <w:uiPriority w:val="99"/>
    <w:semiHidden/>
    <w:unhideWhenUsed/>
    <w:rsid w:val="0024529D"/>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24529D"/>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24529D"/>
    <w:rPr>
      <w:sz w:val="16"/>
      <w:szCs w:val="16"/>
    </w:rPr>
  </w:style>
  <w:style w:type="paragraph" w:styleId="Objetducommentaire">
    <w:name w:val="annotation subject"/>
    <w:basedOn w:val="Commentaire"/>
    <w:next w:val="Commentaire"/>
    <w:link w:val="ObjetducommentaireCar"/>
    <w:uiPriority w:val="99"/>
    <w:semiHidden/>
    <w:unhideWhenUsed/>
    <w:rsid w:val="0024529D"/>
    <w:rPr>
      <w:b/>
      <w:bCs/>
    </w:rPr>
  </w:style>
  <w:style w:type="character" w:customStyle="1" w:styleId="ObjetducommentaireCar">
    <w:name w:val="Objet du commentaire Car"/>
    <w:basedOn w:val="CommentaireCar"/>
    <w:link w:val="Objetducommentaire"/>
    <w:uiPriority w:val="99"/>
    <w:semiHidden/>
    <w:rsid w:val="0024529D"/>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44</Pages>
  <Words>23214</Words>
  <Characters>127683</Characters>
  <Application>Microsoft Office Word</Application>
  <DocSecurity>0</DocSecurity>
  <Lines>1064</Lines>
  <Paragraphs>301</Paragraphs>
  <ScaleCrop>false</ScaleCrop>
  <HeadingPairs>
    <vt:vector size="2" baseType="variant">
      <vt:variant>
        <vt:lpstr>Titre</vt:lpstr>
      </vt:variant>
      <vt:variant>
        <vt:i4>1</vt:i4>
      </vt:variant>
    </vt:vector>
  </HeadingPairs>
  <TitlesOfParts>
    <vt:vector size="1" baseType="lpstr">
      <vt:lpstr>CCPR/C/CHN-HKG/4</vt:lpstr>
    </vt:vector>
  </TitlesOfParts>
  <Company>DCM</Company>
  <LinksUpToDate>false</LinksUpToDate>
  <CharactersWithSpaces>150596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CCPR/C/CHN-HKG/4</dc:title>
  <dc:subject/>
  <dc:creator>Edith BOURION</dc:creator>
  <cp:keywords/>
  <cp:lastModifiedBy>Edith Bourion</cp:lastModifiedBy>
  <cp:revision>2</cp:revision>
  <cp:lastPrinted>2014-05-14T10:59:00Z</cp:lastPrinted>
  <dcterms:created xsi:type="dcterms:W3CDTF">2020-05-11T10:32:00Z</dcterms:created>
  <dcterms:modified xsi:type="dcterms:W3CDTF">2020-05-11T10:32:00Z</dcterms:modified>
</cp:coreProperties>
</file>