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3675"/>
        <w:gridCol w:w="20"/>
        <w:gridCol w:w="992"/>
        <w:gridCol w:w="283"/>
        <w:gridCol w:w="3119"/>
      </w:tblGrid>
      <w:tr w:rsidR="00000000">
        <w:tblPrEx>
          <w:tblCellMar>
            <w:top w:w="0" w:type="dxa"/>
            <w:left w:w="0" w:type="dxa"/>
            <w:bottom w:w="0" w:type="dxa"/>
            <w:right w:w="0" w:type="dxa"/>
          </w:tblCellMar>
        </w:tblPrEx>
        <w:trPr>
          <w:cantSplit/>
          <w:trHeight w:hRule="exact" w:val="864"/>
        </w:trPr>
        <w:tc>
          <w:tcPr>
            <w:tcW w:w="4942" w:type="dxa"/>
            <w:gridSpan w:val="2"/>
            <w:tcBorders>
              <w:top w:val="nil"/>
              <w:left w:val="nil"/>
              <w:bottom w:val="nil"/>
              <w:right w:val="nil"/>
            </w:tcBorders>
            <w:vAlign w:val="bottom"/>
          </w:tcPr>
          <w:p w:rsidR="00000000" w:rsidRDefault="00000000">
            <w:pPr>
              <w:pStyle w:val="HCh"/>
              <w:spacing w:after="80"/>
              <w:jc w:val="left"/>
              <w:rPr>
                <w:spacing w:val="0"/>
                <w:w w:val="100"/>
              </w:rPr>
            </w:pPr>
            <w:bookmarkStart w:id="0" w:name="insstart"/>
            <w:bookmarkEnd w:id="0"/>
            <w:r>
              <w:rPr>
                <w:spacing w:val="0"/>
                <w:w w:val="100"/>
              </w:rPr>
              <w:t>Организация Объединенных Наций</w:t>
            </w:r>
          </w:p>
        </w:tc>
        <w:tc>
          <w:tcPr>
            <w:tcW w:w="20" w:type="dxa"/>
            <w:tcBorders>
              <w:top w:val="nil"/>
              <w:left w:val="nil"/>
              <w:bottom w:val="nil"/>
              <w:right w:val="nil"/>
            </w:tcBorders>
            <w:vAlign w:val="bottom"/>
          </w:tcPr>
          <w:p w:rsidR="00000000" w:rsidRDefault="00000000">
            <w:pPr>
              <w:pStyle w:val="Header"/>
              <w:spacing w:after="120"/>
            </w:pPr>
          </w:p>
        </w:tc>
        <w:tc>
          <w:tcPr>
            <w:tcW w:w="4394" w:type="dxa"/>
            <w:gridSpan w:val="3"/>
            <w:tcBorders>
              <w:top w:val="nil"/>
              <w:left w:val="nil"/>
              <w:bottom w:val="nil"/>
              <w:right w:val="nil"/>
            </w:tcBorders>
            <w:vAlign w:val="bottom"/>
          </w:tcPr>
          <w:p w:rsidR="00000000" w:rsidRDefault="00000000">
            <w:pPr>
              <w:pStyle w:val="Header"/>
              <w:spacing w:after="20"/>
              <w:jc w:val="right"/>
              <w:rPr>
                <w:sz w:val="20"/>
              </w:rPr>
            </w:pPr>
            <w:r>
              <w:rPr>
                <w:b/>
                <w:sz w:val="40"/>
              </w:rPr>
              <w:t>CEDAW</w:t>
            </w:r>
            <w:r>
              <w:rPr>
                <w:sz w:val="20"/>
              </w:rPr>
              <w:t>/C/FRA/6</w:t>
            </w:r>
          </w:p>
        </w:tc>
      </w:tr>
      <w:tr w:rsidR="00000000">
        <w:tblPrEx>
          <w:tblCellMar>
            <w:top w:w="0" w:type="dxa"/>
            <w:left w:w="0" w:type="dxa"/>
            <w:bottom w:w="0" w:type="dxa"/>
            <w:right w:w="0" w:type="dxa"/>
          </w:tblCellMar>
        </w:tblPrEx>
        <w:trPr>
          <w:trHeight w:hRule="exact" w:val="2880"/>
        </w:trPr>
        <w:tc>
          <w:tcPr>
            <w:tcW w:w="1267" w:type="dxa"/>
            <w:tcBorders>
              <w:left w:val="nil"/>
              <w:bottom w:val="single" w:sz="12" w:space="0" w:color="auto"/>
              <w:right w:val="nil"/>
            </w:tcBorders>
          </w:tcPr>
          <w:p w:rsidR="00000000" w:rsidRDefault="00000000">
            <w:pPr>
              <w:pStyle w:val="Header"/>
              <w:spacing w:before="240"/>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7" o:title="_unlogo"/>
                </v:shape>
              </w:pict>
            </w:r>
          </w:p>
          <w:p w:rsidR="00000000" w:rsidRDefault="00000000">
            <w:pPr>
              <w:pStyle w:val="Header"/>
              <w:spacing w:before="109"/>
            </w:pPr>
          </w:p>
        </w:tc>
        <w:tc>
          <w:tcPr>
            <w:tcW w:w="4687" w:type="dxa"/>
            <w:gridSpan w:val="3"/>
            <w:tcBorders>
              <w:left w:val="nil"/>
              <w:bottom w:val="single" w:sz="12" w:space="0" w:color="auto"/>
              <w:right w:val="nil"/>
            </w:tcBorders>
          </w:tcPr>
          <w:p w:rsidR="00000000" w:rsidRDefault="00000000">
            <w:pPr>
              <w:pStyle w:val="XLarge"/>
              <w:spacing w:before="240" w:line="330" w:lineRule="exact"/>
              <w:jc w:val="left"/>
              <w:rPr>
                <w:spacing w:val="0"/>
                <w:w w:val="100"/>
                <w:sz w:val="32"/>
              </w:rPr>
            </w:pPr>
            <w:r>
              <w:rPr>
                <w:spacing w:val="0"/>
                <w:w w:val="100"/>
                <w:sz w:val="32"/>
              </w:rPr>
              <w:t xml:space="preserve">Конвенция о ликвидации </w:t>
            </w:r>
            <w:r>
              <w:rPr>
                <w:spacing w:val="0"/>
                <w:w w:val="100"/>
                <w:sz w:val="32"/>
              </w:rPr>
              <w:br/>
              <w:t xml:space="preserve">всех форм дискриминации </w:t>
            </w:r>
            <w:r>
              <w:rPr>
                <w:spacing w:val="0"/>
                <w:w w:val="100"/>
                <w:sz w:val="32"/>
              </w:rPr>
              <w:br/>
              <w:t>в отношении женщин</w:t>
            </w:r>
          </w:p>
        </w:tc>
        <w:tc>
          <w:tcPr>
            <w:tcW w:w="283" w:type="dxa"/>
            <w:tcBorders>
              <w:left w:val="nil"/>
              <w:bottom w:val="single" w:sz="12" w:space="0" w:color="auto"/>
              <w:right w:val="nil"/>
            </w:tcBorders>
          </w:tcPr>
          <w:p w:rsidR="00000000" w:rsidRDefault="00000000">
            <w:pPr>
              <w:pStyle w:val="Header"/>
              <w:spacing w:before="109"/>
            </w:pPr>
          </w:p>
        </w:tc>
        <w:tc>
          <w:tcPr>
            <w:tcW w:w="3119" w:type="dxa"/>
            <w:tcBorders>
              <w:left w:val="nil"/>
              <w:bottom w:val="single" w:sz="12" w:space="0" w:color="auto"/>
              <w:right w:val="nil"/>
            </w:tcBorders>
          </w:tcPr>
          <w:p w:rsidR="00000000" w:rsidRDefault="00000000">
            <w:pPr>
              <w:spacing w:before="240" w:after="0"/>
              <w:rPr>
                <w:lang w:val="en-US"/>
              </w:rPr>
            </w:pPr>
            <w:r>
              <w:rPr>
                <w:lang w:val="en-US"/>
              </w:rPr>
              <w:t>Distr.: General</w:t>
            </w:r>
          </w:p>
          <w:p w:rsidR="00000000" w:rsidRDefault="00000000">
            <w:pPr>
              <w:spacing w:after="0"/>
              <w:rPr>
                <w:lang w:val="en-US"/>
              </w:rPr>
            </w:pPr>
            <w:r>
              <w:rPr>
                <w:lang w:val="en-US"/>
              </w:rPr>
              <w:t>6 April 2006</w:t>
            </w:r>
          </w:p>
          <w:p w:rsidR="00000000" w:rsidRDefault="00000000">
            <w:pPr>
              <w:spacing w:after="0"/>
              <w:rPr>
                <w:lang w:val="en-US"/>
              </w:rPr>
            </w:pPr>
          </w:p>
          <w:p w:rsidR="00000000" w:rsidRDefault="00000000">
            <w:pPr>
              <w:spacing w:after="0"/>
              <w:rPr>
                <w:lang w:val="en-US"/>
              </w:rPr>
            </w:pPr>
            <w:r>
              <w:rPr>
                <w:lang w:val="en-US"/>
              </w:rPr>
              <w:t>Russian</w:t>
            </w:r>
          </w:p>
          <w:p w:rsidR="00000000" w:rsidRDefault="00000000">
            <w:pPr>
              <w:spacing w:after="0"/>
              <w:rPr>
                <w:lang w:val="en-US"/>
              </w:rPr>
            </w:pPr>
            <w:r>
              <w:rPr>
                <w:lang w:val="en-US"/>
              </w:rPr>
              <w:t>Original: French</w:t>
            </w:r>
          </w:p>
        </w:tc>
      </w:tr>
    </w:tbl>
    <w:p w:rsidR="00000000" w:rsidRDefault="00000000">
      <w:pPr>
        <w:pStyle w:val="H1"/>
        <w:tabs>
          <w:tab w:val="left" w:pos="680"/>
        </w:tabs>
        <w:spacing w:after="0" w:line="100" w:lineRule="exact"/>
        <w:jc w:val="left"/>
        <w:rPr>
          <w:spacing w:val="0"/>
          <w:w w:val="100"/>
          <w:lang w:val="en-US"/>
        </w:rPr>
      </w:pPr>
    </w:p>
    <w:p w:rsidR="00000000" w:rsidRDefault="00000000">
      <w:pPr>
        <w:pStyle w:val="H1"/>
        <w:tabs>
          <w:tab w:val="left" w:pos="680"/>
        </w:tabs>
        <w:spacing w:after="840"/>
        <w:ind w:left="284" w:hanging="284"/>
        <w:jc w:val="left"/>
        <w:rPr>
          <w:spacing w:val="0"/>
          <w:w w:val="100"/>
        </w:rPr>
      </w:pPr>
      <w:commentRangeStart w:id="1"/>
      <w:r>
        <w:rPr>
          <w:spacing w:val="0"/>
          <w:w w:val="100"/>
        </w:rPr>
        <w:t xml:space="preserve">Комитет </w:t>
      </w:r>
      <w:commentRangeEnd w:id="1"/>
      <w:r>
        <w:rPr>
          <w:rStyle w:val="CommentReference"/>
          <w:b w:val="0"/>
          <w:vanish/>
          <w:spacing w:val="0"/>
          <w:w w:val="100"/>
        </w:rPr>
        <w:commentReference w:id="1"/>
      </w:r>
      <w:r>
        <w:rPr>
          <w:spacing w:val="0"/>
          <w:w w:val="100"/>
        </w:rPr>
        <w:t>по ликвидации дискриминации</w:t>
      </w:r>
      <w:r>
        <w:rPr>
          <w:spacing w:val="0"/>
          <w:w w:val="100"/>
          <w:lang/>
        </w:rPr>
        <w:br/>
      </w:r>
      <w:r>
        <w:rPr>
          <w:spacing w:val="0"/>
          <w:w w:val="100"/>
        </w:rPr>
        <w:t>в отношении женщин</w:t>
      </w:r>
    </w:p>
    <w:p w:rsidR="00000000" w:rsidRDefault="00000000">
      <w:pPr>
        <w:pStyle w:val="HCh"/>
        <w:tabs>
          <w:tab w:val="left" w:pos="680"/>
        </w:tabs>
        <w:spacing w:after="480"/>
        <w:jc w:val="center"/>
        <w:rPr>
          <w:spacing w:val="0"/>
          <w:w w:val="100"/>
        </w:rPr>
      </w:pPr>
      <w:r>
        <w:rPr>
          <w:spacing w:val="0"/>
          <w:w w:val="100"/>
        </w:rPr>
        <w:t xml:space="preserve">Рассмотрение докладов, представленных государствами-участниками </w:t>
      </w:r>
      <w:r>
        <w:rPr>
          <w:spacing w:val="0"/>
          <w:w w:val="100"/>
          <w:lang/>
        </w:rPr>
        <w:br/>
      </w:r>
      <w:r>
        <w:rPr>
          <w:spacing w:val="0"/>
          <w:w w:val="100"/>
        </w:rPr>
        <w:t xml:space="preserve">в соответствии со статьей 18 Конвенции о ликвидации </w:t>
      </w:r>
      <w:r>
        <w:rPr>
          <w:spacing w:val="0"/>
          <w:w w:val="100"/>
          <w:lang/>
        </w:rPr>
        <w:br/>
      </w:r>
      <w:r>
        <w:rPr>
          <w:spacing w:val="0"/>
          <w:w w:val="100"/>
        </w:rPr>
        <w:t>всех форм дискриминации в отношении женщин</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680"/>
        </w:tabs>
        <w:spacing w:after="0" w:line="120" w:lineRule="exact"/>
        <w:ind w:left="0" w:right="0"/>
        <w:rPr>
          <w:spacing w:val="0"/>
          <w:w w:val="100"/>
          <w:sz w:val="10"/>
        </w:rPr>
      </w:pP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680"/>
        </w:tabs>
        <w:spacing w:after="0" w:line="120" w:lineRule="exact"/>
        <w:ind w:left="0" w:right="0"/>
        <w:rPr>
          <w:spacing w:val="0"/>
          <w:w w:val="100"/>
          <w:sz w:val="10"/>
        </w:rPr>
      </w:pPr>
    </w:p>
    <w:p w:rsidR="00000000" w:rsidRDefault="00000000">
      <w:pPr>
        <w:pStyle w:val="H1"/>
        <w:tabs>
          <w:tab w:val="left" w:pos="680"/>
        </w:tabs>
        <w:spacing w:after="600"/>
        <w:jc w:val="center"/>
        <w:rPr>
          <w:spacing w:val="0"/>
          <w:w w:val="100"/>
        </w:rPr>
      </w:pPr>
      <w:r>
        <w:rPr>
          <w:color w:val="000000"/>
          <w:spacing w:val="0"/>
          <w:w w:val="100"/>
        </w:rPr>
        <w:t>Шестой периодический доклад государств-участников</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680"/>
        </w:tabs>
        <w:spacing w:after="0" w:line="120" w:lineRule="exact"/>
        <w:ind w:left="0" w:right="0"/>
        <w:rPr>
          <w:spacing w:val="0"/>
          <w:w w:val="100"/>
          <w:sz w:val="10"/>
        </w:rPr>
      </w:pP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680"/>
        </w:tabs>
        <w:spacing w:after="0" w:line="120" w:lineRule="exact"/>
        <w:ind w:left="0" w:right="0"/>
        <w:jc w:val="right"/>
        <w:rPr>
          <w:spacing w:val="0"/>
          <w:w w:val="100"/>
          <w:sz w:val="10"/>
        </w:rPr>
      </w:pPr>
    </w:p>
    <w:p w:rsidR="00000000" w:rsidRDefault="00000000">
      <w:pPr>
        <w:pStyle w:val="H1"/>
        <w:tabs>
          <w:tab w:val="left" w:pos="680"/>
        </w:tabs>
        <w:jc w:val="center"/>
        <w:rPr>
          <w:spacing w:val="0"/>
          <w:w w:val="100"/>
          <w:sz w:val="28"/>
          <w:lang/>
        </w:rPr>
      </w:pPr>
      <w:r>
        <w:rPr>
          <w:spacing w:val="0"/>
          <w:w w:val="100"/>
          <w:sz w:val="28"/>
          <w:lang w:val="en-US"/>
        </w:rPr>
        <w:t>Франция</w:t>
      </w:r>
      <w:r>
        <w:rPr>
          <w:rStyle w:val="FootnoteReference"/>
          <w:position w:val="4"/>
          <w:vertAlign w:val="baseline"/>
          <w:lang w:val="en-US"/>
        </w:rPr>
        <w:footnoteReference w:customMarkFollows="1" w:id="1"/>
        <w:t>*</w:t>
      </w:r>
    </w:p>
    <w:p w:rsidR="00000000" w:rsidRDefault="00000000">
      <w:pPr>
        <w:pStyle w:val="FootnoteText"/>
        <w:tabs>
          <w:tab w:val="clear" w:pos="418"/>
          <w:tab w:val="left" w:pos="284"/>
        </w:tabs>
        <w:spacing w:after="0" w:line="240" w:lineRule="auto"/>
        <w:ind w:left="0" w:firstLine="0"/>
        <w:rPr>
          <w:color w:val="000000"/>
          <w:spacing w:val="0"/>
          <w:w w:val="100"/>
          <w:sz w:val="18"/>
        </w:rPr>
      </w:pPr>
    </w:p>
    <w:p w:rsidR="00000000" w:rsidRDefault="00000000">
      <w:pPr>
        <w:pStyle w:val="FootnoteText"/>
        <w:tabs>
          <w:tab w:val="clear" w:pos="418"/>
          <w:tab w:val="left" w:pos="284"/>
        </w:tabs>
        <w:spacing w:after="0" w:line="240" w:lineRule="auto"/>
        <w:ind w:left="0" w:firstLine="0"/>
        <w:rPr>
          <w:color w:val="000000"/>
          <w:spacing w:val="0"/>
          <w:w w:val="100"/>
          <w:sz w:val="18"/>
        </w:rPr>
      </w:pPr>
    </w:p>
    <w:p w:rsidR="00000000" w:rsidRDefault="00000000">
      <w:pPr>
        <w:pStyle w:val="FootnoteText"/>
        <w:tabs>
          <w:tab w:val="clear" w:pos="418"/>
          <w:tab w:val="left" w:pos="284"/>
        </w:tabs>
        <w:spacing w:after="0" w:line="240" w:lineRule="auto"/>
        <w:ind w:left="0" w:firstLine="0"/>
        <w:rPr>
          <w:color w:val="000000"/>
          <w:spacing w:val="0"/>
          <w:w w:val="100"/>
          <w:sz w:val="18"/>
        </w:rPr>
      </w:pPr>
    </w:p>
    <w:p w:rsidR="00000000" w:rsidRDefault="00000000">
      <w:pPr>
        <w:pStyle w:val="FootnoteText"/>
        <w:tabs>
          <w:tab w:val="clear" w:pos="418"/>
          <w:tab w:val="left" w:pos="284"/>
        </w:tabs>
        <w:spacing w:after="0" w:line="240" w:lineRule="auto"/>
        <w:ind w:left="0" w:firstLine="0"/>
        <w:rPr>
          <w:color w:val="000000"/>
          <w:spacing w:val="0"/>
          <w:w w:val="100"/>
          <w:sz w:val="18"/>
        </w:rPr>
      </w:pPr>
    </w:p>
    <w:p w:rsidR="00000000" w:rsidRDefault="00000000">
      <w:pPr>
        <w:pStyle w:val="FootnoteText"/>
        <w:tabs>
          <w:tab w:val="clear" w:pos="418"/>
          <w:tab w:val="left" w:pos="284"/>
        </w:tabs>
        <w:spacing w:after="0" w:line="240" w:lineRule="auto"/>
        <w:ind w:left="0" w:firstLine="0"/>
        <w:rPr>
          <w:color w:val="000000"/>
          <w:spacing w:val="0"/>
          <w:w w:val="100"/>
          <w:sz w:val="18"/>
        </w:rPr>
      </w:pPr>
    </w:p>
    <w:p w:rsidR="00000000" w:rsidRDefault="00000000">
      <w:pPr>
        <w:pStyle w:val="FootnoteText"/>
        <w:tabs>
          <w:tab w:val="clear" w:pos="418"/>
          <w:tab w:val="left" w:pos="284"/>
        </w:tabs>
        <w:spacing w:after="0" w:line="240" w:lineRule="auto"/>
        <w:ind w:left="0" w:firstLine="0"/>
        <w:rPr>
          <w:color w:val="000000"/>
          <w:spacing w:val="0"/>
          <w:w w:val="100"/>
          <w:sz w:val="18"/>
        </w:rPr>
      </w:pPr>
    </w:p>
    <w:p w:rsidR="00000000" w:rsidRDefault="00000000">
      <w:pPr>
        <w:pStyle w:val="FootnoteText"/>
        <w:tabs>
          <w:tab w:val="clear" w:pos="418"/>
          <w:tab w:val="left" w:pos="284"/>
        </w:tabs>
        <w:spacing w:after="0" w:line="240" w:lineRule="auto"/>
        <w:ind w:left="0" w:firstLine="0"/>
        <w:rPr>
          <w:color w:val="000000"/>
          <w:spacing w:val="0"/>
          <w:w w:val="100"/>
          <w:sz w:val="18"/>
        </w:rPr>
      </w:pPr>
    </w:p>
    <w:p w:rsidR="00000000" w:rsidRDefault="00000000">
      <w:pPr>
        <w:pStyle w:val="FootnoteText"/>
        <w:tabs>
          <w:tab w:val="clear" w:pos="418"/>
          <w:tab w:val="left" w:pos="284"/>
        </w:tabs>
        <w:spacing w:after="0" w:line="240" w:lineRule="auto"/>
        <w:ind w:left="0" w:firstLine="0"/>
        <w:rPr>
          <w:color w:val="000000"/>
          <w:spacing w:val="0"/>
          <w:w w:val="100"/>
          <w:sz w:val="18"/>
        </w:rPr>
      </w:pPr>
    </w:p>
    <w:p w:rsidR="00000000" w:rsidRDefault="00000000">
      <w:pPr>
        <w:pStyle w:val="FootnoteText"/>
        <w:tabs>
          <w:tab w:val="clear" w:pos="418"/>
          <w:tab w:val="left" w:pos="284"/>
        </w:tabs>
        <w:spacing w:after="0" w:line="240" w:lineRule="auto"/>
        <w:ind w:left="0" w:firstLine="0"/>
        <w:rPr>
          <w:color w:val="000000"/>
          <w:spacing w:val="0"/>
          <w:w w:val="100"/>
          <w:sz w:val="18"/>
        </w:rPr>
      </w:pPr>
    </w:p>
    <w:p w:rsidR="00000000" w:rsidRDefault="00000000">
      <w:pPr>
        <w:pStyle w:val="FootnoteText"/>
        <w:tabs>
          <w:tab w:val="clear" w:pos="418"/>
          <w:tab w:val="left" w:pos="284"/>
        </w:tabs>
        <w:spacing w:after="0" w:line="240" w:lineRule="auto"/>
        <w:ind w:left="0" w:firstLine="0"/>
        <w:rPr>
          <w:color w:val="000000"/>
          <w:spacing w:val="0"/>
          <w:w w:val="100"/>
          <w:sz w:val="18"/>
        </w:rPr>
      </w:pPr>
      <w:r>
        <w:rPr>
          <w:color w:val="000000"/>
          <w:spacing w:val="0"/>
          <w:w w:val="100"/>
          <w:sz w:val="18"/>
        </w:rPr>
        <w:t>Примечание: Приложение к настоящему докладу будет предоставлено Комитету на том языке, на котором оно было получено.</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680"/>
        </w:tabs>
        <w:spacing w:after="0" w:line="160" w:lineRule="exact"/>
        <w:ind w:left="1264" w:right="1264"/>
        <w:rPr>
          <w:spacing w:val="0"/>
          <w:w w:val="100"/>
        </w:rPr>
      </w:pPr>
    </w:p>
    <w:p w:rsidR="00000000" w:rsidRDefault="00000000">
      <w:pPr>
        <w:pStyle w:val="H1"/>
        <w:tabs>
          <w:tab w:val="left" w:pos="680"/>
        </w:tabs>
        <w:ind w:left="1267" w:right="1260" w:hanging="1267"/>
        <w:rPr>
          <w:spacing w:val="0"/>
          <w:w w:val="100"/>
        </w:rPr>
        <w:sectPr w:rsidR="00000000">
          <w:footerReference w:type="even" r:id="rId9"/>
          <w:footerReference w:type="first" r:id="rId10"/>
          <w:endnotePr>
            <w:numFmt w:val="decimal"/>
          </w:endnotePr>
          <w:type w:val="continuous"/>
          <w:pgSz w:w="12240" w:h="15840" w:code="1"/>
          <w:pgMar w:top="567" w:right="1418" w:bottom="1701" w:left="1418" w:header="0" w:footer="851" w:gutter="0"/>
          <w:pgNumType w:start="1"/>
          <w:cols w:space="720"/>
          <w:noEndnote/>
          <w:titlePg/>
        </w:sectPr>
      </w:pPr>
      <w:bookmarkStart w:id="2" w:name="insend"/>
      <w:bookmarkEnd w:id="2"/>
    </w:p>
    <w:p w:rsidR="00000000" w:rsidRDefault="00000000">
      <w:pPr>
        <w:jc w:val="left"/>
        <w:rPr>
          <w:sz w:val="24"/>
        </w:rPr>
      </w:pPr>
      <w:r>
        <w:rPr>
          <w:sz w:val="24"/>
        </w:rPr>
        <w:t>ПРЕДИСЛОВИЕ</w:t>
      </w:r>
    </w:p>
    <w:p w:rsidR="00000000" w:rsidRDefault="00000000">
      <w:r>
        <w:t>С момента последнего слушания доклада Франции в Комитете по ликвидации дискриминации в отношении женщин (КЛДЖ), состоявшегося 3 июля 2003 года, государственная политика, направленная на расширение прав женщин и поощрение гендерного равенства, получила новый импульс.</w:t>
      </w:r>
    </w:p>
    <w:p w:rsidR="00000000" w:rsidRDefault="00000000">
      <w:r>
        <w:t>Эта политика вписывается в рамки, определяемые положениями Конвенции о ликвидации всех форм дискриминации в отношении женщин (далее Конвенция). Она является ответом на определенную обеспокоенность, выраженную Комитетом в 2003 году, например, в отношении положения женщин-иммигрантов или выходцев из среды иммигрантов и борьбы с насилием, жертвами которого они являются (в частности, браки по принуждению, калечащие операции на половых органах женщин), согласования возраста вступления в брак, одинакового для девушек и юношей, разницы в оплате труда мужчин и женщин, а также участия женщин в процессе принятия решений и достижения равноправия.</w:t>
      </w:r>
    </w:p>
    <w:p w:rsidR="00000000" w:rsidRDefault="00000000">
      <w:r>
        <w:t>Эта политика в равной степени направлена на выполнение обязательств, принятых в ходе всемирных конференций, в частности, проводившегося в Пекине в 1995 году всемирного форума, позитивные результаты которого были подтверждены международным сообществом в 2005 году. Франция взяла на себя обязательство проводить в жизнь политику, "учитывающую гендерную проблематику" (во французском варианте – "комплексный подход в вопросах обеспечения равноправия"). Наряду с этим предпринимались шаги в так называемых критических областях, перечисленных в Пекинской программе действий, таких как нищета, насилие в отношении женщин, а также положение женщин и девочек в условиях вооруженных конфликтов.</w:t>
      </w:r>
    </w:p>
    <w:p w:rsidR="00000000" w:rsidRDefault="00000000">
      <w:r>
        <w:t>В целях практического осуществления этой политики были образованы сети партнерских организаций и заключены контрактные соглашения с заинтересованными участниками, в частности, направленные на снижение уровня безработицы среди женщин, создание равных возможностей для девочек и мальчиков в школе, а также поощрение интеграции во французское общество женщин-иммигрантов или выходцев из среды иммигрантов.</w:t>
      </w:r>
    </w:p>
    <w:p w:rsidR="00000000" w:rsidRDefault="00000000">
      <w:r>
        <w:t>Подготовка настоящего доклада стала возможной в том числе благодаря тесному взаимодействию с другими ведомствами и структурами гражданского общества. Фактически свой вклад в подготовку шестого доклада об осуществлении Францией Конвенции внесли все соответствующие профильные министерства, а также органы власти заморских территорий. Доклад был внесен в виде проекта на рассмотрение Национальной консультативной комиссии по правам человека, основные замечания которой были приняты во внимание. Кроме того, состоялось его представление в национальных женских и феминистских ассоциациях.</w:t>
      </w:r>
    </w:p>
    <w:p w:rsidR="00000000" w:rsidRDefault="00000000">
      <w:pPr>
        <w:rPr>
          <w:b/>
        </w:rPr>
      </w:pPr>
    </w:p>
    <w:p w:rsidR="00000000" w:rsidRDefault="00000000">
      <w:pPr>
        <w:jc w:val="center"/>
        <w:rPr>
          <w:sz w:val="24"/>
        </w:rPr>
      </w:pPr>
      <w:r>
        <w:rPr>
          <w:b/>
        </w:rPr>
        <w:br w:type="page"/>
      </w:r>
      <w:r>
        <w:rPr>
          <w:b/>
          <w:caps/>
          <w:sz w:val="24"/>
        </w:rPr>
        <w:t>Часть первая</w:t>
      </w:r>
      <w:r>
        <w:rPr>
          <w:b/>
          <w:sz w:val="24"/>
        </w:rPr>
        <w:br/>
      </w:r>
      <w:r>
        <w:rPr>
          <w:b/>
          <w:caps/>
          <w:sz w:val="24"/>
        </w:rPr>
        <w:t>Национальные условия</w:t>
      </w:r>
    </w:p>
    <w:p w:rsidR="00000000" w:rsidRDefault="00000000">
      <w:pPr>
        <w:jc w:val="center"/>
        <w:rPr>
          <w:sz w:val="24"/>
        </w:rPr>
      </w:pPr>
      <w:r>
        <w:rPr>
          <w:b/>
          <w:sz w:val="24"/>
        </w:rPr>
        <w:t xml:space="preserve">Арсенал средств, которыми располагает государство, по расширению прав женщин </w:t>
      </w:r>
      <w:r>
        <w:rPr>
          <w:b/>
          <w:sz w:val="24"/>
        </w:rPr>
        <w:br/>
        <w:t>и обеспечению равенства</w:t>
      </w:r>
      <w:r>
        <w:rPr>
          <w:sz w:val="24"/>
        </w:rPr>
        <w:t xml:space="preserve"> </w:t>
      </w:r>
      <w:r>
        <w:rPr>
          <w:b/>
          <w:sz w:val="24"/>
        </w:rPr>
        <w:t>между мужчинами и женщинами</w:t>
      </w:r>
    </w:p>
    <w:p w:rsidR="00000000" w:rsidRDefault="00000000">
      <w:pPr>
        <w:ind w:left="567" w:hanging="567"/>
      </w:pPr>
      <w:r>
        <w:rPr>
          <w:lang w:val="fr-FR"/>
        </w:rPr>
        <w:t>I</w:t>
      </w:r>
      <w:r>
        <w:t>)</w:t>
      </w:r>
      <w:r>
        <w:tab/>
      </w:r>
      <w:r>
        <w:rPr>
          <w:u w:val="single"/>
        </w:rPr>
        <w:t>Организационно-правовые механизмы, призванные способствовать расширению прав женщин и обеспечению гендерного равенства</w:t>
      </w:r>
    </w:p>
    <w:p w:rsidR="00000000" w:rsidRDefault="00000000">
      <w:r>
        <w:rPr>
          <w:b/>
        </w:rPr>
        <w:t>А)</w:t>
      </w:r>
      <w:r>
        <w:rPr>
          <w:b/>
        </w:rPr>
        <w:tab/>
        <w:t>Министерство по вопросам социальной консолидации и равенства</w:t>
      </w:r>
    </w:p>
    <w:p w:rsidR="00000000" w:rsidRDefault="00000000">
      <w:r>
        <w:t>Декретом от 2 июня 2005 года при министре занятости, социальной консолидации и жилищной политики была введена должность министра-делегата по вопросам социальной консолидации и равенства. Для выполнения возложенных на него задач министр-делегат располагает Службой по правам женщин и вопросам равенства.</w:t>
      </w:r>
    </w:p>
    <w:p w:rsidR="00000000" w:rsidRDefault="00000000">
      <w:r>
        <w:rPr>
          <w:b/>
        </w:rPr>
        <w:t>В)</w:t>
      </w:r>
      <w:r>
        <w:rPr>
          <w:b/>
        </w:rPr>
        <w:tab/>
        <w:t>Служба по правам женщин и вопросам равенства</w:t>
      </w:r>
    </w:p>
    <w:p w:rsidR="00000000" w:rsidRDefault="00000000">
      <w:r>
        <w:t>1)</w:t>
      </w:r>
      <w:r>
        <w:tab/>
      </w:r>
      <w:r>
        <w:rPr>
          <w:u w:val="single"/>
        </w:rPr>
        <w:t>Задачи</w:t>
      </w:r>
    </w:p>
    <w:p w:rsidR="00000000" w:rsidRDefault="00000000">
      <w:r>
        <w:t>Служба обеспечивает осуществление политики правительства в области расширения прав женщин и поощрения гендерного равенства. Для этого в соответствии с подходом, инициированным в рамках Пекинской программы действий, принятой на четвертой Всемирной конференции по положению женщин (сентябрь 1995 года), Служба должна:</w:t>
      </w:r>
    </w:p>
    <w:p w:rsidR="00000000" w:rsidRDefault="00000000">
      <w:pPr>
        <w:ind w:left="567" w:hanging="567"/>
      </w:pPr>
      <w:r>
        <w:sym w:font="Wingdings 2" w:char="F0B7"/>
      </w:r>
      <w:r>
        <w:tab/>
        <w:t>способствовать, используя сквозной подход, учету ситуаций, с которыми сталкиваются мужчины и женщины, а также их соответствующих потребностей при разработке, претворении в жизнь, осуществлении контроля и оценке государственной политики (то есть применять на практике принцип учета гендерной проблематики, во французском варианте – "комплексный подход в вопросах гендерного равноправия") и в то же время</w:t>
      </w:r>
    </w:p>
    <w:p w:rsidR="00000000" w:rsidRDefault="00000000">
      <w:pPr>
        <w:ind w:left="567" w:hanging="567"/>
      </w:pPr>
      <w:r>
        <w:sym w:font="Wingdings 2" w:char="F0B7"/>
      </w:r>
      <w:r>
        <w:tab/>
        <w:t>принимать конкретные меры в отношении некоторых категорий женщин с целью уменьшения выявленного неравенства.</w:t>
      </w:r>
    </w:p>
    <w:p w:rsidR="00000000" w:rsidRDefault="00000000">
      <w:r>
        <w:t>Для выполнения этих задач Служба по правам женщин и вопросам равенства осуществляет следующую деятельность:</w:t>
      </w:r>
    </w:p>
    <w:p w:rsidR="00000000" w:rsidRDefault="00000000">
      <w:pPr>
        <w:ind w:left="567" w:hanging="567"/>
      </w:pPr>
      <w:r>
        <w:sym w:font="Symbol" w:char="F0B7"/>
      </w:r>
      <w:r>
        <w:rPr>
          <w:i/>
        </w:rPr>
        <w:tab/>
        <w:t>разрабатывает проекты нормативно-правовых документов</w:t>
      </w:r>
      <w:r>
        <w:t>, касающихся прав женщин и равноправия женщин и мужчин;</w:t>
      </w:r>
    </w:p>
    <w:p w:rsidR="00000000" w:rsidRDefault="00000000">
      <w:pPr>
        <w:ind w:left="567" w:hanging="567"/>
      </w:pPr>
      <w:r>
        <w:sym w:font="Symbol" w:char="F0B7"/>
      </w:r>
      <w:r>
        <w:rPr>
          <w:i/>
        </w:rPr>
        <w:tab/>
        <w:t>занимается деятельностью, связанной с информированием и профессиональной подготовкой</w:t>
      </w:r>
      <w:r>
        <w:t xml:space="preserve"> государственных служащих по вопросам равноправия мужчин и женщин;</w:t>
      </w:r>
    </w:p>
    <w:p w:rsidR="00000000" w:rsidRDefault="00000000">
      <w:pPr>
        <w:ind w:left="567" w:hanging="567"/>
      </w:pPr>
      <w:r>
        <w:sym w:font="Symbol" w:char="F0B7"/>
      </w:r>
      <w:r>
        <w:rPr>
          <w:i/>
        </w:rPr>
        <w:tab/>
        <w:t>отслеживает и ведет учет деятельности</w:t>
      </w:r>
      <w:r>
        <w:t>, способствующей равноправию мужчин и женщин в рамках проводимой государственной политики;</w:t>
      </w:r>
    </w:p>
    <w:p w:rsidR="00000000" w:rsidRDefault="00000000">
      <w:pPr>
        <w:ind w:left="567" w:hanging="567"/>
      </w:pPr>
      <w:r>
        <w:sym w:font="Symbol" w:char="F0B7"/>
      </w:r>
      <w:r>
        <w:rPr>
          <w:i/>
        </w:rPr>
        <w:tab/>
        <w:t>готовит статистические отчеты</w:t>
      </w:r>
      <w:r>
        <w:t xml:space="preserve"> с разбивкой по признаку пола, дающие более наглядную картину о положении, в котором находятся, соответственно, мужчины и женщины;</w:t>
      </w:r>
    </w:p>
    <w:p w:rsidR="00000000" w:rsidRDefault="00000000">
      <w:pPr>
        <w:ind w:left="567" w:hanging="567"/>
        <w:rPr>
          <w:i/>
        </w:rPr>
      </w:pPr>
      <w:r>
        <w:sym w:font="Symbol" w:char="F0B7"/>
      </w:r>
      <w:r>
        <w:rPr>
          <w:i/>
        </w:rPr>
        <w:tab/>
        <w:t>проводит исследования и анализ</w:t>
      </w:r>
      <w:r>
        <w:t>, позволяющие лучше понять природу неравенства и выработать предложения, направленные на его устранение;</w:t>
      </w:r>
    </w:p>
    <w:p w:rsidR="00000000" w:rsidRDefault="00000000">
      <w:pPr>
        <w:ind w:left="567" w:hanging="567"/>
        <w:rPr>
          <w:i/>
        </w:rPr>
      </w:pPr>
      <w:r>
        <w:sym w:font="Symbol" w:char="F0B7"/>
      </w:r>
      <w:r>
        <w:rPr>
          <w:i/>
        </w:rPr>
        <w:tab/>
        <w:t>публикует материалы для распространения</w:t>
      </w:r>
      <w:r>
        <w:t xml:space="preserve"> (брошюры, справочники и т. д.), предназначенные для профессиональных работников и широкой общественности.</w:t>
      </w:r>
    </w:p>
    <w:p w:rsidR="00000000" w:rsidRDefault="00000000">
      <w:pPr>
        <w:rPr>
          <w:u w:val="single"/>
        </w:rPr>
      </w:pPr>
      <w:r>
        <w:t>2)</w:t>
      </w:r>
      <w:r>
        <w:tab/>
      </w:r>
      <w:r>
        <w:rPr>
          <w:u w:val="single"/>
        </w:rPr>
        <w:t>Организационная структура</w:t>
      </w:r>
    </w:p>
    <w:p w:rsidR="00000000" w:rsidRDefault="00000000">
      <w:r>
        <w:t>Служба по правам женщин и вопросам равенства включает центральный аппарат (расположенный в Париже) и децентрализованную сеть в регионах и входящих в их состав департаментах, а также в заморских департаментах и территориях.</w:t>
      </w:r>
    </w:p>
    <w:p w:rsidR="00000000" w:rsidRDefault="00000000">
      <w:r>
        <w:rPr>
          <w:b/>
        </w:rPr>
        <w:t>а)</w:t>
      </w:r>
      <w:r>
        <w:rPr>
          <w:b/>
        </w:rPr>
        <w:tab/>
        <w:t>Центральный аппарат</w:t>
      </w:r>
    </w:p>
    <w:p w:rsidR="00000000" w:rsidRDefault="00000000">
      <w:r>
        <w:t>Состоит из четырех отделов и трех рабочих групп:</w:t>
      </w:r>
    </w:p>
    <w:p w:rsidR="00000000" w:rsidRDefault="00000000">
      <w:r>
        <w:t>–</w:t>
      </w:r>
      <w:r>
        <w:tab/>
        <w:t>отдела по вопросам личных и социальных прав;</w:t>
      </w:r>
    </w:p>
    <w:p w:rsidR="00000000" w:rsidRDefault="00000000">
      <w:r>
        <w:t>–</w:t>
      </w:r>
      <w:r>
        <w:tab/>
        <w:t>отдела по вопросам равноправия в профессиональной деятельности;</w:t>
      </w:r>
    </w:p>
    <w:p w:rsidR="00000000" w:rsidRDefault="00000000">
      <w:r>
        <w:t>–</w:t>
      </w:r>
      <w:r>
        <w:tab/>
        <w:t>отдела по связям с общественностью;</w:t>
      </w:r>
    </w:p>
    <w:p w:rsidR="00000000" w:rsidRDefault="00000000">
      <w:r>
        <w:t>–</w:t>
      </w:r>
      <w:r>
        <w:tab/>
        <w:t>отдела по кадровым и общим вопросам;</w:t>
      </w:r>
    </w:p>
    <w:p w:rsidR="00000000" w:rsidRDefault="00000000">
      <w:r>
        <w:t>–</w:t>
      </w:r>
      <w:r>
        <w:tab/>
        <w:t>группы по изысканиям, научно-исследовательской работе и статистике;</w:t>
      </w:r>
    </w:p>
    <w:p w:rsidR="00000000" w:rsidRDefault="00000000">
      <w:r>
        <w:t>–</w:t>
      </w:r>
      <w:r>
        <w:tab/>
        <w:t>группы по европейским и международным делам;</w:t>
      </w:r>
    </w:p>
    <w:p w:rsidR="00000000" w:rsidRDefault="00000000">
      <w:pPr>
        <w:ind w:left="567" w:hanging="567"/>
      </w:pPr>
      <w:r>
        <w:t>–</w:t>
      </w:r>
      <w:r>
        <w:tab/>
        <w:t>группы по координации работы децентрализованной сети и комплексному подходу к вопросам гендерного равенства (или по учету гендерной проблематики).</w:t>
      </w:r>
    </w:p>
    <w:p w:rsidR="00000000" w:rsidRDefault="00000000">
      <w:r>
        <w:rPr>
          <w:b/>
          <w:lang w:val="en-US"/>
        </w:rPr>
        <w:t>b</w:t>
      </w:r>
      <w:r>
        <w:rPr>
          <w:b/>
        </w:rPr>
        <w:t>)</w:t>
      </w:r>
      <w:r>
        <w:rPr>
          <w:b/>
        </w:rPr>
        <w:tab/>
        <w:t>Децентрализованная сеть</w:t>
      </w:r>
    </w:p>
    <w:p w:rsidR="00000000" w:rsidRDefault="00000000">
      <w:r>
        <w:t>Задача подчиненных префекту региона или префекту департамента 26 региональных делегатов, 75 уполномоченных в департаментах и трех представителей на островах Уоллис и Футуна, Майотта и Сен-Пьер и Микелон</w:t>
      </w:r>
      <w:r>
        <w:rPr>
          <w:rStyle w:val="FootnoteReference"/>
          <w:color w:val="000000"/>
        </w:rPr>
        <w:footnoteReference w:id="2"/>
      </w:r>
      <w:r>
        <w:t>, а также их команд состоит в выполнении на местах решений, принимаемых правительством в целях обеспечения равноправия мужчин и женщин. Для этого они обычно входят в состав государственной службы найма, возглавляют департаментские комиссии по борьбе с насилием в отношении женщин и взаимодействуют с руководителями, отвечающими на местах за вопросы социально-экономического развития и сферу общественной жизни.</w:t>
      </w:r>
    </w:p>
    <w:p w:rsidR="00000000" w:rsidRDefault="00000000">
      <w:pPr>
        <w:keepNext/>
        <w:rPr>
          <w:u w:val="single"/>
        </w:rPr>
      </w:pPr>
      <w:r>
        <w:t>3)</w:t>
      </w:r>
      <w:r>
        <w:tab/>
      </w:r>
      <w:r>
        <w:rPr>
          <w:u w:val="single"/>
        </w:rPr>
        <w:t>Кадровый и финансовый потенциал</w:t>
      </w:r>
    </w:p>
    <w:p w:rsidR="00000000" w:rsidRDefault="00000000">
      <w:r>
        <w:t>Число сотрудников Службы по правам женщин и вопросам равенства при заполнении всех должностей составляет 230 человек, включая 50 сотрудников центрального аппарата и 180 работающих в регионах и департаментах.</w:t>
      </w:r>
    </w:p>
    <w:p w:rsidR="00000000" w:rsidRDefault="00000000">
      <w:r>
        <w:t>В 2005 году бюджет Службы составил 27,4 млн. евро. Выделенные ассигнования были распределены следующим образом:</w:t>
      </w:r>
    </w:p>
    <w:p w:rsidR="00000000" w:rsidRDefault="00000000">
      <w:pPr>
        <w:ind w:left="567" w:hanging="567"/>
      </w:pPr>
      <w:r>
        <w:t>1.</w:t>
      </w:r>
      <w:r>
        <w:tab/>
        <w:t>интервенционные кредиты (субсидии общественным организациям): 17 млн. евро, в том числе 13,5 млн. евро, предназначенные для деятельности по поддержке децентрализованной сети;</w:t>
      </w:r>
    </w:p>
    <w:p w:rsidR="00000000" w:rsidRDefault="00000000">
      <w:pPr>
        <w:ind w:left="567" w:hanging="567"/>
      </w:pPr>
      <w:r>
        <w:t>2.</w:t>
      </w:r>
      <w:r>
        <w:tab/>
        <w:t>кредиты на покрытие текущих расходов (выплата заработной платы, отчисления в социальные фонды, аренда помещений, приобретение оборудования и т. д.): 10,4 млн. евро (из них 9,4 млн. евро – кредиты на персонал и 970 тыс. евро – ассигнования на покрытие текущих расходов децентрализованной сети).</w:t>
      </w:r>
    </w:p>
    <w:p w:rsidR="00000000" w:rsidRDefault="00000000">
      <w:r>
        <w:rPr>
          <w:b/>
        </w:rPr>
        <w:t>С)</w:t>
      </w:r>
      <w:r>
        <w:rPr>
          <w:b/>
        </w:rPr>
        <w:tab/>
        <w:t>Партнерские организации</w:t>
      </w:r>
    </w:p>
    <w:p w:rsidR="00000000" w:rsidRDefault="00000000">
      <w:r>
        <w:t>Министерство по вопросам социальной консолидации и равенства развивает диалог и партнерские отношения с заинтересованными участниками, представляющими политическую, экономическую и социальную сферы. На внутригосударственном уровне Министерство опирается на деятельность различных структур.</w:t>
      </w:r>
    </w:p>
    <w:p w:rsidR="00000000" w:rsidRDefault="00000000">
      <w:r>
        <w:t>1)</w:t>
      </w:r>
      <w:r>
        <w:tab/>
      </w:r>
      <w:r>
        <w:rPr>
          <w:u w:val="single"/>
        </w:rPr>
        <w:t>Парламентские комиссии по правам женщин и вопросам равноправия мужчин и женщин</w:t>
      </w:r>
      <w:r>
        <w:t>, учрежденные в обеих палатах парламента (Сенате и Национальном собрании) в соответствии с законом от 12 июля 1999 года. Этим комиссиям надлежит информировать членов палат о проводимой правительством политике с учетом ее влияния на обеспечение равных возможностей для мужчин и женщин. Комиссии осуществляют контроль за соблюдением законодательства в этой сфере. В состав каждой комиссии входит 36 членов, назначаемых, соответственно, членами Сената и Национального собрания "таким образом, чтобы обеспечить пропорциональное представительство в них политических групп и сбалансированное представительство мужчин и женщин, а также членов постоянных комиссий".</w:t>
      </w:r>
    </w:p>
    <w:p w:rsidR="00000000" w:rsidRDefault="00000000">
      <w:r>
        <w:t>В 2005 году комиссия Сената подготовила, в частности, доклад о равенстве в области оплаты труда, а также документ о борьбе с насилием в семье. Отчет о деятельности комиссии Национального собрания за период с октября 2004 года по ноябрь 2005 года касался, в частности, шагов, которые необходимо предпринять в отношении женщин-иммигрантов и контроля за выполнением закона от 4 июля 2001 года о добровольном прерывании беременности и контрацепции.</w:t>
      </w:r>
    </w:p>
    <w:p w:rsidR="00000000" w:rsidRDefault="00000000">
      <w:r>
        <w:t>2)</w:t>
      </w:r>
      <w:r>
        <w:tab/>
      </w:r>
      <w:r>
        <w:rPr>
          <w:u w:val="single"/>
        </w:rPr>
        <w:t>Наблюдательный комитет по вопросам равноправия женщин и мужчин</w:t>
      </w:r>
      <w:r>
        <w:t>.</w:t>
      </w:r>
    </w:p>
    <w:p w:rsidR="00000000" w:rsidRDefault="00000000">
      <w:r>
        <w:t>Создан в 1995 году, возглавляется премьер-министром (или в силу делегированных полномочий министром по вопросам равенства) и состоит из 33 членов – избранных представителей различных политических организаций, общественных деятелей, представителей научных и деловых кругов. В задачу Комитета входит:</w:t>
      </w:r>
    </w:p>
    <w:p w:rsidR="00000000" w:rsidRDefault="00000000">
      <w:pPr>
        <w:ind w:left="567" w:hanging="567"/>
      </w:pPr>
      <w:r>
        <w:sym w:font="SymbolPS" w:char="F0B7"/>
      </w:r>
      <w:r>
        <w:tab/>
        <w:t>сбор, представление и распространение данных, подготовка аналитических отчетов, проведение изысканий и исследований о положении женщин в стране и за рубежом;</w:t>
      </w:r>
    </w:p>
    <w:p w:rsidR="00000000" w:rsidRDefault="00000000">
      <w:pPr>
        <w:ind w:left="567" w:hanging="567"/>
      </w:pPr>
      <w:r>
        <w:sym w:font="SymbolPS" w:char="F0B7"/>
      </w:r>
      <w:r>
        <w:tab/>
        <w:t>оценка устойчивости сохраняющегося гендерного неравенства и выявление препятствий к обеспечению равноправия, в частности в политической, экономической и социальной областях;</w:t>
      </w:r>
    </w:p>
    <w:p w:rsidR="00000000" w:rsidRDefault="00000000">
      <w:pPr>
        <w:ind w:left="567" w:hanging="567"/>
      </w:pPr>
      <w:r>
        <w:sym w:font="SymbolPS" w:char="F0B7"/>
      </w:r>
      <w:r>
        <w:tab/>
        <w:t>вынесение заключений по проектам нормативно-правовых документов, представленных премьер-министром, и подготовка для него рекомендаций и предложений по реформе, призванной предотвратить и устранить гендерное неравенство, а также способствовать доступу к равным возможностям.</w:t>
      </w:r>
    </w:p>
    <w:p w:rsidR="00000000" w:rsidRDefault="00000000">
      <w:r>
        <w:t>Раз в два года Наблюдательный комитет представляет премьер-министру общий доклад. Этот доклад рассматривается в парламенте и публикуется. Наблюдательный комитет также занимается подготовкой тематических докладов.</w:t>
      </w:r>
    </w:p>
    <w:p w:rsidR="00000000" w:rsidRDefault="00000000">
      <w:pPr>
        <w:rPr>
          <w:u w:val="single"/>
        </w:rPr>
      </w:pPr>
      <w:r>
        <w:t>3)</w:t>
      </w:r>
      <w:r>
        <w:tab/>
      </w:r>
      <w:r>
        <w:rPr>
          <w:u w:val="single"/>
        </w:rPr>
        <w:t>Высший совет по обеспечению равноправия в профессиональной деятельности</w:t>
      </w:r>
    </w:p>
    <w:p w:rsidR="00000000" w:rsidRDefault="00000000">
      <w:pPr>
        <w:ind w:left="567" w:hanging="567"/>
        <w:rPr>
          <w:u w:val="single"/>
        </w:rPr>
      </w:pPr>
      <w:r>
        <w:t>4)</w:t>
      </w:r>
      <w:r>
        <w:tab/>
      </w:r>
      <w:r>
        <w:rPr>
          <w:u w:val="single"/>
        </w:rPr>
        <w:t>Высший совет по вопросам сексуального просвещения, регулирования рождаемости и семейного воспитания</w:t>
      </w:r>
    </w:p>
    <w:p w:rsidR="00000000" w:rsidRDefault="00000000">
      <w:r>
        <w:t>5)</w:t>
      </w:r>
      <w:r>
        <w:tab/>
      </w:r>
      <w:r>
        <w:rPr>
          <w:u w:val="single"/>
        </w:rPr>
        <w:t>Национальная комиссия по борьбе с насилием в отношении женщин</w:t>
      </w:r>
    </w:p>
    <w:p w:rsidR="00000000" w:rsidRDefault="00000000">
      <w:r>
        <w:t>Кроме того, Министерство по вопросам паритета поддерживает активную общественную деятельность путем финансирования на общегосударственном уровне и в регионах проектов, вписывающихся в рамки проводимой правительством политики расширения прав женщин и поощрения гендерного равенства. В число поддерживаемых Министерством ассоциаций входят 115 объединенных в сеть информационных центров по правам женщин (ИЦПЖ), координация работы которых возложена на Национальный информационный центр по правам женщин и семьи (НИЦПЖС), являющийся одним из старейших (создан в 1972 году). ИЦПЖ бесплатно предоставляет женщинам информацию по вопросам юридического, профессионального, социально-экономического и семейного характера.</w:t>
      </w:r>
    </w:p>
    <w:p w:rsidR="00000000" w:rsidRDefault="00000000">
      <w:r>
        <w:t>Наряду с этим Министерство взаимодействует:</w:t>
      </w:r>
    </w:p>
    <w:p w:rsidR="00000000" w:rsidRDefault="00000000">
      <w:pPr>
        <w:ind w:left="567" w:hanging="567"/>
      </w:pPr>
      <w:r>
        <w:t>–</w:t>
      </w:r>
      <w:r>
        <w:tab/>
        <w:t>с ассоциациями общегосударственного уровня, три из которых располагают круглосуточными телефонными службами (Национальная федерация солидарности с женщинами, Ассоциация феминисток по борьбе с изнасилованиями, Европейская ассоциация против насилия в отношении женщин на рабочем месте);</w:t>
      </w:r>
    </w:p>
    <w:p w:rsidR="00000000" w:rsidRDefault="00000000">
      <w:pPr>
        <w:ind w:left="567" w:hanging="567"/>
      </w:pPr>
      <w:r>
        <w:t>–</w:t>
      </w:r>
      <w:r>
        <w:tab/>
        <w:t>с действующими на местах 174 дежурными службами по приему и консультированию женщин, ставших жертвами насилия в семье. Деятельность этих служб касается обеспечения прав, безопасности, охраны здоровья, жилищных условий, возвращения к самостоятельной жизни, профессиональной интеграции или повторного трудоустройства и т. д.</w:t>
      </w:r>
    </w:p>
    <w:p w:rsidR="00000000" w:rsidRDefault="00000000">
      <w:pPr>
        <w:ind w:left="567" w:hanging="567"/>
      </w:pPr>
      <w:r>
        <w:t>II)</w:t>
      </w:r>
      <w:r>
        <w:tab/>
      </w:r>
      <w:r>
        <w:rPr>
          <w:u w:val="single"/>
        </w:rPr>
        <w:t>Учет в рамках государственного бюджета необходимости обеспечения равенства между мужчинами и женщинами</w:t>
      </w:r>
    </w:p>
    <w:p w:rsidR="00000000" w:rsidRDefault="00000000">
      <w:pPr>
        <w:ind w:left="567" w:hanging="567"/>
      </w:pPr>
      <w:r>
        <w:rPr>
          <w:b/>
        </w:rPr>
        <w:t>А)</w:t>
      </w:r>
      <w:r>
        <w:rPr>
          <w:b/>
        </w:rPr>
        <w:tab/>
        <w:t>Принцип учета гендерной проблематики при составлении бюджета: подготовка "желтых страниц" бюджета</w:t>
      </w:r>
    </w:p>
    <w:p w:rsidR="00000000" w:rsidRDefault="00000000">
      <w:r>
        <w:t>С 2001 года этот документ используется при подготовке финансовых законов. В нем представлена информация об ассигнованиях, предусматриваемых различными министерствами на мероприятия по защите прав женщин и обеспечению гендерного равенства. "Желтые страницы" способствовали наращиванию активности в этой сфере и доведению объемов интервенционных кредитов до 38 млн. евро.</w:t>
      </w:r>
    </w:p>
    <w:p w:rsidR="00000000" w:rsidRDefault="00000000">
      <w:r>
        <w:rPr>
          <w:b/>
        </w:rPr>
        <w:t>В)</w:t>
      </w:r>
      <w:r>
        <w:rPr>
          <w:b/>
        </w:rPr>
        <w:tab/>
        <w:t>Программа "Равенство между мужчинами и женщинами"</w:t>
      </w:r>
    </w:p>
    <w:p w:rsidR="00000000" w:rsidRDefault="00000000">
      <w:r>
        <w:t>Внедрение системы целевого бюджетного программирования в сфере политики обеспечения равенства позволит в ближайшие годы усилить принцип учета гендерной проблематики при составлении бюджета.</w:t>
      </w:r>
    </w:p>
    <w:p w:rsidR="00000000" w:rsidRDefault="00000000">
      <w:r>
        <w:t>В соответствии с принятым 1 августа 2001 года органическим законом  проекты финансового закона, представляемые ежегодно на рассмотрение парламента, начиная с 2006 года должны структурно оформляться в виде бюджетных программ с указанием целей и ожидаемых результатов по каждому направлению государственной политики, которую намерено проводить правительство. Эта реформа направлена, в частности, на повышение эффективности работы государственных органов власти, повышение транспарентности и более четкое определение государственных стратегий. Для этого предусмотренные в финансовом законе ассигнования сгруппированы по задачам, входящим в компетенцию одной или нескольких служб или министерств. Каждая задача включает комплекс программ, способствующих проведению определенной государственной политики. С учетом этого программа под названием "Равенство между мужчинами и женщинами" (программа № 137) была включена в задачу "Солидарность и интеграция".</w:t>
      </w:r>
    </w:p>
    <w:p w:rsidR="00000000" w:rsidRDefault="00000000">
      <w:r>
        <w:t>1)</w:t>
      </w:r>
      <w:r>
        <w:tab/>
      </w:r>
      <w:r>
        <w:rPr>
          <w:u w:val="single"/>
        </w:rPr>
        <w:t>Структура программы "Равенство между мужчинами и женщинами"</w:t>
      </w:r>
    </w:p>
    <w:p w:rsidR="00000000" w:rsidRDefault="00000000">
      <w:r>
        <w:t>Данная программа определяет вопросы поощрения равенства в качестве ключевого элемента политики, ответственность за проведение которой лежит на государстве. Программа включает четыре направления деятельности:</w:t>
      </w:r>
    </w:p>
    <w:p w:rsidR="00000000" w:rsidRDefault="00000000">
      <w:r>
        <w:tab/>
        <w:t>первое направление: Доступ женщин к ответственным должностям и принятию решений;</w:t>
      </w:r>
    </w:p>
    <w:p w:rsidR="00000000" w:rsidRDefault="00000000">
      <w:r>
        <w:tab/>
        <w:t>второе направление: Равенство в области профессиональной деятельности;</w:t>
      </w:r>
    </w:p>
    <w:p w:rsidR="00000000" w:rsidRDefault="00000000">
      <w:r>
        <w:tab/>
        <w:t>третье направление: Равенство в правах и достоинстве;</w:t>
      </w:r>
    </w:p>
    <w:p w:rsidR="00000000" w:rsidRDefault="00000000">
      <w:r>
        <w:tab/>
        <w:t>четвертое направление: Совмещение профессиональной деятельности и семейной жизни.</w:t>
      </w:r>
    </w:p>
    <w:p w:rsidR="00000000" w:rsidRDefault="00000000">
      <w:r>
        <w:t>В программе есть также пятое направление деятельности под названием "Поддержка осуществления программы", в котором перечислены средства, необходимые для ее практической реализации. В программе определяются пять целей и семь связанных с ними показателей.</w:t>
      </w:r>
    </w:p>
    <w:p w:rsidR="00000000" w:rsidRDefault="00000000">
      <w:r>
        <w:t>2)</w:t>
      </w:r>
      <w:r>
        <w:tab/>
      </w:r>
      <w:r>
        <w:rPr>
          <w:u w:val="single"/>
        </w:rPr>
        <w:t>Характер мер вмешательства и деятельности, финансируемой в рамках программы</w:t>
      </w:r>
    </w:p>
    <w:p w:rsidR="00000000" w:rsidRDefault="00000000">
      <w:r>
        <w:t>Программа позволяет финансировать, с одной стороны, разъяснительные мероприятия по вопросам равноправия, проводимые на уровне ответственных работников государственных структур и представителей гражданского общества, а с другой – деятельность, направленную на оказание поддержки женщинам. Осуществление этих мероприятий обеспечивается преимущественно общественными организациями и сетями, работающими в непосредственном контакте с заинтересованными категориями населения. Программа также дает возможность осуществлять финансирование расходов на содержание персонала Службы по правам женщин и вопросам равенства (в центре и на местах), а также текущей деятельности децентрализованной сети.</w:t>
      </w:r>
    </w:p>
    <w:p w:rsidR="00000000" w:rsidRDefault="00000000">
      <w:pPr>
        <w:keepNext/>
      </w:pPr>
      <w:r>
        <w:t>3)</w:t>
      </w:r>
      <w:r>
        <w:tab/>
      </w:r>
      <w:r>
        <w:rPr>
          <w:u w:val="single"/>
        </w:rPr>
        <w:t>Перспективы развития</w:t>
      </w:r>
    </w:p>
    <w:p w:rsidR="00000000" w:rsidRDefault="00000000">
      <w:r>
        <w:t>Представляя деятельность, финансирование которой предполагается осуществлять за счет ассигнований, предусматриваемых финансовым законом в бюджете Министерства по вопросам паритета, авторы программы подчеркивают, что политика поощрения равенства совершенствуется одновременно на национальном и европейском уровнях благодаря:</w:t>
      </w:r>
    </w:p>
    <w:p w:rsidR="00000000" w:rsidRDefault="00000000">
      <w:pPr>
        <w:rPr>
          <w:lang w:val="fr-FR"/>
        </w:rPr>
      </w:pPr>
      <w:r>
        <w:t>–</w:t>
      </w:r>
      <w:r>
        <w:tab/>
        <w:t>разработке нормативно</w:t>
      </w:r>
      <w:r>
        <w:rPr>
          <w:lang w:val="fr-FR"/>
        </w:rPr>
        <w:t>-</w:t>
      </w:r>
      <w:r>
        <w:t>правовой базы</w:t>
      </w:r>
      <w:r>
        <w:rPr>
          <w:lang w:val="fr-FR"/>
        </w:rPr>
        <w:t>;</w:t>
      </w:r>
    </w:p>
    <w:p w:rsidR="00000000" w:rsidRDefault="00000000">
      <w:pPr>
        <w:ind w:left="567" w:hanging="567"/>
      </w:pPr>
      <w:r>
        <w:t>–</w:t>
      </w:r>
      <w:r>
        <w:tab/>
        <w:t>осуществлению мероприятий, получающих дополнительное к ассигнованиям, предусмотренным в законе о государственном бюджете, финансирование (например, из средств Европейского социального фонда);</w:t>
      </w:r>
    </w:p>
    <w:p w:rsidR="00000000" w:rsidRDefault="00000000">
      <w:pPr>
        <w:ind w:left="567" w:hanging="567"/>
      </w:pPr>
      <w:r>
        <w:t>–</w:t>
      </w:r>
      <w:r>
        <w:tab/>
        <w:t>мероприятиям, осуществляемым за счет средств многочисленных партнеров (в частности, других министерств и ведомств).</w:t>
      </w:r>
    </w:p>
    <w:p w:rsidR="00000000" w:rsidRDefault="00000000">
      <w:r>
        <w:t>Таким образом, программа "Поощрение равенства между мужчинами и женщинами" могла бы стать основой будущего документа о политике сквозного подхода, главным проводником которой являлось бы Министерство по вопросам паритета. Такой документ повысил бы наглядность деятельности в сфере обеспечения равенства, предусмотренную в бюджетах всех ведомств.</w:t>
      </w:r>
    </w:p>
    <w:p w:rsidR="00000000" w:rsidRDefault="00000000">
      <w:r>
        <w:rPr>
          <w:lang w:val="fr-FR"/>
        </w:rPr>
        <w:t>III</w:t>
      </w:r>
      <w:r>
        <w:t>)</w:t>
      </w:r>
      <w:r>
        <w:tab/>
      </w:r>
      <w:r>
        <w:rPr>
          <w:u w:val="single"/>
        </w:rPr>
        <w:t>Изменения в работе государственных статистических служб</w:t>
      </w:r>
    </w:p>
    <w:p w:rsidR="00000000" w:rsidRDefault="00000000">
      <w:r>
        <w:t>С момента опубликования в 2001 году своего первого сводного документа "Взгляды на равенство" Национальный институт статистики и экономических исследований (ИНСЕЕ) совместно с заинтересованными министерствами и ведомствами осуществляет на постоянной основе изменения в работе государственных статистических служб в целях более ясного понимания положения, соответственно, мужчин и женщин в социальной, экономической и политической областях жизни. Этот документ (и его обновленные электронные версии) публикуется ежегодно 8 марта по случаю Международного женского дня.</w:t>
      </w:r>
    </w:p>
    <w:p w:rsidR="00000000" w:rsidRDefault="00000000">
      <w:r>
        <w:t>Со своей стороны, благодаря данным, собранным ИНСЕЕ и всеми другими учреждениями на национальном и европейском уровнях, Служба по правам женщин и вопросам равенства издает документ под названием "Равенство между женщинами и мужчинами: основные цифровые данные", главы которого соответствуют различным направлениям деятельности Службы. Из года в год это справочное издание пополняется данными, касающимися новых тем, таких, например, как процентная доля женщин в прюдомальных судах, в заводских комитетах, среди руководителей компаний и на высоких государственных должностях, концентрация женской занятости в определенных секторах экономики или основные формы воспитания детей в возрасте до 6 лет.</w:t>
      </w:r>
    </w:p>
    <w:p w:rsidR="00000000" w:rsidRDefault="00000000">
      <w:pPr>
        <w:jc w:val="center"/>
      </w:pPr>
      <w:r>
        <w:br w:type="page"/>
      </w:r>
      <w:r>
        <w:rPr>
          <w:b/>
          <w:caps/>
          <w:sz w:val="24"/>
        </w:rPr>
        <w:t>Часть вторая</w:t>
      </w:r>
      <w:r>
        <w:rPr>
          <w:b/>
          <w:caps/>
          <w:sz w:val="24"/>
        </w:rPr>
        <w:br/>
        <w:t>Положения Конвенции</w:t>
      </w:r>
    </w:p>
    <w:p w:rsidR="00000000" w:rsidRDefault="00000000">
      <w:pPr>
        <w:jc w:val="center"/>
        <w:rPr>
          <w:b/>
          <w:sz w:val="24"/>
        </w:rPr>
      </w:pPr>
      <w:r>
        <w:rPr>
          <w:b/>
          <w:sz w:val="24"/>
        </w:rPr>
        <w:t>Ситуация с оговорками Франции</w:t>
      </w:r>
    </w:p>
    <w:p w:rsidR="00000000" w:rsidRDefault="00000000">
      <w:r>
        <w:t>За время, прошедшее с момента представления предыдущего доклада, Франция сняла свою оговорку, касавшуюся совместного осуществления родительских прав и обязанностей (статьи 5</w:t>
      </w:r>
      <w:r>
        <w:rPr>
          <w:lang w:val="fr-FR"/>
        </w:rPr>
        <w:t>b</w:t>
      </w:r>
      <w:r>
        <w:t xml:space="preserve"> и 16-1</w:t>
      </w:r>
      <w:r>
        <w:rPr>
          <w:lang w:val="fr-FR"/>
        </w:rPr>
        <w:t>d</w:t>
      </w:r>
      <w:r>
        <w:t>). Вместе с тем следует отметить, что действующее законодательство претерпело ряд изменений.</w:t>
      </w:r>
    </w:p>
    <w:p w:rsidR="00000000" w:rsidRDefault="00000000">
      <w:pPr>
        <w:ind w:left="567" w:hanging="567"/>
      </w:pPr>
      <w:r>
        <w:rPr>
          <w:lang w:val="fr-FR"/>
        </w:rPr>
        <w:t>I</w:t>
      </w:r>
      <w:r>
        <w:t>)</w:t>
      </w:r>
      <w:r>
        <w:tab/>
      </w:r>
      <w:r>
        <w:rPr>
          <w:u w:val="single"/>
        </w:rPr>
        <w:t>В отношении оговорки к статье 14-2с) о доступе женщин, живущих в сельских районах, к системе социального обеспечения</w:t>
      </w:r>
    </w:p>
    <w:p w:rsidR="00000000" w:rsidRDefault="00000000">
      <w:r>
        <w:t xml:space="preserve">Данная оговорка сформулирована следующим образом: </w:t>
      </w:r>
      <w:r>
        <w:rPr>
          <w:i/>
        </w:rPr>
        <w:t>"Правительство Французской Республики заявляет, что пункт 2с) статьи 14 должен толковаться как гарантирующий приобретение собственных прав в сфере социального обеспечения женщинами, семейное положение или профессиональная деятельность которых соответствует требованиям законодательства для включения в личном качестве в категорию граждан, на которых распространяется соответствующий режим".</w:t>
      </w:r>
    </w:p>
    <w:p w:rsidR="00000000" w:rsidRDefault="00000000">
      <w:r>
        <w:t>В целях дальнейшего совершенствования системы социальной защиты жен глав сельскохозяйственных предприятий правительство Франции предприняло в последнее время шаги, призванные обеспечить возможность получения ими различных социальных выплат, предусмотренных в сельскохозяйственном секторе.</w:t>
      </w:r>
    </w:p>
    <w:p w:rsidR="00000000" w:rsidRDefault="00000000">
      <w:r>
        <w:t>В соответствии с законом от 9 июля 1999 года об установках в сельскохозяйственной деятельности для супруги, не желающей становиться совладельцем или наемным работником, был введен новый статус – сотрудничающей супруги, дающий более широкие права в вопросах получения пенсии по старости.</w:t>
      </w:r>
    </w:p>
    <w:p w:rsidR="00000000" w:rsidRDefault="00000000">
      <w:r>
        <w:t>После этого были предприняты шаги, направленные на расширение статуса сотрудничающей супруги.</w:t>
      </w:r>
    </w:p>
    <w:p w:rsidR="00000000" w:rsidRDefault="00000000">
      <w:r>
        <w:t>Таким образом, супруга главы хозяйства или сельскохозяйственного предприятия, работающая в хозяйстве или на предприятии на регулярной основе, отныне должна выбрать один из трех статусов:</w:t>
      </w:r>
    </w:p>
    <w:p w:rsidR="00000000" w:rsidRDefault="00000000">
      <w:r>
        <w:t>–</w:t>
      </w:r>
      <w:r>
        <w:tab/>
        <w:t>сотрудничающая с главой хозяйства или сельскохозяйственного предприятия;</w:t>
      </w:r>
    </w:p>
    <w:p w:rsidR="00000000" w:rsidRDefault="00000000">
      <w:r>
        <w:t>–</w:t>
      </w:r>
      <w:r>
        <w:tab/>
        <w:t>наемный работник в хозяйстве или сельскохозяйственном предприятии;</w:t>
      </w:r>
    </w:p>
    <w:p w:rsidR="00000000" w:rsidRDefault="00000000">
      <w:r>
        <w:t>–</w:t>
      </w:r>
      <w:r>
        <w:tab/>
        <w:t>глава хозяйства или сельскохозяйственного предприятия.</w:t>
      </w:r>
    </w:p>
    <w:p w:rsidR="00000000" w:rsidRDefault="00000000">
      <w:r>
        <w:t>Кроме того, в законе об установках в сельскохозяйственной деятельности от 11 января 2006 года предусматривается, что:</w:t>
      </w:r>
    </w:p>
    <w:p w:rsidR="00000000" w:rsidRDefault="00000000">
      <w:pPr>
        <w:ind w:left="567" w:hanging="567"/>
      </w:pPr>
      <w:r>
        <w:t>–</w:t>
      </w:r>
      <w:r>
        <w:tab/>
        <w:t>супруга может отныне получить статус сотрудничающей супруги, не будучи при этом обязанной получать предварительное согласие главы хозяйства;</w:t>
      </w:r>
    </w:p>
    <w:p w:rsidR="00000000" w:rsidRDefault="00000000">
      <w:pPr>
        <w:ind w:left="567" w:hanging="567"/>
      </w:pPr>
      <w:r>
        <w:t>–</w:t>
      </w:r>
      <w:r>
        <w:tab/>
        <w:t>этот статус, ранее распространявшийся только на официально зарегистрированных супругов, теперь действует и применительно к лицу, отношения которого с главой хозяйства имеют форму гражданского брака, или сожительствующему с главой хозяйства. Весь комплекс принятых мер направлен на существенное улучшение положения жен глав сельскохозяйственных предприятий.</w:t>
      </w:r>
    </w:p>
    <w:p w:rsidR="00000000" w:rsidRDefault="00000000">
      <w:r>
        <w:t>Исходя из вышесказанного, можно считать, что в отношении французских женщин-аграриев соответствующая оценочная оговорка по пункту 2с) статьи 14 Конвенции уже не может применяться.</w:t>
      </w:r>
    </w:p>
    <w:p w:rsidR="00000000" w:rsidRDefault="00000000">
      <w:r>
        <w:rPr>
          <w:lang w:val="fr-FR"/>
        </w:rPr>
        <w:t>II</w:t>
      </w:r>
      <w:r>
        <w:t>)</w:t>
      </w:r>
      <w:r>
        <w:tab/>
      </w:r>
      <w:r>
        <w:rPr>
          <w:u w:val="single"/>
        </w:rPr>
        <w:t>В отношении оговорки к статье</w:t>
      </w:r>
      <w:r>
        <w:rPr>
          <w:u w:val="single"/>
          <w:lang w:val="fr-FR"/>
        </w:rPr>
        <w:t> </w:t>
      </w:r>
      <w:r>
        <w:rPr>
          <w:u w:val="single"/>
        </w:rPr>
        <w:t>16-1</w:t>
      </w:r>
      <w:r>
        <w:rPr>
          <w:u w:val="single"/>
          <w:lang w:val="fr-FR"/>
        </w:rPr>
        <w:t>g</w:t>
      </w:r>
      <w:r>
        <w:rPr>
          <w:u w:val="single"/>
        </w:rPr>
        <w:t>) о выборе фамилии</w:t>
      </w:r>
    </w:p>
    <w:p w:rsidR="00000000" w:rsidRDefault="00000000">
      <w:r>
        <w:t>Следует отметить, что существенный прогресс в этом вопросе был достигнут в связи с принятием закона от 4 марта 2002 года, касающегося фамилии, и изменениями, внесенными в него законом от 18 июня 2003 года.</w:t>
      </w:r>
    </w:p>
    <w:p w:rsidR="00000000" w:rsidRDefault="00000000">
      <w:r>
        <w:t>В соответствии с этим законом родители отныне могут выбирать фамилию своего ребенка путем совместного письменного заявления, которое вручается служащему, ведающему актами гражданского состояния. Ребенку может быть дана фамилия отца, фамилия матери либо обе их фамилии в порядке, который родители выбирают по своему усмотрению, ограничиваясь одной фамилией от каждого из них. Фамилию, данную первому ребенку, будут носить и все другие родившиеся в этом браке дети. Для этого необходимо, чтобы родство со стороны матери и отца было установлено одновременно, а также чтобы ребенок был рожден после 31 декабря 2004 года.</w:t>
      </w:r>
    </w:p>
    <w:p w:rsidR="00000000" w:rsidRDefault="00000000">
      <w:r>
        <w:t>В отсутствие совместного заявления родителей применяется действовавший ранее порядок: ребенок, родившийся у состоящих в браке родителей или признанный отцом и матерью одновременно, получает фамилию отца.</w:t>
      </w:r>
    </w:p>
    <w:p w:rsidR="00000000" w:rsidRDefault="00000000">
      <w:r>
        <w:t>В случае задержки в установлении родства ребенок получает фамилию того из родителей, который признал его первым. Вместе с тем в момент признания вторым родителем и в течение периода несовершеннолетия ребенка родители могут поменять его фамилию или вписать обе фамилии, последовательность которых определяется по их усмотрению. В этом случае требуется личное согласие ребенка, если он достиг 13 лет.</w:t>
      </w:r>
    </w:p>
    <w:p w:rsidR="00000000" w:rsidRDefault="00000000">
      <w:r>
        <w:t>Несмотря на позитивные изменения, французское законодательство пока не в полной мере соответствует положениям статьи 16-1</w:t>
      </w:r>
      <w:r>
        <w:rPr>
          <w:lang w:val="fr-FR"/>
        </w:rPr>
        <w:t>g</w:t>
      </w:r>
      <w:r>
        <w:t>) Конвенции. В этой связи оговорка, сделанная Францией, должна оставаться в силе.</w:t>
      </w:r>
    </w:p>
    <w:p w:rsidR="00000000" w:rsidRDefault="00000000">
      <w:pPr>
        <w:jc w:val="center"/>
        <w:rPr>
          <w:caps/>
        </w:rPr>
      </w:pPr>
      <w:r>
        <w:rPr>
          <w:caps/>
        </w:rPr>
        <w:t>Статьи 1 и 2</w:t>
      </w:r>
    </w:p>
    <w:p w:rsidR="00000000" w:rsidRDefault="00000000">
      <w:pPr>
        <w:jc w:val="center"/>
        <w:rPr>
          <w:i/>
        </w:rPr>
      </w:pPr>
      <w:r>
        <w:rPr>
          <w:i/>
        </w:rPr>
        <w:t>Борьба с дискриминацией</w:t>
      </w:r>
    </w:p>
    <w:p w:rsidR="00000000" w:rsidRDefault="00000000">
      <w:r>
        <w:t>В последние годы Франция открыто демонстрировала свое намерение эффективно бороться с любыми проявлениями дискриминации в сфере занятости. Укрепление правовых механизмов и конкретные действия государственных органов власти позволили добиться значительного прогресса, в частности, в борьбе с дискриминацией по признаку пола.</w:t>
      </w:r>
    </w:p>
    <w:p w:rsidR="00000000" w:rsidRDefault="00000000">
      <w:pPr>
        <w:keepNext/>
      </w:pPr>
      <w:r>
        <w:rPr>
          <w:lang w:val="fr-FR"/>
        </w:rPr>
        <w:t>I</w:t>
      </w:r>
      <w:r>
        <w:t>)</w:t>
      </w:r>
      <w:r>
        <w:tab/>
      </w:r>
      <w:r>
        <w:rPr>
          <w:u w:val="single"/>
        </w:rPr>
        <w:t>Укрепление законодательства в сфере недопущения дискриминации</w:t>
      </w:r>
    </w:p>
    <w:p w:rsidR="00000000" w:rsidRDefault="00000000">
      <w:r>
        <w:t>Со времени представления пятого доклада правовая база была усилена благодаря  принятию двух нормативно-правовых актов:</w:t>
      </w:r>
    </w:p>
    <w:p w:rsidR="00000000" w:rsidRDefault="00000000">
      <w:pPr>
        <w:ind w:left="567" w:hanging="567"/>
      </w:pPr>
      <w:r>
        <w:t>–</w:t>
      </w:r>
      <w:r>
        <w:tab/>
        <w:t>закона от 30 декабря 2004 года о создании Высшего совета по борьбе с дискриминацией и вопросам равенства (</w:t>
      </w:r>
      <w:r>
        <w:rPr>
          <w:lang w:val="fr-FR"/>
        </w:rPr>
        <w:t>HALDE</w:t>
      </w:r>
      <w:r>
        <w:t>),</w:t>
      </w:r>
    </w:p>
    <w:p w:rsidR="00000000" w:rsidRDefault="00000000">
      <w:pPr>
        <w:ind w:left="567" w:hanging="567"/>
      </w:pPr>
      <w:r>
        <w:t>–</w:t>
      </w:r>
      <w:r>
        <w:tab/>
        <w:t>закона от 11 февраля 2005 года о равенстве прав и возможностей, участии и гражданстве лиц с инвалидностью.</w:t>
      </w:r>
    </w:p>
    <w:p w:rsidR="00000000" w:rsidRDefault="00000000">
      <w:pPr>
        <w:ind w:left="567" w:hanging="567"/>
        <w:rPr>
          <w:b/>
        </w:rPr>
      </w:pPr>
      <w:r>
        <w:rPr>
          <w:b/>
        </w:rPr>
        <w:t>А)</w:t>
      </w:r>
      <w:r>
        <w:rPr>
          <w:b/>
        </w:rPr>
        <w:tab/>
        <w:t>Закон о создании Высшего совета по борьбе с дискриминацией и вопросам равноправия (</w:t>
      </w:r>
      <w:r>
        <w:rPr>
          <w:b/>
          <w:lang w:val="fr-FR"/>
        </w:rPr>
        <w:t>HALDE</w:t>
      </w:r>
      <w:r>
        <w:rPr>
          <w:b/>
        </w:rPr>
        <w:t>)</w:t>
      </w:r>
    </w:p>
    <w:p w:rsidR="00000000" w:rsidRDefault="00000000">
      <w:r>
        <w:t>1)</w:t>
      </w:r>
      <w:r>
        <w:tab/>
      </w:r>
      <w:r>
        <w:rPr>
          <w:u w:val="single"/>
        </w:rPr>
        <w:t>Организационная структура Совета</w:t>
      </w:r>
    </w:p>
    <w:p w:rsidR="00000000" w:rsidRDefault="00000000">
      <w:r>
        <w:t>Являясь независимым административным органом, председатель которого назначается президентом Республики, Высший совет имеет в своей структуре:</w:t>
      </w:r>
    </w:p>
    <w:p w:rsidR="00000000" w:rsidRDefault="00000000">
      <w:pPr>
        <w:ind w:left="567" w:hanging="567"/>
      </w:pPr>
      <w:r>
        <w:t>–</w:t>
      </w:r>
      <w:r>
        <w:tab/>
        <w:t>коллегию из 11 членов, назначаемых на пять лет, состав которой должен способствовать сбалансированной представленности мужчин и женщин;</w:t>
      </w:r>
    </w:p>
    <w:p w:rsidR="00000000" w:rsidRDefault="00000000">
      <w:pPr>
        <w:ind w:left="567" w:hanging="567"/>
      </w:pPr>
      <w:r>
        <w:t>–</w:t>
      </w:r>
      <w:r>
        <w:tab/>
        <w:t>консультативный комитет, дающий возможность привлекать к работе в Совете квалифицированных экспертов из числа представителей общественных организаций, профсоюзов, профессиональных организаций или любых других лиц, работающих в сфере борьбы с дискриминацией и в области поощрения равноправия.</w:t>
      </w:r>
    </w:p>
    <w:p w:rsidR="00000000" w:rsidRDefault="00000000">
      <w:r>
        <w:t>2)</w:t>
      </w:r>
      <w:r>
        <w:tab/>
      </w:r>
      <w:r>
        <w:rPr>
          <w:u w:val="single"/>
        </w:rPr>
        <w:t>Задачи, принципы работы и полномочия Высшего совета</w:t>
      </w:r>
    </w:p>
    <w:p w:rsidR="00000000" w:rsidRDefault="00000000">
      <w:r>
        <w:t>Задачи, выполнение которых возложено на Совет, имеют двойную цель:</w:t>
      </w:r>
    </w:p>
    <w:p w:rsidR="00000000" w:rsidRDefault="00000000">
      <w:pPr>
        <w:ind w:left="567" w:hanging="567"/>
      </w:pPr>
      <w:r>
        <w:t>–</w:t>
      </w:r>
      <w:r>
        <w:tab/>
        <w:t>рассмотрение любых случаев прямой и косвенной дискриминации, запрещенной на основании закона или в соответствии с международными обязательствами;</w:t>
      </w:r>
    </w:p>
    <w:p w:rsidR="00000000" w:rsidRDefault="00000000">
      <w:r>
        <w:t>–</w:t>
      </w:r>
      <w:r>
        <w:tab/>
        <w:t xml:space="preserve">поощрение равенства. </w:t>
      </w:r>
    </w:p>
    <w:p w:rsidR="00000000" w:rsidRDefault="00000000">
      <w:pPr>
        <w:rPr>
          <w:b/>
        </w:rPr>
      </w:pPr>
      <w:r>
        <w:rPr>
          <w:b/>
        </w:rPr>
        <w:t>а)</w:t>
      </w:r>
      <w:r>
        <w:rPr>
          <w:b/>
        </w:rPr>
        <w:tab/>
        <w:t>Рассмотрение случаев, связанных с дискриминацией</w:t>
      </w:r>
    </w:p>
    <w:p w:rsidR="00000000" w:rsidRDefault="00000000">
      <w:pPr>
        <w:ind w:left="567" w:hanging="567"/>
      </w:pPr>
      <w:r>
        <w:sym w:font="Symbol" w:char="F0B7"/>
      </w:r>
      <w:r>
        <w:tab/>
      </w:r>
      <w:r>
        <w:rPr>
          <w:u w:val="single"/>
        </w:rPr>
        <w:t>Обращение в Высший совет:</w:t>
      </w:r>
      <w:r>
        <w:t xml:space="preserve"> обращение в Высший совет может осуществляться как непосредственно лицом, считающим себя жертвой дискриминации, так и через депутата Национального собрания, члена Сената или французского представителя в Европейском парламенте. Помимо этого, любая общественная организация, существующая не менее пяти лет на момент имевшего место факта, в уставе которой закреплена цель бороться с дискриминацией или оказывать содействие жертвам дискриминации, может обратиться в Высший совет вместе с лицом, считающим себя жертвой дискриминации. Высший совет может также самостоятельно принять решение о рассмотрении случаев прямой или косвенной дискриминации, о которых ему стало известно, при условии согласия жертвы дискриминации, если таковая была установлена.</w:t>
      </w:r>
    </w:p>
    <w:p w:rsidR="00000000" w:rsidRDefault="00000000">
      <w:pPr>
        <w:keepNext/>
      </w:pPr>
      <w:r>
        <w:sym w:font="SymbolPS" w:char="F0B7"/>
      </w:r>
      <w:r>
        <w:tab/>
      </w:r>
      <w:r>
        <w:rPr>
          <w:u w:val="single"/>
        </w:rPr>
        <w:t>Полномочия Высшего совета</w:t>
      </w:r>
    </w:p>
    <w:p w:rsidR="00000000" w:rsidRDefault="00000000">
      <w:r>
        <w:rPr>
          <w:i/>
        </w:rPr>
        <w:t>Полномочия по расследованию</w:t>
      </w:r>
      <w:r>
        <w:t>: являясь органом, уполномоченным собирать любую информацию о ставших известными ему фактах, Высший совет может потребовать объяснений от любого физического или юридического лица в рамках частного права, в отношении которого имеется такая информация. Кроме того, Высший совет может просить предоставить ему информацию или документы независимо от того, кто является ее носителем.</w:t>
      </w:r>
    </w:p>
    <w:p w:rsidR="00000000" w:rsidRDefault="00000000">
      <w:r>
        <w:t>Органы власти обязаны разрешить находящимся в их подчинении служащим отвечать на любой запрос Совета. Они также должны передать в Совет информацию и документы, необходимые для выполнения возложенных на него функций. Если его запросы не возымеют действия, Совет может вынести соответствующим лицам предупреждение и, в случае их отказа, обратиться в суд для вынесения срочного решения.</w:t>
      </w:r>
    </w:p>
    <w:p w:rsidR="00000000" w:rsidRDefault="00000000">
      <w:r>
        <w:t>Наконец, Высший совет имеет право осуществлять проверку на месте, в служебных или рабочих помещениях, а также в общественных местах или на транспорте.</w:t>
      </w:r>
    </w:p>
    <w:p w:rsidR="00000000" w:rsidRDefault="00000000">
      <w:pPr>
        <w:ind w:left="567" w:hanging="567"/>
      </w:pPr>
      <w:r>
        <w:sym w:font="Wingdings" w:char="F0D8"/>
      </w:r>
      <w:r>
        <w:tab/>
      </w:r>
      <w:r>
        <w:rPr>
          <w:i/>
        </w:rPr>
        <w:t xml:space="preserve">Полномочие выступать посредником и выносить рекомендации: </w:t>
      </w:r>
      <w:r>
        <w:t>Высший совет может оказывать жертве дискриминации содействие в сборе материалов, касающихся соответствующего дела, и участвовать в переговорах по урегулированию разногласий, о которых ему стало известно.</w:t>
      </w:r>
    </w:p>
    <w:p w:rsidR="00000000" w:rsidRDefault="00000000">
      <w:r>
        <w:t>Он также может выносить рекомендации, направленные на устранение любой дискриминационной практики или предупреждение ее возможного повторения. В случае если эти рекомендации не возымели эффекта, Высший совет может подготовить специальное сообщение, которое будет опубликовано в "Официальном вестнике" ("Журналь оффисьель").</w:t>
      </w:r>
    </w:p>
    <w:p w:rsidR="00000000" w:rsidRDefault="00000000">
      <w:r>
        <w:t>В случаях, когда в совершенных действиях усматривается состав преступления или правонарушения, Высший совет обязан проинформировать об этом прокурора суда первой инстанции. При необходимости представитель Высшего совета может быть вызван судом для сообщения своих замечаний и соображений.</w:t>
      </w:r>
    </w:p>
    <w:p w:rsidR="00000000" w:rsidRDefault="00000000">
      <w:pPr>
        <w:rPr>
          <w:b/>
        </w:rPr>
      </w:pPr>
      <w:r>
        <w:rPr>
          <w:b/>
          <w:lang w:val="fr-FR"/>
        </w:rPr>
        <w:t>b</w:t>
      </w:r>
      <w:r>
        <w:rPr>
          <w:b/>
        </w:rPr>
        <w:t>)</w:t>
      </w:r>
      <w:r>
        <w:rPr>
          <w:b/>
        </w:rPr>
        <w:tab/>
        <w:t>Поощрение равноправия</w:t>
      </w:r>
    </w:p>
    <w:p w:rsidR="00000000" w:rsidRDefault="00000000">
      <w:r>
        <w:t>В этой области Высший совет осуществляет:</w:t>
      </w:r>
    </w:p>
    <w:p w:rsidR="00000000" w:rsidRDefault="00000000">
      <w:r>
        <w:sym w:font="Wingdings" w:char="F0D8"/>
      </w:r>
      <w:r>
        <w:tab/>
        <w:t>информационно-просветительскую деятельность;</w:t>
      </w:r>
    </w:p>
    <w:p w:rsidR="00000000" w:rsidRDefault="00000000">
      <w:r>
        <w:sym w:font="Wingdings" w:char="F0D8"/>
      </w:r>
      <w:r>
        <w:tab/>
        <w:t>изыскательскую и научно-исследовательскую работу;</w:t>
      </w:r>
    </w:p>
    <w:p w:rsidR="00000000" w:rsidRDefault="00000000">
      <w:r>
        <w:sym w:font="Wingdings" w:char="F0D8"/>
      </w:r>
      <w:r>
        <w:tab/>
        <w:t>отслеживание передового опыта в области обеспечения равных возможностей и обращения;</w:t>
      </w:r>
    </w:p>
    <w:p w:rsidR="00000000" w:rsidRDefault="00000000">
      <w:r>
        <w:sym w:font="Wingdings" w:char="F0D8"/>
      </w:r>
      <w:r>
        <w:tab/>
        <w:t>подготовку рекомендаций по внесению изменений в законы и нормативные акты.</w:t>
      </w:r>
    </w:p>
    <w:p w:rsidR="00000000" w:rsidRDefault="00000000">
      <w:r>
        <w:t>Полномочия Высшего совета необходимо расширить.</w:t>
      </w:r>
    </w:p>
    <w:p w:rsidR="00000000" w:rsidRDefault="00000000">
      <w:pPr>
        <w:keepNext/>
        <w:ind w:left="567" w:hanging="567"/>
        <w:rPr>
          <w:b/>
        </w:rPr>
      </w:pPr>
      <w:r>
        <w:rPr>
          <w:b/>
        </w:rPr>
        <w:t xml:space="preserve">В) </w:t>
      </w:r>
      <w:r>
        <w:rPr>
          <w:b/>
        </w:rPr>
        <w:tab/>
        <w:t>Закон от 11 февраля 2005 года об обеспечении равенства прав и возможностей, участии и гражданстве лиц с инвалидностью</w:t>
      </w:r>
    </w:p>
    <w:p w:rsidR="00000000" w:rsidRDefault="00000000">
      <w:r>
        <w:t>Закон от 11 февраля 2005 года направлен на расширение прав лиц с ограниченными возможностями, более половины из которых – женщины, являющиеся жертвами двойной дискриминации: дискриминации по признаку пола и дискриминации, связанной с их инвалидностью.</w:t>
      </w:r>
    </w:p>
    <w:p w:rsidR="00000000" w:rsidRDefault="00000000">
      <w:r>
        <w:t>1)</w:t>
      </w:r>
      <w:r>
        <w:tab/>
      </w:r>
      <w:r>
        <w:rPr>
          <w:u w:val="single"/>
        </w:rPr>
        <w:t>Улучшение качества профессиональной подготовки</w:t>
      </w:r>
    </w:p>
    <w:p w:rsidR="00000000" w:rsidRDefault="00000000">
      <w:r>
        <w:t>Законодатели приняли во внимание необходимость надлежащей профессиональной подготовки и поддержки работников, по роду своей деятельности оказывающих помощь инвалидам. Политика в области предупреждения, снижения уровня инвалидности и социальной поддержки инвалидов опирается на программы междисциплинарных исследований, к осуществлению которых привлечены, в частности, высшие учебные заведения, научно-исследовательские учреждения и эксперты-профессионалы. Кроме того, в соответствии с новым законодательством медицинский персонал и работники медико-социальной сферы проходят специальную подготовку, включающую изучение признаков, указывающих на инвалидность, расширение знаний в области патологий, являющихся причиной инвалидности, инноваций в области лечения, новых технологий, методик преподавания, образования и социальных аспектов, связанных с инвалидностью, а также вопросов обслуживания инвалидов и оказания им практической помощи.</w:t>
      </w:r>
    </w:p>
    <w:p w:rsidR="00000000" w:rsidRDefault="00000000">
      <w:r>
        <w:t>2)</w:t>
      </w:r>
      <w:r>
        <w:tab/>
      </w:r>
      <w:r>
        <w:rPr>
          <w:u w:val="single"/>
        </w:rPr>
        <w:t>Улучшение условий жизни женщин и мужчин – инвалидов</w:t>
      </w:r>
    </w:p>
    <w:p w:rsidR="00000000" w:rsidRDefault="00000000">
      <w:r>
        <w:t>Новое законодательство гарантирует, в частности:</w:t>
      </w:r>
    </w:p>
    <w:p w:rsidR="00000000" w:rsidRDefault="00000000">
      <w:pPr>
        <w:ind w:left="567" w:hanging="567"/>
      </w:pPr>
      <w:r>
        <w:t>–</w:t>
      </w:r>
      <w:r>
        <w:tab/>
        <w:t>свободное определение инвалидом своих личных жизненных планов, основанное на праве получения социальной помощи;</w:t>
      </w:r>
    </w:p>
    <w:p w:rsidR="00000000" w:rsidRDefault="00000000">
      <w:r>
        <w:t>–</w:t>
      </w:r>
      <w:r>
        <w:tab/>
        <w:t>реальный доступ к школьному образованию, профессиональной подготовке и занятости;</w:t>
      </w:r>
    </w:p>
    <w:p w:rsidR="00000000" w:rsidRDefault="00000000">
      <w:pPr>
        <w:ind w:left="567" w:hanging="567"/>
      </w:pPr>
      <w:r>
        <w:t>–</w:t>
      </w:r>
      <w:r>
        <w:tab/>
        <w:t>общую доступность городской инфраструктуры, транспорта, строений, объектов культуры и отдыха;</w:t>
      </w:r>
    </w:p>
    <w:p w:rsidR="00000000" w:rsidRDefault="00000000">
      <w:pPr>
        <w:ind w:left="567" w:hanging="567"/>
      </w:pPr>
      <w:r>
        <w:t>–</w:t>
      </w:r>
      <w:r>
        <w:tab/>
        <w:t>повышение качества обслуживания инвалидов, их информационного обеспечения, оценку их потребностей и признание их прав, в том числе создание на уровне департаментов домов для инвалидов.</w:t>
      </w:r>
    </w:p>
    <w:p w:rsidR="00000000" w:rsidRDefault="00000000">
      <w:r>
        <w:t>Наряду с этим предусматривается возможность получения инвалидами дополнительных и специальных врачебных консультаций профилактического характера, что в особенности касается женщин. Наконец, для информирования и предупреждения женщин-инвалидов об опасности употребления спиртных напитков, например в период беременности, планируется использование адаптированной наглядной информации.</w:t>
      </w:r>
    </w:p>
    <w:p w:rsidR="00000000" w:rsidRDefault="00000000">
      <w:pPr>
        <w:keepNext/>
      </w:pPr>
      <w:r>
        <w:rPr>
          <w:lang w:val="fr-FR"/>
        </w:rPr>
        <w:t>II</w:t>
      </w:r>
      <w:r>
        <w:t>)</w:t>
      </w:r>
      <w:r>
        <w:tab/>
      </w:r>
      <w:r>
        <w:rPr>
          <w:u w:val="single"/>
        </w:rPr>
        <w:t>Программы, осуществляемые государством</w:t>
      </w:r>
    </w:p>
    <w:p w:rsidR="00000000" w:rsidRDefault="00000000">
      <w:pPr>
        <w:keepNext/>
        <w:rPr>
          <w:b/>
        </w:rPr>
      </w:pPr>
      <w:r>
        <w:rPr>
          <w:b/>
        </w:rPr>
        <w:t>А)</w:t>
      </w:r>
      <w:r>
        <w:rPr>
          <w:b/>
        </w:rPr>
        <w:tab/>
        <w:t>"Антидискриминационная" программа как часть плана социальной консолидации</w:t>
      </w:r>
    </w:p>
    <w:p w:rsidR="00000000" w:rsidRDefault="00000000">
      <w:r>
        <w:t>План социальной консолидации, представленный правительством в июле 2004 года и отраженный в законе от 18 января 2005 года, включает программу, направленную на борьбу с дискриминацией, в том числе с помощью Хартии о многообразии в предпринимательстве, которую предложено подписать работодателям.</w:t>
      </w:r>
    </w:p>
    <w:p w:rsidR="00000000" w:rsidRDefault="00000000">
      <w:pPr>
        <w:rPr>
          <w:b/>
        </w:rPr>
      </w:pPr>
      <w:r>
        <w:rPr>
          <w:b/>
        </w:rPr>
        <w:t>В)</w:t>
      </w:r>
      <w:r>
        <w:rPr>
          <w:b/>
        </w:rPr>
        <w:tab/>
        <w:t xml:space="preserve">Проект </w:t>
      </w:r>
      <w:r>
        <w:rPr>
          <w:b/>
          <w:lang w:val="en-US"/>
        </w:rPr>
        <w:t>ESPERE</w:t>
      </w:r>
    </w:p>
    <w:p w:rsidR="00000000" w:rsidRDefault="00000000">
      <w:r>
        <w:t>С 2001 года Министерство по вопросам паритета совместно с рядом государственных партнеров</w:t>
      </w:r>
      <w:r>
        <w:rPr>
          <w:rStyle w:val="FootnoteReference"/>
          <w:color w:val="000000"/>
        </w:rPr>
        <w:footnoteReference w:id="3"/>
      </w:r>
      <w:r>
        <w:t xml:space="preserve"> участвует в проекте под названием </w:t>
      </w:r>
      <w:r>
        <w:rPr>
          <w:lang w:val="en-US"/>
        </w:rPr>
        <w:t>ESPERE</w:t>
      </w:r>
      <w:r>
        <w:t xml:space="preserve"> ("Приверженность государственной службы занятости делу восстановления равенства"), цель которого – мобилизация и подготовка сотрудников государственной службы найма (ГСН)</w:t>
      </w:r>
      <w:r>
        <w:rPr>
          <w:rStyle w:val="FootnoteReference"/>
          <w:color w:val="000000"/>
        </w:rPr>
        <w:footnoteReference w:id="4"/>
      </w:r>
      <w:r>
        <w:t xml:space="preserve"> для борьбы с расовой и двойной дискриминацией (по признаку пола и расовой или этнической принадлежности) в сфере доступа к занятости. Этот проект осуществляется в рамках европейской программы EQUAL.</w:t>
      </w:r>
    </w:p>
    <w:p w:rsidR="00000000" w:rsidRDefault="00000000">
      <w:r>
        <w:t>Он направлен, с одной стороны, на включение вопросов прямой и косвенной дискриминации (включая двойную дискриминацию) в сферу ведения ГСН а с другой – на обеспечение по этим вопросам межучережденческого взаимодействия между различными структурами данной государственной службы.</w:t>
      </w:r>
    </w:p>
    <w:p w:rsidR="00000000" w:rsidRDefault="00000000">
      <w:r>
        <w:t>В числе основных осуществленных мероприятий можно назвать:</w:t>
      </w:r>
    </w:p>
    <w:p w:rsidR="00000000" w:rsidRDefault="00000000">
      <w:pPr>
        <w:ind w:left="567" w:hanging="567"/>
      </w:pPr>
      <w:r>
        <w:t>■</w:t>
      </w:r>
      <w:r>
        <w:tab/>
        <w:t>экспериментальное исследование в сфере профессиональной подготовки – мероприятия, направленные на борьбу с дискриминацией на шести пилотных объектах;</w:t>
      </w:r>
    </w:p>
    <w:p w:rsidR="00000000" w:rsidRDefault="00000000">
      <w:pPr>
        <w:rPr>
          <w:lang w:val="fr-FR"/>
        </w:rPr>
      </w:pPr>
      <w:r>
        <w:t>■</w:t>
      </w:r>
      <w:r>
        <w:tab/>
        <w:t>разъяснительная работа среди руководящих сотрудников</w:t>
      </w:r>
      <w:r>
        <w:rPr>
          <w:lang w:val="fr-FR"/>
        </w:rPr>
        <w:t>.</w:t>
      </w:r>
    </w:p>
    <w:p w:rsidR="00000000" w:rsidRDefault="00000000">
      <w:r>
        <w:t xml:space="preserve">Наряду с этим 18 ноября 2005 года министр занятости, министр по вопросам равенства, генеральный директор Национального агентства занятости, председатель Национального совета миссий на местах (по вопросам занятости молодежи) и генеральный директор Национальной ассоциации по профессиональной подготовке взрослых подписали Хартию о моральных обязательствах в области борьбы с дискриминацией, обеспечения равных возможностей и поощрения многообразия. В Хартии, целью которой являются закрепление и распространение опыта, накопленного в ходе осуществления проекта </w:t>
      </w:r>
      <w:r>
        <w:rPr>
          <w:lang w:val="en-US"/>
        </w:rPr>
        <w:t>ESPERE</w:t>
      </w:r>
      <w:r>
        <w:t>, заложены механизмы контроля и показатели достигнутого прогресса.</w:t>
      </w:r>
    </w:p>
    <w:p w:rsidR="00000000" w:rsidRDefault="00000000"/>
    <w:p w:rsidR="00000000" w:rsidRDefault="00000000">
      <w:pPr>
        <w:jc w:val="center"/>
        <w:rPr>
          <w:caps/>
        </w:rPr>
      </w:pPr>
      <w:r>
        <w:rPr>
          <w:caps/>
        </w:rPr>
        <w:t>Статья 3</w:t>
      </w:r>
    </w:p>
    <w:p w:rsidR="00000000" w:rsidRDefault="00000000">
      <w:pPr>
        <w:jc w:val="center"/>
        <w:rPr>
          <w:i/>
        </w:rPr>
      </w:pPr>
      <w:r>
        <w:rPr>
          <w:i/>
        </w:rPr>
        <w:t>Расширение прав женщин и содействие гендерному равенству</w:t>
      </w:r>
    </w:p>
    <w:p w:rsidR="00000000" w:rsidRDefault="00000000">
      <w:r>
        <w:rPr>
          <w:lang w:val="fr-FR"/>
        </w:rPr>
        <w:t>I</w:t>
      </w:r>
      <w:r>
        <w:t>)</w:t>
      </w:r>
      <w:r>
        <w:tab/>
      </w:r>
      <w:r>
        <w:rPr>
          <w:u w:val="single"/>
        </w:rPr>
        <w:t>Хартия равенства – новый импульс в реализации политики учета гендерной проблематики</w:t>
      </w:r>
    </w:p>
    <w:p w:rsidR="00000000" w:rsidRDefault="00000000">
      <w:r>
        <w:t>В 2003 году правительство дало новый импульс осуществлению во Франции политики комплексного подхода к вопросам гендерного равенства (принцип учета гендерной проблематики), провозглашенного в Пекинской программе действий. С этой целью были проведены многочисленные консультации с партнерами, способствующими как на местах, так и на общегосударственном уровне продвижению принципа равенства между женщинами и мужчинами. В результате проведенной работы 8 марта 2004 года премьер-министру была официально представлена Хартия равенства между мужчинами и женщинами, являющаяся в определенном смысле программой действий и "дорожной картой" для всех ее приверженцев.</w:t>
      </w:r>
    </w:p>
    <w:p w:rsidR="00000000" w:rsidRDefault="00000000">
      <w:r>
        <w:t>В этом справочном документе депутаты местного уровня, социальные партнеры, палаты торгового суда и представители экономического и гражданского сообществ в целом совместно с министерствами сформулировали предложения в отношении шагов, которые они обязались реализовать в течение трех лет в интересах построения более равноправного общества. Эти действия сгруппированы по пяти направлениям:</w:t>
      </w:r>
    </w:p>
    <w:p w:rsidR="00000000" w:rsidRDefault="00000000">
      <w:r>
        <w:t>–</w:t>
      </w:r>
      <w:r>
        <w:tab/>
        <w:t>политическое и социальное равенство и доступ женщин к ответственным должностям;</w:t>
      </w:r>
    </w:p>
    <w:p w:rsidR="00000000" w:rsidRDefault="00000000">
      <w:r>
        <w:t>–</w:t>
      </w:r>
      <w:r>
        <w:tab/>
        <w:t>равноправие в сфере профессиональной деятельности;</w:t>
      </w:r>
    </w:p>
    <w:p w:rsidR="00000000" w:rsidRDefault="00000000">
      <w:r>
        <w:t>–</w:t>
      </w:r>
      <w:r>
        <w:tab/>
        <w:t>равенство в правах и достоинстве;</w:t>
      </w:r>
    </w:p>
    <w:p w:rsidR="00000000" w:rsidRDefault="00000000">
      <w:pPr>
        <w:ind w:left="567" w:hanging="567"/>
      </w:pPr>
      <w:r>
        <w:t>–</w:t>
      </w:r>
      <w:r>
        <w:tab/>
        <w:t>обеспечение возможностей для совмещения профессиональной деятельности и семейной жизни;</w:t>
      </w:r>
    </w:p>
    <w:p w:rsidR="00000000" w:rsidRDefault="00000000">
      <w:r>
        <w:t>–</w:t>
      </w:r>
      <w:r>
        <w:tab/>
        <w:t>европейская и международная солидарность.</w:t>
      </w:r>
    </w:p>
    <w:p w:rsidR="00000000" w:rsidRDefault="00000000">
      <w:r>
        <w:t>С другими ведомствами была достигнута договоренность о том, что ежегодно 8 марта по случаю Международного женского дня будут подводиться итоги осуществления Хартии. Результаты годовой деятельности после подписания Хартии оказались обнадеживающими: 15 процентов намеченных целей были реализованы и еще 37 процентов находились в процессе практической реализации.</w:t>
      </w:r>
    </w:p>
    <w:p w:rsidR="00000000" w:rsidRDefault="00000000">
      <w:pPr>
        <w:rPr>
          <w:u w:val="single"/>
        </w:rPr>
      </w:pPr>
      <w:r>
        <w:rPr>
          <w:lang w:val="fr-FR"/>
        </w:rPr>
        <w:t>II</w:t>
      </w:r>
      <w:r>
        <w:t>)</w:t>
      </w:r>
      <w:r>
        <w:tab/>
      </w:r>
      <w:r>
        <w:rPr>
          <w:u w:val="single"/>
        </w:rPr>
        <w:t>Конкретные меры в отношении женщин-иммигрантов</w:t>
      </w:r>
      <w:r>
        <w:rPr>
          <w:rStyle w:val="FootnoteReference"/>
          <w:color w:val="000000"/>
          <w:u w:val="single"/>
        </w:rPr>
        <w:footnoteReference w:id="5"/>
      </w:r>
      <w:r>
        <w:rPr>
          <w:u w:val="single"/>
        </w:rPr>
        <w:t xml:space="preserve"> или вышедших из среды иммигрантов</w:t>
      </w:r>
    </w:p>
    <w:p w:rsidR="00000000" w:rsidRDefault="00000000">
      <w:r>
        <w:t>Вопрос о роли и месте женщин-иммигрантов или вышедших из среды иммигрантов во французском обществе приобрел в последнее время новые очертания, между тем как все более ясным становится то, что именно эти женщины выполняют роль проводников социальной интеграции и они же в случае неудачи оказываются первыми жертвами. В течение долгого периода времени женщины-иммигранты не попадали в поле зрения истории и статистики.</w:t>
      </w:r>
    </w:p>
    <w:p w:rsidR="00000000" w:rsidRDefault="00000000">
      <w:r>
        <w:t>Несмотря на то что женщины составляют сегодня 50,3 процента</w:t>
      </w:r>
      <w:r>
        <w:rPr>
          <w:rStyle w:val="FootnoteReference"/>
        </w:rPr>
        <w:footnoteReference w:id="6"/>
      </w:r>
      <w:r>
        <w:t xml:space="preserve"> проживающих на территории метрополии иммигрантов в возрасте от 18 лет и старше, обычно женщина, вышедшая из среды иммигрантов, еще слишком часто воспринимается как иностранка, приехавшая во Францию вслед за своим мужем-переселенцем, обязанности которой ограничены только домашними делами, не имеющая специальности и не участвующая в общественной жизни, чаще всего не рассматриваемая в отрыве от своего отца, мужа или брата. Впрочем, достаточно сложно понять проблемы населения, для которого характерно многообразие жизненных ситуаций и судеб. В одних случаях речь идет о женщинах-иммигрантах, прибывающих в страну впервые, в других – о тех, кто уже живет во Франции много лет. Все они, независимо от наличия французского гражданства, являются представительницами различных культур. Необходимо учитывать и то, что приехавшие в страну еще детьми или даже родившиеся на территории Франции женщины и девушки по-прежнему воспринимаются в связи с их родителями-иммигрантами. Многие из них самостоятельно строят свою жизнь и с успехом решают проблемы улучшения своего социального положения. Однако для многих доступ к правам и уважение их личности и достоинства так и не стали реальностью.</w:t>
      </w:r>
    </w:p>
    <w:p w:rsidR="00000000" w:rsidRDefault="00000000">
      <w:r>
        <w:t>С учетом имеющихся сложностей правительство предпринимает в отношении женщин соответствующие шаги в русле общей политики интеграции иммигрантов, пересмотренной в 2002 году на основе принципов равенства возможностей и общей ответственности. Так, межведомственный комитет по вопросам социальной интеграции (МКИ), собравшийся 10 апреля 2003 года на свое заседание под председательством премьер-министра, определил программу действий, включающую 55 мер, призванных дать новый импульс политике в области приема иммигрантов и их интеграции во Франции. Значительная часть этой программы касается женщин.</w:t>
      </w:r>
    </w:p>
    <w:p w:rsidR="00000000" w:rsidRDefault="00000000">
      <w:r>
        <w:t>4 декабря 2003 года Управление по вопросам народонаселения и миграции Министерства по социальным вопросам, Служба по правам женщин и вопросам равенства и Фонд действий в поддержку интеграции и борьбы с дискриминацией подписали рамочное соглашение. Оно направлено на поощрение интеграции женщин-иммигрантов или вышедших из среды иммигрантов, а также на недопущение двойной дискриминации (по признаку расы и пола) и борьбу с этим явлением.</w:t>
      </w:r>
    </w:p>
    <w:p w:rsidR="00000000" w:rsidRDefault="00000000">
      <w:r>
        <w:t>В июне 2004 года была образована рабочая группа, в состав которой вошли представители девяти министерств, известные специалисты (адвокаты, врачи и т. д.) и представители около десяти общественных организаций. Их задача состояла в том, чтобы подвергнуть анализу все формы насилия, которому подвергаются женщины, вышедшие из среды иммигрантов, и предложить средства привлечения внимания к их успехам и достижениям. Группа сформулировала предложения, касающиеся личного статуса женщин-иммигрантов и их интеграции в жизнь общества, изложенные в форме доклада под названием "Женщины и иммиграция: обеспечение полноправного и равноправного осуществления в полном объеме прав гражданина", который был передан 7 марта 2005 года одновременно министру юстиции и министру по вопросам равенства.</w:t>
      </w:r>
    </w:p>
    <w:p w:rsidR="00000000" w:rsidRDefault="00000000">
      <w:r>
        <w:t>Действия правительства основаны, в числе прочего, на рекомендациях, содержащихся в этом докладе. Они сгруппированы по четырем основным направлениям: доступ к правам; борьба с насилием; образование и занятость; повышение роли и места женщин-иммигрантов во французском обществе.</w:t>
      </w:r>
    </w:p>
    <w:p w:rsidR="00000000" w:rsidRDefault="00000000">
      <w:pPr>
        <w:keepNext/>
        <w:rPr>
          <w:b/>
        </w:rPr>
      </w:pPr>
      <w:r>
        <w:rPr>
          <w:b/>
        </w:rPr>
        <w:t>А)</w:t>
      </w:r>
      <w:r>
        <w:rPr>
          <w:b/>
        </w:rPr>
        <w:tab/>
        <w:t>Доступ к правам</w:t>
      </w:r>
    </w:p>
    <w:p w:rsidR="00000000" w:rsidRDefault="00000000">
      <w:r>
        <w:t>В договоре о приеме и интеграции, который отныне предлагается подписать каждому иностранцу, въезжающему на территорию Франции на законных основаниях, прямо говорится о равенстве между женщинами и мужчинами, расширении прав и возможностей женщины в повседневной жизни и равных родительских правах и обязанностях. Данный договор предлагается Национальным агентством по приему иностранцев и вопросам миграции (НАПИМ) каждому мужчине или женщине в ходе организуемого для них в центрах приема индивидуального собеседования.</w:t>
      </w:r>
    </w:p>
    <w:p w:rsidR="00000000" w:rsidRDefault="00000000">
      <w:r>
        <w:t>В программе просвещения в области прав и обязанностей гражданина, которую обязуется пройти лицо, подписывающее договор, принципу равенства между женщинами и мужчинами, закрепленному в Конституции, посвящено отдельное занятие. При этом подчеркивается, что во Франции все граждане – мужчины и женщины – имеют равный основанный на их достоинствах доступ к любым должностям государственной службы и что они обладают равными правами, будь то в сфере образования, занятости, осуществления политических прав или, например, родительских прав и обязанностей. Напоминается о том, что, как и в случае с понятием свободы, принцип равенства гарантирован каждому человеку и что это предполагает признание человеком равенства прав других людей.</w:t>
      </w:r>
    </w:p>
    <w:p w:rsidR="00000000" w:rsidRDefault="00000000">
      <w:r>
        <w:t>Служба по правам женщин и вопросам равенства в тесном взаимодействии с Управлением по вопросам народонаселения и миграции Министерства по социальным вопросам намерена провести на базе одного из центров приема НАПИМ эксперимент, цель которого – исследовать условия, благоприятствующие налаживанию активных партнерских отношений между этими центрами и сетью общественных организаций в сфере обеспечения прав, в частности права, касающегося использования контрацептивных средств.</w:t>
      </w:r>
    </w:p>
    <w:p w:rsidR="00000000" w:rsidRDefault="00000000">
      <w:r>
        <w:t>Для поощрения учета учреждениями, экономическими структурами и общественными организациями целей в области достижения равенства между женщинами и мужчинами, независимо от их происхождения, на местном уровне осуществляются мероприятия, направленные на информирование, разъяснение и соответствующую подготовку участников. Данные мероприятия проводятся в рамках региональных программ интеграции иммигрантов (РПИИ), являющихся составной частью программного закона о социальной консолидации от 18 января 2005 года.</w:t>
      </w:r>
    </w:p>
    <w:p w:rsidR="00000000" w:rsidRDefault="00000000">
      <w:r>
        <w:t>С целью удовлетворения потребностей в информации правового характера, напоминания о наказуемости практики, наносящей вред женщинам, и предоставления полезной информации планируется выпуск Справочника по вопросам равенства между женщинами и мужчинами – иммигрантами.</w:t>
      </w:r>
    </w:p>
    <w:p w:rsidR="00000000" w:rsidRDefault="00000000">
      <w:r>
        <w:t>В 2005 году министр по вопросам равенства провел заседание французско-марокканской рабочей группы, задача которой состояла в содействии учету во Франции результатов реформы марокканского семейного кодекса. Сформулированные рабочей группой положения легли в основу справочника по осуществлению этой реформы, разработка которого в настоящее время находится на завершающей стадии.</w:t>
      </w:r>
    </w:p>
    <w:p w:rsidR="00000000" w:rsidRDefault="00000000">
      <w:pPr>
        <w:keepNext/>
        <w:rPr>
          <w:b/>
        </w:rPr>
      </w:pPr>
      <w:r>
        <w:rPr>
          <w:b/>
        </w:rPr>
        <w:t>В)</w:t>
      </w:r>
      <w:r>
        <w:rPr>
          <w:b/>
        </w:rPr>
        <w:tab/>
        <w:t>Борьба с насилием</w:t>
      </w:r>
    </w:p>
    <w:p w:rsidR="00000000" w:rsidRDefault="00000000">
      <w:r>
        <w:t>В этой области правительство стремится претворить в жизнь предложения законодательного характера, содержащиеся в докладе "Женщины и иммиграция: обеспечение полноправного и равноправного осуществления в полном объеме прав гражданина". 15 декабря 2005 года депутаты Национального собрания единогласно приняли в первом чтении представленный Сенатом законопроект (единогласно одобрен Сенатом в первом чтении 29 марта 2005 года) о предупреждении и пресечении насилия в семье или в отношении несовершеннолетних. В числе принятых на сегодняшний день положений (законопроект еще обсуждается в парламенте) – меры, непосредственно касающиеся женщин, вышедших из среды иммигрантов. Эти положения направлены на:</w:t>
      </w:r>
    </w:p>
    <w:p w:rsidR="00000000" w:rsidRDefault="00000000">
      <w:r>
        <w:sym w:font="SymbolPS" w:char="F0B7"/>
      </w:r>
      <w:r>
        <w:tab/>
        <w:t>борьбу с браками по принуждению, предусматривающую:</w:t>
      </w:r>
    </w:p>
    <w:p w:rsidR="00000000" w:rsidRDefault="00000000">
      <w:r>
        <w:t>–</w:t>
      </w:r>
      <w:r>
        <w:tab/>
        <w:t>установление согласно закону единого брачного возраста для девушек и юношей (18 лет);</w:t>
      </w:r>
    </w:p>
    <w:p w:rsidR="00000000" w:rsidRDefault="00000000">
      <w:pPr>
        <w:ind w:left="567" w:hanging="567"/>
      </w:pPr>
      <w:r>
        <w:t>–</w:t>
      </w:r>
      <w:r>
        <w:tab/>
        <w:t>увеличение с шести месяцев до двух лет срока сожительства супругов, предусматривающего возможность подачи заявления о расторжении брака в связи с несовместимостью характеров;</w:t>
      </w:r>
    </w:p>
    <w:p w:rsidR="00000000" w:rsidRDefault="00000000">
      <w:pPr>
        <w:ind w:left="567" w:hanging="567"/>
      </w:pPr>
      <w:r>
        <w:t>–</w:t>
      </w:r>
      <w:r>
        <w:tab/>
        <w:t>возможность для прокурора, а не только для одного из супругов, как это было прежде, оспорить законность брака, если у него имеются подозрения, что данный брак был заключен по принуждению;</w:t>
      </w:r>
    </w:p>
    <w:p w:rsidR="00000000" w:rsidRDefault="00000000">
      <w:pPr>
        <w:ind w:left="567" w:hanging="567"/>
      </w:pPr>
      <w:r>
        <w:t>–</w:t>
      </w:r>
      <w:r>
        <w:tab/>
        <w:t>возможность признать брак недействительным в случае, если в отношении одного из супругов имело место запугивание со стороны родителей (без применения насилия с их стороны);</w:t>
      </w:r>
    </w:p>
    <w:p w:rsidR="00000000" w:rsidRDefault="00000000">
      <w:pPr>
        <w:ind w:left="567" w:hanging="567"/>
      </w:pPr>
      <w:r>
        <w:t>–</w:t>
      </w:r>
      <w:r>
        <w:tab/>
        <w:t>внесение изменений в процедуру заключения брака с целью упрощения возможности заслушивания будущих супругов до церемонии бракосочетания, в частности когда имеются подозрения, что брак заключается по принуждению;</w:t>
      </w:r>
    </w:p>
    <w:p w:rsidR="00000000" w:rsidRDefault="00000000">
      <w:r>
        <w:sym w:font="SymbolPS" w:char="F0B7"/>
      </w:r>
      <w:r>
        <w:tab/>
        <w:t>борьбу с практикой калечащих операций на половых органах женщин, в том числе:</w:t>
      </w:r>
    </w:p>
    <w:p w:rsidR="00000000" w:rsidRDefault="00000000">
      <w:r>
        <w:t>–</w:t>
      </w:r>
      <w:r>
        <w:tab/>
        <w:t>увеличение до 20 лет срока давности по уголовным делам считая от даты совершеннолетия;</w:t>
      </w:r>
    </w:p>
    <w:p w:rsidR="00000000" w:rsidRDefault="00000000">
      <w:pPr>
        <w:ind w:left="567" w:hanging="567"/>
      </w:pPr>
      <w:r>
        <w:t>–</w:t>
      </w:r>
      <w:r>
        <w:tab/>
        <w:t>возможность в виде исключения наказания за использование подобной практики в случаях, когда эти действия совершены за рубежом в отношении несовершеннолетней жертвы-иностранки, обычно проживающей во Франции;</w:t>
      </w:r>
    </w:p>
    <w:p w:rsidR="00000000" w:rsidRDefault="00000000">
      <w:pPr>
        <w:ind w:left="567" w:hanging="567"/>
      </w:pPr>
      <w:r>
        <w:t>–</w:t>
      </w:r>
      <w:r>
        <w:tab/>
        <w:t>возможность рассекречивания служебной тайны в случаях, связанных с калечащими операциями на половых органах несовершеннолетних.</w:t>
      </w:r>
    </w:p>
    <w:p w:rsidR="00000000" w:rsidRDefault="00000000">
      <w:pPr>
        <w:rPr>
          <w:b/>
        </w:rPr>
      </w:pPr>
      <w:r>
        <w:rPr>
          <w:b/>
        </w:rPr>
        <w:t>С)</w:t>
      </w:r>
      <w:r>
        <w:rPr>
          <w:b/>
        </w:rPr>
        <w:tab/>
        <w:t>Образование и занятость</w:t>
      </w:r>
    </w:p>
    <w:p w:rsidR="00000000" w:rsidRDefault="00000000">
      <w:r>
        <w:t>1)</w:t>
      </w:r>
      <w:r>
        <w:tab/>
      </w:r>
      <w:r>
        <w:rPr>
          <w:u w:val="single"/>
        </w:rPr>
        <w:t>Образование</w:t>
      </w:r>
    </w:p>
    <w:p w:rsidR="00000000" w:rsidRDefault="00000000">
      <w:r>
        <w:t>При содействии Министерства народного просвещения был определен ряд конкретных мер. Во взаимодействии с предприятиями принимаются и другие меры, направленные на поощрение различных форм образования и профессиональной подготовки девушек иностранного происхождения, дающих им возможность освоения новых профессий.</w:t>
      </w:r>
    </w:p>
    <w:p w:rsidR="00000000" w:rsidRDefault="00000000">
      <w:pPr>
        <w:keepNext/>
      </w:pPr>
      <w:r>
        <w:t>2)</w:t>
      </w:r>
      <w:r>
        <w:tab/>
      </w:r>
      <w:r>
        <w:rPr>
          <w:u w:val="single"/>
        </w:rPr>
        <w:t>Занятость</w:t>
      </w:r>
    </w:p>
    <w:p w:rsidR="00000000" w:rsidRDefault="00000000">
      <w:r>
        <w:t>В 2004 году доля экономически активных женщин-иммигрантов на рынке труда составила 57 процентов (для женщин, иммигрантами не являющихся, эта доля составляла 64,4 процента). Тем не менее женщины-иммигранты или вышедшие из среды иммигрантов в настоящее время по-прежнему подвергаются двойной дискриминации по признаку пола и происхождения, что имеет целый ряд последствий: уровень безработицы среди этих женщин (20,2 процента) почти в два раза превышает этот уровень среди женщин, не являющихся иммигрантами (10,3 процента); они чрезмерно представлены в категориях "рабочие" (14,6 процента) и служащие (8,4 процента) и в большинстве своем заняты в сфере услуг (социальная помощь на дому, уборка, крупные универсальные магазины); зачастую они работают неполный рабочий день и не имеют конкретного статуса. В этих условиях для улучшения положения в сфере профессиональной интеграции женщин-иммигрантов или вышедших из среды иммигрантов были предложены следующие меры:</w:t>
      </w:r>
    </w:p>
    <w:p w:rsidR="00000000" w:rsidRDefault="00000000">
      <w:r>
        <w:t>–</w:t>
      </w:r>
      <w:r>
        <w:tab/>
      </w:r>
      <w:r>
        <w:rPr>
          <w:i/>
        </w:rPr>
        <w:t>Устранение межпрофессиональных барьеров:</w:t>
      </w:r>
      <w:r>
        <w:t xml:space="preserve"> эта мера предполагает ведение разъяснительной работы среди работодателей. В связи с этим в качестве примера можно привести партнерские отношения, установившиеся с предприятиями временного найма ADECCO и ADIA, чья деятельность направлена на стимулирование доступа к рынку труда в перспективных с точки зрения занятости секторах для женщин, проживающих в зонах приоритетной урбанизации (среди которых велико число женщин-иммигрантов).</w:t>
      </w:r>
    </w:p>
    <w:p w:rsidR="00000000" w:rsidRDefault="00000000">
      <w:r>
        <w:t>–</w:t>
      </w:r>
      <w:r>
        <w:tab/>
      </w:r>
      <w:r>
        <w:rPr>
          <w:i/>
        </w:rPr>
        <w:t xml:space="preserve">Развитие наставничества в сфере профессиональной ориентации  молодежи: </w:t>
      </w:r>
      <w:r>
        <w:t>речь идет о том, чтобы дать молодым людям возможность получить стабильную работу и закрепиться на рабочем месте благодаря помощи добровольных наставников из числа работающих или пенсионеров, пользующихся доверием со стороны работодателя и способных поделиться с молодыми работниками опытом, профессиональными связями и знаниями.</w:t>
      </w:r>
    </w:p>
    <w:p w:rsidR="00000000" w:rsidRDefault="00000000">
      <w:r>
        <w:t>Необходимо продолжить поиск других форм, которые позволили бы женщинам и мужчинам – иммигрантам или лицам, вышедшим из среды иммигрантов, обеспечить свой профессиональный рост, работая в службах социальной помощи на дому или в государственных лечебных учреждениях. Реальные возможности роста в рамках избранной профессии сегодня появились благодаря использованию трудовых договоров, предполагающих государственную поддержку (например, введения с недавнего времени правительством трудовых договоров о "будущей деятельности" и договоров о доступе к занятости), направленных на трудоустройство молодежи по специальностям медико-санитарного сектора, сохранение за молодыми людьми рабочих мест при наличии у них соответствующих способностей и, наконец, обеспечение доступа к квалифицированной работе при подтверждении приобретенного опыта работы.</w:t>
      </w:r>
    </w:p>
    <w:p w:rsidR="00000000" w:rsidRDefault="00000000">
      <w:r>
        <w:t>–</w:t>
      </w:r>
      <w:r>
        <w:tab/>
      </w:r>
      <w:r>
        <w:rPr>
          <w:i/>
        </w:rPr>
        <w:t xml:space="preserve">Поощрение создания предприятий: </w:t>
      </w:r>
      <w:r>
        <w:t>женщины-иммигранты или вышедшие из среды иммигрантов все чаще пытаются наладить деятельность или создать предприятие в сферах, представляющих для них интерес. Министр по вопросам паритета намерен поощрять предпринимательство среди женщин. В этой сфере, при наличии соответствующей поддержки, для женщин-иммигрантов или вышедших из среды иммигрантов существуют определенные перспективы.</w:t>
      </w:r>
    </w:p>
    <w:p w:rsidR="00000000" w:rsidRDefault="00000000">
      <w:pPr>
        <w:keepNext/>
        <w:ind w:left="567" w:hanging="567"/>
        <w:rPr>
          <w:b/>
        </w:rPr>
      </w:pPr>
      <w:r>
        <w:rPr>
          <w:b/>
          <w:lang w:val="fr-FR"/>
        </w:rPr>
        <w:t>D</w:t>
      </w:r>
      <w:r>
        <w:rPr>
          <w:b/>
        </w:rPr>
        <w:t>)</w:t>
      </w:r>
      <w:r>
        <w:rPr>
          <w:b/>
        </w:rPr>
        <w:tab/>
        <w:t>Повышение роли и статуса женщин-иммигрантов или вышедших из среды иммигрантов</w:t>
      </w:r>
    </w:p>
    <w:p w:rsidR="00000000" w:rsidRDefault="00000000">
      <w:r>
        <w:t>В Национальном центре истории иммиграции (НЦИИ), который предполагается открыть в 2007 году, один из отделов будет специально посвящен женской иммиграции, которая благодаря примерам успешной карьеры и популяризации личных достижений женщин будет представлена не только как вынужденная мера.</w:t>
      </w:r>
    </w:p>
    <w:p w:rsidR="00000000" w:rsidRDefault="00000000">
      <w:pPr>
        <w:rPr>
          <w:b/>
        </w:rPr>
      </w:pPr>
      <w:r>
        <w:rPr>
          <w:b/>
        </w:rPr>
        <w:t>Е)</w:t>
      </w:r>
      <w:r>
        <w:rPr>
          <w:b/>
        </w:rPr>
        <w:tab/>
        <w:t>Оказание поддержки общественным организациям</w:t>
      </w:r>
    </w:p>
    <w:p w:rsidR="00000000" w:rsidRDefault="00000000">
      <w:r>
        <w:rPr>
          <w:caps/>
        </w:rPr>
        <w:t>г</w:t>
      </w:r>
      <w:r>
        <w:t>осударственные органы власти оказывают поддержку многим общественным организациям, отстаивающим интересы женщин-иммигрантов или вышедших из среды иммигрантов.</w:t>
      </w:r>
    </w:p>
    <w:p w:rsidR="00000000" w:rsidRDefault="00000000">
      <w:pPr>
        <w:rPr>
          <w:b/>
        </w:rPr>
      </w:pPr>
      <w:r>
        <w:rPr>
          <w:b/>
          <w:lang w:val="fr-FR"/>
        </w:rPr>
        <w:t>F</w:t>
      </w:r>
      <w:r>
        <w:rPr>
          <w:b/>
        </w:rPr>
        <w:t>)</w:t>
      </w:r>
      <w:r>
        <w:rPr>
          <w:b/>
        </w:rPr>
        <w:tab/>
        <w:t>Расширение знаний о явлении двойной дискриминации и природе насилия</w:t>
      </w:r>
    </w:p>
    <w:p w:rsidR="00000000" w:rsidRDefault="00000000">
      <w:r>
        <w:t>Министерство по социальным вопросам финансирует проведение исследований, которые позволят лучше понять и проанализировать имеющее место в различных сферах жизни явление двойной дискриминации в отношении женщин-иммигрантов или вышедших из среды иммигрантов, а также природу насилия, жертвами которого становятся эти женщины</w:t>
      </w:r>
    </w:p>
    <w:p w:rsidR="00000000" w:rsidRDefault="00000000">
      <w:r>
        <w:rPr>
          <w:lang w:val="fr-FR"/>
        </w:rPr>
        <w:t>II</w:t>
      </w:r>
      <w:r>
        <w:t>)</w:t>
      </w:r>
      <w:r>
        <w:tab/>
      </w:r>
      <w:r>
        <w:rPr>
          <w:u w:val="single"/>
        </w:rPr>
        <w:t>Положение женщин в заморских территориальных коллективах</w:t>
      </w:r>
      <w:r>
        <w:rPr>
          <w:rStyle w:val="FootnoteReference"/>
          <w:color w:val="000000"/>
          <w:u w:val="single"/>
        </w:rPr>
        <w:footnoteReference w:id="7"/>
      </w:r>
    </w:p>
    <w:p w:rsidR="00000000" w:rsidRDefault="00000000">
      <w:r>
        <w:t>Динамизм и активность женщин заморских территориальных коллективов достойны того, чтобы сказать об этом отдельно. Будучи глубоко приверженными своим традициям, они тем не менее уверенно смотрят в будущее. В последнее время предпринимались различные шаги, направленные на расширение их прав и поощрение гендерного равенства.</w:t>
      </w:r>
    </w:p>
    <w:p w:rsidR="00000000" w:rsidRDefault="00000000">
      <w:pPr>
        <w:rPr>
          <w:b/>
          <w:lang w:val="fr-FR"/>
        </w:rPr>
      </w:pPr>
      <w:r>
        <w:rPr>
          <w:b/>
        </w:rPr>
        <w:t>А</w:t>
      </w:r>
      <w:r>
        <w:rPr>
          <w:b/>
          <w:lang w:val="fr-FR"/>
        </w:rPr>
        <w:t>)</w:t>
      </w:r>
      <w:r>
        <w:rPr>
          <w:b/>
        </w:rPr>
        <w:tab/>
        <w:t>Майотта</w:t>
      </w:r>
    </w:p>
    <w:p w:rsidR="00000000" w:rsidRDefault="00000000">
      <w:r>
        <w:t xml:space="preserve">В ходе рассмотрения предыдущего доклада Франции 3 июля 2003 года Комитет высказал обеспокоенность в связи с распространенной до сих пор в заморских французских территориях практикой многоженства. Фактически на Майотте, как и в заморских территориальных коллективах, расположенных в Тихоокеанском регионе (Французская Полинезия, Новая Каледония, Уоллес и Футуна) все еще сосуществуют два вида личного статуса: первый является общеправовым статусом, определяемым положениями французского </w:t>
      </w:r>
      <w:r>
        <w:rPr>
          <w:caps/>
        </w:rPr>
        <w:t>г</w:t>
      </w:r>
      <w:r>
        <w:t>ражданского кодекса; второй, регулируемый нормами местного или обычного права, является отражением зачастую весьма древней истории и культуры. Этот принцип не противоречит Конституции, которая в соответствии со статьей 75 гарантирует гражданам Республики, не обладающим общей гражданской правоспособностью, их личный статус, регулируемый местным правом, вплоть до момента отказа от него.</w:t>
      </w:r>
    </w:p>
    <w:p w:rsidR="00000000" w:rsidRDefault="00000000">
      <w:r>
        <w:t>Вместе с тем некоторые аспекты такой гражданской правоспособности, основанной на обычном праве, касающиеся, в частности, развода, сохранения полигамии или неравенства детей в вопросах наследования, представляют собой пережитки, противоречащие республиканским принципам.</w:t>
      </w:r>
    </w:p>
    <w:p w:rsidR="00000000" w:rsidRDefault="00000000">
      <w:r>
        <w:t>В связи с этим Конституционный совет своим решением от 17 июля 2003 года постановил, что "в случаях, не ставящих под сомнение гражданскую правоспособность, основанную на местном праве, (законодатель) может принимать положения, способные привести к эволюции правовых норм в интересах приведения их в соответствие с принципами и правами, защищенными в Конституции". На основе этого решения в законе о финансировании программ для заморских территорий от 21 июля 2003 года были решительно отклонены некоторые связанные со статусом женщин положения, которые показались законодателям несовместимыми с республиканскими принципами. Таким образом, на Майотте отныне запрещены:</w:t>
      </w:r>
    </w:p>
    <w:p w:rsidR="00000000" w:rsidRDefault="00000000">
      <w:pPr>
        <w:ind w:left="567" w:hanging="567"/>
      </w:pPr>
      <w:r>
        <w:t>–</w:t>
      </w:r>
      <w:r>
        <w:tab/>
        <w:t>полигамия для лиц, достигших предусмотренного законом брачного возраста после 1 января 2005 года;</w:t>
      </w:r>
    </w:p>
    <w:p w:rsidR="00000000" w:rsidRDefault="00000000">
      <w:pPr>
        <w:ind w:left="567" w:hanging="567"/>
      </w:pPr>
      <w:r>
        <w:t>–</w:t>
      </w:r>
      <w:r>
        <w:tab/>
        <w:t>расторжение брака по желанию одной стороны: для лиц, достигших предусмотренного законом брачного возраста на 1 января 2005 года, такой брак может быть расторгнут только посредством развода или установления судом режима раздельного проживания супругов;</w:t>
      </w:r>
    </w:p>
    <w:p w:rsidR="00000000" w:rsidRDefault="00000000">
      <w:r>
        <w:t>Закон от 26 мая 2004 года о расторжении брака дополнил эту реформу, сделав возможным применение общеправовой процедуры к случаям развода между лицами, обладающими гражданской правоспособностью, основанной на местном праве.</w:t>
      </w:r>
    </w:p>
    <w:p w:rsidR="00000000" w:rsidRDefault="00000000">
      <w:pPr>
        <w:ind w:left="567" w:hanging="567"/>
      </w:pPr>
      <w:r>
        <w:t>–</w:t>
      </w:r>
      <w:r>
        <w:tab/>
        <w:t>дискриминация детей в вопросах наследования на основе признака пола, законного или внебрачного рождения ребенка (норма применяется к детям, родившимся после обнародования программного закона).</w:t>
      </w:r>
    </w:p>
    <w:p w:rsidR="00000000" w:rsidRDefault="00000000">
      <w:r>
        <w:t>Созданы новые институты, представляющие интересы трудящихся. В их функции входит рассмотрение ежегодного доклада работодателя, в котором сравнивается положение мужчин и женщин на предприятии с точки зрения общих условий занятости и профессиональной подготовки. Кроме того, социальные партнеры подписали соглашение, цель которого – дать возможность безработным мужчинам и женщинам получать пособие по безработице в период, когда они вынужденно оказываются без работы.</w:t>
      </w:r>
    </w:p>
    <w:p w:rsidR="00000000" w:rsidRDefault="00000000">
      <w:r>
        <w:t>В сфере выплаты семейных пособий один из проектов реформы направлен на отмену ограничения (не более трех детей), которое было установлено правительственным ордонансом от 7 февраля 2002 года, при определении права на получение пособия.</w:t>
      </w:r>
    </w:p>
    <w:p w:rsidR="00000000" w:rsidRDefault="00000000">
      <w:pPr>
        <w:rPr>
          <w:b/>
        </w:rPr>
      </w:pPr>
      <w:r>
        <w:rPr>
          <w:b/>
        </w:rPr>
        <w:t>В)</w:t>
      </w:r>
      <w:r>
        <w:rPr>
          <w:b/>
        </w:rPr>
        <w:tab/>
        <w:t>Французская Полинезия</w:t>
      </w:r>
    </w:p>
    <w:p w:rsidR="00000000" w:rsidRDefault="00000000">
      <w:r>
        <w:t>Здесь насчитывается более 200 общественных организаций (светских или религиозных), ставящих своей задачей защиту прав и интересов женщин и оказание им содействия в обретении финансовой и социальной независимости, в том числе через создание ремесленных предприятий.</w:t>
      </w:r>
    </w:p>
    <w:p w:rsidR="00000000" w:rsidRDefault="00000000">
      <w:r>
        <w:t>В развитие принятого в июне 2000 года закона о равенстве в политической жизни общественная организация под названием "Те хине манохити" (</w:t>
      </w:r>
      <w:r>
        <w:rPr>
          <w:lang w:val="fr-FR"/>
        </w:rPr>
        <w:t>Te</w:t>
      </w:r>
      <w:r>
        <w:t xml:space="preserve"> </w:t>
      </w:r>
      <w:r>
        <w:rPr>
          <w:lang w:val="fr-FR"/>
        </w:rPr>
        <w:t>Hine</w:t>
      </w:r>
      <w:r>
        <w:t xml:space="preserve"> </w:t>
      </w:r>
      <w:r>
        <w:rPr>
          <w:lang w:val="fr-FR"/>
        </w:rPr>
        <w:t>Manohiti</w:t>
      </w:r>
      <w:r>
        <w:t>), созданная по инициативе женщин, участвующих в политической и социальной жизни, организовала во всех коллегиальных органах этой заморской территории информационные и учебные мероприятия по поощрению участия женщин в процессе принятия решений. Это позволило добиться ощутимого прогресса. Так, доля женщин, избранных в 2001 году в территориальное законодательное собрание Французской Полинезии, возглавляемое в настоящее время женщиной, составила 51 процент.</w:t>
      </w:r>
    </w:p>
    <w:p w:rsidR="00000000" w:rsidRDefault="00000000">
      <w:r>
        <w:t>В 2005 году местным законом было официально закреплено положение о выплате 100 процентов заработной платы женщинам, находящимся в отпуске по беременности и родам, в течение всего срока отпуска (ранее размер выплачиваемых пособий составлял лишь 60 процентов их заработной платы).</w:t>
      </w:r>
    </w:p>
    <w:p w:rsidR="00000000" w:rsidRDefault="00000000">
      <w:r>
        <w:t>На основании местного трудового кодекса коллективные договоры, заключаемые между социальными партнерами на территории Французской Полинезии, предусматривают меры по обеспечению равенства в обращении для мужчин и женщин.</w:t>
      </w:r>
    </w:p>
    <w:p w:rsidR="00000000" w:rsidRDefault="00000000">
      <w:r>
        <w:t>Создание в 1990 году официально признанного Территориального информационного центра по правам женщин и семьи стало конкретным ответом на потребности в сфере информирования женщин и оказания им практической помощи в вопросах гражданского права, а также в свете имевших место жалоб по поводу случаев физического насилия. Распространение информации осуществляется на всех островах архипелага через представителей коммун (работающих по найму или на общественных началах).</w:t>
      </w:r>
    </w:p>
    <w:p w:rsidR="00000000" w:rsidRDefault="00000000">
      <w:r>
        <w:t>Проведенное в 2002 году полинезийским Министерством по вопросам семьи и положению женщин исследование о случаях насилия в отношении полинезийских женщин выявило, что каждая третья женщина подвергалась насилию со стороны своего супруга или членов семьи. В связи с этим в текущем году под эгидой того же Министерства планируется начать осуществление рассчитанной на несколько лет программы по предупреждению насилия в семье и борьбе с ним.</w:t>
      </w:r>
    </w:p>
    <w:p w:rsidR="00000000" w:rsidRDefault="00000000">
      <w:r>
        <w:t>В целях оказания родителям практической помощи в осуществлении их обязанностей и восполнения эмоционального, образовательного и психологического дефицита, от которого страдают некоторые дети, планируется открыть школы для родителей.</w:t>
      </w:r>
    </w:p>
    <w:p w:rsidR="00000000" w:rsidRDefault="00000000">
      <w:r>
        <w:t>Комитет по ликвидации дискриминации в отношении женщин ранее рекомендовал распространить информацию о Конвенции и Факультативном протоколе к ней в заморских территориях и департаментах. В этом направлении был предпринят целый ряд инициатив на местах. Так, например, в октябре 2005 года полинезийское Министерство по вопросам семьи и положению женщин с участием Министерства по вопросам паритета Франции организовало семинар-практикум по данной теме. В мероприятии принимали участие Новая Каледония, Уоллис и Футуна. Среди участников форума были депутаты местных законодательных собраний, представители общественных организаций, учреждений, политических партий и религиозных объединений, работники сферы здравоохранения. Были приняты рекомендации, касающиеся, в частности, разъяснительной работы среди глав муниципальных образований по вопросам представленности женщин в политической жизни. Кроме того, в настоящее время ведется работа над переводом на полинезийский язык Конвенции о ликвидации всех форм дискриминации в отношении женщин.</w:t>
      </w:r>
    </w:p>
    <w:p w:rsidR="00000000" w:rsidRDefault="00000000">
      <w:pPr>
        <w:rPr>
          <w:b/>
        </w:rPr>
      </w:pPr>
      <w:r>
        <w:rPr>
          <w:b/>
        </w:rPr>
        <w:t>С)</w:t>
      </w:r>
      <w:r>
        <w:rPr>
          <w:b/>
        </w:rPr>
        <w:tab/>
        <w:t>Уоллис и Футуна</w:t>
      </w:r>
    </w:p>
    <w:p w:rsidR="00000000" w:rsidRDefault="00000000">
      <w:r>
        <w:t>По инициативе Бюро женщин Тихоокеанского сообщества в июле 1993 года на островах Уоллис и Футуна был учрежден Территориальный совет женщин. Это дало возможность женщинам организовывать встречи, позволяющие лучше понять общие для них проблемы и способствовать укреплению гендерного равенства. До настоящего времени работа Совета была в основном сосредоточена на вопросах экономического характера (например, на содействии развитию местного ремесленничества).</w:t>
      </w:r>
    </w:p>
    <w:p w:rsidR="00000000" w:rsidRDefault="00000000">
      <w:r>
        <w:t>С 1995 года организация "</w:t>
      </w:r>
      <w:r>
        <w:rPr>
          <w:lang w:val="fr-FR"/>
        </w:rPr>
        <w:t>S</w:t>
      </w:r>
      <w:r>
        <w:t>О</w:t>
      </w:r>
      <w:r>
        <w:rPr>
          <w:lang w:val="fr-FR"/>
        </w:rPr>
        <w:t>S</w:t>
      </w:r>
      <w:r>
        <w:t>: насилие" оказывает женщинам содействие в борьбе с сексуальными надругательствами, жертвами которых становятся их дети.</w:t>
      </w:r>
    </w:p>
    <w:p w:rsidR="00000000" w:rsidRDefault="00000000">
      <w:r>
        <w:t>Недавно в местное трудовое законодательство был введен ряд новых положений: об улучшении условий оплаты в случае приостановки действия трудового договора для беременных женщин и рожениц; о запрещении расторгать трудовой договор с трудящейся женщиной, беременность которой подтверждена медицинскими документами, в том числе в период приостановки действия трудового договора, на которую она имеет право; о возможности для трудящейся женщины отказаться от выполнения обязанностей, признанных с медицинской точки зрения превышающими ее физические возможности или несовместимыми с состоянием ее здоровья.</w:t>
      </w:r>
    </w:p>
    <w:p w:rsidR="00000000" w:rsidRDefault="00000000">
      <w:r>
        <w:t>Следует также отметить, что в ближайшее время начнется обсуждение вопроса о применении на территориях, находящихся за пределами метрополии, международной конвенции № 156 о равном обращении и равных возможностях для трудящихся мужчин и женщин, имеющих семейные обязанности (международные конвенции № 100 о равном вознаграждении мужчин и женщин за труд равной ценности, а также № 111 о дискриминации в области труда и занятий уже применяются).</w:t>
      </w:r>
    </w:p>
    <w:p w:rsidR="00000000" w:rsidRDefault="00000000">
      <w:pPr>
        <w:jc w:val="center"/>
        <w:rPr>
          <w:caps/>
        </w:rPr>
      </w:pPr>
      <w:r>
        <w:rPr>
          <w:caps/>
        </w:rPr>
        <w:t>Статья 4</w:t>
      </w:r>
    </w:p>
    <w:p w:rsidR="00000000" w:rsidRDefault="00000000">
      <w:pPr>
        <w:jc w:val="center"/>
      </w:pPr>
      <w:r>
        <w:rPr>
          <w:i/>
        </w:rPr>
        <w:t>Временные специальные меры</w:t>
      </w:r>
    </w:p>
    <w:p w:rsidR="00000000" w:rsidRDefault="00000000">
      <w:pPr>
        <w:ind w:left="567" w:hanging="567"/>
      </w:pPr>
      <w:r>
        <w:rPr>
          <w:lang w:val="fr-FR"/>
        </w:rPr>
        <w:t>I</w:t>
      </w:r>
      <w:r>
        <w:t>)</w:t>
      </w:r>
      <w:r>
        <w:tab/>
      </w:r>
      <w:r>
        <w:rPr>
          <w:u w:val="single"/>
        </w:rPr>
        <w:t>Позитивные действия, направленные на поощрение доступа женщин к занятости и обеспечение их продвижения по службе</w:t>
      </w:r>
    </w:p>
    <w:p w:rsidR="00000000" w:rsidRDefault="00000000">
      <w:r>
        <w:t>Несмотря на массовое участие женщин в рынке труда (в 2004 году 81 процент женщин во Франции в возрасте от 25 до 49 лет активно участвовали в экономической жизни страны), сохраняется значительное неравенство между мужчинами и женщинами при поиске работы и в профессиональной жизни. Так, разница в размере вознаграждения, получаемого мужчинами и женщинами, составляет в среднем 19 процентов (разница отчасти объясняется концентрацией женщин в некоторых секторах экономики и ряде профессиональных категорий, а также использованием преимущественно женщинами неполного рабочего дня). За равный труд женщины по-прежнему получают зарплату на 5 процентов ниже, чем мужчины. Кроме того, несмотря на то что женщин в престижных профессиях стало больше, основная их часть по-прежнему остается в категории исполнителей, где их доля составляет 80 процентов от общего числа трудящихся.</w:t>
      </w:r>
    </w:p>
    <w:p w:rsidR="00000000" w:rsidRDefault="00000000">
      <w:r>
        <w:t>Поэтому в стремлении обеспечить реальное, конкретное равенство французское законодательство допускает осуществление временных мер в интересах женщин.</w:t>
      </w:r>
    </w:p>
    <w:p w:rsidR="00000000" w:rsidRDefault="00000000">
      <w:r>
        <w:t>Подобные позитивные действия не выходят за правовые рамки, обозначенные Судом европейских сообществ: они не могут применяться автоматически или быть чрезмерными и должны носить временный характер. Они призваны, например, исправить положение с недостаточной представленностью женщин на руководящих должностях. С этой целью:</w:t>
      </w:r>
    </w:p>
    <w:p w:rsidR="00000000" w:rsidRDefault="00000000">
      <w:pPr>
        <w:ind w:left="567" w:hanging="567"/>
      </w:pPr>
      <w:r>
        <w:t>–</w:t>
      </w:r>
      <w:r>
        <w:tab/>
        <w:t>закон от 9 мая 2001 года о равноправии в профессиональной деятельности дает работодателю возможность через соглашение с профсоюзными организациями принимать позитивные действия временного характера, призванные стимулировать наем, обучение, продвижение по службе и улучшение условий труда женщин. Заключаемые таким образом соглашения основываются на анализе доклада о сравнительном положении женщин и мужчин на предприятии с точки зрения общих условий занятости и подготовки, который готовится руководителем предприятия и передается в комитет предприятия для получения заключения;</w:t>
      </w:r>
    </w:p>
    <w:p w:rsidR="00000000" w:rsidRDefault="00000000">
      <w:pPr>
        <w:ind w:left="567" w:hanging="567"/>
      </w:pPr>
      <w:r>
        <w:t>–</w:t>
      </w:r>
      <w:r>
        <w:tab/>
        <w:t>общенациональное межпрофессиональное соглашение от 1 марта 2004 года о равенстве и представленности в профессиях мужчин и женщин допускает, в случае необходимости, применение позитивных действий в области найма и профессиональной подготовки;</w:t>
      </w:r>
    </w:p>
    <w:p w:rsidR="00000000" w:rsidRDefault="00000000">
      <w:pPr>
        <w:ind w:left="567" w:hanging="567"/>
      </w:pPr>
      <w:r>
        <w:t>–</w:t>
      </w:r>
      <w:r>
        <w:tab/>
        <w:t xml:space="preserve">в коллективных трудовых договорах, заключаемых с 2003 года, предусмотрены позитивные действия, например, дающие трудящимся возможность ускоренного доступа к профессиональной подготовке, ведущей к присвоению им более высокой квалификации. </w:t>
      </w:r>
    </w:p>
    <w:p w:rsidR="00000000" w:rsidRDefault="00000000">
      <w:pPr>
        <w:ind w:left="567" w:hanging="567"/>
      </w:pPr>
      <w:r>
        <w:tab/>
        <w:t>Кроме того, в настоящее время в парламенте обсуждается проект закона о равенстве между женщинами и мужчинами в области оплаты труда, в котором предусматривается выделение предприятиям со штатом работников менее 50 человек финансовой помощи установленного размера для замены одной или нескольких трудящихся-женщин, ушедших в отпуск по беременности, родам или в связи с усыновлением ребенка. Такой отпуск зачастую становится причиной задержек в продвижении по службе и повышении заработной платы, в частности на небольших предприятиях.</w:t>
      </w:r>
    </w:p>
    <w:p w:rsidR="00000000" w:rsidRDefault="00000000">
      <w:pPr>
        <w:ind w:left="567" w:hanging="567"/>
      </w:pPr>
      <w:r>
        <w:rPr>
          <w:lang w:val="fr-FR"/>
        </w:rPr>
        <w:t>II</w:t>
      </w:r>
      <w:r>
        <w:t>)</w:t>
      </w:r>
      <w:r>
        <w:tab/>
      </w:r>
      <w:r>
        <w:rPr>
          <w:u w:val="single"/>
        </w:rPr>
        <w:t>Специальный механизм по поощрению женщин к участию в предпринимательской деятельности</w:t>
      </w:r>
    </w:p>
    <w:p w:rsidR="00000000" w:rsidRDefault="00000000">
      <w:r>
        <w:t>В числе лиц, создающих новые предприятия или покупающих уже существующие предприятия, лишь 29,8 процента являются женщинами. Для устранения столь значительного разрыва между мужчинами и женщинами государство внедрило специальный механизм, призванный помочь женщинам, желающим создать, приобрести или расширить предприятие, путем упрощенного доступа к получению кредитов. Учрежденный для этих целей гарантийный фонд создания, приобретения или расширения по инициативе женщин предприятий позволяет государству выступать гарантом возмещения кредитов перед банками.</w:t>
      </w:r>
    </w:p>
    <w:p w:rsidR="00000000" w:rsidRDefault="00000000">
      <w:r>
        <w:rPr>
          <w:lang w:val="fr-FR"/>
        </w:rPr>
        <w:t>III</w:t>
      </w:r>
      <w:r>
        <w:t>)</w:t>
      </w:r>
      <w:r>
        <w:tab/>
      </w:r>
      <w:r>
        <w:rPr>
          <w:u w:val="single"/>
        </w:rPr>
        <w:t>Многолетние планы улучшения доступа женщин к высшим государственным должностям</w:t>
      </w:r>
    </w:p>
    <w:p w:rsidR="00000000" w:rsidRDefault="00000000">
      <w:r>
        <w:t>Составляя большинство среди государственных служащих (56 процентов на конец 2003 года), женщины, тем не менее, весьма незначительно представлены на высоких государственных должностях (14 процентов на конец 2003 года). В марте 2000</w:t>
      </w:r>
      <w:r>
        <w:rPr>
          <w:lang w:val="fr-FR"/>
        </w:rPr>
        <w:t> </w:t>
      </w:r>
      <w:r>
        <w:t>года премьер-министр поручил министрам подготовить многолетние планы улучшения доступа женщин к руководящим должностям в рамках государственной службы. Являясь своего рода программой действий в области обеспечения равноправия, эти планы отражают выраженные в конкретных цифрах цели в сфере привлечения женщин к высшим управленческим должностям.</w:t>
      </w:r>
    </w:p>
    <w:p w:rsidR="00000000" w:rsidRDefault="00000000">
      <w:r>
        <w:rPr>
          <w:lang w:val="fr-FR"/>
        </w:rPr>
        <w:t>IV</w:t>
      </w:r>
      <w:r>
        <w:t>)</w:t>
      </w:r>
      <w:r>
        <w:tab/>
      </w:r>
      <w:r>
        <w:rPr>
          <w:u w:val="single"/>
        </w:rPr>
        <w:t>Особый случай осуществления позитивных действий: равенство в политической жизни</w:t>
      </w:r>
    </w:p>
    <w:p w:rsidR="00000000" w:rsidRDefault="00000000">
      <w:r>
        <w:t>Женщины, представляющие половину человечества, не могут рассматриваться как "категория". Им должна быть предоставлена возможность в полной мере осуществлять свои гражданские и политические права. Поэтому Франция сделала выбор в пользу равенства, записав в Конституции, что "закон поощряет равный доступ женщин и мужчин к выборным должностям" и что политические партии и объединения "содействуют реализации этого принципа".</w:t>
      </w:r>
    </w:p>
    <w:p w:rsidR="00000000" w:rsidRDefault="00000000">
      <w:r>
        <w:t>Данный конституционный принцип воплощен в законе от 6 июня 2000 года, в соответствии с которым проведение политических выборов увязывается с необходимостью соблюдения правил сбалансированного представительства. В законе содержатся положения как принудительного, так и стимулирующего характера.</w:t>
      </w:r>
    </w:p>
    <w:p w:rsidR="00000000" w:rsidRDefault="00000000">
      <w:r>
        <w:t>Этот документ был дополнен законом от 11 апреля 2003 года, в соответствии с которым:</w:t>
      </w:r>
    </w:p>
    <w:p w:rsidR="00000000" w:rsidRDefault="00000000">
      <w:pPr>
        <w:ind w:left="567" w:hanging="567"/>
      </w:pPr>
      <w:r>
        <w:t>–</w:t>
      </w:r>
      <w:r>
        <w:tab/>
        <w:t>при проведении региональных выборов</w:t>
      </w:r>
      <w:r>
        <w:rPr>
          <w:rStyle w:val="FootnoteReference"/>
          <w:color w:val="000000"/>
        </w:rPr>
        <w:footnoteReference w:id="8"/>
      </w:r>
      <w:r>
        <w:t xml:space="preserve"> "в список каждой секции поочередно заносятся фамилии кандидатов каждого пола";</w:t>
      </w:r>
    </w:p>
    <w:p w:rsidR="00000000" w:rsidRDefault="00000000">
      <w:pPr>
        <w:ind w:left="567" w:hanging="567"/>
      </w:pPr>
      <w:r>
        <w:t>–</w:t>
      </w:r>
      <w:r>
        <w:tab/>
        <w:t>при проведении выборов в европейские структуры, организуемых в рамках восьми избирательных округов, "в список (кандидатов по округам) поочередно заносятся фамилии кандидатов каждого пола".</w:t>
      </w:r>
    </w:p>
    <w:p w:rsidR="00000000" w:rsidRDefault="00000000">
      <w:r>
        <w:t>Этот паритетный принцип был распространен не только на политические выборы. Так, например, в законе от 9</w:t>
      </w:r>
      <w:r>
        <w:rPr>
          <w:lang w:val="fr-FR"/>
        </w:rPr>
        <w:t> </w:t>
      </w:r>
      <w:r>
        <w:t>мая 2001</w:t>
      </w:r>
      <w:r>
        <w:rPr>
          <w:lang w:val="fr-FR"/>
        </w:rPr>
        <w:t> </w:t>
      </w:r>
      <w:r>
        <w:t>года, касающемся обеспечения равноправия между женщинами и мужчинами на государственной службе, предусматривается, что "состав паритетных</w:t>
      </w:r>
      <w:r>
        <w:rPr>
          <w:rStyle w:val="FootnoteReference"/>
        </w:rPr>
        <w:footnoteReference w:id="9"/>
      </w:r>
      <w:r>
        <w:t xml:space="preserve"> и конкурсных комиссий должен способствовать сбалансированной представленности женщин и мужчин". В этом же законе понятие "сбалансированной представленности" использовано в отношении выборов в прюдомальные суды, а также в представительные органы предприятия из числа его сотрудников.</w:t>
      </w:r>
    </w:p>
    <w:p w:rsidR="00000000" w:rsidRDefault="00000000">
      <w:pPr>
        <w:jc w:val="center"/>
        <w:rPr>
          <w:caps/>
        </w:rPr>
      </w:pPr>
      <w:r>
        <w:rPr>
          <w:caps/>
        </w:rPr>
        <w:t>Статья 5</w:t>
      </w:r>
    </w:p>
    <w:p w:rsidR="00000000" w:rsidRDefault="00000000">
      <w:pPr>
        <w:jc w:val="center"/>
      </w:pPr>
      <w:r>
        <w:rPr>
          <w:i/>
        </w:rPr>
        <w:t>Преодоление стереотипов</w:t>
      </w:r>
    </w:p>
    <w:p w:rsidR="00000000" w:rsidRDefault="00000000">
      <w:r>
        <w:t xml:space="preserve">Меры, принимаемые государственными органами власти в целях изменения представленности женщин и их образа во французском обществе, сгруппированы по трем основным направлениям: </w:t>
      </w:r>
    </w:p>
    <w:p w:rsidR="00000000" w:rsidRDefault="00000000">
      <w:r>
        <w:t>–</w:t>
      </w:r>
      <w:r>
        <w:tab/>
        <w:t xml:space="preserve">недопущение сексистских выражений, </w:t>
      </w:r>
    </w:p>
    <w:p w:rsidR="00000000" w:rsidRDefault="00000000">
      <w:pPr>
        <w:ind w:left="567" w:hanging="567"/>
      </w:pPr>
      <w:r>
        <w:t>–</w:t>
      </w:r>
      <w:r>
        <w:tab/>
        <w:t>недопущение изображения женщин в рекламе в образе, унижающем и оскорбляющем их достоинство,</w:t>
      </w:r>
    </w:p>
    <w:p w:rsidR="00000000" w:rsidRDefault="00000000">
      <w:r>
        <w:t>–</w:t>
      </w:r>
      <w:r>
        <w:tab/>
        <w:t>борьба с гендерными стереотипами и повышение роли женщины в обществе.</w:t>
      </w:r>
    </w:p>
    <w:p w:rsidR="00000000" w:rsidRDefault="00000000">
      <w:pPr>
        <w:ind w:left="567" w:hanging="567"/>
      </w:pPr>
      <w:r>
        <w:rPr>
          <w:lang w:val="fr-FR"/>
        </w:rPr>
        <w:t>I</w:t>
      </w:r>
      <w:r>
        <w:t>)</w:t>
      </w:r>
      <w:r>
        <w:tab/>
      </w:r>
      <w:r>
        <w:rPr>
          <w:u w:val="single"/>
        </w:rPr>
        <w:t xml:space="preserve">Расширение спектра законодательных мер, направленных на недопущение сексистских высказываний </w:t>
      </w:r>
    </w:p>
    <w:p w:rsidR="00000000" w:rsidRDefault="00000000">
      <w:r>
        <w:t>Новой вехой в сфере борьбы с дискриминацией по признаку пола стало обнародование закона от 30 декабря 2004 года о создании Высшего совета по борьбе с дискриминацией и вопросам равенства (</w:t>
      </w:r>
      <w:r>
        <w:rPr>
          <w:lang w:val="fr-FR"/>
        </w:rPr>
        <w:t>HALDE</w:t>
      </w:r>
      <w:r>
        <w:t>). Фактически этот документ является усовершенствованным текстом закона от 29 июля 1881 года о свободе прессы. Он определяет серьезные меры наказания за высказывания человеконенавистнического, сексистского характера или оскорбительных для лиц с физическими недостатками и приравнивает эти меры к применяемым за высказывания расистского толка. Декрет от 25 марта 2005 года дополнил этот механизм, введя наказание за высказывание человеконенавистнических, сексистских или оскорбительных для лиц с физическими недостатками взглядов. В частности, клеветнические высказывания и оскорбления по поводу пола, сексуальной ориентации или физических недостатков предусматривают наказание в виде лишения свободы (до 1 года) и штраф (в размере 45 тыс. евро). Этот закон наделяет прокуратуру правом в бесспорном порядке возбуждать соответствующие иски и дает возможность общественным организациям осуществлять права, признанные за гражданским истцом.</w:t>
      </w:r>
    </w:p>
    <w:p w:rsidR="00000000" w:rsidRDefault="00000000">
      <w:pPr>
        <w:rPr>
          <w:u w:val="single"/>
        </w:rPr>
      </w:pPr>
      <w:r>
        <w:rPr>
          <w:lang w:val="en-US"/>
        </w:rPr>
        <w:t>II</w:t>
      </w:r>
      <w:r>
        <w:t>)</w:t>
      </w:r>
      <w:r>
        <w:tab/>
      </w:r>
      <w:r>
        <w:rPr>
          <w:u w:val="single"/>
        </w:rPr>
        <w:t>Недопущение унижающей или оскорбительной для женщин рекламы</w:t>
      </w:r>
    </w:p>
    <w:p w:rsidR="00000000" w:rsidRDefault="00000000">
      <w:r>
        <w:t>Будучи обеспокоенным использованием в рекламе унижающих достоинство и оскорбительных для женщин изображений, а также неэтичным представлением отношений между мужчинами и женщинами, Министерство по вопросам паритета совместно с другими заинтересованными ведомствами, руководителями крупных СМИ и профессиональными рекламщиками обсудило вопрос о создании надлежащего механизма для недопущения пропаганды дискриминации по признаку пола.</w:t>
      </w:r>
    </w:p>
    <w:p w:rsidR="00000000" w:rsidRDefault="00000000">
      <w:r>
        <w:t>Эти объединенные усилия привели к подписанию 27 ноября 2003 года совместного заявления Министерства по вопросам паритета и Управлением по контролю за рекламой</w:t>
      </w:r>
      <w:r>
        <w:rPr>
          <w:rStyle w:val="FootnoteReference"/>
        </w:rPr>
        <w:footnoteReference w:id="10"/>
      </w:r>
      <w:r>
        <w:t xml:space="preserve"> (УКР) об уважении к личности при производстве рекламы. В нем предусмотрены, в частности, усиление самодисциплины рекламодателей с помощью разработки специалистами в области рекламы соответствующего кодекса поведения, а также создание Министерством возможностей для ведения общественной дискуссии по вопросам образа женщины в рекламе. Эти возможности для дискуссии появились в начале февраля 2004 года, когда гражданам было предоставлено три способа выражения своего мнения и участия в дискуссии: по почте, через голосовое сообщение по телефону и по электронной почте.</w:t>
      </w:r>
    </w:p>
    <w:p w:rsidR="00000000" w:rsidRDefault="00000000">
      <w:r>
        <w:t>В марте 2005 года были обнародованы результаты: с начала февраля по конец декабря 2004 года зарегистрировано 1015 сообщений, 844 человека поделились своим мнением в отношении рекламы. Поступили сигналы о наличии в рекламе дискриминации по признаку пола (40 процентов), нарушении правил приличия (38 процентов), сохранении архаичных поведенческих моделей (22 процента), провоцировании насилия (18 процентов).</w:t>
      </w:r>
    </w:p>
    <w:p w:rsidR="00000000" w:rsidRDefault="00000000">
      <w:r>
        <w:t>С учетом интереса в связи с созданием этой службы, а также мнений и пожеланий, высказанных гражданами по данному вопросу, Министерство подготовило ряд предложений, направленных на:</w:t>
      </w:r>
    </w:p>
    <w:p w:rsidR="00000000" w:rsidRDefault="00000000">
      <w:pPr>
        <w:spacing w:after="120"/>
        <w:ind w:left="567" w:hanging="567"/>
      </w:pPr>
      <w:r>
        <w:t>–</w:t>
      </w:r>
      <w:r>
        <w:tab/>
        <w:t>расширение возможностей гражданского общества оказывать влияние на ситуацию через сохранение пространства для дискуссии;</w:t>
      </w:r>
    </w:p>
    <w:p w:rsidR="00000000" w:rsidRDefault="00000000">
      <w:pPr>
        <w:spacing w:after="120"/>
      </w:pPr>
      <w:r>
        <w:t>–</w:t>
      </w:r>
      <w:r>
        <w:tab/>
        <w:t>обязательное упоминание в любой рекламе имени и адреса рекламодателя;</w:t>
      </w:r>
    </w:p>
    <w:p w:rsidR="00000000" w:rsidRDefault="00000000">
      <w:pPr>
        <w:ind w:left="567" w:hanging="567"/>
      </w:pPr>
      <w:r>
        <w:t>–</w:t>
      </w:r>
      <w:r>
        <w:tab/>
        <w:t>укрепление самодисциплины в области рекламы через введение обязательного контроля со стороны УКР до распространения рекламы, по меньшей мере, в отношении общенациональных рекламных кампаний.</w:t>
      </w:r>
    </w:p>
    <w:p w:rsidR="00000000" w:rsidRDefault="00000000">
      <w:pPr>
        <w:rPr>
          <w:u w:val="single"/>
        </w:rPr>
      </w:pPr>
      <w:r>
        <w:rPr>
          <w:lang w:val="en-US"/>
        </w:rPr>
        <w:t>III</w:t>
      </w:r>
      <w:r>
        <w:t>)</w:t>
      </w:r>
      <w:r>
        <w:tab/>
      </w:r>
      <w:r>
        <w:rPr>
          <w:u w:val="single"/>
        </w:rPr>
        <w:t>Борьба с гендерными стереотипами и повышение роли женщины в обществе</w:t>
      </w:r>
    </w:p>
    <w:p w:rsidR="00000000" w:rsidRDefault="00000000">
      <w:r>
        <w:t>Понятие равенства между мужчинами и женщинами как определяющий фактор будущего развития должно сегодня укорениться в менталитете и повседневных поведенческих установках, в профессиональной области и частной жизни. С этой целью Министерство по вопросам паритета провело в 2005 году общенациональную информационно-пропагандистскую кампанию по теме равенства между женщинами и мужчинами.</w:t>
      </w:r>
    </w:p>
    <w:p w:rsidR="00000000" w:rsidRDefault="00000000">
      <w:r>
        <w:t>С 7 марта по 13 мая 2005 года по каналу общественного телевидения была показана серия из 40 минирепортажей продолжительностью по одной минуте, в которых были представлены свидетельства и биографии мужчин и женщин. Эта серия, вышедшая под названием "Равные в правах" и представляющая общую картину равенства во Франции в настоящее время, позволила привлечь внимание к успешным примерам равенства в профессиональной деятельности и к обучению нормам взаимного уважения. Сюжеты репортажей затрагивают фундаментальные жизненные ценности общества: равенство прав и обязанностей для всех граждан, уважение как норма поведения в межличностных и профессиональных отношениях, борьба с любыми формами дискриминации, в частности в вопросах доступа к занятости.</w:t>
      </w:r>
    </w:p>
    <w:p w:rsidR="00000000" w:rsidRDefault="00000000">
      <w:pPr>
        <w:rPr>
          <w:lang w:val="fr-FR"/>
        </w:rPr>
      </w:pPr>
      <w:r>
        <w:t>Показ этих сюжетов по телевидению в прайм-тайм был призван привлечь внимание широкой общественности к вопросам равенства между мужчинами и женщинами, помочь женщинам задуматься над собственной жизнью и побудить мужчин определить свое отношение к вопросу о равенстве. Благодаря своему размаху и вызванной реакции эта кампания способствовала изменению менталитета и пробудила во всем обществе активное стремление добиваться установления равенства. Это подтверждают проведенные оценки</w:t>
      </w:r>
      <w:r>
        <w:rPr>
          <w:lang w:val="fr-FR"/>
        </w:rPr>
        <w:t>.</w:t>
      </w:r>
    </w:p>
    <w:p w:rsidR="00000000" w:rsidRDefault="00000000">
      <w:pPr>
        <w:pBdr>
          <w:top w:val="single" w:sz="4" w:space="4" w:color="auto"/>
          <w:left w:val="single" w:sz="4" w:space="2" w:color="auto"/>
          <w:bottom w:val="single" w:sz="4" w:space="4" w:color="auto"/>
          <w:right w:val="single" w:sz="4" w:space="2" w:color="auto"/>
        </w:pBdr>
        <w:ind w:left="567" w:hanging="567"/>
      </w:pPr>
      <w:r>
        <w:sym w:font="Wingdings" w:char="F0E8"/>
      </w:r>
      <w:r>
        <w:tab/>
        <w:t>72 процента (то есть 24</w:t>
      </w:r>
      <w:r>
        <w:rPr>
          <w:lang w:val="fr-FR"/>
        </w:rPr>
        <w:t> </w:t>
      </w:r>
      <w:r>
        <w:t>993</w:t>
      </w:r>
      <w:r>
        <w:rPr>
          <w:lang w:val="fr-FR"/>
        </w:rPr>
        <w:t> </w:t>
      </w:r>
      <w:r>
        <w:t>214) граждан в возрасте от 18 до 64 лет, имеющих дома телевизор, посмотрели по меньшей мере один из показанных минирепортажей.</w:t>
      </w:r>
    </w:p>
    <w:p w:rsidR="00000000" w:rsidRDefault="00000000">
      <w:pPr>
        <w:pBdr>
          <w:top w:val="single" w:sz="4" w:space="4" w:color="auto"/>
          <w:left w:val="single" w:sz="4" w:space="2" w:color="auto"/>
          <w:bottom w:val="single" w:sz="4" w:space="4" w:color="auto"/>
          <w:right w:val="single" w:sz="4" w:space="2" w:color="auto"/>
        </w:pBdr>
        <w:ind w:left="567" w:hanging="567"/>
      </w:pPr>
      <w:r>
        <w:sym w:font="Wingdings" w:char="F0E8"/>
      </w:r>
      <w:r>
        <w:tab/>
        <w:t>В ходе проводившегося позже исследования девять из десяти опрошенных заявляли о том, что им понравились фильмы, а восемь из десяти говорили, что им понравился использовавшийся лозунг: "Равенство: нужно только хотеть этого".</w:t>
      </w:r>
    </w:p>
    <w:p w:rsidR="00000000" w:rsidRDefault="00000000">
      <w:pPr>
        <w:pBdr>
          <w:top w:val="single" w:sz="4" w:space="4" w:color="auto"/>
          <w:left w:val="single" w:sz="4" w:space="2" w:color="auto"/>
          <w:bottom w:val="single" w:sz="4" w:space="4" w:color="auto"/>
          <w:right w:val="single" w:sz="4" w:space="2" w:color="auto"/>
        </w:pBdr>
        <w:ind w:left="567" w:hanging="567"/>
      </w:pPr>
      <w:r>
        <w:sym w:font="Wingdings" w:char="F0E8"/>
      </w:r>
      <w:r>
        <w:tab/>
        <w:t>Восемь из десяти ответили, что авторам фильмов удалось найти правильный тон, позволивший говорить о вопросах равенства, не утомляя зрителя.</w:t>
      </w:r>
    </w:p>
    <w:p w:rsidR="00000000" w:rsidRDefault="00000000">
      <w:pPr>
        <w:pBdr>
          <w:top w:val="single" w:sz="4" w:space="4" w:color="auto"/>
          <w:left w:val="single" w:sz="4" w:space="2" w:color="auto"/>
          <w:bottom w:val="single" w:sz="4" w:space="4" w:color="auto"/>
          <w:right w:val="single" w:sz="4" w:space="2" w:color="auto"/>
        </w:pBdr>
      </w:pPr>
      <w:r>
        <w:t>Для подавляющего большинства опрошенных (90 процентов) показанные фильмы явились отражением существующей реальности. Этот показ, на их взгляд, был необходим для того, чтобы заставить людей задуматься над вопросами равенства между мужчинами и женщинами.</w:t>
      </w:r>
    </w:p>
    <w:p w:rsidR="00000000" w:rsidRDefault="00000000">
      <w:r>
        <w:t xml:space="preserve">После показа по телевидению эти программы были размещены на веб-сайте Министерства: </w:t>
      </w:r>
      <w:r>
        <w:rPr>
          <w:u w:val="single"/>
        </w:rPr>
        <w:t>http://www.fe</w:t>
      </w:r>
      <w:r>
        <w:rPr>
          <w:u w:val="single"/>
          <w:lang w:val="en-US"/>
        </w:rPr>
        <w:t>mm</w:t>
      </w:r>
      <w:r>
        <w:rPr>
          <w:u w:val="single"/>
        </w:rPr>
        <w:t>es-egalite.gouv.fr</w:t>
      </w:r>
      <w:r>
        <w:t>. В дальнейшем они могут служить основой для работы по привлечению внимания к вопросам равенства, проводимой Министерством и его децентрализованной сетью на всей территории страны, а также использоваться для отдельных информационных кампаний международного уровня.</w:t>
      </w:r>
    </w:p>
    <w:p w:rsidR="00000000" w:rsidRDefault="00000000">
      <w:pPr>
        <w:jc w:val="center"/>
        <w:rPr>
          <w:caps/>
        </w:rPr>
      </w:pPr>
      <w:r>
        <w:rPr>
          <w:caps/>
        </w:rPr>
        <w:t>Статья 6</w:t>
      </w:r>
    </w:p>
    <w:p w:rsidR="00000000" w:rsidRDefault="00000000">
      <w:pPr>
        <w:jc w:val="center"/>
      </w:pPr>
      <w:r>
        <w:rPr>
          <w:i/>
        </w:rPr>
        <w:t>Проституция и торговля женщинами</w:t>
      </w:r>
    </w:p>
    <w:p w:rsidR="00000000" w:rsidRDefault="00000000">
      <w:r>
        <w:t>Рекомендации, сформулированные Парламентской группой по проблеме современного рабства и упомянутые в пятом докладе Франции КЛДЖ, были сгруппированы по четырем направлениям:</w:t>
      </w:r>
    </w:p>
    <w:p w:rsidR="00000000" w:rsidRDefault="00000000">
      <w:r>
        <w:sym w:font="SymbolPS" w:char="F0B7"/>
      </w:r>
      <w:r>
        <w:tab/>
        <w:t>предоставление жертвам социальной поддержки и статуса;</w:t>
      </w:r>
    </w:p>
    <w:p w:rsidR="00000000" w:rsidRDefault="00000000">
      <w:r>
        <w:sym w:font="SymbolPS" w:char="F0B7"/>
      </w:r>
      <w:r>
        <w:tab/>
        <w:t>вынесение более строгих наказаний для лиц, осуществляющих торговлю детьми;</w:t>
      </w:r>
    </w:p>
    <w:p w:rsidR="00000000" w:rsidRDefault="00000000">
      <w:r>
        <w:sym w:font="SymbolPS" w:char="F0B7"/>
      </w:r>
      <w:r>
        <w:tab/>
        <w:t>придание приоритетного характера борьбе с торговлей людьми;</w:t>
      </w:r>
    </w:p>
    <w:p w:rsidR="00000000" w:rsidRDefault="00000000">
      <w:pPr>
        <w:rPr>
          <w:lang w:val="fr-FR"/>
        </w:rPr>
      </w:pPr>
      <w:r>
        <w:sym w:font="SymbolPS" w:char="F0B7"/>
      </w:r>
      <w:r>
        <w:tab/>
        <w:t>повышение уровня осведомленности общественности.</w:t>
      </w:r>
    </w:p>
    <w:p w:rsidR="00000000" w:rsidRDefault="00000000">
      <w:r>
        <w:t>Закон от 18 марта 2003 года о внутренней безопасности дает возможность решать некоторые из этих задач.</w:t>
      </w:r>
    </w:p>
    <w:p w:rsidR="00000000" w:rsidRDefault="00000000">
      <w:r>
        <w:t>I)</w:t>
      </w:r>
      <w:r>
        <w:tab/>
      </w:r>
      <w:r>
        <w:rPr>
          <w:u w:val="single"/>
        </w:rPr>
        <w:t>В отношении лиц, принуждаемых к занятию проституцией</w:t>
      </w:r>
    </w:p>
    <w:p w:rsidR="00000000" w:rsidRDefault="00000000">
      <w:r>
        <w:t>1)</w:t>
      </w:r>
      <w:r>
        <w:tab/>
        <w:t>В статье 76 закона о внутренней безопасности предусматривается, что иностранному гражданину, подавшему иск или выступившему в суде свидетелем против лица, обвиненного в совершении в отношении данного иностранца преступления, связанного с торговлей людьми или сутенерством, может быть выдан временный вид на жительство с правом на трудоустройство. В случае вынесения в отношении подозреваемого обвинительного приговора лицо, принуждавшееся к занятию проституцией, которое подало иск или выступило свидетелем, имеет право на получение вида на жительство с правом на трудоустройство сроком на 10 лет.</w:t>
      </w:r>
    </w:p>
    <w:p w:rsidR="00000000" w:rsidRDefault="00000000">
      <w:pPr>
        <w:rPr>
          <w:noProof/>
        </w:rPr>
      </w:pPr>
      <w:r>
        <w:t>2)</w:t>
      </w:r>
      <w:r>
        <w:tab/>
        <w:t>В отношении женщин и девушек</w:t>
      </w:r>
      <w:r>
        <w:rPr>
          <w:noProof/>
        </w:rPr>
        <w:t>, ставших жертвами торговли людьми, могут применяться положения Уголовно-процессуального кодекса о защите свидетелей, позволяющие собирать показания без идентификации опрашиваемых.</w:t>
      </w:r>
    </w:p>
    <w:p w:rsidR="00000000" w:rsidRDefault="00000000">
      <w:pPr>
        <w:rPr>
          <w:noProof/>
        </w:rPr>
      </w:pPr>
      <w:r>
        <w:rPr>
          <w:noProof/>
        </w:rPr>
        <w:t>3)</w:t>
      </w:r>
      <w:r>
        <w:rPr>
          <w:noProof/>
        </w:rPr>
        <w:tab/>
        <w:t>В соответствии со статьями 42 и 43 закона о внутренней безопасности были приняты меры, призванные обеспечить предоставление безопасного приюта лицам, пожелавшим вырваться из организованной сети торговцев живым товаром или сутенеров. Различные решения были предложены на местном уровне. Имеющийся в распоряжении государства механизм дает возможность оказывать содействие лицам, чье пребывание на прежнем месте жительства стало опасным, незаметно перебраться для проживания в другой населенный пункт. Безопасность этих лиц обеспечивается за счет придания обычного вида приютам, рассредоточения таких приютов по территории страны, нераспространения информации о месте пребывания укрываемого лица и содействия его социальной адаптации.</w:t>
      </w:r>
    </w:p>
    <w:p w:rsidR="00000000" w:rsidRDefault="00000000">
      <w:pPr>
        <w:rPr>
          <w:noProof/>
        </w:rPr>
      </w:pPr>
      <w:r>
        <w:rPr>
          <w:noProof/>
        </w:rPr>
        <w:t>4)</w:t>
      </w:r>
      <w:r>
        <w:rPr>
          <w:noProof/>
        </w:rPr>
        <w:tab/>
        <w:t>Для лиц, желающих возвратиться в страну происхождения, не подвергая себя при этом опасности преследования или неприятия со стороны своей семьи, предусмотрена соответствующая поддержка и помощь, в частности, в рамках подписанных с Болгарией и Румынией двусторонних соглашений.</w:t>
      </w:r>
    </w:p>
    <w:p w:rsidR="00000000" w:rsidRDefault="00000000">
      <w:pPr>
        <w:rPr>
          <w:noProof/>
        </w:rPr>
      </w:pPr>
      <w:r>
        <w:rPr>
          <w:noProof/>
        </w:rPr>
        <w:t>5)</w:t>
      </w:r>
      <w:r>
        <w:rPr>
          <w:noProof/>
        </w:rPr>
        <w:tab/>
        <w:t>Для повышения эффективности работы во Франции с лицами, принуждаемыми к занятию проституцией, и обеспечения лучших условий для их возвращения в соответствии с их пожеланиями в свои страны развивается сотрудничество между общественными организациями Франции и непривительственными организациями этих стран.</w:t>
      </w:r>
    </w:p>
    <w:p w:rsidR="00000000" w:rsidRDefault="00000000">
      <w:pPr>
        <w:rPr>
          <w:noProof/>
        </w:rPr>
      </w:pPr>
      <w:r>
        <w:rPr>
          <w:noProof/>
        </w:rPr>
        <w:t>Так, при поддержке Европейского союза было осуществлено несколько проектов, в том числе проект "Копирайтс", осуществленный организацией А.Л.С. из Ниццы с участием ряда специализированных ассоциаций еще пяти стран (Болгарии, Италии, Румынии, Португалии и Словакии).</w:t>
      </w:r>
    </w:p>
    <w:p w:rsidR="00000000" w:rsidRDefault="00000000">
      <w:pPr>
        <w:rPr>
          <w:noProof/>
        </w:rPr>
      </w:pPr>
      <w:r>
        <w:rPr>
          <w:noProof/>
        </w:rPr>
        <w:t>6)</w:t>
      </w:r>
      <w:r>
        <w:rPr>
          <w:noProof/>
        </w:rPr>
        <w:tab/>
        <w:t>Служба по правам женщин и вопросам равенства и Главное управление по социальной работе Министерства по социальным вопросам обратились с просьбой к организации "Метанойя" о проведении исследования об изменениях, которые необходимо осуществить в сфере социальной помощи лицам, принуждаемым к занятию проституцией или оказавшимся в представляющем для них опасность положении.</w:t>
      </w:r>
    </w:p>
    <w:p w:rsidR="00000000" w:rsidRDefault="00000000">
      <w:r>
        <w:t>II)</w:t>
      </w:r>
      <w:r>
        <w:tab/>
      </w:r>
      <w:r>
        <w:rPr>
          <w:u w:val="single"/>
        </w:rPr>
        <w:t>В отношении эксплуатирующих проституток лиц и их сетей</w:t>
      </w:r>
    </w:p>
    <w:p w:rsidR="00000000" w:rsidRDefault="00000000">
      <w:r>
        <w:t>1)</w:t>
      </w:r>
      <w:r>
        <w:tab/>
        <w:t>В законе о внутренней безопасности провозглашается новая мера наказания в связи с торговлей людьми в виде семи лет лишения свободы и 150 тыс. евро штрафа.</w:t>
      </w:r>
    </w:p>
    <w:p w:rsidR="00000000" w:rsidRDefault="00000000">
      <w:r>
        <w:t>В законе определяется около десяти отягчающих обстоятельств, в частности в случае совершения данного преступления в отношении несовершеннолетнего лица или с применением угроз, принуждения или насилия, а также в случае совершения этого деяния организованной преступной группой. В этом случае может предусматриваться наказание вплоть пожизненного лишения свободы с принудительными работами и штрафа в размере 4,5 млн. евро.</w:t>
      </w:r>
    </w:p>
    <w:p w:rsidR="00000000" w:rsidRDefault="00000000">
      <w:r>
        <w:t>2)</w:t>
      </w:r>
      <w:r>
        <w:tab/>
        <w:t>В соответствии с законом от 9 марта 2004 года об адаптации судебной системы в связи с меняющимся характером преступности в Уголовно-процессуальный кодекс введена новая статья, касающаяся тех женщин, которых принято называть "раскаявшимися". В соответствии с этой статьей такие лица при необходимости получают защиту, направленную на обеспечение их безопасности. В отношении этих лиц предусмотрены меры, призванные обеспечить их социальную реадаптацию. В случае необходимости решением суда большой инстанции таким женщинам может быть разрешено изменить свои личные данные. Эти положения также действуют в отношении членов их семей и их близких.</w:t>
      </w:r>
    </w:p>
    <w:p w:rsidR="00000000" w:rsidRDefault="00000000">
      <w:r>
        <w:t>По данным Центрального управления по борьбе с торговлей людьми, в 2004 году 717 гражданам (504 мужчинам и 213 женщинам) правоохранительные органы предъявили обвинение в сутенерстве на территории Франции. Из них 54,7 процента были иностранцами. В 2004 году правоохранительными органами ликвидировано 47 сутенерских сетей.</w:t>
      </w:r>
    </w:p>
    <w:p w:rsidR="00000000" w:rsidRDefault="00000000">
      <w:r>
        <w:t>III)</w:t>
      </w:r>
      <w:r>
        <w:tab/>
      </w:r>
      <w:r>
        <w:rPr>
          <w:u w:val="single"/>
        </w:rPr>
        <w:t>Что касается повышения осведомленности общества</w:t>
      </w:r>
      <w:r>
        <w:t>, то в настоящее время необходимо подумать о том, какую роль играют клиенты проституток, а также о мотивах их действий и их ответственности. Проституция не является ни профессией, ни услугой в обычном понимании; это насилие в отношении женщин. За фатализмом в отношении проституции, преобладающим в общественном мнении по этому поводу, скрывается прямое посягательство на личную жизнь, достоинство и неприкосновенность личности. Бытующий в обществе миф о том, что решение заниматься проституцией человек принимает добровольно, дает возможность всем, особенно клиентам, снимать с себя всякую ответственность и оправдывать свои действия упрощенными объяснениями.</w:t>
      </w:r>
    </w:p>
    <w:p w:rsidR="00000000" w:rsidRDefault="00000000">
      <w:r>
        <w:t>В этой ситуации французские законодатели решили активизировать борьбу в отношении тех, кто пользуется услугами лиц, занимающихся проституцией. Действительно, в то время как закон от 4 марта 2002 года, касающийся прав и обязанностей родителей, позволял применять наказание в отношении клиента несовершеннолетнего лица, занимающегося проституцией, закон о внутренней безопасности от 18 марта 2003 года распространил сферу применения соответствующих санкций в отношении клиентов лиц, принуждаемых к занятию проституцией в связи с особо трудным положением, в котором они оказались.</w:t>
      </w:r>
    </w:p>
    <w:p w:rsidR="00000000" w:rsidRDefault="00000000">
      <w:r>
        <w:t>Кроме того, с 2002 года Министерство по вопросам паритета и Министерство по социальным вопросам оказывают содействие в проведении общественной организацией "Движение приют" (Mouvement du nid) общенациональной информационно-просветительской кампании, включающей четыре направления:</w:t>
      </w:r>
    </w:p>
    <w:p w:rsidR="00000000" w:rsidRDefault="00000000">
      <w:r>
        <w:sym w:font="SymbolPS" w:char="F0B7"/>
      </w:r>
      <w:r>
        <w:tab/>
        <w:t>создание веб-сайта в отношении клиентов;</w:t>
      </w:r>
    </w:p>
    <w:p w:rsidR="00000000" w:rsidRDefault="00000000">
      <w:r>
        <w:sym w:font="SymbolPS" w:char="F0B7"/>
      </w:r>
      <w:r>
        <w:tab/>
        <w:t xml:space="preserve">проведение опросов в целях последующего информирования широкой общественности; </w:t>
      </w:r>
    </w:p>
    <w:p w:rsidR="00000000" w:rsidRDefault="00000000">
      <w:r>
        <w:sym w:font="SymbolPS" w:char="F0B7"/>
      </w:r>
      <w:r>
        <w:tab/>
        <w:t>подготовка специального вопросника для мужчин, пользующихся услугами проституток;</w:t>
      </w:r>
    </w:p>
    <w:p w:rsidR="00000000" w:rsidRDefault="00000000">
      <w:pPr>
        <w:ind w:left="567" w:hanging="567"/>
      </w:pPr>
      <w:r>
        <w:sym w:font="SymbolPS" w:char="F0B7"/>
      </w:r>
      <w:r>
        <w:tab/>
        <w:t>подготовка выставок и рекламных плакатов, способствующих предупреждению проституции и привлечению общественного внимания к этой проблеме.</w:t>
      </w:r>
    </w:p>
    <w:p w:rsidR="00000000" w:rsidRDefault="00000000">
      <w:pPr>
        <w:tabs>
          <w:tab w:val="left" w:pos="1904"/>
          <w:tab w:val="left" w:pos="2380"/>
          <w:tab w:val="left" w:pos="2856"/>
          <w:tab w:val="left" w:pos="3332"/>
          <w:tab w:val="left" w:pos="3808"/>
          <w:tab w:val="left" w:pos="4284"/>
          <w:tab w:val="left" w:pos="4760"/>
          <w:tab w:val="left" w:pos="5564"/>
        </w:tabs>
      </w:pPr>
      <w:r>
        <w:t>IV)</w:t>
      </w:r>
      <w:r>
        <w:tab/>
      </w:r>
      <w:r>
        <w:rPr>
          <w:u w:val="single"/>
        </w:rPr>
        <w:t>В отношении проституции несовершеннолетних</w:t>
      </w:r>
    </w:p>
    <w:p w:rsidR="00000000" w:rsidRDefault="00000000">
      <w:r>
        <w:t>Согласно закону, "проституция несовершеннолетних запрещена на всей территории Республики" и "любое несовершеннолетнее лицо, занимающееся проституцией, пусть даже нерегулярно, считается подвергающим себя опасности и находится под защитой судьи по делам несовершеннолетних, принимающего предусмотренные законом меры, направленные на оказание содействия в воспитании несовершеннолетнего". В то же время эксплуатация проституции несовершеннолетних является правонарушением, предусматривающим наказание в виде трех лет лишения свободы и штрафа в 45 тыс. евро. Отягчающие обстоятельства предусмотрены в случаях, когда речь идет о несовершеннолетнем в возрасте 15 лет, если преступление имеет повторяющийся характер, если правонарушитель злоупотребляет полномочиями, связанными с его функциями, или если правонарушитель вступил в контакт с несовершеннолетним, используя средства связи типа интернет. По аналогии с действующим положением в отношении сексуальных посягательств эти новые нормы применимы также в случае, если подобное преступление совершает гражданин Франции за пределами национальной территории.</w:t>
      </w:r>
    </w:p>
    <w:p w:rsidR="00000000" w:rsidRDefault="00000000">
      <w:pPr>
        <w:jc w:val="center"/>
        <w:rPr>
          <w:caps/>
        </w:rPr>
      </w:pPr>
      <w:r>
        <w:rPr>
          <w:caps/>
        </w:rPr>
        <w:t>Статья 7</w:t>
      </w:r>
    </w:p>
    <w:p w:rsidR="00000000" w:rsidRDefault="00000000">
      <w:pPr>
        <w:jc w:val="center"/>
        <w:rPr>
          <w:i/>
        </w:rPr>
      </w:pPr>
      <w:r>
        <w:rPr>
          <w:i/>
        </w:rPr>
        <w:t>Политическая и общественная жизнь</w:t>
      </w:r>
    </w:p>
    <w:p w:rsidR="00000000" w:rsidRDefault="00000000">
      <w:r>
        <w:t>I)</w:t>
      </w:r>
      <w:r>
        <w:tab/>
      </w:r>
      <w:r>
        <w:rPr>
          <w:u w:val="single"/>
        </w:rPr>
        <w:t>Равенство в политической области</w:t>
      </w:r>
    </w:p>
    <w:p w:rsidR="00000000" w:rsidRDefault="00000000">
      <w:pPr>
        <w:rPr>
          <w:b/>
        </w:rPr>
      </w:pPr>
      <w:r>
        <w:rPr>
          <w:b/>
        </w:rPr>
        <w:t>А)</w:t>
      </w:r>
      <w:r>
        <w:rPr>
          <w:b/>
        </w:rPr>
        <w:tab/>
        <w:t>Правительство</w:t>
      </w:r>
    </w:p>
    <w:p w:rsidR="00000000" w:rsidRDefault="00000000">
      <w:r>
        <w:t>Сформированное в июне 2005 года, помимо премьер-министра, правительство включает 31 члена, в том числе шесть женщин (что составляет почти 20 процентов), которые занимают следующие посты:</w:t>
      </w:r>
    </w:p>
    <w:p w:rsidR="00000000" w:rsidRDefault="00000000">
      <w:pPr>
        <w:tabs>
          <w:tab w:val="clear" w:pos="567"/>
          <w:tab w:val="clear" w:pos="907"/>
          <w:tab w:val="clear" w:pos="1247"/>
          <w:tab w:val="clear" w:pos="1588"/>
          <w:tab w:val="left" w:pos="1276"/>
        </w:tabs>
        <w:spacing w:after="120"/>
      </w:pPr>
      <w:r>
        <w:t>министры:</w:t>
      </w:r>
      <w:r>
        <w:tab/>
        <w:t>национальной обороны,</w:t>
      </w:r>
    </w:p>
    <w:p w:rsidR="00000000" w:rsidRDefault="00000000">
      <w:pPr>
        <w:tabs>
          <w:tab w:val="clear" w:pos="567"/>
          <w:tab w:val="clear" w:pos="907"/>
          <w:tab w:val="clear" w:pos="1247"/>
          <w:tab w:val="clear" w:pos="1588"/>
          <w:tab w:val="left" w:pos="1276"/>
        </w:tabs>
      </w:pPr>
      <w:r>
        <w:tab/>
        <w:t>экологии и устойчивого развития;</w:t>
      </w:r>
    </w:p>
    <w:p w:rsidR="00000000" w:rsidRDefault="00000000">
      <w:pPr>
        <w:tabs>
          <w:tab w:val="clear" w:pos="567"/>
          <w:tab w:val="clear" w:pos="907"/>
          <w:tab w:val="clear" w:pos="1247"/>
          <w:tab w:val="clear" w:pos="1588"/>
          <w:tab w:val="left" w:pos="2268"/>
        </w:tabs>
        <w:spacing w:after="120"/>
      </w:pPr>
      <w:r>
        <w:t>министры-делегаты:</w:t>
      </w:r>
      <w:r>
        <w:tab/>
        <w:t>по вопросам социальной консолидации и равенства,</w:t>
      </w:r>
    </w:p>
    <w:p w:rsidR="00000000" w:rsidRDefault="00000000">
      <w:pPr>
        <w:tabs>
          <w:tab w:val="clear" w:pos="567"/>
          <w:tab w:val="clear" w:pos="907"/>
          <w:tab w:val="clear" w:pos="1247"/>
          <w:tab w:val="clear" w:pos="1588"/>
          <w:tab w:val="left" w:pos="2268"/>
        </w:tabs>
        <w:spacing w:after="120"/>
      </w:pPr>
      <w:r>
        <w:tab/>
        <w:t>по вопросам сотрудничества, развития и франкофонии,</w:t>
      </w:r>
    </w:p>
    <w:p w:rsidR="00000000" w:rsidRDefault="00000000">
      <w:pPr>
        <w:tabs>
          <w:tab w:val="clear" w:pos="567"/>
          <w:tab w:val="clear" w:pos="907"/>
          <w:tab w:val="clear" w:pos="1247"/>
          <w:tab w:val="clear" w:pos="1588"/>
          <w:tab w:val="left" w:pos="2268"/>
        </w:tabs>
        <w:spacing w:after="120"/>
      </w:pPr>
      <w:r>
        <w:tab/>
        <w:t>по европейским делам,</w:t>
      </w:r>
    </w:p>
    <w:p w:rsidR="00000000" w:rsidRDefault="00000000">
      <w:pPr>
        <w:tabs>
          <w:tab w:val="clear" w:pos="567"/>
          <w:tab w:val="clear" w:pos="907"/>
          <w:tab w:val="clear" w:pos="1247"/>
          <w:tab w:val="clear" w:pos="1588"/>
          <w:tab w:val="left" w:pos="2268"/>
        </w:tabs>
      </w:pPr>
      <w:r>
        <w:tab/>
        <w:t>по вопросам внешней торговли.</w:t>
      </w:r>
    </w:p>
    <w:p w:rsidR="00000000" w:rsidRDefault="00000000">
      <w:pPr>
        <w:rPr>
          <w:b/>
        </w:rPr>
      </w:pPr>
      <w:r>
        <w:rPr>
          <w:b/>
        </w:rPr>
        <w:t>В)</w:t>
      </w:r>
      <w:r>
        <w:rPr>
          <w:b/>
        </w:rPr>
        <w:tab/>
        <w:t>Выборные органы</w:t>
      </w:r>
    </w:p>
    <w:p w:rsidR="00000000" w:rsidRDefault="00000000">
      <w:r>
        <w:t>В ходе рассмотрения предыдущего доклада Франции КЛДЖ предложил подвести итоги применения закона от 6 июня 2000 года "о содействии равному доступу женщин и мужчин к выборным должностям". Эти итоги были представлены в феврале 2005 года Министерством внутренних дел и Министерством по вопросам паритета. В начале 2005 года все представительные политические органы местного и национального уровней впервые обновлялись в условиях режима, введенного законом от 6 июня 2000 года. Тогда и появилась возможность подвести итоги применения этого закона и оценить его эффективность.</w:t>
      </w:r>
    </w:p>
    <w:p w:rsidR="00000000" w:rsidRDefault="00000000">
      <w:r>
        <w:t>1)</w:t>
      </w:r>
      <w:r>
        <w:tab/>
      </w:r>
      <w:r>
        <w:rPr>
          <w:u w:val="single"/>
        </w:rPr>
        <w:t>Результаты выборов, проводившихся в 2004 году</w:t>
      </w:r>
    </w:p>
    <w:p w:rsidR="00000000" w:rsidRDefault="00000000">
      <w:pPr>
        <w:rPr>
          <w:b/>
        </w:rPr>
      </w:pPr>
      <w:r>
        <w:rPr>
          <w:b/>
        </w:rPr>
        <w:t>а)</w:t>
      </w:r>
      <w:r>
        <w:rPr>
          <w:b/>
        </w:rPr>
        <w:tab/>
        <w:t>Кантональные выборы</w:t>
      </w:r>
    </w:p>
    <w:p w:rsidR="00000000" w:rsidRDefault="00000000">
      <w:r>
        <w:t>Как и депутаты Национального собрания, генеральные советники (члены выборных собраний на уровне департаментов) избираются по одномандатной мажоритарной системе в два тура. Доля женщин, избранных в марте 2004 года в обновленных кантонах, составила 10,9 процента (против 8,6 процента в 1998 году). В целом генеральные советы являются наименее феминизированными органами представительной власти во Франции. В результате проведенного в марте 2004 года обновления состава доля женщин в них выросла с 9,4 до 10,4 процента. Среди 101 председателя генерального совета лишь два председателя являются женщинами.</w:t>
      </w:r>
    </w:p>
    <w:p w:rsidR="00000000" w:rsidRDefault="00000000">
      <w:pPr>
        <w:rPr>
          <w:b/>
        </w:rPr>
      </w:pPr>
      <w:r>
        <w:rPr>
          <w:b/>
          <w:lang w:val="en-US"/>
        </w:rPr>
        <w:t>b</w:t>
      </w:r>
      <w:r>
        <w:rPr>
          <w:b/>
        </w:rPr>
        <w:t>)</w:t>
      </w:r>
      <w:r>
        <w:rPr>
          <w:b/>
        </w:rPr>
        <w:tab/>
        <w:t>Региональные выборы</w:t>
      </w:r>
    </w:p>
    <w:p w:rsidR="00000000" w:rsidRDefault="00000000">
      <w:r>
        <w:t>Члены региональных советов избираются голосованием по списку. В законе от 11 апреля 2003 года к ним применено правило обязательного чередования, действующее на выборах в Европейский парламент: в каждый раздел списка поочередно заносятся фамилии кандидатов того или иного пола.</w:t>
      </w:r>
    </w:p>
    <w:p w:rsidR="00000000" w:rsidRDefault="00000000">
      <w:r>
        <w:t>Региональные советы, доля женщин в которых сегодня составляет 47,6 процента (против 27,5 процента в 1998 году), являются наиболее феминизированными представительными органами власти во Франции. Средний показатель представленности женщин на уровне заместителя председателя совета составляет 37,3 процента (против 20 процентов в 1998 году), однако только одна женщина возглавляет совет регионального уровня.</w:t>
      </w:r>
    </w:p>
    <w:p w:rsidR="00000000" w:rsidRDefault="00000000">
      <w:pPr>
        <w:rPr>
          <w:b/>
        </w:rPr>
      </w:pPr>
      <w:r>
        <w:rPr>
          <w:b/>
        </w:rPr>
        <w:t>с)</w:t>
      </w:r>
      <w:r>
        <w:rPr>
          <w:b/>
        </w:rPr>
        <w:tab/>
        <w:t>Выборы членов Сената</w:t>
      </w:r>
    </w:p>
    <w:p w:rsidR="00000000" w:rsidRDefault="00000000">
      <w:r>
        <w:t>Выборы 2004 года касались 127 мест в Сенате. Среди членов Сената, срок полномочий которых истекал, было всего 10 женщин, а в новый состав Сената была избрана 31 женщина. Как и в 2001 году, это увеличение произошло исключительно за счет департаментов, где голосование проходило по пропорциональной системе: улучшение с точки зрения паритета произошло лишь в тех департаментах, в которых применялся предусмотренный законом от 6 июня 2000 года принудительный механизм. По результатам выборов 2004 года среди 331 сенатора было 56 женщин, что составляет 17 процентов.</w:t>
      </w:r>
    </w:p>
    <w:p w:rsidR="00000000" w:rsidRDefault="00000000">
      <w:pPr>
        <w:rPr>
          <w:b/>
        </w:rPr>
      </w:pPr>
      <w:r>
        <w:rPr>
          <w:b/>
        </w:rPr>
        <w:t>d)</w:t>
      </w:r>
      <w:r>
        <w:rPr>
          <w:b/>
        </w:rPr>
        <w:tab/>
        <w:t>Выборы в законодательные органы власти</w:t>
      </w:r>
    </w:p>
    <w:p w:rsidR="00000000" w:rsidRDefault="00000000">
      <w:r>
        <w:t>Несмотря на введение в соответствии с законом от 6 июня 2000 года системы финансового стимулирования, в состав Национального собрания в 2002 году была избрана лишь 71 женщина (12,31 процента), то есть немногим больше, чем в предыдущем составе Собрания, где работали только 63 женщины (10,9 процента).</w:t>
      </w:r>
    </w:p>
    <w:p w:rsidR="00000000" w:rsidRDefault="00000000">
      <w:pPr>
        <w:keepNext/>
        <w:rPr>
          <w:b/>
        </w:rPr>
      </w:pPr>
      <w:r>
        <w:rPr>
          <w:b/>
        </w:rPr>
        <w:t>е)</w:t>
      </w:r>
      <w:r>
        <w:rPr>
          <w:b/>
        </w:rPr>
        <w:tab/>
        <w:t>Выборы в европейские структуры</w:t>
      </w:r>
    </w:p>
    <w:p w:rsidR="00000000" w:rsidRDefault="00000000">
      <w:r>
        <w:t>Хотя предыдущие выборы состоялись до вступления в силу закона о равенстве, доля женщин среди законодателей, чьи полномочия заканчивались на момент проведения выборов, оказалась относительно высокой (40,2 процента), поскольку в 1999 году, не будучи обремененными какими-либо обязательствами, крупные политические партии представили практически паритетные списки. В 2004 году доля женщин среди представителей Франции незначительно возросла (43,6 процента), в то время как в целом в Европейском парламенте это соотношение уменьшилось с 31 до 30,3 процента.</w:t>
      </w:r>
    </w:p>
    <w:p w:rsidR="00000000" w:rsidRDefault="00000000">
      <w:r>
        <w:t>2)</w:t>
      </w:r>
      <w:r>
        <w:tab/>
      </w:r>
      <w:r>
        <w:rPr>
          <w:u w:val="single"/>
        </w:rPr>
        <w:t>Результаты принятия закона от 6 июня 2000 года</w:t>
      </w:r>
    </w:p>
    <w:p w:rsidR="00000000" w:rsidRDefault="00000000">
      <w:pPr>
        <w:ind w:left="567" w:hanging="567"/>
      </w:pPr>
      <w:r>
        <w:rPr>
          <w:b/>
          <w:lang w:val="en-US"/>
        </w:rPr>
        <w:t>a</w:t>
      </w:r>
      <w:r>
        <w:rPr>
          <w:b/>
        </w:rPr>
        <w:t>)</w:t>
      </w:r>
      <w:r>
        <w:rPr>
          <w:b/>
        </w:rPr>
        <w:tab/>
        <w:t xml:space="preserve">Прямой эффект: </w:t>
      </w:r>
      <w:r>
        <w:t xml:space="preserve">прогресс в вопросах обеспечения равенства наблюдался лишь там, где в отношении кандидатов действуют жесткие условия, то есть в органах, избрание в которые проводится по пропорциональной системе на основе партийных списков. </w:t>
      </w:r>
    </w:p>
    <w:p w:rsidR="00000000" w:rsidRDefault="00000000">
      <w:pPr>
        <w:rPr>
          <w:b/>
        </w:rPr>
      </w:pPr>
      <w:r>
        <w:rPr>
          <w:b/>
          <w:lang w:val="en-US"/>
        </w:rPr>
        <w:t>b</w:t>
      </w:r>
      <w:r>
        <w:rPr>
          <w:b/>
        </w:rPr>
        <w:t>)</w:t>
      </w:r>
      <w:r>
        <w:rPr>
          <w:b/>
        </w:rPr>
        <w:tab/>
        <w:t>Косвенные результаты:</w:t>
      </w:r>
    </w:p>
    <w:p w:rsidR="00000000" w:rsidRDefault="00000000">
      <w:pPr>
        <w:ind w:left="567" w:hanging="567"/>
      </w:pPr>
      <w:r>
        <w:t>–</w:t>
      </w:r>
      <w:r>
        <w:tab/>
        <w:t>отныне женщины в политических партиях обладают такими переговорными возможностями, что вернуть их на роли статистов будет гораздо труднее;</w:t>
      </w:r>
    </w:p>
    <w:p w:rsidR="00000000" w:rsidRDefault="00000000">
      <w:r>
        <w:t>–</w:t>
      </w:r>
      <w:r>
        <w:tab/>
        <w:t>закон от 6 июня 2000 года изменил мнение граждан и СМИ о политических институтах;</w:t>
      </w:r>
    </w:p>
    <w:p w:rsidR="00000000" w:rsidRDefault="00000000">
      <w:pPr>
        <w:ind w:left="567" w:hanging="567"/>
      </w:pPr>
      <w:r>
        <w:t>–</w:t>
      </w:r>
      <w:r>
        <w:tab/>
        <w:t>женщины постепенно убеждаются в собственных потенциальных возможностях и все чаще включаются в политическую жизнь.</w:t>
      </w:r>
    </w:p>
    <w:p w:rsidR="00000000" w:rsidRDefault="00000000">
      <w:r>
        <w:t>3)</w:t>
      </w:r>
      <w:r>
        <w:tab/>
      </w:r>
      <w:r>
        <w:rPr>
          <w:u w:val="single"/>
        </w:rPr>
        <w:t>Дальнейшие перспективы</w:t>
      </w:r>
    </w:p>
    <w:p w:rsidR="00000000" w:rsidRDefault="00000000">
      <w:r>
        <w:t>В своей речи 4 января 2006 года по случаю традиционного поздравления прессы Президент Французской Республики высказался в поддержку "введения системы обязательного равного представительства женщин и мужчин в исполнительных структурах коммун с населением свыше 3,5 тыс. жителей, в органах исполнительной власти регионов, а также при назначении представителей в межкомунные структуры".</w:t>
      </w:r>
    </w:p>
    <w:p w:rsidR="00000000" w:rsidRDefault="00000000">
      <w:r>
        <w:t xml:space="preserve">По мнению Президента, следует "также серьезно ужесточить финансовые санкции, которые предусмотрены в отношении политических партий, не соблюдающих требования закона о равенстве, и превратить их в реальный сдерживающий фактор". </w:t>
      </w:r>
    </w:p>
    <w:p w:rsidR="00000000" w:rsidRDefault="00000000">
      <w:r>
        <w:t>В заключение глава государства подчеркнул, что политические партии должны "взять на себя обязательство обеспечить мужчинам и женщинам – иммигрантам возможность выставлять свои кандидатуры на выборах местного и общенационального уровня".</w:t>
      </w:r>
    </w:p>
    <w:p w:rsidR="00000000" w:rsidRDefault="00000000">
      <w:r>
        <w:t>II)</w:t>
      </w:r>
      <w:r>
        <w:tab/>
      </w:r>
      <w:r>
        <w:rPr>
          <w:u w:val="single"/>
        </w:rPr>
        <w:t>Роль женщин в общественном диалоге</w:t>
      </w:r>
    </w:p>
    <w:p w:rsidR="00000000" w:rsidRDefault="00000000">
      <w:pPr>
        <w:rPr>
          <w:b/>
        </w:rPr>
      </w:pPr>
      <w:r>
        <w:rPr>
          <w:b/>
        </w:rPr>
        <w:t>A)</w:t>
      </w:r>
      <w:r>
        <w:rPr>
          <w:b/>
        </w:rPr>
        <w:tab/>
        <w:t>Прюдомальные суды</w:t>
      </w:r>
    </w:p>
    <w:p w:rsidR="00000000" w:rsidRDefault="00000000">
      <w:r>
        <w:t xml:space="preserve">В законе от 9 мая 2001 года, касающемся обеспечения равноправия между мужчинами и женщинами в профессиональной деятельности, предусмотрен механизм достижения сбалансированного представительства женщин и мужчин в прюдомальных судах. Так, например, на выборах 2002 года была поставлена цель снизить на треть разрыв в представленности женщин, включенных в избирательные списки, и их доли в избирательном корпусе. В 2004 году Министерство труда и Министерство по вопросам паритета провели оценку эффективности данного механизма, которая показала, что в ходе всеобщих выборов 2002 года: </w:t>
      </w:r>
    </w:p>
    <w:p w:rsidR="00000000" w:rsidRDefault="00000000">
      <w:r>
        <w:sym w:font="Symbol" w:char="F0B7"/>
      </w:r>
      <w:r>
        <w:tab/>
      </w:r>
      <w:r>
        <w:rPr>
          <w:i/>
        </w:rPr>
        <w:t>В категории трудящихся:</w:t>
      </w:r>
    </w:p>
    <w:p w:rsidR="00000000" w:rsidRDefault="00000000">
      <w:pPr>
        <w:ind w:left="567" w:hanging="567"/>
      </w:pPr>
      <w:r>
        <w:t>–</w:t>
      </w:r>
      <w:r>
        <w:tab/>
        <w:t>женщины составляли 44 процента избирательного корпуса (по сравнению с данными за 1997 год эта доля осталась неизменной);</w:t>
      </w:r>
    </w:p>
    <w:p w:rsidR="00000000" w:rsidRDefault="00000000">
      <w:pPr>
        <w:ind w:left="567" w:hanging="567"/>
      </w:pPr>
      <w:r>
        <w:t>–</w:t>
      </w:r>
      <w:r>
        <w:tab/>
        <w:t>35 процентов кандидатур от профсоюзных организаций составляли женщины (по сравнению с их долей в избирательном корпусе разница составила 20 процентов);</w:t>
      </w:r>
    </w:p>
    <w:p w:rsidR="00000000" w:rsidRDefault="00000000">
      <w:pPr>
        <w:ind w:left="567" w:hanging="567"/>
      </w:pPr>
      <w:r>
        <w:t>–</w:t>
      </w:r>
      <w:r>
        <w:tab/>
        <w:t>29 процентов лиц, занявших выборные должности в 2002 году, были женщинами (+32 процента по сравнению с 1997 годом).</w:t>
      </w:r>
    </w:p>
    <w:p w:rsidR="00000000" w:rsidRDefault="00000000">
      <w:r>
        <w:sym w:font="Symbol" w:char="F0B7"/>
      </w:r>
      <w:r>
        <w:tab/>
      </w:r>
      <w:r>
        <w:rPr>
          <w:i/>
        </w:rPr>
        <w:t>В категории  работодателей:</w:t>
      </w:r>
    </w:p>
    <w:p w:rsidR="00000000" w:rsidRDefault="00000000">
      <w:r>
        <w:t>–</w:t>
      </w:r>
      <w:r>
        <w:tab/>
        <w:t>женщины составляли 28 процентов избирательного корпуса (как и в 1997 году);</w:t>
      </w:r>
    </w:p>
    <w:p w:rsidR="00000000" w:rsidRDefault="00000000">
      <w:pPr>
        <w:ind w:left="567" w:hanging="567"/>
      </w:pPr>
      <w:r>
        <w:t>–</w:t>
      </w:r>
      <w:r>
        <w:tab/>
        <w:t>в списках кандидатов женщины составляли 21 процент, то есть на 20 процентов меньше, чем их доля в избирательном корпусе;</w:t>
      </w:r>
    </w:p>
    <w:p w:rsidR="00000000" w:rsidRDefault="00000000">
      <w:pPr>
        <w:ind w:left="567" w:hanging="567"/>
      </w:pPr>
      <w:r>
        <w:t>–</w:t>
      </w:r>
      <w:r>
        <w:tab/>
        <w:t>среди лиц, занявших выборные должности, доля женщин составила 19 процентов (+27 процентов по сравнению с 1997 годом).</w:t>
      </w:r>
    </w:p>
    <w:p w:rsidR="00000000" w:rsidRDefault="00000000">
      <w:r>
        <w:sym w:font="Symbol" w:char="F0B7"/>
      </w:r>
      <w:r>
        <w:tab/>
      </w:r>
      <w:r>
        <w:rPr>
          <w:i/>
        </w:rPr>
        <w:t>Все категории:</w:t>
      </w:r>
    </w:p>
    <w:p w:rsidR="00000000" w:rsidRDefault="00000000">
      <w:r>
        <w:t>В результате декабрьских выборов 2002 года женщины составили около четверти членов прюдомальных судов, включая категории трудящихся и работодателей. Представленность женщин в прюдомальных судах, таким образом, выросла в результате последних выборов на 31 процент; в 1997 году женщины составляли лишь пятую часть членов прюдомальных судов. При рассмотрении соотношения числа лиц, внесенных в списки кандидатов, и числа избранных оказалось, что увеличение доли женщин в категории трудящихся замедлилось из-за неблагоприятного распределения мест между секциями. Так, например, в секциях, в которые записалось значительное число женщин, оказалось мало вакантных мест.</w:t>
      </w:r>
    </w:p>
    <w:p w:rsidR="00000000" w:rsidRDefault="00000000">
      <w:pPr>
        <w:rPr>
          <w:b/>
        </w:rPr>
      </w:pPr>
      <w:r>
        <w:rPr>
          <w:b/>
        </w:rPr>
        <w:t>В)</w:t>
      </w:r>
      <w:r>
        <w:rPr>
          <w:b/>
        </w:rPr>
        <w:tab/>
        <w:t>Представительные органы трудящихся:</w:t>
      </w:r>
    </w:p>
    <w:p w:rsidR="00000000" w:rsidRDefault="00000000">
      <w:r>
        <w:t>Ведение переговоров о равенстве в профессиональной деятельности и на предприятии должно сопровождаться повышением доли женщин, в частности, в представительных органах трудящихся. Закон от 9 мая 2001 года, касающийся равенства в профессиональной деятельности, отводит отдельное место переговорам и инициативам предприятий и профсоюзных организаций, направленным на обеспечение лучшей представленности женщин на выборах делегатов от трудящихся и членов комитета предприятия. Профсоюзным организациям предлагается определить пути и средства достижения этой цели в ходе подготовки согласительного протокола по выборам.</w:t>
      </w:r>
    </w:p>
    <w:p w:rsidR="00000000" w:rsidRDefault="00000000">
      <w:r>
        <w:t>Отмечено, что в представительных органах трудящихся представленность женщин обратно пропорциональна объему политических полномочий конкретного органа: в то время как в комитетах предприятий и составе делегаций от трудящихся женщины составляют 32 процента, среди делегатов от трудящихся – их 28 процентов, а среди представителей профсоюзных организаций – всего 21 процент. Отличия существуют даже в функциях, выполняемых мужчинами и женщинами в комитетах предприятий: несмотря на то что в 40 процентах случаев обязанности секретаря комитета предприятия выполняют женщины, такая ситуация чаще всего характерна для небольших участков работы с ограниченными или недостаточно мобилизованными средствами для выполнения задач, слабой поддержкой профсоюзов и отсутствием других представительных органов персонала. Основная деятельность этих комитетов сосредоточена на осуществлении мероприятий социального и культурного характера.</w:t>
      </w:r>
    </w:p>
    <w:p w:rsidR="00000000" w:rsidRDefault="00000000">
      <w:r>
        <w:t>III)</w:t>
      </w:r>
      <w:r>
        <w:tab/>
      </w:r>
      <w:r>
        <w:rPr>
          <w:u w:val="single"/>
        </w:rPr>
        <w:t>Продвижение женщин на государственной службе</w:t>
      </w:r>
    </w:p>
    <w:p w:rsidR="00000000" w:rsidRDefault="00000000">
      <w:r>
        <w:t>Несмотря на то что к концу 2003 года 56 процентов служащих государственной гражданской службы составляли женщины, их доля на высоких государственных должностях была значительно ниже, а увеличение этой доли происходило медленно (в 2000 году – на 12 процентов, в 2002 – на 13 процентов, в конце 2003 года – на 14 процентов).</w:t>
      </w:r>
    </w:p>
    <w:p w:rsidR="00000000" w:rsidRDefault="00000000">
      <w:r>
        <w:t>В связи с этим в марте 2004 года министр государственной администрации решил дать новый импульс механизму "многолетних планов улучшения доступа женщин к высшим должностям государственной службы". Он обратился к министерствам с просьбой представить итоги осуществления этих планов и принять действенные меры, направленные на достижение поставленных в них целей. Средства и методы, которые предполагалось использовать, могли быть различными по характеру: проведение исследований по вопросам равноправия, мероприятия, направленные на информирование и подготовку членов конкурсных комиссий или работников руководящего звена, внесение изменений в уставные документы, внедрение максимально открытой процедуры назначения на высшие должности.</w:t>
      </w:r>
    </w:p>
    <w:p w:rsidR="00000000" w:rsidRDefault="00000000">
      <w:r>
        <w:t>Желательно также, чтобы правила, касающиеся географической мобильности, могли в некоторых случаях применяться с определенной степенью гибкости и чтобы сотрудникам оказывалось содействие в вопросах их обустройства, поиска жилья или работы для их супруга.</w:t>
      </w:r>
    </w:p>
    <w:p w:rsidR="00000000" w:rsidRDefault="00000000">
      <w:r>
        <w:t>Наконец, принятие схем эффективного использования рабочего времени руководящих работников способствует лучшей организации труда, лучшему совмещению семейной жизни и профессиональной деятельности.</w:t>
      </w:r>
    </w:p>
    <w:p w:rsidR="00000000" w:rsidRDefault="00000000">
      <w:r>
        <w:t>IV)</w:t>
      </w:r>
      <w:r>
        <w:tab/>
      </w:r>
      <w:r>
        <w:rPr>
          <w:u w:val="single"/>
        </w:rPr>
        <w:t>Участие женщин в общественной жизни</w:t>
      </w:r>
    </w:p>
    <w:p w:rsidR="00000000" w:rsidRDefault="00000000">
      <w:r>
        <w:t>В секторе общественных организаций сложилась ситуация, аналогичная той, которая наблюдается на предприятиях и на государственной службе: низкая представленность женщин на уровне директивных должностей. Среди женщин, участвующих в деятельности общественных организаций, только 14 процентов входят в состав руководства организаций, тогда как доля мужчин составляет 20 процентов. На 10 руководителей приходится только четыре женщины. То же наблюдается в общественных организациях, большинство членов которых – женщины: нередко руководителями в них являются мужчины. Исключение составляют ассоциации родителей учащихся.</w:t>
      </w:r>
    </w:p>
    <w:p w:rsidR="00000000" w:rsidRDefault="00000000">
      <w:r>
        <w:t>В этой ситуации правительство способствовало более сбалансированному распределению ответственных должностей между мужчинами и женщинами при соблюдении принципа свободы выбора организационной структуры общественной организации:</w:t>
      </w:r>
    </w:p>
    <w:p w:rsidR="00000000" w:rsidRDefault="00000000">
      <w:pPr>
        <w:spacing w:after="120"/>
        <w:ind w:left="567" w:hanging="567"/>
      </w:pPr>
      <w:r>
        <w:t>–</w:t>
      </w:r>
      <w:r>
        <w:tab/>
        <w:t>в 2002 году были проведены два семинара по темам: "Распределение полномочий и ответственности в общественных организациях" и "Разумное совмещение профессиональной деятельности и семейной жизни, профессиональной деятельности и общественной работы";</w:t>
      </w:r>
    </w:p>
    <w:p w:rsidR="00000000" w:rsidRDefault="00000000">
      <w:pPr>
        <w:spacing w:after="120"/>
        <w:ind w:left="567" w:hanging="567"/>
      </w:pPr>
      <w:r>
        <w:t>–</w:t>
      </w:r>
      <w:r>
        <w:tab/>
        <w:t>постоянная конференция по координации деятельности общественных организаций, объединяющая около 400 тыс. общественных организаций, приняла участие в подписании Хартии равенства между мужчинами и женщинами от 8 марта 2004 года, после одобрения документа о взаимных обязательствах по улучшению доступа к ответственным должностям;</w:t>
      </w:r>
    </w:p>
    <w:p w:rsidR="00000000" w:rsidRDefault="00000000">
      <w:pPr>
        <w:spacing w:after="120"/>
        <w:ind w:left="567" w:hanging="567"/>
      </w:pPr>
      <w:r>
        <w:t>–</w:t>
      </w:r>
      <w:r>
        <w:tab/>
        <w:t>в 2005 году одна общественная организация во взаимодействии со Службой по правам женщин и вопросам равенства подготовила экспериментальный выпуск методического пособия по вопросам равного доступа женщин и мужчин к руководящим должностям в общественных организациях.</w:t>
      </w:r>
    </w:p>
    <w:p w:rsidR="00000000" w:rsidRDefault="00000000">
      <w:pPr>
        <w:jc w:val="center"/>
        <w:rPr>
          <w:caps/>
        </w:rPr>
      </w:pPr>
      <w:r>
        <w:rPr>
          <w:caps/>
        </w:rPr>
        <w:t>Статья 8</w:t>
      </w:r>
    </w:p>
    <w:p w:rsidR="00000000" w:rsidRDefault="00000000">
      <w:pPr>
        <w:jc w:val="center"/>
        <w:rPr>
          <w:i/>
        </w:rPr>
      </w:pPr>
      <w:r>
        <w:rPr>
          <w:i/>
        </w:rPr>
        <w:t>Представленность на международном уровне</w:t>
      </w:r>
    </w:p>
    <w:p w:rsidR="00000000" w:rsidRDefault="00000000">
      <w:r>
        <w:t>I)</w:t>
      </w:r>
      <w:r>
        <w:tab/>
      </w:r>
      <w:r>
        <w:rPr>
          <w:u w:val="single"/>
        </w:rPr>
        <w:t>Женщины на дипломатической службе Франции</w:t>
      </w:r>
    </w:p>
    <w:p w:rsidR="00000000" w:rsidRDefault="00000000">
      <w:r>
        <w:t>С правовой точки зрения не существует каких-либо форм дискриминации, которые препятствовали бы французским женщинам представлять свое правительство на международном уровне или участвовать в работе международных организаций. Вместе с тем, несмотря на ощутимый прогресс, доля женщин на этих должностях по-прежнему явно ниже доли мужчин.</w:t>
      </w:r>
    </w:p>
    <w:p w:rsidR="00000000" w:rsidRDefault="00000000">
      <w:r>
        <w:t>В 2001 году Министерство иностранных дел приняло многолетний план улучшения доступа женщин к высшим должностям. Цель плана состоит в том, чтобы добиться большего соответствия между должностями, которые женщины занимают фактически, и тем потенциалом, которым обладают женщины, отвечающие необходимым для замещения высших должностей критериям. Новый многолетний план разработан на период с 2004 по 2007 год.</w:t>
      </w:r>
    </w:p>
    <w:p w:rsidR="00000000" w:rsidRDefault="00000000">
      <w:r>
        <w:t>В настоящее время в кадровом составе дипломатической службы Франции доля женщин увеличивается среди служащих среднего руководящего звена. Что касается высших должностей, то доля женщин, работающих в Париже и за рубежом, свидетельствует о наличии дисбаланса, несмотря на позитивные изменения последних лет: 20 процентов женщин занимают ответственные должности в центральном аппарате, в том числе 3 должности уровня руководителя, среди которых должность директора Управления международных организаций и несколько должностей заместителя директора в политических управлениях (в частности, в управлениях Азии и европейского сотрудничества).</w:t>
      </w:r>
    </w:p>
    <w:p w:rsidR="00000000" w:rsidRDefault="00000000">
      <w:r>
        <w:t>Вместе с тем недавно правительство назначило женщину на должность посла по социальным вопросам и вопросам равенства в международных отношениях. Это назначение свидетельствует о приверженности Франции политике расширения прав женщин в мире.</w:t>
      </w:r>
    </w:p>
    <w:p w:rsidR="00000000" w:rsidRDefault="00000000">
      <w:r>
        <w:t>На ответственных должностях за рубежом работают 10,2 процента женщин: 19 женщин работают в качестве послов (на 186 посольств и постоянных представительств за рубежом). В то же время ни одна из них не работает в крупной столице или представительстве при важной международной организации. 10 женщин являются генеральными консулами или консулами (на 96 постов).</w:t>
      </w:r>
    </w:p>
    <w:p w:rsidR="00000000" w:rsidRDefault="00000000">
      <w:r>
        <w:t>Еще меньше женщин возглавляют дипломатические миссии при международных организациях (3 из 26). Вместе с тем женщины лучше представлены на должностях среднего звена (комиссии, независимые эксперты, работающие в комитетах по конвенциям, вспомогательных органах Экономического и Социального Совета). В Организации Объединенных Наций число женщин, работающих на административных должностях, превышает число работающих на подобных должностях мужчин (175 женщин и 157 мужчин).</w:t>
      </w:r>
    </w:p>
    <w:p w:rsidR="00000000" w:rsidRDefault="00000000">
      <w:r>
        <w:t>В международном секретариате Организации Североатлантического договора (НАТО) женщины составляют 37 процентов от общего числа международных сотрудников от Франции, работающих на административных должностях. К примеру, заместитель постоянного представителя Франции при НАТО – женщина.</w:t>
      </w:r>
    </w:p>
    <w:p w:rsidR="00000000" w:rsidRDefault="00000000">
      <w:pPr>
        <w:ind w:left="567" w:hanging="567"/>
      </w:pPr>
      <w:r>
        <w:t>II)</w:t>
      </w:r>
      <w:r>
        <w:tab/>
      </w:r>
      <w:r>
        <w:rPr>
          <w:u w:val="single"/>
        </w:rPr>
        <w:t>Участие в международных усилиях по расширению прав женщин и поощрению гендерного равенства</w:t>
      </w:r>
    </w:p>
    <w:p w:rsidR="00000000" w:rsidRDefault="00000000">
      <w:r>
        <w:t>Международная политика Франции полностью укладывается в русло усилий, предпринимаемых для подтверждения обязательств, взятых на себя участниками четвертой Всемирной конференции по положению женщин (Пекин, 1995 год), Декларации тысячелетия и Итогового документа Всемирного саммита в сентябре 2005 года.</w:t>
      </w:r>
    </w:p>
    <w:p w:rsidR="00000000" w:rsidRDefault="00000000">
      <w:pPr>
        <w:rPr>
          <w:b/>
        </w:rPr>
      </w:pPr>
      <w:r>
        <w:rPr>
          <w:b/>
        </w:rPr>
        <w:t>А)</w:t>
      </w:r>
      <w:r>
        <w:rPr>
          <w:b/>
        </w:rPr>
        <w:tab/>
        <w:t>Создание сети под названием "Гендерный фактор в действии"</w:t>
      </w:r>
    </w:p>
    <w:p w:rsidR="00000000" w:rsidRDefault="00000000">
      <w:r>
        <w:t>Франция считает, что инвестиции в деятельность по сокращению неравенства между мужчинами и женщинами и увеличению представленности женщин в органах власти являются определяющим фактором улучшения социально-экономического и политического положения развивающихся стран, способным в перспективе обеспечить эффективное и устойчивое развитие. Вот почему Министерство иностранных дел Франции стремится к тому, чтобы гендерные вопросы в большей степени принимались во внимание при разработке, осуществлении и оценке проектов в области развития.</w:t>
      </w:r>
    </w:p>
    <w:p w:rsidR="00000000" w:rsidRDefault="00000000">
      <w:pPr>
        <w:spacing w:after="120"/>
      </w:pPr>
      <w:r>
        <w:t>В связи с этим Министерство поддерживает деятельность сети под названием "Гендерный фактор в действии" и веб-сайт http://genreenactjon.net/</w:t>
      </w:r>
      <w:r>
        <w:rPr>
          <w:i/>
        </w:rPr>
        <w:t xml:space="preserve">. </w:t>
      </w:r>
      <w:r>
        <w:t>В задачи сети входит:</w:t>
      </w:r>
    </w:p>
    <w:p w:rsidR="00000000" w:rsidRDefault="00000000">
      <w:pPr>
        <w:spacing w:after="120"/>
        <w:ind w:left="567" w:hanging="567"/>
      </w:pPr>
      <w:r>
        <w:t>–</w:t>
      </w:r>
      <w:r>
        <w:tab/>
        <w:t>осуществление научного мониторинга, позволяющего регулярно актуализировать информацию по теме "Гендерные вопросы и развитие", и планирование учебных мероприятий, направленных на более эффективный учет гендерных аспектов в политике и деятельности, связанных с содействием развитию;</w:t>
      </w:r>
    </w:p>
    <w:p w:rsidR="00000000" w:rsidRDefault="00000000">
      <w:pPr>
        <w:spacing w:after="120"/>
      </w:pPr>
      <w:r>
        <w:t>–</w:t>
      </w:r>
      <w:r>
        <w:tab/>
        <w:t>ответные меры в связи с разовыми запросами на оказание экспертной помощи;</w:t>
      </w:r>
    </w:p>
    <w:p w:rsidR="00000000" w:rsidRDefault="00000000">
      <w:r>
        <w:t>–</w:t>
      </w:r>
      <w:r>
        <w:tab/>
        <w:t>популяризация опыта Франции на международном уровне.</w:t>
      </w:r>
    </w:p>
    <w:p w:rsidR="00000000" w:rsidRDefault="00000000">
      <w:r>
        <w:t>Эта сеть, работающая на базе Центра по изучению Черной Африки (CEAN) в Бордо, объединяет усилия исследователей</w:t>
      </w:r>
      <w:r>
        <w:rPr>
          <w:rStyle w:val="FootnoteReference"/>
          <w:color w:val="000000"/>
        </w:rPr>
        <w:footnoteReference w:id="11"/>
      </w:r>
      <w:r>
        <w:t>, доноров</w:t>
      </w:r>
      <w:r>
        <w:rPr>
          <w:rStyle w:val="FootnoteReference"/>
          <w:color w:val="000000"/>
        </w:rPr>
        <w:footnoteReference w:id="12"/>
      </w:r>
      <w:r>
        <w:t xml:space="preserve"> и практиков в области развития</w:t>
      </w:r>
      <w:r>
        <w:rPr>
          <w:rStyle w:val="FootnoteReference"/>
          <w:color w:val="000000"/>
        </w:rPr>
        <w:footnoteReference w:id="13"/>
      </w:r>
      <w:r>
        <w:t>. В целях поддержки этой деятельности общественным организациям, занимающимся вопросами прав женщин и развития, и непосредственно Центру была оказана финансовая поддержка.</w:t>
      </w:r>
    </w:p>
    <w:p w:rsidR="00000000" w:rsidRDefault="00000000">
      <w:pPr>
        <w:ind w:left="567" w:hanging="567"/>
        <w:rPr>
          <w:b/>
        </w:rPr>
      </w:pPr>
      <w:r>
        <w:rPr>
          <w:b/>
        </w:rPr>
        <w:t>В)</w:t>
      </w:r>
      <w:r>
        <w:rPr>
          <w:b/>
        </w:rPr>
        <w:tab/>
        <w:t>Активное сотрудничество с Организацией Объединенных Наций в сфере расширения прав женщин и гендерного равенства</w:t>
      </w:r>
    </w:p>
    <w:p w:rsidR="00000000" w:rsidRDefault="00000000">
      <w:r>
        <w:t>Осуществление решений, принятых в ходе состоявшихся в последнее десятилетие всемирных конференций по правам женщин (Пекин, 1995 год, Нью-Йорк, 2000 год), а также форумов по проблемам народонаселения и развития (Каир, 1994 год), по правам ребенка (Нью-Йорк, 2001 год) и борьбе со СПИДом (Нью-Йорк, 2000 год), является предметом постоянной заботы правительства Франции, выражающейся в активном сотрудничестве с учреждениями Организации Объединенных Наций.</w:t>
      </w:r>
    </w:p>
    <w:p w:rsidR="00000000" w:rsidRDefault="00000000">
      <w:r>
        <w:t>1)</w:t>
      </w:r>
      <w:r>
        <w:tab/>
      </w:r>
      <w:r>
        <w:rPr>
          <w:u w:val="single"/>
        </w:rPr>
        <w:t>Укрепление сотрудничества с Фондом Организации Объединенных Наций по народонаселению (ЮНФПА)</w:t>
      </w:r>
      <w:r>
        <w:t xml:space="preserve"> и поддержка деятельности в области охраны сексуального и репродуктивного здоровья. Это сотрудничество заключается прежде всего в осуществлении научных обменов, направленных на оказание развивающимся странам содействия в создании собственных инструментов и баз демографических данных. Франция финансирует, в частности, деятельность сети "Население", руководимой Французским исследовательским центром по проблемам народонаселения и развития (СЕПЕД), основная задача которого состоит в координации научно-исследовательской работы и мероприятий, осуществляемых в области статистики населения в партнерстве с исследовательскими учреждениями стран Юга.</w:t>
      </w:r>
    </w:p>
    <w:p w:rsidR="00000000" w:rsidRDefault="00000000">
      <w:r>
        <w:t>Это сотрудничество приобрело новое измерение после подписания в сентябре 1999 года соглашения между ЮНФПА и правительством Франции. В 2002–2003 годах в рамках реализации Каирской программы действий было осуществлено два совместных проекта на Мадагаскаре и в Кот-д’Ивуаре.</w:t>
      </w:r>
    </w:p>
    <w:p w:rsidR="00000000" w:rsidRDefault="00000000">
      <w:r>
        <w:t>Кроме того, в Марокко (район города Марракеш) осуществлен проект по созданию службы приема и оказания помощи женщинам, ставшим жертвами насилия.</w:t>
      </w:r>
    </w:p>
    <w:p w:rsidR="00000000" w:rsidRDefault="00000000">
      <w:r>
        <w:t>Наконец, следует отметить, что с 2003 года Франция наращивает объемы добровольных взносов в ЮНФПА.</w:t>
      </w:r>
    </w:p>
    <w:p w:rsidR="00000000" w:rsidRDefault="00000000">
      <w:r>
        <w:t xml:space="preserve">Наряду с этим Франция профинансировала двусторонний проект под названием "Улучшение качества и повышение доступности неотложной акушерской помощи" (AQUASOU). Цель </w:t>
      </w:r>
      <w:r>
        <w:br/>
        <w:t>проекта – развитие в африканских странах службы акушерско-гинекологической помощи и улучшение материнского здоровья.</w:t>
      </w:r>
    </w:p>
    <w:p w:rsidR="00000000" w:rsidRDefault="00000000">
      <w:r>
        <w:t>2)</w:t>
      </w:r>
      <w:r>
        <w:tab/>
      </w:r>
      <w:r>
        <w:rPr>
          <w:u w:val="single"/>
        </w:rPr>
        <w:t>Партнерство с Фондом Организации Объединенных Наций для развития в интересах женщин (ЮНИФЕМ)</w:t>
      </w:r>
      <w:r>
        <w:t xml:space="preserve"> дает возможность финансировать проекты в странах Магриба и Машрек</w:t>
      </w:r>
      <w:r>
        <w:rPr>
          <w:rStyle w:val="FootnoteReference"/>
          <w:color w:val="000000"/>
        </w:rPr>
        <w:footnoteReference w:id="14"/>
      </w:r>
      <w:r>
        <w:t>. Так, к примеру, финансируется трехлетний проект, направленный на расширение прав женщин и семьи. Франция поддерживает также ряд проектов и программ, призванных улучшить социально-экономическое положение женщин (образование для девочек, микрокредиты, социальная защита).</w:t>
      </w:r>
    </w:p>
    <w:p w:rsidR="00000000" w:rsidRDefault="00000000">
      <w:r>
        <w:t>3)</w:t>
      </w:r>
      <w:r>
        <w:tab/>
      </w:r>
      <w:r>
        <w:rPr>
          <w:u w:val="single"/>
        </w:rPr>
        <w:t>Вклад в подготовку обзора Организации Объединенных Наций по проблемам насилия в отношении женщин:</w:t>
      </w:r>
      <w:r>
        <w:t xml:space="preserve"> Франция является страной, оказывающей существенную финансовую поддержку для осуществления обзора по проблемам насилия в отношении женщин, подготовка которого ведется в соответствии с решением Генеральной Ассамблеи Организации Объединенных Наций. В этом обзоре будут представлены глобальные статистические данные, касающиеся насилия в отношении женщин, проанализированы причины и последствия этого явления, а также даны рекомендации, касающиеся средств предупреждения насилия и борьбы с ним. Обзор должен быть представлен Генеральной Ассамблее осенью 2006 года.</w:t>
      </w:r>
    </w:p>
    <w:p w:rsidR="00000000" w:rsidRDefault="00000000">
      <w:r>
        <w:t>В целях подготовки данного обзора Франция совместно с Организацией Объединенных Наций и Организацией по безопасности и сотрудничеству в Европе (ОБСЕ) провела в апреле этого года в Париже международный симпозиум по проблемам насилия в отношении женщин, по результатам работы которого были сформулированы конкретные предложения.</w:t>
      </w:r>
    </w:p>
    <w:p w:rsidR="00000000" w:rsidRDefault="00000000">
      <w:r>
        <w:t>4)</w:t>
      </w:r>
      <w:r>
        <w:tab/>
      </w:r>
      <w:r>
        <w:rPr>
          <w:u w:val="single"/>
        </w:rPr>
        <w:t>Работа в Совете Безопасности по вопросам положения детей, особенно девочек, в вооруженных конфликтах</w:t>
      </w:r>
      <w:r>
        <w:t>. Французская дипломатия ведет активную борьбу с вербовкой детей в армию в условиях вооруженных конфликтов. Франция способствовала принятию Советом Безопасности ряда резолюций, направленных на активизацию международных усилий по демобилизации, реадаптации к мирной жизни детей-солдат. Франция возглавляет (сроком на один год) рабочую группу Совета Безопасности по вопросу о положении детей и вооруженных конфликтах. Предпринимаемые усилия должны привести к созданию механизма публичного осуждения лиц, ответственных за вербовку детей-солдат (эта работа ведется в тесном партнерстве с Детским фондом Организации Объединенных Наций). В феврале 2003 года Франция ратифицировала Факультативный протокол к Конвенции о правах ребенка, касающийся участия детей в военных конфликтах. Франция поддержала принятие Европейского плана действий в этой области. Наряду с этим Франция финансирует подготовку обзора о положении девочек в условиях вооруженных конфликтов, учитывая, что девочки также привлекаются для службы в армии и становятся первыми жертвами насилия, связанного с вооруженными конфликтами.</w:t>
      </w:r>
    </w:p>
    <w:p w:rsidR="00000000" w:rsidRDefault="00000000">
      <w:r>
        <w:t>5)</w:t>
      </w:r>
      <w:r>
        <w:tab/>
      </w:r>
      <w:r>
        <w:rPr>
          <w:u w:val="single"/>
        </w:rPr>
        <w:t>Сотрудничество с Детским фондом Организации Объединенных Наций (ЮНИСЕФ) в сфере образования и прав девочек</w:t>
      </w:r>
      <w:r>
        <w:t>. Франция является одним из основных доноров ЮНИСЕФ и членом Исполнительного совета Фонда. Она полностью разделяет пять приоритетных направлений деятельности Фонда, включенных в среднесрочный стратегический план действий: профилактика и борьба с ВИЧ/СПИДом, вакцинация, образование для девочек, проблемы раннего детства, защита детей, оказавшихся в трудном положении. Помимо общей работы, касающейся детей в условиях вооруженных конфликтов, Франция поддерживает усилия, направленные на обеспечение образования для девочек в развивающихся странах. Так, в 2002 году в Афганистане за несколько недель более 3 миллионов детей, в том числе 1 миллион девочек, возобновили учебу в школе.</w:t>
      </w:r>
    </w:p>
    <w:p w:rsidR="00000000" w:rsidRDefault="00000000">
      <w:r>
        <w:t>6)</w:t>
      </w:r>
      <w:r>
        <w:tab/>
      </w:r>
      <w:r>
        <w:rPr>
          <w:u w:val="single"/>
        </w:rPr>
        <w:t>Совместно с Международной организацией труда осуществляется программа</w:t>
      </w:r>
      <w:r>
        <w:t xml:space="preserve"> улучшения социальной защиты женщин, работающих в неформальном секторе экономики в Буркина-Фасо, Эфиопии и Вьетнаме.</w:t>
      </w:r>
    </w:p>
    <w:p w:rsidR="00000000" w:rsidRDefault="00000000">
      <w:pPr>
        <w:keepNext/>
        <w:spacing w:before="120" w:after="120"/>
        <w:jc w:val="center"/>
        <w:rPr>
          <w:caps/>
        </w:rPr>
      </w:pPr>
      <w:r>
        <w:rPr>
          <w:caps/>
        </w:rPr>
        <w:t>Статья 9</w:t>
      </w:r>
    </w:p>
    <w:p w:rsidR="00000000" w:rsidRDefault="00000000">
      <w:pPr>
        <w:keepNext/>
        <w:jc w:val="center"/>
        <w:rPr>
          <w:i/>
        </w:rPr>
      </w:pPr>
      <w:r>
        <w:rPr>
          <w:i/>
        </w:rPr>
        <w:t>Гражданство</w:t>
      </w:r>
    </w:p>
    <w:p w:rsidR="00000000" w:rsidRDefault="00000000">
      <w:r>
        <w:t>Со времени представления предыдущего доклада не произошло никаких изменений.</w:t>
      </w:r>
    </w:p>
    <w:p w:rsidR="00000000" w:rsidRDefault="00000000">
      <w:r>
        <w:t>Во французском законодательстве принцип равноправия мужчин и женщин охватывает как приобретение, так и утрату или сохранение гражданства.</w:t>
      </w:r>
    </w:p>
    <w:p w:rsidR="00000000" w:rsidRDefault="00000000">
      <w:pPr>
        <w:keepNext/>
        <w:spacing w:before="120" w:after="120"/>
        <w:jc w:val="center"/>
        <w:rPr>
          <w:caps/>
        </w:rPr>
      </w:pPr>
      <w:r>
        <w:rPr>
          <w:caps/>
        </w:rPr>
        <w:t>Статья 10</w:t>
      </w:r>
    </w:p>
    <w:p w:rsidR="00000000" w:rsidRDefault="00000000">
      <w:pPr>
        <w:jc w:val="center"/>
        <w:rPr>
          <w:i/>
        </w:rPr>
      </w:pPr>
      <w:r>
        <w:rPr>
          <w:i/>
        </w:rPr>
        <w:t>Образование</w:t>
      </w:r>
    </w:p>
    <w:p w:rsidR="00000000" w:rsidRDefault="00000000">
      <w:pPr>
        <w:rPr>
          <w:u w:val="single"/>
        </w:rPr>
      </w:pPr>
      <w:r>
        <w:t>Содействие равенству возможностей девочек и мальчиков, женщин и мужчин в области образования является одним из национальных приоритетов. С февраля 2000 года эта задача реализуется в рамках соглашения, подписанного министерствами народного просвещения, высшего образования и научных исследований, сельского хозяйства, занятости, по вопросам равенства, оснащения, культуры и юстиции. В этом соглашении установлены цели, которые предусматривают осуществление регулярного контроля. Мероприятия осуществляются по трем направлениям:</w:t>
      </w:r>
    </w:p>
    <w:p w:rsidR="00000000" w:rsidRDefault="00000000">
      <w:pPr>
        <w:ind w:left="567" w:hanging="567"/>
      </w:pPr>
      <w:r>
        <w:t>–</w:t>
      </w:r>
      <w:r>
        <w:tab/>
        <w:t>улучшение школьной и профессиональной ориентации девочек и мальчиков и адаптация возможностей в области первоначальной профессиональной подготовки с учетом перспектив трудоустройства;</w:t>
      </w:r>
    </w:p>
    <w:p w:rsidR="00000000" w:rsidRDefault="00000000">
      <w:r>
        <w:t>–</w:t>
      </w:r>
      <w:r>
        <w:tab/>
        <w:t>укрепление средств содействия обеспечению равенства и подготовки заинтересованных лиц;</w:t>
      </w:r>
    </w:p>
    <w:p w:rsidR="00000000" w:rsidRDefault="00000000">
      <w:r>
        <w:t>–</w:t>
      </w:r>
      <w:r>
        <w:tab/>
        <w:t>поощрение образования, опирающегося на взаимное уважение представителей обоих полов.</w:t>
      </w:r>
    </w:p>
    <w:p w:rsidR="00000000" w:rsidRDefault="00000000">
      <w:pPr>
        <w:ind w:left="567" w:hanging="567"/>
        <w:rPr>
          <w:snapToGrid w:val="0"/>
          <w:u w:val="single"/>
        </w:rPr>
      </w:pPr>
      <w:r>
        <w:rPr>
          <w:snapToGrid w:val="0"/>
        </w:rPr>
        <w:t>I)</w:t>
      </w:r>
      <w:r>
        <w:rPr>
          <w:snapToGrid w:val="0"/>
        </w:rPr>
        <w:tab/>
      </w:r>
      <w:r>
        <w:rPr>
          <w:snapToGrid w:val="0"/>
          <w:u w:val="single"/>
        </w:rPr>
        <w:t>У</w:t>
      </w:r>
      <w:r>
        <w:rPr>
          <w:u w:val="single"/>
        </w:rPr>
        <w:t>лучшение школьной и профессиональной ориентации девочек и мальчиков и адаптация возможностей в области первоначальной подготовки с учетом перспектив трудоустройства при одновременном создании благоприятных условий для девушек в области научно-технической подготовки</w:t>
      </w:r>
    </w:p>
    <w:p w:rsidR="00000000" w:rsidRDefault="00000000">
      <w:r>
        <w:t>Диверсификация возможностей в профессиональной ориентации девочек является основным средством эффективного вовлечения женщин в профессиональную деятельность на рынке занятости и более сбалансированного участия женщин и мужчин в экономической жизни.</w:t>
      </w:r>
    </w:p>
    <w:p w:rsidR="00000000" w:rsidRDefault="00000000">
      <w:pPr>
        <w:rPr>
          <w:snapToGrid w:val="0"/>
        </w:rPr>
      </w:pPr>
      <w:r>
        <w:rPr>
          <w:snapToGrid w:val="0"/>
        </w:rPr>
        <w:t xml:space="preserve">Следует добиваться того, чтобы </w:t>
      </w:r>
      <w:r>
        <w:t>школьная и профессиональная ориентация больше не увязывалась с полом учащегося и со склонностями, признаваемыми за тем или иным полом в традиционных социальных схемах, а определялась устремлениями и компетентностью учащегося. Это, в частности, предполагает предоставление общей информации на протяжении всего периода обучения в школе о различных этапах карьеры, профессиях и положении в области занятости, в частности, о прибыльных областях, традиционно предназначаемых для мальчиков.</w:t>
      </w:r>
    </w:p>
    <w:p w:rsidR="00000000" w:rsidRDefault="00000000">
      <w:r>
        <w:rPr>
          <w:snapToGrid w:val="0"/>
        </w:rPr>
        <w:t xml:space="preserve">С этой целью Министерство народного просвещения, в частности, провело две компании: одну – с целью расширения доступа к профессиональному образованию, другую – с целью содействия доступу девочек к научно-техническим дисциплинам. При этом была поставлена цель увеличить долю девочек в выпускных классах, занимающихся научно-техническими дисциплинами, с </w:t>
      </w:r>
      <w:r>
        <w:t>37,5 процента в 2004 году до 45 процентов в 2010 году.</w:t>
      </w:r>
    </w:p>
    <w:p w:rsidR="00000000" w:rsidRDefault="00000000">
      <w:pPr>
        <w:rPr>
          <w:snapToGrid w:val="0"/>
        </w:rPr>
      </w:pPr>
      <w:r>
        <w:t>Управление высшего образования ежегодно собирает предоставляемые университетами статистические данные гендерного характера о распределении по дисциплинам и по циклам студентов, преподавателей и должностных лиц, а также о представленности женщин на руководящих должностях в этих учебных заведениях.</w:t>
      </w:r>
    </w:p>
    <w:p w:rsidR="00000000" w:rsidRDefault="00000000">
      <w:pPr>
        <w:rPr>
          <w:snapToGrid w:val="0"/>
        </w:rPr>
      </w:pPr>
      <w:r>
        <w:rPr>
          <w:snapToGrid w:val="0"/>
        </w:rPr>
        <w:t>Министерство научных исследований разработало программу действий, цель которой – улучшение информирования девочек и их ориентация на получение высшего образования и облегчение их доступа к средствам, выделяемым на научные исследования на предприятиях. Министерство по вопросам паритета и Национальный центр научных исследований подписали рамочное соглашение о сотрудничестве, направленное на активизацию деятельности в области паритета и места женщин в научном мире, в частности, в регионах.</w:t>
      </w:r>
    </w:p>
    <w:p w:rsidR="00000000" w:rsidRDefault="00000000">
      <w:pPr>
        <w:rPr>
          <w:rFonts w:ascii="TimesNewRoman" w:hAnsi="TimesNewRoman"/>
        </w:rPr>
      </w:pPr>
      <w:r>
        <w:rPr>
          <w:rFonts w:ascii="TimesNewRoman" w:hAnsi="TimesNewRoman"/>
        </w:rPr>
        <w:t>Министерство сельского хозяйства разработало многолетнюю программу</w:t>
      </w:r>
      <w:r>
        <w:t>, направленную на обеспечение</w:t>
      </w:r>
      <w:r>
        <w:rPr>
          <w:rFonts w:ascii="TimesNewRoman" w:hAnsi="TimesNewRoman"/>
        </w:rPr>
        <w:t xml:space="preserve"> равенства в рамках различных нормативных актов</w:t>
      </w:r>
      <w:r>
        <w:rPr>
          <w:rFonts w:ascii="TimesNewRoman+1" w:hAnsi="TimesNewRoman+1"/>
        </w:rPr>
        <w:t>,</w:t>
      </w:r>
      <w:r>
        <w:t xml:space="preserve"> </w:t>
      </w:r>
      <w:r>
        <w:rPr>
          <w:rFonts w:ascii="TimesNewRoman" w:hAnsi="TimesNewRoman"/>
        </w:rPr>
        <w:t>касающихся сельскохозяйственной подготовки</w:t>
      </w:r>
      <w:r>
        <w:rPr>
          <w:rFonts w:ascii="TimesNewRoman+1" w:hAnsi="TimesNewRoman+1"/>
        </w:rPr>
        <w:t>.</w:t>
      </w:r>
    </w:p>
    <w:p w:rsidR="00000000" w:rsidRDefault="00000000">
      <w:r>
        <w:t>Начиная с 1991 года Служба</w:t>
      </w:r>
      <w:r>
        <w:rPr>
          <w:rFonts w:ascii="TimesNewRoman" w:hAnsi="TimesNewRoman"/>
        </w:rPr>
        <w:t xml:space="preserve"> по правам женщин и вопросам равенства</w:t>
      </w:r>
      <w:r>
        <w:rPr>
          <w:rFonts w:ascii="TimesNewRoman+1" w:hAnsi="TimesNewRoman+1"/>
        </w:rPr>
        <w:t xml:space="preserve"> </w:t>
      </w:r>
      <w:r>
        <w:t xml:space="preserve">ежегодно </w:t>
      </w:r>
      <w:r>
        <w:rPr>
          <w:rFonts w:ascii="TimesNewRoman" w:hAnsi="TimesNewRoman"/>
        </w:rPr>
        <w:t>присужда</w:t>
      </w:r>
      <w:r>
        <w:t>е</w:t>
      </w:r>
      <w:r>
        <w:rPr>
          <w:rFonts w:ascii="TimesNewRoman" w:hAnsi="TimesNewRoman"/>
        </w:rPr>
        <w:t xml:space="preserve">т </w:t>
      </w:r>
      <w:r>
        <w:t>П</w:t>
      </w:r>
      <w:r>
        <w:rPr>
          <w:rFonts w:ascii="TimesNewRoman" w:hAnsi="TimesNewRoman"/>
        </w:rPr>
        <w:t>реми</w:t>
      </w:r>
      <w:r>
        <w:t>ю за достижения</w:t>
      </w:r>
      <w:r>
        <w:rPr>
          <w:rFonts w:ascii="TimesNewRoman" w:hAnsi="TimesNewRoman"/>
        </w:rPr>
        <w:t xml:space="preserve"> в научно</w:t>
      </w:r>
      <w:r>
        <w:rPr>
          <w:rFonts w:ascii="TimesNewRoman+1" w:hAnsi="TimesNewRoman+1"/>
        </w:rPr>
        <w:t>-</w:t>
      </w:r>
      <w:r>
        <w:rPr>
          <w:rFonts w:ascii="TimesNewRoman" w:hAnsi="TimesNewRoman"/>
        </w:rPr>
        <w:t>технической области</w:t>
      </w:r>
      <w:r>
        <w:t xml:space="preserve"> (единовременная премия в 800 евро). Премию получили 600 </w:t>
      </w:r>
      <w:r>
        <w:rPr>
          <w:rFonts w:ascii="TimesNewRoman" w:hAnsi="TimesNewRoman"/>
        </w:rPr>
        <w:t>девуш</w:t>
      </w:r>
      <w:r>
        <w:t>е</w:t>
      </w:r>
      <w:r>
        <w:rPr>
          <w:rFonts w:ascii="TimesNewRoman" w:hAnsi="TimesNewRoman"/>
        </w:rPr>
        <w:t>к</w:t>
      </w:r>
      <w:r>
        <w:rPr>
          <w:rFonts w:ascii="TimesNewRoman+1" w:hAnsi="TimesNewRoman+1"/>
        </w:rPr>
        <w:t xml:space="preserve">, </w:t>
      </w:r>
      <w:r>
        <w:rPr>
          <w:rFonts w:ascii="TimesNewRoman" w:hAnsi="TimesNewRoman"/>
        </w:rPr>
        <w:t>избравши</w:t>
      </w:r>
      <w:r>
        <w:t>х</w:t>
      </w:r>
      <w:r>
        <w:rPr>
          <w:rFonts w:ascii="TimesNewRoman" w:hAnsi="TimesNewRoman"/>
        </w:rPr>
        <w:t xml:space="preserve"> научно</w:t>
      </w:r>
      <w:r>
        <w:rPr>
          <w:rFonts w:ascii="TimesNewRoman+1" w:hAnsi="TimesNewRoman+1"/>
        </w:rPr>
        <w:t>-</w:t>
      </w:r>
      <w:r>
        <w:rPr>
          <w:rFonts w:ascii="TimesNewRoman" w:hAnsi="TimesNewRoman"/>
        </w:rPr>
        <w:t>техническую ориентацию</w:t>
      </w:r>
      <w:r>
        <w:t xml:space="preserve"> в области высшего образования, где они традиционно представлены незначительно</w:t>
      </w:r>
      <w:r>
        <w:rPr>
          <w:rFonts w:ascii="TimesNewRoman+1" w:hAnsi="TimesNewRoman+1"/>
        </w:rPr>
        <w:t>.</w:t>
      </w:r>
    </w:p>
    <w:p w:rsidR="00000000" w:rsidRDefault="00000000">
      <w:pPr>
        <w:rPr>
          <w:snapToGrid w:val="0"/>
        </w:rPr>
      </w:pPr>
      <w:r>
        <w:rPr>
          <w:snapToGrid w:val="0"/>
        </w:rPr>
        <w:t>Министерство научных исследований и высшего образования ежегодно присуждает премию Ирен Жолио-Кюри, цель которой состоит в повышении роли женщин в научном мире.</w:t>
      </w:r>
    </w:p>
    <w:p w:rsidR="00000000" w:rsidRDefault="00000000">
      <w:pPr>
        <w:rPr>
          <w:snapToGrid w:val="0"/>
        </w:rPr>
      </w:pPr>
      <w:r>
        <w:rPr>
          <w:snapToGrid w:val="0"/>
        </w:rPr>
        <w:t>В декабре 2005 года в Париже прошел семинар под названием "Женщины и наука, информационные и коммуникационные технологии (ИКТ)". Цель этого семинара заключалась в определении средств, направленных на облегчение доступа девушек и женщин к будущим профессиям, связанным с этими науками и технологиями. Выработанные на семинаре рекомендации были направлены лицам, принимающим решения на государственном уровне, профессиональным работникам, занимающимся вопросами подготовки и ориентации, а также работникам в области ИКТ. Эти рекомендации, в частности, касаются вопросов распространения информации о профессиях в области ИКТ которая должна помочь в борьбе с искаженными представлениями и стереотипами, связанными с этими профессиями. В рекомендациях также подчеркивается роль государственных цифровых СМИ в приобщении и подготовке женщин к работе в области ИКТ. Министерство научных исследований и высшего образования и Министерство по вопросам паритета, финансировавшие проведение данного семинара, будут осуществлять анализ и, в случае необходимости, заниматься претворением в жизнь этих рекомендаций. В межведомственном соглашении от 1 марта 2004 года о смешанном обучении и профессиональном равенстве содержится призыв к лицам из профессиональных кругов развивать диалог о престижности и социальной значимости профессий, в которых отмечается большая диспропорция между мужчинами и женщинами, и информировать преподавателей, учащихся и родителей, с тем чтобы направлять их в выборе профессиональной ориентации и при этом просвещать относительно тех профессий, которыми занимаются исключительно женщины или мужчины.</w:t>
      </w:r>
    </w:p>
    <w:p w:rsidR="00000000" w:rsidRDefault="00000000">
      <w:pPr>
        <w:rPr>
          <w:snapToGrid w:val="0"/>
        </w:rPr>
      </w:pPr>
      <w:r>
        <w:rPr>
          <w:snapToGrid w:val="0"/>
        </w:rPr>
        <w:t>II)</w:t>
      </w:r>
      <w:r>
        <w:rPr>
          <w:snapToGrid w:val="0"/>
        </w:rPr>
        <w:tab/>
      </w:r>
      <w:r>
        <w:rPr>
          <w:u w:val="single"/>
        </w:rPr>
        <w:t>Укрепление средств содействия обеспечению равенства и подготовки заинтересованных лиц</w:t>
      </w:r>
    </w:p>
    <w:p w:rsidR="00000000" w:rsidRDefault="00000000">
      <w:r>
        <w:t>П</w:t>
      </w:r>
      <w:r>
        <w:rPr>
          <w:rFonts w:ascii="TimesNewRoman" w:hAnsi="TimesNewRoman"/>
        </w:rPr>
        <w:t>одготовк</w:t>
      </w:r>
      <w:r>
        <w:t>а</w:t>
      </w:r>
      <w:r>
        <w:rPr>
          <w:rFonts w:ascii="TimesNewRoman" w:hAnsi="TimesNewRoman"/>
        </w:rPr>
        <w:t xml:space="preserve"> </w:t>
      </w:r>
      <w:r>
        <w:t xml:space="preserve">преподавательского корпуса </w:t>
      </w:r>
      <w:r>
        <w:rPr>
          <w:rFonts w:ascii="TimesNewRoman" w:hAnsi="TimesNewRoman"/>
        </w:rPr>
        <w:t xml:space="preserve">в области гендерного равенства </w:t>
      </w:r>
      <w:r>
        <w:t>является первостепенной, поскольку преподаватели подсознательно способствуют воспроизведению схем социальных моделей через систему общения в классе и при оценке знаний учащихся.</w:t>
      </w:r>
    </w:p>
    <w:p w:rsidR="00000000" w:rsidRDefault="00000000">
      <w:r>
        <w:t>Согласно результатам опроса, проведенного недавно Министерством народного просвещения, две трети университетских институтов подготовки преподавателей (УИПП) дают будущим преподавателям подготовку в области гендерного равенства и смешанного обучения.</w:t>
      </w:r>
    </w:p>
    <w:p w:rsidR="00000000" w:rsidRDefault="00000000">
      <w:pPr>
        <w:rPr>
          <w:snapToGrid w:val="0"/>
        </w:rPr>
      </w:pPr>
      <w:r>
        <w:rPr>
          <w:snapToGrid w:val="0"/>
        </w:rPr>
        <w:t>В настоящее время следует добиваться того, чтобы такая подготовка стала обязательной. В Национальной школе подготовки в области сельского хозяйства (эквивалент УИПП) разработан просветительско-информационный модуль, основанный на гендерном подходе.</w:t>
      </w:r>
    </w:p>
    <w:p w:rsidR="00000000" w:rsidRDefault="00000000">
      <w:pPr>
        <w:rPr>
          <w:snapToGrid w:val="0"/>
        </w:rPr>
      </w:pPr>
      <w:r>
        <w:rPr>
          <w:snapToGrid w:val="0"/>
        </w:rPr>
        <w:t>Наряду с этим следует совершенствовать дидактические материалы, в частности школьные учебники, в которых по-прежнему изобилуют стереотипы. Составление и публикация этих учебников находятся в введении частных издателей, которых нужно побуждать к тому, чтобы они предлагали девушкам идентификационные модели, совпадающие с эволюцией статуса женщин.</w:t>
      </w:r>
    </w:p>
    <w:p w:rsidR="00000000" w:rsidRDefault="00000000">
      <w:pPr>
        <w:ind w:left="567" w:hanging="567"/>
        <w:rPr>
          <w:snapToGrid w:val="0"/>
        </w:rPr>
      </w:pPr>
      <w:r>
        <w:rPr>
          <w:snapToGrid w:val="0"/>
        </w:rPr>
        <w:t>III)</w:t>
      </w:r>
      <w:r>
        <w:rPr>
          <w:snapToGrid w:val="0"/>
        </w:rPr>
        <w:tab/>
      </w:r>
      <w:r>
        <w:rPr>
          <w:u w:val="single"/>
        </w:rPr>
        <w:t>Поощрение образования, опирающегося на взаимное уважение представителей обоих полов, включая борьбу с дискриминацией и насилием</w:t>
      </w:r>
    </w:p>
    <w:p w:rsidR="00000000" w:rsidRDefault="00000000">
      <w:pPr>
        <w:rPr>
          <w:snapToGrid w:val="0"/>
        </w:rPr>
      </w:pPr>
      <w:r>
        <w:rPr>
          <w:snapToGrid w:val="0"/>
        </w:rPr>
        <w:t>До настоящего времени все еще отмечаются явления, противоречащие принципу соблюдения основных прав женщин и девушек: незаконченное школьное образование или уклонение от учебы в школе, изоляция в семейном кругу, моральное и даже физическое давление, отрицание равенства полов.</w:t>
      </w:r>
    </w:p>
    <w:p w:rsidR="00000000" w:rsidRDefault="00000000">
      <w:pPr>
        <w:rPr>
          <w:snapToGrid w:val="0"/>
        </w:rPr>
      </w:pPr>
      <w:r>
        <w:rPr>
          <w:snapToGrid w:val="0"/>
        </w:rPr>
        <w:t>В связи с этой тревожной ситуацией закон от 15 марта 2004 года вновь подтвердил принцип светского характера обучения, запретив в государственных школах, колледжах и лицеях "ношение знаков или одежды, посредством которых учащиеся демонстративно подчеркивают свою религиозную принадлежность". Вновь подтвержденный принцип светского характера обучения в сочетании с обязанностью посещать все уроки защищает самостоятельность личности, предоставляя каждому возможность определять свою идентичность как гражданина Республики, свободного в выборе своих философских убеждений. Действительно, роль школы является центральной в обучении принципам свободы, уважения достоинства, равенства, в том числе между полами, и жизни в смешанном общественном пространстве.</w:t>
      </w:r>
    </w:p>
    <w:p w:rsidR="00000000" w:rsidRDefault="00000000">
      <w:pPr>
        <w:rPr>
          <w:snapToGrid w:val="0"/>
        </w:rPr>
      </w:pPr>
      <w:r>
        <w:rPr>
          <w:snapToGrid w:val="0"/>
        </w:rPr>
        <w:t>Образование в условиях смешанного обучения и равенства между мужчинами и женщинами осуществляется также путем включения в школьные программы идей о социальной роли полов. Вопрос о гендерном равенстве еще очень слабо отражен в учебных программах. Однако в системе среднего образования он включен в факультативные занятия по вопросам сексуального поведения. Министерство народного просвещения выпустило два справочника по этому вопросу. Место женщин в политической и общественной жизни также включено в программы по гражданскому воспитанию в третьем классе.</w:t>
      </w:r>
    </w:p>
    <w:p w:rsidR="00000000" w:rsidRDefault="00000000">
      <w:r>
        <w:t>Наряду с этим проводятся мероприятия, направленные на обеспечение соблюдения принципа гендерного равенства. Их содержание меняется в зависимости от возраста учащихся: для самых маленьких – мультипликация, рассказы, раскраски; для подростков – ролевые игры, исследование текстов, анализ рекламных материалов.</w:t>
      </w:r>
    </w:p>
    <w:p w:rsidR="00000000" w:rsidRDefault="00000000">
      <w:r>
        <w:t>Претворение в жизнь соглашения от 25 февраля 2000 года способствовало созданию и укреплению межведомственных сетей по вопросам равноправия как на национальном, так и на местном уровне, где были также проведены многочисленные мероприятия.</w:t>
      </w:r>
    </w:p>
    <w:p w:rsidR="00000000" w:rsidRDefault="00000000">
      <w:r>
        <w:t>Таким образом, министры – подписанты этого соглашения решили возобновить и усилить мероприятия, проводимые с целью обеспечения гендерного равенства в системе образования. Новое соглашение должно быть подписано в течение первого квартала 2006 года.</w:t>
      </w:r>
    </w:p>
    <w:p w:rsidR="00000000" w:rsidRDefault="00000000">
      <w:pPr>
        <w:keepNext/>
        <w:spacing w:before="120" w:after="120"/>
        <w:jc w:val="center"/>
        <w:rPr>
          <w:snapToGrid w:val="0"/>
        </w:rPr>
      </w:pPr>
      <w:r>
        <w:rPr>
          <w:snapToGrid w:val="0"/>
        </w:rPr>
        <w:t>СТАТЬЯ 11</w:t>
      </w:r>
    </w:p>
    <w:p w:rsidR="00000000" w:rsidRDefault="00000000">
      <w:pPr>
        <w:keepNext/>
        <w:jc w:val="center"/>
        <w:rPr>
          <w:i/>
          <w:snapToGrid w:val="0"/>
        </w:rPr>
      </w:pPr>
      <w:r>
        <w:rPr>
          <w:i/>
          <w:snapToGrid w:val="0"/>
        </w:rPr>
        <w:t>Занятость</w:t>
      </w:r>
    </w:p>
    <w:p w:rsidR="00000000" w:rsidRDefault="00000000">
      <w:pPr>
        <w:keepNext/>
        <w:rPr>
          <w:u w:val="single"/>
        </w:rPr>
      </w:pPr>
      <w:r>
        <w:t>I)</w:t>
      </w:r>
      <w:r>
        <w:tab/>
      </w:r>
      <w:r>
        <w:rPr>
          <w:u w:val="single"/>
        </w:rPr>
        <w:t>Положение женщин на рынке руда: восстановление все еще хрупкого равновесия</w:t>
      </w:r>
    </w:p>
    <w:p w:rsidR="00000000" w:rsidRDefault="00000000">
      <w:r>
        <w:t>В вопросе о равноправии в профессиональной области невозможно ограничиться простым подведением итогов, и вся история участия женщин в трудовой деятельности представляет собой резкие колебания в сторону равноправия, спады и регресс. И хотя в вопросах занятости женщин отмечаются значительные достижения, неравноправие по-прежнему сохраняется.</w:t>
      </w:r>
    </w:p>
    <w:p w:rsidR="00000000" w:rsidRDefault="00000000">
      <w:r>
        <w:t xml:space="preserve">В течение последних 30 лет доля женщин в самодеятельном населении увеличилась: в 1965 году женщины составляли 6,6 млн. человек самодеятельного населения; в настоящее время на рынке труда представлены 12,6 млн. женщин, что в 2004 году составило 63,8 процента. </w:t>
      </w:r>
    </w:p>
    <w:p w:rsidR="00000000" w:rsidRDefault="00000000">
      <w:r>
        <w:t>В период между 2000 и 2004 годами доля женщин в самодеятельном населении увеличилась на 0,6 процентных пункта (46,2 процента). При этом феминизация самодеятельного населения выражалась как в получении доступа определенного числа женщин к квалифицированному труду, так и в увеличении концентрации женской занятости в небольшой области традиционно женских профессий и секторов, малопрестижных в социальном плане. Женщины в большей степени, чем мужчины, подвержены риску безработицы и зависят от неустойчивости на рынке занятости, при этом им предлагают еще и менее диверсифицированную работу, чем мужчинам.</w:t>
      </w:r>
    </w:p>
    <w:p w:rsidR="00000000" w:rsidRDefault="00000000">
      <w:pPr>
        <w:rPr>
          <w:b/>
        </w:rPr>
      </w:pPr>
      <w:r>
        <w:rPr>
          <w:b/>
          <w:lang w:val="en-US"/>
        </w:rPr>
        <w:t>A</w:t>
      </w:r>
      <w:r>
        <w:rPr>
          <w:b/>
        </w:rPr>
        <w:t>)</w:t>
      </w:r>
      <w:r>
        <w:rPr>
          <w:b/>
        </w:rPr>
        <w:tab/>
        <w:t>Сохранение неравноправия</w:t>
      </w:r>
    </w:p>
    <w:p w:rsidR="00000000" w:rsidRDefault="00000000">
      <w:pPr>
        <w:rPr>
          <w:u w:val="single"/>
        </w:rPr>
      </w:pPr>
      <w:r>
        <w:t>1)</w:t>
      </w:r>
      <w:r>
        <w:tab/>
      </w:r>
      <w:r>
        <w:rPr>
          <w:u w:val="single"/>
        </w:rPr>
        <w:t>Безработица среди женщин</w:t>
      </w:r>
    </w:p>
    <w:p w:rsidR="00000000" w:rsidRDefault="00000000">
      <w:pPr>
        <w:rPr>
          <w:snapToGrid w:val="0"/>
        </w:rPr>
      </w:pPr>
      <w:r>
        <w:rPr>
          <w:snapToGrid w:val="0"/>
        </w:rPr>
        <w:t>Резкое изменение экономической конъюнктуры в середине 2001 года позволило сократить на треть разрыв между уровнями безработицы среди мужчин и женщин в результате значительного роста безработицы среди мужчин. Однако женщины по-прежнему преобладают среди лиц, ищущих работу, по сравнению с их долей в самодеятельном населении. Так, в марте 2005 года они представляли 47,5 процента всех имеющихся на тот момент безработных, ищущих работу на неопределенный срок с занятостью в течение полного рабочего дня, и 52,5 процента всех имеющихся на тот момент безработных, ищущих любую работу.</w:t>
      </w:r>
    </w:p>
    <w:tbl>
      <w:tblPr>
        <w:tblW w:w="0" w:type="auto"/>
        <w:tblInd w:w="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0" w:type="dxa"/>
          <w:right w:w="30" w:type="dxa"/>
        </w:tblCellMar>
        <w:tblLook w:val="0000" w:firstRow="0" w:lastRow="0" w:firstColumn="0" w:lastColumn="0" w:noHBand="0" w:noVBand="0"/>
      </w:tblPr>
      <w:tblGrid>
        <w:gridCol w:w="2189"/>
        <w:gridCol w:w="1482"/>
        <w:gridCol w:w="1416"/>
        <w:gridCol w:w="1291"/>
        <w:gridCol w:w="1320"/>
        <w:gridCol w:w="1478"/>
      </w:tblGrid>
      <w:tr w:rsidR="00000000">
        <w:tblPrEx>
          <w:tblCellMar>
            <w:top w:w="0" w:type="dxa"/>
            <w:bottom w:w="0" w:type="dxa"/>
          </w:tblCellMar>
        </w:tblPrEx>
        <w:trPr>
          <w:cantSplit/>
        </w:trPr>
        <w:tc>
          <w:tcPr>
            <w:tcW w:w="9176" w:type="dxa"/>
            <w:gridSpan w:val="6"/>
          </w:tcPr>
          <w:p w:rsidR="00000000" w:rsidRDefault="00000000">
            <w:pPr>
              <w:spacing w:before="40" w:after="40"/>
              <w:jc w:val="center"/>
              <w:rPr>
                <w:b/>
                <w:snapToGrid w:val="0"/>
                <w:sz w:val="18"/>
              </w:rPr>
            </w:pPr>
            <w:r>
              <w:rPr>
                <w:b/>
                <w:snapToGrid w:val="0"/>
                <w:sz w:val="18"/>
              </w:rPr>
              <w:t>Месячный уровень безработицы среди мужчин/женщин по данным МБТ</w:t>
            </w:r>
          </w:p>
        </w:tc>
      </w:tr>
      <w:tr w:rsidR="00000000">
        <w:tblPrEx>
          <w:tblCellMar>
            <w:top w:w="0" w:type="dxa"/>
            <w:bottom w:w="0" w:type="dxa"/>
          </w:tblCellMar>
        </w:tblPrEx>
        <w:tc>
          <w:tcPr>
            <w:tcW w:w="2189" w:type="dxa"/>
          </w:tcPr>
          <w:p w:rsidR="00000000" w:rsidRDefault="00000000">
            <w:pPr>
              <w:spacing w:before="40" w:after="40"/>
              <w:rPr>
                <w:snapToGrid w:val="0"/>
                <w:sz w:val="18"/>
                <w:lang w:eastAsia="en-US"/>
              </w:rPr>
            </w:pPr>
          </w:p>
        </w:tc>
        <w:tc>
          <w:tcPr>
            <w:tcW w:w="1482" w:type="dxa"/>
          </w:tcPr>
          <w:p w:rsidR="00000000" w:rsidRDefault="00000000">
            <w:pPr>
              <w:spacing w:before="40" w:after="40"/>
              <w:jc w:val="center"/>
              <w:rPr>
                <w:b/>
                <w:snapToGrid w:val="0"/>
                <w:sz w:val="18"/>
              </w:rPr>
            </w:pPr>
            <w:r>
              <w:rPr>
                <w:b/>
                <w:snapToGrid w:val="0"/>
                <w:sz w:val="18"/>
              </w:rPr>
              <w:t>апрель 2001 г.</w:t>
            </w:r>
          </w:p>
        </w:tc>
        <w:tc>
          <w:tcPr>
            <w:tcW w:w="1416" w:type="dxa"/>
          </w:tcPr>
          <w:p w:rsidR="00000000" w:rsidRDefault="00000000">
            <w:pPr>
              <w:spacing w:before="40" w:after="40"/>
              <w:jc w:val="center"/>
              <w:rPr>
                <w:b/>
                <w:snapToGrid w:val="0"/>
                <w:sz w:val="18"/>
              </w:rPr>
            </w:pPr>
            <w:r>
              <w:rPr>
                <w:b/>
                <w:snapToGrid w:val="0"/>
                <w:sz w:val="18"/>
              </w:rPr>
              <w:t>апрель 2002 г.</w:t>
            </w:r>
          </w:p>
        </w:tc>
        <w:tc>
          <w:tcPr>
            <w:tcW w:w="1291" w:type="dxa"/>
          </w:tcPr>
          <w:p w:rsidR="00000000" w:rsidRDefault="00000000">
            <w:pPr>
              <w:spacing w:before="40" w:after="40"/>
              <w:jc w:val="center"/>
              <w:rPr>
                <w:b/>
                <w:snapToGrid w:val="0"/>
                <w:sz w:val="18"/>
              </w:rPr>
            </w:pPr>
            <w:r>
              <w:rPr>
                <w:b/>
                <w:snapToGrid w:val="0"/>
                <w:sz w:val="18"/>
              </w:rPr>
              <w:t>апрель 2003 г.</w:t>
            </w:r>
          </w:p>
        </w:tc>
        <w:tc>
          <w:tcPr>
            <w:tcW w:w="1320" w:type="dxa"/>
          </w:tcPr>
          <w:p w:rsidR="00000000" w:rsidRDefault="00000000">
            <w:pPr>
              <w:spacing w:before="40" w:after="40"/>
              <w:jc w:val="center"/>
              <w:rPr>
                <w:b/>
                <w:snapToGrid w:val="0"/>
                <w:sz w:val="18"/>
              </w:rPr>
            </w:pPr>
            <w:r>
              <w:rPr>
                <w:b/>
                <w:snapToGrid w:val="0"/>
                <w:sz w:val="18"/>
              </w:rPr>
              <w:t>апрель 2004 г.</w:t>
            </w:r>
          </w:p>
        </w:tc>
        <w:tc>
          <w:tcPr>
            <w:tcW w:w="1478" w:type="dxa"/>
          </w:tcPr>
          <w:p w:rsidR="00000000" w:rsidRDefault="00000000">
            <w:pPr>
              <w:spacing w:before="40" w:after="40"/>
              <w:jc w:val="center"/>
              <w:rPr>
                <w:b/>
                <w:snapToGrid w:val="0"/>
                <w:sz w:val="18"/>
              </w:rPr>
            </w:pPr>
            <w:r>
              <w:rPr>
                <w:b/>
                <w:snapToGrid w:val="0"/>
                <w:sz w:val="18"/>
              </w:rPr>
              <w:t>апрель 2005 г.</w:t>
            </w:r>
          </w:p>
        </w:tc>
      </w:tr>
      <w:tr w:rsidR="00000000">
        <w:tblPrEx>
          <w:tblCellMar>
            <w:top w:w="0" w:type="dxa"/>
            <w:bottom w:w="0" w:type="dxa"/>
          </w:tblCellMar>
        </w:tblPrEx>
        <w:tc>
          <w:tcPr>
            <w:tcW w:w="2189" w:type="dxa"/>
          </w:tcPr>
          <w:p w:rsidR="00000000" w:rsidRDefault="00000000">
            <w:pPr>
              <w:spacing w:before="40" w:after="40"/>
              <w:rPr>
                <w:snapToGrid w:val="0"/>
                <w:sz w:val="18"/>
              </w:rPr>
            </w:pPr>
            <w:r>
              <w:rPr>
                <w:snapToGrid w:val="0"/>
                <w:sz w:val="18"/>
              </w:rPr>
              <w:t>Всего</w:t>
            </w:r>
          </w:p>
        </w:tc>
        <w:tc>
          <w:tcPr>
            <w:tcW w:w="1482" w:type="dxa"/>
          </w:tcPr>
          <w:p w:rsidR="00000000" w:rsidRDefault="00000000">
            <w:pPr>
              <w:spacing w:before="40" w:after="40"/>
              <w:ind w:right="567"/>
              <w:jc w:val="right"/>
              <w:rPr>
                <w:snapToGrid w:val="0"/>
                <w:sz w:val="18"/>
              </w:rPr>
            </w:pPr>
            <w:r>
              <w:rPr>
                <w:snapToGrid w:val="0"/>
                <w:sz w:val="18"/>
              </w:rPr>
              <w:t>8,6</w:t>
            </w:r>
          </w:p>
        </w:tc>
        <w:tc>
          <w:tcPr>
            <w:tcW w:w="1416" w:type="dxa"/>
          </w:tcPr>
          <w:p w:rsidR="00000000" w:rsidRDefault="00000000">
            <w:pPr>
              <w:spacing w:before="40" w:after="40"/>
              <w:ind w:right="567"/>
              <w:jc w:val="right"/>
              <w:rPr>
                <w:snapToGrid w:val="0"/>
                <w:sz w:val="18"/>
              </w:rPr>
            </w:pPr>
            <w:r>
              <w:rPr>
                <w:snapToGrid w:val="0"/>
                <w:sz w:val="18"/>
              </w:rPr>
              <w:t>8,9</w:t>
            </w:r>
          </w:p>
        </w:tc>
        <w:tc>
          <w:tcPr>
            <w:tcW w:w="1291" w:type="dxa"/>
          </w:tcPr>
          <w:p w:rsidR="00000000" w:rsidRDefault="00000000">
            <w:pPr>
              <w:spacing w:before="40" w:after="40"/>
              <w:ind w:right="567"/>
              <w:jc w:val="right"/>
              <w:rPr>
                <w:snapToGrid w:val="0"/>
                <w:sz w:val="18"/>
              </w:rPr>
            </w:pPr>
            <w:r>
              <w:rPr>
                <w:snapToGrid w:val="0"/>
                <w:sz w:val="18"/>
              </w:rPr>
              <w:t>9,7</w:t>
            </w:r>
          </w:p>
        </w:tc>
        <w:tc>
          <w:tcPr>
            <w:tcW w:w="1320" w:type="dxa"/>
          </w:tcPr>
          <w:p w:rsidR="00000000" w:rsidRDefault="00000000">
            <w:pPr>
              <w:spacing w:before="40" w:after="40"/>
              <w:ind w:right="567"/>
              <w:jc w:val="right"/>
              <w:rPr>
                <w:snapToGrid w:val="0"/>
                <w:sz w:val="18"/>
              </w:rPr>
            </w:pPr>
            <w:r>
              <w:rPr>
                <w:snapToGrid w:val="0"/>
                <w:sz w:val="18"/>
              </w:rPr>
              <w:t>10,0</w:t>
            </w:r>
          </w:p>
        </w:tc>
        <w:tc>
          <w:tcPr>
            <w:tcW w:w="1478" w:type="dxa"/>
          </w:tcPr>
          <w:p w:rsidR="00000000" w:rsidRDefault="00000000">
            <w:pPr>
              <w:spacing w:before="40" w:after="40"/>
              <w:ind w:right="567"/>
              <w:jc w:val="right"/>
              <w:rPr>
                <w:snapToGrid w:val="0"/>
                <w:sz w:val="18"/>
              </w:rPr>
            </w:pPr>
            <w:r>
              <w:rPr>
                <w:snapToGrid w:val="0"/>
                <w:sz w:val="18"/>
              </w:rPr>
              <w:t>10,2</w:t>
            </w:r>
          </w:p>
        </w:tc>
      </w:tr>
      <w:tr w:rsidR="00000000">
        <w:tblPrEx>
          <w:tblCellMar>
            <w:top w:w="0" w:type="dxa"/>
            <w:bottom w:w="0" w:type="dxa"/>
          </w:tblCellMar>
        </w:tblPrEx>
        <w:tc>
          <w:tcPr>
            <w:tcW w:w="2189" w:type="dxa"/>
          </w:tcPr>
          <w:p w:rsidR="00000000" w:rsidRDefault="00000000">
            <w:pPr>
              <w:spacing w:before="40" w:after="40"/>
              <w:rPr>
                <w:snapToGrid w:val="0"/>
                <w:sz w:val="18"/>
              </w:rPr>
            </w:pPr>
            <w:r>
              <w:rPr>
                <w:snapToGrid w:val="0"/>
                <w:sz w:val="18"/>
              </w:rPr>
              <w:t>Женщины</w:t>
            </w:r>
          </w:p>
        </w:tc>
        <w:tc>
          <w:tcPr>
            <w:tcW w:w="1482" w:type="dxa"/>
          </w:tcPr>
          <w:p w:rsidR="00000000" w:rsidRDefault="00000000">
            <w:pPr>
              <w:spacing w:before="40" w:after="40"/>
              <w:ind w:right="567"/>
              <w:jc w:val="right"/>
              <w:rPr>
                <w:snapToGrid w:val="0"/>
                <w:sz w:val="18"/>
              </w:rPr>
            </w:pPr>
            <w:r>
              <w:rPr>
                <w:snapToGrid w:val="0"/>
                <w:sz w:val="18"/>
              </w:rPr>
              <w:t>10,4</w:t>
            </w:r>
          </w:p>
        </w:tc>
        <w:tc>
          <w:tcPr>
            <w:tcW w:w="1416" w:type="dxa"/>
          </w:tcPr>
          <w:p w:rsidR="00000000" w:rsidRDefault="00000000">
            <w:pPr>
              <w:spacing w:before="40" w:after="40"/>
              <w:ind w:right="567"/>
              <w:jc w:val="right"/>
              <w:rPr>
                <w:snapToGrid w:val="0"/>
                <w:sz w:val="18"/>
              </w:rPr>
            </w:pPr>
            <w:r>
              <w:rPr>
                <w:snapToGrid w:val="0"/>
                <w:sz w:val="18"/>
              </w:rPr>
              <w:t>10,1</w:t>
            </w:r>
          </w:p>
        </w:tc>
        <w:tc>
          <w:tcPr>
            <w:tcW w:w="1291" w:type="dxa"/>
          </w:tcPr>
          <w:p w:rsidR="00000000" w:rsidRDefault="00000000">
            <w:pPr>
              <w:spacing w:before="40" w:after="40"/>
              <w:ind w:right="567"/>
              <w:jc w:val="right"/>
              <w:rPr>
                <w:snapToGrid w:val="0"/>
                <w:sz w:val="18"/>
              </w:rPr>
            </w:pPr>
            <w:r>
              <w:rPr>
                <w:snapToGrid w:val="0"/>
                <w:sz w:val="18"/>
              </w:rPr>
              <w:t>10,9</w:t>
            </w:r>
          </w:p>
        </w:tc>
        <w:tc>
          <w:tcPr>
            <w:tcW w:w="1320" w:type="dxa"/>
          </w:tcPr>
          <w:p w:rsidR="00000000" w:rsidRDefault="00000000">
            <w:pPr>
              <w:spacing w:before="40" w:after="40"/>
              <w:ind w:right="567"/>
              <w:jc w:val="right"/>
              <w:rPr>
                <w:snapToGrid w:val="0"/>
                <w:sz w:val="18"/>
              </w:rPr>
            </w:pPr>
            <w:r>
              <w:rPr>
                <w:snapToGrid w:val="0"/>
                <w:sz w:val="18"/>
              </w:rPr>
              <w:t>11,1</w:t>
            </w:r>
          </w:p>
        </w:tc>
        <w:tc>
          <w:tcPr>
            <w:tcW w:w="1478" w:type="dxa"/>
          </w:tcPr>
          <w:p w:rsidR="00000000" w:rsidRDefault="00000000">
            <w:pPr>
              <w:spacing w:before="40" w:after="40"/>
              <w:ind w:right="567"/>
              <w:jc w:val="right"/>
              <w:rPr>
                <w:snapToGrid w:val="0"/>
                <w:sz w:val="18"/>
              </w:rPr>
            </w:pPr>
            <w:r>
              <w:rPr>
                <w:snapToGrid w:val="0"/>
                <w:sz w:val="18"/>
              </w:rPr>
              <w:t>11,2</w:t>
            </w:r>
          </w:p>
        </w:tc>
      </w:tr>
      <w:tr w:rsidR="00000000">
        <w:tblPrEx>
          <w:tblCellMar>
            <w:top w:w="0" w:type="dxa"/>
            <w:bottom w:w="0" w:type="dxa"/>
          </w:tblCellMar>
        </w:tblPrEx>
        <w:tc>
          <w:tcPr>
            <w:tcW w:w="2189" w:type="dxa"/>
          </w:tcPr>
          <w:p w:rsidR="00000000" w:rsidRDefault="00000000">
            <w:pPr>
              <w:spacing w:before="40" w:after="40"/>
              <w:rPr>
                <w:snapToGrid w:val="0"/>
                <w:sz w:val="18"/>
              </w:rPr>
            </w:pPr>
            <w:r>
              <w:rPr>
                <w:snapToGrid w:val="0"/>
                <w:sz w:val="18"/>
              </w:rPr>
              <w:t>Мужчины</w:t>
            </w:r>
          </w:p>
        </w:tc>
        <w:tc>
          <w:tcPr>
            <w:tcW w:w="1482" w:type="dxa"/>
          </w:tcPr>
          <w:p w:rsidR="00000000" w:rsidRDefault="00000000">
            <w:pPr>
              <w:spacing w:before="40" w:after="40"/>
              <w:ind w:right="567"/>
              <w:jc w:val="right"/>
              <w:rPr>
                <w:snapToGrid w:val="0"/>
                <w:sz w:val="18"/>
              </w:rPr>
            </w:pPr>
            <w:r>
              <w:rPr>
                <w:snapToGrid w:val="0"/>
                <w:sz w:val="18"/>
              </w:rPr>
              <w:t>7,1</w:t>
            </w:r>
          </w:p>
        </w:tc>
        <w:tc>
          <w:tcPr>
            <w:tcW w:w="1416" w:type="dxa"/>
          </w:tcPr>
          <w:p w:rsidR="00000000" w:rsidRDefault="00000000">
            <w:pPr>
              <w:spacing w:before="40" w:after="40"/>
              <w:ind w:right="567"/>
              <w:jc w:val="right"/>
              <w:rPr>
                <w:snapToGrid w:val="0"/>
                <w:sz w:val="18"/>
              </w:rPr>
            </w:pPr>
            <w:r>
              <w:rPr>
                <w:snapToGrid w:val="0"/>
                <w:sz w:val="18"/>
              </w:rPr>
              <w:t>7,9</w:t>
            </w:r>
          </w:p>
        </w:tc>
        <w:tc>
          <w:tcPr>
            <w:tcW w:w="1291" w:type="dxa"/>
          </w:tcPr>
          <w:p w:rsidR="00000000" w:rsidRDefault="00000000">
            <w:pPr>
              <w:spacing w:before="40" w:after="40"/>
              <w:ind w:right="567"/>
              <w:jc w:val="right"/>
              <w:rPr>
                <w:snapToGrid w:val="0"/>
                <w:sz w:val="18"/>
              </w:rPr>
            </w:pPr>
            <w:r>
              <w:rPr>
                <w:snapToGrid w:val="0"/>
                <w:sz w:val="18"/>
              </w:rPr>
              <w:t>8,7</w:t>
            </w:r>
          </w:p>
        </w:tc>
        <w:tc>
          <w:tcPr>
            <w:tcW w:w="1320" w:type="dxa"/>
          </w:tcPr>
          <w:p w:rsidR="00000000" w:rsidRDefault="00000000">
            <w:pPr>
              <w:spacing w:before="40" w:after="40"/>
              <w:ind w:right="567"/>
              <w:jc w:val="right"/>
              <w:rPr>
                <w:snapToGrid w:val="0"/>
                <w:sz w:val="18"/>
              </w:rPr>
            </w:pPr>
            <w:r>
              <w:rPr>
                <w:snapToGrid w:val="0"/>
                <w:sz w:val="18"/>
              </w:rPr>
              <w:t>9,0</w:t>
            </w:r>
          </w:p>
        </w:tc>
        <w:tc>
          <w:tcPr>
            <w:tcW w:w="1478" w:type="dxa"/>
          </w:tcPr>
          <w:p w:rsidR="00000000" w:rsidRDefault="00000000">
            <w:pPr>
              <w:spacing w:before="40" w:after="40"/>
              <w:ind w:right="567"/>
              <w:jc w:val="right"/>
              <w:rPr>
                <w:snapToGrid w:val="0"/>
                <w:sz w:val="18"/>
              </w:rPr>
            </w:pPr>
            <w:r>
              <w:rPr>
                <w:snapToGrid w:val="0"/>
                <w:sz w:val="18"/>
              </w:rPr>
              <w:t>9,3</w:t>
            </w:r>
          </w:p>
        </w:tc>
      </w:tr>
      <w:tr w:rsidR="00000000">
        <w:tblPrEx>
          <w:tblCellMar>
            <w:top w:w="0" w:type="dxa"/>
            <w:bottom w:w="0" w:type="dxa"/>
          </w:tblCellMar>
        </w:tblPrEx>
        <w:tc>
          <w:tcPr>
            <w:tcW w:w="2189" w:type="dxa"/>
          </w:tcPr>
          <w:p w:rsidR="00000000" w:rsidRDefault="00000000">
            <w:pPr>
              <w:spacing w:before="40" w:after="40"/>
              <w:jc w:val="left"/>
              <w:rPr>
                <w:snapToGrid w:val="0"/>
                <w:sz w:val="18"/>
              </w:rPr>
            </w:pPr>
            <w:r>
              <w:rPr>
                <w:snapToGrid w:val="0"/>
                <w:sz w:val="18"/>
              </w:rPr>
              <w:t>Разрыв между мужчинами/женщинами</w:t>
            </w:r>
          </w:p>
        </w:tc>
        <w:tc>
          <w:tcPr>
            <w:tcW w:w="1482" w:type="dxa"/>
          </w:tcPr>
          <w:p w:rsidR="00000000" w:rsidRDefault="00000000">
            <w:pPr>
              <w:spacing w:before="40" w:after="40"/>
              <w:ind w:right="567"/>
              <w:jc w:val="right"/>
              <w:rPr>
                <w:snapToGrid w:val="0"/>
                <w:sz w:val="18"/>
              </w:rPr>
            </w:pPr>
            <w:r>
              <w:rPr>
                <w:snapToGrid w:val="0"/>
                <w:sz w:val="18"/>
              </w:rPr>
              <w:t>3,3</w:t>
            </w:r>
          </w:p>
        </w:tc>
        <w:tc>
          <w:tcPr>
            <w:tcW w:w="1416" w:type="dxa"/>
          </w:tcPr>
          <w:p w:rsidR="00000000" w:rsidRDefault="00000000">
            <w:pPr>
              <w:spacing w:before="40" w:after="40"/>
              <w:ind w:right="567"/>
              <w:jc w:val="right"/>
              <w:rPr>
                <w:snapToGrid w:val="0"/>
                <w:sz w:val="18"/>
              </w:rPr>
            </w:pPr>
            <w:r>
              <w:rPr>
                <w:snapToGrid w:val="0"/>
                <w:sz w:val="18"/>
              </w:rPr>
              <w:t>2,2</w:t>
            </w:r>
          </w:p>
        </w:tc>
        <w:tc>
          <w:tcPr>
            <w:tcW w:w="1291" w:type="dxa"/>
          </w:tcPr>
          <w:p w:rsidR="00000000" w:rsidRDefault="00000000">
            <w:pPr>
              <w:spacing w:before="40" w:after="40"/>
              <w:ind w:right="567"/>
              <w:jc w:val="right"/>
              <w:rPr>
                <w:snapToGrid w:val="0"/>
                <w:sz w:val="18"/>
              </w:rPr>
            </w:pPr>
            <w:r>
              <w:rPr>
                <w:snapToGrid w:val="0"/>
                <w:sz w:val="18"/>
              </w:rPr>
              <w:t>2,2</w:t>
            </w:r>
          </w:p>
        </w:tc>
        <w:tc>
          <w:tcPr>
            <w:tcW w:w="1320" w:type="dxa"/>
          </w:tcPr>
          <w:p w:rsidR="00000000" w:rsidRDefault="00000000">
            <w:pPr>
              <w:spacing w:before="40" w:after="40"/>
              <w:ind w:right="567"/>
              <w:jc w:val="right"/>
              <w:rPr>
                <w:snapToGrid w:val="0"/>
                <w:sz w:val="18"/>
              </w:rPr>
            </w:pPr>
            <w:r>
              <w:rPr>
                <w:snapToGrid w:val="0"/>
                <w:sz w:val="18"/>
              </w:rPr>
              <w:t>2,1</w:t>
            </w:r>
          </w:p>
        </w:tc>
        <w:tc>
          <w:tcPr>
            <w:tcW w:w="1478" w:type="dxa"/>
          </w:tcPr>
          <w:p w:rsidR="00000000" w:rsidRDefault="00000000">
            <w:pPr>
              <w:spacing w:before="40" w:after="40"/>
              <w:ind w:right="567"/>
              <w:jc w:val="right"/>
              <w:rPr>
                <w:snapToGrid w:val="0"/>
                <w:sz w:val="18"/>
              </w:rPr>
            </w:pPr>
            <w:r>
              <w:rPr>
                <w:snapToGrid w:val="0"/>
                <w:sz w:val="18"/>
              </w:rPr>
              <w:t>1,9</w:t>
            </w:r>
          </w:p>
        </w:tc>
      </w:tr>
    </w:tbl>
    <w:p w:rsidR="00000000" w:rsidRDefault="00000000">
      <w:pPr>
        <w:spacing w:before="40"/>
        <w:rPr>
          <w:sz w:val="18"/>
        </w:rPr>
      </w:pPr>
      <w:r>
        <w:rPr>
          <w:i/>
          <w:sz w:val="18"/>
        </w:rPr>
        <w:t xml:space="preserve">Источник: </w:t>
      </w:r>
      <w:r>
        <w:rPr>
          <w:sz w:val="18"/>
        </w:rPr>
        <w:t>ИНСЕЕ.</w:t>
      </w:r>
    </w:p>
    <w:p w:rsidR="00000000" w:rsidRDefault="00000000">
      <w:pPr>
        <w:rPr>
          <w:u w:val="single"/>
        </w:rPr>
      </w:pPr>
      <w:r>
        <w:t>2)</w:t>
      </w:r>
      <w:r>
        <w:tab/>
      </w:r>
      <w:r>
        <w:rPr>
          <w:rFonts w:ascii="TimesNewRoman,Bold" w:hAnsi="TimesNewRoman,Bold"/>
          <w:u w:val="single"/>
        </w:rPr>
        <w:t>Непрерывное</w:t>
      </w:r>
      <w:r>
        <w:rPr>
          <w:rFonts w:ascii="TimesNewRoman,Bold+1" w:hAnsi="TimesNewRoman,Bold+1"/>
          <w:u w:val="single"/>
        </w:rPr>
        <w:t xml:space="preserve"> </w:t>
      </w:r>
      <w:r>
        <w:rPr>
          <w:rFonts w:ascii="TimesNewRoman,Bold" w:hAnsi="TimesNewRoman,Bold"/>
          <w:u w:val="single"/>
        </w:rPr>
        <w:t>образование</w:t>
      </w:r>
    </w:p>
    <w:p w:rsidR="00000000" w:rsidRDefault="00000000">
      <w:r>
        <w:rPr>
          <w:rFonts w:ascii="TimesNewRoman" w:hAnsi="TimesNewRoman"/>
        </w:rPr>
        <w:t>Доступ к профессиональному образованию</w:t>
      </w:r>
      <w:r>
        <w:t xml:space="preserve"> зависит от сектора деятельности, государственного или частного, от социально-профессиональной категории деятельности, от размера предприятия, от количества рабочего времени и от пола. Женщины, работающие в частном секторе, имеют по сравнению с мужчинами меньший доступ к непрерывному образованию (20 процентов против 23 процентов). То же наблюдается в государственном секторе, хотя с</w:t>
      </w:r>
      <w:r>
        <w:rPr>
          <w:rFonts w:ascii="TimesNewRoman" w:hAnsi="TimesNewRoman"/>
        </w:rPr>
        <w:t>тепень доступа женщин к непрерывному образованию</w:t>
      </w:r>
      <w:r>
        <w:t xml:space="preserve"> в нем выше (31 процент против 33 процентов).</w:t>
      </w:r>
    </w:p>
    <w:p w:rsidR="00000000" w:rsidRDefault="00000000">
      <w:r>
        <w:t>В категориях служащих и рабочих (которые имеют меньший доступ к непрерывному образованию)</w:t>
      </w:r>
      <w:r>
        <w:rPr>
          <w:rFonts w:ascii="TimesNewRoman" w:hAnsi="TimesNewRoman"/>
        </w:rPr>
        <w:t xml:space="preserve"> показатели разрыва в степени доступа</w:t>
      </w:r>
      <w:r>
        <w:t xml:space="preserve"> не в пользу женщин. Обратная картина наблюдается в категории руководящих работников и промежуточных профессий. С</w:t>
      </w:r>
      <w:r>
        <w:rPr>
          <w:rFonts w:ascii="TimesNewRoman" w:hAnsi="TimesNewRoman"/>
        </w:rPr>
        <w:t>тепень доступа женщин к непрерывному образованию</w:t>
      </w:r>
      <w:r>
        <w:t xml:space="preserve"> возрастает с увеличением размеров предприятия. На предприятиях с числом работников менее 100 человек</w:t>
      </w:r>
      <w:r>
        <w:rPr>
          <w:rFonts w:ascii="TimesNewRoman" w:hAnsi="TimesNewRoman"/>
        </w:rPr>
        <w:t xml:space="preserve"> показатели разрыва в степени доступа</w:t>
      </w:r>
      <w:r>
        <w:t xml:space="preserve"> оказываются в пользу женщин, и, наоборот, эти показатели оказываются в пользу мужчин на предприятиях с численностью работников более 100 человек (на которых с</w:t>
      </w:r>
      <w:r>
        <w:rPr>
          <w:rFonts w:ascii="TimesNewRoman" w:hAnsi="TimesNewRoman"/>
        </w:rPr>
        <w:t>тепень доступа к непрерывному образованию</w:t>
      </w:r>
      <w:r>
        <w:t xml:space="preserve"> является наиболее высокой). Наконец, занятость неполный рабочий день остается неблагоприятным моментом в плане получения доступа</w:t>
      </w:r>
      <w:r>
        <w:rPr>
          <w:rFonts w:ascii="TimesNewRoman" w:hAnsi="TimesNewRoman"/>
        </w:rPr>
        <w:t xml:space="preserve"> к непрерывному образованию</w:t>
      </w:r>
      <w:r>
        <w:t>.</w:t>
      </w:r>
    </w:p>
    <w:p w:rsidR="00000000" w:rsidRDefault="00000000">
      <w:r>
        <w:t>В сентябре 2003 года социальные партнеры заключили межведомственное соглашение, положения которого были перенесены в закон от 4 мая 2004 года, касающийся вопросов профессионального образования на протяжении всей жизни и социального диалога. В законе пересмотрены условия доступа трудящихся к образованию и по-новому определена связь между профессиональным образованием и рабочим временем. Были созданы два новых механизма доступа к образованию: индивидуальное право на образование и период профессионализации. Ряд положений этого закона касаются женщин и равноправия в области доступа к профессиональному образованию. Некоторые из них затрагивают вопросы доступа к периодам профессионализации после декретного отпуска или отпуска для воспитания ребенка, другие – вопросы более широкого плана. Так, статья Трудового кодекса, которая определяет сферу профессионального образования, дополнена пунктом, уточняющим, что профессиональное образование также направлено на то, чтобы дать возможность вернуться к трудовой деятельности тем лицам, которые прервали свою профессиональную деятельность в связи с уходом за своими детьми, своим супругом или родственником, находящимся в зависимом положении.</w:t>
      </w:r>
    </w:p>
    <w:p w:rsidR="00000000" w:rsidRDefault="00000000">
      <w:r>
        <w:t>Кроме того, в рамках трехгодичных межведомственных переговоров по вопросам приоритетов, целей и средств в области профессионального образования в настоящее время ставится задача увеличения степени доступа женщин к различным механизмам получения образования и определяются условия выполнения этой задачи.</w:t>
      </w:r>
    </w:p>
    <w:p w:rsidR="00000000" w:rsidRDefault="00000000">
      <w:pPr>
        <w:rPr>
          <w:u w:val="single"/>
        </w:rPr>
      </w:pPr>
      <w:r>
        <w:t>3)</w:t>
      </w:r>
      <w:r>
        <w:tab/>
      </w:r>
      <w:r>
        <w:rPr>
          <w:u w:val="single"/>
        </w:rPr>
        <w:t>Разрыв в заработной плате</w:t>
      </w:r>
    </w:p>
    <w:p w:rsidR="00000000" w:rsidRDefault="00000000">
      <w:r>
        <w:t>Средний разрыв в заработной плате между мужчинами и женщинами стабилизировался. Средняя заработная плата женщин, занятых полный рабочий день и неполный рабочий день, в 1998 году была на четверть меньше заработной платы мужчин</w:t>
      </w:r>
      <w:r>
        <w:rPr>
          <w:rStyle w:val="FootnoteReference"/>
        </w:rPr>
        <w:footnoteReference w:id="15"/>
      </w:r>
      <w:r>
        <w:t>.</w:t>
      </w:r>
    </w:p>
    <w:p w:rsidR="00000000" w:rsidRDefault="00000000">
      <w:r>
        <w:t>В 2003 году этот разрыв, рассчитанный по отношению к усредненной заработной плате, составил 21 процент</w:t>
      </w:r>
      <w:r>
        <w:rPr>
          <w:rStyle w:val="FootnoteReference"/>
        </w:rPr>
        <w:footnoteReference w:id="16"/>
      </w:r>
      <w:r>
        <w:t>. Он включает последствия занятости неполный рабочий день, которая чаще распространена среди женщин. Поэтому, если иметь в виду только работников, занятых полный рабочий день, усредненный разрыв в заработной плате уменьшается до 11 процентов</w:t>
      </w:r>
      <w:r>
        <w:rPr>
          <w:rStyle w:val="FootnoteReference"/>
        </w:rPr>
        <w:footnoteReference w:id="17"/>
      </w:r>
      <w:r>
        <w:t>. В целом за последние 7 лет этот разрыв изменился незначительно.</w:t>
      </w:r>
    </w:p>
    <w:p w:rsidR="00000000" w:rsidRDefault="00000000">
      <w:r>
        <w:t>Другие источники позволяют сопоставлять среднюю, а не усредненную заработную плату работников частного сектора и полугосударственного сектора, с одной стороны, и государственных служащих, с другой стороны. Разрыв в зарплате между мужчинами и женщинами оказывается меньше в государственном секторе, где средняя заработная плата женщин в 2003 году была на 14,2 процента меньше заработной платы мужчин, в то время как в частном и полугосударственном секторах она была в среднем на 19,2 процента ниже. При этом, независимо от сектора, самый большой разрыв отмечается среди руководящих работников.</w:t>
      </w:r>
    </w:p>
    <w:p w:rsidR="00000000" w:rsidRDefault="00000000">
      <w:pPr>
        <w:rPr>
          <w:i/>
        </w:rPr>
      </w:pPr>
      <w:r>
        <w:rPr>
          <w:i/>
        </w:rPr>
        <w:t xml:space="preserve"> Разрыв в заработной плате между мужчинами и женщинами в частном и полугосударственном секторах, а также на государственной службе в 2003 году (соотношение средней заработной платы женщин и мужчин в процентах)</w:t>
      </w:r>
    </w:p>
    <w:tbl>
      <w:tblPr>
        <w:tblW w:w="0" w:type="auto"/>
        <w:tblInd w:w="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0" w:type="dxa"/>
          <w:right w:w="30" w:type="dxa"/>
        </w:tblCellMar>
        <w:tblLook w:val="0000" w:firstRow="0" w:lastRow="0" w:firstColumn="0" w:lastColumn="0" w:noHBand="0" w:noVBand="0"/>
      </w:tblPr>
      <w:tblGrid>
        <w:gridCol w:w="3154"/>
        <w:gridCol w:w="2121"/>
        <w:gridCol w:w="1766"/>
      </w:tblGrid>
      <w:tr w:rsidR="00000000">
        <w:tblPrEx>
          <w:tblCellMar>
            <w:top w:w="0" w:type="dxa"/>
            <w:bottom w:w="0" w:type="dxa"/>
          </w:tblCellMar>
        </w:tblPrEx>
        <w:tc>
          <w:tcPr>
            <w:tcW w:w="3154" w:type="dxa"/>
          </w:tcPr>
          <w:p w:rsidR="00000000" w:rsidRDefault="00000000">
            <w:pPr>
              <w:spacing w:before="40" w:after="40"/>
              <w:rPr>
                <w:b/>
                <w:snapToGrid w:val="0"/>
                <w:sz w:val="18"/>
                <w:lang w:eastAsia="en-US"/>
              </w:rPr>
            </w:pPr>
            <w:r>
              <w:rPr>
                <w:b/>
                <w:snapToGrid w:val="0"/>
                <w:sz w:val="18"/>
                <w:lang w:eastAsia="en-US"/>
              </w:rPr>
              <w:t>Социально-профессиональная категория</w:t>
            </w:r>
          </w:p>
        </w:tc>
        <w:tc>
          <w:tcPr>
            <w:tcW w:w="2121" w:type="dxa"/>
          </w:tcPr>
          <w:p w:rsidR="00000000" w:rsidRDefault="00000000">
            <w:pPr>
              <w:spacing w:before="40" w:after="40"/>
              <w:jc w:val="center"/>
              <w:rPr>
                <w:b/>
                <w:snapToGrid w:val="0"/>
                <w:sz w:val="18"/>
              </w:rPr>
            </w:pPr>
            <w:r>
              <w:rPr>
                <w:b/>
                <w:snapToGrid w:val="0"/>
                <w:sz w:val="18"/>
              </w:rPr>
              <w:t>Частный и полугосударственный секторы (1)</w:t>
            </w:r>
          </w:p>
        </w:tc>
        <w:tc>
          <w:tcPr>
            <w:tcW w:w="1766" w:type="dxa"/>
          </w:tcPr>
          <w:p w:rsidR="00000000" w:rsidRDefault="00000000">
            <w:pPr>
              <w:spacing w:before="40" w:after="40"/>
              <w:jc w:val="center"/>
              <w:rPr>
                <w:b/>
                <w:snapToGrid w:val="0"/>
                <w:sz w:val="18"/>
              </w:rPr>
            </w:pPr>
            <w:r>
              <w:rPr>
                <w:b/>
                <w:snapToGrid w:val="0"/>
                <w:sz w:val="18"/>
              </w:rPr>
              <w:t>Государственная служба (2)</w:t>
            </w:r>
          </w:p>
        </w:tc>
      </w:tr>
      <w:tr w:rsidR="00000000">
        <w:tblPrEx>
          <w:tblCellMar>
            <w:top w:w="0" w:type="dxa"/>
            <w:bottom w:w="0" w:type="dxa"/>
          </w:tblCellMar>
        </w:tblPrEx>
        <w:tc>
          <w:tcPr>
            <w:tcW w:w="3154" w:type="dxa"/>
          </w:tcPr>
          <w:p w:rsidR="00000000" w:rsidRDefault="00000000">
            <w:pPr>
              <w:spacing w:before="40" w:after="40"/>
              <w:rPr>
                <w:snapToGrid w:val="0"/>
                <w:sz w:val="18"/>
              </w:rPr>
            </w:pPr>
            <w:r>
              <w:rPr>
                <w:snapToGrid w:val="0"/>
                <w:sz w:val="18"/>
              </w:rPr>
              <w:t xml:space="preserve">Руководящие работники </w:t>
            </w:r>
          </w:p>
        </w:tc>
        <w:tc>
          <w:tcPr>
            <w:tcW w:w="2121" w:type="dxa"/>
          </w:tcPr>
          <w:p w:rsidR="00000000" w:rsidRDefault="00000000">
            <w:pPr>
              <w:spacing w:before="40" w:after="40"/>
              <w:ind w:right="907"/>
              <w:jc w:val="right"/>
              <w:rPr>
                <w:snapToGrid w:val="0"/>
                <w:sz w:val="18"/>
              </w:rPr>
            </w:pPr>
            <w:r>
              <w:rPr>
                <w:snapToGrid w:val="0"/>
                <w:sz w:val="18"/>
              </w:rPr>
              <w:t>–22,5</w:t>
            </w:r>
          </w:p>
        </w:tc>
        <w:tc>
          <w:tcPr>
            <w:tcW w:w="1766" w:type="dxa"/>
          </w:tcPr>
          <w:p w:rsidR="00000000" w:rsidRDefault="00000000">
            <w:pPr>
              <w:spacing w:before="40" w:after="40"/>
              <w:ind w:right="680"/>
              <w:jc w:val="right"/>
              <w:rPr>
                <w:snapToGrid w:val="0"/>
                <w:sz w:val="18"/>
              </w:rPr>
            </w:pPr>
            <w:r>
              <w:rPr>
                <w:snapToGrid w:val="0"/>
                <w:sz w:val="18"/>
              </w:rPr>
              <w:t>–18,2</w:t>
            </w:r>
          </w:p>
        </w:tc>
      </w:tr>
      <w:tr w:rsidR="00000000">
        <w:tblPrEx>
          <w:tblCellMar>
            <w:top w:w="0" w:type="dxa"/>
            <w:bottom w:w="0" w:type="dxa"/>
          </w:tblCellMar>
        </w:tblPrEx>
        <w:tc>
          <w:tcPr>
            <w:tcW w:w="3154" w:type="dxa"/>
          </w:tcPr>
          <w:p w:rsidR="00000000" w:rsidRDefault="00000000">
            <w:pPr>
              <w:spacing w:before="40" w:after="40"/>
              <w:rPr>
                <w:snapToGrid w:val="0"/>
                <w:sz w:val="18"/>
              </w:rPr>
            </w:pPr>
            <w:r>
              <w:rPr>
                <w:snapToGrid w:val="0"/>
                <w:sz w:val="18"/>
              </w:rPr>
              <w:t>Промежуточные профессии</w:t>
            </w:r>
          </w:p>
        </w:tc>
        <w:tc>
          <w:tcPr>
            <w:tcW w:w="2121" w:type="dxa"/>
          </w:tcPr>
          <w:p w:rsidR="00000000" w:rsidRDefault="00000000">
            <w:pPr>
              <w:spacing w:before="40" w:after="40"/>
              <w:ind w:right="907"/>
              <w:jc w:val="right"/>
              <w:rPr>
                <w:snapToGrid w:val="0"/>
                <w:sz w:val="18"/>
              </w:rPr>
            </w:pPr>
            <w:r>
              <w:rPr>
                <w:snapToGrid w:val="0"/>
                <w:sz w:val="18"/>
              </w:rPr>
              <w:t>–11,8</w:t>
            </w:r>
          </w:p>
        </w:tc>
        <w:tc>
          <w:tcPr>
            <w:tcW w:w="1766" w:type="dxa"/>
          </w:tcPr>
          <w:p w:rsidR="00000000" w:rsidRDefault="00000000">
            <w:pPr>
              <w:spacing w:before="40" w:after="40"/>
              <w:ind w:right="680"/>
              <w:jc w:val="right"/>
              <w:rPr>
                <w:snapToGrid w:val="0"/>
                <w:sz w:val="18"/>
              </w:rPr>
            </w:pPr>
            <w:r>
              <w:rPr>
                <w:snapToGrid w:val="0"/>
                <w:sz w:val="18"/>
              </w:rPr>
              <w:t>–6,9</w:t>
            </w:r>
          </w:p>
        </w:tc>
      </w:tr>
      <w:tr w:rsidR="00000000">
        <w:tblPrEx>
          <w:tblCellMar>
            <w:top w:w="0" w:type="dxa"/>
            <w:bottom w:w="0" w:type="dxa"/>
          </w:tblCellMar>
        </w:tblPrEx>
        <w:trPr>
          <w:cantSplit/>
        </w:trPr>
        <w:tc>
          <w:tcPr>
            <w:tcW w:w="3154" w:type="dxa"/>
          </w:tcPr>
          <w:p w:rsidR="00000000" w:rsidRDefault="00000000">
            <w:pPr>
              <w:spacing w:before="40" w:after="40"/>
              <w:rPr>
                <w:snapToGrid w:val="0"/>
                <w:sz w:val="18"/>
              </w:rPr>
            </w:pPr>
            <w:r>
              <w:rPr>
                <w:snapToGrid w:val="0"/>
                <w:sz w:val="18"/>
              </w:rPr>
              <w:t>Служащие</w:t>
            </w:r>
          </w:p>
        </w:tc>
        <w:tc>
          <w:tcPr>
            <w:tcW w:w="2121" w:type="dxa"/>
          </w:tcPr>
          <w:p w:rsidR="00000000" w:rsidRDefault="00000000">
            <w:pPr>
              <w:spacing w:before="40" w:after="40"/>
              <w:ind w:right="907"/>
              <w:jc w:val="right"/>
              <w:rPr>
                <w:snapToGrid w:val="0"/>
                <w:sz w:val="18"/>
              </w:rPr>
            </w:pPr>
            <w:r>
              <w:rPr>
                <w:snapToGrid w:val="0"/>
                <w:sz w:val="18"/>
              </w:rPr>
              <w:t>–5,1</w:t>
            </w:r>
          </w:p>
        </w:tc>
        <w:tc>
          <w:tcPr>
            <w:tcW w:w="1766" w:type="dxa"/>
            <w:vMerge w:val="restart"/>
            <w:vAlign w:val="center"/>
          </w:tcPr>
          <w:p w:rsidR="00000000" w:rsidRDefault="00000000">
            <w:pPr>
              <w:spacing w:before="40" w:after="40"/>
              <w:ind w:right="680"/>
              <w:jc w:val="right"/>
              <w:rPr>
                <w:snapToGrid w:val="0"/>
                <w:sz w:val="18"/>
              </w:rPr>
            </w:pPr>
            <w:r>
              <w:rPr>
                <w:snapToGrid w:val="0"/>
                <w:sz w:val="18"/>
              </w:rPr>
              <w:t>–14,1</w:t>
            </w:r>
          </w:p>
        </w:tc>
      </w:tr>
      <w:tr w:rsidR="00000000">
        <w:tblPrEx>
          <w:tblCellMar>
            <w:top w:w="0" w:type="dxa"/>
            <w:bottom w:w="0" w:type="dxa"/>
          </w:tblCellMar>
        </w:tblPrEx>
        <w:trPr>
          <w:cantSplit/>
        </w:trPr>
        <w:tc>
          <w:tcPr>
            <w:tcW w:w="3154" w:type="dxa"/>
          </w:tcPr>
          <w:p w:rsidR="00000000" w:rsidRDefault="00000000">
            <w:pPr>
              <w:spacing w:before="40" w:after="40"/>
              <w:rPr>
                <w:snapToGrid w:val="0"/>
                <w:sz w:val="18"/>
              </w:rPr>
            </w:pPr>
            <w:r>
              <w:rPr>
                <w:snapToGrid w:val="0"/>
                <w:sz w:val="18"/>
              </w:rPr>
              <w:t>Рабочие</w:t>
            </w:r>
          </w:p>
        </w:tc>
        <w:tc>
          <w:tcPr>
            <w:tcW w:w="2121" w:type="dxa"/>
          </w:tcPr>
          <w:p w:rsidR="00000000" w:rsidRDefault="00000000">
            <w:pPr>
              <w:spacing w:before="40" w:after="40"/>
              <w:ind w:right="907"/>
              <w:jc w:val="right"/>
              <w:rPr>
                <w:snapToGrid w:val="0"/>
                <w:sz w:val="18"/>
              </w:rPr>
            </w:pPr>
            <w:r>
              <w:rPr>
                <w:snapToGrid w:val="0"/>
                <w:sz w:val="18"/>
              </w:rPr>
              <w:t>–16,9</w:t>
            </w:r>
          </w:p>
        </w:tc>
        <w:tc>
          <w:tcPr>
            <w:tcW w:w="1766" w:type="dxa"/>
            <w:vMerge/>
          </w:tcPr>
          <w:p w:rsidR="00000000" w:rsidRDefault="00000000">
            <w:pPr>
              <w:spacing w:before="40" w:after="40"/>
              <w:ind w:right="680"/>
              <w:jc w:val="right"/>
              <w:rPr>
                <w:snapToGrid w:val="0"/>
                <w:sz w:val="18"/>
              </w:rPr>
            </w:pPr>
          </w:p>
        </w:tc>
      </w:tr>
      <w:tr w:rsidR="00000000">
        <w:tblPrEx>
          <w:tblCellMar>
            <w:top w:w="0" w:type="dxa"/>
            <w:bottom w:w="0" w:type="dxa"/>
          </w:tblCellMar>
        </w:tblPrEx>
        <w:tc>
          <w:tcPr>
            <w:tcW w:w="3154" w:type="dxa"/>
          </w:tcPr>
          <w:p w:rsidR="00000000" w:rsidRDefault="00000000">
            <w:pPr>
              <w:spacing w:before="40" w:after="40"/>
              <w:rPr>
                <w:b/>
                <w:snapToGrid w:val="0"/>
                <w:sz w:val="18"/>
              </w:rPr>
            </w:pPr>
            <w:r>
              <w:rPr>
                <w:b/>
                <w:snapToGrid w:val="0"/>
                <w:sz w:val="18"/>
              </w:rPr>
              <w:t>Всего</w:t>
            </w:r>
          </w:p>
        </w:tc>
        <w:tc>
          <w:tcPr>
            <w:tcW w:w="2121" w:type="dxa"/>
          </w:tcPr>
          <w:p w:rsidR="00000000" w:rsidRDefault="00000000">
            <w:pPr>
              <w:spacing w:before="40" w:after="40"/>
              <w:ind w:right="907"/>
              <w:jc w:val="right"/>
              <w:rPr>
                <w:b/>
                <w:snapToGrid w:val="0"/>
                <w:sz w:val="18"/>
              </w:rPr>
            </w:pPr>
            <w:r>
              <w:rPr>
                <w:b/>
                <w:snapToGrid w:val="0"/>
                <w:sz w:val="18"/>
              </w:rPr>
              <w:t>–19,2</w:t>
            </w:r>
          </w:p>
        </w:tc>
        <w:tc>
          <w:tcPr>
            <w:tcW w:w="1766" w:type="dxa"/>
          </w:tcPr>
          <w:p w:rsidR="00000000" w:rsidRDefault="00000000">
            <w:pPr>
              <w:spacing w:before="40" w:after="40"/>
              <w:ind w:right="680"/>
              <w:jc w:val="right"/>
              <w:rPr>
                <w:b/>
                <w:snapToGrid w:val="0"/>
                <w:sz w:val="18"/>
              </w:rPr>
            </w:pPr>
            <w:r>
              <w:rPr>
                <w:b/>
                <w:snapToGrid w:val="0"/>
                <w:sz w:val="18"/>
              </w:rPr>
              <w:t>–14,2</w:t>
            </w:r>
          </w:p>
        </w:tc>
      </w:tr>
    </w:tbl>
    <w:p w:rsidR="00000000" w:rsidRDefault="00000000">
      <w:pPr>
        <w:spacing w:after="120"/>
        <w:rPr>
          <w:sz w:val="18"/>
        </w:rPr>
      </w:pPr>
      <w:r>
        <w:rPr>
          <w:sz w:val="18"/>
        </w:rPr>
        <w:t>1)</w:t>
      </w:r>
      <w:r>
        <w:rPr>
          <w:sz w:val="18"/>
        </w:rPr>
        <w:tab/>
        <w:t>Область применения: чистая средняя годовая заработная плата по текущему курсу евро при занятости полный рабочий день в частном и полугосударственном секторах.</w:t>
      </w:r>
    </w:p>
    <w:p w:rsidR="00000000" w:rsidRDefault="00000000">
      <w:pPr>
        <w:spacing w:after="120"/>
        <w:rPr>
          <w:sz w:val="18"/>
        </w:rPr>
      </w:pPr>
      <w:r>
        <w:rPr>
          <w:i/>
          <w:sz w:val="18"/>
        </w:rPr>
        <w:t>Источник:</w:t>
      </w:r>
      <w:r>
        <w:rPr>
          <w:sz w:val="18"/>
        </w:rPr>
        <w:t xml:space="preserve"> ИНСЕЕ, ежегодные декларации социальных данных (ЕДСД), окончательные за 2002 год, неокончательные за 2003 год.</w:t>
      </w:r>
    </w:p>
    <w:p w:rsidR="00000000" w:rsidRDefault="00000000">
      <w:pPr>
        <w:spacing w:after="120"/>
        <w:rPr>
          <w:sz w:val="18"/>
        </w:rPr>
      </w:pPr>
      <w:r>
        <w:rPr>
          <w:sz w:val="18"/>
        </w:rPr>
        <w:t>2)</w:t>
      </w:r>
      <w:r>
        <w:rPr>
          <w:sz w:val="18"/>
        </w:rPr>
        <w:tab/>
        <w:t>Область применения: чистая средняя годовая заработная плата всех государственных служащих гражданских министерств.</w:t>
      </w:r>
    </w:p>
    <w:p w:rsidR="00000000" w:rsidRDefault="00000000">
      <w:pPr>
        <w:spacing w:after="120"/>
        <w:rPr>
          <w:sz w:val="18"/>
        </w:rPr>
      </w:pPr>
      <w:r>
        <w:rPr>
          <w:i/>
          <w:sz w:val="18"/>
        </w:rPr>
        <w:t>Источник:</w:t>
      </w:r>
      <w:r>
        <w:rPr>
          <w:sz w:val="18"/>
        </w:rPr>
        <w:t xml:space="preserve"> ИНСЕЕ, неокончательная платежная карточка государственных служащих за 2003 год. </w:t>
      </w:r>
    </w:p>
    <w:p w:rsidR="00000000" w:rsidRDefault="00000000">
      <w:pPr>
        <w:spacing w:after="120"/>
        <w:rPr>
          <w:sz w:val="18"/>
        </w:rPr>
      </w:pPr>
    </w:p>
    <w:p w:rsidR="00000000" w:rsidRDefault="00000000">
      <w:pPr>
        <w:rPr>
          <w:u w:val="single"/>
        </w:rPr>
      </w:pPr>
      <w:r>
        <w:t>4)</w:t>
      </w:r>
      <w:r>
        <w:tab/>
      </w:r>
      <w:r>
        <w:rPr>
          <w:u w:val="single"/>
        </w:rPr>
        <w:t>Концентрация женщин на фоне ограниченного выбора профессий</w:t>
      </w:r>
    </w:p>
    <w:p w:rsidR="00000000" w:rsidRDefault="00000000">
      <w:r>
        <w:t>Занятость продолжает носить ярко выраженный гендерный характер как по профессиональным секторам, так и по социально-профессиональным категориям. Являясь в своем большинстве наемными работниками (91,9 процента женщин против 85,8 процента мужчин), женщины гораздо чаще, чем мужчины, работают в государственном секторе (28,2 процента против 16,2 процента). Рабочие места женщин сконцентрированы в сфере услуг. В промышленности и строительстве преобладают мужчины. Около половины женщин являются служащими, в то время как треть мужчин являются рабочими. Две трети руководящих должностей в частном секторе заняты мужчинами, и менее 2 руководящих работников из 10 являются женщинами.</w:t>
      </w:r>
    </w:p>
    <w:p w:rsidR="00000000" w:rsidRDefault="00000000">
      <w:r>
        <w:t>Поэтому, чтобы ликвидировать препятствия для женской занятости, министр по вопросам паритета предложил организациям работодателей и профсоюзным организациям трудящихся провести эксперимент по внедрению новых методов вовлечения женщин в те отрасли, в которых они пока представлены незначительно. Речь также шла о проведении мероприятий в области образования, которые способствуют смешанному характеру профессионального образования и учету равенства между женщинами и мужчинами в программах, которые входят в сферу ответственности социальных партнеров.</w:t>
      </w:r>
    </w:p>
    <w:p w:rsidR="00000000" w:rsidRDefault="00000000">
      <w:pPr>
        <w:ind w:left="567" w:hanging="567"/>
        <w:rPr>
          <w:b/>
        </w:rPr>
      </w:pPr>
      <w:r>
        <w:rPr>
          <w:b/>
        </w:rPr>
        <w:t>В)</w:t>
      </w:r>
      <w:r>
        <w:rPr>
          <w:b/>
        </w:rPr>
        <w:tab/>
        <w:t xml:space="preserve">Новые формы неравенства: развитие нетипичных форм труда, являющихся факторами неустойчивости на рынке занятости </w:t>
      </w:r>
    </w:p>
    <w:p w:rsidR="00000000" w:rsidRDefault="00000000">
      <w:pPr>
        <w:ind w:left="567" w:hanging="567"/>
        <w:rPr>
          <w:u w:val="single"/>
        </w:rPr>
      </w:pPr>
      <w:r>
        <w:t>1)</w:t>
      </w:r>
      <w:r>
        <w:tab/>
      </w:r>
      <w:r>
        <w:rPr>
          <w:u w:val="single"/>
        </w:rPr>
        <w:t>Условия занятости: срочный контракт, работа на условиях неполного рабочего дня и неквалифицированный труд характерны для занятости большого числа женщин</w:t>
      </w:r>
    </w:p>
    <w:p w:rsidR="00000000" w:rsidRDefault="00000000">
      <w:r>
        <w:t>Профессиональное трудоустройство также оценивается с точки зрения статуса работы, выполняемой женщинами на рынке труда, который будет определять, останутся они на этой работе или нет. В 1990-х годах рост деловой активности женщин сопровождался глубокими изменениями на рынке труда, в частности, широкое распространение получили временное исполнение обязанностей, срочные контракты, работа на условиях неполного рабочего дня и рост числа рабочих мест, связанных с неквалифицированным трудом. Женщины представляют около двух третей трудящихся, занятых неквалифицированным трудом в таких секторах, как торговля, гостиничный и ресторанный бизнес, оказание персональных услуг и услуг на дому, где работа на условиях неполного рабочего дня и срочные контракты получили большое распространение. В 2002 году по специальным контрактам работало больше женщин, чем мужчин (срочные контракты, временное исполнение обязанностей, ученичество на договорных началах, контракты на оказание услуг): 12 процентов против 9 процентов. В конце 1990-х годов разрыв между мужчинами и женщинами сократился, но снова увеличился с 2001 года.</w:t>
      </w:r>
    </w:p>
    <w:p w:rsidR="00000000" w:rsidRDefault="00000000">
      <w:pPr>
        <w:rPr>
          <w:snapToGrid w:val="0"/>
        </w:rPr>
      </w:pPr>
      <w:r>
        <w:t>Кроме того, для занятости женщин весьма характерна работа на условиях неполного рабочего дня. Работа на таких условиях получила большое распространение за последние 20 лет, и сфера ее применения будет расширяться в результате роста потребностей в оказании различных услуг, в частности персональных услуг, которыми традиционно занимались женщины. Женщины работают на условиях неполного рабочего дня в 5 раз чаще, чем мужчины, а из общего числа работающих женщин 30 процентов заняты на условиях неполного рабочего дня. Женщины в 4 раза больше, чем мужчины, работают на условиях неполной занятости, то есть заняты частично, в то время как они хотели бы работать больше.</w:t>
      </w:r>
      <w:r>
        <w:rPr>
          <w:snapToGrid w:val="0"/>
        </w:rPr>
        <w:t xml:space="preserve"> </w:t>
      </w:r>
    </w:p>
    <w:p w:rsidR="00000000" w:rsidRDefault="00000000">
      <w:pPr>
        <w:rPr>
          <w:snapToGrid w:val="0"/>
        </w:rPr>
      </w:pPr>
      <w:r>
        <w:rPr>
          <w:snapToGrid w:val="0"/>
        </w:rPr>
        <w:t>Частичная занятость является источником неравноправия между женщинами и мужчинами: препятствия для служебного роста, неравенство в доходах и размеры будущих пенсий. Она также является источником расслоения среди самих женщин. Действительно, когда со стороны работодателя навязывается работа с частичной занятостью, с точки зрения условий труда речь идет о неквалифицированной работе по гибкому графику. Этот статус нестабильной занятости приводит к неустойчивому положению и ухудшению условий жизни.</w:t>
      </w:r>
    </w:p>
    <w:p w:rsidR="00000000" w:rsidRDefault="00000000">
      <w:pPr>
        <w:rPr>
          <w:snapToGrid w:val="0"/>
        </w:rPr>
      </w:pPr>
      <w:r>
        <w:rPr>
          <w:snapToGrid w:val="0"/>
        </w:rPr>
        <w:t>С целью улучшения условий труда с неполной занятостью, в частности женщин, частично занятых, работающих по так называемому суженному графику, министр по вопросам паритета начал диалог с социальными партнерами (в частности, с наиболее заинтересованными федерациями профессиональных союзов: в сферах торговли и сбыта; безопасности; гостинично-ресторанном секторе). Следует и дальше развивать диалог по проблеме занятости неполный рабочий день и распространять передовые методы в таких областях, как организация труда, продолжительность рабочего времени, повышение профессиональной квалификации и образование, присмотр за детьми, а также транспорт.</w:t>
      </w:r>
    </w:p>
    <w:p w:rsidR="00000000" w:rsidRDefault="00000000">
      <w:pPr>
        <w:ind w:left="567" w:hanging="567"/>
      </w:pPr>
      <w:r>
        <w:t>2)</w:t>
      </w:r>
      <w:r>
        <w:tab/>
      </w:r>
      <w:r>
        <w:rPr>
          <w:u w:val="single"/>
        </w:rPr>
        <w:t>Снижение классификационного разряда при найме на работу: процесс непризнания уровня образования женщин, усугубляющий неустойчивое положение женщин на рынке занятости</w:t>
      </w:r>
    </w:p>
    <w:p w:rsidR="00000000" w:rsidRDefault="00000000">
      <w:r>
        <w:t xml:space="preserve">Будучи большей частью занятыми неполностью, женщины к тому же имеют более высокий уровень образования и квалификации, чем требуется для занимаемой ими должности. </w:t>
      </w:r>
      <w:r>
        <w:rPr>
          <w:i/>
        </w:rPr>
        <w:t>На самом деле, увеличение срока обучения в школе для девочек сопровождается все более очевидным "отрывом" уровня образования по диплому от уровня квалификации по занимаемой должности. Наличие свидетельства о профессиональной пригодности защищает женщин в меньшей степени, чем мужчин, от потери квалификации. Женщины не только очень широко представлены среди неквалифицированных работников, но они навсегда остаются на этой неквалифицированной работе. В действительности, крайне феминизированные социально-профессиональные категории (помощники по уходу за детьми, больничный персонал, государственные служащие) являются такими категориями, в которых отмечается самый высокий уровень длительной занятости неквалифицированным трудом.</w:t>
      </w:r>
      <w:r>
        <w:t xml:space="preserve"> </w:t>
      </w:r>
    </w:p>
    <w:p w:rsidR="00000000" w:rsidRDefault="00000000">
      <w:r>
        <w:t>Вместе с тем, учитывая высокий уровень образования женщин, можно сказать, что среди женщин большое число компетентных работников, которые недостаточно используются в экономике и предоставляют б</w:t>
      </w:r>
      <w:r>
        <w:rPr>
          <w:lang/>
        </w:rPr>
        <w:t>ó</w:t>
      </w:r>
      <w:r>
        <w:t xml:space="preserve">льшие возможности для решения проблемы нехватки рабочей силы, создания многообразия квалифицированных работников, необходимого для предприятий, и улучшения условий труда. Следовательно, связь между экономическим ростом и равноправием в профессиональной сфере неоспорима. Оба фактора находятся во взаимодействии и оказывают влияние на другие сферы общественной жизни. Поэтому помимо соображений принципиального характера вопрос о равноправии в профессиональной деятельности является неотложным для всего общества. Правительство и социальные партнеры стремятся решить эту приоритетную задачу путем проведения многочисленных мероприятий. </w:t>
      </w:r>
    </w:p>
    <w:p w:rsidR="00000000" w:rsidRDefault="00000000">
      <w:pPr>
        <w:rPr>
          <w:u w:val="single"/>
        </w:rPr>
      </w:pPr>
      <w:r>
        <w:t>II)</w:t>
      </w:r>
      <w:r>
        <w:tab/>
      </w:r>
      <w:r>
        <w:rPr>
          <w:u w:val="single"/>
        </w:rPr>
        <w:t xml:space="preserve">Политика занятости в интересах женщин </w:t>
      </w:r>
    </w:p>
    <w:p w:rsidR="00000000" w:rsidRDefault="00000000">
      <w:pPr>
        <w:rPr>
          <w:b/>
        </w:rPr>
      </w:pPr>
      <w:r>
        <w:rPr>
          <w:b/>
        </w:rPr>
        <w:t>A)</w:t>
      </w:r>
      <w:r>
        <w:rPr>
          <w:b/>
        </w:rPr>
        <w:tab/>
        <w:t>Деятельность государственных органов по вопросам занятости</w:t>
      </w:r>
    </w:p>
    <w:p w:rsidR="00000000" w:rsidRDefault="00000000">
      <w:r>
        <w:t xml:space="preserve">Участие </w:t>
      </w:r>
      <w:r>
        <w:rPr>
          <w:rFonts w:ascii="TimesNewRoman" w:hAnsi="TimesNewRoman"/>
        </w:rPr>
        <w:t>Служб</w:t>
      </w:r>
      <w:r>
        <w:t xml:space="preserve">ы </w:t>
      </w:r>
      <w:r>
        <w:rPr>
          <w:rFonts w:ascii="TimesNewRoman" w:hAnsi="TimesNewRoman"/>
        </w:rPr>
        <w:t>по правам женщин и вопросам равенства</w:t>
      </w:r>
      <w:r>
        <w:t xml:space="preserve"> в работе Государственной службы занятости, которая включает Генеральную делегацию по вопросам занятости и профессионального образования, Национальное агентство занятости и Национальную ассоциацию по профессиональной подготовке взрослых, позволило последовательно включить гендерный аспект в разработку мероприятий, направленных на улучшение положения в области занятости. Не случайно, что начиная с 2004 года сокращение долгосрочной безработицы среди женщин (5 процентов в год) является одной из приоритетных задач Государственной службы занятости. </w:t>
      </w:r>
    </w:p>
    <w:p w:rsidR="00000000" w:rsidRDefault="00000000">
      <w:pPr>
        <w:keepNext/>
        <w:rPr>
          <w:b/>
        </w:rPr>
      </w:pPr>
      <w:r>
        <w:rPr>
          <w:b/>
        </w:rPr>
        <w:t>B)</w:t>
      </w:r>
      <w:r>
        <w:rPr>
          <w:b/>
        </w:rPr>
        <w:tab/>
        <w:t>План социального единства</w:t>
      </w:r>
    </w:p>
    <w:p w:rsidR="00000000" w:rsidRDefault="00000000">
      <w:r>
        <w:t>План социального единства, представленный правительством в июле 2004 года и нашедший выражение в законе от января 2005 года, включает специальную программу по вопросам равенства между мужчинами и женщинами, в соответствии с которой:</w:t>
      </w:r>
    </w:p>
    <w:p w:rsidR="00000000" w:rsidRDefault="00000000">
      <w:pPr>
        <w:ind w:left="567" w:hanging="567"/>
      </w:pPr>
      <w:r>
        <w:t>–</w:t>
      </w:r>
      <w:r>
        <w:tab/>
        <w:t>межведомственные соглашения могут предусматривать условия, в которых период отсутствия на работе наемных работников, трудовой договор которых приостанавливается на весь срок отпуска для воспитания детей, полностью оплачивается;</w:t>
      </w:r>
    </w:p>
    <w:p w:rsidR="00000000" w:rsidRDefault="00000000">
      <w:pPr>
        <w:ind w:left="567" w:hanging="567"/>
      </w:pPr>
      <w:r>
        <w:t>–</w:t>
      </w:r>
      <w:r>
        <w:tab/>
        <w:t>на период приостановления действия трудового договора в связи с отпуском для воспитания детей права, предоставляемые на основании личного права на профессиональную подготовку в объеме 20 часов в год, сохраняются.</w:t>
      </w:r>
    </w:p>
    <w:p w:rsidR="00000000" w:rsidRDefault="00000000">
      <w:r>
        <w:t xml:space="preserve">Наряду с этим предусматривается использование "договоров будущего" (трудовых договоров, поддерживаемых в финансовом отношении государством), для женщин, которые имеют минимальный прожиточный уровень (в частности, пособие матери-одиночки). </w:t>
      </w:r>
    </w:p>
    <w:p w:rsidR="00000000" w:rsidRDefault="00000000">
      <w:r>
        <w:t>Наконец, этот закон от января 2005 года укрепляет меры обеспечения молодых людей, испытывающих трудности с получением работы на длительный срок:</w:t>
      </w:r>
    </w:p>
    <w:p w:rsidR="00000000" w:rsidRDefault="00000000">
      <w:pPr>
        <w:ind w:left="567" w:hanging="567"/>
      </w:pPr>
      <w:r>
        <w:t>–</w:t>
      </w:r>
      <w:r>
        <w:tab/>
        <w:t xml:space="preserve">Договор о включении в социальную жизнь помогает, в частности, молодым родителям, особенно матерям-одиночкам, решить свои проблемы; </w:t>
      </w:r>
    </w:p>
    <w:p w:rsidR="00000000" w:rsidRDefault="00000000">
      <w:pPr>
        <w:ind w:left="567" w:hanging="567"/>
      </w:pPr>
      <w:r>
        <w:t>–</w:t>
      </w:r>
      <w:r>
        <w:tab/>
        <w:t>"платформы призвания", разработанные Национальным агентством занятости, помогают девушкам и юношам лучше ориентироваться при выборе профессии.</w:t>
      </w:r>
    </w:p>
    <w:p w:rsidR="00000000" w:rsidRDefault="00000000">
      <w:pPr>
        <w:ind w:left="567" w:hanging="567"/>
        <w:rPr>
          <w:b/>
        </w:rPr>
      </w:pPr>
      <w:r>
        <w:rPr>
          <w:b/>
        </w:rPr>
        <w:t>C)</w:t>
      </w:r>
      <w:r>
        <w:rPr>
          <w:b/>
        </w:rPr>
        <w:tab/>
        <w:t xml:space="preserve">Рамочное соглашение между Национальным агентством занятости и Министерством по вопросам паритета (Служба по правам женщин и вопросам равенства) </w:t>
      </w:r>
    </w:p>
    <w:p w:rsidR="00000000" w:rsidRDefault="00000000">
      <w:r>
        <w:t>Для улучшения доступа женщин на рынок труда и гарантирования им получения качественной работы, в январе 2005 года Национальное агентство занятости и Служба по правам женщин и вопросам равенства заключили рамочное соглашение.</w:t>
      </w:r>
    </w:p>
    <w:p w:rsidR="00000000" w:rsidRDefault="00000000">
      <w:pPr>
        <w:ind w:left="567" w:hanging="567"/>
        <w:rPr>
          <w:b/>
        </w:rPr>
      </w:pPr>
      <w:r>
        <w:rPr>
          <w:b/>
        </w:rPr>
        <w:t>D)</w:t>
      </w:r>
      <w:r>
        <w:rPr>
          <w:b/>
        </w:rPr>
        <w:tab/>
        <w:t>Проект под названием "Участие Государственной службы занятости в деле восстановления равенства"</w:t>
      </w:r>
    </w:p>
    <w:p w:rsidR="00000000" w:rsidRDefault="00000000">
      <w:r>
        <w:t>Этот проект направлен на борьбу с дискриминацией по признаку пола и этнического происхождения</w:t>
      </w:r>
    </w:p>
    <w:p w:rsidR="00000000" w:rsidRDefault="00000000">
      <w:pPr>
        <w:rPr>
          <w:u w:val="single"/>
        </w:rPr>
      </w:pPr>
      <w:r>
        <w:t>III)</w:t>
      </w:r>
      <w:r>
        <w:tab/>
      </w:r>
      <w:r>
        <w:rPr>
          <w:u w:val="single"/>
        </w:rPr>
        <w:t>В основе социального диалога – равноправие в профессиональной области</w:t>
      </w:r>
    </w:p>
    <w:p w:rsidR="00000000" w:rsidRDefault="00000000">
      <w:pPr>
        <w:rPr>
          <w:rFonts w:ascii="TimesNewRoman" w:hAnsi="TimesNewRoman"/>
        </w:rPr>
      </w:pPr>
      <w:r>
        <w:t>1 марта 2004 года социальные партнеры заключили Национальное</w:t>
      </w:r>
      <w:r>
        <w:rPr>
          <w:rFonts w:ascii="TimesNewRoman" w:hAnsi="TimesNewRoman"/>
        </w:rPr>
        <w:t xml:space="preserve"> </w:t>
      </w:r>
      <w:r>
        <w:t>м</w:t>
      </w:r>
      <w:r>
        <w:rPr>
          <w:rFonts w:ascii="TimesNewRoman" w:hAnsi="TimesNewRoman"/>
        </w:rPr>
        <w:t>ежведомственно</w:t>
      </w:r>
      <w:r>
        <w:t>е</w:t>
      </w:r>
      <w:r>
        <w:rPr>
          <w:rFonts w:ascii="TimesNewRoman" w:hAnsi="TimesNewRoman"/>
        </w:rPr>
        <w:t xml:space="preserve"> соглашени</w:t>
      </w:r>
      <w:r>
        <w:t>е о представленности мужчин и женщин в профессиональных областях и о профессиональном равенстве между мужчинами и женщинами. Это соглашение стимулирует профессиональные отрасли и предприятия проводить различные мероприятия с целью:</w:t>
      </w:r>
    </w:p>
    <w:p w:rsidR="00000000" w:rsidRDefault="00000000">
      <w:r>
        <w:t>–</w:t>
      </w:r>
      <w:r>
        <w:tab/>
        <w:t>содействия диверсификации профессионального выбора девушек;</w:t>
      </w:r>
    </w:p>
    <w:p w:rsidR="00000000" w:rsidRDefault="00000000">
      <w:r>
        <w:t>–</w:t>
      </w:r>
      <w:r>
        <w:tab/>
        <w:t>поощрения представленности мужчин и женщин в профессиях;</w:t>
      </w:r>
    </w:p>
    <w:p w:rsidR="00000000" w:rsidRDefault="00000000">
      <w:r>
        <w:t>–</w:t>
      </w:r>
      <w:r>
        <w:tab/>
        <w:t>осуществления контроля равного доступа женщин и мужчин к занятости;</w:t>
      </w:r>
    </w:p>
    <w:p w:rsidR="00000000" w:rsidRDefault="00000000">
      <w:r>
        <w:t>–</w:t>
      </w:r>
      <w:r>
        <w:tab/>
        <w:t>содействия доступу женщин к профессиональному непрерывному образованию;</w:t>
      </w:r>
    </w:p>
    <w:p w:rsidR="00000000" w:rsidRDefault="00000000">
      <w:r>
        <w:t>–</w:t>
      </w:r>
      <w:r>
        <w:tab/>
        <w:t>содействия продвижению и мобильности женщин на рынке труда;</w:t>
      </w:r>
    </w:p>
    <w:p w:rsidR="00000000" w:rsidRDefault="00000000">
      <w:pPr>
        <w:ind w:left="567" w:hanging="567"/>
      </w:pPr>
      <w:r>
        <w:t>–</w:t>
      </w:r>
      <w:r>
        <w:tab/>
        <w:t xml:space="preserve">претворения в жизнь принципа равенства в заработной плате между женщинами и мужчинами. </w:t>
      </w:r>
    </w:p>
    <w:p w:rsidR="00000000" w:rsidRDefault="00000000">
      <w:pPr>
        <w:rPr>
          <w:u w:val="single"/>
        </w:rPr>
      </w:pPr>
      <w:r>
        <w:t>IV)</w:t>
      </w:r>
      <w:r>
        <w:tab/>
      </w:r>
      <w:r>
        <w:rPr>
          <w:u w:val="single"/>
        </w:rPr>
        <w:t>Законопроект о равенстве в заработной плате между женщинами и мужчинами</w:t>
      </w:r>
    </w:p>
    <w:p w:rsidR="00000000" w:rsidRDefault="00000000">
      <w:r>
        <w:t>Этот законопроект, в настоящее время находящийся на обсуждении в парламенте, знаменует собой решительную политику французского правительства и преследует четыре цели:</w:t>
      </w:r>
    </w:p>
    <w:p w:rsidR="00000000" w:rsidRDefault="00000000">
      <w:pPr>
        <w:rPr>
          <w:i/>
        </w:rPr>
      </w:pPr>
      <w:r>
        <w:rPr>
          <w:i/>
        </w:rPr>
        <w:t>Первая цель – ликвидация в течение 5 лет разрыва в заработной плате между женщинами и мужчинами с помощью переговоров в профессиональных отраслях и на предприятиях.</w:t>
      </w:r>
    </w:p>
    <w:p w:rsidR="00000000" w:rsidRDefault="00000000">
      <w:r>
        <w:t>В профессиональных отраслях цель ликвидации этого разрыва к 2010 году будет поставлена на обязательных переговорах. В том случае, если в течение одного года после публикации закона не будет проведено никаких переговоров, представительная профсоюзная организация может потребовать немедленного проведения таких переговоров. В случае невозможности достижения соглашения по инициативе министра труда будет создана смешанная паритетная комиссия, составленная (на равных началах) из представителей работодателей и трудящихся. Кроме того, отраслевой коллективный договор, в котором будут отсутствовать положения о ликвидации этого разрыва, не сможет быть распространен на другие секторы. На предприятиях также должны быть проведены переговоры. Соглашения о фактической заработной плате могут быть переданы на хранение в компетентные органы лишь в том случае, если к ним будет приложен протокол о проведении переговоров по вопросу о равенстве в заработной плате.</w:t>
      </w:r>
    </w:p>
    <w:p w:rsidR="00000000" w:rsidRDefault="00000000">
      <w:r>
        <w:t>Национальная конференция по вопросам равенства в заработной плате должна будет подвести итоги этапа применения на практике этого закона. Тогда правительство, в случае необходимости, представит законопроект, устанавливающий взимание денежного налога с фонда заработной платы для тех предприятий, которые не проведут переговоры по данному вопросу.</w:t>
      </w:r>
    </w:p>
    <w:p w:rsidR="00000000" w:rsidRDefault="00000000">
      <w:pPr>
        <w:rPr>
          <w:i/>
        </w:rPr>
      </w:pPr>
      <w:r>
        <w:rPr>
          <w:i/>
        </w:rPr>
        <w:t>Вторая цель – упорядочение вопросов занятости и отцовства и материнства:</w:t>
      </w:r>
    </w:p>
    <w:p w:rsidR="00000000" w:rsidRDefault="00000000">
      <w:pPr>
        <w:ind w:left="907" w:hanging="907"/>
      </w:pPr>
      <w:r>
        <w:tab/>
        <w:t>–</w:t>
      </w:r>
      <w:r>
        <w:tab/>
        <w:t>декретный отпуск или отпуск в связи с усыновлением (удочерением), часто являющийся причиной задержки роста заработной платы и продвижения по службе на предприятии, является предметом статьи 1 законопроекта. Это положение имеет целью нейтрализовать финансовые последствия, связанные с отпуском. Трудящийся/трудящаяся может претендовать на выплату денег в связи с общим повышением заработной платы на предприятии в его</w:t>
      </w:r>
      <w:r>
        <w:rPr>
          <w:lang/>
        </w:rPr>
        <w:t>/</w:t>
      </w:r>
      <w:r>
        <w:t xml:space="preserve">ее отсутствие, а также на получение повышенной индивидуальной средней заработной платы, которая была выплачена работникам той же профессиональной категории. </w:t>
      </w:r>
    </w:p>
    <w:p w:rsidR="00000000" w:rsidRDefault="00000000">
      <w:r>
        <w:t>При этом трудящемуся/трудящейся будет выплачиваться десятипроцентная надбавка в виде пособия на профессиональную подготовку, которая потребует дополнительных расходов по уходу за детьми при посещении им/ею курсов профессиональной подготовки в нерабочее время.</w:t>
      </w:r>
    </w:p>
    <w:p w:rsidR="00000000" w:rsidRDefault="00000000">
      <w:pPr>
        <w:rPr>
          <w:i/>
        </w:rPr>
      </w:pPr>
      <w:r>
        <w:rPr>
          <w:i/>
        </w:rPr>
        <w:t xml:space="preserve">Третья цель – доступ женщин в коллегиальные органы и органы, осуществляющие функции правосудия. </w:t>
      </w:r>
    </w:p>
    <w:p w:rsidR="00000000" w:rsidRDefault="00000000">
      <w:r>
        <w:t>Речь идет о гарантии более сбалансированного представительства женщин и мужчин в административных и прюдомальных советах.</w:t>
      </w:r>
    </w:p>
    <w:p w:rsidR="00000000" w:rsidRDefault="00000000">
      <w:pPr>
        <w:rPr>
          <w:i/>
        </w:rPr>
      </w:pPr>
      <w:r>
        <w:rPr>
          <w:i/>
        </w:rPr>
        <w:t>Четвертая цель – доступ девушек к ученичеству и профессиональному образованию.</w:t>
      </w:r>
    </w:p>
    <w:p w:rsidR="00000000" w:rsidRDefault="00000000">
      <w:pPr>
        <w:keepNext/>
        <w:rPr>
          <w:u w:val="single"/>
        </w:rPr>
      </w:pPr>
      <w:r>
        <w:t>V)</w:t>
      </w:r>
      <w:r>
        <w:tab/>
      </w:r>
      <w:r>
        <w:rPr>
          <w:u w:val="single"/>
        </w:rPr>
        <w:t xml:space="preserve">Сертификат о достижении равноправия </w:t>
      </w:r>
    </w:p>
    <w:p w:rsidR="00000000" w:rsidRDefault="00000000">
      <w:r>
        <w:t xml:space="preserve">Для поддержания этой динамики 28 июня 2004 года министр по вопросам паритета учредил для предприятий сертификат о достижении равноправия. Чтобы помочь предприятиям осуществить эту акцию, был выпущен справочник полезных рекомендаций. Этот сертификат является признанием того, что принцип представленности на предприятии как мужчин, так и женщин и равенство в </w:t>
      </w:r>
      <w:r>
        <w:rPr>
          <w:snapToGrid w:val="0"/>
        </w:rPr>
        <w:t>профессиональной области внедрены в процесс управления людскими ресурсами и в организацию деятельности или производства. Дело кандидата на получение данного сертификата рассматривается специальным уполномоченным органом в соответствии с техническими требованиями, включающими 18 критериев, которые охватывают 3 области:</w:t>
      </w:r>
    </w:p>
    <w:p w:rsidR="00000000" w:rsidRDefault="00000000">
      <w:pPr>
        <w:ind w:left="907" w:hanging="907"/>
      </w:pPr>
      <w:r>
        <w:tab/>
        <w:t>–</w:t>
      </w:r>
      <w:r>
        <w:tab/>
        <w:t>мероприятия, проводимые на предприятии для достижения равенства в профессиональной области;</w:t>
      </w:r>
    </w:p>
    <w:p w:rsidR="00000000" w:rsidRDefault="00000000">
      <w:r>
        <w:tab/>
        <w:t>–</w:t>
      </w:r>
      <w:r>
        <w:tab/>
        <w:t>управление людскими ресурсами и менеджмент;</w:t>
      </w:r>
    </w:p>
    <w:p w:rsidR="00000000" w:rsidRDefault="00000000">
      <w:r>
        <w:tab/>
        <w:t>–</w:t>
      </w:r>
      <w:r>
        <w:tab/>
        <w:t>учет материнства (отцовства) в рамках профессиональной деятельности.</w:t>
      </w:r>
    </w:p>
    <w:p w:rsidR="00000000" w:rsidRDefault="00000000">
      <w:r>
        <w:t>Решение о присуждении данного сертификата принимается комиссией, в состав которой входят социальные партнеры и представители государства. Сертификат выдается на 3 года, раз в полтора года проводится проверка, которая позволяет установить, продолжает ли обладатель сертификата соответствовать критериям, выдвигаемым при его присуждении, или нет.</w:t>
      </w:r>
    </w:p>
    <w:p w:rsidR="00000000" w:rsidRDefault="00000000">
      <w:r>
        <w:t>В период между июнем 2004 года и ноябрем 2005 года сертификат был присужден 18 предприятиям (102 038 работников)</w:t>
      </w:r>
      <w:r>
        <w:rPr>
          <w:rStyle w:val="FootnoteReference"/>
        </w:rPr>
        <w:footnoteReference w:id="18"/>
      </w:r>
      <w:r>
        <w:t>.</w:t>
      </w:r>
    </w:p>
    <w:p w:rsidR="00000000" w:rsidRDefault="00000000">
      <w:r>
        <w:t>Являясь настоящим инструментом соревнования между предприятиями, которые внедряют у себя передовые методы, сертификат о достижении равноправия также становится орудием прогресса, который свидетельствует о том, что предприятие, его использующее, действует в интересах равенства в профессиональной области. С целью развития такого равноправия министр по вопросам паритета стремится применять соответствующие требования к малым и средним предприятиям, на которых нет профсоюзного представителя. Введение данного сертификата – это пример полезного опыта, который Франция распространяет в рамках обмена с другими государствами – участниками Европейского союза.</w:t>
      </w:r>
    </w:p>
    <w:p w:rsidR="00000000" w:rsidRDefault="00000000">
      <w:pPr>
        <w:keepNext/>
      </w:pPr>
      <w:r>
        <w:t>VI)</w:t>
      </w:r>
      <w:r>
        <w:tab/>
      </w:r>
      <w:r>
        <w:rPr>
          <w:u w:val="single"/>
        </w:rPr>
        <w:t>Совмещение личной,</w:t>
      </w:r>
      <w:r>
        <w:rPr>
          <w:rFonts w:ascii="TimesNewRoman" w:hAnsi="TimesNewRoman"/>
          <w:u w:val="single"/>
        </w:rPr>
        <w:t xml:space="preserve"> семейной жизн</w:t>
      </w:r>
      <w:r>
        <w:rPr>
          <w:u w:val="single"/>
        </w:rPr>
        <w:t>и</w:t>
      </w:r>
      <w:r>
        <w:rPr>
          <w:rFonts w:ascii="TimesNewRoman" w:hAnsi="TimesNewRoman"/>
          <w:u w:val="single"/>
        </w:rPr>
        <w:t xml:space="preserve"> и профессиональной деятельност</w:t>
      </w:r>
      <w:r>
        <w:rPr>
          <w:u w:val="single"/>
        </w:rPr>
        <w:t>и</w:t>
      </w:r>
    </w:p>
    <w:p w:rsidR="00000000" w:rsidRDefault="00000000">
      <w:pPr>
        <w:rPr>
          <w:b/>
        </w:rPr>
      </w:pPr>
      <w:r>
        <w:rPr>
          <w:b/>
        </w:rPr>
        <w:t>A)</w:t>
      </w:r>
      <w:r>
        <w:rPr>
          <w:b/>
        </w:rPr>
        <w:tab/>
        <w:t>Отпуск отцу по уходу за ребенком</w:t>
      </w:r>
    </w:p>
    <w:p w:rsidR="00000000" w:rsidRDefault="00000000">
      <w:r>
        <w:t>Право на этот отпуск продолжительностью 11 дней предоставляется при рождении или усыновлении (удочерении) ребенка и оплачивается на тех же условиях, что и отпуск по беременности и родам. До верхнего предела уровня социального обеспечения (2352 евро) заработная плата сохраняется почти полностью. В 2004 году, как и в 2003 году, этот отпуск использовали около двух третей отцов, которых это потенциально касалось. В их число входят трудящиеся, самодеятельные работники и работники сельского хозяйства. Всего в 2004 году отпуск по уходу за ребенком получили 369 тыс.  отцов. Средняя продолжительность отпуска составила 10,8 дня. На момент введения этого отпуска предполагаемая доля отцов, имеющих такое право, составляла 40 процентов.</w:t>
      </w:r>
    </w:p>
    <w:p w:rsidR="00000000" w:rsidRDefault="00000000">
      <w:pPr>
        <w:rPr>
          <w:b/>
        </w:rPr>
      </w:pPr>
      <w:r>
        <w:rPr>
          <w:b/>
        </w:rPr>
        <w:t>B)</w:t>
      </w:r>
      <w:r>
        <w:rPr>
          <w:b/>
        </w:rPr>
        <w:tab/>
        <w:t xml:space="preserve">Успехи, достигнутые после Конференции по вопросам семьи в июне 2003 года </w:t>
      </w:r>
    </w:p>
    <w:p w:rsidR="00000000" w:rsidRDefault="00000000">
      <w:pPr>
        <w:rPr>
          <w:u w:val="single"/>
        </w:rPr>
      </w:pPr>
      <w:r>
        <w:t>1)</w:t>
      </w:r>
      <w:r>
        <w:tab/>
      </w:r>
      <w:r>
        <w:rPr>
          <w:u w:val="single"/>
        </w:rPr>
        <w:t xml:space="preserve">Пособие на маленького ребенка </w:t>
      </w:r>
    </w:p>
    <w:p w:rsidR="00000000" w:rsidRDefault="00000000">
      <w:r>
        <w:t>Это пособие было учреждено законом о финансировании социального обеспечения на 2004 год и введено с целью упрощения системы семейных пособий. Оно перестраивает всю систему пособий, сфокусировав ее вокруг маленького ребенка, и представляет собой "двухступенчатый механизм", который включает, с одной стороны, пособие при рождении или усыновлении (удочерении) ребенка, а также основное пособие (оба пособия выплачиваются при условии уплаты взносов по социальному страхованию), и, с другой стороны, различные надбавки по выбору родителей:</w:t>
      </w:r>
    </w:p>
    <w:p w:rsidR="00000000" w:rsidRDefault="00000000">
      <w:pPr>
        <w:ind w:left="567" w:hanging="567"/>
      </w:pPr>
      <w:r>
        <w:t>–</w:t>
      </w:r>
      <w:r>
        <w:tab/>
        <w:t xml:space="preserve">либо: </w:t>
      </w:r>
      <w:r>
        <w:rPr>
          <w:i/>
        </w:rPr>
        <w:t>"надбавка в связи с выбором способа ухода за детьми"</w:t>
      </w:r>
      <w:r>
        <w:t xml:space="preserve"> для родителей, нанимающих в соответствии с контрактом помощника или няню по уходу на дому за своими детьми;</w:t>
      </w:r>
    </w:p>
    <w:p w:rsidR="00000000" w:rsidRDefault="00000000">
      <w:pPr>
        <w:ind w:left="567" w:hanging="567"/>
      </w:pPr>
      <w:r>
        <w:t>–</w:t>
      </w:r>
      <w:r>
        <w:tab/>
        <w:t>либо:</w:t>
      </w:r>
      <w:r>
        <w:rPr>
          <w:i/>
        </w:rPr>
        <w:t xml:space="preserve"> "надбавка в связи с выбором вида деятельности"</w:t>
      </w:r>
      <w:r>
        <w:t>, когда один из родителей не занимается профессиональной деятельностью или занимается ею неполный рабочий день по причине ухода за ребенком; данное отпускное пособие родителям по уходу за детьми выплачивается до достижения ребенком трехлетнего возраста в том случае, если этот ребенок второй и т. д.</w:t>
      </w:r>
    </w:p>
    <w:p w:rsidR="00000000" w:rsidRDefault="00000000">
      <w:r>
        <w:t xml:space="preserve">Конференция по вопросам семьи, состоявшаяся в июне 2003 года, приняла нововведение, которое заключается в учреждении надбавки "в связи с выбором вида деятельности" </w:t>
      </w:r>
      <w:r>
        <w:rPr>
          <w:u w:val="single"/>
        </w:rPr>
        <w:t>уже при рождении первого ребенка</w:t>
      </w:r>
      <w:r>
        <w:t>, и эта надбавка дает право одному из родителей, по его усмотрению, не заниматься профессиональной деятельностью или заниматься ею неполный рабочий день после рождения или усыновления (удочерения) ребенка (или после отпуска по беременности и родам или отцовского отпуска по уходу за ребенком) в течение шести месяцев.</w:t>
      </w:r>
    </w:p>
    <w:p w:rsidR="00000000" w:rsidRDefault="00000000">
      <w:r>
        <w:t xml:space="preserve">В июне 2004 года пособие на маленького ребенка получали около 400 тыс. семей. Верхний предел финансовых средств, выделяемых на эти пособия, был поднят по сравнению с ранее действующими положениями. Согласно оценкам Национальной кассы семейных пособий, повышение верхнего предела финансовых средств на пособия привело к увеличению числа семей, имеющих право на эти пособия, примерно на 15 процентов. За этот же период 2004 года 20 тыс. семей предпочли надбавку </w:t>
      </w:r>
      <w:r>
        <w:rPr>
          <w:i/>
        </w:rPr>
        <w:t>"</w:t>
      </w:r>
      <w:r>
        <w:t>в связи с выбором способа ухода за детьми", 55 тыс. семей получали надбавку "в связи с выбором вида деятельности".</w:t>
      </w:r>
    </w:p>
    <w:p w:rsidR="00000000" w:rsidRDefault="00000000">
      <w:r>
        <w:t xml:space="preserve">Конференция по вопросам семьи 2005 года приняла решение о введении права выбора отпуска отцу (матери) по уходу за ребенком меньшей продолжительности, но с большей суммой вознаграждения, предоставляемого при рождении третьего ребенка. В зависимости от результатов применения на практике этого права оно может быть расширено и начнет применяться при рождении второго ребенка. </w:t>
      </w:r>
    </w:p>
    <w:p w:rsidR="00000000" w:rsidRDefault="00000000">
      <w:pPr>
        <w:keepNext/>
        <w:rPr>
          <w:u w:val="single"/>
        </w:rPr>
      </w:pPr>
      <w:r>
        <w:t>2)</w:t>
      </w:r>
      <w:r>
        <w:tab/>
      </w:r>
      <w:r>
        <w:rPr>
          <w:u w:val="single"/>
        </w:rPr>
        <w:t>Планы по созданию яслей</w:t>
      </w:r>
    </w:p>
    <w:p w:rsidR="00000000" w:rsidRDefault="00000000">
      <w:r>
        <w:t xml:space="preserve">В связи с Конференцией по вопросам семьи в июне 2005 года премьер-министр объявил о создании 15 тыс. новых мест в яслях, дополнительно к 26 тыс. мест, созданных в период с 2002 года. С учетом 31 тыс. мест, планируемых к 2008 году, общее количество мест в яслях составит 72 тыс. </w:t>
      </w:r>
    </w:p>
    <w:p w:rsidR="00000000" w:rsidRDefault="00000000">
      <w:pPr>
        <w:rPr>
          <w:u w:val="single"/>
        </w:rPr>
      </w:pPr>
      <w:r>
        <w:t>3)</w:t>
      </w:r>
      <w:r>
        <w:tab/>
      </w:r>
      <w:r>
        <w:rPr>
          <w:u w:val="single"/>
        </w:rPr>
        <w:t>Мероприятия в интересах помощников по уходу за детьми на дому</w:t>
      </w:r>
    </w:p>
    <w:p w:rsidR="00000000" w:rsidRDefault="00000000">
      <w:r>
        <w:t>Число официально зарегистрированных помощников по уходу за детьми на дому составляет 387 тыс.</w:t>
      </w:r>
    </w:p>
    <w:p w:rsidR="00000000" w:rsidRDefault="00000000">
      <w:r>
        <w:t>Теперь помощники по уходу за детьми работают на основании коллективного трудового договора, который действует с 1 января 2005 года. Этот договор является шагом вперед в таких вопросах, как отпуска, продолжительность рабочего времени, заработная плата и выделение средств по недееспособности и инвалидности. В соответствии с договором создается комиссия, которая будет уточнять условия осуществления права на непрерывное профессиональное образование, предоставляемое помощникам по уходу за детьми на дому законом от 4 мая 2004 года (образование полностью финансируется работодателем посредством вычета 0,15 процента от фонда заработной платы).</w:t>
      </w:r>
    </w:p>
    <w:p w:rsidR="00000000" w:rsidRDefault="00000000">
      <w:r>
        <w:t>Наряду с этим закон от 27 июня 2005 года о помощниках матерей и семейных помощниках направлен на улучшение качества форм ухода за детьми: это касается 750 тыс. детей, которым родители нанимают временных помощников по уходу за детьми (отныне имеющих квалификацию "помощников матерей") и 65 тыс. детей с ограниченными возможностями, уход за которыми органы по охране детства поручают постоянным помощникам по уходу за детьми (отныне имеющих квалификацию "семейных помощников"). Улучшение квалификации этих профессиональных работников и их условий труда, а также забота о большей дифференциации этих профессий являются основными целями этого закона</w:t>
      </w:r>
    </w:p>
    <w:p w:rsidR="00000000" w:rsidRDefault="00000000">
      <w:pPr>
        <w:rPr>
          <w:u w:val="single"/>
        </w:rPr>
      </w:pPr>
      <w:r>
        <w:t>4)</w:t>
      </w:r>
      <w:r>
        <w:tab/>
      </w:r>
      <w:r>
        <w:rPr>
          <w:u w:val="single"/>
        </w:rPr>
        <w:t>Введение " налогового кредита на семью" для предприятий</w:t>
      </w:r>
    </w:p>
    <w:p w:rsidR="00000000" w:rsidRDefault="00000000">
      <w:r>
        <w:t>Законом о государственном бюджете 2004 года для предприятий были приняты поощрительные меры в виде "налогового кредита на семью", который дает им возможность изымать из налога на прибыль 25 процентов средств и расходовать их на сбалансированное совмещение личной жизни и профессиональной деятельности. Максимальный размер данного кредита составляет 500 тыс.  евро в год на предприятие.</w:t>
      </w:r>
    </w:p>
    <w:p w:rsidR="00000000" w:rsidRDefault="00000000">
      <w:r>
        <w:t>За счет этого кредита осуществляются:</w:t>
      </w:r>
    </w:p>
    <w:p w:rsidR="00000000" w:rsidRDefault="00000000">
      <w:pPr>
        <w:ind w:left="567" w:hanging="567"/>
      </w:pPr>
      <w:r>
        <w:sym w:font="SymbolPS" w:char="F0B7"/>
      </w:r>
      <w:r>
        <w:tab/>
        <w:t>расходы на финансирование создания и функционирования яслей и детских комнат для детей младше 3 лет работников предприятия;</w:t>
      </w:r>
    </w:p>
    <w:p w:rsidR="00000000" w:rsidRDefault="00000000">
      <w:pPr>
        <w:ind w:left="567" w:hanging="567"/>
      </w:pPr>
      <w:r>
        <w:sym w:font="SymbolPS" w:char="F0B7"/>
      </w:r>
      <w:r>
        <w:tab/>
        <w:t xml:space="preserve">выплаты предприятия государственным или частным организациям, содержащим ясли или детскую комнату, взамен резервирования мест для детей ("люлек"); </w:t>
      </w:r>
    </w:p>
    <w:p w:rsidR="00000000" w:rsidRDefault="00000000">
      <w:pPr>
        <w:ind w:left="567" w:hanging="567"/>
      </w:pPr>
      <w:r>
        <w:sym w:font="SymbolPS" w:char="F0B7"/>
      </w:r>
      <w:r>
        <w:tab/>
        <w:t>расходы на профессиональную подготовку работников предприятия, пользующихся отпуском по воспитанию детей;</w:t>
      </w:r>
    </w:p>
    <w:p w:rsidR="00000000" w:rsidRDefault="00000000">
      <w:pPr>
        <w:ind w:left="567" w:hanging="567"/>
      </w:pPr>
      <w:r>
        <w:sym w:font="SymbolPS" w:char="F0B7"/>
      </w:r>
      <w:r>
        <w:tab/>
        <w:t>расходы в связи с надбавками к заработной плате, выплачиваемыми предприятием своим работникам, находящимся в отпуске по беременности и родам, отцовском отпуске по уходу за ребенком или отпуске для воспитания детей, или в связи с возмещением отпуска по уходу за больным ребенком;</w:t>
      </w:r>
    </w:p>
    <w:p w:rsidR="00000000" w:rsidRDefault="00000000">
      <w:pPr>
        <w:ind w:left="567" w:hanging="567"/>
      </w:pPr>
      <w:r>
        <w:sym w:font="SymbolPS" w:char="F0B7"/>
      </w:r>
      <w:r>
        <w:tab/>
        <w:t>расходы на возмещение работникам предприятия их вынужденных расходов в связи с наймом помощников по уходу за детьми в случае необходимости выполнения ими непредвиденных профессиональных обязанностей, возникших во внерабочее время.</w:t>
      </w:r>
    </w:p>
    <w:p w:rsidR="00000000" w:rsidRDefault="00000000">
      <w:pPr>
        <w:rPr>
          <w:b/>
        </w:rPr>
      </w:pPr>
      <w:r>
        <w:rPr>
          <w:b/>
        </w:rPr>
        <w:t>C)</w:t>
      </w:r>
      <w:r>
        <w:rPr>
          <w:b/>
        </w:rPr>
        <w:tab/>
        <w:t xml:space="preserve">Оплата расходов по уходу за иждивенцами и расширение сферы персональных услуг </w:t>
      </w:r>
    </w:p>
    <w:p w:rsidR="00000000" w:rsidRDefault="00000000">
      <w:r>
        <w:t>Уход за иждивенцами также имеет отношение к возможности совмещения личной жизни и профессиональной деятельности. С тем чтобы государство могло разделить соответствующие обязанности с семьями и, в частности, с женщинами, закон от 20 июля 2001 года об оплате расходов по уходу в случае утраты самостоятельности лицами преклонного возраста и о введении персональных пособий при утрате самостоятельности направлен на удовлетворение потребностей иждивенцев и на совершенствование услуг по оказанию помощи на дому. За счет этого пособия можно оплачивать труд одного или нескольких лиц, которые оказывают повседневную помощь лицу, получающему это пособие. В конце 2004 года персональное пособие при утрате самостоятельности получали 865 тыс. человек (на 9,2 процента больше по сравнению с 2003 годом), или 172 человека на 1000 жителей в возрасте 75 лет и старше.</w:t>
      </w:r>
    </w:p>
    <w:p w:rsidR="00000000" w:rsidRDefault="00000000">
      <w:r>
        <w:t xml:space="preserve">В законе о расширении сферы персональных услуг от 26 июля 2005 года предусматривается введение с 1 января 2006 года единого чека для оплаты услуг. Этот новый платежный документ имеет целью расширить сферу предлагаемых услуг, объединить функции ныне действующих "чеков для оплаты пользования услугами" и "платежного документа для оплаты пользования услугами" и утвердить принцип совместного финансирования услуг, оказываемых лицам из различных источников: предприятие и комитет предприятия, орган социального обеспечения, общество взаимного страхования, страховая компания, пенсионная касса, генеральный совет. Предприятия при желании могут расширить сферу применения этого чека, чтобы использовать его для финансирования какого-либо вида ухода. </w:t>
      </w:r>
    </w:p>
    <w:p w:rsidR="00000000" w:rsidRDefault="00000000">
      <w:pPr>
        <w:ind w:left="567" w:hanging="567"/>
        <w:rPr>
          <w:b/>
        </w:rPr>
      </w:pPr>
      <w:r>
        <w:rPr>
          <w:b/>
        </w:rPr>
        <w:t>D)</w:t>
      </w:r>
      <w:r>
        <w:rPr>
          <w:b/>
        </w:rPr>
        <w:tab/>
        <w:t>Включение в общественный диалог вопросов отцовства, материнства и разумного распределения времени</w:t>
      </w:r>
    </w:p>
    <w:p w:rsidR="00000000" w:rsidRDefault="00000000">
      <w:r>
        <w:t xml:space="preserve">В статье Межведомственного соглашения о равенстве между мужчинами и женщинами  предусматривается, что "предприятия и/или отрасли будут обращать особое внимание на то, чтобы возможное изменение режима работы, в частности в целях совмещения личной жизни и профессиональной деятельности, не стало препятствием для продвижения по службе". В статье содержится призыв к предприятиям искать новые решения в области оказания услуг персоналу (совместные мероприятия с комитетами предприятий, партнерство с местными органами власти </w:t>
      </w:r>
      <w:r>
        <w:br/>
        <w:t>и т. д.).</w:t>
      </w:r>
    </w:p>
    <w:p w:rsidR="00000000" w:rsidRDefault="00000000">
      <w:pPr>
        <w:keepNext/>
        <w:spacing w:before="120" w:after="120"/>
        <w:jc w:val="center"/>
        <w:rPr>
          <w:i/>
        </w:rPr>
      </w:pPr>
      <w:r>
        <w:t>СТАТЬЯ 12</w:t>
      </w:r>
    </w:p>
    <w:p w:rsidR="00000000" w:rsidRDefault="00000000">
      <w:pPr>
        <w:keepNext/>
        <w:jc w:val="center"/>
        <w:rPr>
          <w:i/>
        </w:rPr>
      </w:pPr>
      <w:r>
        <w:rPr>
          <w:i/>
        </w:rPr>
        <w:t>Здравоохранение</w:t>
      </w:r>
    </w:p>
    <w:p w:rsidR="00000000" w:rsidRDefault="00000000">
      <w:pPr>
        <w:keepNext/>
        <w:rPr>
          <w:u w:val="single"/>
        </w:rPr>
      </w:pPr>
      <w:r>
        <w:t>I)</w:t>
      </w:r>
      <w:r>
        <w:tab/>
      </w:r>
      <w:r>
        <w:rPr>
          <w:u w:val="single"/>
        </w:rPr>
        <w:t xml:space="preserve">Средняя продолжительность жизни женщин </w:t>
      </w:r>
    </w:p>
    <w:p w:rsidR="00000000" w:rsidRDefault="00000000">
      <w:r>
        <w:t>Во Франции здоровье женщин в целом является удовлетворительным, о чем свидетельствует постоянное увеличение средней продолжительности жизни: 83,8 года в 2004 году, или второе место в мире после жительниц Японии (84,5 года).</w:t>
      </w:r>
    </w:p>
    <w:p w:rsidR="00000000" w:rsidRDefault="00000000">
      <w:r>
        <w:t>Был проведен тщательный анализ составляющих здоровья женщин, чтобы наиболее эффективно воздействовать на основные факторы риска, которые могут сдерживать общую тенденцию роста продолжительности жизни. Кроме того, была проделана большая работа по сокращению заболеваемости.</w:t>
      </w:r>
    </w:p>
    <w:p w:rsidR="00000000" w:rsidRDefault="00000000">
      <w:pPr>
        <w:rPr>
          <w:u w:val="single"/>
        </w:rPr>
      </w:pPr>
      <w:r>
        <w:t>II)</w:t>
      </w:r>
      <w:r>
        <w:tab/>
      </w:r>
      <w:r>
        <w:rPr>
          <w:u w:val="single"/>
        </w:rPr>
        <w:t>Учет особенностей здоровья женщин в государственной политике в области здравоохранения</w:t>
      </w:r>
    </w:p>
    <w:p w:rsidR="00000000" w:rsidRDefault="00000000">
      <w:r>
        <w:t>Закон от 9 августа 2004 года о политике в области общественного здравоохранения утверждает ответственность государства в определении многолетних задач в области улучшения здоровья населения и намечает стратегические направления в приоритетных областях. В прилагаемом к этому закону докладе определяются принципы политики в области общественного здравоохранения, среди которых следует отметить принцип "паритета", согласно которому при "определении задач и разработке стратегических планов должны систематически учитываться особенности здоровья мужчин и женщин". Включенные в этот доклад 100 задач направлены на улучшение здоровья населения, которого можно добиться при современном уровне знаний и технологий. Эти задачи разбиты на соответствующие подгруппы и могут быть выполнены в течение ближайших 5 лет. Среди этих 100 задач 12 имеют гендерную направленность, из них 9 задач связаны исключительно с женскими патологиями.</w:t>
      </w:r>
    </w:p>
    <w:p w:rsidR="00000000" w:rsidRDefault="00000000">
      <w:pPr>
        <w:rPr>
          <w:u w:val="single"/>
        </w:rPr>
      </w:pPr>
      <w:r>
        <w:t>III)</w:t>
      </w:r>
      <w:r>
        <w:tab/>
      </w:r>
      <w:r>
        <w:rPr>
          <w:u w:val="single"/>
        </w:rPr>
        <w:t xml:space="preserve">Мероприятия, проводимые с целью улучшения здоровья женщин </w:t>
      </w:r>
    </w:p>
    <w:p w:rsidR="00000000" w:rsidRDefault="00000000">
      <w:pPr>
        <w:rPr>
          <w:b/>
        </w:rPr>
      </w:pPr>
      <w:r>
        <w:rPr>
          <w:b/>
        </w:rPr>
        <w:t>A)</w:t>
      </w:r>
      <w:r>
        <w:rPr>
          <w:b/>
        </w:rPr>
        <w:tab/>
        <w:t>Женщины и курение</w:t>
      </w:r>
    </w:p>
    <w:p w:rsidR="00000000" w:rsidRDefault="00000000">
      <w:pPr>
        <w:rPr>
          <w:u w:val="single"/>
        </w:rPr>
      </w:pPr>
      <w:r>
        <w:t>1)</w:t>
      </w:r>
      <w:r>
        <w:tab/>
      </w:r>
      <w:r>
        <w:rPr>
          <w:u w:val="single"/>
        </w:rPr>
        <w:t xml:space="preserve">Статистические данные </w:t>
      </w:r>
    </w:p>
    <w:p w:rsidR="00000000" w:rsidRDefault="00000000">
      <w:r>
        <w:rPr>
          <w:b/>
        </w:rPr>
        <w:t>Динамика распространенности табакокурения с разбивкой по полу (</w:t>
      </w:r>
      <w:r>
        <w:t>возраст 12–75 лет в соответствии со структурой населения в 1999 году)</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070"/>
        <w:gridCol w:w="1535"/>
        <w:gridCol w:w="1536"/>
      </w:tblGrid>
      <w:tr w:rsidR="00000000">
        <w:tblPrEx>
          <w:tblCellMar>
            <w:top w:w="0" w:type="dxa"/>
            <w:bottom w:w="0" w:type="dxa"/>
          </w:tblCellMar>
        </w:tblPrEx>
        <w:trPr>
          <w:jc w:val="center"/>
        </w:trPr>
        <w:tc>
          <w:tcPr>
            <w:tcW w:w="3070" w:type="dxa"/>
            <w:tcBorders>
              <w:top w:val="nil"/>
              <w:left w:val="nil"/>
            </w:tcBorders>
            <w:vAlign w:val="center"/>
          </w:tcPr>
          <w:p w:rsidR="00000000" w:rsidRDefault="00000000">
            <w:pPr>
              <w:spacing w:before="40" w:after="40"/>
              <w:rPr>
                <w:sz w:val="18"/>
              </w:rPr>
            </w:pPr>
          </w:p>
        </w:tc>
        <w:tc>
          <w:tcPr>
            <w:tcW w:w="1535" w:type="dxa"/>
            <w:vAlign w:val="center"/>
          </w:tcPr>
          <w:p w:rsidR="00000000" w:rsidRDefault="00000000">
            <w:pPr>
              <w:spacing w:before="40" w:after="40"/>
              <w:jc w:val="center"/>
              <w:rPr>
                <w:sz w:val="18"/>
              </w:rPr>
            </w:pPr>
            <w:r>
              <w:rPr>
                <w:sz w:val="18"/>
              </w:rPr>
              <w:t xml:space="preserve">1999 год </w:t>
            </w:r>
            <w:r>
              <w:rPr>
                <w:sz w:val="18"/>
              </w:rPr>
              <w:br/>
              <w:t>(в процентах)</w:t>
            </w:r>
          </w:p>
        </w:tc>
        <w:tc>
          <w:tcPr>
            <w:tcW w:w="1536" w:type="dxa"/>
            <w:vAlign w:val="center"/>
          </w:tcPr>
          <w:p w:rsidR="00000000" w:rsidRDefault="00000000">
            <w:pPr>
              <w:spacing w:before="40" w:after="40"/>
              <w:jc w:val="center"/>
              <w:rPr>
                <w:sz w:val="18"/>
              </w:rPr>
            </w:pPr>
            <w:r>
              <w:rPr>
                <w:sz w:val="18"/>
              </w:rPr>
              <w:t xml:space="preserve">2004 год </w:t>
            </w:r>
            <w:r>
              <w:rPr>
                <w:sz w:val="18"/>
              </w:rPr>
              <w:br/>
              <w:t>(в процентах)</w:t>
            </w:r>
          </w:p>
        </w:tc>
      </w:tr>
      <w:tr w:rsidR="00000000">
        <w:tblPrEx>
          <w:tblCellMar>
            <w:top w:w="0" w:type="dxa"/>
            <w:bottom w:w="0" w:type="dxa"/>
          </w:tblCellMar>
        </w:tblPrEx>
        <w:trPr>
          <w:jc w:val="center"/>
        </w:trPr>
        <w:tc>
          <w:tcPr>
            <w:tcW w:w="3070" w:type="dxa"/>
            <w:vAlign w:val="center"/>
          </w:tcPr>
          <w:p w:rsidR="00000000" w:rsidRDefault="00000000">
            <w:pPr>
              <w:spacing w:before="40" w:after="40"/>
              <w:rPr>
                <w:sz w:val="18"/>
              </w:rPr>
            </w:pPr>
            <w:r>
              <w:rPr>
                <w:sz w:val="18"/>
              </w:rPr>
              <w:t>Всего</w:t>
            </w:r>
          </w:p>
        </w:tc>
        <w:tc>
          <w:tcPr>
            <w:tcW w:w="1535" w:type="dxa"/>
            <w:vAlign w:val="center"/>
          </w:tcPr>
          <w:p w:rsidR="00000000" w:rsidRDefault="00000000">
            <w:pPr>
              <w:spacing w:before="40" w:after="40"/>
              <w:jc w:val="center"/>
              <w:rPr>
                <w:sz w:val="18"/>
              </w:rPr>
            </w:pPr>
            <w:r>
              <w:rPr>
                <w:sz w:val="18"/>
              </w:rPr>
              <w:t>33,2</w:t>
            </w:r>
          </w:p>
        </w:tc>
        <w:tc>
          <w:tcPr>
            <w:tcW w:w="1536" w:type="dxa"/>
            <w:vAlign w:val="center"/>
          </w:tcPr>
          <w:p w:rsidR="00000000" w:rsidRDefault="00000000">
            <w:pPr>
              <w:spacing w:before="40" w:after="40"/>
              <w:jc w:val="center"/>
              <w:rPr>
                <w:sz w:val="18"/>
              </w:rPr>
            </w:pPr>
            <w:r>
              <w:rPr>
                <w:sz w:val="18"/>
              </w:rPr>
              <w:t>29,9</w:t>
            </w:r>
          </w:p>
        </w:tc>
      </w:tr>
      <w:tr w:rsidR="00000000">
        <w:tblPrEx>
          <w:tblCellMar>
            <w:top w:w="0" w:type="dxa"/>
            <w:bottom w:w="0" w:type="dxa"/>
          </w:tblCellMar>
        </w:tblPrEx>
        <w:trPr>
          <w:jc w:val="center"/>
        </w:trPr>
        <w:tc>
          <w:tcPr>
            <w:tcW w:w="3070" w:type="dxa"/>
            <w:vAlign w:val="center"/>
          </w:tcPr>
          <w:p w:rsidR="00000000" w:rsidRDefault="00000000">
            <w:pPr>
              <w:spacing w:before="40" w:after="40"/>
              <w:rPr>
                <w:sz w:val="18"/>
              </w:rPr>
            </w:pPr>
            <w:r>
              <w:rPr>
                <w:sz w:val="18"/>
              </w:rPr>
              <w:t>Мужчины</w:t>
            </w:r>
          </w:p>
        </w:tc>
        <w:tc>
          <w:tcPr>
            <w:tcW w:w="1535" w:type="dxa"/>
            <w:vAlign w:val="center"/>
          </w:tcPr>
          <w:p w:rsidR="00000000" w:rsidRDefault="00000000">
            <w:pPr>
              <w:spacing w:before="40" w:after="40"/>
              <w:jc w:val="center"/>
              <w:rPr>
                <w:sz w:val="18"/>
              </w:rPr>
            </w:pPr>
            <w:r>
              <w:rPr>
                <w:sz w:val="18"/>
              </w:rPr>
              <w:t>36,6</w:t>
            </w:r>
          </w:p>
        </w:tc>
        <w:tc>
          <w:tcPr>
            <w:tcW w:w="1536" w:type="dxa"/>
            <w:vAlign w:val="center"/>
          </w:tcPr>
          <w:p w:rsidR="00000000" w:rsidRDefault="00000000">
            <w:pPr>
              <w:spacing w:before="40" w:after="40"/>
              <w:jc w:val="center"/>
              <w:rPr>
                <w:sz w:val="18"/>
              </w:rPr>
            </w:pPr>
            <w:r>
              <w:rPr>
                <w:sz w:val="18"/>
              </w:rPr>
              <w:t>33,4</w:t>
            </w:r>
          </w:p>
        </w:tc>
      </w:tr>
      <w:tr w:rsidR="00000000">
        <w:tblPrEx>
          <w:tblCellMar>
            <w:top w:w="0" w:type="dxa"/>
            <w:bottom w:w="0" w:type="dxa"/>
          </w:tblCellMar>
        </w:tblPrEx>
        <w:trPr>
          <w:jc w:val="center"/>
        </w:trPr>
        <w:tc>
          <w:tcPr>
            <w:tcW w:w="3070" w:type="dxa"/>
            <w:vAlign w:val="center"/>
          </w:tcPr>
          <w:p w:rsidR="00000000" w:rsidRDefault="00000000">
            <w:pPr>
              <w:spacing w:before="40" w:after="40"/>
              <w:rPr>
                <w:sz w:val="18"/>
              </w:rPr>
            </w:pPr>
            <w:r>
              <w:rPr>
                <w:sz w:val="18"/>
              </w:rPr>
              <w:t>Женщины</w:t>
            </w:r>
          </w:p>
        </w:tc>
        <w:tc>
          <w:tcPr>
            <w:tcW w:w="1535" w:type="dxa"/>
            <w:vAlign w:val="center"/>
          </w:tcPr>
          <w:p w:rsidR="00000000" w:rsidRDefault="00000000">
            <w:pPr>
              <w:spacing w:before="40" w:after="40"/>
              <w:jc w:val="center"/>
              <w:rPr>
                <w:sz w:val="18"/>
              </w:rPr>
            </w:pPr>
            <w:r>
              <w:rPr>
                <w:sz w:val="18"/>
              </w:rPr>
              <w:t>29,9</w:t>
            </w:r>
          </w:p>
        </w:tc>
        <w:tc>
          <w:tcPr>
            <w:tcW w:w="1536" w:type="dxa"/>
            <w:vAlign w:val="center"/>
          </w:tcPr>
          <w:p w:rsidR="00000000" w:rsidRDefault="00000000">
            <w:pPr>
              <w:spacing w:before="40" w:after="40"/>
              <w:jc w:val="center"/>
              <w:rPr>
                <w:sz w:val="18"/>
              </w:rPr>
            </w:pPr>
            <w:r>
              <w:rPr>
                <w:sz w:val="18"/>
              </w:rPr>
              <w:t>26,6</w:t>
            </w:r>
          </w:p>
        </w:tc>
      </w:tr>
    </w:tbl>
    <w:p w:rsidR="00000000" w:rsidRDefault="00000000">
      <w:pPr>
        <w:spacing w:before="120"/>
      </w:pPr>
      <w:r>
        <w:t>Отмечавшийся с конца 1960-х годов рост табакокурения среди женщин остановился, а в 2003–2004 годах в данной практике наблюдалось определенное сокращение. Таким образом, в период 1999–2004 годов распространенность табакокурения уменьшилась на 11 процентов.</w:t>
      </w:r>
    </w:p>
    <w:p w:rsidR="00000000" w:rsidRDefault="00000000">
      <w:pPr>
        <w:rPr>
          <w:b/>
        </w:rPr>
      </w:pPr>
    </w:p>
    <w:p w:rsidR="00000000" w:rsidRDefault="00000000">
      <w:pPr>
        <w:spacing w:after="120"/>
        <w:jc w:val="left"/>
        <w:rPr>
          <w:b/>
        </w:rPr>
      </w:pPr>
      <w:r>
        <w:rPr>
          <w:b/>
        </w:rPr>
        <w:t xml:space="preserve">Динамика распространенности табакокурения среди женщин с разбивкой по возрасту </w:t>
      </w:r>
      <w:r>
        <w:rPr>
          <w:b/>
        </w:rPr>
        <w:br/>
        <w:t>(</w:t>
      </w:r>
      <w:r>
        <w:t>в соответствии со структурой населения в 1999 году) (в процентах)</w:t>
      </w:r>
    </w:p>
    <w:p w:rsidR="00000000" w:rsidRDefault="00000000">
      <w:r>
        <w:rPr>
          <w:noProof/>
        </w:rPr>
        <w:pict>
          <v:shape id="_x0000_s2062" type="#_x0000_t75" style="position:absolute;left:0;text-align:left;margin-left:-3.2pt;margin-top:18.9pt;width:469.8pt;height:281.65pt;z-index:1;visibility:visible;mso-wrap-edited:f;mso-position-horizontal:absolute;mso-position-horizontal-relative:text;mso-position-vertical:absolute;mso-position-vertical-relative:text" o:allowincell="f">
            <v:imagedata r:id="rId11" o:title=""/>
          </v:shape>
          <o:OLEObject Type="Embed" ProgID="Word.Picture.8" ShapeID="_x0000_s2062" DrawAspect="Content" ObjectID="_1395238669" r:id="rId12"/>
        </w:pict>
      </w:r>
      <w:r>
        <w:rPr>
          <w:i/>
        </w:rPr>
        <w:t>Данные за 2005 год, ИНПЕС</w:t>
      </w:r>
    </w:p>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Pr>
        <w:rPr>
          <w:u w:val="single"/>
        </w:rPr>
      </w:pPr>
      <w:r>
        <w:t>2)</w:t>
      </w:r>
      <w:r>
        <w:tab/>
      </w:r>
      <w:r>
        <w:rPr>
          <w:u w:val="single"/>
        </w:rPr>
        <w:t>Недавние мероприятия</w:t>
      </w:r>
    </w:p>
    <w:p w:rsidR="00000000" w:rsidRDefault="00000000">
      <w:r>
        <w:t xml:space="preserve">В дополнение к телефонной линии помощи желающим бросить курить Национальный институт профилактики и просвещения в области здравоохранения (ИНПЕС), находящийся в ведении Министерства здравоохранения, по случаю Всемирного дня без табака, который отмечался 31 мая 2005 года, создал веб-сайт по борьбе с табакокурением. Открытие этого сайта сопровождалось разъяснительной кампанией в режиме "онлайн". С 31 мая по 19 июня 2005 года браузеры направляли информацию на сайт </w:t>
      </w:r>
      <w:hyperlink r:id="rId13" w:history="1">
        <w:r>
          <w:rPr>
            <w:rStyle w:val="Hyperlink"/>
          </w:rPr>
          <w:t>www.tabac-info-service.fr</w:t>
        </w:r>
      </w:hyperlink>
      <w:r>
        <w:t xml:space="preserve"> с сайтов "здравоохранение", сайтов последних новостей и тематических сайтов для беременных женщин.</w:t>
      </w:r>
    </w:p>
    <w:p w:rsidR="00000000" w:rsidRDefault="00000000">
      <w:r>
        <w:t>В начале 2005 года начался эксперимент по бесплатной раздаче заменителей никотина среди групп риска. Этот эксперимент, проводимый Национальной кассой страхования на случай заболевания трудящихся, касался взрослых, которые пользовались дополнительным универсальным страховым покрытием на случай заболевания в трех охваченных экспериментом регионах.</w:t>
      </w:r>
    </w:p>
    <w:p w:rsidR="00000000" w:rsidRDefault="00000000">
      <w:r>
        <w:t>С 2004 года в больницах всех департаментов организованы консультации по табакокурению.</w:t>
      </w:r>
    </w:p>
    <w:p w:rsidR="00000000" w:rsidRDefault="00000000">
      <w:r>
        <w:t>Чтобы способствовать проведению работниками здравоохранения среди своих пациентов пропаганду о вреде табака и алкоголя, фармацевтам, врачам, в больницы и местные ассоциации был разослан специальный набор материалов, который включает:</w:t>
      </w:r>
    </w:p>
    <w:p w:rsidR="00000000" w:rsidRDefault="00000000">
      <w:pPr>
        <w:ind w:left="567" w:hanging="567"/>
      </w:pPr>
      <w:r>
        <w:t>–</w:t>
      </w:r>
      <w:r>
        <w:tab/>
        <w:t>стикер с надписью "9 месяцев… 0/алкоголь – 0/табак", цель которого – обратить внимание беременных женщин на проблемы табакокурения и употребления спиртных напитков;</w:t>
      </w:r>
    </w:p>
    <w:p w:rsidR="00000000" w:rsidRDefault="00000000">
      <w:pPr>
        <w:ind w:left="567" w:hanging="567"/>
        <w:rPr>
          <w:b/>
        </w:rPr>
      </w:pPr>
      <w:r>
        <w:rPr>
          <w:b/>
        </w:rPr>
        <w:t>–</w:t>
      </w:r>
      <w:r>
        <w:rPr>
          <w:b/>
        </w:rPr>
        <w:tab/>
      </w:r>
      <w:r>
        <w:t xml:space="preserve">два документа информативного характера, цель которых – помочь работникам здравоохранения конкретно отвечать на вопросы своих пациентов, связанные с проблемами табакокурения и употребления спиртных напитков; </w:t>
      </w:r>
    </w:p>
    <w:p w:rsidR="00000000" w:rsidRDefault="00000000">
      <w:r>
        <w:t>–</w:t>
      </w:r>
      <w:r>
        <w:tab/>
        <w:t>карточки с указанием координат службы "Табак инфо сервис".</w:t>
      </w:r>
    </w:p>
    <w:p w:rsidR="00000000" w:rsidRDefault="00000000">
      <w:pPr>
        <w:rPr>
          <w:b/>
        </w:rPr>
      </w:pPr>
      <w:r>
        <w:rPr>
          <w:b/>
        </w:rPr>
        <w:t>B)</w:t>
      </w:r>
      <w:r>
        <w:rPr>
          <w:b/>
        </w:rPr>
        <w:tab/>
        <w:t xml:space="preserve">Специфические формы рака у женщин </w:t>
      </w:r>
    </w:p>
    <w:p w:rsidR="00000000" w:rsidRDefault="00000000">
      <w:pPr>
        <w:rPr>
          <w:noProof/>
        </w:rPr>
      </w:pPr>
      <w:r>
        <w:t>В стране действует программа выявления рака молочной железы. Цель этой программы – обследовать 7,5 млн. французских женщин в возрасте от 50 до 74 лет с предоставлением им максимальных гарантий доступности и безопасности.</w:t>
      </w:r>
      <w:r>
        <w:rPr>
          <w:noProof/>
        </w:rPr>
        <w:t xml:space="preserve"> </w:t>
      </w:r>
    </w:p>
    <w:p w:rsidR="00000000" w:rsidRDefault="00000000">
      <w:r>
        <w:t xml:space="preserve">В настоящее время анализируются условия выполнения программы по выявлению рака шейки матки. В рамках этой программы будут обследованы 14 млн. женщин в возрасте от 25 до 65 лет. Особое внимание в программе уделяется женщинам, находящимся в неблагоприятных условиях, которые, как правило, не проходят обследования такого типа. </w:t>
      </w:r>
    </w:p>
    <w:p w:rsidR="00000000" w:rsidRDefault="00000000">
      <w:pPr>
        <w:rPr>
          <w:b/>
        </w:rPr>
      </w:pPr>
      <w:r>
        <w:rPr>
          <w:b/>
        </w:rPr>
        <w:t>C)</w:t>
      </w:r>
      <w:r>
        <w:rPr>
          <w:b/>
        </w:rPr>
        <w:tab/>
        <w:t>Контрацепция</w:t>
      </w:r>
    </w:p>
    <w:p w:rsidR="00000000" w:rsidRDefault="00000000">
      <w:r>
        <w:t>1)</w:t>
      </w:r>
      <w:r>
        <w:tab/>
      </w:r>
      <w:r>
        <w:rPr>
          <w:u w:val="single"/>
        </w:rPr>
        <w:t>Положение во Франции</w:t>
      </w:r>
    </w:p>
    <w:p w:rsidR="00000000" w:rsidRDefault="00000000">
      <w:r>
        <w:t xml:space="preserve">Положение во Франции в том, что касается контрацепции, квалифицируется как парадоксальное. Несмотря на массовое распространение различных методов контрацепции за последние 30 лет, количество случаев нежелательной беременности продолжает оставаться высоким. Согласно последним данным, в около трети всех случаев беременность является нежелательной; половина из них заканчивается искусственным прерыванием беременности; значительное число случаев нежелательной беременности приходится на женщин, которые заявляют, что они пользовались контрацептивным средством. Эти данные свидетельствуют о том, что женщины испытывают трудности с выбором контрацептивных средств в повседневной жизни. Женщины связывают свою нежелательную беременность с неправильным использованием инструкции или с проблемой, возникшей при использовании этого средства: забыла выпить таблетку, разрыв презерватива, несрабатывание естественных методов. Женщины также оказываются в безвыходном положении, когда не срабатывает какой-то метод, так как, будучи недостаточно информированными, они не знают, как себя вести. Поэтому женщины сталкиваются не столько с проблемой доступа к контрацепции, сколько с неадекватностью предписанных им контрацептивных методов, теоретически очень эффективных, и условий их повседневной жизни. </w:t>
      </w:r>
    </w:p>
    <w:p w:rsidR="00000000" w:rsidRDefault="00000000">
      <w:r>
        <w:t>Наряду с этим ежегодно проводится оценка механизма распространения средств экстренной контрацепции. Согласно последним данным Национальной кассы страхования на случай заболевания трудящихся, касающимся механизма доступа несовершеннолетних к средствам экстренной контрацепции, за период с 1 сентября 2003 года по 31 августа 2004 года в этой области отмечается рост на 32,54 процента по сравнению с 2002–2003 годами. Процентная доля бесплатных средств экстренной контрацепции, предоставленных совершеннолетним пользователям, в 2002, 2003 и 2004 годах оставалась стабильной.</w:t>
      </w:r>
    </w:p>
    <w:p w:rsidR="00000000" w:rsidRDefault="00000000">
      <w:pPr>
        <w:keepNext/>
        <w:rPr>
          <w:u w:val="single"/>
        </w:rPr>
      </w:pPr>
      <w:r>
        <w:t>2)</w:t>
      </w:r>
      <w:r>
        <w:tab/>
      </w:r>
      <w:r>
        <w:rPr>
          <w:u w:val="single"/>
        </w:rPr>
        <w:t xml:space="preserve">Проведенные мероприятия </w:t>
      </w:r>
    </w:p>
    <w:p w:rsidR="00000000" w:rsidRDefault="00000000">
      <w:r>
        <w:rPr>
          <w:b/>
        </w:rPr>
        <w:t>a)</w:t>
      </w:r>
      <w:r>
        <w:rPr>
          <w:b/>
        </w:rPr>
        <w:tab/>
        <w:t xml:space="preserve">Рекомендации клинической практики по "стратегии выбора контрацептивных методов для женщин" </w:t>
      </w:r>
      <w:r>
        <w:t>были опубликованы в 2004 году Министерством здравоохранения. Они были направлены всем консультантам (терапевтам, гинекологам, акушерам-гинекологам и эндокринологам), а также работникам, отвечающим за начальную подготовку врачей и акушерок.</w:t>
      </w:r>
    </w:p>
    <w:p w:rsidR="00000000" w:rsidRDefault="00000000">
      <w:r>
        <w:rPr>
          <w:b/>
        </w:rPr>
        <w:t>b)</w:t>
      </w:r>
      <w:r>
        <w:rPr>
          <w:b/>
        </w:rPr>
        <w:tab/>
        <w:t xml:space="preserve">Информационный буклет </w:t>
      </w:r>
      <w:r>
        <w:t>под названием "Контрацепция: следуйте рекомендациям" был распространен среди соответствующих медицинских работников (в том числе фармацевтов).</w:t>
      </w:r>
    </w:p>
    <w:p w:rsidR="00000000" w:rsidRDefault="00000000">
      <w:pPr>
        <w:rPr>
          <w:b/>
        </w:rPr>
      </w:pPr>
      <w:r>
        <w:rPr>
          <w:b/>
        </w:rPr>
        <w:t>c)</w:t>
      </w:r>
      <w:r>
        <w:rPr>
          <w:b/>
        </w:rPr>
        <w:tab/>
        <w:t>Комплект документации по вопросам контрацепции и добровольному прерыванию беременности (ДПБ)</w:t>
      </w:r>
      <w:r>
        <w:t xml:space="preserve"> постоянно обновляется и размещен на сайте Министерства здравоохранения. В нем содержится комплекс методов, которые доступны в настоящее время, а также адреса организаций, обеспечивающих доступ к информации или методам контрацепции. </w:t>
      </w:r>
    </w:p>
    <w:p w:rsidR="00000000" w:rsidRDefault="00000000">
      <w:r>
        <w:rPr>
          <w:b/>
        </w:rPr>
        <w:t>d)</w:t>
      </w:r>
      <w:r>
        <w:rPr>
          <w:b/>
        </w:rPr>
        <w:tab/>
        <w:t>Брошюра "</w:t>
      </w:r>
      <w:r>
        <w:rPr>
          <w:b/>
          <w:caps/>
        </w:rPr>
        <w:t>э</w:t>
      </w:r>
      <w:r>
        <w:rPr>
          <w:b/>
        </w:rPr>
        <w:t xml:space="preserve">кстренная контрацепция: противозачаточная таблетка завтрашнего дня", </w:t>
      </w:r>
      <w:r>
        <w:t>которая выдается вместе с экстренным контрацептивным средством, была распространена тиражом 1 млн. экземпляров в первичных кассах страхования по болезни и в аптеках. Для заморских территорий был выпущен специальный тираж.</w:t>
      </w:r>
    </w:p>
    <w:p w:rsidR="00000000" w:rsidRDefault="00000000">
      <w:r>
        <w:rPr>
          <w:b/>
        </w:rPr>
        <w:t>e)</w:t>
      </w:r>
      <w:r>
        <w:rPr>
          <w:b/>
        </w:rPr>
        <w:tab/>
        <w:t xml:space="preserve">Информационная карточка </w:t>
      </w:r>
      <w:r>
        <w:t>(формат кредитной карточки) была распространена на местном уровне среди заведений, которые посещаются молодежью.</w:t>
      </w:r>
    </w:p>
    <w:p w:rsidR="00000000" w:rsidRDefault="00000000">
      <w:r>
        <w:rPr>
          <w:b/>
        </w:rPr>
        <w:t>f)</w:t>
      </w:r>
      <w:r>
        <w:rPr>
          <w:b/>
        </w:rPr>
        <w:tab/>
        <w:t xml:space="preserve">Программа под названием "Контрацепция, секс, уязвимость" </w:t>
      </w:r>
      <w:r>
        <w:t xml:space="preserve">была проведена ассоциацией "Французское движение за планирование размера семьи" при финансовой поддержке Министерства здравоохранения. На протяжении трех лет (2003–2005 годы) эта программа была направлена на улучшение информированности в вопросах доступа к контрацептивным средствам женщин, оказавшихся в уязвимом положении, и женщин из среды иммигрантов. </w:t>
      </w:r>
    </w:p>
    <w:p w:rsidR="00000000" w:rsidRDefault="00000000">
      <w:pPr>
        <w:rPr>
          <w:b/>
        </w:rPr>
      </w:pPr>
      <w:r>
        <w:rPr>
          <w:b/>
          <w:lang w:val="en-US"/>
        </w:rPr>
        <w:t>D</w:t>
      </w:r>
      <w:r>
        <w:rPr>
          <w:b/>
        </w:rPr>
        <w:t>)</w:t>
      </w:r>
      <w:r>
        <w:rPr>
          <w:b/>
        </w:rPr>
        <w:tab/>
        <w:t>Добровольное прерывание беременности (ДПБ)</w:t>
      </w:r>
    </w:p>
    <w:p w:rsidR="00000000" w:rsidRDefault="00000000">
      <w:pPr>
        <w:rPr>
          <w:u w:val="single"/>
        </w:rPr>
      </w:pPr>
      <w:r>
        <w:t>1)</w:t>
      </w:r>
      <w:r>
        <w:tab/>
      </w:r>
      <w:r>
        <w:rPr>
          <w:u w:val="single"/>
        </w:rPr>
        <w:t xml:space="preserve">Улучшение контроля за ДПБ </w:t>
      </w:r>
    </w:p>
    <w:p w:rsidR="00000000" w:rsidRDefault="00000000">
      <w:r>
        <w:t>Была проведена большая работа по улучшению статистического учета и оценки созданных механизмов:</w:t>
      </w:r>
    </w:p>
    <w:p w:rsidR="00000000" w:rsidRDefault="00000000">
      <w:pPr>
        <w:ind w:left="567" w:hanging="567"/>
      </w:pPr>
      <w:r>
        <w:t>–</w:t>
      </w:r>
      <w:r>
        <w:tab/>
        <w:t>ежегодная публикация основных данных о фактах добровольного прерывания беременности, что позволяет контролировать динамику деятельности лечебных учреждений, практикующих такие операции (число ДПБ по возрастным группам, методам, виду учреждения и т. д.). Последние статистические данные, опубликованные Министерством здравоохранения (октябрь 2005 года), свидетельствуют о незначительном сокращении этой практики в метрополии (203 346 ДПБ в 2003 году, или на 1,6 процента меньше по сравнению с 2002 годом). Вместе с тем они подчеркивают необходимость проведения специфических мероприятий в интересах двух возрастных групп, численность которых незначительна, но в которых не отмечается общее сокращение данной практики (15–17 лет и 45–49 лет);</w:t>
      </w:r>
    </w:p>
    <w:p w:rsidR="00000000" w:rsidRDefault="00000000">
      <w:pPr>
        <w:ind w:left="567" w:hanging="567"/>
      </w:pPr>
      <w:r>
        <w:t>–</w:t>
      </w:r>
      <w:r>
        <w:tab/>
        <w:t>проведение анкетирования среди врачей и женщин, которые осуществили ДПБ (или готовятся к этому). Результаты анкетирования позволят проанализировать личное и социальное положение заинтересованных лиц, проследить путь, который они прошли, чтобы получить доступ к ДПБ, и оценить степень полезности законодательных и нормативных актов, принятых за последние годы, для условий реализации этих мер.</w:t>
      </w:r>
    </w:p>
    <w:p w:rsidR="00000000" w:rsidRDefault="00000000">
      <w:pPr>
        <w:rPr>
          <w:u w:val="single"/>
        </w:rPr>
      </w:pPr>
      <w:r>
        <w:t>2)</w:t>
      </w:r>
      <w:r>
        <w:tab/>
      </w:r>
      <w:r>
        <w:rPr>
          <w:u w:val="single"/>
        </w:rPr>
        <w:t>Содействие соблюдению прав женщин в области ДПБ</w:t>
      </w:r>
    </w:p>
    <w:p w:rsidR="00000000" w:rsidRDefault="00000000">
      <w:r>
        <w:t>Любая женщина, желающая прервать беременность, должна как можно раньше получить доступ к ДПБ. Механизм "ДПБ в городе", предусмотренный законом от 4 июля 2001 года, позволяет получить доступ к ДПБ вне лечебных учреждений. Количество договоров "ДПБ в городе", подписанных между уполномоченным врачом и медицинским учреждением, которое в 2005 году было еще незначительным (около 260 подписанных договоров), должно увеличиваться по мере того, как врачи будут лучше информированы об этом механизме и подготовлены к соответствующей практике. Данный механизм способствует доступу к ДПБ при условии:</w:t>
      </w:r>
    </w:p>
    <w:p w:rsidR="00000000" w:rsidRDefault="00000000">
      <w:r>
        <w:t>–</w:t>
      </w:r>
      <w:r>
        <w:tab/>
        <w:t>более гибкой и быстрой оплаты расходов для женщин;</w:t>
      </w:r>
    </w:p>
    <w:p w:rsidR="00000000" w:rsidRDefault="00000000">
      <w:pPr>
        <w:ind w:left="567" w:hanging="567"/>
      </w:pPr>
      <w:r>
        <w:t>–</w:t>
      </w:r>
      <w:r>
        <w:tab/>
        <w:t>облегчения доступа к медикаментозным способам ДПБ, доля которых в совокупности всех случаев ДПБ должна значительно возрасти</w:t>
      </w:r>
      <w:r>
        <w:rPr>
          <w:rStyle w:val="FootnoteReference"/>
        </w:rPr>
        <w:footnoteReference w:id="19"/>
      </w:r>
      <w:r>
        <w:t xml:space="preserve">; </w:t>
      </w:r>
    </w:p>
    <w:p w:rsidR="00000000" w:rsidRDefault="00000000">
      <w:pPr>
        <w:ind w:left="567" w:hanging="567"/>
      </w:pPr>
      <w:r>
        <w:t>–</w:t>
      </w:r>
      <w:r>
        <w:tab/>
        <w:t>облегчения нагрузки в наиболее востребованных лечебных учреждениях, которые практикуют ДПБ с малым сроком беременности, что позволит этим структурам отдавать приоритет срочным операциям, в частности операциям на 11 и 12 неделях беременности, которые требуют хирургического вмешательства;</w:t>
      </w:r>
    </w:p>
    <w:p w:rsidR="00000000" w:rsidRDefault="00000000">
      <w:pPr>
        <w:ind w:left="567" w:hanging="567"/>
      </w:pPr>
      <w:r>
        <w:t>–</w:t>
      </w:r>
      <w:r>
        <w:tab/>
        <w:t xml:space="preserve">проведения исследования о внедрении этого механизма, который позволит оценить его с точки зрения целей. </w:t>
      </w:r>
    </w:p>
    <w:p w:rsidR="00000000" w:rsidRDefault="00000000">
      <w:r>
        <w:t>Правила, касающиеся квалификации врачей, связи с медицинским учреждением, распределения и выдачи медикаментов, гарантируют качественные и безопасные условия для проведения медикаментозного ДПБ.</w:t>
      </w:r>
    </w:p>
    <w:p w:rsidR="00000000" w:rsidRDefault="00000000">
      <w:r>
        <w:t>Наряду с этим в 2004 году были значительно увеличены финансовые средства, выделяемые медицинским учреждениям на ДПБ (примерно на 29 процентов). Эта мера должна улучшить условия оплаты расходов на такие операции медицинскими учреждениями и дать возможность частным медицинским учреждениям, которые этого захотят, больше заниматься такой практикой.</w:t>
      </w:r>
    </w:p>
    <w:p w:rsidR="00000000" w:rsidRDefault="00000000">
      <w:pPr>
        <w:rPr>
          <w:b/>
        </w:rPr>
      </w:pPr>
      <w:r>
        <w:rPr>
          <w:b/>
        </w:rPr>
        <w:t>E)</w:t>
      </w:r>
      <w:r>
        <w:rPr>
          <w:b/>
        </w:rPr>
        <w:tab/>
        <w:t>Женщины и СПИД</w:t>
      </w:r>
    </w:p>
    <w:p w:rsidR="00000000" w:rsidRDefault="00000000">
      <w:pPr>
        <w:rPr>
          <w:snapToGrid w:val="0"/>
          <w:u w:val="single"/>
        </w:rPr>
      </w:pPr>
      <w:r>
        <w:rPr>
          <w:snapToGrid w:val="0"/>
        </w:rPr>
        <w:t>1)</w:t>
      </w:r>
      <w:r>
        <w:rPr>
          <w:snapToGrid w:val="0"/>
        </w:rPr>
        <w:tab/>
      </w:r>
      <w:r>
        <w:rPr>
          <w:snapToGrid w:val="0"/>
          <w:u w:val="single"/>
        </w:rPr>
        <w:t>Официальное признание</w:t>
      </w:r>
    </w:p>
    <w:p w:rsidR="00000000" w:rsidRDefault="00000000">
      <w:pPr>
        <w:rPr>
          <w:snapToGrid w:val="0"/>
        </w:rPr>
      </w:pPr>
      <w:r>
        <w:rPr>
          <w:snapToGrid w:val="0"/>
        </w:rPr>
        <w:t>Между началом эпидемии и 31 декабря 2004 года во Франции было зарегистрировано 11 821 случай заболевания СПИДом у женщин. Число женщин, у которых зарегистрировано данное заболевание и которые не умерли, достигает 5888. В настоящее время во Франции число зараженных путем гетеросексуальных контактов составляет более половины всех случаев (57 процентов). Из них 60 процентов составляют женщины и 50 процентов имеют гражданство одной из африканских стран к югу от Сахары. Данные по контролю обращений за консультациями на предмет анонимного и бесплатного выявления СПИДа подтверждают феминизацию этого заболевания: соотношение позитивных тестов на СПИД у женщин увеличилось в период 2001–2003 годов. Многие ВИЧ-инфицированные женщины являются безработными. В большинстве случаев они живут в условиях нестабильности и одиночества, иногда в обстановке насилия в семье. Проведенные в данной области опросы показывают, что эти лица хорошо информированы о сопряженном с риском поведении, но они испытывают большие затруднения в плане принятия предохранительных мер. С другой стороны, широко распространились случаи выявления ВИЧ во время беременности: в 2003 году 3 женщины из 4 заявляли о том, что они проходили тестирование.</w:t>
      </w:r>
    </w:p>
    <w:p w:rsidR="00000000" w:rsidRDefault="00000000">
      <w:r>
        <w:t>Ориентированная на женщин стратегия предупреждения эпидемии должна учитывать гендерные стереотипы. Отношения, построенные на превосходстве мужчины над женщиной, не позволяют женщинам как Севера, так и Юга расширить свои возможности в области профилактики. Чтобы научиться защищать себя, необходимо, чтобы женщина уважала себя и была хозяйкой своего тела.</w:t>
      </w:r>
    </w:p>
    <w:p w:rsidR="00000000" w:rsidRDefault="00000000">
      <w:pPr>
        <w:rPr>
          <w:u w:val="single"/>
        </w:rPr>
      </w:pPr>
      <w:r>
        <w:t>2)</w:t>
      </w:r>
      <w:r>
        <w:tab/>
      </w:r>
      <w:r>
        <w:rPr>
          <w:u w:val="single"/>
        </w:rPr>
        <w:t>Политика борьбы с ВИЧ/СПИДом</w:t>
      </w:r>
    </w:p>
    <w:p w:rsidR="00000000" w:rsidRDefault="00000000">
      <w:r>
        <w:t>Борьба с ВИЧ, признанная в 2005 году премьер-министром "великим делом государственной важности", отражена в законе о политике в области общественного здравоохранения от 9 августа 2004 года. В настоящее время Министерство здравоохранения осуществляет национальную программу борьбы с ВИЧ на 2005–2008 годы, включая болезни, передаваемые половым путем, которая является продолжением деятельности государства по выполнению плана 2001–2004 годов. В рамках общих задач специально для женщин следует проводить следующие мероприятия:</w:t>
      </w:r>
    </w:p>
    <w:p w:rsidR="00000000" w:rsidRDefault="00000000">
      <w:pPr>
        <w:ind w:left="567" w:hanging="567"/>
      </w:pPr>
      <w:r>
        <w:t>–</w:t>
      </w:r>
      <w:r>
        <w:tab/>
        <w:t xml:space="preserve">информировать их о рисках болезней, передаваемых половым путем, и ВИЧ-инфицирования с помощью проведения специальных кампаний и мероприятий, предназначенных для женщин, относящихся к группам риска (девушки, иммигранты, лица, имеющие краткосрочную и/или непостоянную работу, наркоманы); </w:t>
      </w:r>
    </w:p>
    <w:p w:rsidR="00000000" w:rsidRDefault="00000000">
      <w:pPr>
        <w:ind w:left="567" w:hanging="567"/>
      </w:pPr>
      <w:r>
        <w:t>–</w:t>
      </w:r>
      <w:r>
        <w:tab/>
        <w:t>учитывать особые потребности женщин при принятии мер в терапевтической области, в осуществлении контроля, в связи с нежелательными последствиями и желанием иметь ребенка, при ведении беременности, в дородовой и послеродовой период, а также поддерживать ассоциации, занимающиеся данной проблематикой;</w:t>
      </w:r>
    </w:p>
    <w:p w:rsidR="00000000" w:rsidRDefault="00000000">
      <w:pPr>
        <w:ind w:left="567" w:hanging="567"/>
      </w:pPr>
      <w:r>
        <w:t>–</w:t>
      </w:r>
      <w:r>
        <w:tab/>
        <w:t>поощрять использование женских презервативов путем улучшения их сбыта и уменьшения стоимости;</w:t>
      </w:r>
    </w:p>
    <w:p w:rsidR="00000000" w:rsidRDefault="00000000">
      <w:pPr>
        <w:ind w:left="567" w:hanging="567"/>
      </w:pPr>
      <w:r>
        <w:t>–</w:t>
      </w:r>
      <w:r>
        <w:tab/>
        <w:t>больше изучать группы ВИЧ-инфицированных женщин и улучшать условия оплаты расходов по их терапевтическому и психологическому лечению.</w:t>
      </w:r>
    </w:p>
    <w:p w:rsidR="00000000" w:rsidRDefault="00000000">
      <w:pPr>
        <w:rPr>
          <w:b/>
        </w:rPr>
      </w:pPr>
      <w:r>
        <w:rPr>
          <w:b/>
        </w:rPr>
        <w:t>F)</w:t>
      </w:r>
      <w:r>
        <w:rPr>
          <w:b/>
        </w:rPr>
        <w:tab/>
        <w:t xml:space="preserve">Последствия насилия для здоровья женщин </w:t>
      </w:r>
    </w:p>
    <w:p w:rsidR="00000000" w:rsidRDefault="00000000">
      <w:r>
        <w:t xml:space="preserve">Во Франции нет достаточно достоверных научных данных о взаимосвязи между насилием и здоровьем. </w:t>
      </w:r>
    </w:p>
    <w:p w:rsidR="00000000" w:rsidRDefault="00000000">
      <w:r>
        <w:t>Так, министр по вопросам паритета попросила включить гендерный аспект в анализ результатов анкетирования по теме "насилие и здоровье", проводимого Министерством здравоохранения. Этот анализ даст возможность одновременно узнать о случаях насилия, которому подвергались те или иные лица и о котором они помнят, об обстоятельствах, в которых они происходили, о половой принадлежности лиц, совершивших насилие, об их связи с жертвой насилия, а также о связи между описанными случаями насилия и состоянием здоровья лица, подвергшегося насилию.</w:t>
      </w:r>
    </w:p>
    <w:p w:rsidR="00000000" w:rsidRDefault="00000000">
      <w:r>
        <w:t xml:space="preserve">Наряду с этим вопрос о последствиях насилия для здоровья включен в качестве одного из приоритетных в закон от 9 августа 2004 года о политике в области общественного здравоохранения и является предметом стратегического национального плана, который находится в стадии разработки. </w:t>
      </w:r>
    </w:p>
    <w:p w:rsidR="00000000" w:rsidRDefault="00000000">
      <w:r>
        <w:t xml:space="preserve">Наконец, в ближайшее время вступит в действие совместная экспериментальная программа Министерства здравоохранения и Службы по правам женщин и вопросам равенства, которая направлена на улучшение условий пребывания и оплаты лечения в больницах женщин, подвергшихся насилию. </w:t>
      </w:r>
    </w:p>
    <w:p w:rsidR="00000000" w:rsidRDefault="00000000">
      <w:pPr>
        <w:jc w:val="center"/>
        <w:rPr>
          <w:i/>
        </w:rPr>
      </w:pPr>
      <w:r>
        <w:rPr>
          <w:i/>
        </w:rPr>
        <w:t>Насилие в отношении женщин</w:t>
      </w:r>
    </w:p>
    <w:p w:rsidR="00000000" w:rsidRDefault="00000000">
      <w:pPr>
        <w:rPr>
          <w:u w:val="single"/>
        </w:rPr>
      </w:pPr>
      <w:r>
        <w:t>I)</w:t>
      </w:r>
      <w:r>
        <w:tab/>
      </w:r>
      <w:r>
        <w:rPr>
          <w:u w:val="single"/>
        </w:rPr>
        <w:t>Б</w:t>
      </w:r>
      <w:r>
        <w:rPr>
          <w:u w:val="single"/>
          <w:lang/>
        </w:rPr>
        <w:t>ó</w:t>
      </w:r>
      <w:r>
        <w:rPr>
          <w:u w:val="single"/>
        </w:rPr>
        <w:t>льшая осведомленность о реальном положении, касающемся насилия</w:t>
      </w:r>
    </w:p>
    <w:p w:rsidR="00000000" w:rsidRDefault="00000000">
      <w:r>
        <w:t xml:space="preserve">Пекинская программа действий призывает правительства проводить соответствующие мероприятия с целью предупреждения и искоренения насилия в отношении женщин и организации сбора статистических данных в этой области. </w:t>
      </w:r>
    </w:p>
    <w:p w:rsidR="00000000" w:rsidRDefault="00000000">
      <w:r>
        <w:t>Результаты анкетирования по вопросу насилия в отношении женщин во французской метрополии, проведенного в 2000 году на основании выборки из 6970 женщин в возрасте от 20 до 59 лет, в частности, показали, что 9,5 процента опрощенных женщин за последний год подвергались актам насилия со стороны своих супругов (физического, сексуального, вербального, психологического).</w:t>
      </w:r>
    </w:p>
    <w:p w:rsidR="00000000" w:rsidRDefault="00000000">
      <w:r>
        <w:t>После этого государственные органы власти активизировали деятельность, направленную на создание статистических механизмов по сбору данных.</w:t>
      </w:r>
    </w:p>
    <w:p w:rsidR="00000000" w:rsidRDefault="00000000">
      <w:r>
        <w:t>Так, в рамках партнерства с Министерством внутренних дел была проведена перепись случаев смерти в результате насилия, виновными в которых являлись члены супружеской пары (супруг, сожитель, партнер, связанный договором о гражданском браке, бывший супруг или бывший сожитель). Это исследование было проведено в масштабе всей страны в 2005 году на основе данных, собранных в 2003–2004 годах. Отсутствуют статистические выкладки, связанные со сбором данных только по одной выборке. На основании этого анкетирования была составлена карта актов насилия (описание соответствующих пар, классификация по регионам и департаментам). Сбор данных проводился территориальными службами (службами полиции и жандармерии) с помощью вопросника. Область изученных фактов включает только случаи убийств, совершенных в семье. Не учитывались недоказанные факты, случаи исчезновения людей (виновным в которых мог быть супруг), а также случаи с женщинами, подвергавшимися грубому и систематическому насилию на протяжении всего периода замужества и в результате покончившими жизнь самоубийством.</w:t>
      </w:r>
    </w:p>
    <w:p w:rsidR="00000000" w:rsidRDefault="00000000">
      <w:pPr>
        <w:spacing w:after="180"/>
      </w:pPr>
      <w:r>
        <w:t>Исследование данных анкетирования за 2003–2004 годы дало следующие результаты:</w:t>
      </w:r>
    </w:p>
    <w:p w:rsidR="00000000" w:rsidRDefault="00000000">
      <w:pPr>
        <w:spacing w:after="180"/>
        <w:ind w:left="567" w:hanging="567"/>
        <w:rPr>
          <w:color w:val="000000"/>
        </w:rPr>
      </w:pPr>
      <w:r>
        <w:rPr>
          <w:color w:val="000000"/>
        </w:rPr>
        <w:t>–</w:t>
      </w:r>
      <w:r>
        <w:rPr>
          <w:color w:val="000000"/>
        </w:rPr>
        <w:tab/>
        <w:t>во французской метрополии в среднем каждые 4 дня 1 женщина умирает в результате насилия в семье. Половина из них прежде уже подвергались насилию;</w:t>
      </w:r>
    </w:p>
    <w:p w:rsidR="00000000" w:rsidRDefault="00000000">
      <w:pPr>
        <w:spacing w:after="180"/>
        <w:ind w:left="567" w:hanging="567"/>
      </w:pPr>
      <w:r>
        <w:rPr>
          <w:color w:val="000000"/>
        </w:rPr>
        <w:t>–</w:t>
      </w:r>
      <w:r>
        <w:rPr>
          <w:color w:val="000000"/>
        </w:rPr>
        <w:tab/>
      </w:r>
      <w:r>
        <w:t xml:space="preserve">каждые 16 дней умирает один мужчина. В половине случаев женщина, совершившая преступление, прежде подвергалась насилию с его стороны; </w:t>
      </w:r>
    </w:p>
    <w:p w:rsidR="00000000" w:rsidRDefault="00000000">
      <w:pPr>
        <w:spacing w:after="180"/>
        <w:ind w:left="567" w:hanging="567"/>
      </w:pPr>
      <w:r>
        <w:rPr>
          <w:color w:val="000000"/>
        </w:rPr>
        <w:t>–</w:t>
      </w:r>
      <w:r>
        <w:rPr>
          <w:color w:val="000000"/>
        </w:rPr>
        <w:tab/>
      </w:r>
      <w:r>
        <w:t xml:space="preserve">13 процентов всех случаев смерти в результате насилия, которые были зарегистрированы и в которых были установлены виновные, имели место в семье; 1 процент из них приходится на эвтаназию; </w:t>
      </w:r>
    </w:p>
    <w:p w:rsidR="00000000" w:rsidRDefault="00000000">
      <w:pPr>
        <w:spacing w:after="180"/>
        <w:ind w:left="567" w:hanging="567"/>
        <w:rPr>
          <w:color w:val="000000"/>
        </w:rPr>
      </w:pPr>
      <w:r>
        <w:rPr>
          <w:color w:val="000000"/>
        </w:rPr>
        <w:t>–</w:t>
      </w:r>
      <w:r>
        <w:rPr>
          <w:color w:val="000000"/>
        </w:rPr>
        <w:tab/>
        <w:t>1 случай смерти из 10 является результатом побоев без намерения совершения убийства. В 2 случаях из 3 этому предшествовало насилие в отношении супруги или супруга;</w:t>
      </w:r>
    </w:p>
    <w:p w:rsidR="00000000" w:rsidRDefault="00000000">
      <w:pPr>
        <w:ind w:left="567" w:hanging="567"/>
        <w:rPr>
          <w:color w:val="000000"/>
        </w:rPr>
      </w:pPr>
      <w:r>
        <w:rPr>
          <w:color w:val="000000"/>
        </w:rPr>
        <w:t>–</w:t>
      </w:r>
      <w:r>
        <w:rPr>
          <w:color w:val="000000"/>
        </w:rPr>
        <w:tab/>
        <w:t>31 процент преступлений в семье связан с разводом (преступления совершались бывшими супругами, партнерами или сожителями или во время развода).</w:t>
      </w:r>
    </w:p>
    <w:p w:rsidR="00000000" w:rsidRDefault="00000000">
      <w:pPr>
        <w:rPr>
          <w:color w:val="000000"/>
        </w:rPr>
      </w:pPr>
      <w:r>
        <w:rPr>
          <w:color w:val="000000"/>
        </w:rPr>
        <w:t>95 процентов бывших партнеров, совершивших убийство, являются мужчинами. Соотношение числа бывших партнеров и общего числа лиц, совершивших убийство, составляет 10 процентов. В сельской местности на бывших партнеров приходится 30 процентов убийств. 55 процентов из 100 процентов убийств являются преднамеренными. В 25 процентах случаев преступники и их жертвы не имели профессии, а в 62 процентах супружеских пар профессии не имел, по крайней мере, 1 из 2 членов.</w:t>
      </w:r>
    </w:p>
    <w:p w:rsidR="00000000" w:rsidRDefault="00000000">
      <w:r>
        <w:t>С целью большей осведомленности о положении с насилием и о динамике его развития при содействии Национального комитета по мониторингу преступности будут созданы статистические механизмы, совместимые со всеми государственными службами.</w:t>
      </w:r>
    </w:p>
    <w:p w:rsidR="00000000" w:rsidRDefault="00000000">
      <w:r>
        <w:t>Будет также проведено исследование об общем экономическом ущербе, связанном с насилием в отношении женщин в семье.</w:t>
      </w:r>
    </w:p>
    <w:p w:rsidR="00000000" w:rsidRDefault="00000000">
      <w:pPr>
        <w:rPr>
          <w:u w:val="single"/>
        </w:rPr>
      </w:pPr>
      <w:r>
        <w:t>II)</w:t>
      </w:r>
      <w:r>
        <w:tab/>
      </w:r>
      <w:r>
        <w:rPr>
          <w:u w:val="single"/>
        </w:rPr>
        <w:t>Действия органов власти по профилактике насилия в семье и борьбе с ним</w:t>
      </w:r>
    </w:p>
    <w:p w:rsidR="00000000" w:rsidRDefault="00000000">
      <w:r>
        <w:rPr>
          <w:b/>
        </w:rPr>
        <w:t>A)</w:t>
      </w:r>
      <w:r>
        <w:rPr>
          <w:b/>
        </w:rPr>
        <w:tab/>
        <w:t xml:space="preserve">Возможность отселения супруга-правонарушителя из места жительства супругов </w:t>
      </w:r>
      <w:r>
        <w:t>предусмотрена в законе от 26 мая 2004 года о разводе, который применяется с 1 января 2005 года. В статье  22 этого документа говорится, что, "когда насилие одного из супругов является угрозой для другого супруга, одного или нескольких детей, судья может вынести приговор о раздельном проживании супругов и при этом указать, кто из супругов останется проживать в жилом помещении супругов".</w:t>
      </w:r>
    </w:p>
    <w:p w:rsidR="00000000" w:rsidRDefault="00000000">
      <w:r>
        <w:t>Министр по вопросам паритета выразил пожелание, чтобы выселение супруга-насильника из совместного жилого помещения способствовало защите женщин, подвергающихся насилию. Помимо преимуществ чисто практического характера, которые эта мера имеет для женщин и детей, она должна подчеркнуть ответственность лица, совершившего акт насилия, и помочь жертве восстановиться. Эта мера может быть применена в том числе и до возбуждения дела о разводе. При этом решение о выселении утрачивает силу в том случае, если по истечении 4 месяцев со дня его вынесения в суд не было подано заявление о разводе или раздельном проживании супругов.</w:t>
      </w:r>
    </w:p>
    <w:p w:rsidR="00000000" w:rsidRDefault="00000000">
      <w:r>
        <w:t xml:space="preserve">В законе уточняется, что, "за исключением особых обстоятельств, право на пользование жилым помещением передается супругу, который не является лицом, совершившим насилие". </w:t>
      </w:r>
    </w:p>
    <w:p w:rsidR="00000000" w:rsidRDefault="00000000">
      <w:r>
        <w:t>Судья также может вынести решение, "в случае необходимости, о порядке осуществления родительских прав и об алиментах". При обсуждении данного вопроса в парламенте было сделано уточнение, что такое суровое решение, выносимое судьей по делам о расторжении брака и установлении режима раздельного проживания супругов в порядке вынесения определения по неотложным вопросам, должно приниматься при соблюдении принципа состязательности.</w:t>
      </w:r>
    </w:p>
    <w:p w:rsidR="00000000" w:rsidRDefault="00000000">
      <w:r>
        <w:rPr>
          <w:b/>
        </w:rPr>
        <w:t>B)</w:t>
      </w:r>
      <w:r>
        <w:rPr>
          <w:b/>
        </w:rPr>
        <w:tab/>
        <w:t xml:space="preserve">Трехлетний план действий правительства под названием "10 мер по обеспечению самостоятельности женщин" </w:t>
      </w:r>
      <w:r>
        <w:t>был принят к исполнению в ноябре 2004 года.</w:t>
      </w:r>
    </w:p>
    <w:p w:rsidR="00000000" w:rsidRDefault="00000000">
      <w:r>
        <w:t>В рамках этого плана были проведены следующие мероприятия:</w:t>
      </w:r>
    </w:p>
    <w:p w:rsidR="00000000" w:rsidRDefault="00000000">
      <w:pPr>
        <w:ind w:left="567" w:hanging="567"/>
        <w:rPr>
          <w:snapToGrid w:val="0"/>
          <w:color w:val="000000"/>
        </w:rPr>
      </w:pPr>
      <w:r>
        <w:rPr>
          <w:snapToGrid w:val="0"/>
          <w:color w:val="000000"/>
        </w:rPr>
        <w:t>–</w:t>
      </w:r>
      <w:r>
        <w:rPr>
          <w:snapToGrid w:val="0"/>
          <w:color w:val="000000"/>
        </w:rPr>
        <w:tab/>
        <w:t>в департаментах были введены должности референтов по центрам приема и размещения жертв насилия, которые должны знать в реальном масштабе времени количество имеющихся в них свободных мест. В этих центрах приема и социальной реабилитации предпочтение отдается женщинам, ставшим жертвами насилия и оказавшимся в трудном положении;</w:t>
      </w:r>
    </w:p>
    <w:p w:rsidR="00000000" w:rsidRDefault="00000000">
      <w:pPr>
        <w:ind w:left="567" w:hanging="567"/>
        <w:rPr>
          <w:snapToGrid w:val="0"/>
          <w:color w:val="000000"/>
        </w:rPr>
      </w:pPr>
      <w:r>
        <w:rPr>
          <w:snapToGrid w:val="0"/>
          <w:color w:val="000000"/>
        </w:rPr>
        <w:t>–</w:t>
      </w:r>
      <w:r>
        <w:rPr>
          <w:snapToGrid w:val="0"/>
          <w:color w:val="000000"/>
        </w:rPr>
        <w:tab/>
        <w:t>заседания департаментских комиссий по борьбе с насилием в отношении женщин позволили привлечь к этой работе местные коллективы. Девятнадцать комиссий подписали департаментские протоколы о предупреждении насилия в отношении женщин и борьбе с ним. Такие протоколы в дальнейшем подпишут все департаменты;</w:t>
      </w:r>
    </w:p>
    <w:p w:rsidR="00000000" w:rsidRDefault="00000000">
      <w:pPr>
        <w:ind w:left="567" w:hanging="567"/>
        <w:rPr>
          <w:snapToGrid w:val="0"/>
          <w:color w:val="000000"/>
        </w:rPr>
      </w:pPr>
      <w:r>
        <w:rPr>
          <w:snapToGrid w:val="0"/>
          <w:color w:val="000000"/>
        </w:rPr>
        <w:t>–</w:t>
      </w:r>
      <w:r>
        <w:rPr>
          <w:snapToGrid w:val="0"/>
          <w:color w:val="000000"/>
        </w:rPr>
        <w:tab/>
        <w:t>в 2005 году финансовая помощь специальным ассоциациям была увеличена почти на 20 процентов;</w:t>
      </w:r>
    </w:p>
    <w:p w:rsidR="00000000" w:rsidRDefault="00000000">
      <w:pPr>
        <w:ind w:left="567" w:hanging="567"/>
        <w:rPr>
          <w:snapToGrid w:val="0"/>
          <w:color w:val="000000"/>
        </w:rPr>
      </w:pPr>
      <w:r>
        <w:rPr>
          <w:snapToGrid w:val="0"/>
          <w:color w:val="000000"/>
        </w:rPr>
        <w:t>–</w:t>
      </w:r>
      <w:r>
        <w:rPr>
          <w:snapToGrid w:val="0"/>
          <w:color w:val="000000"/>
        </w:rPr>
        <w:tab/>
        <w:t>национальная информационная кампания под девизом "Стоп насилию! Действовать – значит говорить", учреждения начального и непрерывного образования способствовали привлечению к этой проблеме внимания широкой общественности и профессиональных работников.</w:t>
      </w:r>
    </w:p>
    <w:p w:rsidR="00000000" w:rsidRDefault="00000000">
      <w:r>
        <w:rPr>
          <w:b/>
        </w:rPr>
        <w:t>C)</w:t>
      </w:r>
      <w:r>
        <w:rPr>
          <w:b/>
        </w:rPr>
        <w:tab/>
      </w:r>
      <w:r>
        <w:t xml:space="preserve">По инициативе министра по вопросам паритета будут развиваться </w:t>
      </w:r>
      <w:r>
        <w:rPr>
          <w:b/>
        </w:rPr>
        <w:t>четыре направления деятельности,</w:t>
      </w:r>
      <w:r>
        <w:t xml:space="preserve"> а именно в отношении жертв насилия, лиц, совершивших насилие, и профессиональных работников, занимающихся разбирательством случаев насилия.</w:t>
      </w:r>
    </w:p>
    <w:p w:rsidR="00000000" w:rsidRDefault="00000000">
      <w:pPr>
        <w:rPr>
          <w:snapToGrid w:val="0"/>
          <w:u w:val="single"/>
        </w:rPr>
      </w:pPr>
      <w:r>
        <w:rPr>
          <w:snapToGrid w:val="0"/>
          <w:u w:val="single"/>
        </w:rPr>
        <w:t>Первое направление: улучшение защиты жертв насилия</w:t>
      </w:r>
    </w:p>
    <w:p w:rsidR="00000000" w:rsidRDefault="00000000">
      <w:pPr>
        <w:spacing w:after="180"/>
        <w:rPr>
          <w:snapToGrid w:val="0"/>
        </w:rPr>
      </w:pPr>
      <w:r>
        <w:rPr>
          <w:snapToGrid w:val="0"/>
        </w:rPr>
        <w:t xml:space="preserve">В настоящее время в парламенте проходит обсуждение законопроект, внесенный сенатом. Этот закон направлен на профилактику насилия в семье и борьбу с ним, а также с насилием в отношении несовершеннолетних. На этой стадии закон, в частности, предусматривает: </w:t>
      </w:r>
    </w:p>
    <w:p w:rsidR="00000000" w:rsidRDefault="00000000">
      <w:pPr>
        <w:spacing w:after="180"/>
        <w:ind w:left="567" w:hanging="567"/>
        <w:rPr>
          <w:snapToGrid w:val="0"/>
        </w:rPr>
      </w:pPr>
      <w:r>
        <w:rPr>
          <w:snapToGrid w:val="0"/>
        </w:rPr>
        <w:t>–</w:t>
      </w:r>
      <w:r>
        <w:rPr>
          <w:snapToGrid w:val="0"/>
        </w:rPr>
        <w:tab/>
        <w:t xml:space="preserve">введение в общую часть Уголовного кодекса положения об обстоятельствах, отягчающих ответственность лиц, имеющих статус супруга, сожителя или партнера по договору о гражданском браке; </w:t>
      </w:r>
    </w:p>
    <w:p w:rsidR="00000000" w:rsidRDefault="00000000">
      <w:pPr>
        <w:spacing w:after="180"/>
        <w:ind w:left="567" w:hanging="567"/>
        <w:rPr>
          <w:snapToGrid w:val="0"/>
        </w:rPr>
      </w:pPr>
      <w:r>
        <w:rPr>
          <w:snapToGrid w:val="0"/>
        </w:rPr>
        <w:t>–</w:t>
      </w:r>
      <w:r>
        <w:rPr>
          <w:snapToGrid w:val="0"/>
        </w:rPr>
        <w:tab/>
        <w:t xml:space="preserve">распространение этих отягчающих обстоятельств на бывших супругов, бывших сожителей или партнеров по договору о гражданском браке; </w:t>
      </w:r>
    </w:p>
    <w:p w:rsidR="00000000" w:rsidRDefault="00000000">
      <w:pPr>
        <w:spacing w:after="180"/>
        <w:ind w:left="567" w:hanging="567"/>
        <w:rPr>
          <w:snapToGrid w:val="0"/>
        </w:rPr>
      </w:pPr>
      <w:r>
        <w:rPr>
          <w:snapToGrid w:val="0"/>
        </w:rPr>
        <w:t>–</w:t>
      </w:r>
      <w:r>
        <w:rPr>
          <w:snapToGrid w:val="0"/>
        </w:rPr>
        <w:tab/>
        <w:t>распространение этих отягчающих обстоятельств на случаи убийства, насилия или агрессивных действий сексуального характера;</w:t>
      </w:r>
    </w:p>
    <w:p w:rsidR="00000000" w:rsidRDefault="00000000">
      <w:pPr>
        <w:spacing w:after="180"/>
        <w:ind w:left="567" w:hanging="567"/>
        <w:rPr>
          <w:snapToGrid w:val="0"/>
        </w:rPr>
      </w:pPr>
      <w:r>
        <w:rPr>
          <w:snapToGrid w:val="0"/>
        </w:rPr>
        <w:t>–</w:t>
      </w:r>
      <w:r>
        <w:rPr>
          <w:snapToGrid w:val="0"/>
        </w:rPr>
        <w:tab/>
        <w:t xml:space="preserve">распространение на не состоящие в браке пары запрещения лицу, совершившему насилие, пользоваться общим жилым помещением, если данная пара имеет общего несовершеннолетнего ребенка; </w:t>
      </w:r>
    </w:p>
    <w:p w:rsidR="00000000" w:rsidRDefault="00000000">
      <w:pPr>
        <w:spacing w:after="180"/>
        <w:ind w:left="567" w:hanging="567"/>
        <w:rPr>
          <w:snapToGrid w:val="0"/>
        </w:rPr>
      </w:pPr>
      <w:r>
        <w:rPr>
          <w:snapToGrid w:val="0"/>
        </w:rPr>
        <w:t>–</w:t>
      </w:r>
      <w:r>
        <w:rPr>
          <w:snapToGrid w:val="0"/>
        </w:rPr>
        <w:tab/>
        <w:t>ограничение до одного раза возможности обращаться в судебные органы в случае насилия в семье;</w:t>
      </w:r>
    </w:p>
    <w:p w:rsidR="00000000" w:rsidRDefault="00000000">
      <w:pPr>
        <w:ind w:left="567" w:hanging="567"/>
        <w:rPr>
          <w:snapToGrid w:val="0"/>
        </w:rPr>
      </w:pPr>
      <w:r>
        <w:rPr>
          <w:snapToGrid w:val="0"/>
        </w:rPr>
        <w:t>–</w:t>
      </w:r>
      <w:r>
        <w:rPr>
          <w:snapToGrid w:val="0"/>
        </w:rPr>
        <w:tab/>
        <w:t>введение обязательства для правительства представлять раз в два года в президиум палат парламента доклад о национальной политике по вопросу борьбы с насилием в семье.</w:t>
      </w:r>
    </w:p>
    <w:p w:rsidR="00000000" w:rsidRDefault="00000000">
      <w:pPr>
        <w:rPr>
          <w:snapToGrid w:val="0"/>
          <w:lang w:eastAsia="fr-FR"/>
        </w:rPr>
      </w:pPr>
      <w:r>
        <w:rPr>
          <w:snapToGrid w:val="0"/>
          <w:lang w:eastAsia="fr-FR"/>
        </w:rPr>
        <w:t xml:space="preserve">Наряду с этим закон от 12 декабря 2005 года о мерах воздействия в случае рецидива уголовных правонарушений упрощает процесс выселения из жилого помещения лица, совершившего насилие, до вынесения судебного решения (в рамках судебного контроля) или после вынесения судебного решения (в рамках условного осуждения с установлением испытательного режима). В этом же законе предусматривается, в случае необходимости, возможность оплаты расходов на проведение мероприятий оздоровительного, социального или психологического характера. </w:t>
      </w:r>
    </w:p>
    <w:p w:rsidR="00000000" w:rsidRDefault="00000000">
      <w:pPr>
        <w:rPr>
          <w:snapToGrid w:val="0"/>
          <w:color w:val="000000"/>
        </w:rPr>
      </w:pPr>
      <w:r>
        <w:rPr>
          <w:snapToGrid w:val="0"/>
          <w:color w:val="000000"/>
          <w:u w:val="single"/>
        </w:rPr>
        <w:t>Второе направление: расширение набора механизмов по приему и размещению женщин, ставших жертвами насилия,</w:t>
      </w:r>
      <w:r>
        <w:rPr>
          <w:snapToGrid w:val="0"/>
          <w:color w:val="000000"/>
        </w:rPr>
        <w:t xml:space="preserve"> благодаря эксперименту с размещением женщин в семьях за плату.</w:t>
      </w:r>
    </w:p>
    <w:p w:rsidR="00000000" w:rsidRDefault="00000000">
      <w:pPr>
        <w:rPr>
          <w:snapToGrid w:val="0"/>
          <w:color w:val="000000"/>
          <w:u w:val="single"/>
        </w:rPr>
      </w:pPr>
      <w:r>
        <w:rPr>
          <w:snapToGrid w:val="0"/>
          <w:color w:val="000000"/>
          <w:u w:val="single"/>
        </w:rPr>
        <w:t xml:space="preserve">Третье направление: координация взаимодействия различных органов здравоохранения, </w:t>
      </w:r>
      <w:r>
        <w:rPr>
          <w:snapToGrid w:val="0"/>
          <w:color w:val="000000"/>
        </w:rPr>
        <w:t>занимающихся оплатой расходов женщин, ставших жертвами насилия, будет улучшаться в результате проведения эксперимента по созданию сетей приема женщин при больничных комплексах.</w:t>
      </w:r>
      <w:r>
        <w:rPr>
          <w:snapToGrid w:val="0"/>
          <w:color w:val="000000"/>
          <w:u w:val="single"/>
        </w:rPr>
        <w:t xml:space="preserve"> </w:t>
      </w:r>
    </w:p>
    <w:p w:rsidR="00000000" w:rsidRDefault="00000000">
      <w:pPr>
        <w:rPr>
          <w:snapToGrid w:val="0"/>
          <w:color w:val="000000"/>
        </w:rPr>
      </w:pPr>
      <w:r>
        <w:rPr>
          <w:snapToGrid w:val="0"/>
          <w:color w:val="000000"/>
        </w:rPr>
        <w:t xml:space="preserve">Брошюра, выпущенная в 2005 году в партнерстве с другими компетентными министерствами, будет в ближайшем будущем разослана в соответствующие медицинские учреждения с целью оказания им помощи в поддержке женщин, ставших жертвами насилия. </w:t>
      </w:r>
    </w:p>
    <w:p w:rsidR="00000000" w:rsidRDefault="00000000">
      <w:pPr>
        <w:rPr>
          <w:snapToGrid w:val="0"/>
          <w:color w:val="000000"/>
          <w:u w:val="single"/>
        </w:rPr>
      </w:pPr>
      <w:r>
        <w:rPr>
          <w:snapToGrid w:val="0"/>
          <w:color w:val="000000"/>
          <w:u w:val="single"/>
        </w:rPr>
        <w:t>Четвертое направление: будет создана рабочая группа по проблемам мужчин, совершивших акт насилия</w:t>
      </w:r>
      <w:r>
        <w:rPr>
          <w:snapToGrid w:val="0"/>
          <w:color w:val="000000"/>
        </w:rPr>
        <w:t>. В течение 2006 года она должна подготовить соответствующий доклад.</w:t>
      </w:r>
    </w:p>
    <w:p w:rsidR="00000000" w:rsidRDefault="00000000">
      <w:pPr>
        <w:keepNext/>
        <w:spacing w:before="120" w:after="120"/>
        <w:jc w:val="center"/>
        <w:rPr>
          <w:snapToGrid w:val="0"/>
          <w:color w:val="000000"/>
        </w:rPr>
      </w:pPr>
      <w:r>
        <w:rPr>
          <w:snapToGrid w:val="0"/>
          <w:color w:val="000000"/>
        </w:rPr>
        <w:t>СТАТЬЯ 13</w:t>
      </w:r>
    </w:p>
    <w:p w:rsidR="00000000" w:rsidRDefault="00000000">
      <w:pPr>
        <w:jc w:val="center"/>
        <w:rPr>
          <w:i/>
          <w:snapToGrid w:val="0"/>
          <w:color w:val="000000"/>
        </w:rPr>
      </w:pPr>
      <w:r>
        <w:rPr>
          <w:i/>
          <w:snapToGrid w:val="0"/>
          <w:color w:val="000000"/>
        </w:rPr>
        <w:t>Социальные и экономические преимущества</w:t>
      </w:r>
    </w:p>
    <w:p w:rsidR="00000000" w:rsidRDefault="00000000">
      <w:pPr>
        <w:rPr>
          <w:snapToGrid w:val="0"/>
          <w:color w:val="000000"/>
          <w:u w:val="single"/>
        </w:rPr>
      </w:pPr>
      <w:r>
        <w:rPr>
          <w:snapToGrid w:val="0"/>
          <w:color w:val="000000"/>
          <w:lang w:val="en-US"/>
        </w:rPr>
        <w:t>I</w:t>
      </w:r>
      <w:r>
        <w:rPr>
          <w:snapToGrid w:val="0"/>
          <w:color w:val="000000"/>
        </w:rPr>
        <w:t>)</w:t>
      </w:r>
      <w:r>
        <w:rPr>
          <w:snapToGrid w:val="0"/>
          <w:color w:val="000000"/>
        </w:rPr>
        <w:tab/>
      </w:r>
      <w:r>
        <w:rPr>
          <w:snapToGrid w:val="0"/>
          <w:color w:val="000000"/>
          <w:u w:val="single"/>
        </w:rPr>
        <w:t>Женщины в ситуации нестабильности и бедности</w:t>
      </w:r>
    </w:p>
    <w:p w:rsidR="00000000" w:rsidRDefault="00000000">
      <w:pPr>
        <w:rPr>
          <w:snapToGrid w:val="0"/>
          <w:lang w:eastAsia="fr-FR"/>
        </w:rPr>
      </w:pPr>
      <w:r>
        <w:rPr>
          <w:snapToGrid w:val="0"/>
          <w:lang w:eastAsia="fr-FR"/>
        </w:rPr>
        <w:t>Ситуация семьи с одним родителем, в которой оказываются в основном женщины</w:t>
      </w:r>
      <w:r>
        <w:rPr>
          <w:rStyle w:val="FootnoteReference"/>
          <w:snapToGrid w:val="0"/>
          <w:lang w:eastAsia="fr-FR"/>
        </w:rPr>
        <w:footnoteReference w:id="20"/>
      </w:r>
      <w:r>
        <w:rPr>
          <w:snapToGrid w:val="0"/>
          <w:lang w:eastAsia="fr-FR"/>
        </w:rPr>
        <w:t xml:space="preserve">, затрагивает все большее число женщин. Согласно исследованию, опубликованному в апреле 2005 года Министерством по социальным вопросам, количество семей с одним родителем, включающих не менее одного ребенка в возрасте до 25 лет, значительно выросло (в период с 1990  по 1999 год оно возросло с 1 175 000 до 1 495 000). Такое положение является одной из главных причин уязвимости женщин. Женщины, которые в одиночку воспитывают своих детей, работают чаще, чем замужние женщины. Вместе с тем, имея маленьких детей, они сталкиваются с особыми проблемами ухода за детьми, а в более широком плане – с проблемами совмещения их семейной жизни и профессиональной деятельности. В таких случаях матери-одиночки часто меньше времени посвящают профессиональной деятельности, чем замужние матери с маленькими детьми </w:t>
      </w:r>
      <w:r>
        <w:rPr>
          <w:snapToGrid w:val="0"/>
          <w:color w:val="000000"/>
          <w:lang w:eastAsia="fr-FR"/>
        </w:rPr>
        <w:t xml:space="preserve">. </w:t>
      </w:r>
    </w:p>
    <w:p w:rsidR="00000000" w:rsidRDefault="00000000">
      <w:pPr>
        <w:rPr>
          <w:snapToGrid w:val="0"/>
          <w:color w:val="000000"/>
          <w:lang w:eastAsia="fr-FR"/>
        </w:rPr>
      </w:pPr>
      <w:r>
        <w:rPr>
          <w:snapToGrid w:val="0"/>
          <w:color w:val="000000"/>
          <w:lang w:eastAsia="fr-FR"/>
        </w:rPr>
        <w:t xml:space="preserve">В среднем доходы от трудовой деятельности семей с одним родителем составляют 83 процента их первоначальных средств. Треть таких семей получают алименты. Вместе с тем, если не брать в расчет социальные пособия, их уровень жизни чаще всего оказывается невысоким. Социальные пособия существенно повышают уровень жизни (в среднем на 20 процентов). Несмотря на такую прибавку, в семьях с одним родителем риск материальной бедности оказывается выше, чем в супружеских парах. Кроме того, жилищные условия в этих семьях менее благоприятны, чем у супружеских пар с одним ребенком. </w:t>
      </w:r>
    </w:p>
    <w:p w:rsidR="00000000" w:rsidRDefault="00000000">
      <w:pPr>
        <w:rPr>
          <w:snapToGrid w:val="0"/>
          <w:lang w:eastAsia="fr-FR"/>
        </w:rPr>
      </w:pPr>
      <w:r>
        <w:rPr>
          <w:snapToGrid w:val="0"/>
          <w:lang w:eastAsia="fr-FR"/>
        </w:rPr>
        <w:t>19 марта 2003 года Совету министров был представлен Национальный план усиления борьбы c нестабильным положением и социальным исключением. Этот план мобилизует все заинтересованные министерства на выполнение следующих задач:</w:t>
      </w:r>
    </w:p>
    <w:p w:rsidR="00000000" w:rsidRDefault="00000000">
      <w:pPr>
        <w:ind w:left="567" w:hanging="567"/>
        <w:rPr>
          <w:snapToGrid w:val="0"/>
          <w:lang w:eastAsia="fr-FR"/>
        </w:rPr>
      </w:pPr>
      <w:r>
        <w:rPr>
          <w:snapToGrid w:val="0"/>
          <w:lang w:eastAsia="fr-FR"/>
        </w:rPr>
        <w:t>–</w:t>
      </w:r>
      <w:r>
        <w:rPr>
          <w:snapToGrid w:val="0"/>
          <w:lang w:eastAsia="fr-FR"/>
        </w:rPr>
        <w:tab/>
        <w:t>обеспечить на деле соблюдение соответствующих прав и доступ к получению гражданства путем упрощения административных формальностей, улучшения условий приема лиц, оказавшихся в затруднительном положении, в социальные заведения, и поощрения к выражению своего мнения и участию в жизни этих заведений;</w:t>
      </w:r>
    </w:p>
    <w:p w:rsidR="00000000" w:rsidRDefault="00000000">
      <w:pPr>
        <w:ind w:left="567" w:hanging="567"/>
        <w:rPr>
          <w:snapToGrid w:val="0"/>
          <w:lang w:eastAsia="fr-FR"/>
        </w:rPr>
      </w:pPr>
      <w:r>
        <w:rPr>
          <w:snapToGrid w:val="0"/>
        </w:rPr>
        <w:t>–</w:t>
      </w:r>
      <w:r>
        <w:rPr>
          <w:snapToGrid w:val="0"/>
        </w:rPr>
        <w:tab/>
      </w:r>
      <w:r>
        <w:rPr>
          <w:snapToGrid w:val="0"/>
          <w:lang w:eastAsia="fr-FR"/>
        </w:rPr>
        <w:t>улучшить доступ к медицинским услугам, делая упор на оплату расходов на психологическую реабилитацию;</w:t>
      </w:r>
    </w:p>
    <w:p w:rsidR="00000000" w:rsidRDefault="00000000">
      <w:pPr>
        <w:rPr>
          <w:snapToGrid w:val="0"/>
          <w:lang w:eastAsia="fr-FR"/>
        </w:rPr>
      </w:pPr>
      <w:r>
        <w:rPr>
          <w:snapToGrid w:val="0"/>
        </w:rPr>
        <w:t>–</w:t>
      </w:r>
      <w:r>
        <w:rPr>
          <w:snapToGrid w:val="0"/>
        </w:rPr>
        <w:tab/>
      </w:r>
      <w:r>
        <w:rPr>
          <w:snapToGrid w:val="0"/>
          <w:lang w:eastAsia="fr-FR"/>
        </w:rPr>
        <w:t>увеличить возможности получения жилья и диверсифицировать предложение по жилью;</w:t>
      </w:r>
    </w:p>
    <w:p w:rsidR="00000000" w:rsidRDefault="00000000">
      <w:pPr>
        <w:rPr>
          <w:snapToGrid w:val="0"/>
          <w:lang w:eastAsia="fr-FR"/>
        </w:rPr>
      </w:pPr>
      <w:r>
        <w:rPr>
          <w:snapToGrid w:val="0"/>
        </w:rPr>
        <w:t>–</w:t>
      </w:r>
      <w:r>
        <w:rPr>
          <w:snapToGrid w:val="0"/>
        </w:rPr>
        <w:tab/>
      </w:r>
      <w:r>
        <w:rPr>
          <w:snapToGrid w:val="0"/>
          <w:lang w:eastAsia="fr-FR"/>
        </w:rPr>
        <w:t>усовершенствовать механизмы приема, размещения и социальной реабилитации;</w:t>
      </w:r>
    </w:p>
    <w:p w:rsidR="00000000" w:rsidRDefault="00000000">
      <w:pPr>
        <w:ind w:left="567" w:hanging="567"/>
        <w:rPr>
          <w:snapToGrid w:val="0"/>
          <w:lang w:eastAsia="fr-FR"/>
        </w:rPr>
      </w:pPr>
      <w:r>
        <w:rPr>
          <w:snapToGrid w:val="0"/>
        </w:rPr>
        <w:t>–</w:t>
      </w:r>
      <w:r>
        <w:rPr>
          <w:snapToGrid w:val="0"/>
        </w:rPr>
        <w:tab/>
      </w:r>
      <w:r>
        <w:rPr>
          <w:snapToGrid w:val="0"/>
          <w:lang w:eastAsia="fr-FR"/>
        </w:rPr>
        <w:t>более эффективно откликаться на нужды людей, оказавшихся в тяжелом положении, в плане борьбы с неграмотностью, оказания помощи с питанием, доступа к электроэнергии и к пользованию телефоном и т. д.</w:t>
      </w:r>
    </w:p>
    <w:p w:rsidR="00000000" w:rsidRDefault="00000000">
      <w:pPr>
        <w:rPr>
          <w:snapToGrid w:val="0"/>
          <w:lang w:eastAsia="fr-FR"/>
        </w:rPr>
      </w:pPr>
      <w:r>
        <w:rPr>
          <w:snapToGrid w:val="0"/>
          <w:lang w:eastAsia="fr-FR"/>
        </w:rPr>
        <w:t>Второй Национальный план действий за социальное включение (PNAI 2003-2005)</w:t>
      </w:r>
      <w:r>
        <w:rPr>
          <w:rStyle w:val="FootnoteReference"/>
          <w:snapToGrid w:val="0"/>
          <w:lang w:eastAsia="fr-FR"/>
        </w:rPr>
        <w:footnoteReference w:id="21"/>
      </w:r>
      <w:r>
        <w:rPr>
          <w:snapToGrid w:val="0"/>
          <w:lang w:eastAsia="fr-FR"/>
        </w:rPr>
        <w:t>, который повторяет мероприятия Национального плана усиления борьбы c неустойчивым положением и социальным исключением, был передан в Европейскую комиссию 31 июля 2003 года. В Национальном плане действий за социальное включение Франция остановила свой выбор на трех приоритетных направлениях деятельности:</w:t>
      </w:r>
    </w:p>
    <w:p w:rsidR="00000000" w:rsidRDefault="00000000">
      <w:pPr>
        <w:rPr>
          <w:snapToGrid w:val="0"/>
          <w:lang w:eastAsia="fr-FR"/>
        </w:rPr>
      </w:pPr>
      <w:r>
        <w:rPr>
          <w:snapToGrid w:val="0"/>
          <w:lang w:eastAsia="fr-FR"/>
        </w:rPr>
        <w:sym w:font="SymbolPS" w:char="F0B7"/>
      </w:r>
      <w:r>
        <w:rPr>
          <w:snapToGrid w:val="0"/>
          <w:lang w:eastAsia="fr-FR"/>
        </w:rPr>
        <w:tab/>
        <w:t>создание новых и устойчивых условий для развития занятости;</w:t>
      </w:r>
    </w:p>
    <w:p w:rsidR="00000000" w:rsidRDefault="00000000">
      <w:pPr>
        <w:rPr>
          <w:snapToGrid w:val="0"/>
          <w:lang w:eastAsia="fr-FR"/>
        </w:rPr>
      </w:pPr>
      <w:r>
        <w:rPr>
          <w:snapToGrid w:val="0"/>
          <w:lang w:eastAsia="fr-FR"/>
        </w:rPr>
        <w:sym w:font="SymbolPS" w:char="F0B7"/>
      </w:r>
      <w:r>
        <w:rPr>
          <w:snapToGrid w:val="0"/>
          <w:lang w:eastAsia="fr-FR"/>
        </w:rPr>
        <w:tab/>
        <w:t xml:space="preserve">предупреждение рисков социального исключения; </w:t>
      </w:r>
    </w:p>
    <w:p w:rsidR="00000000" w:rsidRDefault="00000000">
      <w:pPr>
        <w:ind w:left="567" w:hanging="567"/>
        <w:rPr>
          <w:snapToGrid w:val="0"/>
          <w:lang w:eastAsia="fr-FR"/>
        </w:rPr>
      </w:pPr>
      <w:r>
        <w:rPr>
          <w:snapToGrid w:val="0"/>
          <w:lang w:eastAsia="fr-FR"/>
        </w:rPr>
        <w:sym w:font="SymbolPS" w:char="F0B7"/>
      </w:r>
      <w:r>
        <w:rPr>
          <w:snapToGrid w:val="0"/>
          <w:lang w:eastAsia="fr-FR"/>
        </w:rPr>
        <w:tab/>
        <w:t>укрепление смежного характера оплаты расходов</w:t>
      </w:r>
      <w:r>
        <w:rPr>
          <w:snapToGrid w:val="0"/>
          <w:color w:val="000000"/>
          <w:lang w:eastAsia="fr-FR"/>
        </w:rPr>
        <w:t xml:space="preserve"> </w:t>
      </w:r>
      <w:r>
        <w:rPr>
          <w:snapToGrid w:val="0"/>
          <w:lang w:eastAsia="fr-FR"/>
        </w:rPr>
        <w:t>и мобилизация всех участников борьбы с социальным исключением.</w:t>
      </w:r>
    </w:p>
    <w:p w:rsidR="00000000" w:rsidRDefault="00000000">
      <w:pPr>
        <w:rPr>
          <w:snapToGrid w:val="0"/>
          <w:lang w:eastAsia="fr-FR"/>
        </w:rPr>
      </w:pPr>
      <w:r>
        <w:rPr>
          <w:snapToGrid w:val="0"/>
          <w:lang w:eastAsia="fr-FR"/>
        </w:rPr>
        <w:t>В соответствии с главным направлением, которое выбрали государства – члены Европейского союза, достижение равенства между мужчинами и женщинами является сквозной целью, учтенной во всей совокупности целей этого плана.</w:t>
      </w:r>
    </w:p>
    <w:p w:rsidR="00000000" w:rsidRDefault="00000000">
      <w:r>
        <w:t>II)</w:t>
      </w:r>
      <w:r>
        <w:tab/>
        <w:t>Женщины – создатели предприятий</w:t>
      </w:r>
    </w:p>
    <w:p w:rsidR="00000000" w:rsidRDefault="00000000">
      <w:pPr>
        <w:rPr>
          <w:b/>
        </w:rPr>
      </w:pPr>
      <w:r>
        <w:rPr>
          <w:b/>
        </w:rPr>
        <w:t>A)</w:t>
      </w:r>
      <w:r>
        <w:rPr>
          <w:b/>
        </w:rPr>
        <w:tab/>
        <w:t>Констатация фактов</w:t>
      </w:r>
    </w:p>
    <w:p w:rsidR="00000000" w:rsidRDefault="00000000">
      <w:r>
        <w:t>29,8 процента создателей и покупателей предприятий являются женщинами. Такой невысокий процент можно объяснить по-разному:</w:t>
      </w:r>
    </w:p>
    <w:p w:rsidR="00000000" w:rsidRDefault="00000000">
      <w:pPr>
        <w:ind w:left="567" w:hanging="567"/>
      </w:pPr>
      <w:r>
        <w:sym w:font="Symbol" w:char="F0B7"/>
      </w:r>
      <w:r>
        <w:tab/>
        <w:t xml:space="preserve">в отличие от того, что отмечается в других странах (в Соединенных Штатах, Германии или Великобритании, например), француженки стали принимать участие в экономической деятельности относительно недавно. Коэффициент участия женщин в экономической деятельности стал расти только после окончания Второй мировой войны и быстро возрастал, начиная с 1960-х годов; </w:t>
      </w:r>
    </w:p>
    <w:p w:rsidR="00000000" w:rsidRDefault="00000000">
      <w:pPr>
        <w:ind w:left="567" w:hanging="567"/>
      </w:pPr>
      <w:r>
        <w:sym w:font="Symbol" w:char="F0B7"/>
      </w:r>
      <w:r>
        <w:tab/>
        <w:t>банки имеют тенденцию предоставлять кредиты, применяя для мужчин и для женщин различные критерии: от женщин, например, для оценки их финансовой состоятельности требуется указать число детей, находящихся на их иждивении, чего не требуется от мужчин;</w:t>
      </w:r>
    </w:p>
    <w:p w:rsidR="00000000" w:rsidRDefault="00000000">
      <w:pPr>
        <w:ind w:left="567" w:hanging="567"/>
      </w:pPr>
      <w:r>
        <w:sym w:font="Symbol" w:char="F0B7"/>
      </w:r>
      <w:r>
        <w:tab/>
        <w:t>до сих пор на женщину возлагается основополагающая роль в воспитании детей. Создание предприятия требует от женщин большой отдачи в профессиональном плане, что часто оборачивается негативными последствиями для семейной жизни, в результате чего некоторые из них вынуждены отказываться от своих проектов;</w:t>
      </w:r>
    </w:p>
    <w:p w:rsidR="00000000" w:rsidRDefault="00000000">
      <w:pPr>
        <w:ind w:left="567" w:hanging="567"/>
      </w:pPr>
      <w:r>
        <w:sym w:font="Symbol" w:char="F0B7"/>
      </w:r>
      <w:r>
        <w:tab/>
        <w:t>женщины в меньшей степени, чем мужчины, подготовлены в области управления и ведения финансовой деятельности. Это, вероятно, является следствием того, что начальное образование женщин носило общую направленность. Поэтому, хотя среди создателей предприятий больше дипломированных женщин, чем мужчин, они имеют более низкую квалификацию, чем мужчины, в зависимости от того, какой деятельностью они занимались до создания предприятия;</w:t>
      </w:r>
    </w:p>
    <w:p w:rsidR="00000000" w:rsidRDefault="00000000">
      <w:pPr>
        <w:ind w:left="567" w:hanging="567"/>
      </w:pPr>
      <w:r>
        <w:sym w:font="Symbol" w:char="F0B7"/>
      </w:r>
      <w:r>
        <w:tab/>
        <w:t xml:space="preserve">женщины занимаются мелкими проектами и имеют меньше собственных финансовых средств по сравнению с мужчинами: у 46 процентов женщин – создателей предприятий необходимая сумма для создания предприятия составляет менее 7622 евро (37 процентов у мужчин). </w:t>
      </w:r>
    </w:p>
    <w:p w:rsidR="00000000" w:rsidRDefault="00000000">
      <w:pPr>
        <w:rPr>
          <w:snapToGrid w:val="0"/>
          <w:lang w:eastAsia="fr-FR"/>
        </w:rPr>
      </w:pPr>
      <w:r>
        <w:t xml:space="preserve">Однако это не означает, что женщины добиваются меньших успехов, чем мужчины. </w:t>
      </w:r>
    </w:p>
    <w:p w:rsidR="00000000" w:rsidRDefault="00000000">
      <w:pPr>
        <w:ind w:left="567" w:hanging="567"/>
        <w:rPr>
          <w:b/>
        </w:rPr>
      </w:pPr>
      <w:r>
        <w:rPr>
          <w:b/>
        </w:rPr>
        <w:t>B)</w:t>
      </w:r>
      <w:r>
        <w:rPr>
          <w:b/>
        </w:rPr>
        <w:tab/>
        <w:t xml:space="preserve">Меры государственных органов по динамичному развитию женского предпринимательства </w:t>
      </w:r>
    </w:p>
    <w:p w:rsidR="00000000" w:rsidRDefault="00000000">
      <w:pPr>
        <w:ind w:left="567" w:hanging="567"/>
        <w:rPr>
          <w:u w:val="single"/>
        </w:rPr>
      </w:pPr>
      <w:r>
        <w:t>1)</w:t>
      </w:r>
      <w:r>
        <w:tab/>
      </w:r>
      <w:r>
        <w:rPr>
          <w:u w:val="single"/>
        </w:rPr>
        <w:t>Объединение ведомственных партнеров в соответствии с принципами Хартии равенства</w:t>
      </w:r>
    </w:p>
    <w:p w:rsidR="00000000" w:rsidRDefault="00000000">
      <w:r>
        <w:t>При разработке Хартии равенства в 2003 году несколько партнеров (в частности, ряд заинтересованных министерств) объединили свои усилия для действий по трем направлениям:</w:t>
      </w:r>
    </w:p>
    <w:p w:rsidR="00000000" w:rsidRDefault="00000000">
      <w:r>
        <w:rPr>
          <w:snapToGrid w:val="0"/>
          <w:lang w:eastAsia="fr-FR"/>
        </w:rPr>
        <w:t>–</w:t>
      </w:r>
      <w:r>
        <w:rPr>
          <w:snapToGrid w:val="0"/>
          <w:lang w:eastAsia="fr-FR"/>
        </w:rPr>
        <w:tab/>
      </w:r>
      <w:r>
        <w:t>уделять больше внимания вопросам предпринимательства в рамках начального образования;</w:t>
      </w:r>
    </w:p>
    <w:p w:rsidR="00000000" w:rsidRDefault="00000000">
      <w:pPr>
        <w:ind w:left="567" w:hanging="567"/>
      </w:pPr>
      <w:r>
        <w:rPr>
          <w:snapToGrid w:val="0"/>
          <w:lang w:eastAsia="fr-FR"/>
        </w:rPr>
        <w:t>–</w:t>
      </w:r>
      <w:r>
        <w:rPr>
          <w:snapToGrid w:val="0"/>
          <w:lang w:eastAsia="fr-FR"/>
        </w:rPr>
        <w:tab/>
      </w:r>
      <w:r>
        <w:t>расширять осведомленность и поддержку женщин (юридическая, финансовая и налоговая поддержка);</w:t>
      </w:r>
    </w:p>
    <w:p w:rsidR="00000000" w:rsidRDefault="00000000">
      <w:r>
        <w:t>–</w:t>
      </w:r>
      <w:r>
        <w:tab/>
        <w:t>улучшать доступ женщин к финансированию, в частности через банки.</w:t>
      </w:r>
    </w:p>
    <w:p w:rsidR="00000000" w:rsidRDefault="00000000">
      <w:pPr>
        <w:ind w:left="567" w:hanging="567"/>
        <w:rPr>
          <w:u w:val="single"/>
        </w:rPr>
      </w:pPr>
      <w:r>
        <w:t>2)</w:t>
      </w:r>
      <w:r>
        <w:tab/>
      </w:r>
      <w:r>
        <w:rPr>
          <w:u w:val="single"/>
        </w:rPr>
        <w:t>Реформирование гарантийного фонда для создания, приобретения или развития предприятий по инициативе женщин</w:t>
      </w:r>
    </w:p>
    <w:p w:rsidR="00000000" w:rsidRDefault="00000000">
      <w:r>
        <w:t>Фонд для создания, приобретения или развития предприятий по инициативе женщин существует с 1989 года. Он дает возможность государству выступать гарантом перед банками, чтобы облегчить доступ к кредитам тем женщинам, которые хотят открыть, приобрести или развивать свое предприятие. В результате межведомственного соглашения Фонд для создания, приобретения или развития предприятий по инициативе женщин стал в 2003 году одной из трех гарантийных линий нового "фонда солидарности и гарантий для женского предпринимательства и трудоустройства"</w:t>
      </w:r>
    </w:p>
    <w:p w:rsidR="00000000" w:rsidRDefault="00000000">
      <w:r>
        <w:t>С этого времени Министерство по вопросам паритета направляло свои усилия на реформирование Фонда для создания, приобретения или развития предприятий по инициативе женщин, с тем чтобы сделать его более динамичным и значимым. Основное направление реформы заключалось в том, чтобы рассмотрение и отбор заявок кандидатов на получение средств из этого гарантийного фонда проводились по территориальному признаку, то есть чтобы большинство заявлений изучалось и рассматривалось в каждом регионе, а не на государственном уровне. В период с 2003 по 2004 год количество кредитов под гарантию увеличилось на 120 процентов, а в период с 2004 по 2005 год – на 160 процентов.</w:t>
      </w:r>
    </w:p>
    <w:p w:rsidR="00000000" w:rsidRDefault="00000000">
      <w:r>
        <w:t>Параллельно с этим проводилась информационно-пропагандистская кампания по вопросам развития женского предпринимательства, имеющая целью привлечь к этому вопросу внимание профессионалов, работающих в области создания предприятий, работников банковской сферы и широкой общественности.</w:t>
      </w:r>
    </w:p>
    <w:p w:rsidR="00000000" w:rsidRDefault="00000000">
      <w:pPr>
        <w:rPr>
          <w:u w:val="single"/>
        </w:rPr>
      </w:pPr>
      <w:r>
        <w:t>3)</w:t>
      </w:r>
      <w:r>
        <w:tab/>
      </w:r>
      <w:r>
        <w:rPr>
          <w:u w:val="single"/>
        </w:rPr>
        <w:t>Законодательные меры, направленные на развитие женского предпринимательства</w:t>
      </w:r>
    </w:p>
    <w:p w:rsidR="00000000" w:rsidRDefault="00000000">
      <w:pPr>
        <w:ind w:left="567" w:hanging="567"/>
        <w:rPr>
          <w:b/>
        </w:rPr>
      </w:pPr>
      <w:r>
        <w:rPr>
          <w:b/>
          <w:lang w:val="en-US"/>
        </w:rPr>
        <w:t>a</w:t>
      </w:r>
      <w:r>
        <w:rPr>
          <w:b/>
        </w:rPr>
        <w:t>)</w:t>
      </w:r>
      <w:r>
        <w:rPr>
          <w:b/>
        </w:rPr>
        <w:tab/>
        <w:t xml:space="preserve">Закон от 1 августа 2003 года "об экономической инициативе" </w:t>
      </w:r>
      <w:r>
        <w:t>включает положения, которые облегчают усилия женщин по созданию предприятий. Данный закон дает женщинам возможность:</w:t>
      </w:r>
    </w:p>
    <w:p w:rsidR="00000000" w:rsidRDefault="00000000">
      <w:r>
        <w:t>–</w:t>
      </w:r>
      <w:r>
        <w:tab/>
        <w:t>создавать общество с ограниченной ответственностью со свободным капиталом,</w:t>
      </w:r>
    </w:p>
    <w:p w:rsidR="00000000" w:rsidRDefault="00000000">
      <w:r>
        <w:t>–</w:t>
      </w:r>
      <w:r>
        <w:tab/>
        <w:t>домицилировать предприятие по своему месту жительства.</w:t>
      </w:r>
    </w:p>
    <w:p w:rsidR="00000000" w:rsidRDefault="00000000">
      <w:pPr>
        <w:ind w:left="567" w:hanging="567"/>
      </w:pPr>
      <w:r>
        <w:rPr>
          <w:b/>
          <w:lang w:val="en-US"/>
        </w:rPr>
        <w:t>b</w:t>
      </w:r>
      <w:r>
        <w:rPr>
          <w:b/>
        </w:rPr>
        <w:t>)</w:t>
      </w:r>
      <w:r>
        <w:rPr>
          <w:b/>
        </w:rPr>
        <w:tab/>
        <w:t xml:space="preserve">Закон "в поддержку малых и средних предприятий" от 13 июля 2005 года </w:t>
      </w:r>
      <w:r>
        <w:t>должен способствовать приобретению предприятий супругами самодеятельных трудящихся. В законе содержится ряд положений, в которых признаются права супруга, но при условии, что он обязательно подпадает под один из трех статусов: супруга-сотрудника, супруга – наемного работника или супруга-совладельца. Закон также направлен на то, чтобы предоставить супругам, подобно руководителю предприятия, возможность получить доступ к непрерывному профессиональному образованию и к оценке приобретенного опыта, в частности, в плане приобретения предприятия.</w:t>
      </w:r>
    </w:p>
    <w:p w:rsidR="00000000" w:rsidRDefault="00000000">
      <w:pPr>
        <w:rPr>
          <w:u w:val="single"/>
        </w:rPr>
      </w:pPr>
      <w:r>
        <w:t>III)</w:t>
      </w:r>
      <w:r>
        <w:tab/>
      </w:r>
      <w:r>
        <w:rPr>
          <w:u w:val="single"/>
        </w:rPr>
        <w:t xml:space="preserve">Женщины и спорт </w:t>
      </w:r>
    </w:p>
    <w:p w:rsidR="00000000" w:rsidRDefault="00000000">
      <w:pPr>
        <w:rPr>
          <w:b/>
          <w:snapToGrid w:val="0"/>
        </w:rPr>
      </w:pPr>
      <w:r>
        <w:rPr>
          <w:b/>
          <w:snapToGrid w:val="0"/>
          <w:lang w:val="en-US"/>
        </w:rPr>
        <w:t>A</w:t>
      </w:r>
      <w:r>
        <w:rPr>
          <w:b/>
          <w:snapToGrid w:val="0"/>
        </w:rPr>
        <w:t>)</w:t>
      </w:r>
      <w:r>
        <w:rPr>
          <w:b/>
          <w:snapToGrid w:val="0"/>
        </w:rPr>
        <w:tab/>
        <w:t>Общие сведения</w:t>
      </w:r>
    </w:p>
    <w:p w:rsidR="00000000" w:rsidRDefault="00000000">
      <w:r>
        <w:t>В 2000 году 79 процентов женщин занимались физкультурой и спортом (88 процентов мужчин)</w:t>
      </w:r>
      <w:r>
        <w:rPr>
          <w:rStyle w:val="FootnoteReference"/>
        </w:rPr>
        <w:footnoteReference w:id="22"/>
      </w:r>
      <w:r>
        <w:t>; 48 процентов лиц, занимающихся, по крайней мере, одним видом спорта, были женщинами (</w:t>
      </w:r>
      <w:r>
        <w:rPr>
          <w:snapToGrid w:val="0"/>
        </w:rPr>
        <w:t>32,5 процента в 1997 году и 9 процентов в 1968 году)</w:t>
      </w:r>
      <w:r>
        <w:t>.</w:t>
      </w:r>
    </w:p>
    <w:p w:rsidR="00000000" w:rsidRDefault="00000000">
      <w:pPr>
        <w:rPr>
          <w:snapToGrid w:val="0"/>
        </w:rPr>
      </w:pPr>
      <w:r>
        <w:rPr>
          <w:snapToGrid w:val="0"/>
        </w:rPr>
        <w:t>Однако женщины и мужчины занимаются разными видами спорта и пока еще редко соперничают друг с другом на соревнованиях по одним дисциплинам. Женщины больше занимаются такими видами спорта, где есть пластика, жесты и элементы представления, такие как гимнастика, танцы и плавание. В наименьшей степени женщины представлены в коллективных и индивидуальных видах спорта, предполагающих борьбу между соперниками, в мотоспорте, а также в стрельбе или охоте.</w:t>
      </w:r>
    </w:p>
    <w:p w:rsidR="00000000" w:rsidRDefault="00000000">
      <w:pPr>
        <w:rPr>
          <w:snapToGrid w:val="0"/>
        </w:rPr>
      </w:pPr>
      <w:r>
        <w:rPr>
          <w:snapToGrid w:val="0"/>
        </w:rPr>
        <w:t>И хотя положение меняется, сочетание слов "женщины и спорт" все еще в основном связывается с досугом. В 2004 году только немногим более трети спортсменов высокого уровня, внесенных в списки министерств, были женщинами. Чтобы привлечь к себе внимание и быть напечатанными на первых полосах газет и журналов, женщины-спортсменки должны занимать самые высокие места в соревнованиях.</w:t>
      </w:r>
    </w:p>
    <w:p w:rsidR="00000000" w:rsidRDefault="00000000">
      <w:r>
        <w:t>Женщины также мало представлены в сфере профессионального спорта. В 2002 году они составляли 46 процентов среди преподавателей физкультуры и спорта, но только 28 процентов среди преподавателей первого уровня и 15 процентов среди преподавателей второго уровня. И наконец, участие женщин в принятии решений наталкивается на те же трудности, что в политической и экономической областях. В 2005 году, например, только 5 процентов национальных технических директоров были женщинами. Также только 6,2 процента президентов спортивных федераций были женщинами, а из всех членов руководящих комитетов только 19,9 процента были женщинами.</w:t>
      </w:r>
    </w:p>
    <w:p w:rsidR="00000000" w:rsidRDefault="00000000">
      <w:r>
        <w:t>Учитывая сложившуюся ситуацию, Министерство по делам спорта и Министерство по вопросам паритета приняли совместную программу о специальных мероприятиях по улучшению положения женщин и повышения их роли в спортивной деятельности.</w:t>
      </w:r>
    </w:p>
    <w:p w:rsidR="00000000" w:rsidRDefault="00000000">
      <w:pPr>
        <w:ind w:left="567" w:hanging="567"/>
        <w:rPr>
          <w:b/>
        </w:rPr>
      </w:pPr>
      <w:r>
        <w:rPr>
          <w:b/>
        </w:rPr>
        <w:t>B)</w:t>
      </w:r>
      <w:r>
        <w:rPr>
          <w:b/>
        </w:rPr>
        <w:tab/>
        <w:t>Мероприятия, проводимые с целью улучшения положения и повышения роли женщин в спортивной деятельности</w:t>
      </w:r>
    </w:p>
    <w:p w:rsidR="00000000" w:rsidRDefault="00000000">
      <w:r>
        <w:t>1)</w:t>
      </w:r>
      <w:r>
        <w:tab/>
        <w:t>С целью обеспечения женщинам справедливого статуса в руководящих спортивных органах декретом от 7 января 2004 года о лицензировании и статусе спортивных федераций был введен принцип пропорциональности между числом женщин, имеющих профессиональную подготовку, и количеством мест, которое они должны занимать. Претворение в жизнь этого нормативного документа является предметом тщательного контроля и будет иметь финансовые последствия в рамках соглашений по ежегодным задачам, которые подписываются между Министерством по делам спорта и спортивными федерациями.</w:t>
      </w:r>
    </w:p>
    <w:p w:rsidR="00000000" w:rsidRDefault="00000000">
      <w:r>
        <w:t>2)</w:t>
      </w:r>
      <w:r>
        <w:tab/>
        <w:t>В апреле 2004 года совместная рабочая группа Министерства по делам спорта и Министерства по вопросам паритета представила предложения, направленные на создание условий, облегчающих доступ женщин к руководящим должностям в спортивном движении. Были предложены 3 направления действий: уделять больше внимания вовлечению женщин в спорт; феминизировать все федерации в течение 4 лет; оказывать поддержку женщинам на руководящих должностях.</w:t>
      </w:r>
    </w:p>
    <w:p w:rsidR="00000000" w:rsidRDefault="00000000">
      <w:r>
        <w:t>Наряду с этим рабочая группа сформулировала предложения, направленные на поощрение занятия спортом девушек и женщин, проживающих в проблемных городских кварталах, по 4 направлениям деятельности: ввести смешанное качественное руководство, выровнять положение, обращая особое внимание на мероприятия в интересах женщин, лучше адаптировать возможности к ожиданиям женщин и организовать обмен опытом.</w:t>
      </w:r>
    </w:p>
    <w:p w:rsidR="00000000" w:rsidRDefault="00000000">
      <w:r>
        <w:t>Эти предложения получили широкое распространение благодаря буклету, разработанному Министерством по делам спорта. На этой основе в разработанной в декабре 2004 года Министерством по делам спорта инструкции были намечены 5 направлений работы, которые должны быть осуществлены в 2005 году службами и учреждениями, подотчетными Министерству по делам спорта, и спортивными федерациями с целью развития и повышения роли женщин в спорте. Эти направления работы включают:</w:t>
      </w:r>
    </w:p>
    <w:p w:rsidR="00000000" w:rsidRDefault="00000000">
      <w:r>
        <w:t>–</w:t>
      </w:r>
      <w:r>
        <w:tab/>
        <w:t>наблюдение и анализ;</w:t>
      </w:r>
    </w:p>
    <w:p w:rsidR="00000000" w:rsidRDefault="00000000">
      <w:r>
        <w:t>–</w:t>
      </w:r>
      <w:r>
        <w:tab/>
        <w:t>информированность, консалтинг и поддержка женщин;</w:t>
      </w:r>
    </w:p>
    <w:p w:rsidR="00000000" w:rsidRDefault="00000000">
      <w:r>
        <w:t>–</w:t>
      </w:r>
      <w:r>
        <w:tab/>
        <w:t>финансовая поддержка и контроль деятельности;</w:t>
      </w:r>
    </w:p>
    <w:p w:rsidR="00000000" w:rsidRDefault="00000000">
      <w:r>
        <w:t>–</w:t>
      </w:r>
      <w:r>
        <w:tab/>
        <w:t>глубокий анализ и распространение передовых методов;</w:t>
      </w:r>
    </w:p>
    <w:p w:rsidR="00000000" w:rsidRDefault="00000000">
      <w:r>
        <w:t>–</w:t>
      </w:r>
      <w:r>
        <w:tab/>
        <w:t>организация специальной подготовки по тематике "женщины и спорт".</w:t>
      </w:r>
    </w:p>
    <w:p w:rsidR="00000000" w:rsidRDefault="00000000">
      <w:r>
        <w:t xml:space="preserve">Контроль и оценка этих мероприятий будут осуществляться Министерством по делам спорта. </w:t>
      </w:r>
    </w:p>
    <w:p w:rsidR="00000000" w:rsidRDefault="00000000">
      <w:r>
        <w:t xml:space="preserve">С целью обеспечения координации и сокращения количества разрозненных мероприятий Министерство создало в 1995 году национальный реестр ресурсов по тематике "спорт, семья и женские виды спорта". К этому следует добавить сеть региональных корреспондентов и департаментских референтов по проблемам равенства между мужчинами и женщинами. </w:t>
      </w:r>
    </w:p>
    <w:p w:rsidR="00000000" w:rsidRDefault="00000000">
      <w:r>
        <w:t>В результате проведения в жизнь этих мер Министерство по делам спорта играет ведущую роль в осуществлении комплексного подхода в вопросах равенства (с учетом гендерного аспекта).</w:t>
      </w:r>
    </w:p>
    <w:p w:rsidR="00000000" w:rsidRDefault="00000000">
      <w:pPr>
        <w:keepNext/>
        <w:spacing w:before="120" w:after="120"/>
        <w:jc w:val="center"/>
      </w:pPr>
      <w:r>
        <w:t>СТАТЬЯ 14</w:t>
      </w:r>
    </w:p>
    <w:p w:rsidR="00000000" w:rsidRDefault="00000000">
      <w:pPr>
        <w:jc w:val="center"/>
        <w:rPr>
          <w:i/>
        </w:rPr>
      </w:pPr>
      <w:r>
        <w:rPr>
          <w:i/>
        </w:rPr>
        <w:t>Сельские женщины</w:t>
      </w:r>
    </w:p>
    <w:p w:rsidR="00000000" w:rsidRDefault="00000000">
      <w:pPr>
        <w:rPr>
          <w:u w:val="single"/>
        </w:rPr>
      </w:pPr>
      <w:r>
        <w:t>I)</w:t>
      </w:r>
      <w:r>
        <w:tab/>
      </w:r>
      <w:r>
        <w:rPr>
          <w:u w:val="single"/>
        </w:rPr>
        <w:t>Политика улучшения качества жизни в сельской местности</w:t>
      </w:r>
    </w:p>
    <w:p w:rsidR="00000000" w:rsidRDefault="00000000">
      <w:pPr>
        <w:rPr>
          <w:snapToGrid w:val="0"/>
        </w:rPr>
      </w:pPr>
      <w:r>
        <w:rPr>
          <w:snapToGrid w:val="0"/>
        </w:rPr>
        <w:t xml:space="preserve">Закон о сельских территориях от 23 февраля 2005 года конкретизирует действия правительства по поддержке сельских районов. Он направлен на поощрение мер по созданию и сохранению рабочих мест, на стимулирование строительства жилья и на более качественное обеспечение населения услугами. Он создает механизмы борьбы против рисков недостаточного охвата медицинскими услугами сельских районов и признает роль ассоциаций в развитии сельской местности. </w:t>
      </w:r>
    </w:p>
    <w:p w:rsidR="00000000" w:rsidRDefault="00000000">
      <w:pPr>
        <w:rPr>
          <w:u w:val="single"/>
        </w:rPr>
      </w:pPr>
      <w:r>
        <w:t xml:space="preserve">II) </w:t>
      </w:r>
      <w:r>
        <w:tab/>
      </w:r>
      <w:r>
        <w:rPr>
          <w:u w:val="single"/>
        </w:rPr>
        <w:t>Меры по улучшению социальной защиты супруг сельскохозяйственных производителей</w:t>
      </w:r>
    </w:p>
    <w:p w:rsidR="00000000" w:rsidRDefault="00000000">
      <w:r>
        <w:t>В последние годы французское правительство приняло ряд мер, чтобы гарантировать им доступ к различным социальным пособиям, предоставляемым в сельской местности.</w:t>
      </w:r>
    </w:p>
    <w:p w:rsidR="00000000" w:rsidRDefault="00000000">
      <w:pPr>
        <w:rPr>
          <w:rStyle w:val="Corpsdelalettre"/>
          <w:rFonts w:ascii="Times New Roman" w:hAnsi="Times New Roman"/>
        </w:rPr>
      </w:pPr>
      <w:r>
        <w:rPr>
          <w:rStyle w:val="Corpsdelalettre"/>
          <w:rFonts w:ascii="Times New Roman" w:hAnsi="Times New Roman"/>
        </w:rPr>
        <w:t xml:space="preserve">Так, следует отметить, что закон о сельскохозяйственной подготовке от 9 июля 1999 года ввел для </w:t>
      </w:r>
      <w:r>
        <w:t xml:space="preserve">супруг, не желающих становиться партнерами по ведению сельского хозяйства или участниками товарищества, новый статус супруги-сотрудницы. Этот новый статус предоставляет более существенные права в плане пенсионного обеспечения. </w:t>
      </w:r>
    </w:p>
    <w:p w:rsidR="00000000" w:rsidRDefault="00000000">
      <w:pPr>
        <w:rPr>
          <w:rStyle w:val="Corpsdelalettre"/>
          <w:rFonts w:ascii="Times New Roman" w:hAnsi="Times New Roman"/>
        </w:rPr>
      </w:pPr>
      <w:r>
        <w:rPr>
          <w:rStyle w:val="Corpsdelalettre"/>
          <w:rFonts w:ascii="Times New Roman" w:hAnsi="Times New Roman"/>
        </w:rPr>
        <w:t xml:space="preserve">Были приняты меры по расширению </w:t>
      </w:r>
      <w:r>
        <w:t>статуса супруги-сотрудницы:</w:t>
      </w:r>
    </w:p>
    <w:p w:rsidR="00000000" w:rsidRDefault="00000000">
      <w:pPr>
        <w:rPr>
          <w:rStyle w:val="Corpsdelalettre"/>
        </w:rPr>
      </w:pPr>
      <w:r>
        <w:rPr>
          <w:rStyle w:val="Corpsdelalettre"/>
          <w:rFonts w:ascii="Times New Roman" w:hAnsi="Times New Roman"/>
        </w:rPr>
        <w:t>1)</w:t>
      </w:r>
      <w:r>
        <w:rPr>
          <w:rStyle w:val="Corpsdelalettre"/>
          <w:rFonts w:ascii="Times New Roman" w:hAnsi="Times New Roman"/>
        </w:rPr>
        <w:tab/>
        <w:t xml:space="preserve">Начиная с 1 января 2006 года супруга сельскохозяйственного </w:t>
      </w:r>
      <w:r>
        <w:t>производителя или руководителя сельскохозяйственного предприятия, которая постоянно занимается профессиональной деятельностью в хозяйстве или на предприятии, обязана выбрать один из следующих трех статусов:</w:t>
      </w:r>
    </w:p>
    <w:p w:rsidR="00000000" w:rsidRDefault="00000000">
      <w:pPr>
        <w:ind w:left="907" w:hanging="907"/>
        <w:rPr>
          <w:rStyle w:val="Corpsdelalettre"/>
          <w:rFonts w:ascii="Times New Roman" w:hAnsi="Times New Roman"/>
        </w:rPr>
      </w:pPr>
      <w:r>
        <w:rPr>
          <w:rStyle w:val="Corpsdelalettre"/>
          <w:rFonts w:ascii="Times New Roman" w:hAnsi="Times New Roman"/>
        </w:rPr>
        <w:tab/>
        <w:t>–</w:t>
      </w:r>
      <w:r>
        <w:rPr>
          <w:rStyle w:val="Corpsdelalettre"/>
          <w:rFonts w:ascii="Times New Roman" w:hAnsi="Times New Roman"/>
        </w:rPr>
        <w:tab/>
      </w:r>
      <w:r>
        <w:rPr>
          <w:rStyle w:val="Corpsdelalettre"/>
          <w:rFonts w:ascii="Times New Roman" w:hAnsi="Times New Roman"/>
          <w:spacing w:val="-4"/>
        </w:rPr>
        <w:t xml:space="preserve">сотрудницы сельскохозяйственного </w:t>
      </w:r>
      <w:r>
        <w:rPr>
          <w:spacing w:val="-4"/>
        </w:rPr>
        <w:t>производителя или руководителя сельскохозяйственного</w:t>
      </w:r>
      <w:r>
        <w:t xml:space="preserve"> предприятия;</w:t>
      </w:r>
    </w:p>
    <w:p w:rsidR="00000000" w:rsidRDefault="00000000">
      <w:pPr>
        <w:rPr>
          <w:rStyle w:val="Corpsdelalettre"/>
          <w:rFonts w:ascii="Times New Roman" w:hAnsi="Times New Roman"/>
        </w:rPr>
      </w:pPr>
      <w:r>
        <w:rPr>
          <w:rStyle w:val="Corpsdelalettre"/>
          <w:rFonts w:ascii="Times New Roman" w:hAnsi="Times New Roman"/>
        </w:rPr>
        <w:tab/>
        <w:t>–</w:t>
      </w:r>
      <w:r>
        <w:rPr>
          <w:rStyle w:val="Corpsdelalettre"/>
          <w:rFonts w:ascii="Times New Roman" w:hAnsi="Times New Roman"/>
        </w:rPr>
        <w:tab/>
        <w:t xml:space="preserve">наемной работницы хозяйства или </w:t>
      </w:r>
      <w:r>
        <w:t>сельскохозяйственного предприятия;</w:t>
      </w:r>
    </w:p>
    <w:p w:rsidR="00000000" w:rsidRDefault="00000000">
      <w:pPr>
        <w:ind w:left="907" w:hanging="907"/>
        <w:rPr>
          <w:rStyle w:val="Corpsdelalettre"/>
          <w:rFonts w:ascii="Times New Roman" w:hAnsi="Times New Roman"/>
        </w:rPr>
      </w:pPr>
      <w:r>
        <w:rPr>
          <w:rStyle w:val="Corpsdelalettre"/>
          <w:rFonts w:ascii="Times New Roman" w:hAnsi="Times New Roman"/>
        </w:rPr>
        <w:tab/>
        <w:t>–</w:t>
      </w:r>
      <w:r>
        <w:rPr>
          <w:rStyle w:val="Corpsdelalettre"/>
          <w:rFonts w:ascii="Times New Roman" w:hAnsi="Times New Roman"/>
        </w:rPr>
        <w:tab/>
        <w:t xml:space="preserve">сельскохозяйственного </w:t>
      </w:r>
      <w:r>
        <w:t>производителя или руководителя сельскохозяйственного предприятия.</w:t>
      </w:r>
    </w:p>
    <w:p w:rsidR="00000000" w:rsidRDefault="00000000">
      <w:pPr>
        <w:rPr>
          <w:rStyle w:val="Corpsdelalettre"/>
          <w:rFonts w:ascii="Times New Roman" w:hAnsi="Times New Roman"/>
        </w:rPr>
      </w:pPr>
      <w:r>
        <w:rPr>
          <w:rStyle w:val="Corpsdelalettre"/>
          <w:rFonts w:ascii="Times New Roman" w:hAnsi="Times New Roman"/>
        </w:rPr>
        <w:t>2)</w:t>
      </w:r>
      <w:r>
        <w:rPr>
          <w:rStyle w:val="Corpsdelalettre"/>
          <w:rFonts w:ascii="Times New Roman" w:hAnsi="Times New Roman"/>
        </w:rPr>
        <w:tab/>
        <w:t>Закон о сельскохозяйственной подготовке от 11 января 2006 года предусматривает:</w:t>
      </w:r>
    </w:p>
    <w:p w:rsidR="00000000" w:rsidRDefault="00000000">
      <w:pPr>
        <w:ind w:left="907" w:hanging="907"/>
        <w:rPr>
          <w:rStyle w:val="Corpsdelalettre"/>
          <w:rFonts w:ascii="Times New Roman" w:hAnsi="Times New Roman"/>
        </w:rPr>
      </w:pPr>
      <w:r>
        <w:rPr>
          <w:rStyle w:val="Corpsdelalettre"/>
          <w:rFonts w:ascii="Times New Roman" w:hAnsi="Times New Roman"/>
        </w:rPr>
        <w:tab/>
        <w:t>–</w:t>
      </w:r>
      <w:r>
        <w:rPr>
          <w:rStyle w:val="Corpsdelalettre"/>
          <w:rFonts w:ascii="Times New Roman" w:hAnsi="Times New Roman"/>
        </w:rPr>
        <w:tab/>
        <w:t xml:space="preserve">возможность для супруги выбрать </w:t>
      </w:r>
      <w:r>
        <w:t xml:space="preserve">статус супруги-сотрудницы, не будучи обязанной получить предварительное согласие </w:t>
      </w:r>
      <w:r>
        <w:rPr>
          <w:rStyle w:val="Corpsdelalettre"/>
          <w:rFonts w:ascii="Times New Roman" w:hAnsi="Times New Roman"/>
        </w:rPr>
        <w:t xml:space="preserve">сельскохозяйственного </w:t>
      </w:r>
      <w:r>
        <w:t>производителя;</w:t>
      </w:r>
    </w:p>
    <w:p w:rsidR="00000000" w:rsidRDefault="00000000">
      <w:pPr>
        <w:ind w:left="907" w:hanging="907"/>
        <w:rPr>
          <w:rStyle w:val="Corpsdelalettre"/>
          <w:rFonts w:ascii="Times New Roman" w:hAnsi="Times New Roman"/>
        </w:rPr>
      </w:pPr>
      <w:r>
        <w:rPr>
          <w:rStyle w:val="Corpsdelalettre"/>
          <w:rFonts w:ascii="Times New Roman" w:hAnsi="Times New Roman"/>
        </w:rPr>
        <w:tab/>
        <w:t>–</w:t>
      </w:r>
      <w:r>
        <w:rPr>
          <w:rStyle w:val="Corpsdelalettre"/>
          <w:rFonts w:ascii="Times New Roman" w:hAnsi="Times New Roman"/>
        </w:rPr>
        <w:tab/>
        <w:t xml:space="preserve">распространение этого статуса на лиц, связанных с сельскохозяйственным </w:t>
      </w:r>
      <w:r>
        <w:t>производителем договором о гражданском браке или проживающих с ним на правах сожителя (ранее этот статус распространялся только на супружеские пары).</w:t>
      </w:r>
    </w:p>
    <w:p w:rsidR="00000000" w:rsidRDefault="00000000">
      <w:pPr>
        <w:ind w:left="567" w:hanging="567"/>
        <w:rPr>
          <w:u w:val="single"/>
        </w:rPr>
      </w:pPr>
      <w:r>
        <w:t>III)</w:t>
      </w:r>
      <w:r>
        <w:tab/>
      </w:r>
      <w:r>
        <w:rPr>
          <w:u w:val="single"/>
        </w:rPr>
        <w:t>Программа Министерства сельского хозяйства в отношении равенства возможностей для мужчин и женщин</w:t>
      </w:r>
    </w:p>
    <w:p w:rsidR="00000000" w:rsidRDefault="00000000">
      <w:r>
        <w:rPr>
          <w:rStyle w:val="Corpsdelalettre"/>
          <w:rFonts w:ascii="Times New Roman" w:hAnsi="Times New Roman"/>
        </w:rPr>
        <w:t>С целью достижения действительного равенства возможностей</w:t>
      </w:r>
      <w:r>
        <w:t xml:space="preserve"> мужчин и женщин в секторах сельского хозяйства и рыболовства компетентное министерство разработало программу под названием "Женщины, образование и занятость в сельской местности: интеграция и равенство возможностей".</w:t>
      </w:r>
    </w:p>
    <w:p w:rsidR="00000000" w:rsidRDefault="00000000">
      <w:pPr>
        <w:rPr>
          <w:rStyle w:val="Corpsdelalettre"/>
          <w:rFonts w:ascii="Times New Roman" w:hAnsi="Times New Roman"/>
        </w:rPr>
      </w:pPr>
      <w:r>
        <w:rPr>
          <w:rStyle w:val="Corpsdelalettre"/>
          <w:rFonts w:ascii="Times New Roman" w:hAnsi="Times New Roman"/>
        </w:rPr>
        <w:t>Эта программа предназначена для различных национальных и региональных структур, осуществляющих деятельность в сфере компетенции Министерства сельского хозяйства. В ней ставится задача добиться подлинного равенства между мужчинами и женщинами, делая, в частности, акцент на ориентацию, информированность и представительство, а также на профессионализацию.</w:t>
      </w:r>
    </w:p>
    <w:p w:rsidR="00000000" w:rsidRDefault="00000000">
      <w:pPr>
        <w:rPr>
          <w:rStyle w:val="Corpsdelalettre"/>
          <w:rFonts w:ascii="Times New Roman" w:hAnsi="Times New Roman"/>
        </w:rPr>
      </w:pPr>
      <w:r>
        <w:rPr>
          <w:rStyle w:val="Corpsdelalettre"/>
          <w:rFonts w:ascii="Times New Roman" w:hAnsi="Times New Roman"/>
        </w:rPr>
        <w:t xml:space="preserve">При этом речь идет об осуществлении интеграции женщин в сельскохозяйственном секторе, который претерпел серьезные изменения. Действительно, сельское хозяйство должно сегодня удовлетворять новые потребности общества, в частности в области продовольственной безопасности, а также в области сохранения окружающей среды и защиты территорий. </w:t>
      </w:r>
    </w:p>
    <w:p w:rsidR="00000000" w:rsidRDefault="00000000">
      <w:pPr>
        <w:rPr>
          <w:snapToGrid w:val="0"/>
        </w:rPr>
      </w:pPr>
      <w:r>
        <w:rPr>
          <w:snapToGrid w:val="0"/>
        </w:rPr>
        <w:t>В 2003 году были опубликованы два исследования о "возможностях в профессиональной деятельности и потребностях получения квалификации женщинами, работающими по найму и не работающими по найму, в сельской местности" и о "препятствиях в получении работы женщинам в сельскохозяйственном секторе".</w:t>
      </w:r>
    </w:p>
    <w:p w:rsidR="00000000" w:rsidRDefault="00000000">
      <w:r>
        <w:t>Эти исследования позволили наметить несколько направлений в плане обеспечения равенства возможностей мужчин и женщин в сельской местности:</w:t>
      </w:r>
    </w:p>
    <w:p w:rsidR="00000000" w:rsidRDefault="00000000">
      <w:r>
        <w:t>–</w:t>
      </w:r>
      <w:r>
        <w:tab/>
        <w:t>содействовать равенству доступа к занятости мужчин и женщин;</w:t>
      </w:r>
    </w:p>
    <w:p w:rsidR="00000000" w:rsidRDefault="00000000">
      <w:pPr>
        <w:ind w:left="567" w:hanging="567"/>
      </w:pPr>
      <w:r>
        <w:t>–</w:t>
      </w:r>
      <w:r>
        <w:tab/>
        <w:t xml:space="preserve">организовывать непрерывное обучение в соответствии с особенностями </w:t>
      </w:r>
      <w:r>
        <w:rPr>
          <w:snapToGrid w:val="0"/>
        </w:rPr>
        <w:t>профессионального роста женщин;</w:t>
      </w:r>
    </w:p>
    <w:p w:rsidR="00000000" w:rsidRDefault="00000000">
      <w:r>
        <w:t>–</w:t>
      </w:r>
      <w:r>
        <w:tab/>
        <w:t>разумно совмещать профессиональную и частную жизнь;</w:t>
      </w:r>
    </w:p>
    <w:p w:rsidR="00000000" w:rsidRDefault="00000000">
      <w:r>
        <w:t>–</w:t>
      </w:r>
      <w:r>
        <w:tab/>
        <w:t>облегчать участие женщин в сельском хозяйство;</w:t>
      </w:r>
    </w:p>
    <w:p w:rsidR="00000000" w:rsidRDefault="00000000">
      <w:pPr>
        <w:ind w:left="567" w:hanging="567"/>
      </w:pPr>
      <w:r>
        <w:t>–</w:t>
      </w:r>
      <w:r>
        <w:tab/>
        <w:t>ликвидировать препятствия юридического или учредительного характера, мешающие достижению равенства;</w:t>
      </w:r>
    </w:p>
    <w:p w:rsidR="00000000" w:rsidRDefault="00000000">
      <w:pPr>
        <w:ind w:left="567" w:hanging="567"/>
      </w:pPr>
      <w:r>
        <w:t>–</w:t>
      </w:r>
      <w:r>
        <w:tab/>
        <w:t>диверсифицировать образование с целью учета соответствующих потребностей мужчин, женщин и супружеских пар.</w:t>
      </w:r>
    </w:p>
    <w:p w:rsidR="00000000" w:rsidRDefault="00000000">
      <w:pPr>
        <w:keepNext/>
        <w:spacing w:before="120" w:after="120"/>
        <w:jc w:val="center"/>
      </w:pPr>
      <w:r>
        <w:t>СТАТЬЯ 15</w:t>
      </w:r>
    </w:p>
    <w:p w:rsidR="00000000" w:rsidRDefault="00000000">
      <w:pPr>
        <w:jc w:val="center"/>
      </w:pPr>
      <w:r>
        <w:rPr>
          <w:i/>
        </w:rPr>
        <w:t>Равенство перед законом</w:t>
      </w:r>
    </w:p>
    <w:p w:rsidR="00000000" w:rsidRDefault="00000000">
      <w:r>
        <w:t>Как указывалось в предыдущем докладе, равенство перед законом является конституционным принципом, применяемым во всех областях (см. предыдущие доклады).</w:t>
      </w:r>
    </w:p>
    <w:p w:rsidR="00000000" w:rsidRDefault="00000000">
      <w:pPr>
        <w:keepNext/>
        <w:spacing w:before="120" w:after="120"/>
        <w:jc w:val="center"/>
      </w:pPr>
      <w:r>
        <w:t>СТАТЬЯ 16</w:t>
      </w:r>
    </w:p>
    <w:p w:rsidR="00000000" w:rsidRDefault="00000000">
      <w:pPr>
        <w:jc w:val="center"/>
        <w:rPr>
          <w:i/>
        </w:rPr>
      </w:pPr>
      <w:r>
        <w:rPr>
          <w:i/>
        </w:rPr>
        <w:t>Брачное и семейное право</w:t>
      </w:r>
    </w:p>
    <w:p w:rsidR="00000000" w:rsidRDefault="00000000">
      <w:pPr>
        <w:rPr>
          <w:snapToGrid w:val="0"/>
          <w:u w:val="single"/>
        </w:rPr>
      </w:pPr>
      <w:r>
        <w:rPr>
          <w:snapToGrid w:val="0"/>
        </w:rPr>
        <w:t>I)</w:t>
      </w:r>
      <w:r>
        <w:rPr>
          <w:snapToGrid w:val="0"/>
        </w:rPr>
        <w:tab/>
      </w:r>
      <w:r>
        <w:rPr>
          <w:snapToGrid w:val="0"/>
          <w:u w:val="single"/>
        </w:rPr>
        <w:t>Брачный возраст</w:t>
      </w:r>
    </w:p>
    <w:p w:rsidR="00000000" w:rsidRDefault="00000000">
      <w:pPr>
        <w:rPr>
          <w:snapToGrid w:val="0"/>
        </w:rPr>
      </w:pPr>
      <w:r>
        <w:rPr>
          <w:snapToGrid w:val="0"/>
        </w:rPr>
        <w:t>Как было рекомендовано Комитетом, изменения в Гражданском кодексе, которые устанавливают брачный возраст 18 лет для юношей и девушек, нашли отражение в законопроекте о насилии в семье, который в настоящее время находится на обсуждении в парламенте.</w:t>
      </w:r>
    </w:p>
    <w:p w:rsidR="00000000" w:rsidRDefault="00000000">
      <w:pPr>
        <w:rPr>
          <w:snapToGrid w:val="0"/>
          <w:u w:val="single"/>
        </w:rPr>
      </w:pPr>
      <w:r>
        <w:rPr>
          <w:snapToGrid w:val="0"/>
        </w:rPr>
        <w:t>II)</w:t>
      </w:r>
      <w:r>
        <w:rPr>
          <w:snapToGrid w:val="0"/>
        </w:rPr>
        <w:tab/>
      </w:r>
      <w:r>
        <w:rPr>
          <w:snapToGrid w:val="0"/>
          <w:u w:val="single"/>
        </w:rPr>
        <w:t xml:space="preserve">Фамилия </w:t>
      </w:r>
    </w:p>
    <w:p w:rsidR="00000000" w:rsidRDefault="00000000">
      <w:r>
        <w:t>В силу закона от 4 марта 2002 года о выборе фамилии с изменениями, внесенными законом от 18 июня 2003 года, родители впредь могут выбирать фамилию для своего ребенка путем представления совместного письменного заявления сотруднику отдела записи актов гражданского состояния. Это может быть фамилия отца или фамилия матери либо фамилия отца и матери одновременно</w:t>
      </w:r>
      <w:r>
        <w:rPr>
          <w:snapToGrid w:val="0"/>
          <w:lang w:eastAsia="fr-FR"/>
        </w:rPr>
        <w:t xml:space="preserve">, следующие друг за другом в последовательности, которую родители устанавливают произвольно, при условии что из фамилии каждого родителя берется только одна ее составная часть. Фамилию, избранную для первого ребенка в семье, будут носить и все другие дети, рожденные в этой семье. Для этого необходимо, чтобы происхождение ребенка от данной матери и данного отца было установлено одновременно и чтобы ребенок был рожден после </w:t>
      </w:r>
      <w:r>
        <w:t xml:space="preserve">31 декабря 2004 года. </w:t>
      </w:r>
    </w:p>
    <w:p w:rsidR="00000000" w:rsidRDefault="00000000">
      <w:r>
        <w:t>Если родители не представили такое совместное заявление, будет применяться прежнее правило: ребенок, родившийся от родителей в браке или признанный одновременно своим отцом и своей матерью, будет носить фамилию отца.</w:t>
      </w:r>
    </w:p>
    <w:p w:rsidR="00000000" w:rsidRDefault="00000000">
      <w:r>
        <w:t>В случае отсроченного установления происхождения ребенок будет носить фамилию того родителя, который его признал первым. Вместе с тем родители могут при втором признании и в период несовершеннолетия ребенка заменить фамилию другого родителя или объединить две фамилии в произвольной последовательности. В таком случае требуется личное согласие ребенка при достижении последним 13-летнего возраста.</w:t>
      </w:r>
    </w:p>
    <w:p w:rsidR="00000000" w:rsidRDefault="00000000">
      <w:pPr>
        <w:rPr>
          <w:u w:val="single"/>
        </w:rPr>
      </w:pPr>
      <w:r>
        <w:t>III)</w:t>
      </w:r>
      <w:r>
        <w:tab/>
      </w:r>
      <w:r>
        <w:rPr>
          <w:u w:val="single"/>
        </w:rPr>
        <w:t xml:space="preserve">Происхождение ребенка </w:t>
      </w:r>
    </w:p>
    <w:p w:rsidR="00000000" w:rsidRDefault="00000000">
      <w:r>
        <w:t xml:space="preserve">Ордонанс от 4 июля 2005 года устанавливает "последствия равенства между детьми независимо от условий их рождения". Он положил конец традиционным понятиям законного и внебрачного происхождения, при этом данное различие потеряло всякое юридическое значение после того, как закон закрепил равенство в отношении родственных связей. </w:t>
      </w:r>
    </w:p>
    <w:p w:rsidR="00000000" w:rsidRDefault="00000000">
      <w:r>
        <w:t>Одним из нововведений реформы является установление материнства: установление материнства упрощается, теперь оно устанавливается путем указания в свидетельстве о рождении фамилии матери, независимо от того, находится она замужем или нет. Таким образом, незамужняя мать не должна будет проходить процедуру признания своего ребенка для установления его происхождения.</w:t>
      </w:r>
    </w:p>
    <w:p w:rsidR="00000000" w:rsidRDefault="00000000">
      <w:pPr>
        <w:rPr>
          <w:snapToGrid w:val="0"/>
          <w:u w:val="single"/>
        </w:rPr>
      </w:pPr>
      <w:r>
        <w:rPr>
          <w:snapToGrid w:val="0"/>
        </w:rPr>
        <w:t>IV)</w:t>
      </w:r>
      <w:r>
        <w:rPr>
          <w:snapToGrid w:val="0"/>
        </w:rPr>
        <w:tab/>
      </w:r>
      <w:r>
        <w:rPr>
          <w:snapToGrid w:val="0"/>
          <w:u w:val="single"/>
        </w:rPr>
        <w:t>Развод</w:t>
      </w:r>
    </w:p>
    <w:p w:rsidR="00000000" w:rsidRDefault="00000000">
      <w:r>
        <w:t>Закон от 26 мая 2004 года, вступивший в силу с 1 января 2005 года, направлен на упрощение и усовершенствование процедур, установленных законом от 11 июля 1975 года. В закон внесены следующие основные изменения:</w:t>
      </w:r>
    </w:p>
    <w:p w:rsidR="00000000" w:rsidRDefault="00000000">
      <w:pPr>
        <w:spacing w:after="120"/>
        <w:ind w:left="567" w:hanging="567"/>
      </w:pPr>
      <w:r>
        <w:sym w:font="SymbolPS" w:char="F0B7"/>
      </w:r>
      <w:r>
        <w:tab/>
        <w:t>для развода по взаимному согласию, процедура которого значительно упрощена, требуется только одно судебное заседание вместо двух;</w:t>
      </w:r>
    </w:p>
    <w:p w:rsidR="00000000" w:rsidRDefault="00000000">
      <w:pPr>
        <w:spacing w:after="120"/>
        <w:ind w:left="567" w:hanging="567"/>
      </w:pPr>
      <w:r>
        <w:sym w:font="SymbolPS" w:char="F0B7"/>
      </w:r>
      <w:r>
        <w:tab/>
        <w:t>решение о разводе основывается на принципиальном согласии супругов на расторжение брака и не подлежит пересмотру этим судом;</w:t>
      </w:r>
    </w:p>
    <w:p w:rsidR="00000000" w:rsidRDefault="00000000">
      <w:pPr>
        <w:spacing w:after="120"/>
        <w:ind w:left="567" w:hanging="567"/>
      </w:pPr>
      <w:r>
        <w:sym w:font="SymbolPS" w:char="F0B7"/>
      </w:r>
      <w:r>
        <w:tab/>
        <w:t>дело о разводе по причине непоправимого разрыва супружеских отношений может быть возбуждено на основании заявления одного из супругов, при этом решение о разводе может быть вынесено после официального установления в суде факта раздельного проживания супругов в течение 2 лет вместо 6, как это было раньше;</w:t>
      </w:r>
    </w:p>
    <w:p w:rsidR="00000000" w:rsidRDefault="00000000">
      <w:pPr>
        <w:spacing w:after="120"/>
        <w:ind w:left="567" w:hanging="567"/>
      </w:pPr>
      <w:r>
        <w:sym w:font="SymbolPS" w:char="F0B7"/>
      </w:r>
      <w:r>
        <w:tab/>
        <w:t>обязанность оказания помощи исчезает вместе с разводом, но пострадавший при разводе супруг может получить компенсацию и выплату денег в возмещение убытков;</w:t>
      </w:r>
    </w:p>
    <w:p w:rsidR="00000000" w:rsidRDefault="00000000">
      <w:pPr>
        <w:spacing w:after="120"/>
        <w:ind w:left="567" w:hanging="567"/>
      </w:pPr>
      <w:r>
        <w:sym w:font="SymbolPS" w:char="F0B7"/>
      </w:r>
      <w:r>
        <w:tab/>
        <w:t>положение о разводе по вине одного из супругов осталось в силе, но оно касается только самых трудных случаев, "когда факты, составляющие грубое и многократное нарушение долга и брачных обязательств, вменяются в вину одному из супругов и делают невыносимым дальнейшее совместное проживание";</w:t>
      </w:r>
    </w:p>
    <w:p w:rsidR="00000000" w:rsidRDefault="00000000">
      <w:pPr>
        <w:spacing w:after="120"/>
        <w:ind w:left="567" w:hanging="567"/>
      </w:pPr>
      <w:r>
        <w:sym w:font="SymbolPS" w:char="F0B7"/>
      </w:r>
      <w:r>
        <w:tab/>
        <w:t>для всех случаев спорных разводов в законе предусмотрены общие положения, которые позволяют увязывать различные процедуры. С целью придания процессу развода мирного характера его финансовые последствия не связываются с установлением обоюдной вины.</w:t>
      </w:r>
    </w:p>
    <w:p w:rsidR="00000000" w:rsidRDefault="00000000">
      <w:pPr>
        <w:ind w:left="567" w:hanging="567"/>
      </w:pPr>
      <w:r>
        <w:sym w:font="SymbolPS" w:char="F0B7"/>
      </w:r>
      <w:r>
        <w:tab/>
        <w:t>порядок определения компенсации стал более гибким: компенсация предназначена для того, чтобы возместить неравенство, возникшее в условиях жизни супругов по причине разрыва семейных уз после развода. Поэтому она может выплачиваться при всех случаях развода и пересматриваться в случае существенных изменений в средствах или потребностях одной или другой стороны. Законом от 30 июня 2000 года предусматривается выплата компенсации в денежной форме. Однако судья может, на основании специального обоснованного решения, назначить компенсацию в виде пожизненной ренты, когда возраст или состояние здоровья кредитора не позволяют ему удовлетворять свои потребности. Наряду с этим предусматривается, что в случае назначения компенсации в виде пожизненной ренты может быть установлена надбавка в денежной форме. И наконец, наследники будут отвечать по обязательствам только в пределах актива наследственного имущества.</w:t>
      </w:r>
    </w:p>
    <w:p w:rsidR="00000000" w:rsidRDefault="00000000">
      <w:r>
        <w:t>Законом от 26 мая 2004 года также предусматриваются меры по защите супруга, ставшего жертвой семейного насилия.</w:t>
      </w:r>
    </w:p>
    <w:p w:rsidR="00000000" w:rsidRDefault="00000000">
      <w:pPr>
        <w:jc w:val="center"/>
        <w:rPr>
          <w:lang w:val="en-US"/>
        </w:rPr>
      </w:pPr>
    </w:p>
    <w:p w:rsidR="00000000" w:rsidRDefault="00000000">
      <w:pPr>
        <w:tabs>
          <w:tab w:val="left" w:pos="1418"/>
        </w:tabs>
        <w:jc w:val="center"/>
      </w:pPr>
      <w:r>
        <w:t>_____________</w:t>
      </w:r>
    </w:p>
    <w:sectPr w:rsidR="00000000">
      <w:footerReference w:type="even" r:id="rId14"/>
      <w:footerReference w:type="default" r:id="rId15"/>
      <w:endnotePr>
        <w:numFmt w:val="decimal"/>
      </w:endnotePr>
      <w:pgSz w:w="12242" w:h="15842" w:code="1"/>
      <w:pgMar w:top="1418" w:right="1418" w:bottom="1701" w:left="1418" w:header="0" w:footer="851" w:gutter="0"/>
      <w:cols w:space="708"/>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1" w:author="DGAACS User" w:initials="DU">
    <w:p w:rsidR="00000000" w:rsidRDefault="00000000">
      <w:pPr>
        <w:pStyle w:val="CommentText"/>
        <w:spacing w:after="0"/>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&lt;&lt;ODS JOB NO&gt;&gt;N</w:t>
      </w:r>
      <w:r>
        <w:rPr>
          <w:lang w:val="en-US"/>
        </w:rPr>
        <w:t>0630404</w:t>
      </w:r>
      <w:r>
        <w:t>R&lt;&lt;ODS JOB NO&gt;&gt;</w:t>
      </w:r>
    </w:p>
    <w:p w:rsidR="00000000" w:rsidRDefault="00000000">
      <w:pPr>
        <w:pStyle w:val="CommentText"/>
        <w:spacing w:after="0"/>
      </w:pPr>
      <w:r>
        <w:t>&lt;&lt;ODS DOC SYMBOL1&gt;&gt;</w:t>
      </w:r>
      <w:r>
        <w:rPr>
          <w:lang w:val="en-US"/>
        </w:rPr>
        <w:t>CEDAW/C/FRA/6</w:t>
      </w:r>
      <w:r>
        <w:t>&lt;&lt;ODS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NewRoman">
    <w:altName w:val="Times New Roman"/>
    <w:panose1 w:val="00000000000000000000"/>
    <w:charset w:val="00"/>
    <w:family w:val="roman"/>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ZapfHumnst BT">
    <w:altName w:val="Lucida Sans Unicode"/>
    <w:charset w:val="00"/>
    <w:family w:val="swiss"/>
    <w:pitch w:val="variable"/>
    <w:sig w:usb0="00000087" w:usb1="00000000" w:usb2="00000000" w:usb3="00000000" w:csb0="0000001B" w:csb1="00000000"/>
  </w:font>
  <w:font w:name="Arial">
    <w:panose1 w:val="020B0604020202020204"/>
    <w:charset w:val="00"/>
    <w:family w:val="swiss"/>
    <w:pitch w:val="variable"/>
    <w:sig w:usb0="E0002AFF" w:usb1="C0007843" w:usb2="00000009" w:usb3="00000000" w:csb0="000001FF" w:csb1="00000000"/>
  </w:font>
  <w:font w:name="Barcode 3 of 9 by request">
    <w:charset w:val="00"/>
    <w:family w:val="swiss"/>
    <w:pitch w:val="variable"/>
    <w:sig w:usb0="00000003" w:usb1="00000000" w:usb2="00000000" w:usb3="00000000" w:csb0="00000001" w:csb1="00000000"/>
  </w:font>
  <w:font w:name="Wingdings 2">
    <w:panose1 w:val="05020102010507070707"/>
    <w:charset w:val="02"/>
    <w:family w:val="roman"/>
    <w:pitch w:val="variable"/>
    <w:sig w:usb0="00000000" w:usb1="10000000" w:usb2="00000000" w:usb3="00000000" w:csb0="80000000" w:csb1="00000000"/>
  </w:font>
  <w:font w:name="SymbolPS">
    <w:charset w:val="02"/>
    <w:family w:val="roman"/>
    <w:pitch w:val="variable"/>
    <w:sig w:usb0="00000000" w:usb1="10000000" w:usb2="00000000" w:usb3="00000000" w:csb0="80000000" w:csb1="00000000"/>
  </w:font>
  <w:font w:name="TimesNewRoman+1">
    <w:altName w:val="Times New Roman"/>
    <w:panose1 w:val="00000000000000000000"/>
    <w:charset w:val="00"/>
    <w:family w:val="auto"/>
    <w:notTrueType/>
    <w:pitch w:val="default"/>
    <w:sig w:usb0="00000003" w:usb1="00000000" w:usb2="00000000" w:usb3="00000000" w:csb0="00000001" w:csb1="00000000"/>
  </w:font>
  <w:font w:name="TimesNewRoman,Bold">
    <w:altName w:val="Times New Roman"/>
    <w:panose1 w:val="00000000000000000000"/>
    <w:charset w:val="00"/>
    <w:family w:val="roman"/>
    <w:notTrueType/>
    <w:pitch w:val="default"/>
    <w:sig w:usb0="00000203" w:usb1="00000000" w:usb2="00000000" w:usb3="00000000" w:csb0="00000005" w:csb1="00000000"/>
  </w:font>
  <w:font w:name="TimesNewRoman,Bold+1">
    <w:altName w:val="Times New Roman"/>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1</w:t>
          </w:r>
          <w:r>
            <w:fldChar w:fldCharType="end"/>
          </w:r>
        </w:p>
      </w:tc>
      <w:tc>
        <w:tcPr>
          <w:tcW w:w="5033" w:type="dxa"/>
          <w:vAlign w:val="bottom"/>
        </w:tcPr>
        <w:p w:rsidR="00000000" w:rsidRDefault="00000000">
          <w:pPr>
            <w:pStyle w:val="Footer"/>
          </w:pP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rPr>
        <w:b w:val="0"/>
        <w:sz w:val="20"/>
      </w:rPr>
    </w:pPr>
    <w:r>
      <w:rPr>
        <w:b w:val="0"/>
        <w:sz w:val="20"/>
      </w:rPr>
      <w:t>06-30404.R</w:t>
    </w:r>
  </w:p>
  <w:p w:rsidR="00000000" w:rsidRDefault="00000000">
    <w:pPr>
      <w:pStyle w:val="Footer"/>
      <w:rPr>
        <w:rFonts w:ascii="Barcode 3 of 9 by request" w:hAnsi="Barcode 3 of 9 by request"/>
        <w:b w:val="0"/>
        <w:sz w:val="20"/>
      </w:rPr>
    </w:pPr>
    <w:r>
      <w:rPr>
        <w:rFonts w:ascii="Barcode 3 of 9 by request" w:hAnsi="Barcode 3 of 9 by request"/>
        <w:sz w:val="20"/>
      </w:rPr>
      <w:t>*0630404</w:t>
    </w:r>
    <w:r>
      <w:rPr>
        <w:rFonts w:ascii="Barcode 3 of 9 by request" w:hAnsi="Barcode 3 of 9 by request"/>
        <w:b w:val="0"/>
        <w:sz w:val="20"/>
      </w:rPr>
      <w:t>*</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jc w:val="right"/>
      <w:rPr>
        <w:b w:val="0"/>
        <w:sz w:val="22"/>
      </w:rPr>
    </w:pPr>
    <w:r>
      <w:rPr>
        <w:rStyle w:val="PageNumber"/>
        <w:b w:val="0"/>
        <w:sz w:val="22"/>
      </w:rPr>
      <w:fldChar w:fldCharType="begin"/>
    </w:r>
    <w:r>
      <w:rPr>
        <w:rStyle w:val="PageNumber"/>
        <w:b w:val="0"/>
        <w:sz w:val="22"/>
      </w:rPr>
      <w:instrText xml:space="preserve"> PAGE </w:instrText>
    </w:r>
    <w:r>
      <w:rPr>
        <w:rStyle w:val="PageNumber"/>
        <w:b w:val="0"/>
        <w:sz w:val="22"/>
      </w:rPr>
      <w:fldChar w:fldCharType="separate"/>
    </w:r>
    <w:r>
      <w:rPr>
        <w:rStyle w:val="PageNumber"/>
        <w:b w:val="0"/>
        <w:sz w:val="22"/>
      </w:rPr>
      <w:t>1</w:t>
    </w:r>
    <w:r>
      <w:rPr>
        <w:rStyle w:val="PageNumber"/>
        <w:b w:val="0"/>
        <w:sz w:val="22"/>
      </w:rPr>
      <w:fldChar w:fldCharType="end"/>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jc w:val="right"/>
      <w:rPr>
        <w:b w:val="0"/>
        <w:sz w:val="22"/>
      </w:rPr>
    </w:pPr>
    <w:r>
      <w:rPr>
        <w:rStyle w:val="PageNumber"/>
        <w:b w:val="0"/>
        <w:sz w:val="22"/>
      </w:rPr>
      <w:fldChar w:fldCharType="begin"/>
    </w:r>
    <w:r>
      <w:rPr>
        <w:rStyle w:val="PageNumber"/>
        <w:b w:val="0"/>
        <w:sz w:val="22"/>
      </w:rPr>
      <w:instrText xml:space="preserve"> PAGE </w:instrText>
    </w:r>
    <w:r>
      <w:rPr>
        <w:rStyle w:val="PageNumber"/>
        <w:b w:val="0"/>
        <w:sz w:val="22"/>
      </w:rPr>
      <w:fldChar w:fldCharType="separate"/>
    </w:r>
    <w:r>
      <w:rPr>
        <w:rStyle w:val="PageNumber"/>
        <w:b w:val="0"/>
        <w:sz w:val="22"/>
      </w:rPr>
      <w:t>54</w:t>
    </w:r>
    <w:r>
      <w:rPr>
        <w:rStyle w:val="PageNumber"/>
        <w:b w:val="0"/>
        <w:sz w:val="22"/>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tabs>
          <w:tab w:val="left" w:pos="1021"/>
          <w:tab w:val="left" w:leader="underscore" w:pos="2552"/>
        </w:tabs>
        <w:spacing w:after="80"/>
      </w:pPr>
      <w:r>
        <w:separator/>
      </w:r>
    </w:p>
  </w:footnote>
  <w:footnote w:type="continuationSeparator" w:id="0">
    <w:p w:rsidR="00000000" w:rsidRDefault="00000000">
      <w:r>
        <w:continuationSeparator/>
      </w:r>
    </w:p>
  </w:footnote>
  <w:footnote w:id="1">
    <w:p w:rsidR="00000000" w:rsidRDefault="00000000">
      <w:pPr>
        <w:pStyle w:val="FootnoteText"/>
        <w:tabs>
          <w:tab w:val="clear" w:pos="418"/>
          <w:tab w:val="clear" w:pos="1247"/>
          <w:tab w:val="left" w:pos="284"/>
          <w:tab w:val="right" w:pos="1195"/>
          <w:tab w:val="left" w:pos="1267"/>
          <w:tab w:val="left" w:pos="1742"/>
          <w:tab w:val="left" w:pos="2218"/>
          <w:tab w:val="left" w:pos="2693"/>
        </w:tabs>
        <w:spacing w:after="0" w:line="240" w:lineRule="auto"/>
        <w:ind w:left="0" w:firstLine="0"/>
        <w:rPr>
          <w:spacing w:val="0"/>
          <w:w w:val="100"/>
          <w:sz w:val="18"/>
          <w:lang/>
        </w:rPr>
      </w:pPr>
      <w:r>
        <w:rPr>
          <w:rStyle w:val="FootnoteReference"/>
          <w:sz w:val="18"/>
          <w:vertAlign w:val="baseline"/>
        </w:rPr>
        <w:t>*</w:t>
      </w:r>
      <w:r>
        <w:rPr>
          <w:spacing w:val="0"/>
          <w:w w:val="100"/>
          <w:sz w:val="18"/>
        </w:rPr>
        <w:t xml:space="preserve"> </w:t>
      </w:r>
      <w:r>
        <w:rPr>
          <w:spacing w:val="0"/>
          <w:w w:val="100"/>
          <w:sz w:val="18"/>
        </w:rPr>
        <w:tab/>
        <w:t>Настоящий доклад издается без официального редактирования.</w:t>
      </w:r>
      <w:r>
        <w:rPr>
          <w:spacing w:val="0"/>
          <w:w w:val="100"/>
          <w:sz w:val="18"/>
          <w:lang/>
        </w:rPr>
        <w:t xml:space="preserve"> </w:t>
      </w:r>
    </w:p>
    <w:p w:rsidR="00000000" w:rsidRDefault="00000000">
      <w:pPr>
        <w:pStyle w:val="FootnoteText"/>
        <w:tabs>
          <w:tab w:val="clear" w:pos="418"/>
          <w:tab w:val="clear" w:pos="1247"/>
          <w:tab w:val="left" w:pos="284"/>
          <w:tab w:val="right" w:pos="1195"/>
          <w:tab w:val="left" w:pos="1267"/>
          <w:tab w:val="left" w:pos="1742"/>
          <w:tab w:val="left" w:pos="2218"/>
          <w:tab w:val="left" w:pos="2693"/>
        </w:tabs>
        <w:spacing w:after="0" w:line="240" w:lineRule="auto"/>
        <w:ind w:left="0" w:firstLine="0"/>
        <w:rPr>
          <w:spacing w:val="0"/>
          <w:w w:val="100"/>
          <w:sz w:val="18"/>
          <w:lang/>
        </w:rPr>
      </w:pPr>
    </w:p>
    <w:p w:rsidR="00000000" w:rsidRDefault="00000000">
      <w:pPr>
        <w:pStyle w:val="FootnoteText"/>
        <w:tabs>
          <w:tab w:val="clear" w:pos="418"/>
          <w:tab w:val="left" w:pos="284"/>
        </w:tabs>
        <w:spacing w:after="0" w:line="240" w:lineRule="auto"/>
        <w:ind w:left="284" w:hanging="284"/>
        <w:rPr>
          <w:spacing w:val="0"/>
          <w:w w:val="100"/>
          <w:sz w:val="18"/>
        </w:rPr>
      </w:pPr>
      <w:r>
        <w:rPr>
          <w:color w:val="000000"/>
          <w:spacing w:val="0"/>
          <w:w w:val="100"/>
          <w:sz w:val="18"/>
        </w:rPr>
        <w:tab/>
        <w:t xml:space="preserve">Первоначальный доклад, представленный правительством Франции, см. в документе </w:t>
      </w:r>
      <w:r>
        <w:rPr>
          <w:color w:val="000000"/>
          <w:spacing w:val="0"/>
          <w:w w:val="100"/>
          <w:sz w:val="18"/>
          <w:lang w:val="en-US"/>
        </w:rPr>
        <w:t>CEDAW</w:t>
      </w:r>
      <w:r>
        <w:rPr>
          <w:color w:val="000000"/>
          <w:spacing w:val="0"/>
          <w:w w:val="100"/>
          <w:sz w:val="18"/>
        </w:rPr>
        <w:t>/</w:t>
      </w:r>
      <w:r>
        <w:rPr>
          <w:color w:val="000000"/>
          <w:spacing w:val="0"/>
          <w:w w:val="100"/>
          <w:sz w:val="18"/>
          <w:lang w:val="en-US"/>
        </w:rPr>
        <w:t>C</w:t>
      </w:r>
      <w:r>
        <w:rPr>
          <w:color w:val="000000"/>
          <w:spacing w:val="0"/>
          <w:w w:val="100"/>
          <w:sz w:val="18"/>
        </w:rPr>
        <w:t>/5/</w:t>
      </w:r>
      <w:r>
        <w:rPr>
          <w:color w:val="000000"/>
          <w:spacing w:val="0"/>
          <w:w w:val="100"/>
          <w:sz w:val="18"/>
          <w:lang w:val="en-US"/>
        </w:rPr>
        <w:t>Add</w:t>
      </w:r>
      <w:r>
        <w:rPr>
          <w:color w:val="000000"/>
          <w:spacing w:val="0"/>
          <w:w w:val="100"/>
          <w:sz w:val="18"/>
        </w:rPr>
        <w:t>.33, который был рассмотрен Комитетом на его шестой сессии. Второй периодический доклад, представленный правительством Франции, см. в документе </w:t>
      </w:r>
      <w:r>
        <w:rPr>
          <w:color w:val="000000"/>
          <w:spacing w:val="0"/>
          <w:w w:val="100"/>
          <w:sz w:val="18"/>
          <w:lang w:val="en-US"/>
        </w:rPr>
        <w:t>CEDAW</w:t>
      </w:r>
      <w:r>
        <w:rPr>
          <w:color w:val="000000"/>
          <w:spacing w:val="0"/>
          <w:w w:val="100"/>
          <w:sz w:val="18"/>
        </w:rPr>
        <w:t>/</w:t>
      </w:r>
      <w:r>
        <w:rPr>
          <w:color w:val="000000"/>
          <w:spacing w:val="0"/>
          <w:w w:val="100"/>
          <w:sz w:val="18"/>
          <w:lang w:val="en-US"/>
        </w:rPr>
        <w:t>C</w:t>
      </w:r>
      <w:r>
        <w:rPr>
          <w:color w:val="000000"/>
          <w:spacing w:val="0"/>
          <w:w w:val="100"/>
          <w:sz w:val="18"/>
        </w:rPr>
        <w:t>/</w:t>
      </w:r>
      <w:r>
        <w:rPr>
          <w:color w:val="000000"/>
          <w:spacing w:val="0"/>
          <w:w w:val="100"/>
          <w:sz w:val="18"/>
          <w:lang w:val="en-US"/>
        </w:rPr>
        <w:t>FRA</w:t>
      </w:r>
      <w:r>
        <w:rPr>
          <w:color w:val="000000"/>
          <w:spacing w:val="0"/>
          <w:w w:val="100"/>
          <w:sz w:val="18"/>
        </w:rPr>
        <w:t xml:space="preserve">/2 и </w:t>
      </w:r>
      <w:r>
        <w:rPr>
          <w:color w:val="000000"/>
          <w:spacing w:val="0"/>
          <w:w w:val="100"/>
          <w:sz w:val="18"/>
          <w:lang w:val="en-US"/>
        </w:rPr>
        <w:t>Rev</w:t>
      </w:r>
      <w:r>
        <w:rPr>
          <w:color w:val="000000"/>
          <w:spacing w:val="0"/>
          <w:w w:val="100"/>
          <w:sz w:val="18"/>
        </w:rPr>
        <w:t xml:space="preserve">.1, который был рассмотрен Комитетом на его двенадцатой сессии. Объединенный третий и четвертый периодический доклад, представленный правительством Франции, см. в документах </w:t>
      </w:r>
      <w:r>
        <w:rPr>
          <w:color w:val="000000"/>
          <w:spacing w:val="0"/>
          <w:w w:val="100"/>
          <w:sz w:val="18"/>
          <w:lang w:val="en-US"/>
        </w:rPr>
        <w:t>CEDAW</w:t>
      </w:r>
      <w:r>
        <w:rPr>
          <w:color w:val="000000"/>
          <w:spacing w:val="0"/>
          <w:w w:val="100"/>
          <w:sz w:val="18"/>
        </w:rPr>
        <w:t>/</w:t>
      </w:r>
      <w:r>
        <w:rPr>
          <w:color w:val="000000"/>
          <w:spacing w:val="0"/>
          <w:w w:val="100"/>
          <w:sz w:val="18"/>
          <w:lang w:val="en-US"/>
        </w:rPr>
        <w:t>C</w:t>
      </w:r>
      <w:r>
        <w:rPr>
          <w:color w:val="000000"/>
          <w:spacing w:val="0"/>
          <w:w w:val="100"/>
          <w:sz w:val="18"/>
        </w:rPr>
        <w:t>/</w:t>
      </w:r>
      <w:r>
        <w:rPr>
          <w:color w:val="000000"/>
          <w:spacing w:val="0"/>
          <w:w w:val="100"/>
          <w:sz w:val="18"/>
          <w:lang w:val="en-US"/>
        </w:rPr>
        <w:t>FRA</w:t>
      </w:r>
      <w:r>
        <w:rPr>
          <w:color w:val="000000"/>
          <w:spacing w:val="0"/>
          <w:w w:val="100"/>
          <w:sz w:val="18"/>
        </w:rPr>
        <w:t xml:space="preserve">/3-4 и </w:t>
      </w:r>
      <w:r>
        <w:rPr>
          <w:color w:val="000000"/>
          <w:spacing w:val="0"/>
          <w:w w:val="100"/>
          <w:sz w:val="18"/>
          <w:lang w:val="en-US"/>
        </w:rPr>
        <w:t>Corr</w:t>
      </w:r>
      <w:r>
        <w:rPr>
          <w:color w:val="000000"/>
          <w:spacing w:val="0"/>
          <w:w w:val="100"/>
          <w:sz w:val="18"/>
        </w:rPr>
        <w:t xml:space="preserve">.1, которые были рассмотрены Комитетом на его двадцать девятой сессии. Пятый периодический доклад, представленный правительством Франции, см. в документе </w:t>
      </w:r>
      <w:r>
        <w:rPr>
          <w:color w:val="000000"/>
          <w:spacing w:val="0"/>
          <w:w w:val="100"/>
          <w:sz w:val="18"/>
          <w:lang w:val="en-US"/>
        </w:rPr>
        <w:t>CEDAW</w:t>
      </w:r>
      <w:r>
        <w:rPr>
          <w:color w:val="000000"/>
          <w:spacing w:val="0"/>
          <w:w w:val="100"/>
          <w:sz w:val="18"/>
        </w:rPr>
        <w:t>/</w:t>
      </w:r>
      <w:r>
        <w:rPr>
          <w:color w:val="000000"/>
          <w:spacing w:val="0"/>
          <w:w w:val="100"/>
          <w:sz w:val="18"/>
          <w:lang w:val="en-US"/>
        </w:rPr>
        <w:t>C</w:t>
      </w:r>
      <w:r>
        <w:rPr>
          <w:color w:val="000000"/>
          <w:spacing w:val="0"/>
          <w:w w:val="100"/>
          <w:sz w:val="18"/>
        </w:rPr>
        <w:t>/</w:t>
      </w:r>
      <w:r>
        <w:rPr>
          <w:color w:val="000000"/>
          <w:spacing w:val="0"/>
          <w:w w:val="100"/>
          <w:sz w:val="18"/>
          <w:lang w:val="en-US"/>
        </w:rPr>
        <w:t>FRA</w:t>
      </w:r>
      <w:r>
        <w:rPr>
          <w:color w:val="000000"/>
          <w:spacing w:val="0"/>
          <w:w w:val="100"/>
          <w:sz w:val="18"/>
        </w:rPr>
        <w:t>/5, который был рассмотрен Комитетом на его двадцать девятой сессии.</w:t>
      </w:r>
    </w:p>
  </w:footnote>
  <w:footnote w:id="2">
    <w:p w:rsidR="00000000" w:rsidRDefault="00000000">
      <w:pPr>
        <w:pStyle w:val="FootnoteText"/>
        <w:spacing w:after="0" w:line="240" w:lineRule="auto"/>
        <w:ind w:left="0" w:firstLine="0"/>
        <w:rPr>
          <w:spacing w:val="0"/>
          <w:w w:val="100"/>
          <w:sz w:val="18"/>
        </w:rPr>
      </w:pPr>
      <w:r>
        <w:rPr>
          <w:rStyle w:val="FootnoteReference"/>
          <w:sz w:val="18"/>
        </w:rPr>
        <w:footnoteRef/>
      </w:r>
      <w:r>
        <w:rPr>
          <w:spacing w:val="0"/>
          <w:w w:val="100"/>
          <w:sz w:val="18"/>
        </w:rPr>
        <w:t xml:space="preserve"> </w:t>
      </w:r>
      <w:r>
        <w:rPr>
          <w:color w:val="000000"/>
          <w:spacing w:val="0"/>
          <w:w w:val="100"/>
          <w:sz w:val="18"/>
          <w:lang/>
        </w:rPr>
        <w:t>Б</w:t>
      </w:r>
      <w:r>
        <w:rPr>
          <w:color w:val="000000"/>
          <w:spacing w:val="0"/>
          <w:w w:val="100"/>
          <w:sz w:val="18"/>
        </w:rPr>
        <w:t>ез учета вакантных должностей</w:t>
      </w:r>
    </w:p>
  </w:footnote>
  <w:footnote w:id="3">
    <w:p w:rsidR="00000000" w:rsidRDefault="00000000">
      <w:pPr>
        <w:pStyle w:val="FootnoteText"/>
        <w:spacing w:after="120" w:line="240" w:lineRule="auto"/>
        <w:ind w:left="0" w:firstLine="0"/>
        <w:rPr>
          <w:spacing w:val="0"/>
          <w:w w:val="100"/>
          <w:sz w:val="18"/>
        </w:rPr>
      </w:pPr>
      <w:r>
        <w:rPr>
          <w:rStyle w:val="FootnoteReference"/>
          <w:sz w:val="18"/>
        </w:rPr>
        <w:footnoteRef/>
      </w:r>
      <w:r>
        <w:rPr>
          <w:spacing w:val="0"/>
          <w:w w:val="100"/>
          <w:sz w:val="18"/>
        </w:rPr>
        <w:t xml:space="preserve"> </w:t>
      </w:r>
      <w:r>
        <w:rPr>
          <w:noProof/>
          <w:spacing w:val="0"/>
          <w:w w:val="100"/>
          <w:sz w:val="18"/>
        </w:rPr>
        <w:t>Главное управление по вопросам занятости и профессиональной подготовки Министерства занятости, Управление по вопросам народонаселения и миграции Министерства по социальным вопросам, Фонд действий в поддержку социальной интеграции и борьбы с дискриминацией (государственное учреждение, находящееся в подчинении Министерства по социальным вопросам), Национальная ассоциация по профессиональной подготовке взрослых, Национальное агентство занятости, Национальный совет миссий на местах (по вопросам занятости молодежи).</w:t>
      </w:r>
    </w:p>
  </w:footnote>
  <w:footnote w:id="4">
    <w:p w:rsidR="00000000" w:rsidRDefault="00000000">
      <w:pPr>
        <w:pStyle w:val="FootnoteText"/>
        <w:spacing w:after="0" w:line="240" w:lineRule="auto"/>
        <w:ind w:left="0" w:firstLine="0"/>
        <w:rPr>
          <w:spacing w:val="0"/>
          <w:w w:val="100"/>
          <w:sz w:val="18"/>
        </w:rPr>
      </w:pPr>
      <w:r>
        <w:rPr>
          <w:rStyle w:val="FootnoteReference"/>
          <w:sz w:val="18"/>
        </w:rPr>
        <w:footnoteRef/>
      </w:r>
      <w:r>
        <w:rPr>
          <w:spacing w:val="0"/>
          <w:w w:val="100"/>
          <w:sz w:val="18"/>
        </w:rPr>
        <w:t xml:space="preserve"> </w:t>
      </w:r>
      <w:r>
        <w:rPr>
          <w:noProof/>
          <w:spacing w:val="0"/>
          <w:w w:val="100"/>
          <w:sz w:val="18"/>
        </w:rPr>
        <w:t>Децентрализованные службы Министерства занятости, Национальная ассоциация по профессиональной подготовке взрослых, Национальное агентство занятости, Служба по правам женщин и вопросам равенства, миссии на местах (по вопросам занятости молодежи).</w:t>
      </w:r>
    </w:p>
  </w:footnote>
  <w:footnote w:id="5">
    <w:p w:rsidR="00000000" w:rsidRDefault="00000000">
      <w:pPr>
        <w:pStyle w:val="FootnoteText"/>
        <w:spacing w:after="0" w:line="240" w:lineRule="auto"/>
        <w:ind w:left="0" w:firstLine="0"/>
        <w:rPr>
          <w:spacing w:val="0"/>
          <w:w w:val="100"/>
          <w:sz w:val="18"/>
        </w:rPr>
      </w:pPr>
      <w:r>
        <w:rPr>
          <w:rStyle w:val="FootnoteReference"/>
          <w:sz w:val="18"/>
        </w:rPr>
        <w:footnoteRef/>
      </w:r>
      <w:r>
        <w:rPr>
          <w:spacing w:val="0"/>
          <w:w w:val="100"/>
          <w:sz w:val="18"/>
        </w:rPr>
        <w:t xml:space="preserve"> Иммигрантами считаются все лица, родившиеся за рубежом, имеющие иностранное гражданство или получившие французское гражданство.</w:t>
      </w:r>
    </w:p>
  </w:footnote>
  <w:footnote w:id="6">
    <w:p w:rsidR="00000000" w:rsidRDefault="00000000">
      <w:pPr>
        <w:pStyle w:val="FootnoteText"/>
        <w:spacing w:after="0" w:line="240" w:lineRule="auto"/>
        <w:ind w:left="0" w:firstLine="0"/>
        <w:rPr>
          <w:spacing w:val="0"/>
          <w:w w:val="100"/>
          <w:sz w:val="18"/>
        </w:rPr>
      </w:pPr>
      <w:r>
        <w:rPr>
          <w:rStyle w:val="FootnoteReference"/>
          <w:sz w:val="18"/>
        </w:rPr>
        <w:footnoteRef/>
      </w:r>
      <w:r>
        <w:rPr>
          <w:spacing w:val="0"/>
          <w:w w:val="100"/>
          <w:sz w:val="18"/>
        </w:rPr>
        <w:t xml:space="preserve"> </w:t>
      </w:r>
      <w:r>
        <w:rPr>
          <w:noProof/>
          <w:spacing w:val="0"/>
          <w:w w:val="100"/>
          <w:sz w:val="18"/>
        </w:rPr>
        <w:t>ИНСЕЕ, № 1001, январь 2005 год. Ежегодное исследование численности населения:</w:t>
      </w:r>
      <w:r>
        <w:rPr>
          <w:spacing w:val="0"/>
          <w:w w:val="100"/>
          <w:sz w:val="18"/>
        </w:rPr>
        <w:t xml:space="preserve"> </w:t>
      </w:r>
      <w:r>
        <w:rPr>
          <w:noProof/>
          <w:spacing w:val="0"/>
          <w:w w:val="100"/>
          <w:sz w:val="18"/>
        </w:rPr>
        <w:t>предварительные результаты за 2004 год.</w:t>
      </w:r>
    </w:p>
  </w:footnote>
  <w:footnote w:id="7">
    <w:p w:rsidR="00000000" w:rsidRDefault="00000000">
      <w:pPr>
        <w:pStyle w:val="FootnoteText"/>
        <w:spacing w:after="0" w:line="240" w:lineRule="auto"/>
        <w:ind w:left="0" w:firstLine="0"/>
        <w:rPr>
          <w:spacing w:val="0"/>
          <w:w w:val="100"/>
          <w:sz w:val="18"/>
        </w:rPr>
      </w:pPr>
      <w:r>
        <w:rPr>
          <w:rStyle w:val="FootnoteReference"/>
          <w:sz w:val="18"/>
        </w:rPr>
        <w:footnoteRef/>
      </w:r>
      <w:r>
        <w:rPr>
          <w:spacing w:val="0"/>
          <w:w w:val="100"/>
          <w:sz w:val="18"/>
        </w:rPr>
        <w:t xml:space="preserve"> </w:t>
      </w:r>
      <w:r>
        <w:rPr>
          <w:noProof/>
          <w:spacing w:val="0"/>
          <w:w w:val="100"/>
          <w:sz w:val="18"/>
        </w:rPr>
        <w:t>В Конституции Франции теперь упоминаются не заморские территории, а заморские территориальные коллективы.</w:t>
      </w:r>
    </w:p>
  </w:footnote>
  <w:footnote w:id="8">
    <w:p w:rsidR="00000000" w:rsidRDefault="00000000">
      <w:pPr>
        <w:pStyle w:val="FootnoteText"/>
        <w:spacing w:after="120" w:line="240" w:lineRule="auto"/>
        <w:ind w:left="0" w:firstLine="0"/>
        <w:rPr>
          <w:spacing w:val="0"/>
          <w:w w:val="100"/>
          <w:sz w:val="18"/>
        </w:rPr>
      </w:pPr>
      <w:r>
        <w:rPr>
          <w:rStyle w:val="FootnoteReference"/>
          <w:sz w:val="18"/>
        </w:rPr>
        <w:footnoteRef/>
      </w:r>
      <w:r>
        <w:rPr>
          <w:spacing w:val="0"/>
          <w:w w:val="100"/>
          <w:sz w:val="18"/>
        </w:rPr>
        <w:t xml:space="preserve"> Принцип регионального избирательного округа, введенный в ходе реформы 1999 года, сохранен, однако в него включены секции департаментов. Таким образом, число секций в каждом списке равно числу входящих в регион департаментов.</w:t>
      </w:r>
    </w:p>
  </w:footnote>
  <w:footnote w:id="9">
    <w:p w:rsidR="00000000" w:rsidRDefault="00000000">
      <w:pPr>
        <w:pStyle w:val="FootnoteText"/>
        <w:spacing w:after="0" w:line="240" w:lineRule="auto"/>
        <w:ind w:left="0" w:firstLine="0"/>
        <w:rPr>
          <w:spacing w:val="0"/>
          <w:w w:val="100"/>
          <w:sz w:val="18"/>
        </w:rPr>
      </w:pPr>
      <w:r>
        <w:rPr>
          <w:rStyle w:val="FootnoteReference"/>
          <w:sz w:val="18"/>
        </w:rPr>
        <w:footnoteRef/>
      </w:r>
      <w:r>
        <w:rPr>
          <w:spacing w:val="0"/>
          <w:w w:val="100"/>
          <w:sz w:val="18"/>
        </w:rPr>
        <w:t xml:space="preserve"> Включает равное число представителей администрации и профсоюза.</w:t>
      </w:r>
    </w:p>
  </w:footnote>
  <w:footnote w:id="10">
    <w:p w:rsidR="00000000" w:rsidRDefault="00000000">
      <w:pPr>
        <w:pStyle w:val="FootnoteText"/>
        <w:spacing w:after="0" w:line="240" w:lineRule="auto"/>
        <w:ind w:left="0" w:firstLine="0"/>
        <w:rPr>
          <w:spacing w:val="0"/>
          <w:w w:val="100"/>
          <w:sz w:val="18"/>
        </w:rPr>
      </w:pPr>
      <w:r>
        <w:rPr>
          <w:rStyle w:val="FootnoteReference"/>
          <w:sz w:val="18"/>
        </w:rPr>
        <w:footnoteRef/>
      </w:r>
      <w:r>
        <w:rPr>
          <w:spacing w:val="0"/>
          <w:w w:val="100"/>
          <w:sz w:val="18"/>
        </w:rPr>
        <w:t xml:space="preserve"> Орган самоконтроля за рекламой во Франции, управляющийся совместно рекламодателями, рекламными агентствами и СМИ. УКР имеет консультативные полномочия.</w:t>
      </w:r>
    </w:p>
  </w:footnote>
  <w:footnote w:id="11">
    <w:p w:rsidR="00000000" w:rsidRDefault="00000000">
      <w:pPr>
        <w:pStyle w:val="FootnoteText"/>
        <w:spacing w:after="120" w:line="240" w:lineRule="auto"/>
        <w:ind w:left="0" w:firstLine="0"/>
        <w:rPr>
          <w:spacing w:val="0"/>
          <w:w w:val="100"/>
          <w:sz w:val="18"/>
        </w:rPr>
      </w:pPr>
      <w:r>
        <w:rPr>
          <w:rStyle w:val="FootnoteReference"/>
          <w:sz w:val="18"/>
        </w:rPr>
        <w:footnoteRef/>
      </w:r>
      <w:r>
        <w:rPr>
          <w:spacing w:val="0"/>
          <w:w w:val="100"/>
          <w:sz w:val="18"/>
        </w:rPr>
        <w:t xml:space="preserve"> Центр по изучению Черной Африки; Национальный научно-исследовательский центр; Национальный институт демографических исследований; Высшая национальная школа статистики и прикладной экономики (Абиджан); Институт политических исследований.</w:t>
      </w:r>
    </w:p>
  </w:footnote>
  <w:footnote w:id="12">
    <w:p w:rsidR="00000000" w:rsidRDefault="00000000">
      <w:pPr>
        <w:pStyle w:val="FootnoteText"/>
        <w:spacing w:after="120" w:line="240" w:lineRule="auto"/>
        <w:ind w:left="0" w:firstLine="0"/>
        <w:rPr>
          <w:spacing w:val="0"/>
          <w:w w:val="100"/>
          <w:sz w:val="18"/>
        </w:rPr>
      </w:pPr>
      <w:r>
        <w:rPr>
          <w:rStyle w:val="FootnoteReference"/>
          <w:sz w:val="18"/>
        </w:rPr>
        <w:footnoteRef/>
      </w:r>
      <w:r>
        <w:rPr>
          <w:spacing w:val="0"/>
          <w:w w:val="100"/>
          <w:sz w:val="18"/>
        </w:rPr>
        <w:t xml:space="preserve"> Всемирный банк; Французское агентство развития; многочисленные общественные организации.</w:t>
      </w:r>
    </w:p>
  </w:footnote>
  <w:footnote w:id="13">
    <w:p w:rsidR="00000000" w:rsidRDefault="00000000">
      <w:pPr>
        <w:pStyle w:val="FootnoteText"/>
        <w:spacing w:after="0" w:line="240" w:lineRule="auto"/>
        <w:ind w:left="0" w:firstLine="0"/>
        <w:rPr>
          <w:spacing w:val="0"/>
          <w:w w:val="100"/>
          <w:sz w:val="18"/>
        </w:rPr>
      </w:pPr>
      <w:r>
        <w:rPr>
          <w:rStyle w:val="FootnoteReference"/>
          <w:sz w:val="18"/>
        </w:rPr>
        <w:footnoteRef/>
      </w:r>
      <w:r>
        <w:rPr>
          <w:spacing w:val="0"/>
          <w:w w:val="100"/>
          <w:sz w:val="18"/>
        </w:rPr>
        <w:t xml:space="preserve"> Швейцарское агентство по сотрудничеству; Комитет содействия развитию Организации по экономическому сотрудничеству и развитию; частные эксперты и т. д.</w:t>
      </w:r>
    </w:p>
  </w:footnote>
  <w:footnote w:id="14">
    <w:p w:rsidR="00000000" w:rsidRDefault="00000000">
      <w:pPr>
        <w:pStyle w:val="FootnoteText"/>
        <w:spacing w:after="0" w:line="240" w:lineRule="auto"/>
        <w:ind w:left="0" w:firstLine="0"/>
        <w:rPr>
          <w:spacing w:val="0"/>
          <w:w w:val="100"/>
          <w:sz w:val="18"/>
        </w:rPr>
      </w:pPr>
      <w:r>
        <w:rPr>
          <w:rStyle w:val="FootnoteReference"/>
          <w:sz w:val="18"/>
        </w:rPr>
        <w:footnoteRef/>
      </w:r>
      <w:r>
        <w:rPr>
          <w:spacing w:val="0"/>
          <w:w w:val="100"/>
          <w:sz w:val="18"/>
        </w:rPr>
        <w:t xml:space="preserve"> Тунис, Алжир, Марокко; Палестинские территории, Иордания, Ливан.</w:t>
      </w:r>
    </w:p>
  </w:footnote>
  <w:footnote w:id="15">
    <w:p w:rsidR="00000000" w:rsidRDefault="00000000">
      <w:pPr>
        <w:pStyle w:val="FootnoteText"/>
        <w:spacing w:after="120"/>
        <w:ind w:left="0" w:firstLine="0"/>
        <w:rPr>
          <w:lang w:val="en-US"/>
        </w:rPr>
      </w:pPr>
      <w:r>
        <w:rPr>
          <w:rStyle w:val="FootnoteReference"/>
          <w:sz w:val="18"/>
        </w:rPr>
        <w:footnoteRef/>
      </w:r>
      <w:r>
        <w:rPr>
          <w:lang w:val="en-US"/>
        </w:rPr>
        <w:t xml:space="preserve"> </w:t>
      </w:r>
      <w:r>
        <w:rPr>
          <w:spacing w:val="0"/>
          <w:w w:val="100"/>
          <w:sz w:val="18"/>
          <w:lang w:val="en-US"/>
        </w:rPr>
        <w:t xml:space="preserve">"Emploi et salaires: les inégalités entre les hommes et les femmes en mars 1998", Premières synthèses DARES, </w:t>
      </w:r>
      <w:r>
        <w:rPr>
          <w:spacing w:val="0"/>
          <w:w w:val="100"/>
          <w:sz w:val="18"/>
          <w:lang w:val="en-US"/>
        </w:rPr>
        <w:br/>
        <w:t>n° 32.2, 1999.</w:t>
      </w:r>
    </w:p>
  </w:footnote>
  <w:footnote w:id="16">
    <w:p w:rsidR="00000000" w:rsidRDefault="00000000">
      <w:pPr>
        <w:pStyle w:val="FootnoteText"/>
        <w:spacing w:after="0"/>
        <w:ind w:left="0" w:firstLine="0"/>
      </w:pPr>
      <w:r>
        <w:rPr>
          <w:rStyle w:val="FootnoteReference"/>
          <w:sz w:val="18"/>
        </w:rPr>
        <w:footnoteRef/>
      </w:r>
      <w:r>
        <w:t xml:space="preserve"> </w:t>
      </w:r>
      <w:r>
        <w:rPr>
          <w:spacing w:val="0"/>
          <w:w w:val="100"/>
          <w:sz w:val="18"/>
        </w:rPr>
        <w:t>Усредненная заработная плата – это такая заработная плата, которая делит наемных работников на две одинаковые группы: 50 процентов зарабатывают меньше, 50 процентов зарабатывают больше.</w:t>
      </w:r>
    </w:p>
  </w:footnote>
  <w:footnote w:id="17">
    <w:p w:rsidR="00000000" w:rsidRDefault="00000000">
      <w:pPr>
        <w:pStyle w:val="FootnoteText"/>
        <w:spacing w:after="0"/>
        <w:ind w:left="476" w:hanging="476"/>
      </w:pPr>
      <w:r>
        <w:rPr>
          <w:rStyle w:val="FootnoteReference"/>
          <w:sz w:val="18"/>
        </w:rPr>
        <w:footnoteRef/>
      </w:r>
      <w:r>
        <w:t xml:space="preserve"> </w:t>
      </w:r>
      <w:r>
        <w:rPr>
          <w:spacing w:val="0"/>
          <w:w w:val="100"/>
          <w:sz w:val="18"/>
        </w:rPr>
        <w:t>Источник: ИНСЕЕ, опрос по проблемам занятости в 2003 году, обработка данных ДАРЕС</w:t>
      </w:r>
    </w:p>
  </w:footnote>
  <w:footnote w:id="18">
    <w:p w:rsidR="00000000" w:rsidRDefault="00000000">
      <w:pPr>
        <w:tabs>
          <w:tab w:val="left" w:pos="0"/>
        </w:tabs>
        <w:spacing w:after="0"/>
        <w:rPr>
          <w:sz w:val="18"/>
        </w:rPr>
      </w:pPr>
      <w:r>
        <w:rPr>
          <w:rStyle w:val="FootnoteReference"/>
          <w:sz w:val="18"/>
        </w:rPr>
        <w:footnoteRef/>
      </w:r>
      <w:r>
        <w:rPr>
          <w:sz w:val="18"/>
        </w:rPr>
        <w:t xml:space="preserve"> Пежо-Ситроен, "Э</w:t>
      </w:r>
      <w:r>
        <w:rPr>
          <w:caps/>
          <w:sz w:val="18"/>
        </w:rPr>
        <w:t>адс</w:t>
      </w:r>
      <w:r>
        <w:rPr>
          <w:sz w:val="18"/>
        </w:rPr>
        <w:t xml:space="preserve"> Франс", Airbus Centre, Airbus France, "Еврокоптер", "Матра электроник", "Э</w:t>
      </w:r>
      <w:r>
        <w:rPr>
          <w:caps/>
          <w:sz w:val="18"/>
        </w:rPr>
        <w:t>адс</w:t>
      </w:r>
      <w:r>
        <w:rPr>
          <w:sz w:val="18"/>
        </w:rPr>
        <w:t xml:space="preserve"> спейс транспортэйшн", "Сажеп", "Барбин" (страховая компания), Парижская служба ритуальных услуг, агентство по коммуникациям BETC, EURO RSCG, общество потребительских кредитов "Цетелем", аудиторская фирма "Делой", посредническая страховая фирма "Дексиа", "Э</w:t>
      </w:r>
      <w:r>
        <w:rPr>
          <w:caps/>
          <w:sz w:val="18"/>
        </w:rPr>
        <w:t>адс</w:t>
      </w:r>
      <w:r>
        <w:rPr>
          <w:sz w:val="18"/>
        </w:rPr>
        <w:t>" (разработка и производство спутниковых систем), оператор сотовой связи "Оранж Франс", "Вим Босман" (перевозки/логистика).</w:t>
      </w:r>
    </w:p>
  </w:footnote>
  <w:footnote w:id="19">
    <w:p w:rsidR="00000000" w:rsidRDefault="00000000">
      <w:pPr>
        <w:pStyle w:val="FootnoteText"/>
        <w:spacing w:after="0"/>
        <w:ind w:left="0" w:firstLine="0"/>
      </w:pPr>
      <w:r>
        <w:rPr>
          <w:rStyle w:val="FootnoteReference"/>
          <w:sz w:val="18"/>
        </w:rPr>
        <w:footnoteRef/>
      </w:r>
      <w:r>
        <w:t xml:space="preserve"> </w:t>
      </w:r>
      <w:r>
        <w:rPr>
          <w:spacing w:val="0"/>
          <w:w w:val="100"/>
          <w:sz w:val="18"/>
        </w:rPr>
        <w:t>В 2003 году 38 процентов случаев ДПБ было осуществлено с помощью медикаментозных средств по сравнению с 21 процентом в 2001 году и 20 процентами в 1998 году</w:t>
      </w:r>
    </w:p>
  </w:footnote>
  <w:footnote w:id="20">
    <w:p w:rsidR="00000000" w:rsidRDefault="00000000">
      <w:pPr>
        <w:pStyle w:val="FootnoteText"/>
        <w:spacing w:after="0"/>
        <w:ind w:left="476" w:hanging="476"/>
      </w:pPr>
      <w:r>
        <w:rPr>
          <w:rStyle w:val="FootnoteReference"/>
          <w:sz w:val="18"/>
        </w:rPr>
        <w:footnoteRef/>
      </w:r>
      <w:r>
        <w:t xml:space="preserve"> </w:t>
      </w:r>
      <w:r>
        <w:rPr>
          <w:spacing w:val="0"/>
          <w:w w:val="100"/>
          <w:sz w:val="18"/>
        </w:rPr>
        <w:t>86 процентов одиноких родителей являются женщинами.</w:t>
      </w:r>
    </w:p>
  </w:footnote>
  <w:footnote w:id="21">
    <w:p w:rsidR="00000000" w:rsidRDefault="00000000">
      <w:pPr>
        <w:pStyle w:val="FootnoteText"/>
        <w:spacing w:after="0"/>
        <w:ind w:left="0" w:firstLine="0"/>
      </w:pPr>
      <w:r>
        <w:rPr>
          <w:rStyle w:val="FootnoteReference"/>
          <w:sz w:val="18"/>
        </w:rPr>
        <w:footnoteRef/>
      </w:r>
      <w:r>
        <w:t xml:space="preserve"> </w:t>
      </w:r>
      <w:r>
        <w:rPr>
          <w:spacing w:val="0"/>
          <w:w w:val="100"/>
          <w:sz w:val="18"/>
        </w:rPr>
        <w:t>Каждое государство – член Европейского союза должно разработать национальный план действий за социальное включение на этот период.</w:t>
      </w:r>
    </w:p>
  </w:footnote>
  <w:footnote w:id="22">
    <w:p w:rsidR="00000000" w:rsidRDefault="00000000">
      <w:pPr>
        <w:pStyle w:val="FootnoteText"/>
        <w:spacing w:after="0"/>
        <w:ind w:left="0" w:firstLine="0"/>
      </w:pPr>
      <w:r>
        <w:rPr>
          <w:rStyle w:val="FootnoteReference"/>
          <w:sz w:val="18"/>
        </w:rPr>
        <w:footnoteRef/>
      </w:r>
      <w:r>
        <w:t xml:space="preserve"> </w:t>
      </w:r>
      <w:r>
        <w:rPr>
          <w:spacing w:val="0"/>
          <w:w w:val="100"/>
          <w:sz w:val="18"/>
        </w:rPr>
        <w:t>Данные опроса, проведенного Министерством по делам молодежи и спорта и Национального института спорта и физического воспитания, июль 2000 года.</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659CADF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5372B834"/>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A3CEA354"/>
    <w:lvl w:ilvl="0">
      <w:start w:val="1"/>
      <w:numFmt w:val="decimal"/>
      <w:pStyle w:val="ListNumber3"/>
      <w:lvlText w:val="%1."/>
      <w:lvlJc w:val="left"/>
      <w:pPr>
        <w:tabs>
          <w:tab w:val="num" w:pos="926"/>
        </w:tabs>
        <w:ind w:left="926" w:hanging="360"/>
      </w:pPr>
    </w:lvl>
  </w:abstractNum>
  <w:abstractNum w:abstractNumId="3">
    <w:nsid w:val="FFFFFF7F"/>
    <w:multiLevelType w:val="singleLevel"/>
    <w:tmpl w:val="93C2E390"/>
    <w:lvl w:ilvl="0">
      <w:start w:val="1"/>
      <w:numFmt w:val="decimal"/>
      <w:pStyle w:val="ListNumber2"/>
      <w:lvlText w:val="%1."/>
      <w:lvlJc w:val="left"/>
      <w:pPr>
        <w:tabs>
          <w:tab w:val="num" w:pos="643"/>
        </w:tabs>
        <w:ind w:left="643" w:hanging="360"/>
      </w:pPr>
    </w:lvl>
  </w:abstractNum>
  <w:abstractNum w:abstractNumId="4">
    <w:nsid w:val="FFFFFF88"/>
    <w:multiLevelType w:val="singleLevel"/>
    <w:tmpl w:val="A450318C"/>
    <w:lvl w:ilvl="0">
      <w:start w:val="1"/>
      <w:numFmt w:val="decimal"/>
      <w:pStyle w:val="ListNumber"/>
      <w:lvlText w:val="%1."/>
      <w:lvlJc w:val="left"/>
      <w:pPr>
        <w:tabs>
          <w:tab w:val="num" w:pos="360"/>
        </w:tabs>
        <w:ind w:left="360" w:hanging="360"/>
      </w:pPr>
    </w:lvl>
  </w:abstractNum>
  <w:abstractNum w:abstractNumId="5">
    <w:nsid w:val="FFFFFFFE"/>
    <w:multiLevelType w:val="singleLevel"/>
    <w:tmpl w:val="FFFFFFFF"/>
    <w:lvl w:ilvl="0">
      <w:numFmt w:val="decimal"/>
      <w:lvlText w:val="*"/>
      <w:lvlJc w:val="left"/>
    </w:lvl>
  </w:abstractNum>
  <w:abstractNum w:abstractNumId="6">
    <w:nsid w:val="05425CF5"/>
    <w:multiLevelType w:val="singleLevel"/>
    <w:tmpl w:val="F3ACA3C2"/>
    <w:lvl w:ilvl="0">
      <w:start w:val="1"/>
      <w:numFmt w:val="upperLetter"/>
      <w:lvlText w:val="%1)"/>
      <w:lvlJc w:val="left"/>
      <w:pPr>
        <w:tabs>
          <w:tab w:val="num" w:pos="360"/>
        </w:tabs>
        <w:ind w:left="360" w:hanging="360"/>
      </w:pPr>
      <w:rPr>
        <w:rFonts w:hint="default"/>
      </w:rPr>
    </w:lvl>
  </w:abstractNum>
  <w:abstractNum w:abstractNumId="7">
    <w:nsid w:val="098D2317"/>
    <w:multiLevelType w:val="hybridMultilevel"/>
    <w:tmpl w:val="86E47A58"/>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cs="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8">
    <w:nsid w:val="0ED8258C"/>
    <w:multiLevelType w:val="hybridMultilevel"/>
    <w:tmpl w:val="66240830"/>
    <w:lvl w:ilvl="0">
      <w:start w:val="1"/>
      <w:numFmt w:val="upperRoman"/>
      <w:lvlText w:val="%1."/>
      <w:lvlJc w:val="right"/>
      <w:pPr>
        <w:tabs>
          <w:tab w:val="num" w:pos="720"/>
        </w:tabs>
        <w:ind w:left="720" w:hanging="18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9">
    <w:nsid w:val="10443F78"/>
    <w:multiLevelType w:val="multilevel"/>
    <w:tmpl w:val="FB64CF4E"/>
    <w:lvl w:ilvl="0">
      <w:start w:val="2"/>
      <w:numFmt w:val="upperRoman"/>
      <w:lvlText w:val="%1)"/>
      <w:lvlJc w:val="left"/>
      <w:pPr>
        <w:tabs>
          <w:tab w:val="num" w:pos="1080"/>
        </w:tabs>
        <w:ind w:left="1080" w:hanging="72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
    <w:nsid w:val="12305D26"/>
    <w:multiLevelType w:val="hybridMultilevel"/>
    <w:tmpl w:val="03CE5EC4"/>
    <w:lvl w:ilvl="0">
      <w:start w:val="3"/>
      <w:numFmt w:val="decimal"/>
      <w:lvlText w:val="–"/>
      <w:lvlJc w:val="left"/>
      <w:pPr>
        <w:tabs>
          <w:tab w:val="num" w:pos="1064"/>
        </w:tabs>
        <w:ind w:left="1064" w:hanging="704"/>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1">
    <w:nsid w:val="13D91353"/>
    <w:multiLevelType w:val="hybridMultilevel"/>
    <w:tmpl w:val="340055BA"/>
    <w:lvl w:ilvl="0">
      <w:start w:val="1"/>
      <w:numFmt w:val="bullet"/>
      <w:lvlText w:val=""/>
      <w:lvlJc w:val="left"/>
      <w:pPr>
        <w:tabs>
          <w:tab w:val="num" w:pos="720"/>
        </w:tabs>
        <w:ind w:left="720" w:hanging="360"/>
      </w:pPr>
      <w:rPr>
        <w:rFonts w:ascii="Wingdings" w:hAnsi="Wingdings"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2">
    <w:nsid w:val="156D1B67"/>
    <w:multiLevelType w:val="singleLevel"/>
    <w:tmpl w:val="DD7A11E2"/>
    <w:lvl w:ilvl="0">
      <w:start w:val="1"/>
      <w:numFmt w:val="lowerLetter"/>
      <w:lvlText w:val="%1)"/>
      <w:lvlJc w:val="left"/>
      <w:pPr>
        <w:tabs>
          <w:tab w:val="num" w:pos="360"/>
        </w:tabs>
        <w:ind w:left="360" w:hanging="360"/>
      </w:pPr>
      <w:rPr>
        <w:rFonts w:hint="default"/>
        <w:b/>
      </w:rPr>
    </w:lvl>
  </w:abstractNum>
  <w:abstractNum w:abstractNumId="13">
    <w:nsid w:val="15EB1E38"/>
    <w:multiLevelType w:val="singleLevel"/>
    <w:tmpl w:val="F740E6EE"/>
    <w:lvl w:ilvl="0">
      <w:start w:val="1"/>
      <w:numFmt w:val="bullet"/>
      <w:lvlText w:val="-"/>
      <w:lvlJc w:val="left"/>
      <w:pPr>
        <w:tabs>
          <w:tab w:val="num" w:pos="360"/>
        </w:tabs>
        <w:ind w:left="360" w:hanging="360"/>
      </w:pPr>
      <w:rPr>
        <w:rFonts w:ascii="Times New Roman" w:hAnsi="Times New Roman" w:hint="default"/>
      </w:rPr>
    </w:lvl>
  </w:abstractNum>
  <w:abstractNum w:abstractNumId="14">
    <w:nsid w:val="16252C6A"/>
    <w:multiLevelType w:val="hybridMultilevel"/>
    <w:tmpl w:val="E824650E"/>
    <w:lvl w:ilvl="0">
      <w:start w:val="1"/>
      <w:numFmt w:val="upperRoman"/>
      <w:lvlText w:val="%1."/>
      <w:lvlJc w:val="right"/>
      <w:pPr>
        <w:tabs>
          <w:tab w:val="num" w:pos="720"/>
        </w:tabs>
        <w:ind w:left="720" w:hanging="180"/>
      </w:pPr>
    </w:lvl>
    <w:lvl w:ilvl="1">
      <w:start w:val="1998"/>
      <w:numFmt w:val="decimal"/>
      <w:lvlText w:val="(%2"/>
      <w:lvlJc w:val="left"/>
      <w:pPr>
        <w:tabs>
          <w:tab w:val="num" w:pos="1755"/>
        </w:tabs>
        <w:ind w:left="1755" w:hanging="675"/>
      </w:pPr>
      <w:rPr>
        <w:rFonts w:hint="default"/>
      </w:rPr>
    </w:lvl>
    <w:lvl w:ilvl="2">
      <w:start w:val="15"/>
      <w:numFmt w:val="bullet"/>
      <w:lvlText w:val="-"/>
      <w:lvlJc w:val="left"/>
      <w:pPr>
        <w:tabs>
          <w:tab w:val="num" w:pos="2340"/>
        </w:tabs>
        <w:ind w:left="2340" w:hanging="360"/>
      </w:pPr>
      <w:rPr>
        <w:rFonts w:ascii="Times New Roman" w:eastAsia="Times New Roman" w:hAnsi="Times New Roman" w:cs="Times New Roman" w:hint="default"/>
      </w:rPr>
    </w:lvl>
    <w:lvl w:ilvl="3">
      <w:start w:val="1"/>
      <w:numFmt w:val="lowerLetter"/>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5">
    <w:nsid w:val="166D0594"/>
    <w:multiLevelType w:val="hybridMultilevel"/>
    <w:tmpl w:val="5484D11C"/>
    <w:lvl w:ilvl="0">
      <w:start w:val="1"/>
      <w:numFmt w:val="bullet"/>
      <w:lvlText w:val=""/>
      <w:lvlJc w:val="left"/>
      <w:pPr>
        <w:tabs>
          <w:tab w:val="num" w:pos="720"/>
        </w:tabs>
        <w:ind w:left="720" w:hanging="360"/>
      </w:pPr>
      <w:rPr>
        <w:rFonts w:ascii="Wingdings" w:hAnsi="Wingdings"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6">
    <w:nsid w:val="18E671B9"/>
    <w:multiLevelType w:val="singleLevel"/>
    <w:tmpl w:val="459CDB4C"/>
    <w:lvl w:ilvl="0">
      <w:numFmt w:val="bullet"/>
      <w:lvlText w:val="-"/>
      <w:lvlJc w:val="left"/>
      <w:pPr>
        <w:tabs>
          <w:tab w:val="num" w:pos="360"/>
        </w:tabs>
        <w:ind w:left="360" w:hanging="360"/>
      </w:pPr>
      <w:rPr>
        <w:rFonts w:hint="default"/>
      </w:rPr>
    </w:lvl>
  </w:abstractNum>
  <w:abstractNum w:abstractNumId="17">
    <w:nsid w:val="18EC39C5"/>
    <w:multiLevelType w:val="hybridMultilevel"/>
    <w:tmpl w:val="60B8FBAA"/>
    <w:lvl w:ilvl="0">
      <w:start w:val="1"/>
      <w:numFmt w:val="decimal"/>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8">
    <w:nsid w:val="2499440D"/>
    <w:multiLevelType w:val="singleLevel"/>
    <w:tmpl w:val="E62E1252"/>
    <w:lvl w:ilvl="0">
      <w:numFmt w:val="bullet"/>
      <w:lvlText w:val="-"/>
      <w:lvlJc w:val="left"/>
      <w:pPr>
        <w:tabs>
          <w:tab w:val="num" w:pos="360"/>
        </w:tabs>
        <w:ind w:left="360" w:hanging="360"/>
      </w:pPr>
      <w:rPr>
        <w:rFonts w:hint="default"/>
      </w:rPr>
    </w:lvl>
  </w:abstractNum>
  <w:abstractNum w:abstractNumId="19">
    <w:nsid w:val="270C2CFF"/>
    <w:multiLevelType w:val="hybridMultilevel"/>
    <w:tmpl w:val="F386FBB2"/>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0">
    <w:nsid w:val="279B1027"/>
    <w:multiLevelType w:val="singleLevel"/>
    <w:tmpl w:val="93DE4782"/>
    <w:lvl w:ilvl="0">
      <w:start w:val="9"/>
      <w:numFmt w:val="upperLetter"/>
      <w:lvlText w:val="%1)"/>
      <w:lvlJc w:val="left"/>
      <w:pPr>
        <w:tabs>
          <w:tab w:val="num" w:pos="360"/>
        </w:tabs>
        <w:ind w:left="360" w:hanging="360"/>
      </w:pPr>
      <w:rPr>
        <w:rFonts w:hint="default"/>
      </w:rPr>
    </w:lvl>
  </w:abstractNum>
  <w:abstractNum w:abstractNumId="21">
    <w:nsid w:val="27A51284"/>
    <w:multiLevelType w:val="singleLevel"/>
    <w:tmpl w:val="02780166"/>
    <w:lvl w:ilvl="0">
      <w:start w:val="1"/>
      <w:numFmt w:val="decimal"/>
      <w:lvlText w:val="%1."/>
      <w:legacy w:legacy="1" w:legacySpace="0" w:legacyIndent="420"/>
      <w:lvlJc w:val="left"/>
      <w:pPr>
        <w:ind w:left="1140" w:hanging="420"/>
      </w:pPr>
      <w:rPr>
        <w:rFonts w:ascii="Times New Roman" w:hAnsi="Times New Roman" w:hint="default"/>
      </w:rPr>
    </w:lvl>
  </w:abstractNum>
  <w:abstractNum w:abstractNumId="22">
    <w:nsid w:val="2B7B4978"/>
    <w:multiLevelType w:val="singleLevel"/>
    <w:tmpl w:val="8C808BCC"/>
    <w:lvl w:ilvl="0">
      <w:start w:val="2"/>
      <w:numFmt w:val="bullet"/>
      <w:lvlText w:val="-"/>
      <w:lvlJc w:val="left"/>
      <w:pPr>
        <w:tabs>
          <w:tab w:val="num" w:pos="1068"/>
        </w:tabs>
        <w:ind w:left="1068" w:hanging="360"/>
      </w:pPr>
      <w:rPr>
        <w:rFonts w:hint="default"/>
      </w:rPr>
    </w:lvl>
  </w:abstractNum>
  <w:abstractNum w:abstractNumId="23">
    <w:nsid w:val="2C9F784E"/>
    <w:multiLevelType w:val="hybridMultilevel"/>
    <w:tmpl w:val="59DCD6BC"/>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4">
    <w:nsid w:val="2D6074D5"/>
    <w:multiLevelType w:val="hybridMultilevel"/>
    <w:tmpl w:val="D8303AB4"/>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5">
    <w:nsid w:val="305853E0"/>
    <w:multiLevelType w:val="hybridMultilevel"/>
    <w:tmpl w:val="E4F8B72A"/>
    <w:lvl w:ilvl="0">
      <w:start w:val="1"/>
      <w:numFmt w:val="upperRoman"/>
      <w:lvlText w:val="%1."/>
      <w:lvlJc w:val="right"/>
      <w:pPr>
        <w:tabs>
          <w:tab w:val="num" w:pos="720"/>
        </w:tabs>
        <w:ind w:left="720" w:hanging="18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6">
    <w:nsid w:val="30AB3FCD"/>
    <w:multiLevelType w:val="multilevel"/>
    <w:tmpl w:val="049E9A26"/>
    <w:lvl w:ilvl="0">
      <w:numFmt w:val="bullet"/>
      <w:lvlText w:val="-"/>
      <w:lvlJc w:val="left"/>
      <w:pPr>
        <w:tabs>
          <w:tab w:val="num" w:pos="720"/>
        </w:tabs>
        <w:ind w:left="720" w:hanging="360"/>
      </w:pPr>
      <w:rPr>
        <w:rFonts w:ascii="Times New Roman" w:eastAsia="Times New Roman" w:hAnsi="Times New Roman" w:cs="Times New Roman"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7">
    <w:nsid w:val="31605C2F"/>
    <w:multiLevelType w:val="singleLevel"/>
    <w:tmpl w:val="66A8AE3E"/>
    <w:lvl w:ilvl="0">
      <w:start w:val="4"/>
      <w:numFmt w:val="upperLetter"/>
      <w:lvlText w:val="%1)"/>
      <w:lvlJc w:val="left"/>
      <w:pPr>
        <w:tabs>
          <w:tab w:val="num" w:pos="360"/>
        </w:tabs>
        <w:ind w:left="360" w:hanging="360"/>
      </w:pPr>
      <w:rPr>
        <w:rFonts w:hint="default"/>
      </w:rPr>
    </w:lvl>
  </w:abstractNum>
  <w:abstractNum w:abstractNumId="28">
    <w:nsid w:val="31665702"/>
    <w:multiLevelType w:val="hybridMultilevel"/>
    <w:tmpl w:val="67443800"/>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29">
    <w:nsid w:val="34DC129E"/>
    <w:multiLevelType w:val="singleLevel"/>
    <w:tmpl w:val="03EE3166"/>
    <w:lvl w:ilvl="0">
      <w:start w:val="1"/>
      <w:numFmt w:val="decimal"/>
      <w:pStyle w:val="ListContinue2"/>
      <w:lvlText w:val="%1."/>
      <w:lvlJc w:val="right"/>
      <w:pPr>
        <w:tabs>
          <w:tab w:val="num" w:pos="792"/>
        </w:tabs>
        <w:ind w:left="792" w:hanging="317"/>
      </w:pPr>
      <w:rPr>
        <w:rFonts w:hint="default"/>
      </w:rPr>
    </w:lvl>
  </w:abstractNum>
  <w:abstractNum w:abstractNumId="30">
    <w:nsid w:val="36870C8C"/>
    <w:multiLevelType w:val="hybridMultilevel"/>
    <w:tmpl w:val="03CE5EC4"/>
    <w:lvl w:ilvl="0">
      <w:start w:val="1"/>
      <w:numFmt w:val="lowerLetter"/>
      <w:lvlText w:val="%1)"/>
      <w:lvlJc w:val="left"/>
      <w:pPr>
        <w:tabs>
          <w:tab w:val="num" w:pos="1064"/>
        </w:tabs>
        <w:ind w:left="1064" w:hanging="704"/>
      </w:pPr>
      <w:rPr>
        <w:rFonts w:hint="default"/>
        <w:b/>
        <w:u w:val="none"/>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1">
    <w:nsid w:val="37156B7B"/>
    <w:multiLevelType w:val="hybridMultilevel"/>
    <w:tmpl w:val="4022E444"/>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2">
    <w:nsid w:val="380139D5"/>
    <w:multiLevelType w:val="hybridMultilevel"/>
    <w:tmpl w:val="78A60850"/>
    <w:lvl w:ilvl="0">
      <w:start w:val="1"/>
      <w:numFmt w:val="decimal"/>
      <w:lvlText w:val="%1."/>
      <w:lvlJc w:val="left"/>
      <w:pPr>
        <w:tabs>
          <w:tab w:val="num" w:pos="720"/>
        </w:tabs>
        <w:ind w:left="720" w:hanging="360"/>
      </w:pPr>
    </w:lvl>
    <w:lvl w:ilvl="1">
      <w:numFmt w:val="bullet"/>
      <w:lvlText w:val="-"/>
      <w:lvlJc w:val="left"/>
      <w:pPr>
        <w:tabs>
          <w:tab w:val="num" w:pos="1805"/>
        </w:tabs>
        <w:ind w:left="1805" w:hanging="725"/>
      </w:pPr>
      <w:rPr>
        <w:rFonts w:ascii="Times New Roman" w:eastAsia="Times New Roman" w:hAnsi="Times New Roman" w:cs="Times New Roman" w:hint="default"/>
        <w:color w:val="000000"/>
      </w:r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3">
    <w:nsid w:val="388A4400"/>
    <w:multiLevelType w:val="hybridMultilevel"/>
    <w:tmpl w:val="EFA65B1A"/>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4">
    <w:nsid w:val="38AE1E7C"/>
    <w:multiLevelType w:val="hybridMultilevel"/>
    <w:tmpl w:val="8DA8FB18"/>
    <w:lvl w:ilvl="0">
      <w:start w:val="1"/>
      <w:numFmt w:val="lowerLetter"/>
      <w:lvlText w:val="%1)"/>
      <w:lvlJc w:val="left"/>
      <w:pPr>
        <w:tabs>
          <w:tab w:val="num" w:pos="1064"/>
        </w:tabs>
        <w:ind w:left="1064" w:hanging="704"/>
      </w:pPr>
      <w:rPr>
        <w:rFonts w:hint="default"/>
        <w:b/>
        <w:u w:val="none"/>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5">
    <w:nsid w:val="3BC777A8"/>
    <w:multiLevelType w:val="singleLevel"/>
    <w:tmpl w:val="7C2C0432"/>
    <w:lvl w:ilvl="0">
      <w:numFmt w:val="bullet"/>
      <w:lvlText w:val="-"/>
      <w:lvlJc w:val="left"/>
      <w:pPr>
        <w:tabs>
          <w:tab w:val="num" w:pos="360"/>
        </w:tabs>
        <w:ind w:left="360" w:hanging="360"/>
      </w:pPr>
      <w:rPr>
        <w:rFonts w:hint="default"/>
      </w:rPr>
    </w:lvl>
  </w:abstractNum>
  <w:abstractNum w:abstractNumId="36">
    <w:nsid w:val="3C68309C"/>
    <w:multiLevelType w:val="hybridMultilevel"/>
    <w:tmpl w:val="130612FC"/>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7">
    <w:nsid w:val="3E4055F2"/>
    <w:multiLevelType w:val="hybridMultilevel"/>
    <w:tmpl w:val="FB64CF4E"/>
    <w:lvl w:ilvl="0">
      <w:start w:val="2"/>
      <w:numFmt w:val="upperRoman"/>
      <w:lvlText w:val="%1)"/>
      <w:lvlJc w:val="left"/>
      <w:pPr>
        <w:tabs>
          <w:tab w:val="num" w:pos="1080"/>
        </w:tabs>
        <w:ind w:left="1080" w:hanging="72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8">
    <w:nsid w:val="3F6C5575"/>
    <w:multiLevelType w:val="multilevel"/>
    <w:tmpl w:val="FB64CF4E"/>
    <w:lvl w:ilvl="0">
      <w:start w:val="2"/>
      <w:numFmt w:val="upperRoman"/>
      <w:lvlText w:val="%1)"/>
      <w:lvlJc w:val="left"/>
      <w:pPr>
        <w:tabs>
          <w:tab w:val="num" w:pos="1080"/>
        </w:tabs>
        <w:ind w:left="1080" w:hanging="72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9">
    <w:nsid w:val="40246177"/>
    <w:multiLevelType w:val="hybridMultilevel"/>
    <w:tmpl w:val="D708D762"/>
    <w:lvl w:ilvl="0">
      <w:start w:val="3"/>
      <w:numFmt w:val="decimal"/>
      <w:lvlText w:val="–"/>
      <w:lvlJc w:val="left"/>
      <w:pPr>
        <w:tabs>
          <w:tab w:val="num" w:pos="1064"/>
        </w:tabs>
        <w:ind w:left="1064" w:hanging="704"/>
      </w:pPr>
      <w:rPr>
        <w:rFonts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40">
    <w:nsid w:val="42D93359"/>
    <w:multiLevelType w:val="hybridMultilevel"/>
    <w:tmpl w:val="7EBEE518"/>
    <w:lvl w:ilvl="0">
      <w:start w:val="1"/>
      <w:numFmt w:val="upperRoman"/>
      <w:lvlText w:val="%1."/>
      <w:lvlJc w:val="right"/>
      <w:pPr>
        <w:tabs>
          <w:tab w:val="num" w:pos="720"/>
        </w:tabs>
        <w:ind w:left="720" w:hanging="180"/>
      </w:pPr>
    </w:lvl>
    <w:lvl w:ilvl="1">
      <w:numFmt w:val="bullet"/>
      <w:lvlText w:val="-"/>
      <w:lvlJc w:val="left"/>
      <w:pPr>
        <w:tabs>
          <w:tab w:val="num" w:pos="1440"/>
        </w:tabs>
        <w:ind w:left="1440" w:hanging="360"/>
      </w:pPr>
      <w:rPr>
        <w:rFonts w:ascii="Times New Roman" w:eastAsia="Times New Roman" w:hAnsi="Times New Roman" w:cs="Times New Roman" w:hint="default"/>
      </w:rPr>
    </w:lvl>
    <w:lvl w:ilvl="2">
      <w:start w:val="2"/>
      <w:numFmt w:val="lowerLetter"/>
      <w:lvlText w:val="%3)"/>
      <w:lvlJc w:val="left"/>
      <w:pPr>
        <w:tabs>
          <w:tab w:val="num" w:pos="2688"/>
        </w:tabs>
        <w:ind w:left="2688" w:hanging="708"/>
      </w:pPr>
      <w:rPr>
        <w:rFonts w:hint="default"/>
      </w:r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41">
    <w:nsid w:val="433472C3"/>
    <w:multiLevelType w:val="hybridMultilevel"/>
    <w:tmpl w:val="D11CB95E"/>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42">
    <w:nsid w:val="43927721"/>
    <w:multiLevelType w:val="singleLevel"/>
    <w:tmpl w:val="E2486F16"/>
    <w:lvl w:ilvl="0">
      <w:start w:val="3"/>
      <w:numFmt w:val="decimal"/>
      <w:lvlText w:val="%1)"/>
      <w:lvlJc w:val="left"/>
      <w:rPr>
        <w:rFonts w:ascii="Times New Roman" w:hAnsi="Times New Roman" w:cs="Times New Roman" w:hint="default"/>
      </w:rPr>
    </w:lvl>
  </w:abstractNum>
  <w:abstractNum w:abstractNumId="43">
    <w:nsid w:val="44E012BC"/>
    <w:multiLevelType w:val="hybridMultilevel"/>
    <w:tmpl w:val="F8A47818"/>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44">
    <w:nsid w:val="45686173"/>
    <w:multiLevelType w:val="hybridMultilevel"/>
    <w:tmpl w:val="ABEE5096"/>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45">
    <w:nsid w:val="45B33314"/>
    <w:multiLevelType w:val="hybridMultilevel"/>
    <w:tmpl w:val="E1843904"/>
    <w:lvl w:ilvl="0">
      <w:start w:val="28"/>
      <w:numFmt w:val="bullet"/>
      <w:lvlText w:val="-"/>
      <w:lvlJc w:val="left"/>
      <w:pPr>
        <w:tabs>
          <w:tab w:val="num" w:pos="900"/>
        </w:tabs>
        <w:ind w:left="900" w:hanging="360"/>
      </w:pPr>
      <w:rPr>
        <w:rFonts w:ascii="Times New Roman" w:eastAsia="Times New Roman" w:hAnsi="Times New Roman" w:cs="Times New Roman" w:hint="default"/>
      </w:rPr>
    </w:lvl>
    <w:lvl w:ilvl="1" w:tentative="1">
      <w:start w:val="1"/>
      <w:numFmt w:val="bullet"/>
      <w:lvlText w:val="o"/>
      <w:lvlJc w:val="left"/>
      <w:pPr>
        <w:tabs>
          <w:tab w:val="num" w:pos="1620"/>
        </w:tabs>
        <w:ind w:left="1620" w:hanging="360"/>
      </w:pPr>
      <w:rPr>
        <w:rFonts w:ascii="Courier New" w:hAnsi="Courier New" w:hint="default"/>
      </w:rPr>
    </w:lvl>
    <w:lvl w:ilvl="2" w:tentative="1">
      <w:start w:val="1"/>
      <w:numFmt w:val="bullet"/>
      <w:lvlText w:val=""/>
      <w:lvlJc w:val="left"/>
      <w:pPr>
        <w:tabs>
          <w:tab w:val="num" w:pos="2340"/>
        </w:tabs>
        <w:ind w:left="2340" w:hanging="360"/>
      </w:pPr>
      <w:rPr>
        <w:rFonts w:ascii="Wingdings" w:hAnsi="Wingdings" w:hint="default"/>
      </w:rPr>
    </w:lvl>
    <w:lvl w:ilvl="3" w:tentative="1">
      <w:start w:val="1"/>
      <w:numFmt w:val="bullet"/>
      <w:lvlText w:val=""/>
      <w:lvlJc w:val="left"/>
      <w:pPr>
        <w:tabs>
          <w:tab w:val="num" w:pos="3060"/>
        </w:tabs>
        <w:ind w:left="3060" w:hanging="360"/>
      </w:pPr>
      <w:rPr>
        <w:rFonts w:ascii="Symbol" w:hAnsi="Symbol" w:hint="default"/>
      </w:rPr>
    </w:lvl>
    <w:lvl w:ilvl="4" w:tentative="1">
      <w:start w:val="1"/>
      <w:numFmt w:val="bullet"/>
      <w:lvlText w:val="o"/>
      <w:lvlJc w:val="left"/>
      <w:pPr>
        <w:tabs>
          <w:tab w:val="num" w:pos="3780"/>
        </w:tabs>
        <w:ind w:left="3780" w:hanging="360"/>
      </w:pPr>
      <w:rPr>
        <w:rFonts w:ascii="Courier New" w:hAnsi="Courier New" w:hint="default"/>
      </w:rPr>
    </w:lvl>
    <w:lvl w:ilvl="5" w:tentative="1">
      <w:start w:val="1"/>
      <w:numFmt w:val="bullet"/>
      <w:lvlText w:val=""/>
      <w:lvlJc w:val="left"/>
      <w:pPr>
        <w:tabs>
          <w:tab w:val="num" w:pos="4500"/>
        </w:tabs>
        <w:ind w:left="4500" w:hanging="360"/>
      </w:pPr>
      <w:rPr>
        <w:rFonts w:ascii="Wingdings" w:hAnsi="Wingdings" w:hint="default"/>
      </w:rPr>
    </w:lvl>
    <w:lvl w:ilvl="6" w:tentative="1">
      <w:start w:val="1"/>
      <w:numFmt w:val="bullet"/>
      <w:lvlText w:val=""/>
      <w:lvlJc w:val="left"/>
      <w:pPr>
        <w:tabs>
          <w:tab w:val="num" w:pos="5220"/>
        </w:tabs>
        <w:ind w:left="5220" w:hanging="360"/>
      </w:pPr>
      <w:rPr>
        <w:rFonts w:ascii="Symbol" w:hAnsi="Symbol" w:hint="default"/>
      </w:rPr>
    </w:lvl>
    <w:lvl w:ilvl="7" w:tentative="1">
      <w:start w:val="1"/>
      <w:numFmt w:val="bullet"/>
      <w:lvlText w:val="o"/>
      <w:lvlJc w:val="left"/>
      <w:pPr>
        <w:tabs>
          <w:tab w:val="num" w:pos="5940"/>
        </w:tabs>
        <w:ind w:left="5940" w:hanging="360"/>
      </w:pPr>
      <w:rPr>
        <w:rFonts w:ascii="Courier New" w:hAnsi="Courier New" w:hint="default"/>
      </w:rPr>
    </w:lvl>
    <w:lvl w:ilvl="8" w:tentative="1">
      <w:start w:val="1"/>
      <w:numFmt w:val="bullet"/>
      <w:lvlText w:val=""/>
      <w:lvlJc w:val="left"/>
      <w:pPr>
        <w:tabs>
          <w:tab w:val="num" w:pos="6660"/>
        </w:tabs>
        <w:ind w:left="6660" w:hanging="360"/>
      </w:pPr>
      <w:rPr>
        <w:rFonts w:ascii="Wingdings" w:hAnsi="Wingdings" w:hint="default"/>
      </w:rPr>
    </w:lvl>
  </w:abstractNum>
  <w:abstractNum w:abstractNumId="46">
    <w:nsid w:val="47C04DD4"/>
    <w:multiLevelType w:val="hybridMultilevel"/>
    <w:tmpl w:val="16AC0A64"/>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47">
    <w:nsid w:val="48DA1CAC"/>
    <w:multiLevelType w:val="hybridMultilevel"/>
    <w:tmpl w:val="0D802DB6"/>
    <w:lvl w:ilvl="0">
      <w:start w:val="88"/>
      <w:numFmt w:val="bullet"/>
      <w:lvlText w:val="-"/>
      <w:lvlJc w:val="left"/>
      <w:pPr>
        <w:tabs>
          <w:tab w:val="num" w:pos="720"/>
        </w:tabs>
        <w:ind w:left="720" w:hanging="360"/>
      </w:pPr>
      <w:rPr>
        <w:rFonts w:ascii="Times New Roman" w:eastAsia="Times New Roman" w:hAnsi="Times New Roman" w:cs="Times New Roman"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48">
    <w:nsid w:val="4A4A3C78"/>
    <w:multiLevelType w:val="hybridMultilevel"/>
    <w:tmpl w:val="EBF24964"/>
    <w:lvl w:ilvl="0">
      <w:start w:val="1"/>
      <w:numFmt w:val="lowerLetter"/>
      <w:lvlText w:val="%1)"/>
      <w:lvlJc w:val="left"/>
      <w:pPr>
        <w:tabs>
          <w:tab w:val="num" w:pos="1424"/>
        </w:tabs>
        <w:ind w:left="1424" w:hanging="704"/>
      </w:pPr>
      <w:rPr>
        <w:rFonts w:hint="default"/>
        <w:b/>
        <w:u w:val="none"/>
      </w:rPr>
    </w:lvl>
    <w:lvl w:ilvl="1" w:tentative="1">
      <w:start w:val="1"/>
      <w:numFmt w:val="lowerLetter"/>
      <w:lvlText w:val="%2."/>
      <w:lvlJc w:val="left"/>
      <w:pPr>
        <w:tabs>
          <w:tab w:val="num" w:pos="1800"/>
        </w:tabs>
        <w:ind w:left="1800" w:hanging="360"/>
      </w:pPr>
    </w:lvl>
    <w:lvl w:ilvl="2" w:tentative="1">
      <w:start w:val="1"/>
      <w:numFmt w:val="lowerRoman"/>
      <w:lvlText w:val="%3."/>
      <w:lvlJc w:val="right"/>
      <w:pPr>
        <w:tabs>
          <w:tab w:val="num" w:pos="2520"/>
        </w:tabs>
        <w:ind w:left="2520" w:hanging="180"/>
      </w:pPr>
    </w:lvl>
    <w:lvl w:ilvl="3" w:tentative="1">
      <w:start w:val="1"/>
      <w:numFmt w:val="decimal"/>
      <w:lvlText w:val="%4."/>
      <w:lvlJc w:val="left"/>
      <w:pPr>
        <w:tabs>
          <w:tab w:val="num" w:pos="3240"/>
        </w:tabs>
        <w:ind w:left="3240" w:hanging="360"/>
      </w:pPr>
    </w:lvl>
    <w:lvl w:ilvl="4" w:tentative="1">
      <w:start w:val="1"/>
      <w:numFmt w:val="lowerLetter"/>
      <w:lvlText w:val="%5."/>
      <w:lvlJc w:val="left"/>
      <w:pPr>
        <w:tabs>
          <w:tab w:val="num" w:pos="3960"/>
        </w:tabs>
        <w:ind w:left="3960" w:hanging="360"/>
      </w:pPr>
    </w:lvl>
    <w:lvl w:ilvl="5" w:tentative="1">
      <w:start w:val="1"/>
      <w:numFmt w:val="lowerRoman"/>
      <w:lvlText w:val="%6."/>
      <w:lvlJc w:val="right"/>
      <w:pPr>
        <w:tabs>
          <w:tab w:val="num" w:pos="4680"/>
        </w:tabs>
        <w:ind w:left="4680" w:hanging="180"/>
      </w:pPr>
    </w:lvl>
    <w:lvl w:ilvl="6" w:tentative="1">
      <w:start w:val="1"/>
      <w:numFmt w:val="decimal"/>
      <w:lvlText w:val="%7."/>
      <w:lvlJc w:val="left"/>
      <w:pPr>
        <w:tabs>
          <w:tab w:val="num" w:pos="5400"/>
        </w:tabs>
        <w:ind w:left="5400" w:hanging="360"/>
      </w:pPr>
    </w:lvl>
    <w:lvl w:ilvl="7" w:tentative="1">
      <w:start w:val="1"/>
      <w:numFmt w:val="lowerLetter"/>
      <w:lvlText w:val="%8."/>
      <w:lvlJc w:val="left"/>
      <w:pPr>
        <w:tabs>
          <w:tab w:val="num" w:pos="6120"/>
        </w:tabs>
        <w:ind w:left="6120" w:hanging="360"/>
      </w:pPr>
    </w:lvl>
    <w:lvl w:ilvl="8" w:tentative="1">
      <w:start w:val="1"/>
      <w:numFmt w:val="lowerRoman"/>
      <w:lvlText w:val="%9."/>
      <w:lvlJc w:val="right"/>
      <w:pPr>
        <w:tabs>
          <w:tab w:val="num" w:pos="6840"/>
        </w:tabs>
        <w:ind w:left="6840" w:hanging="180"/>
      </w:pPr>
    </w:lvl>
  </w:abstractNum>
  <w:abstractNum w:abstractNumId="49">
    <w:nsid w:val="4C620F61"/>
    <w:multiLevelType w:val="singleLevel"/>
    <w:tmpl w:val="74C89A34"/>
    <w:lvl w:ilvl="0">
      <w:start w:val="1"/>
      <w:numFmt w:val="bullet"/>
      <w:lvlText w:val="-"/>
      <w:lvlJc w:val="left"/>
      <w:pPr>
        <w:tabs>
          <w:tab w:val="num" w:pos="360"/>
        </w:tabs>
        <w:ind w:left="360" w:hanging="360"/>
      </w:pPr>
      <w:rPr>
        <w:rFonts w:ascii="TimesNewRoman" w:hAnsi="TimesNewRoman" w:hint="default"/>
      </w:rPr>
    </w:lvl>
  </w:abstractNum>
  <w:abstractNum w:abstractNumId="50">
    <w:nsid w:val="4EE31311"/>
    <w:multiLevelType w:val="hybridMultilevel"/>
    <w:tmpl w:val="2D72F70E"/>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51">
    <w:nsid w:val="4F511FD5"/>
    <w:multiLevelType w:val="singleLevel"/>
    <w:tmpl w:val="040C0011"/>
    <w:lvl w:ilvl="0">
      <w:start w:val="1"/>
      <w:numFmt w:val="decimal"/>
      <w:lvlText w:val="%1)"/>
      <w:lvlJc w:val="left"/>
      <w:pPr>
        <w:tabs>
          <w:tab w:val="num" w:pos="360"/>
        </w:tabs>
        <w:ind w:left="360" w:hanging="360"/>
      </w:pPr>
      <w:rPr>
        <w:rFonts w:hint="default"/>
      </w:rPr>
    </w:lvl>
  </w:abstractNum>
  <w:abstractNum w:abstractNumId="52">
    <w:nsid w:val="525E294A"/>
    <w:multiLevelType w:val="hybridMultilevel"/>
    <w:tmpl w:val="84702466"/>
    <w:lvl w:ilvl="0">
      <w:start w:val="1"/>
      <w:numFmt w:val="bullet"/>
      <w:lvlText w:val=""/>
      <w:lvlJc w:val="left"/>
      <w:pPr>
        <w:tabs>
          <w:tab w:val="num" w:pos="720"/>
        </w:tabs>
        <w:ind w:left="720" w:hanging="360"/>
      </w:pPr>
      <w:rPr>
        <w:rFonts w:ascii="Wingdings" w:hAnsi="Wingdings"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53">
    <w:nsid w:val="52DD36F3"/>
    <w:multiLevelType w:val="hybridMultilevel"/>
    <w:tmpl w:val="89B6901A"/>
    <w:lvl w:ilvl="0">
      <w:start w:val="1"/>
      <w:numFmt w:val="bullet"/>
      <w:lvlText w:val=""/>
      <w:lvlJc w:val="left"/>
      <w:pPr>
        <w:tabs>
          <w:tab w:val="num" w:pos="720"/>
        </w:tabs>
        <w:ind w:left="720" w:hanging="360"/>
      </w:pPr>
      <w:rPr>
        <w:rFonts w:ascii="Wingdings" w:hAnsi="Wingdings"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54">
    <w:nsid w:val="53193D4E"/>
    <w:multiLevelType w:val="singleLevel"/>
    <w:tmpl w:val="27C886E8"/>
    <w:lvl w:ilvl="0">
      <w:start w:val="4"/>
      <w:numFmt w:val="decimal"/>
      <w:lvlText w:val="%1)"/>
      <w:lvlJc w:val="left"/>
      <w:pPr>
        <w:tabs>
          <w:tab w:val="num" w:pos="360"/>
        </w:tabs>
        <w:ind w:left="360" w:hanging="360"/>
      </w:pPr>
      <w:rPr>
        <w:rFonts w:hint="default"/>
        <w:b w:val="0"/>
        <w:sz w:val="24"/>
        <w:u w:val="single"/>
      </w:rPr>
    </w:lvl>
  </w:abstractNum>
  <w:abstractNum w:abstractNumId="55">
    <w:nsid w:val="55061AE7"/>
    <w:multiLevelType w:val="hybridMultilevel"/>
    <w:tmpl w:val="A2EE1214"/>
    <w:lvl w:ilvl="0">
      <w:start w:val="1"/>
      <w:numFmt w:val="bullet"/>
      <w:lvlText w:val=""/>
      <w:lvlJc w:val="left"/>
      <w:pPr>
        <w:tabs>
          <w:tab w:val="num" w:pos="720"/>
        </w:tabs>
        <w:ind w:left="720" w:hanging="360"/>
      </w:pPr>
      <w:rPr>
        <w:rFonts w:ascii="Wingdings" w:hAnsi="Wingdings"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56">
    <w:nsid w:val="557F42F0"/>
    <w:multiLevelType w:val="singleLevel"/>
    <w:tmpl w:val="613E2434"/>
    <w:lvl w:ilvl="0">
      <w:start w:val="1"/>
      <w:numFmt w:val="decimal"/>
      <w:lvlText w:val="%1."/>
      <w:legacy w:legacy="1" w:legacySpace="0" w:legacyIndent="1080"/>
      <w:lvlJc w:val="left"/>
      <w:pPr>
        <w:ind w:left="1800" w:hanging="1080"/>
      </w:pPr>
      <w:rPr>
        <w:rFonts w:ascii="Times New Roman" w:hAnsi="Times New Roman" w:hint="default"/>
      </w:rPr>
    </w:lvl>
  </w:abstractNum>
  <w:abstractNum w:abstractNumId="57">
    <w:nsid w:val="57661996"/>
    <w:multiLevelType w:val="multilevel"/>
    <w:tmpl w:val="8BEA24A2"/>
    <w:lvl w:ilvl="0">
      <w:start w:val="1"/>
      <w:numFmt w:val="decimal"/>
      <w:lvlText w:val="%1."/>
      <w:lvlJc w:val="left"/>
      <w:pPr>
        <w:tabs>
          <w:tab w:val="num" w:pos="360"/>
        </w:tabs>
        <w:ind w:left="360" w:hanging="360"/>
      </w:pPr>
      <w:rPr>
        <w:rFonts w:hint="default"/>
      </w:rPr>
    </w:lvl>
    <w:lvl w:ilvl="1">
      <w:start w:val="2"/>
      <w:numFmt w:val="decimal"/>
      <w:lvlText w:val="%1.%2."/>
      <w:lvlJc w:val="left"/>
      <w:pPr>
        <w:tabs>
          <w:tab w:val="num" w:pos="1080"/>
        </w:tabs>
        <w:ind w:left="1080" w:hanging="36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58">
    <w:nsid w:val="57AE08DD"/>
    <w:multiLevelType w:val="hybridMultilevel"/>
    <w:tmpl w:val="5866C170"/>
    <w:lvl w:ilvl="0">
      <w:start w:val="1"/>
      <w:numFmt w:val="bullet"/>
      <w:lvlText w:val=""/>
      <w:lvlJc w:val="left"/>
      <w:pPr>
        <w:tabs>
          <w:tab w:val="num" w:pos="720"/>
        </w:tabs>
        <w:ind w:left="720" w:hanging="360"/>
      </w:pPr>
      <w:rPr>
        <w:rFonts w:ascii="Wingdings" w:hAnsi="Wingdings"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59">
    <w:nsid w:val="57B44B2D"/>
    <w:multiLevelType w:val="hybridMultilevel"/>
    <w:tmpl w:val="631A3258"/>
    <w:lvl w:ilvl="0">
      <w:start w:val="1"/>
      <w:numFmt w:val="bullet"/>
      <w:lvlText w:val=""/>
      <w:lvlJc w:val="left"/>
      <w:pPr>
        <w:tabs>
          <w:tab w:val="num" w:pos="720"/>
        </w:tabs>
        <w:ind w:left="720" w:hanging="360"/>
      </w:pPr>
      <w:rPr>
        <w:rFonts w:ascii="Wingdings" w:hAnsi="Wingdings"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60">
    <w:nsid w:val="589225FD"/>
    <w:multiLevelType w:val="singleLevel"/>
    <w:tmpl w:val="28C0B182"/>
    <w:lvl w:ilvl="0">
      <w:numFmt w:val="bullet"/>
      <w:lvlText w:val="-"/>
      <w:lvlJc w:val="left"/>
      <w:pPr>
        <w:tabs>
          <w:tab w:val="num" w:pos="1068"/>
        </w:tabs>
        <w:ind w:left="1068" w:hanging="360"/>
      </w:pPr>
      <w:rPr>
        <w:rFonts w:hint="default"/>
      </w:rPr>
    </w:lvl>
  </w:abstractNum>
  <w:abstractNum w:abstractNumId="61">
    <w:nsid w:val="5A2C0D2A"/>
    <w:multiLevelType w:val="hybridMultilevel"/>
    <w:tmpl w:val="6E78920E"/>
    <w:lvl w:ilvl="0">
      <w:start w:val="1"/>
      <w:numFmt w:val="bullet"/>
      <w:lvlText w:val=""/>
      <w:lvlJc w:val="left"/>
      <w:pPr>
        <w:tabs>
          <w:tab w:val="num" w:pos="720"/>
        </w:tabs>
        <w:ind w:left="720" w:hanging="360"/>
      </w:pPr>
      <w:rPr>
        <w:rFonts w:ascii="Wingdings" w:hAnsi="Wingdings"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62">
    <w:nsid w:val="5B854296"/>
    <w:multiLevelType w:val="multilevel"/>
    <w:tmpl w:val="5B1CB6F4"/>
    <w:lvl w:ilvl="0">
      <w:start w:val="1"/>
      <w:numFmt w:val="decimal"/>
      <w:lvlText w:val="%1."/>
      <w:lvlJc w:val="left"/>
      <w:pPr>
        <w:tabs>
          <w:tab w:val="num" w:pos="420"/>
        </w:tabs>
        <w:ind w:left="420" w:hanging="420"/>
      </w:pPr>
      <w:rPr>
        <w:rFonts w:hint="default"/>
      </w:rPr>
    </w:lvl>
    <w:lvl w:ilvl="1">
      <w:start w:val="1"/>
      <w:numFmt w:val="decimal"/>
      <w:lvlText w:val="%1.%2."/>
      <w:lvlJc w:val="left"/>
      <w:pPr>
        <w:tabs>
          <w:tab w:val="num" w:pos="960"/>
        </w:tabs>
        <w:ind w:left="960" w:hanging="420"/>
      </w:pPr>
      <w:rPr>
        <w:rFonts w:hint="default"/>
      </w:rPr>
    </w:lvl>
    <w:lvl w:ilvl="2">
      <w:start w:val="1"/>
      <w:numFmt w:val="decimal"/>
      <w:lvlText w:val="%1.%2.%3."/>
      <w:lvlJc w:val="left"/>
      <w:pPr>
        <w:tabs>
          <w:tab w:val="num" w:pos="1800"/>
        </w:tabs>
        <w:ind w:left="1800" w:hanging="720"/>
      </w:pPr>
      <w:rPr>
        <w:rFonts w:hint="default"/>
      </w:rPr>
    </w:lvl>
    <w:lvl w:ilvl="3">
      <w:start w:val="1"/>
      <w:numFmt w:val="decimal"/>
      <w:lvlText w:val="%1.%2.%3.%4."/>
      <w:lvlJc w:val="left"/>
      <w:pPr>
        <w:tabs>
          <w:tab w:val="num" w:pos="2340"/>
        </w:tabs>
        <w:ind w:left="2340" w:hanging="720"/>
      </w:pPr>
      <w:rPr>
        <w:rFonts w:hint="default"/>
      </w:rPr>
    </w:lvl>
    <w:lvl w:ilvl="4">
      <w:start w:val="1"/>
      <w:numFmt w:val="decimal"/>
      <w:lvlText w:val="%1.%2.%3.%4.%5."/>
      <w:lvlJc w:val="left"/>
      <w:pPr>
        <w:tabs>
          <w:tab w:val="num" w:pos="3240"/>
        </w:tabs>
        <w:ind w:left="3240" w:hanging="1080"/>
      </w:pPr>
      <w:rPr>
        <w:rFonts w:hint="default"/>
      </w:rPr>
    </w:lvl>
    <w:lvl w:ilvl="5">
      <w:start w:val="1"/>
      <w:numFmt w:val="decimal"/>
      <w:lvlText w:val="%1.%2.%3.%4.%5.%6."/>
      <w:lvlJc w:val="left"/>
      <w:pPr>
        <w:tabs>
          <w:tab w:val="num" w:pos="3780"/>
        </w:tabs>
        <w:ind w:left="3780" w:hanging="1080"/>
      </w:pPr>
      <w:rPr>
        <w:rFonts w:hint="default"/>
      </w:rPr>
    </w:lvl>
    <w:lvl w:ilvl="6">
      <w:start w:val="1"/>
      <w:numFmt w:val="decimal"/>
      <w:lvlText w:val="%1.%2.%3.%4.%5.%6.%7."/>
      <w:lvlJc w:val="left"/>
      <w:pPr>
        <w:tabs>
          <w:tab w:val="num" w:pos="4680"/>
        </w:tabs>
        <w:ind w:left="4680" w:hanging="1440"/>
      </w:pPr>
      <w:rPr>
        <w:rFonts w:hint="default"/>
      </w:rPr>
    </w:lvl>
    <w:lvl w:ilvl="7">
      <w:start w:val="1"/>
      <w:numFmt w:val="decimal"/>
      <w:lvlText w:val="%1.%2.%3.%4.%5.%6.%7.%8."/>
      <w:lvlJc w:val="left"/>
      <w:pPr>
        <w:tabs>
          <w:tab w:val="num" w:pos="5220"/>
        </w:tabs>
        <w:ind w:left="5220" w:hanging="1440"/>
      </w:pPr>
      <w:rPr>
        <w:rFonts w:hint="default"/>
      </w:rPr>
    </w:lvl>
    <w:lvl w:ilvl="8">
      <w:start w:val="1"/>
      <w:numFmt w:val="decimal"/>
      <w:lvlText w:val="%1.%2.%3.%4.%5.%6.%7.%8.%9."/>
      <w:lvlJc w:val="left"/>
      <w:pPr>
        <w:tabs>
          <w:tab w:val="num" w:pos="6120"/>
        </w:tabs>
        <w:ind w:left="6120" w:hanging="1800"/>
      </w:pPr>
      <w:rPr>
        <w:rFonts w:hint="default"/>
      </w:rPr>
    </w:lvl>
  </w:abstractNum>
  <w:abstractNum w:abstractNumId="63">
    <w:nsid w:val="5BDD7B5E"/>
    <w:multiLevelType w:val="hybridMultilevel"/>
    <w:tmpl w:val="52E0BAE6"/>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64">
    <w:nsid w:val="5F035331"/>
    <w:multiLevelType w:val="hybridMultilevel"/>
    <w:tmpl w:val="7C8ED5F4"/>
    <w:lvl w:ilvl="0">
      <w:start w:val="1"/>
      <w:numFmt w:val="bullet"/>
      <w:lvlText w:val=""/>
      <w:lvlJc w:val="left"/>
      <w:pPr>
        <w:tabs>
          <w:tab w:val="num" w:pos="1260"/>
        </w:tabs>
        <w:ind w:left="1260" w:hanging="360"/>
      </w:pPr>
      <w:rPr>
        <w:rFonts w:ascii="Symbol" w:hAnsi="Symbol" w:hint="default"/>
      </w:rPr>
    </w:lvl>
    <w:lvl w:ilvl="1" w:tentative="1">
      <w:start w:val="1"/>
      <w:numFmt w:val="bullet"/>
      <w:lvlText w:val="o"/>
      <w:lvlJc w:val="left"/>
      <w:pPr>
        <w:tabs>
          <w:tab w:val="num" w:pos="1980"/>
        </w:tabs>
        <w:ind w:left="1980" w:hanging="360"/>
      </w:pPr>
      <w:rPr>
        <w:rFonts w:ascii="Courier New" w:hAnsi="Courier New" w:hint="default"/>
      </w:rPr>
    </w:lvl>
    <w:lvl w:ilvl="2" w:tentative="1">
      <w:start w:val="1"/>
      <w:numFmt w:val="bullet"/>
      <w:lvlText w:val=""/>
      <w:lvlJc w:val="left"/>
      <w:pPr>
        <w:tabs>
          <w:tab w:val="num" w:pos="2700"/>
        </w:tabs>
        <w:ind w:left="2700" w:hanging="360"/>
      </w:pPr>
      <w:rPr>
        <w:rFonts w:ascii="Wingdings" w:hAnsi="Wingdings" w:hint="default"/>
      </w:rPr>
    </w:lvl>
    <w:lvl w:ilvl="3" w:tentative="1">
      <w:start w:val="1"/>
      <w:numFmt w:val="bullet"/>
      <w:lvlText w:val=""/>
      <w:lvlJc w:val="left"/>
      <w:pPr>
        <w:tabs>
          <w:tab w:val="num" w:pos="3420"/>
        </w:tabs>
        <w:ind w:left="3420" w:hanging="360"/>
      </w:pPr>
      <w:rPr>
        <w:rFonts w:ascii="Symbol" w:hAnsi="Symbol" w:hint="default"/>
      </w:rPr>
    </w:lvl>
    <w:lvl w:ilvl="4" w:tentative="1">
      <w:start w:val="1"/>
      <w:numFmt w:val="bullet"/>
      <w:lvlText w:val="o"/>
      <w:lvlJc w:val="left"/>
      <w:pPr>
        <w:tabs>
          <w:tab w:val="num" w:pos="4140"/>
        </w:tabs>
        <w:ind w:left="4140" w:hanging="360"/>
      </w:pPr>
      <w:rPr>
        <w:rFonts w:ascii="Courier New" w:hAnsi="Courier New" w:hint="default"/>
      </w:rPr>
    </w:lvl>
    <w:lvl w:ilvl="5" w:tentative="1">
      <w:start w:val="1"/>
      <w:numFmt w:val="bullet"/>
      <w:lvlText w:val=""/>
      <w:lvlJc w:val="left"/>
      <w:pPr>
        <w:tabs>
          <w:tab w:val="num" w:pos="4860"/>
        </w:tabs>
        <w:ind w:left="4860" w:hanging="360"/>
      </w:pPr>
      <w:rPr>
        <w:rFonts w:ascii="Wingdings" w:hAnsi="Wingdings" w:hint="default"/>
      </w:rPr>
    </w:lvl>
    <w:lvl w:ilvl="6" w:tentative="1">
      <w:start w:val="1"/>
      <w:numFmt w:val="bullet"/>
      <w:lvlText w:val=""/>
      <w:lvlJc w:val="left"/>
      <w:pPr>
        <w:tabs>
          <w:tab w:val="num" w:pos="5580"/>
        </w:tabs>
        <w:ind w:left="5580" w:hanging="360"/>
      </w:pPr>
      <w:rPr>
        <w:rFonts w:ascii="Symbol" w:hAnsi="Symbol" w:hint="default"/>
      </w:rPr>
    </w:lvl>
    <w:lvl w:ilvl="7" w:tentative="1">
      <w:start w:val="1"/>
      <w:numFmt w:val="bullet"/>
      <w:lvlText w:val="o"/>
      <w:lvlJc w:val="left"/>
      <w:pPr>
        <w:tabs>
          <w:tab w:val="num" w:pos="6300"/>
        </w:tabs>
        <w:ind w:left="6300" w:hanging="360"/>
      </w:pPr>
      <w:rPr>
        <w:rFonts w:ascii="Courier New" w:hAnsi="Courier New" w:hint="default"/>
      </w:rPr>
    </w:lvl>
    <w:lvl w:ilvl="8" w:tentative="1">
      <w:start w:val="1"/>
      <w:numFmt w:val="bullet"/>
      <w:lvlText w:val=""/>
      <w:lvlJc w:val="left"/>
      <w:pPr>
        <w:tabs>
          <w:tab w:val="num" w:pos="7020"/>
        </w:tabs>
        <w:ind w:left="7020" w:hanging="360"/>
      </w:pPr>
      <w:rPr>
        <w:rFonts w:ascii="Wingdings" w:hAnsi="Wingdings" w:hint="default"/>
      </w:rPr>
    </w:lvl>
  </w:abstractNum>
  <w:abstractNum w:abstractNumId="65">
    <w:nsid w:val="602A0687"/>
    <w:multiLevelType w:val="singleLevel"/>
    <w:tmpl w:val="258848EC"/>
    <w:lvl w:ilvl="0">
      <w:start w:val="1"/>
      <w:numFmt w:val="upperLetter"/>
      <w:lvlText w:val="%1)"/>
      <w:lvlJc w:val="left"/>
      <w:pPr>
        <w:tabs>
          <w:tab w:val="num" w:pos="360"/>
        </w:tabs>
        <w:ind w:left="360" w:hanging="360"/>
      </w:pPr>
      <w:rPr>
        <w:rFonts w:hint="default"/>
      </w:rPr>
    </w:lvl>
  </w:abstractNum>
  <w:abstractNum w:abstractNumId="66">
    <w:nsid w:val="61EC5C0C"/>
    <w:multiLevelType w:val="singleLevel"/>
    <w:tmpl w:val="23D88F48"/>
    <w:lvl w:ilvl="0">
      <w:start w:val="4"/>
      <w:numFmt w:val="bullet"/>
      <w:lvlText w:val="-"/>
      <w:lvlJc w:val="left"/>
      <w:pPr>
        <w:tabs>
          <w:tab w:val="num" w:pos="502"/>
        </w:tabs>
        <w:ind w:left="502" w:hanging="360"/>
      </w:pPr>
      <w:rPr>
        <w:rFonts w:hint="default"/>
      </w:rPr>
    </w:lvl>
  </w:abstractNum>
  <w:abstractNum w:abstractNumId="67">
    <w:nsid w:val="63FC0318"/>
    <w:multiLevelType w:val="hybridMultilevel"/>
    <w:tmpl w:val="B0AA1976"/>
    <w:lvl w:ilvl="0">
      <w:start w:val="1"/>
      <w:numFmt w:val="bullet"/>
      <w:lvlText w:val=""/>
      <w:lvlJc w:val="left"/>
      <w:pPr>
        <w:tabs>
          <w:tab w:val="num" w:pos="720"/>
        </w:tabs>
        <w:ind w:left="720" w:hanging="360"/>
      </w:pPr>
      <w:rPr>
        <w:rFonts w:ascii="Wingdings" w:hAnsi="Wingdings"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68">
    <w:nsid w:val="64915C67"/>
    <w:multiLevelType w:val="singleLevel"/>
    <w:tmpl w:val="74626DA2"/>
    <w:lvl w:ilvl="0">
      <w:start w:val="4"/>
      <w:numFmt w:val="bullet"/>
      <w:lvlText w:val="-"/>
      <w:lvlJc w:val="left"/>
      <w:pPr>
        <w:tabs>
          <w:tab w:val="num" w:pos="360"/>
        </w:tabs>
        <w:ind w:left="360" w:hanging="360"/>
      </w:pPr>
      <w:rPr>
        <w:rFonts w:hint="default"/>
      </w:rPr>
    </w:lvl>
  </w:abstractNum>
  <w:abstractNum w:abstractNumId="69">
    <w:nsid w:val="64A60CC7"/>
    <w:multiLevelType w:val="multilevel"/>
    <w:tmpl w:val="7F88F3AA"/>
    <w:lvl w:ilvl="0">
      <w:start w:val="1"/>
      <w:numFmt w:val="lowerLetter"/>
      <w:lvlText w:val="%1)"/>
      <w:lvlJc w:val="left"/>
      <w:rPr>
        <w:rFonts w:ascii="Times New Roman" w:hAnsi="Times New Roman" w:cs="Times New Roman"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0">
    <w:nsid w:val="656C1B3F"/>
    <w:multiLevelType w:val="singleLevel"/>
    <w:tmpl w:val="913297BC"/>
    <w:lvl w:ilvl="0">
      <w:start w:val="1"/>
      <w:numFmt w:val="decimal"/>
      <w:lvlText w:val="%1."/>
      <w:lvlJc w:val="left"/>
      <w:rPr>
        <w:rFonts w:ascii="Times New Roman" w:hAnsi="Times New Roman" w:cs="Times New Roman" w:hint="default"/>
      </w:rPr>
    </w:lvl>
  </w:abstractNum>
  <w:abstractNum w:abstractNumId="71">
    <w:nsid w:val="66EE74D3"/>
    <w:multiLevelType w:val="singleLevel"/>
    <w:tmpl w:val="C53AF222"/>
    <w:lvl w:ilvl="0">
      <w:start w:val="1"/>
      <w:numFmt w:val="bullet"/>
      <w:lvlText w:val=""/>
      <w:lvlJc w:val="left"/>
      <w:pPr>
        <w:tabs>
          <w:tab w:val="num" w:pos="360"/>
        </w:tabs>
        <w:ind w:left="360" w:hanging="360"/>
      </w:pPr>
      <w:rPr>
        <w:rFonts w:ascii="Symbol" w:hAnsi="Symbol" w:hint="default"/>
      </w:rPr>
    </w:lvl>
  </w:abstractNum>
  <w:abstractNum w:abstractNumId="72">
    <w:nsid w:val="66F105D3"/>
    <w:multiLevelType w:val="hybridMultilevel"/>
    <w:tmpl w:val="431AAA3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73">
    <w:nsid w:val="69A3508D"/>
    <w:multiLevelType w:val="singleLevel"/>
    <w:tmpl w:val="040C0011"/>
    <w:lvl w:ilvl="0">
      <w:start w:val="1"/>
      <w:numFmt w:val="decimal"/>
      <w:lvlText w:val="%1)"/>
      <w:lvlJc w:val="left"/>
      <w:pPr>
        <w:tabs>
          <w:tab w:val="num" w:pos="360"/>
        </w:tabs>
        <w:ind w:left="360" w:hanging="360"/>
      </w:pPr>
      <w:rPr>
        <w:rFonts w:hint="default"/>
      </w:rPr>
    </w:lvl>
  </w:abstractNum>
  <w:abstractNum w:abstractNumId="74">
    <w:nsid w:val="71650AFC"/>
    <w:multiLevelType w:val="multilevel"/>
    <w:tmpl w:val="6206E974"/>
    <w:lvl w:ilvl="0">
      <w:numFmt w:val="bullet"/>
      <w:lvlText w:val=""/>
      <w:lvlJc w:val="left"/>
      <w:pPr>
        <w:tabs>
          <w:tab w:val="num" w:pos="720"/>
        </w:tabs>
        <w:ind w:left="720" w:hanging="360"/>
      </w:pPr>
      <w:rPr>
        <w:rFonts w:ascii="Symbol" w:eastAsia="Times New Roman" w:hAnsi="Symbol" w:cs="Times New Roman"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75">
    <w:nsid w:val="75AA3FA4"/>
    <w:multiLevelType w:val="hybridMultilevel"/>
    <w:tmpl w:val="673847D4"/>
    <w:lvl w:ilvl="0">
      <w:start w:val="1"/>
      <w:numFmt w:val="bullet"/>
      <w:lvlText w:val=""/>
      <w:lvlJc w:val="left"/>
      <w:pPr>
        <w:tabs>
          <w:tab w:val="num" w:pos="773"/>
        </w:tabs>
        <w:ind w:left="773" w:hanging="360"/>
      </w:pPr>
      <w:rPr>
        <w:rFonts w:ascii="Symbol" w:hAnsi="Symbol" w:cs="Symbol" w:hint="default"/>
      </w:rPr>
    </w:lvl>
    <w:lvl w:ilvl="1">
      <w:start w:val="1"/>
      <w:numFmt w:val="bullet"/>
      <w:lvlText w:val="o"/>
      <w:lvlJc w:val="left"/>
      <w:pPr>
        <w:tabs>
          <w:tab w:val="num" w:pos="1493"/>
        </w:tabs>
        <w:ind w:left="1493" w:hanging="360"/>
      </w:pPr>
      <w:rPr>
        <w:rFonts w:ascii="Courier New" w:hAnsi="Courier New" w:cs="Courier New" w:hint="default"/>
      </w:rPr>
    </w:lvl>
    <w:lvl w:ilvl="2">
      <w:start w:val="1"/>
      <w:numFmt w:val="bullet"/>
      <w:lvlText w:val=""/>
      <w:lvlJc w:val="left"/>
      <w:pPr>
        <w:tabs>
          <w:tab w:val="num" w:pos="2213"/>
        </w:tabs>
        <w:ind w:left="2213" w:hanging="360"/>
      </w:pPr>
      <w:rPr>
        <w:rFonts w:ascii="Wingdings" w:hAnsi="Wingdings" w:cs="Wingdings" w:hint="default"/>
      </w:rPr>
    </w:lvl>
    <w:lvl w:ilvl="3">
      <w:start w:val="1"/>
      <w:numFmt w:val="bullet"/>
      <w:lvlText w:val=""/>
      <w:lvlJc w:val="left"/>
      <w:pPr>
        <w:tabs>
          <w:tab w:val="num" w:pos="2933"/>
        </w:tabs>
        <w:ind w:left="2933" w:hanging="360"/>
      </w:pPr>
      <w:rPr>
        <w:rFonts w:ascii="Symbol" w:hAnsi="Symbol" w:cs="Symbol" w:hint="default"/>
      </w:rPr>
    </w:lvl>
    <w:lvl w:ilvl="4">
      <w:start w:val="1"/>
      <w:numFmt w:val="bullet"/>
      <w:lvlText w:val="o"/>
      <w:lvlJc w:val="left"/>
      <w:pPr>
        <w:tabs>
          <w:tab w:val="num" w:pos="3653"/>
        </w:tabs>
        <w:ind w:left="3653" w:hanging="360"/>
      </w:pPr>
      <w:rPr>
        <w:rFonts w:ascii="Courier New" w:hAnsi="Courier New" w:cs="Courier New" w:hint="default"/>
      </w:rPr>
    </w:lvl>
    <w:lvl w:ilvl="5">
      <w:start w:val="1"/>
      <w:numFmt w:val="bullet"/>
      <w:lvlText w:val=""/>
      <w:lvlJc w:val="left"/>
      <w:pPr>
        <w:tabs>
          <w:tab w:val="num" w:pos="4373"/>
        </w:tabs>
        <w:ind w:left="4373" w:hanging="360"/>
      </w:pPr>
      <w:rPr>
        <w:rFonts w:ascii="Wingdings" w:hAnsi="Wingdings" w:cs="Wingdings" w:hint="default"/>
      </w:rPr>
    </w:lvl>
    <w:lvl w:ilvl="6">
      <w:start w:val="1"/>
      <w:numFmt w:val="bullet"/>
      <w:lvlText w:val=""/>
      <w:lvlJc w:val="left"/>
      <w:pPr>
        <w:tabs>
          <w:tab w:val="num" w:pos="5093"/>
        </w:tabs>
        <w:ind w:left="5093" w:hanging="360"/>
      </w:pPr>
      <w:rPr>
        <w:rFonts w:ascii="Symbol" w:hAnsi="Symbol" w:cs="Symbol" w:hint="default"/>
      </w:rPr>
    </w:lvl>
    <w:lvl w:ilvl="7">
      <w:start w:val="1"/>
      <w:numFmt w:val="bullet"/>
      <w:lvlText w:val="o"/>
      <w:lvlJc w:val="left"/>
      <w:pPr>
        <w:tabs>
          <w:tab w:val="num" w:pos="5813"/>
        </w:tabs>
        <w:ind w:left="5813" w:hanging="360"/>
      </w:pPr>
      <w:rPr>
        <w:rFonts w:ascii="Courier New" w:hAnsi="Courier New" w:cs="Courier New" w:hint="default"/>
      </w:rPr>
    </w:lvl>
    <w:lvl w:ilvl="8">
      <w:start w:val="1"/>
      <w:numFmt w:val="bullet"/>
      <w:lvlText w:val=""/>
      <w:lvlJc w:val="left"/>
      <w:pPr>
        <w:tabs>
          <w:tab w:val="num" w:pos="6533"/>
        </w:tabs>
        <w:ind w:left="6533" w:hanging="360"/>
      </w:pPr>
      <w:rPr>
        <w:rFonts w:ascii="Wingdings" w:hAnsi="Wingdings" w:cs="Wingdings" w:hint="default"/>
      </w:rPr>
    </w:lvl>
  </w:abstractNum>
  <w:abstractNum w:abstractNumId="76">
    <w:nsid w:val="76212E4C"/>
    <w:multiLevelType w:val="hybridMultilevel"/>
    <w:tmpl w:val="8772B642"/>
    <w:lvl w:ilvl="0">
      <w:start w:val="1"/>
      <w:numFmt w:val="bullet"/>
      <w:lvlText w:val=""/>
      <w:lvlJc w:val="left"/>
      <w:pPr>
        <w:tabs>
          <w:tab w:val="num" w:pos="720"/>
        </w:tabs>
        <w:ind w:left="720" w:hanging="360"/>
      </w:pPr>
      <w:rPr>
        <w:rFonts w:ascii="Wingdings" w:hAnsi="Wingdings"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77">
    <w:nsid w:val="7987064F"/>
    <w:multiLevelType w:val="hybridMultilevel"/>
    <w:tmpl w:val="45CE5E36"/>
    <w:lvl w:ilvl="0">
      <w:start w:val="1"/>
      <w:numFmt w:val="bullet"/>
      <w:lvlText w:val=""/>
      <w:lvlJc w:val="left"/>
      <w:pPr>
        <w:tabs>
          <w:tab w:val="num" w:pos="1260"/>
        </w:tabs>
        <w:ind w:left="1260" w:hanging="360"/>
      </w:pPr>
      <w:rPr>
        <w:rFonts w:ascii="Symbol" w:hAnsi="Symbol" w:hint="default"/>
      </w:rPr>
    </w:lvl>
    <w:lvl w:ilvl="1" w:tentative="1">
      <w:start w:val="1"/>
      <w:numFmt w:val="bullet"/>
      <w:lvlText w:val="o"/>
      <w:lvlJc w:val="left"/>
      <w:pPr>
        <w:tabs>
          <w:tab w:val="num" w:pos="1980"/>
        </w:tabs>
        <w:ind w:left="1980" w:hanging="360"/>
      </w:pPr>
      <w:rPr>
        <w:rFonts w:ascii="Courier New" w:hAnsi="Courier New" w:hint="default"/>
      </w:rPr>
    </w:lvl>
    <w:lvl w:ilvl="2" w:tentative="1">
      <w:start w:val="1"/>
      <w:numFmt w:val="bullet"/>
      <w:lvlText w:val=""/>
      <w:lvlJc w:val="left"/>
      <w:pPr>
        <w:tabs>
          <w:tab w:val="num" w:pos="2700"/>
        </w:tabs>
        <w:ind w:left="2700" w:hanging="360"/>
      </w:pPr>
      <w:rPr>
        <w:rFonts w:ascii="Wingdings" w:hAnsi="Wingdings" w:hint="default"/>
      </w:rPr>
    </w:lvl>
    <w:lvl w:ilvl="3" w:tentative="1">
      <w:start w:val="1"/>
      <w:numFmt w:val="bullet"/>
      <w:lvlText w:val=""/>
      <w:lvlJc w:val="left"/>
      <w:pPr>
        <w:tabs>
          <w:tab w:val="num" w:pos="3420"/>
        </w:tabs>
        <w:ind w:left="3420" w:hanging="360"/>
      </w:pPr>
      <w:rPr>
        <w:rFonts w:ascii="Symbol" w:hAnsi="Symbol" w:hint="default"/>
      </w:rPr>
    </w:lvl>
    <w:lvl w:ilvl="4" w:tentative="1">
      <w:start w:val="1"/>
      <w:numFmt w:val="bullet"/>
      <w:lvlText w:val="o"/>
      <w:lvlJc w:val="left"/>
      <w:pPr>
        <w:tabs>
          <w:tab w:val="num" w:pos="4140"/>
        </w:tabs>
        <w:ind w:left="4140" w:hanging="360"/>
      </w:pPr>
      <w:rPr>
        <w:rFonts w:ascii="Courier New" w:hAnsi="Courier New" w:hint="default"/>
      </w:rPr>
    </w:lvl>
    <w:lvl w:ilvl="5" w:tentative="1">
      <w:start w:val="1"/>
      <w:numFmt w:val="bullet"/>
      <w:lvlText w:val=""/>
      <w:lvlJc w:val="left"/>
      <w:pPr>
        <w:tabs>
          <w:tab w:val="num" w:pos="4860"/>
        </w:tabs>
        <w:ind w:left="4860" w:hanging="360"/>
      </w:pPr>
      <w:rPr>
        <w:rFonts w:ascii="Wingdings" w:hAnsi="Wingdings" w:hint="default"/>
      </w:rPr>
    </w:lvl>
    <w:lvl w:ilvl="6" w:tentative="1">
      <w:start w:val="1"/>
      <w:numFmt w:val="bullet"/>
      <w:lvlText w:val=""/>
      <w:lvlJc w:val="left"/>
      <w:pPr>
        <w:tabs>
          <w:tab w:val="num" w:pos="5580"/>
        </w:tabs>
        <w:ind w:left="5580" w:hanging="360"/>
      </w:pPr>
      <w:rPr>
        <w:rFonts w:ascii="Symbol" w:hAnsi="Symbol" w:hint="default"/>
      </w:rPr>
    </w:lvl>
    <w:lvl w:ilvl="7" w:tentative="1">
      <w:start w:val="1"/>
      <w:numFmt w:val="bullet"/>
      <w:lvlText w:val="o"/>
      <w:lvlJc w:val="left"/>
      <w:pPr>
        <w:tabs>
          <w:tab w:val="num" w:pos="6300"/>
        </w:tabs>
        <w:ind w:left="6300" w:hanging="360"/>
      </w:pPr>
      <w:rPr>
        <w:rFonts w:ascii="Courier New" w:hAnsi="Courier New" w:hint="default"/>
      </w:rPr>
    </w:lvl>
    <w:lvl w:ilvl="8" w:tentative="1">
      <w:start w:val="1"/>
      <w:numFmt w:val="bullet"/>
      <w:lvlText w:val=""/>
      <w:lvlJc w:val="left"/>
      <w:pPr>
        <w:tabs>
          <w:tab w:val="num" w:pos="7020"/>
        </w:tabs>
        <w:ind w:left="7020" w:hanging="360"/>
      </w:pPr>
      <w:rPr>
        <w:rFonts w:ascii="Wingdings" w:hAnsi="Wingdings" w:hint="default"/>
      </w:rPr>
    </w:lvl>
  </w:abstractNum>
  <w:abstractNum w:abstractNumId="78">
    <w:nsid w:val="79F21AA9"/>
    <w:multiLevelType w:val="singleLevel"/>
    <w:tmpl w:val="457E5086"/>
    <w:lvl w:ilvl="0">
      <w:start w:val="1"/>
      <w:numFmt w:val="upperRoman"/>
      <w:pStyle w:val="Heading7"/>
      <w:lvlText w:val="%1."/>
      <w:lvlJc w:val="left"/>
      <w:pPr>
        <w:tabs>
          <w:tab w:val="num" w:pos="720"/>
        </w:tabs>
        <w:ind w:left="720" w:hanging="720"/>
      </w:pPr>
      <w:rPr>
        <w:rFonts w:hint="default"/>
      </w:rPr>
    </w:lvl>
  </w:abstractNum>
  <w:abstractNum w:abstractNumId="79">
    <w:nsid w:val="7A8D3699"/>
    <w:multiLevelType w:val="multilevel"/>
    <w:tmpl w:val="E824650E"/>
    <w:lvl w:ilvl="0">
      <w:start w:val="1"/>
      <w:numFmt w:val="upperRoman"/>
      <w:lvlText w:val="%1."/>
      <w:lvlJc w:val="right"/>
      <w:pPr>
        <w:tabs>
          <w:tab w:val="num" w:pos="720"/>
        </w:tabs>
        <w:ind w:left="720" w:hanging="180"/>
      </w:pPr>
    </w:lvl>
    <w:lvl w:ilvl="1">
      <w:start w:val="1998"/>
      <w:numFmt w:val="decimal"/>
      <w:lvlText w:val="(%2"/>
      <w:lvlJc w:val="left"/>
      <w:pPr>
        <w:tabs>
          <w:tab w:val="num" w:pos="1755"/>
        </w:tabs>
        <w:ind w:left="1755" w:hanging="675"/>
      </w:pPr>
      <w:rPr>
        <w:rFonts w:hint="default"/>
      </w:rPr>
    </w:lvl>
    <w:lvl w:ilvl="2">
      <w:start w:val="15"/>
      <w:numFmt w:val="bullet"/>
      <w:lvlText w:val="-"/>
      <w:lvlJc w:val="left"/>
      <w:pPr>
        <w:tabs>
          <w:tab w:val="num" w:pos="2340"/>
        </w:tabs>
        <w:ind w:left="2340" w:hanging="360"/>
      </w:pPr>
      <w:rPr>
        <w:rFonts w:ascii="Times New Roman" w:eastAsia="Times New Roman" w:hAnsi="Times New Roman" w:cs="Times New Roman" w:hint="default"/>
      </w:rPr>
    </w:lvl>
    <w:lvl w:ilvl="3">
      <w:start w:val="1"/>
      <w:numFmt w:val="lowerLetter"/>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80">
    <w:nsid w:val="7BA9556B"/>
    <w:multiLevelType w:val="hybridMultilevel"/>
    <w:tmpl w:val="565A4F30"/>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81">
    <w:nsid w:val="7BB77027"/>
    <w:multiLevelType w:val="hybridMultilevel"/>
    <w:tmpl w:val="BA98098A"/>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82">
    <w:nsid w:val="7CFF1446"/>
    <w:multiLevelType w:val="hybridMultilevel"/>
    <w:tmpl w:val="0CFA3BE8"/>
    <w:lvl w:ilvl="0">
      <w:start w:val="1"/>
      <w:numFmt w:val="bullet"/>
      <w:lvlText w:val=""/>
      <w:lvlJc w:val="left"/>
      <w:pPr>
        <w:tabs>
          <w:tab w:val="num" w:pos="773"/>
        </w:tabs>
        <w:ind w:left="773" w:hanging="360"/>
      </w:pPr>
      <w:rPr>
        <w:rFonts w:ascii="Symbol" w:hAnsi="Symbol" w:cs="Symbol" w:hint="default"/>
      </w:rPr>
    </w:lvl>
    <w:lvl w:ilvl="1">
      <w:start w:val="1"/>
      <w:numFmt w:val="bullet"/>
      <w:lvlText w:val="o"/>
      <w:lvlJc w:val="left"/>
      <w:pPr>
        <w:tabs>
          <w:tab w:val="num" w:pos="1493"/>
        </w:tabs>
        <w:ind w:left="1493" w:hanging="360"/>
      </w:pPr>
      <w:rPr>
        <w:rFonts w:ascii="Courier New" w:hAnsi="Courier New" w:cs="Courier New" w:hint="default"/>
      </w:rPr>
    </w:lvl>
    <w:lvl w:ilvl="2">
      <w:start w:val="1"/>
      <w:numFmt w:val="bullet"/>
      <w:lvlText w:val=""/>
      <w:lvlJc w:val="left"/>
      <w:pPr>
        <w:tabs>
          <w:tab w:val="num" w:pos="2213"/>
        </w:tabs>
        <w:ind w:left="2213" w:hanging="360"/>
      </w:pPr>
      <w:rPr>
        <w:rFonts w:ascii="Wingdings" w:hAnsi="Wingdings" w:cs="Wingdings" w:hint="default"/>
      </w:rPr>
    </w:lvl>
    <w:lvl w:ilvl="3">
      <w:start w:val="1"/>
      <w:numFmt w:val="bullet"/>
      <w:lvlText w:val=""/>
      <w:lvlJc w:val="left"/>
      <w:pPr>
        <w:tabs>
          <w:tab w:val="num" w:pos="2933"/>
        </w:tabs>
        <w:ind w:left="2933" w:hanging="360"/>
      </w:pPr>
      <w:rPr>
        <w:rFonts w:ascii="Symbol" w:hAnsi="Symbol" w:cs="Symbol" w:hint="default"/>
      </w:rPr>
    </w:lvl>
    <w:lvl w:ilvl="4">
      <w:start w:val="1"/>
      <w:numFmt w:val="bullet"/>
      <w:lvlText w:val="o"/>
      <w:lvlJc w:val="left"/>
      <w:pPr>
        <w:tabs>
          <w:tab w:val="num" w:pos="3653"/>
        </w:tabs>
        <w:ind w:left="3653" w:hanging="360"/>
      </w:pPr>
      <w:rPr>
        <w:rFonts w:ascii="Courier New" w:hAnsi="Courier New" w:cs="Courier New" w:hint="default"/>
      </w:rPr>
    </w:lvl>
    <w:lvl w:ilvl="5">
      <w:start w:val="1"/>
      <w:numFmt w:val="bullet"/>
      <w:lvlText w:val=""/>
      <w:lvlJc w:val="left"/>
      <w:pPr>
        <w:tabs>
          <w:tab w:val="num" w:pos="4373"/>
        </w:tabs>
        <w:ind w:left="4373" w:hanging="360"/>
      </w:pPr>
      <w:rPr>
        <w:rFonts w:ascii="Wingdings" w:hAnsi="Wingdings" w:cs="Wingdings" w:hint="default"/>
      </w:rPr>
    </w:lvl>
    <w:lvl w:ilvl="6">
      <w:start w:val="1"/>
      <w:numFmt w:val="bullet"/>
      <w:lvlText w:val=""/>
      <w:lvlJc w:val="left"/>
      <w:pPr>
        <w:tabs>
          <w:tab w:val="num" w:pos="5093"/>
        </w:tabs>
        <w:ind w:left="5093" w:hanging="360"/>
      </w:pPr>
      <w:rPr>
        <w:rFonts w:ascii="Symbol" w:hAnsi="Symbol" w:cs="Symbol" w:hint="default"/>
      </w:rPr>
    </w:lvl>
    <w:lvl w:ilvl="7">
      <w:start w:val="1"/>
      <w:numFmt w:val="bullet"/>
      <w:lvlText w:val="o"/>
      <w:lvlJc w:val="left"/>
      <w:pPr>
        <w:tabs>
          <w:tab w:val="num" w:pos="5813"/>
        </w:tabs>
        <w:ind w:left="5813" w:hanging="360"/>
      </w:pPr>
      <w:rPr>
        <w:rFonts w:ascii="Courier New" w:hAnsi="Courier New" w:cs="Courier New" w:hint="default"/>
      </w:rPr>
    </w:lvl>
    <w:lvl w:ilvl="8">
      <w:start w:val="1"/>
      <w:numFmt w:val="bullet"/>
      <w:lvlText w:val=""/>
      <w:lvlJc w:val="left"/>
      <w:pPr>
        <w:tabs>
          <w:tab w:val="num" w:pos="6533"/>
        </w:tabs>
        <w:ind w:left="6533" w:hanging="360"/>
      </w:pPr>
      <w:rPr>
        <w:rFonts w:ascii="Wingdings" w:hAnsi="Wingdings" w:cs="Wingdings" w:hint="default"/>
      </w:rPr>
    </w:lvl>
  </w:abstractNum>
  <w:num w:numId="1">
    <w:abstractNumId w:val="29"/>
  </w:num>
  <w:num w:numId="2">
    <w:abstractNumId w:val="4"/>
  </w:num>
  <w:num w:numId="3">
    <w:abstractNumId w:val="4"/>
  </w:num>
  <w:num w:numId="4">
    <w:abstractNumId w:val="3"/>
  </w:num>
  <w:num w:numId="5">
    <w:abstractNumId w:val="3"/>
  </w:num>
  <w:num w:numId="6">
    <w:abstractNumId w:val="2"/>
  </w:num>
  <w:num w:numId="7">
    <w:abstractNumId w:val="2"/>
  </w:num>
  <w:num w:numId="8">
    <w:abstractNumId w:val="1"/>
  </w:num>
  <w:num w:numId="9">
    <w:abstractNumId w:val="1"/>
  </w:num>
  <w:num w:numId="10">
    <w:abstractNumId w:val="0"/>
  </w:num>
  <w:num w:numId="11">
    <w:abstractNumId w:val="0"/>
  </w:num>
  <w:num w:numId="12">
    <w:abstractNumId w:val="56"/>
  </w:num>
  <w:num w:numId="13">
    <w:abstractNumId w:val="56"/>
    <w:lvlOverride w:ilvl="0">
      <w:lvl w:ilvl="0">
        <w:start w:val="2"/>
        <w:numFmt w:val="decimal"/>
        <w:lvlText w:val="%1."/>
        <w:legacy w:legacy="1" w:legacySpace="0" w:legacyIndent="1080"/>
        <w:lvlJc w:val="left"/>
        <w:pPr>
          <w:ind w:left="1800" w:hanging="1080"/>
        </w:pPr>
        <w:rPr>
          <w:rFonts w:ascii="Times New Roman" w:hAnsi="Times New Roman" w:hint="default"/>
        </w:rPr>
      </w:lvl>
    </w:lvlOverride>
  </w:num>
  <w:num w:numId="14">
    <w:abstractNumId w:val="21"/>
  </w:num>
  <w:num w:numId="15">
    <w:abstractNumId w:val="21"/>
    <w:lvlOverride w:ilvl="0">
      <w:lvl w:ilvl="0">
        <w:start w:val="2"/>
        <w:numFmt w:val="decimal"/>
        <w:lvlText w:val="%1."/>
        <w:legacy w:legacy="1" w:legacySpace="0" w:legacyIndent="420"/>
        <w:lvlJc w:val="left"/>
        <w:pPr>
          <w:ind w:left="1140" w:hanging="420"/>
        </w:pPr>
        <w:rPr>
          <w:rFonts w:ascii="Times New Roman" w:hAnsi="Times New Roman" w:hint="default"/>
        </w:rPr>
      </w:lvl>
    </w:lvlOverride>
  </w:num>
  <w:num w:numId="16">
    <w:abstractNumId w:val="5"/>
    <w:lvlOverride w:ilvl="0">
      <w:lvl w:ilvl="0">
        <w:start w:val="2"/>
        <w:numFmt w:val="bullet"/>
        <w:lvlText w:val=""/>
        <w:legacy w:legacy="1" w:legacySpace="0" w:legacyIndent="1080"/>
        <w:lvlJc w:val="left"/>
        <w:pPr>
          <w:ind w:left="1800" w:hanging="1080"/>
        </w:pPr>
        <w:rPr>
          <w:rFonts w:ascii="Symbol" w:hAnsi="Symbol" w:hint="default"/>
        </w:rPr>
      </w:lvl>
    </w:lvlOverride>
  </w:num>
  <w:num w:numId="17">
    <w:abstractNumId w:val="5"/>
    <w:lvlOverride w:ilvl="0">
      <w:lvl w:ilvl="0">
        <w:start w:val="1"/>
        <w:numFmt w:val="bullet"/>
        <w:lvlText w:val=""/>
        <w:legacy w:legacy="1" w:legacySpace="0" w:legacyIndent="360"/>
        <w:lvlJc w:val="left"/>
        <w:pPr>
          <w:ind w:left="1080" w:hanging="360"/>
        </w:pPr>
        <w:rPr>
          <w:rFonts w:ascii="Symbol" w:hAnsi="Symbol" w:hint="default"/>
        </w:rPr>
      </w:lvl>
    </w:lvlOverride>
  </w:num>
  <w:num w:numId="18">
    <w:abstractNumId w:val="5"/>
    <w:lvlOverride w:ilvl="0">
      <w:lvl w:ilvl="0">
        <w:numFmt w:val="bullet"/>
        <w:lvlText w:val="-"/>
        <w:legacy w:legacy="1" w:legacySpace="0" w:legacyIndent="360"/>
        <w:lvlJc w:val="left"/>
        <w:pPr>
          <w:ind w:left="360" w:hanging="360"/>
        </w:pPr>
        <w:rPr>
          <w:rFonts w:ascii="Times New Roman" w:hAnsi="Times New Roman" w:hint="default"/>
        </w:rPr>
      </w:lvl>
    </w:lvlOverride>
  </w:num>
  <w:num w:numId="19">
    <w:abstractNumId w:val="5"/>
    <w:lvlOverride w:ilvl="0">
      <w:lvl w:ilvl="0">
        <w:start w:val="3"/>
        <w:numFmt w:val="bullet"/>
        <w:lvlText w:val="-"/>
        <w:legacy w:legacy="1" w:legacySpace="0" w:legacyIndent="927"/>
        <w:lvlJc w:val="left"/>
        <w:pPr>
          <w:ind w:left="1494" w:hanging="927"/>
        </w:pPr>
        <w:rPr>
          <w:rFonts w:ascii="Times New Roman" w:hAnsi="Times New Roman" w:hint="default"/>
        </w:rPr>
      </w:lvl>
    </w:lvlOverride>
  </w:num>
  <w:num w:numId="20">
    <w:abstractNumId w:val="5"/>
    <w:lvlOverride w:ilvl="0">
      <w:lvl w:ilvl="0">
        <w:start w:val="1"/>
        <w:numFmt w:val="bullet"/>
        <w:lvlText w:val=""/>
        <w:legacy w:legacy="1" w:legacySpace="0" w:legacyIndent="283"/>
        <w:lvlJc w:val="left"/>
        <w:pPr>
          <w:ind w:left="283" w:hanging="283"/>
        </w:pPr>
        <w:rPr>
          <w:rFonts w:ascii="Symbol" w:hAnsi="Symbol" w:hint="default"/>
        </w:rPr>
      </w:lvl>
    </w:lvlOverride>
  </w:num>
  <w:num w:numId="21">
    <w:abstractNumId w:val="47"/>
  </w:num>
  <w:num w:numId="22">
    <w:abstractNumId w:val="14"/>
  </w:num>
  <w:num w:numId="23">
    <w:abstractNumId w:val="45"/>
  </w:num>
  <w:num w:numId="24">
    <w:abstractNumId w:val="57"/>
  </w:num>
  <w:num w:numId="25">
    <w:abstractNumId w:val="77"/>
  </w:num>
  <w:num w:numId="26">
    <w:abstractNumId w:val="64"/>
  </w:num>
  <w:num w:numId="27">
    <w:abstractNumId w:val="62"/>
  </w:num>
  <w:num w:numId="28">
    <w:abstractNumId w:val="14"/>
    <w:lvlOverride w:ilvl="0">
      <w:startOverride w:val="1"/>
    </w:lvlOverride>
    <w:lvlOverride w:ilvl="1">
      <w:startOverride w:val="1998"/>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79"/>
  </w:num>
  <w:num w:numId="30">
    <w:abstractNumId w:val="24"/>
  </w:num>
  <w:num w:numId="31">
    <w:abstractNumId w:val="44"/>
  </w:num>
  <w:num w:numId="32">
    <w:abstractNumId w:val="80"/>
  </w:num>
  <w:num w:numId="33">
    <w:abstractNumId w:val="23"/>
  </w:num>
  <w:num w:numId="34">
    <w:abstractNumId w:val="40"/>
  </w:num>
  <w:num w:numId="35">
    <w:abstractNumId w:val="8"/>
  </w:num>
  <w:num w:numId="36">
    <w:abstractNumId w:val="25"/>
  </w:num>
  <w:num w:numId="37">
    <w:abstractNumId w:val="5"/>
    <w:lvlOverride w:ilvl="0">
      <w:lvl w:ilvl="0">
        <w:numFmt w:val="bullet"/>
        <w:lvlText w:val="•"/>
        <w:lvlJc w:val="left"/>
        <w:rPr>
          <w:rFonts w:ascii="Times New Roman" w:hAnsi="Times New Roman" w:cs="Times New Roman" w:hint="default"/>
        </w:rPr>
      </w:lvl>
    </w:lvlOverride>
  </w:num>
  <w:num w:numId="38">
    <w:abstractNumId w:val="70"/>
  </w:num>
  <w:num w:numId="39">
    <w:abstractNumId w:val="42"/>
  </w:num>
  <w:num w:numId="40">
    <w:abstractNumId w:val="5"/>
    <w:lvlOverride w:ilvl="0">
      <w:lvl w:ilvl="0">
        <w:numFmt w:val="bullet"/>
        <w:lvlText w:val="-"/>
        <w:lvlJc w:val="left"/>
        <w:rPr>
          <w:rFonts w:ascii="Times New Roman" w:hAnsi="Times New Roman" w:cs="Times New Roman" w:hint="default"/>
        </w:rPr>
      </w:lvl>
    </w:lvlOverride>
  </w:num>
  <w:num w:numId="41">
    <w:abstractNumId w:val="32"/>
  </w:num>
  <w:num w:numId="42">
    <w:abstractNumId w:val="5"/>
    <w:lvlOverride w:ilvl="0">
      <w:lvl w:ilvl="0">
        <w:numFmt w:val="bullet"/>
        <w:lvlText w:val="&gt;"/>
        <w:lvlJc w:val="left"/>
        <w:rPr>
          <w:rFonts w:ascii="Times New Roman" w:hAnsi="Times New Roman" w:cs="Times New Roman" w:hint="default"/>
        </w:rPr>
      </w:lvl>
    </w:lvlOverride>
  </w:num>
  <w:num w:numId="43">
    <w:abstractNumId w:val="5"/>
    <w:lvlOverride w:ilvl="0">
      <w:lvl w:ilvl="0">
        <w:numFmt w:val="bullet"/>
        <w:lvlText w:val="■"/>
        <w:lvlJc w:val="left"/>
        <w:rPr>
          <w:rFonts w:ascii="Times New Roman" w:hAnsi="Times New Roman" w:cs="Times New Roman" w:hint="default"/>
        </w:rPr>
      </w:lvl>
    </w:lvlOverride>
  </w:num>
  <w:num w:numId="44">
    <w:abstractNumId w:val="72"/>
  </w:num>
  <w:num w:numId="45">
    <w:abstractNumId w:val="28"/>
  </w:num>
  <w:num w:numId="46">
    <w:abstractNumId w:val="82"/>
  </w:num>
  <w:num w:numId="47">
    <w:abstractNumId w:val="46"/>
  </w:num>
  <w:num w:numId="48">
    <w:abstractNumId w:val="75"/>
  </w:num>
  <w:num w:numId="49">
    <w:abstractNumId w:val="7"/>
  </w:num>
  <w:num w:numId="50">
    <w:abstractNumId w:val="37"/>
  </w:num>
  <w:num w:numId="51">
    <w:abstractNumId w:val="38"/>
  </w:num>
  <w:num w:numId="52">
    <w:abstractNumId w:val="9"/>
  </w:num>
  <w:num w:numId="53">
    <w:abstractNumId w:val="69"/>
  </w:num>
  <w:num w:numId="54">
    <w:abstractNumId w:val="78"/>
  </w:num>
  <w:num w:numId="55">
    <w:abstractNumId w:val="60"/>
  </w:num>
  <w:num w:numId="56">
    <w:abstractNumId w:val="68"/>
  </w:num>
  <w:num w:numId="57">
    <w:abstractNumId w:val="74"/>
  </w:num>
  <w:num w:numId="58">
    <w:abstractNumId w:val="16"/>
  </w:num>
  <w:num w:numId="59">
    <w:abstractNumId w:val="71"/>
  </w:num>
  <w:num w:numId="60">
    <w:abstractNumId w:val="5"/>
    <w:lvlOverride w:ilvl="0">
      <w:lvl w:ilvl="0">
        <w:numFmt w:val="bullet"/>
        <w:lvlText w:val=""/>
        <w:legacy w:legacy="1" w:legacySpace="0" w:legacyIndent="360"/>
        <w:lvlJc w:val="left"/>
        <w:rPr>
          <w:rFonts w:ascii="Symbol" w:hAnsi="Symbol" w:hint="default"/>
        </w:rPr>
      </w:lvl>
    </w:lvlOverride>
  </w:num>
  <w:num w:numId="61">
    <w:abstractNumId w:val="35"/>
  </w:num>
  <w:num w:numId="62">
    <w:abstractNumId w:val="27"/>
  </w:num>
  <w:num w:numId="63">
    <w:abstractNumId w:val="13"/>
  </w:num>
  <w:num w:numId="64">
    <w:abstractNumId w:val="51"/>
  </w:num>
  <w:num w:numId="65">
    <w:abstractNumId w:val="49"/>
  </w:num>
  <w:num w:numId="66">
    <w:abstractNumId w:val="22"/>
  </w:num>
  <w:num w:numId="67">
    <w:abstractNumId w:val="18"/>
  </w:num>
  <w:num w:numId="68">
    <w:abstractNumId w:val="65"/>
  </w:num>
  <w:num w:numId="69">
    <w:abstractNumId w:val="66"/>
  </w:num>
  <w:num w:numId="70">
    <w:abstractNumId w:val="26"/>
  </w:num>
  <w:num w:numId="71">
    <w:abstractNumId w:val="20"/>
  </w:num>
  <w:num w:numId="72">
    <w:abstractNumId w:val="54"/>
  </w:num>
  <w:num w:numId="73">
    <w:abstractNumId w:val="12"/>
  </w:num>
  <w:num w:numId="74">
    <w:abstractNumId w:val="6"/>
  </w:num>
  <w:num w:numId="75">
    <w:abstractNumId w:val="73"/>
  </w:num>
  <w:num w:numId="76">
    <w:abstractNumId w:val="17"/>
  </w:num>
  <w:num w:numId="77">
    <w:abstractNumId w:val="11"/>
  </w:num>
  <w:num w:numId="78">
    <w:abstractNumId w:val="15"/>
  </w:num>
  <w:num w:numId="79">
    <w:abstractNumId w:val="67"/>
  </w:num>
  <w:num w:numId="80">
    <w:abstractNumId w:val="19"/>
  </w:num>
  <w:num w:numId="81">
    <w:abstractNumId w:val="50"/>
  </w:num>
  <w:num w:numId="82">
    <w:abstractNumId w:val="33"/>
  </w:num>
  <w:num w:numId="83">
    <w:abstractNumId w:val="43"/>
  </w:num>
  <w:num w:numId="84">
    <w:abstractNumId w:val="63"/>
  </w:num>
  <w:num w:numId="85">
    <w:abstractNumId w:val="36"/>
  </w:num>
  <w:num w:numId="86">
    <w:abstractNumId w:val="53"/>
  </w:num>
  <w:num w:numId="87">
    <w:abstractNumId w:val="52"/>
  </w:num>
  <w:num w:numId="88">
    <w:abstractNumId w:val="58"/>
  </w:num>
  <w:num w:numId="89">
    <w:abstractNumId w:val="31"/>
  </w:num>
  <w:num w:numId="90">
    <w:abstractNumId w:val="61"/>
  </w:num>
  <w:num w:numId="91">
    <w:abstractNumId w:val="59"/>
  </w:num>
  <w:num w:numId="92">
    <w:abstractNumId w:val="55"/>
  </w:num>
  <w:num w:numId="93">
    <w:abstractNumId w:val="76"/>
  </w:num>
  <w:num w:numId="94">
    <w:abstractNumId w:val="41"/>
  </w:num>
  <w:num w:numId="95">
    <w:abstractNumId w:val="81"/>
  </w:num>
  <w:num w:numId="96">
    <w:abstractNumId w:val="39"/>
  </w:num>
  <w:num w:numId="97">
    <w:abstractNumId w:val="34"/>
  </w:num>
  <w:num w:numId="98">
    <w:abstractNumId w:val="30"/>
  </w:num>
  <w:num w:numId="99">
    <w:abstractNumId w:val="10"/>
  </w:num>
  <w:num w:numId="100">
    <w:abstractNumId w:val="4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GrammaticalErrors/>
  <w:activeWritingStyle w:appName="MSWord" w:lang="ru-RU" w:vendorID="1" w:dllVersion="512" w:checkStyle="1"/>
  <w:activeWritingStyle w:appName="MSWord" w:vendorID="1" w:dllVersion="512" w:checkStyle="1"/>
  <w:doNotTrackMoves/>
  <w:defaultTabStop w:val="476"/>
  <w:hyphenationZone w:val="221"/>
  <w:doNotHyphenateCap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numFmt w:val="decimal"/>
    <w:endnote w:id="-1"/>
    <w:endnote w:id="0"/>
  </w:endnotePr>
  <w:compat>
    <w:noColumnBalance/>
    <w:printColBlack/>
    <w:showBreaksInFrames/>
    <w:suppressBottomSpacing/>
    <w:suppressTopSpacing/>
    <w:suppressTopSpacingWP/>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24/02/2003 11:14 AM"/>
    <w:docVar w:name="DocCategory" w:val="Doc"/>
    <w:docVar w:name="DocType" w:val="Final"/>
    <w:docVar w:name="JobNo" w:val="0276198R"/>
    <w:docVar w:name="OandT" w:val=" "/>
    <w:docVar w:name="Symbol1" w:val="CEDAW/C/BLR/4-6"/>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tabs>
        <w:tab w:val="left" w:pos="567"/>
        <w:tab w:val="left" w:pos="907"/>
        <w:tab w:val="left" w:pos="1247"/>
        <w:tab w:val="left" w:pos="1588"/>
      </w:tabs>
      <w:spacing w:after="240"/>
      <w:jc w:val="both"/>
    </w:pPr>
    <w:rPr>
      <w:kern w:val="14"/>
      <w:sz w:val="22"/>
      <w:lang w:val="ru-RU" w:eastAsia="ru-RU"/>
    </w:rPr>
  </w:style>
  <w:style w:type="paragraph" w:styleId="Heading1">
    <w:name w:val="heading 1"/>
    <w:basedOn w:val="Normal"/>
    <w:next w:val="Normal"/>
    <w:qFormat/>
    <w:pPr>
      <w:keepNext/>
      <w:outlineLvl w:val="0"/>
    </w:pPr>
    <w:rPr>
      <w:b/>
      <w:bCs/>
      <w:kern w:val="0"/>
      <w:sz w:val="28"/>
      <w:szCs w:val="24"/>
      <w:lang w:val="es-ES" w:eastAsia="es-ES"/>
    </w:rPr>
  </w:style>
  <w:style w:type="paragraph" w:styleId="Heading2">
    <w:name w:val="heading 2"/>
    <w:basedOn w:val="Normal"/>
    <w:next w:val="Normal"/>
    <w:qFormat/>
    <w:pPr>
      <w:keepNext/>
      <w:outlineLvl w:val="1"/>
    </w:pPr>
    <w:rPr>
      <w:b/>
      <w:bCs/>
      <w:kern w:val="0"/>
      <w:sz w:val="24"/>
      <w:szCs w:val="24"/>
      <w:lang w:val="es-ES" w:eastAsia="es-ES"/>
    </w:rPr>
  </w:style>
  <w:style w:type="paragraph" w:styleId="Heading3">
    <w:name w:val="heading 3"/>
    <w:basedOn w:val="Normal"/>
    <w:next w:val="Normal"/>
    <w:qFormat/>
    <w:pPr>
      <w:keepNext/>
      <w:outlineLvl w:val="2"/>
    </w:pPr>
    <w:rPr>
      <w:b/>
      <w:bCs/>
      <w:kern w:val="0"/>
      <w:sz w:val="24"/>
      <w:szCs w:val="24"/>
      <w:lang w:val="es-ES" w:eastAsia="es-ES"/>
    </w:rPr>
  </w:style>
  <w:style w:type="paragraph" w:styleId="Heading4">
    <w:name w:val="heading 4"/>
    <w:basedOn w:val="Normal"/>
    <w:next w:val="Normal"/>
    <w:qFormat/>
    <w:pPr>
      <w:keepNext/>
      <w:outlineLvl w:val="3"/>
    </w:pPr>
    <w:rPr>
      <w:b/>
      <w:kern w:val="0"/>
      <w:lang w:val="es-BO" w:eastAsia="es-ES"/>
    </w:rPr>
  </w:style>
  <w:style w:type="paragraph" w:styleId="Heading6">
    <w:name w:val="heading 6"/>
    <w:basedOn w:val="Normal"/>
    <w:next w:val="Normal"/>
    <w:qFormat/>
    <w:pPr>
      <w:keepNext/>
      <w:ind w:left="540"/>
      <w:jc w:val="center"/>
      <w:outlineLvl w:val="5"/>
    </w:pPr>
    <w:rPr>
      <w:b/>
      <w:kern w:val="0"/>
      <w:sz w:val="24"/>
      <w:szCs w:val="24"/>
      <w:lang w:val="es-ES" w:eastAsia="es-ES"/>
    </w:rPr>
  </w:style>
  <w:style w:type="paragraph" w:styleId="Heading7">
    <w:name w:val="heading 7"/>
    <w:basedOn w:val="Normal"/>
    <w:next w:val="Normal"/>
    <w:qFormat/>
    <w:pPr>
      <w:keepNext/>
      <w:numPr>
        <w:numId w:val="54"/>
      </w:numPr>
      <w:tabs>
        <w:tab w:val="clear" w:pos="567"/>
        <w:tab w:val="clear" w:pos="907"/>
        <w:tab w:val="clear" w:pos="1247"/>
        <w:tab w:val="clear" w:pos="1588"/>
      </w:tabs>
      <w:spacing w:after="0"/>
      <w:jc w:val="left"/>
      <w:outlineLvl w:val="6"/>
    </w:pPr>
    <w:rPr>
      <w:b/>
      <w:snapToGrid w:val="0"/>
      <w:kern w:val="0"/>
      <w:sz w:val="24"/>
      <w:lang w:val="fr-FR" w:eastAsia="fr-FR"/>
    </w:rPr>
  </w:style>
  <w:style w:type="paragraph" w:styleId="Heading8">
    <w:name w:val="heading 8"/>
    <w:basedOn w:val="Normal"/>
    <w:next w:val="Normal"/>
    <w:qFormat/>
    <w:pPr>
      <w:keepNext/>
      <w:jc w:val="center"/>
      <w:outlineLvl w:val="7"/>
    </w:pPr>
    <w:rPr>
      <w:b/>
      <w:bCs/>
      <w:kern w:val="0"/>
      <w:szCs w:val="24"/>
      <w:lang w:val="es-ES" w:eastAsia="es-ES"/>
    </w:rPr>
  </w:style>
  <w:style w:type="paragraph" w:styleId="Heading9">
    <w:name w:val="heading 9"/>
    <w:basedOn w:val="Normal"/>
    <w:next w:val="Normal"/>
    <w:qFormat/>
    <w:pPr>
      <w:keepNext/>
      <w:jc w:val="center"/>
      <w:outlineLvl w:val="8"/>
    </w:pPr>
    <w:rPr>
      <w:rFonts w:ascii="Tahoma" w:hAnsi="Tahoma"/>
      <w:b/>
      <w:color w:val="000000"/>
      <w:kern w:val="0"/>
      <w:lang w:val="es-ES"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
    <w:name w:val="_ H __M"/>
    <w:basedOn w:val="Normal"/>
    <w:next w:val="Normal"/>
    <w:pPr>
      <w:keepNext/>
      <w:keepLines/>
      <w:suppressAutoHyphens/>
      <w:spacing w:line="360" w:lineRule="exact"/>
      <w:outlineLvl w:val="0"/>
    </w:pPr>
    <w:rPr>
      <w:b/>
      <w:spacing w:val="-3"/>
      <w:w w:val="99"/>
      <w:sz w:val="34"/>
    </w:rPr>
  </w:style>
  <w:style w:type="paragraph" w:customStyle="1" w:styleId="H1">
    <w:name w:val="_ H_1"/>
    <w:basedOn w:val="Normal"/>
    <w:next w:val="SingleTxt"/>
    <w:pPr>
      <w:suppressAutoHyphens/>
      <w:spacing w:line="270" w:lineRule="exact"/>
      <w:outlineLvl w:val="0"/>
    </w:pPr>
    <w:rPr>
      <w:b/>
      <w:spacing w:val="4"/>
      <w:w w:val="103"/>
      <w:sz w:val="24"/>
    </w:rPr>
  </w:style>
  <w:style w:type="paragraph" w:customStyle="1" w:styleId="SingleTxt">
    <w:name w:val="__Single Txt"/>
    <w:basedOn w:val="Normal"/>
    <w:pPr>
      <w:tabs>
        <w:tab w:val="clear" w:pos="1247"/>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line="240" w:lineRule="exact"/>
      <w:ind w:left="1267" w:right="1267"/>
    </w:pPr>
    <w:rPr>
      <w:spacing w:val="4"/>
      <w:w w:val="103"/>
    </w:rPr>
  </w:style>
  <w:style w:type="paragraph" w:customStyle="1" w:styleId="HCh">
    <w:name w:val="_ H _Ch"/>
    <w:basedOn w:val="H1"/>
    <w:next w:val="Normal"/>
    <w:pPr>
      <w:keepNext/>
      <w:keepLines/>
      <w:spacing w:line="300" w:lineRule="exact"/>
    </w:pPr>
    <w:rPr>
      <w:spacing w:val="-2"/>
      <w:sz w:val="28"/>
    </w:rPr>
  </w:style>
  <w:style w:type="paragraph" w:customStyle="1" w:styleId="H23">
    <w:name w:val="_ H_2/3"/>
    <w:basedOn w:val="H1"/>
    <w:next w:val="SingleTxt"/>
    <w:pPr>
      <w:keepNext/>
      <w:keepLines/>
      <w:spacing w:line="240" w:lineRule="exact"/>
      <w:outlineLvl w:val="1"/>
    </w:pPr>
    <w:rPr>
      <w:spacing w:val="2"/>
      <w:sz w:val="20"/>
    </w:rPr>
  </w:style>
  <w:style w:type="paragraph" w:customStyle="1" w:styleId="H4">
    <w:name w:val="_ H_4"/>
    <w:basedOn w:val="Normal"/>
    <w:next w:val="SingleTxt"/>
    <w:pPr>
      <w:keepNext/>
      <w:keepLines/>
      <w:tabs>
        <w:tab w:val="right" w:pos="360"/>
      </w:tabs>
      <w:suppressAutoHyphens/>
      <w:spacing w:line="240" w:lineRule="exact"/>
      <w:outlineLvl w:val="3"/>
    </w:pPr>
    <w:rPr>
      <w:i/>
      <w:spacing w:val="3"/>
      <w:w w:val="103"/>
    </w:rPr>
  </w:style>
  <w:style w:type="paragraph" w:customStyle="1" w:styleId="H56">
    <w:name w:val="_ H_5/6"/>
    <w:basedOn w:val="Normal"/>
    <w:next w:val="Normal"/>
    <w:pPr>
      <w:keepNext/>
      <w:keepLines/>
      <w:tabs>
        <w:tab w:val="right" w:pos="360"/>
      </w:tabs>
      <w:suppressAutoHyphens/>
      <w:spacing w:line="240" w:lineRule="exact"/>
      <w:outlineLvl w:val="4"/>
    </w:pPr>
    <w:rPr>
      <w:spacing w:val="4"/>
      <w:w w:val="103"/>
    </w:r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line="240" w:lineRule="exact"/>
    </w:pPr>
    <w:rPr>
      <w:spacing w:val="4"/>
      <w:w w:val="103"/>
    </w:rPr>
  </w:style>
  <w:style w:type="paragraph" w:customStyle="1" w:styleId="SM">
    <w:name w:val="__S_M"/>
    <w:basedOn w:val="Normal"/>
    <w:next w:val="Normal"/>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character" w:styleId="CommentReference">
    <w:name w:val="annotation reference"/>
    <w:semiHidden/>
    <w:rPr>
      <w:sz w:val="6"/>
    </w:rPr>
  </w:style>
  <w:style w:type="character" w:styleId="FootnoteReference">
    <w:name w:val="footnote reference"/>
    <w:semiHidden/>
    <w:rPr>
      <w:rFonts w:ascii="Times New Roman" w:hAnsi="Times New Roman"/>
      <w:spacing w:val="0"/>
      <w:w w:val="100"/>
      <w:position w:val="0"/>
      <w:sz w:val="22"/>
      <w:vertAlign w:val="superscript"/>
    </w:rPr>
  </w:style>
  <w:style w:type="character" w:styleId="EndnoteReference">
    <w:name w:val="endnote reference"/>
    <w:basedOn w:val="FootnoteReference"/>
    <w:semiHidden/>
    <w:rPr>
      <w:rFonts w:ascii="Times New Roman" w:hAnsi="Times New Roman"/>
      <w:spacing w:val="0"/>
      <w:w w:val="100"/>
      <w:position w:val="0"/>
      <w:sz w:val="22"/>
      <w:vertAlign w:val="superscript"/>
    </w:rPr>
  </w:style>
  <w:style w:type="paragraph" w:styleId="FootnoteText">
    <w:name w:val="footnote text"/>
    <w:basedOn w:val="Normal"/>
    <w:semiHidden/>
    <w:pPr>
      <w:widowControl w:val="0"/>
      <w:tabs>
        <w:tab w:val="right" w:pos="418"/>
      </w:tabs>
      <w:suppressAutoHyphens/>
      <w:spacing w:line="210" w:lineRule="exact"/>
      <w:ind w:left="475" w:hanging="475"/>
    </w:pPr>
    <w:rPr>
      <w:spacing w:val="5"/>
      <w:w w:val="104"/>
      <w:sz w:val="17"/>
    </w:rPr>
  </w:style>
  <w:style w:type="paragraph" w:styleId="EndnoteText">
    <w:name w:val="endnote text"/>
    <w:basedOn w:val="FootnoteText"/>
    <w:semiHidden/>
  </w:style>
  <w:style w:type="paragraph" w:styleId="Footer">
    <w:name w:val="footer"/>
    <w:semiHidden/>
    <w:pPr>
      <w:tabs>
        <w:tab w:val="center" w:pos="4320"/>
        <w:tab w:val="right" w:pos="8640"/>
      </w:tabs>
    </w:pPr>
    <w:rPr>
      <w:b/>
      <w:noProof/>
      <w:sz w:val="17"/>
      <w:lang w:val="ru-RU" w:eastAsia="ru-RU"/>
    </w:rPr>
  </w:style>
  <w:style w:type="paragraph" w:styleId="Header">
    <w:name w:val="header"/>
    <w:semiHidden/>
    <w:pPr>
      <w:tabs>
        <w:tab w:val="center" w:pos="4320"/>
        <w:tab w:val="right" w:pos="8640"/>
      </w:tabs>
    </w:pPr>
    <w:rPr>
      <w:noProof/>
      <w:sz w:val="17"/>
      <w:lang w:val="ru-RU" w:eastAsia="ru-RU"/>
    </w:rPr>
  </w:style>
  <w:style w:type="character" w:styleId="LineNumber">
    <w:name w:val="line number"/>
    <w:semiHidden/>
    <w:rPr>
      <w:sz w:val="14"/>
    </w:rPr>
  </w:style>
  <w:style w:type="paragraph" w:styleId="ListContinue2">
    <w:name w:val="List Continue 2"/>
    <w:basedOn w:val="Normal"/>
    <w:next w:val="Normal"/>
    <w:semiHidden/>
    <w:pPr>
      <w:numPr>
        <w:numId w:val="1"/>
      </w:numPr>
      <w:spacing w:after="120" w:line="240" w:lineRule="exact"/>
    </w:pPr>
    <w:rPr>
      <w:spacing w:val="4"/>
      <w:w w:val="103"/>
    </w:rPr>
  </w:style>
  <w:style w:type="paragraph" w:styleId="ListNumber">
    <w:name w:val="List Number"/>
    <w:basedOn w:val="H1"/>
    <w:next w:val="Normal"/>
    <w:semiHidden/>
    <w:pPr>
      <w:numPr>
        <w:numId w:val="3"/>
      </w:numPr>
      <w:tabs>
        <w:tab w:val="clear" w:pos="360"/>
        <w:tab w:val="num" w:pos="792"/>
      </w:tabs>
      <w:ind w:left="792" w:hanging="317"/>
    </w:pPr>
  </w:style>
  <w:style w:type="paragraph" w:styleId="ListNumber2">
    <w:name w:val="List Number 2"/>
    <w:basedOn w:val="H23"/>
    <w:next w:val="Normal"/>
    <w:semiHidden/>
    <w:pPr>
      <w:numPr>
        <w:numId w:val="5"/>
      </w:numPr>
      <w:tabs>
        <w:tab w:val="clear" w:pos="643"/>
        <w:tab w:val="num" w:pos="792"/>
      </w:tabs>
      <w:ind w:left="792" w:hanging="317"/>
    </w:pPr>
  </w:style>
  <w:style w:type="paragraph" w:styleId="ListNumber3">
    <w:name w:val="List Number 3"/>
    <w:basedOn w:val="H23"/>
    <w:next w:val="Normal"/>
    <w:semiHidden/>
    <w:pPr>
      <w:numPr>
        <w:numId w:val="7"/>
      </w:numPr>
      <w:tabs>
        <w:tab w:val="clear" w:pos="926"/>
        <w:tab w:val="num" w:pos="792"/>
      </w:tabs>
      <w:ind w:left="792" w:hanging="317"/>
    </w:pPr>
  </w:style>
  <w:style w:type="paragraph" w:styleId="ListNumber4">
    <w:name w:val="List Number 4"/>
    <w:basedOn w:val="H4"/>
    <w:next w:val="Normal"/>
    <w:semiHidden/>
    <w:pPr>
      <w:numPr>
        <w:numId w:val="9"/>
      </w:numPr>
      <w:tabs>
        <w:tab w:val="clear" w:pos="1209"/>
        <w:tab w:val="num" w:pos="792"/>
      </w:tabs>
      <w:ind w:left="792" w:hanging="317"/>
    </w:pPr>
  </w:style>
  <w:style w:type="paragraph" w:styleId="ListNumber5">
    <w:name w:val="List Number 5"/>
    <w:basedOn w:val="Normal"/>
    <w:next w:val="Normal"/>
    <w:semiHidden/>
    <w:pPr>
      <w:numPr>
        <w:numId w:val="11"/>
      </w:numPr>
      <w:tabs>
        <w:tab w:val="clear" w:pos="1492"/>
        <w:tab w:val="num" w:pos="792"/>
      </w:tabs>
      <w:spacing w:line="240" w:lineRule="exact"/>
      <w:ind w:left="792" w:hanging="317"/>
    </w:pPr>
    <w:rPr>
      <w:spacing w:val="4"/>
      <w:w w:val="103"/>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 w:type="paragraph" w:customStyle="1" w:styleId="a">
    <w:name w:val="Текст выноски"/>
    <w:basedOn w:val="Normal"/>
    <w:semiHidden/>
    <w:rPr>
      <w:rFonts w:ascii="Tahoma" w:hAnsi="Tahoma" w:cs="Tahoma"/>
      <w:sz w:val="16"/>
      <w:szCs w:val="16"/>
    </w:rPr>
  </w:style>
  <w:style w:type="character" w:styleId="PageNumber">
    <w:name w:val="page number"/>
    <w:basedOn w:val="DefaultParagraphFont"/>
    <w:semiHidden/>
  </w:style>
  <w:style w:type="paragraph" w:styleId="BodyText">
    <w:name w:val="Body Text"/>
    <w:basedOn w:val="Normal"/>
    <w:semiHidden/>
    <w:rPr>
      <w:kern w:val="0"/>
      <w:sz w:val="24"/>
      <w:szCs w:val="24"/>
      <w:lang w:val="es-ES" w:eastAsia="es-ES"/>
    </w:rPr>
  </w:style>
  <w:style w:type="paragraph" w:styleId="Title">
    <w:name w:val="Title"/>
    <w:basedOn w:val="Normal"/>
    <w:qFormat/>
    <w:pPr>
      <w:jc w:val="center"/>
    </w:pPr>
    <w:rPr>
      <w:b/>
      <w:bCs/>
      <w:kern w:val="0"/>
      <w:sz w:val="24"/>
      <w:szCs w:val="24"/>
      <w:lang w:val="es-ES" w:eastAsia="es-ES"/>
    </w:rPr>
  </w:style>
  <w:style w:type="paragraph" w:styleId="BodyText2">
    <w:name w:val="Body Text 2"/>
    <w:basedOn w:val="Normal"/>
    <w:semiHidden/>
    <w:pPr>
      <w:spacing w:after="120" w:line="480" w:lineRule="auto"/>
    </w:pPr>
    <w:rPr>
      <w:kern w:val="0"/>
      <w:sz w:val="24"/>
      <w:lang w:val="en-US" w:eastAsia="es-ES"/>
    </w:rPr>
  </w:style>
  <w:style w:type="paragraph" w:styleId="BodyTextIndent">
    <w:name w:val="Body Text Indent"/>
    <w:basedOn w:val="Normal"/>
    <w:semiHidden/>
    <w:pPr>
      <w:spacing w:after="120" w:line="480" w:lineRule="auto"/>
    </w:pPr>
    <w:rPr>
      <w:kern w:val="0"/>
      <w:sz w:val="24"/>
      <w:lang w:val="en-US" w:eastAsia="es-ES"/>
    </w:rPr>
  </w:style>
  <w:style w:type="paragraph" w:styleId="NormalWeb">
    <w:name w:val="Normal (Web)"/>
    <w:basedOn w:val="Normal"/>
    <w:pPr>
      <w:spacing w:before="100" w:after="100"/>
    </w:pPr>
    <w:rPr>
      <w:rFonts w:ascii="Arial Unicode MS" w:eastAsia="Arial Unicode MS" w:hAnsi="Arial Unicode MS"/>
      <w:kern w:val="0"/>
      <w:sz w:val="24"/>
      <w:lang w:val="es-ES" w:eastAsia="es-ES"/>
    </w:rPr>
  </w:style>
  <w:style w:type="paragraph" w:styleId="BodyText3">
    <w:name w:val="Body Text 3"/>
    <w:basedOn w:val="Normal"/>
    <w:semiHidden/>
    <w:rPr>
      <w:b/>
      <w:bCs/>
      <w:kern w:val="0"/>
      <w:sz w:val="24"/>
      <w:szCs w:val="24"/>
      <w:lang w:val="es-ES_tradnl" w:eastAsia="es-ES"/>
    </w:rPr>
  </w:style>
  <w:style w:type="paragraph" w:styleId="BodyTextIndent2">
    <w:name w:val="Body Text Indent 2"/>
    <w:basedOn w:val="Normal"/>
    <w:semiHidden/>
    <w:pPr>
      <w:ind w:left="360"/>
    </w:pPr>
    <w:rPr>
      <w:snapToGrid w:val="0"/>
      <w:color w:val="000000"/>
      <w:kern w:val="0"/>
      <w:lang w:val="es-ES" w:eastAsia="es-ES"/>
    </w:rPr>
  </w:style>
  <w:style w:type="paragraph" w:customStyle="1" w:styleId="xl24">
    <w:name w:val="xl24"/>
    <w:basedOn w:val="Normal"/>
    <w:pPr>
      <w:spacing w:before="100" w:beforeAutospacing="1" w:after="100" w:afterAutospacing="1"/>
    </w:pPr>
    <w:rPr>
      <w:rFonts w:eastAsia="Arial Unicode MS"/>
      <w:kern w:val="0"/>
      <w:sz w:val="16"/>
      <w:szCs w:val="16"/>
      <w:lang w:val="en-GB" w:eastAsia="en-US"/>
    </w:rPr>
  </w:style>
  <w:style w:type="paragraph" w:customStyle="1" w:styleId="RightPar1a">
    <w:name w:val="Right Par 1a"/>
    <w:pPr>
      <w:widowControl w:val="0"/>
      <w:tabs>
        <w:tab w:val="left" w:pos="-720"/>
        <w:tab w:val="left" w:pos="0"/>
        <w:tab w:val="left" w:pos="288"/>
        <w:tab w:val="decimal" w:pos="720"/>
        <w:tab w:val="left" w:pos="1080"/>
        <w:tab w:val="left" w:pos="1800"/>
        <w:tab w:val="left" w:pos="2520"/>
        <w:tab w:val="left" w:pos="3240"/>
        <w:tab w:val="left" w:pos="3960"/>
        <w:tab w:val="left" w:pos="4680"/>
        <w:tab w:val="left" w:pos="5400"/>
        <w:tab w:val="left" w:pos="6120"/>
        <w:tab w:val="left" w:pos="6840"/>
        <w:tab w:val="left" w:pos="7560"/>
        <w:tab w:val="left" w:pos="8280"/>
        <w:tab w:val="left" w:pos="9000"/>
      </w:tabs>
      <w:suppressAutoHyphens/>
      <w:autoSpaceDE w:val="0"/>
      <w:autoSpaceDN w:val="0"/>
      <w:adjustRightInd w:val="0"/>
      <w:spacing w:line="240" w:lineRule="atLeast"/>
    </w:pPr>
    <w:rPr>
      <w:sz w:val="22"/>
      <w:szCs w:val="22"/>
      <w:lang w:val="en-US" w:eastAsia="es-ES"/>
    </w:rPr>
  </w:style>
  <w:style w:type="paragraph" w:customStyle="1" w:styleId="boxmargin">
    <w:name w:val="boxmargin"/>
    <w:basedOn w:val="Normal"/>
    <w:rPr>
      <w:rFonts w:ascii="ZapfHumnst BT" w:hAnsi="ZapfHumnst BT"/>
      <w:kern w:val="0"/>
      <w:sz w:val="18"/>
      <w:lang w:val="en-US" w:eastAsia="en-US"/>
    </w:rPr>
  </w:style>
  <w:style w:type="character" w:styleId="Hyperlink">
    <w:name w:val="Hyperlink"/>
    <w:semiHidden/>
    <w:rPr>
      <w:color w:val="0000FF"/>
      <w:u w:val="none"/>
    </w:rPr>
  </w:style>
  <w:style w:type="character" w:customStyle="1" w:styleId="tw4winMark">
    <w:name w:val="tw4winMark"/>
    <w:rPr>
      <w:rFonts w:ascii="Courier New" w:hAnsi="Courier New" w:cs="Courier New"/>
      <w:vanish/>
      <w:color w:val="800080"/>
      <w:sz w:val="24"/>
      <w:szCs w:val="24"/>
      <w:vertAlign w:val="subscript"/>
    </w:rPr>
  </w:style>
  <w:style w:type="character" w:customStyle="1" w:styleId="tw4winError">
    <w:name w:val="tw4winError"/>
    <w:rPr>
      <w:rFonts w:ascii="Courier New" w:hAnsi="Courier New" w:cs="Courier New"/>
      <w:color w:val="00FF00"/>
      <w:sz w:val="40"/>
      <w:szCs w:val="40"/>
    </w:rPr>
  </w:style>
  <w:style w:type="character" w:customStyle="1" w:styleId="tw4winTerm">
    <w:name w:val="tw4winTerm"/>
    <w:rPr>
      <w:color w:val="0000FF"/>
    </w:rPr>
  </w:style>
  <w:style w:type="character" w:customStyle="1" w:styleId="tw4winPopup">
    <w:name w:val="tw4winPopup"/>
    <w:rPr>
      <w:rFonts w:ascii="Courier New" w:hAnsi="Courier New" w:cs="Courier New"/>
      <w:noProof/>
      <w:color w:val="008000"/>
    </w:rPr>
  </w:style>
  <w:style w:type="character" w:customStyle="1" w:styleId="tw4winJump">
    <w:name w:val="tw4winJump"/>
    <w:rPr>
      <w:rFonts w:ascii="Courier New" w:hAnsi="Courier New" w:cs="Courier New"/>
      <w:noProof/>
      <w:color w:val="008080"/>
    </w:rPr>
  </w:style>
  <w:style w:type="character" w:customStyle="1" w:styleId="tw4winExternal">
    <w:name w:val="tw4winExternal"/>
    <w:rPr>
      <w:rFonts w:ascii="Courier New" w:hAnsi="Courier New" w:cs="Courier New"/>
      <w:noProof/>
      <w:color w:val="808080"/>
    </w:rPr>
  </w:style>
  <w:style w:type="character" w:customStyle="1" w:styleId="tw4winInternal">
    <w:name w:val="tw4winInternal"/>
    <w:rPr>
      <w:rFonts w:ascii="Courier New" w:hAnsi="Courier New" w:cs="Courier New"/>
      <w:noProof/>
      <w:color w:val="FF0000"/>
    </w:rPr>
  </w:style>
  <w:style w:type="character" w:customStyle="1" w:styleId="DONOTTRANSLATE">
    <w:name w:val="DO_NOT_TRANSLATE"/>
    <w:rPr>
      <w:rFonts w:ascii="Courier New" w:hAnsi="Courier New" w:cs="Courier New"/>
      <w:noProof/>
      <w:color w:val="800000"/>
    </w:rPr>
  </w:style>
  <w:style w:type="character" w:customStyle="1" w:styleId="Corpsdelalettre">
    <w:name w:val="Corps de la lettre"/>
    <w:autoRedefine/>
    <w:rPr>
      <w:rFonts w:ascii="Arial" w:hAnsi="Arial"/>
      <w:color w:val="000000"/>
      <w:sz w:val="22"/>
      <w:u w:val="none"/>
    </w:rPr>
  </w:style>
  <w:style w:type="character" w:styleId="Strong">
    <w:name w:val="Strong"/>
    <w:qFormat/>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comments" Target="comments.xml"/><Relationship Id="rId13" Type="http://schemas.openxmlformats.org/officeDocument/2006/relationships/hyperlink" Target="http://www.tabac-info-service.fr" TargetMode="Externa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oleObject" Target="embeddings/oleObject1.bin"/><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2.wmf"/><Relationship Id="rId5" Type="http://schemas.openxmlformats.org/officeDocument/2006/relationships/footnotes" Target="footnotes.xml"/><Relationship Id="rId15" Type="http://schemas.openxmlformats.org/officeDocument/2006/relationships/footer" Target="footer4.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13</TotalTime>
  <Pages>55</Pages>
  <Words>27118</Words>
  <Characters>154577</Characters>
  <Application>Microsoft Office Word</Application>
  <DocSecurity>4</DocSecurity>
  <Lines>1288</Lines>
  <Paragraphs>309</Paragraphs>
  <ScaleCrop>false</ScaleCrop>
  <HeadingPairs>
    <vt:vector size="2" baseType="variant">
      <vt:variant>
        <vt:lpstr>Title</vt:lpstr>
      </vt:variant>
      <vt:variant>
        <vt:i4>1</vt:i4>
      </vt:variant>
    </vt:vector>
  </HeadingPairs>
  <TitlesOfParts>
    <vt:vector size="1" baseType="lpstr">
      <vt:lpstr> </vt:lpstr>
    </vt:vector>
  </TitlesOfParts>
  <Company>United Nations</Company>
  <LinksUpToDate>false</LinksUpToDate>
  <CharactersWithSpaces>189831</CharactersWithSpaces>
  <SharedDoc>false</SharedDoc>
  <HLinks>
    <vt:vector size="12" baseType="variant">
      <vt:variant>
        <vt:i4>5242903</vt:i4>
      </vt:variant>
      <vt:variant>
        <vt:i4>0</vt:i4>
      </vt:variant>
      <vt:variant>
        <vt:i4>0</vt:i4>
      </vt:variant>
      <vt:variant>
        <vt:i4>5</vt:i4>
      </vt:variant>
      <vt:variant>
        <vt:lpwstr>http://www.tabac-info-service.fr/</vt:lpwstr>
      </vt:variant>
      <vt:variant>
        <vt:lpwstr/>
      </vt:variant>
      <vt:variant>
        <vt:i4>8257630</vt:i4>
      </vt:variant>
      <vt:variant>
        <vt:i4>1118</vt:i4>
      </vt:variant>
      <vt:variant>
        <vt:i4>1025</vt:i4>
      </vt:variant>
      <vt:variant>
        <vt:i4>1</vt:i4>
      </vt:variant>
      <vt:variant>
        <vt:lpwstr>_unlogo</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DGAACS User</dc:creator>
  <cp:keywords/>
  <dc:description/>
  <cp:lastModifiedBy>DGAACS User</cp:lastModifiedBy>
  <cp:revision>12</cp:revision>
  <cp:lastPrinted>2006-07-11T16:07:00Z</cp:lastPrinted>
  <dcterms:created xsi:type="dcterms:W3CDTF">2006-07-11T16:02:00Z</dcterms:created>
  <dcterms:modified xsi:type="dcterms:W3CDTF">2006-07-11T16:57:00Z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0276198</vt:lpwstr>
  </property>
  <property fmtid="{D5CDD505-2E9C-101B-9397-08002B2CF9AE}" pid="3" name="Symbol1">
    <vt:lpwstr>CEDAW/C/BLR/4-6</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81</vt:lpwstr>
  </property>
  <property fmtid="{D5CDD505-2E9C-101B-9397-08002B2CF9AE}" pid="8" name="Operator">
    <vt:lpwstr>Shibanoval</vt:lpwstr>
  </property>
</Properties>
</file>