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A87C47"/>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D3751" w:rsidP="008D3751">
            <w:pPr>
              <w:jc w:val="right"/>
            </w:pPr>
            <w:r w:rsidRPr="008D3751">
              <w:rPr>
                <w:sz w:val="40"/>
              </w:rPr>
              <w:t>CERD</w:t>
            </w:r>
            <w:r>
              <w:t>/C/KEN/Q/1-4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A87C4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8D3751" w:rsidRDefault="008D3751" w:rsidP="00593658">
            <w:pPr>
              <w:spacing w:before="240"/>
            </w:pPr>
            <w:r>
              <w:t>Distr. générale</w:t>
            </w:r>
          </w:p>
          <w:p w:rsidR="008D3751" w:rsidRDefault="008D3751" w:rsidP="008D3751">
            <w:pPr>
              <w:spacing w:line="240" w:lineRule="exact"/>
            </w:pPr>
            <w:r>
              <w:t>27 juillet 2011</w:t>
            </w:r>
          </w:p>
          <w:p w:rsidR="008D3751" w:rsidRDefault="008D3751" w:rsidP="008D3751">
            <w:pPr>
              <w:spacing w:line="240" w:lineRule="exact"/>
            </w:pPr>
            <w:r>
              <w:t>Français</w:t>
            </w:r>
          </w:p>
          <w:p w:rsidR="002E0D40" w:rsidRPr="00DB58B5" w:rsidRDefault="008D3751" w:rsidP="008D3751">
            <w:pPr>
              <w:spacing w:line="240" w:lineRule="exact"/>
            </w:pPr>
            <w:r>
              <w:t>Original: anglais</w:t>
            </w:r>
          </w:p>
        </w:tc>
      </w:tr>
    </w:tbl>
    <w:p w:rsidR="00FF1DBD" w:rsidRDefault="0078670C" w:rsidP="005C151F">
      <w:pPr>
        <w:spacing w:before="120" w:line="240" w:lineRule="auto"/>
        <w:rPr>
          <w:b/>
          <w:sz w:val="24"/>
          <w:szCs w:val="24"/>
        </w:rPr>
      </w:pPr>
      <w:r w:rsidRPr="00C56102">
        <w:rPr>
          <w:b/>
          <w:sz w:val="24"/>
          <w:szCs w:val="24"/>
        </w:rPr>
        <w:t>Comité pour l</w:t>
      </w:r>
      <w:r w:rsidR="00A87C47">
        <w:rPr>
          <w:b/>
          <w:sz w:val="24"/>
          <w:szCs w:val="24"/>
        </w:rPr>
        <w:t>’</w:t>
      </w:r>
      <w:r w:rsidRPr="00C56102">
        <w:rPr>
          <w:b/>
          <w:sz w:val="24"/>
          <w:szCs w:val="24"/>
        </w:rPr>
        <w:t>éliminati</w:t>
      </w:r>
      <w:r w:rsidR="008D3751">
        <w:rPr>
          <w:b/>
          <w:sz w:val="24"/>
          <w:szCs w:val="24"/>
        </w:rPr>
        <w:t>on de la discrimination raciale</w:t>
      </w:r>
    </w:p>
    <w:p w:rsidR="005C151F" w:rsidRPr="00EC34D7" w:rsidRDefault="005C151F" w:rsidP="005C151F">
      <w:pPr>
        <w:suppressAutoHyphens w:val="0"/>
        <w:spacing w:line="240" w:lineRule="auto"/>
        <w:rPr>
          <w:b/>
        </w:rPr>
      </w:pPr>
      <w:r w:rsidRPr="00EC34D7">
        <w:rPr>
          <w:b/>
        </w:rPr>
        <w:t>Soixante-dix-neuvième session</w:t>
      </w:r>
    </w:p>
    <w:p w:rsidR="005C151F" w:rsidRPr="00EC34D7" w:rsidRDefault="005C151F" w:rsidP="005C151F">
      <w:pPr>
        <w:suppressAutoHyphens w:val="0"/>
        <w:spacing w:line="240" w:lineRule="auto"/>
      </w:pPr>
      <w:r w:rsidRPr="00EC34D7">
        <w:t>8 août-2 septembre 2011</w:t>
      </w:r>
    </w:p>
    <w:p w:rsidR="005C151F" w:rsidRPr="00EC34D7" w:rsidRDefault="005C151F" w:rsidP="005C151F">
      <w:pPr>
        <w:pStyle w:val="HChG"/>
      </w:pPr>
      <w:r w:rsidRPr="00EC34D7">
        <w:tab/>
      </w:r>
      <w:r w:rsidRPr="00EC34D7">
        <w:tab/>
        <w:t>Application de la Convention internationale sur l</w:t>
      </w:r>
      <w:r w:rsidR="00A87C47">
        <w:t>’</w:t>
      </w:r>
      <w:r w:rsidRPr="00EC34D7">
        <w:t>élimination de toutes les formes de discrimination raciale</w:t>
      </w:r>
    </w:p>
    <w:p w:rsidR="005C151F" w:rsidRDefault="005C151F" w:rsidP="00250FC7">
      <w:pPr>
        <w:pStyle w:val="H1G"/>
      </w:pPr>
      <w:r w:rsidRPr="00EC34D7">
        <w:tab/>
      </w:r>
      <w:r w:rsidRPr="00EC34D7">
        <w:tab/>
        <w:t xml:space="preserve">Liste de thèmes à </w:t>
      </w:r>
      <w:r>
        <w:t>traiter à l</w:t>
      </w:r>
      <w:r w:rsidR="00A87C47">
        <w:t>’</w:t>
      </w:r>
      <w:r>
        <w:t xml:space="preserve">occasion </w:t>
      </w:r>
      <w:r w:rsidRPr="00EC34D7">
        <w:t>de l</w:t>
      </w:r>
      <w:r w:rsidR="00A87C47">
        <w:t>’</w:t>
      </w:r>
      <w:r w:rsidRPr="00EC34D7">
        <w:t>examen du rapport initial</w:t>
      </w:r>
      <w:r w:rsidR="00250FC7">
        <w:br/>
      </w:r>
      <w:r>
        <w:t xml:space="preserve">et deuxième à </w:t>
      </w:r>
      <w:r w:rsidRPr="00EC34D7">
        <w:t>quatrième rapport</w:t>
      </w:r>
      <w:r>
        <w:t>s</w:t>
      </w:r>
      <w:r w:rsidRPr="00EC34D7">
        <w:t xml:space="preserve"> périodique</w:t>
      </w:r>
      <w:r>
        <w:t>s</w:t>
      </w:r>
      <w:r w:rsidRPr="00EC34D7">
        <w:t xml:space="preserve"> du Kenya (CERD/C/KEN/1-4)</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7653"/>
      </w:tblGrid>
      <w:tr w:rsidR="005C151F" w:rsidTr="005C151F">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5C151F" w:rsidRDefault="005C151F" w:rsidP="005C151F"/>
        </w:tc>
      </w:tr>
      <w:tr w:rsidR="005C151F" w:rsidTr="005C151F">
        <w:trPr>
          <w:jc w:val="center"/>
        </w:trPr>
        <w:tc>
          <w:tcPr>
            <w:tcW w:w="7653" w:type="dxa"/>
            <w:tcBorders>
              <w:left w:val="single" w:sz="4" w:space="0" w:color="auto"/>
              <w:bottom w:val="nil"/>
              <w:right w:val="single" w:sz="4" w:space="0" w:color="auto"/>
            </w:tcBorders>
            <w:shd w:val="clear" w:color="auto" w:fill="auto"/>
          </w:tcPr>
          <w:p w:rsidR="005C151F" w:rsidRDefault="005C151F" w:rsidP="00186EA0">
            <w:pPr>
              <w:spacing w:after="120"/>
              <w:ind w:firstLine="567"/>
              <w:jc w:val="both"/>
            </w:pPr>
            <w:r w:rsidRPr="00EC34D7">
              <w:t xml:space="preserve">On trouvera ci-après une liste de thèmes </w:t>
            </w:r>
            <w:r>
              <w:t xml:space="preserve">définis </w:t>
            </w:r>
            <w:r w:rsidRPr="00EC34D7">
              <w:t xml:space="preserve">par le rapporteur de pays </w:t>
            </w:r>
            <w:r>
              <w:t xml:space="preserve">aux fins </w:t>
            </w:r>
            <w:r w:rsidRPr="00EC34D7">
              <w:t>de l</w:t>
            </w:r>
            <w:r w:rsidR="00A87C47">
              <w:t>’</w:t>
            </w:r>
            <w:r w:rsidRPr="00EC34D7">
              <w:t xml:space="preserve">examen du rapport initial au quatrième rapport périodique du Kenya. Cette liste a </w:t>
            </w:r>
            <w:r>
              <w:t xml:space="preserve">pour but de structurer </w:t>
            </w:r>
            <w:r w:rsidRPr="00EC34D7">
              <w:t>le dialogue entre la délégation de l</w:t>
            </w:r>
            <w:r w:rsidR="00A87C47">
              <w:t>’</w:t>
            </w:r>
            <w:r w:rsidRPr="00EC34D7">
              <w:t>État partie et le Comité et n</w:t>
            </w:r>
            <w:r w:rsidR="00A87C47">
              <w:t>’</w:t>
            </w:r>
            <w:r w:rsidRPr="00EC34D7">
              <w:t xml:space="preserve">appelle pas de réponses écrites. </w:t>
            </w:r>
            <w:r>
              <w:t>Elle n</w:t>
            </w:r>
            <w:r w:rsidR="00A87C47">
              <w:t>’</w:t>
            </w:r>
            <w:r>
              <w:t xml:space="preserve">est pas </w:t>
            </w:r>
            <w:r w:rsidRPr="00EC34D7">
              <w:t>exhaustive</w:t>
            </w:r>
            <w:r>
              <w:t>;</w:t>
            </w:r>
            <w:r w:rsidRPr="00EC34D7">
              <w:t xml:space="preserve"> d</w:t>
            </w:r>
            <w:r w:rsidR="00A87C47">
              <w:t>’</w:t>
            </w:r>
            <w:r w:rsidRPr="00EC34D7">
              <w:t xml:space="preserve">autres questions </w:t>
            </w:r>
            <w:r>
              <w:t xml:space="preserve">pourront être abordées </w:t>
            </w:r>
            <w:r w:rsidRPr="00EC34D7">
              <w:t>au cours du dialogue.</w:t>
            </w:r>
          </w:p>
        </w:tc>
      </w:tr>
      <w:tr w:rsidR="005C151F" w:rsidTr="005C151F">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5C151F" w:rsidRDefault="005C151F" w:rsidP="005C151F"/>
        </w:tc>
      </w:tr>
    </w:tbl>
    <w:p w:rsidR="005C151F" w:rsidRPr="00EC34D7" w:rsidRDefault="005C151F" w:rsidP="005C151F">
      <w:pPr>
        <w:pStyle w:val="H1G"/>
      </w:pPr>
      <w:r w:rsidRPr="00EC34D7">
        <w:tab/>
        <w:t>1.</w:t>
      </w:r>
      <w:r w:rsidRPr="00EC34D7">
        <w:tab/>
        <w:t>Cadre juridique aux fins de l</w:t>
      </w:r>
      <w:r w:rsidR="00A87C47">
        <w:t>’</w:t>
      </w:r>
      <w:r w:rsidRPr="00EC34D7">
        <w:t>application de la Convention (art. 1</w:t>
      </w:r>
      <w:r w:rsidRPr="00EC34D7">
        <w:rPr>
          <w:vertAlign w:val="superscript"/>
        </w:rPr>
        <w:t>er</w:t>
      </w:r>
      <w:r w:rsidRPr="00EC34D7">
        <w:t>, 2, 3 et 4)</w:t>
      </w:r>
    </w:p>
    <w:p w:rsidR="005C151F" w:rsidRPr="00EC34D7" w:rsidRDefault="005C151F" w:rsidP="00186EA0">
      <w:pPr>
        <w:pStyle w:val="SingleTxtG"/>
        <w:ind w:firstLine="567"/>
      </w:pPr>
      <w:r w:rsidRPr="00EC34D7">
        <w:t>a)</w:t>
      </w:r>
      <w:r w:rsidRPr="00EC34D7">
        <w:tab/>
        <w:t>Incorporation dans le droit interne des dispositions de la Convention et d</w:t>
      </w:r>
      <w:r w:rsidR="00A87C47">
        <w:t>’</w:t>
      </w:r>
      <w:r w:rsidRPr="00EC34D7">
        <w:t xml:space="preserve">autres </w:t>
      </w:r>
      <w:r>
        <w:t xml:space="preserve">instruments </w:t>
      </w:r>
      <w:r w:rsidRPr="00EC34D7">
        <w:t>internationaux en vertu de la Constitution de 2010 (CERD/C/KEN/1-4, par. 24);</w:t>
      </w:r>
    </w:p>
    <w:p w:rsidR="005C151F" w:rsidRPr="00EC34D7" w:rsidRDefault="005C151F" w:rsidP="00186EA0">
      <w:pPr>
        <w:pStyle w:val="SingleTxtG"/>
        <w:ind w:firstLine="567"/>
      </w:pPr>
      <w:r w:rsidRPr="00EC34D7">
        <w:t>b)</w:t>
      </w:r>
      <w:r w:rsidRPr="00EC34D7">
        <w:tab/>
        <w:t xml:space="preserve">Mise en œuvre de la Constitution de 2010 </w:t>
      </w:r>
      <w:r>
        <w:t xml:space="preserve">et </w:t>
      </w:r>
      <w:r w:rsidRPr="00EC34D7">
        <w:t xml:space="preserve">modifications législatives </w:t>
      </w:r>
      <w:r>
        <w:t xml:space="preserve">visant </w:t>
      </w:r>
      <w:r w:rsidRPr="00EC34D7">
        <w:t>l</w:t>
      </w:r>
      <w:r w:rsidR="00A87C47">
        <w:t>’</w:t>
      </w:r>
      <w:r w:rsidRPr="00EC34D7">
        <w:t>interdiction de la discrimination raciale (CERD/C/KEN/1-4, par. 35, 44);</w:t>
      </w:r>
    </w:p>
    <w:p w:rsidR="005C151F" w:rsidRPr="00EC34D7" w:rsidRDefault="005C151F" w:rsidP="00186EA0">
      <w:pPr>
        <w:pStyle w:val="SingleTxtG"/>
        <w:ind w:firstLine="567"/>
      </w:pPr>
      <w:r w:rsidRPr="00EC34D7">
        <w:t>c)</w:t>
      </w:r>
      <w:r w:rsidRPr="00EC34D7">
        <w:tab/>
        <w:t xml:space="preserve">Dispositions pénales spécifiques concernant la ségrégation raciale/ethnique et </w:t>
      </w:r>
      <w:r>
        <w:t>prise en compte de la motivation</w:t>
      </w:r>
      <w:r w:rsidRPr="00EC34D7">
        <w:t xml:space="preserve"> </w:t>
      </w:r>
      <w:r>
        <w:t>raciale et ethnique</w:t>
      </w:r>
      <w:r w:rsidRPr="00EC34D7">
        <w:t xml:space="preserve"> de l</w:t>
      </w:r>
      <w:r w:rsidR="00A87C47">
        <w:t>’</w:t>
      </w:r>
      <w:r w:rsidRPr="00EC34D7">
        <w:t>auteur d</w:t>
      </w:r>
      <w:r w:rsidR="00A87C47">
        <w:t>’</w:t>
      </w:r>
      <w:r w:rsidRPr="00EC34D7">
        <w:t>une infraction comme circonstance aggravante (CERD/C/KEN/1-4, par. 42);</w:t>
      </w:r>
    </w:p>
    <w:p w:rsidR="005C151F" w:rsidRPr="00EC34D7" w:rsidRDefault="005C151F" w:rsidP="00186EA0">
      <w:pPr>
        <w:pStyle w:val="SingleTxtG"/>
        <w:ind w:firstLine="567"/>
      </w:pPr>
      <w:r w:rsidRPr="00EC34D7">
        <w:t>d)</w:t>
      </w:r>
      <w:r w:rsidRPr="00EC34D7">
        <w:tab/>
        <w:t>Informations actualisées sur le projet de loi concernant le</w:t>
      </w:r>
      <w:r>
        <w:t xml:space="preserve">s propos </w:t>
      </w:r>
      <w:r w:rsidRPr="00EC34D7">
        <w:t>haineux (CERD/C/KEN/1-4, par. 205).</w:t>
      </w:r>
    </w:p>
    <w:p w:rsidR="005C151F" w:rsidRPr="00EC34D7" w:rsidRDefault="005C151F" w:rsidP="005C151F">
      <w:pPr>
        <w:pStyle w:val="H1G"/>
      </w:pPr>
      <w:r w:rsidRPr="00EC34D7">
        <w:tab/>
        <w:t>2.</w:t>
      </w:r>
      <w:r w:rsidRPr="00EC34D7">
        <w:tab/>
        <w:t>Prévention de la violence interethnique (art. 2, 4 et 5)</w:t>
      </w:r>
    </w:p>
    <w:p w:rsidR="005C151F" w:rsidRPr="00EC34D7" w:rsidRDefault="005C151F" w:rsidP="00186EA0">
      <w:pPr>
        <w:pStyle w:val="SingleTxtG"/>
        <w:ind w:firstLine="567"/>
      </w:pPr>
      <w:r w:rsidRPr="00EC34D7">
        <w:t>a)</w:t>
      </w:r>
      <w:r w:rsidRPr="00EC34D7">
        <w:tab/>
        <w:t xml:space="preserve">Solutions et mesures à long terme </w:t>
      </w:r>
      <w:r w:rsidR="009D36FA">
        <w:t xml:space="preserve">visant à </w:t>
      </w:r>
      <w:r w:rsidRPr="00EC34D7">
        <w:t>remédier aux tensions interethniques dans les bidonvilles de Nairobi et</w:t>
      </w:r>
      <w:r w:rsidR="009D36FA">
        <w:t xml:space="preserve"> à</w:t>
      </w:r>
      <w:r w:rsidRPr="00EC34D7">
        <w:t xml:space="preserve"> prévenir les violences ethniques en général, </w:t>
      </w:r>
      <w:r w:rsidR="009D36FA">
        <w:t xml:space="preserve">et </w:t>
      </w:r>
      <w:r w:rsidRPr="00EC34D7">
        <w:t>mécanismes en place pour améliorer la sécurité physique de tous (A/HRC/WG.6/8/KEN/3, par. 18 et 19);</w:t>
      </w:r>
    </w:p>
    <w:p w:rsidR="005C151F" w:rsidRPr="00EC34D7" w:rsidRDefault="005C151F" w:rsidP="00186EA0">
      <w:pPr>
        <w:pStyle w:val="SingleTxtG"/>
        <w:ind w:firstLine="567"/>
      </w:pPr>
      <w:r w:rsidRPr="00EC34D7">
        <w:t>b)</w:t>
      </w:r>
      <w:r w:rsidRPr="00EC34D7">
        <w:tab/>
        <w:t xml:space="preserve">Mesures prises pour garantir la sécurité des personnes déplacées </w:t>
      </w:r>
      <w:r w:rsidR="009D36FA">
        <w:t>à la suite des</w:t>
      </w:r>
      <w:r w:rsidR="00A87C47">
        <w:t xml:space="preserve"> </w:t>
      </w:r>
      <w:r w:rsidRPr="00EC34D7">
        <w:t xml:space="preserve">violences </w:t>
      </w:r>
      <w:r w:rsidR="00186EA0">
        <w:t>post</w:t>
      </w:r>
      <w:r w:rsidR="009D36FA">
        <w:t xml:space="preserve">électorales </w:t>
      </w:r>
      <w:r w:rsidRPr="00EC34D7">
        <w:t>de 2007 qui souhaitent rentrer chez elles (CERD/C/KEN/1-4, par. 131).</w:t>
      </w:r>
    </w:p>
    <w:p w:rsidR="005C151F" w:rsidRPr="00EC34D7" w:rsidRDefault="005C151F" w:rsidP="005C151F">
      <w:pPr>
        <w:pStyle w:val="H1G"/>
      </w:pPr>
      <w:r w:rsidRPr="00EC34D7">
        <w:tab/>
        <w:t>3.</w:t>
      </w:r>
      <w:r w:rsidRPr="00EC34D7">
        <w:tab/>
        <w:t>Égalité devant la loi dans l</w:t>
      </w:r>
      <w:r w:rsidR="00A87C47">
        <w:t>’</w:t>
      </w:r>
      <w:r w:rsidRPr="00EC34D7">
        <w:t>exercice des droits civils, économiques, sociaux et culturels (art. 5)</w:t>
      </w:r>
    </w:p>
    <w:p w:rsidR="005C151F" w:rsidRPr="00EC34D7" w:rsidRDefault="005C151F" w:rsidP="00186EA0">
      <w:pPr>
        <w:pStyle w:val="SingleTxtG"/>
        <w:ind w:firstLine="567"/>
      </w:pPr>
      <w:r w:rsidRPr="00EC34D7">
        <w:t>a)</w:t>
      </w:r>
      <w:r w:rsidRPr="00EC34D7">
        <w:tab/>
        <w:t>Mesures efficaces prises pour remédier à la discrimination contre les Nubiens, le</w:t>
      </w:r>
      <w:r w:rsidR="009D36FA">
        <w:t>s Somaliens, les Arabes de la cô</w:t>
      </w:r>
      <w:r w:rsidRPr="00EC34D7">
        <w:t>te et d</w:t>
      </w:r>
      <w:r w:rsidR="00A87C47">
        <w:t>’</w:t>
      </w:r>
      <w:r w:rsidRPr="00EC34D7">
        <w:t>autres groupes dans l</w:t>
      </w:r>
      <w:r w:rsidR="00A87C47">
        <w:t>’</w:t>
      </w:r>
      <w:r w:rsidRPr="00EC34D7">
        <w:t>acquisition de la national</w:t>
      </w:r>
      <w:r w:rsidR="009D36FA">
        <w:t>ité kenyane</w:t>
      </w:r>
      <w:r w:rsidRPr="00EC34D7">
        <w:t xml:space="preserve"> </w:t>
      </w:r>
      <w:r w:rsidR="009D36FA">
        <w:t xml:space="preserve">compte tenu, </w:t>
      </w:r>
      <w:r w:rsidR="009D36FA" w:rsidRPr="00EC34D7">
        <w:t>en particulier</w:t>
      </w:r>
      <w:r w:rsidR="009D36FA">
        <w:t>,</w:t>
      </w:r>
      <w:r w:rsidR="009D36FA" w:rsidRPr="00EC34D7">
        <w:t xml:space="preserve"> </w:t>
      </w:r>
      <w:r w:rsidRPr="00EC34D7">
        <w:t xml:space="preserve">des dispositions </w:t>
      </w:r>
      <w:r w:rsidR="009D36FA">
        <w:t xml:space="preserve">de la nouvelle Constitution relatives à la nationalité </w:t>
      </w:r>
      <w:r w:rsidRPr="00EC34D7">
        <w:t>(CERD/C/KEN/1-4, par. 45</w:t>
      </w:r>
      <w:r w:rsidR="00186EA0">
        <w:t xml:space="preserve"> et</w:t>
      </w:r>
      <w:r w:rsidRPr="00EC34D7">
        <w:t xml:space="preserve"> 132);</w:t>
      </w:r>
    </w:p>
    <w:p w:rsidR="005C151F" w:rsidRPr="00EC34D7" w:rsidRDefault="005C151F" w:rsidP="00186EA0">
      <w:pPr>
        <w:pStyle w:val="SingleTxtG"/>
        <w:ind w:firstLine="567"/>
      </w:pPr>
      <w:r w:rsidRPr="00EC34D7">
        <w:t>b)</w:t>
      </w:r>
      <w:r w:rsidRPr="00EC34D7">
        <w:tab/>
        <w:t xml:space="preserve">Incidences </w:t>
      </w:r>
      <w:r w:rsidR="009D36FA">
        <w:t>des mesures d</w:t>
      </w:r>
      <w:r w:rsidR="00A87C47">
        <w:t>’</w:t>
      </w:r>
      <w:r w:rsidRPr="00EC34D7">
        <w:t xml:space="preserve">action </w:t>
      </w:r>
      <w:r w:rsidR="00FA11F4">
        <w:t>positive (CERD/C/KEN/1-4, par. 2</w:t>
      </w:r>
      <w:r w:rsidRPr="00EC34D7">
        <w:t xml:space="preserve">09) et informations sur la mise en œuvre des dispositions constitutionnelles </w:t>
      </w:r>
      <w:r w:rsidR="009D36FA">
        <w:t xml:space="preserve">en faveur de </w:t>
      </w:r>
      <w:r w:rsidRPr="00EC34D7">
        <w:t xml:space="preserve">la représentation </w:t>
      </w:r>
      <w:r w:rsidR="009D36FA">
        <w:t xml:space="preserve">des différentes ethnies </w:t>
      </w:r>
      <w:r w:rsidRPr="00EC34D7">
        <w:t>dans les partis politiques ainsi que dans les organisations et organismes publics (CERD/C/KEN/1-4, par. 44);</w:t>
      </w:r>
    </w:p>
    <w:p w:rsidR="005C151F" w:rsidRPr="00EC34D7" w:rsidRDefault="005C151F" w:rsidP="00186EA0">
      <w:pPr>
        <w:pStyle w:val="SingleTxtG"/>
        <w:ind w:firstLine="567"/>
      </w:pPr>
      <w:r w:rsidRPr="00EC34D7">
        <w:t>c)</w:t>
      </w:r>
      <w:r w:rsidRPr="00EC34D7">
        <w:tab/>
        <w:t>Incidences des politiques et mesures adoptées, telles que la loi sur le Fonds de développement des collectivités de 2003 et le Programme de lutte contre la pauvreté</w:t>
      </w:r>
      <w:r w:rsidR="009D36FA">
        <w:t>,</w:t>
      </w:r>
      <w:r w:rsidRPr="00EC34D7">
        <w:t xml:space="preserve"> sur la réduction des disparités ethniques et régionales dans l</w:t>
      </w:r>
      <w:r w:rsidR="00A87C47">
        <w:t>’</w:t>
      </w:r>
      <w:r w:rsidRPr="00EC34D7">
        <w:t xml:space="preserve">exercice des droits économiques, sociaux et culturels, </w:t>
      </w:r>
      <w:r w:rsidR="009D36FA">
        <w:t xml:space="preserve">notamment le </w:t>
      </w:r>
      <w:r w:rsidRPr="00EC34D7">
        <w:t>droit à la santé et à l</w:t>
      </w:r>
      <w:r w:rsidR="00A87C47">
        <w:t>’</w:t>
      </w:r>
      <w:r w:rsidR="009D36FA">
        <w:t>éducation (CERD/C/KEN/1-4, par. </w:t>
      </w:r>
      <w:r w:rsidRPr="00EC34D7">
        <w:t>53);</w:t>
      </w:r>
    </w:p>
    <w:p w:rsidR="005C151F" w:rsidRPr="00EC34D7" w:rsidRDefault="005C151F" w:rsidP="00186EA0">
      <w:pPr>
        <w:pStyle w:val="SingleTxtG"/>
        <w:ind w:firstLine="567"/>
      </w:pPr>
      <w:r w:rsidRPr="00EC34D7">
        <w:t>d)</w:t>
      </w:r>
      <w:r w:rsidRPr="00EC34D7">
        <w:tab/>
      </w:r>
      <w:r w:rsidR="009D36FA">
        <w:t xml:space="preserve">Fourniture </w:t>
      </w:r>
      <w:r w:rsidRPr="00EC34D7">
        <w:t xml:space="preserve">de données </w:t>
      </w:r>
      <w:r w:rsidR="009D36FA" w:rsidRPr="00EC34D7">
        <w:t xml:space="preserve">ventilées par </w:t>
      </w:r>
      <w:r w:rsidRPr="00EC34D7">
        <w:t xml:space="preserve">origine ethnique </w:t>
      </w:r>
      <w:r w:rsidR="00B00406">
        <w:t xml:space="preserve">sur les </w:t>
      </w:r>
      <w:r w:rsidRPr="00EC34D7">
        <w:t xml:space="preserve">droits économiques, sociaux et culturels, </w:t>
      </w:r>
      <w:r w:rsidR="00B00406">
        <w:t xml:space="preserve">comme celles </w:t>
      </w:r>
      <w:r w:rsidRPr="00EC34D7">
        <w:t>recueilli</w:t>
      </w:r>
      <w:r w:rsidR="00B00406">
        <w:t>e</w:t>
      </w:r>
      <w:r w:rsidRPr="00EC34D7">
        <w:t xml:space="preserve">s </w:t>
      </w:r>
      <w:r w:rsidR="00B00406">
        <w:t xml:space="preserve">lors </w:t>
      </w:r>
      <w:r w:rsidRPr="00EC34D7">
        <w:t>du recensement d</w:t>
      </w:r>
      <w:r w:rsidR="00A87C47">
        <w:t>’</w:t>
      </w:r>
      <w:r w:rsidRPr="00EC34D7">
        <w:t>août 2009 (CERD/C/KEN/1-4, par. 32);</w:t>
      </w:r>
    </w:p>
    <w:p w:rsidR="005C151F" w:rsidRPr="00EC34D7" w:rsidRDefault="005C151F" w:rsidP="00186EA0">
      <w:pPr>
        <w:pStyle w:val="SingleTxtG"/>
        <w:ind w:firstLine="567"/>
      </w:pPr>
      <w:r w:rsidRPr="00EC34D7">
        <w:t>e)</w:t>
      </w:r>
      <w:r w:rsidRPr="00EC34D7">
        <w:tab/>
        <w:t xml:space="preserve">Progrès accomplis dans la mise en œuvre de la politique nationale foncière et mesure dans laquelle elle a permis de résoudre les tensions ethniques </w:t>
      </w:r>
      <w:r w:rsidR="00B00406">
        <w:t xml:space="preserve">liées à </w:t>
      </w:r>
      <w:r w:rsidRPr="00EC34D7">
        <w:t xml:space="preserve">la terre ainsi que les plaintes de certains groupes ethniques, y compris ceux qui ont été expulsés de </w:t>
      </w:r>
      <w:r w:rsidR="00B00406">
        <w:t xml:space="preserve">force </w:t>
      </w:r>
      <w:r w:rsidRPr="00EC34D7">
        <w:t>(CERD/C/KEN/1-4, par. 57, 141 et 201; A/HRC/WG.6/8/KEN/3, par. 65);</w:t>
      </w:r>
    </w:p>
    <w:p w:rsidR="005C151F" w:rsidRPr="00EC34D7" w:rsidRDefault="005C151F" w:rsidP="00186EA0">
      <w:pPr>
        <w:pStyle w:val="SingleTxtG"/>
        <w:ind w:firstLine="567"/>
      </w:pPr>
      <w:r w:rsidRPr="00EC34D7">
        <w:t>f)</w:t>
      </w:r>
      <w:r w:rsidRPr="00EC34D7">
        <w:tab/>
        <w:t xml:space="preserve">Mesures prises pour améliorer les conditions dans le camp de réfugiés de Dabaab, </w:t>
      </w:r>
      <w:r w:rsidR="00B00406">
        <w:t xml:space="preserve">compte tenu </w:t>
      </w:r>
      <w:r w:rsidRPr="00EC34D7">
        <w:t>de la sécheresse qui sévit actuellement (A/HRC/WG.6/8/KEN/3</w:t>
      </w:r>
      <w:r w:rsidR="00B00406">
        <w:t>, par. </w:t>
      </w:r>
      <w:r w:rsidRPr="00EC34D7">
        <w:t>68).</w:t>
      </w:r>
    </w:p>
    <w:p w:rsidR="005C151F" w:rsidRPr="00EC34D7" w:rsidRDefault="005C151F" w:rsidP="005C151F">
      <w:pPr>
        <w:pStyle w:val="H1G"/>
      </w:pPr>
      <w:r w:rsidRPr="00EC34D7">
        <w:tab/>
        <w:t>4.</w:t>
      </w:r>
      <w:r w:rsidRPr="00EC34D7">
        <w:tab/>
        <w:t>Droit d</w:t>
      </w:r>
      <w:r w:rsidR="00A87C47">
        <w:t>’</w:t>
      </w:r>
      <w:r w:rsidRPr="00EC34D7">
        <w:t>accès à la justice (art. 6)</w:t>
      </w:r>
    </w:p>
    <w:p w:rsidR="005C151F" w:rsidRPr="00EC34D7" w:rsidRDefault="005C151F" w:rsidP="00186EA0">
      <w:pPr>
        <w:pStyle w:val="SingleTxtG"/>
        <w:ind w:firstLine="567"/>
      </w:pPr>
      <w:r w:rsidRPr="00EC34D7">
        <w:t>a)</w:t>
      </w:r>
      <w:r w:rsidRPr="00EC34D7">
        <w:tab/>
        <w:t>Moyens d</w:t>
      </w:r>
      <w:r w:rsidR="00A87C47">
        <w:t>’</w:t>
      </w:r>
      <w:r w:rsidRPr="00EC34D7">
        <w:t xml:space="preserve">obtenir réparation pour </w:t>
      </w:r>
      <w:r w:rsidR="00B00406">
        <w:t xml:space="preserve">les victimes de </w:t>
      </w:r>
      <w:r w:rsidRPr="00EC34D7">
        <w:t>discrimination raciale et ethnique au titre de la nouvelle Constitution et disponibilité et accessibilité de ces moyens, en particulier pour les groupes vulnérables tels que ceux qui vivent dans les zones arides et semi-</w:t>
      </w:r>
      <w:r w:rsidR="00FA11F4">
        <w:t>arides (CERD/C/KEN/1-4, par. 95,</w:t>
      </w:r>
      <w:r w:rsidRPr="00EC34D7">
        <w:t xml:space="preserve"> 96 et 197); application du Programme </w:t>
      </w:r>
      <w:r w:rsidR="00B00406" w:rsidRPr="00EC34D7">
        <w:t>national</w:t>
      </w:r>
      <w:r w:rsidR="00B00406">
        <w:t xml:space="preserve"> </w:t>
      </w:r>
      <w:r w:rsidRPr="00EC34D7">
        <w:t>d</w:t>
      </w:r>
      <w:r w:rsidR="00A87C47">
        <w:t>’</w:t>
      </w:r>
      <w:r w:rsidR="00B00406">
        <w:t>aide juridique</w:t>
      </w:r>
      <w:r w:rsidRPr="00EC34D7">
        <w:t xml:space="preserve">, notamment dans les zones </w:t>
      </w:r>
      <w:r w:rsidR="00B00406">
        <w:t>rurales et reculées (CERD/C/KEN/1-4, par. </w:t>
      </w:r>
      <w:r w:rsidRPr="00EC34D7">
        <w:t>100);</w:t>
      </w:r>
    </w:p>
    <w:p w:rsidR="005C151F" w:rsidRPr="00EC34D7" w:rsidRDefault="005C151F" w:rsidP="00186EA0">
      <w:pPr>
        <w:pStyle w:val="SingleTxtG"/>
        <w:ind w:firstLine="567"/>
      </w:pPr>
      <w:r w:rsidRPr="00EC34D7">
        <w:t>b)</w:t>
      </w:r>
      <w:r w:rsidRPr="00EC34D7">
        <w:tab/>
        <w:t>Résultats des activités de la Commission pour la vérité, la justice et la réconciliation, y compris des informations sur les mesures de réparation offertes aux victimes, l</w:t>
      </w:r>
      <w:r w:rsidR="00B00406">
        <w:t xml:space="preserve">es </w:t>
      </w:r>
      <w:r w:rsidRPr="00EC34D7">
        <w:t>amnistie</w:t>
      </w:r>
      <w:r w:rsidR="00B00406">
        <w:t>s</w:t>
      </w:r>
      <w:r w:rsidRPr="00EC34D7">
        <w:t xml:space="preserve"> </w:t>
      </w:r>
      <w:r w:rsidR="00B00406">
        <w:t xml:space="preserve">accordées </w:t>
      </w:r>
      <w:r w:rsidRPr="00EC34D7">
        <w:t xml:space="preserve">et les recommandations </w:t>
      </w:r>
      <w:r w:rsidR="00B00406">
        <w:t>visant à poursuivre en justice l</w:t>
      </w:r>
      <w:r w:rsidRPr="00EC34D7">
        <w:t>es auteurs d</w:t>
      </w:r>
      <w:r w:rsidR="00A87C47">
        <w:t>’</w:t>
      </w:r>
      <w:r w:rsidRPr="00EC34D7">
        <w:t xml:space="preserve">actes </w:t>
      </w:r>
      <w:r w:rsidR="00B00406">
        <w:t>de racisme</w:t>
      </w:r>
      <w:r w:rsidRPr="00EC34D7">
        <w:t>, informations actualisées sur la prorogation du mandat de la Commission et l</w:t>
      </w:r>
      <w:r w:rsidR="00A87C47">
        <w:t>’</w:t>
      </w:r>
      <w:r w:rsidRPr="00EC34D7">
        <w:t>affectation de ressources appropriées (A/HRC/WG.6/8/KEN/1, par. 26);</w:t>
      </w:r>
    </w:p>
    <w:p w:rsidR="005C151F" w:rsidRPr="00EC34D7" w:rsidRDefault="005C151F" w:rsidP="00186EA0">
      <w:pPr>
        <w:pStyle w:val="SingleTxtG"/>
        <w:ind w:firstLine="567"/>
      </w:pPr>
      <w:r w:rsidRPr="00EC34D7">
        <w:t>c)</w:t>
      </w:r>
      <w:r w:rsidRPr="00EC34D7">
        <w:tab/>
        <w:t>Efforts entrepris pour renforcer la protection des témoins (A/HRC/WG.6/8/KEN/1, par. 35 et 36);</w:t>
      </w:r>
    </w:p>
    <w:p w:rsidR="005C151F" w:rsidRPr="00EC34D7" w:rsidRDefault="005C151F" w:rsidP="00186EA0">
      <w:pPr>
        <w:pStyle w:val="SingleTxtG"/>
        <w:ind w:firstLine="567"/>
      </w:pPr>
      <w:r w:rsidRPr="00EC34D7">
        <w:t>d)</w:t>
      </w:r>
      <w:r w:rsidRPr="00EC34D7">
        <w:tab/>
      </w:r>
      <w:r w:rsidR="00B00406">
        <w:t>Coopération avec la Cour pénale internationale en vue de traduire en justice les auteurs des actes de violence postélectorale de 2007 (CERD/C/KEN/1-4, par. 25 et 28).</w:t>
      </w:r>
    </w:p>
    <w:p w:rsidR="005C151F" w:rsidRPr="00EC34D7" w:rsidRDefault="005C151F" w:rsidP="005C151F">
      <w:pPr>
        <w:pStyle w:val="H1G"/>
      </w:pPr>
      <w:r w:rsidRPr="00EC34D7">
        <w:tab/>
        <w:t>5.</w:t>
      </w:r>
      <w:r w:rsidRPr="00EC34D7">
        <w:tab/>
        <w:t>Éducation (art. 7)</w:t>
      </w:r>
    </w:p>
    <w:p w:rsidR="005C151F" w:rsidRDefault="005C151F" w:rsidP="00B7469F">
      <w:pPr>
        <w:pStyle w:val="SingleTxtG"/>
        <w:ind w:firstLine="567"/>
      </w:pPr>
      <w:r w:rsidRPr="005C151F">
        <w:t>a)</w:t>
      </w:r>
      <w:r w:rsidRPr="005C151F">
        <w:tab/>
        <w:t>Efforts, y compris activités menées par le Ministère de la justice, de la cohésion nationale et des affaires constitutionnelles</w:t>
      </w:r>
      <w:r w:rsidRPr="00EC34D7">
        <w:t>, pour continuer à promouvoir la compréhension et lutter contre les préjugés et les stéréotypes en éduquant la population et en renforçant la sensibilisation et l</w:t>
      </w:r>
      <w:r w:rsidR="00A87C47">
        <w:t>’</w:t>
      </w:r>
      <w:r w:rsidRPr="00EC34D7">
        <w:t>éducation aux droits de l</w:t>
      </w:r>
      <w:r w:rsidR="00A87C47">
        <w:t>’</w:t>
      </w:r>
      <w:r w:rsidRPr="00EC34D7">
        <w:t>homme, en mettant l</w:t>
      </w:r>
      <w:r w:rsidR="00A87C47">
        <w:t>’</w:t>
      </w:r>
      <w:r w:rsidRPr="00EC34D7">
        <w:t>accent sur la non-discrimination et le respect de la diversité (CERD/C/KEN/1-4, par. 71 et 78; A/HRC/WG.6/8/KEN/1, par. 62).</w:t>
      </w:r>
    </w:p>
    <w:p w:rsidR="005C151F" w:rsidRPr="005C151F" w:rsidRDefault="005C151F" w:rsidP="005C151F">
      <w:pPr>
        <w:pStyle w:val="SingleTxtG"/>
        <w:spacing w:before="240" w:after="0"/>
        <w:jc w:val="center"/>
        <w:rPr>
          <w:u w:val="single"/>
        </w:rPr>
      </w:pPr>
      <w:r>
        <w:rPr>
          <w:u w:val="single"/>
        </w:rPr>
        <w:tab/>
      </w:r>
      <w:r>
        <w:rPr>
          <w:u w:val="single"/>
        </w:rPr>
        <w:tab/>
      </w:r>
      <w:r>
        <w:rPr>
          <w:u w:val="single"/>
        </w:rPr>
        <w:tab/>
      </w:r>
    </w:p>
    <w:sectPr w:rsidR="005C151F" w:rsidRPr="005C151F" w:rsidSect="008D375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686" w:rsidRDefault="00045686"/>
  </w:endnote>
  <w:endnote w:type="continuationSeparator" w:id="0">
    <w:p w:rsidR="00045686" w:rsidRDefault="00045686"/>
  </w:endnote>
  <w:endnote w:type="continuationNotice" w:id="1">
    <w:p w:rsidR="00045686" w:rsidRDefault="000456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A3" w:rsidRPr="008D3751" w:rsidRDefault="00DB44A3" w:rsidP="008D3751">
    <w:pPr>
      <w:pStyle w:val="Footer"/>
      <w:tabs>
        <w:tab w:val="right" w:pos="9638"/>
      </w:tabs>
    </w:pPr>
    <w:r w:rsidRPr="008D3751">
      <w:rPr>
        <w:b/>
        <w:sz w:val="18"/>
      </w:rPr>
      <w:fldChar w:fldCharType="begin"/>
    </w:r>
    <w:r w:rsidRPr="008D3751">
      <w:rPr>
        <w:b/>
        <w:sz w:val="18"/>
      </w:rPr>
      <w:instrText xml:space="preserve"> PAGE  \* MERGEFORMAT </w:instrText>
    </w:r>
    <w:r w:rsidRPr="008D3751">
      <w:rPr>
        <w:b/>
        <w:sz w:val="18"/>
      </w:rPr>
      <w:fldChar w:fldCharType="separate"/>
    </w:r>
    <w:r w:rsidR="00974433">
      <w:rPr>
        <w:b/>
        <w:noProof/>
        <w:sz w:val="18"/>
      </w:rPr>
      <w:t>2</w:t>
    </w:r>
    <w:r w:rsidRPr="008D3751">
      <w:rPr>
        <w:b/>
        <w:sz w:val="18"/>
      </w:rPr>
      <w:fldChar w:fldCharType="end"/>
    </w:r>
    <w:r>
      <w:rPr>
        <w:b/>
        <w:sz w:val="18"/>
      </w:rPr>
      <w:tab/>
    </w:r>
    <w:r>
      <w:t>GE.11-44396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A3" w:rsidRPr="008D3751" w:rsidRDefault="00DB44A3" w:rsidP="008D3751">
    <w:pPr>
      <w:pStyle w:val="Footer"/>
      <w:tabs>
        <w:tab w:val="right" w:pos="9638"/>
      </w:tabs>
      <w:rPr>
        <w:b/>
        <w:sz w:val="18"/>
      </w:rPr>
    </w:pPr>
    <w:r>
      <w:t>GE.11-44396</w:t>
    </w:r>
    <w:r>
      <w:tab/>
    </w:r>
    <w:r w:rsidRPr="008D3751">
      <w:rPr>
        <w:b/>
        <w:sz w:val="18"/>
      </w:rPr>
      <w:fldChar w:fldCharType="begin"/>
    </w:r>
    <w:r w:rsidRPr="008D3751">
      <w:rPr>
        <w:b/>
        <w:sz w:val="18"/>
      </w:rPr>
      <w:instrText xml:space="preserve"> PAGE  \* MERGEFORMAT </w:instrText>
    </w:r>
    <w:r w:rsidRPr="008D3751">
      <w:rPr>
        <w:b/>
        <w:sz w:val="18"/>
      </w:rPr>
      <w:fldChar w:fldCharType="separate"/>
    </w:r>
    <w:r w:rsidR="00974433">
      <w:rPr>
        <w:b/>
        <w:noProof/>
        <w:sz w:val="18"/>
      </w:rPr>
      <w:t>3</w:t>
    </w:r>
    <w:r w:rsidRPr="008D37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A3" w:rsidRDefault="00DB44A3">
    <w:pPr>
      <w:pStyle w:val="Footer"/>
    </w:pPr>
    <w:r>
      <w:rPr>
        <w:sz w:val="20"/>
      </w:rPr>
      <w:t>GE.11-44396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110811    110811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686" w:rsidRPr="00D27D5E" w:rsidRDefault="00045686" w:rsidP="00D27D5E">
      <w:pPr>
        <w:tabs>
          <w:tab w:val="right" w:pos="2155"/>
        </w:tabs>
        <w:spacing w:after="80"/>
        <w:ind w:left="680"/>
        <w:rPr>
          <w:u w:val="single"/>
        </w:rPr>
      </w:pPr>
      <w:r>
        <w:rPr>
          <w:u w:val="single"/>
        </w:rPr>
        <w:tab/>
      </w:r>
    </w:p>
  </w:footnote>
  <w:footnote w:type="continuationSeparator" w:id="0">
    <w:p w:rsidR="00045686" w:rsidRPr="00AA7FE7" w:rsidRDefault="00045686" w:rsidP="00AA7FE7">
      <w:pPr>
        <w:tabs>
          <w:tab w:val="right" w:pos="2155"/>
        </w:tabs>
        <w:spacing w:after="80"/>
        <w:ind w:left="680"/>
        <w:rPr>
          <w:u w:val="single"/>
        </w:rPr>
      </w:pPr>
      <w:r w:rsidRPr="00AA7FE7">
        <w:rPr>
          <w:u w:val="single"/>
        </w:rPr>
        <w:tab/>
      </w:r>
    </w:p>
  </w:footnote>
  <w:footnote w:type="continuationNotice" w:id="1">
    <w:p w:rsidR="00045686" w:rsidRDefault="000456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A3" w:rsidRPr="008D3751" w:rsidRDefault="00DB44A3">
    <w:pPr>
      <w:pStyle w:val="Header"/>
    </w:pPr>
    <w:r>
      <w:t>CERD/C/KEN/Q/1-4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A3" w:rsidRPr="008D3751" w:rsidRDefault="00DB44A3" w:rsidP="008D3751">
    <w:pPr>
      <w:pStyle w:val="Header"/>
      <w:jc w:val="right"/>
    </w:pPr>
    <w:r>
      <w:t>CERD/C/KEN/Q/1-4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090A"/>
    <w:rsid w:val="00016AC5"/>
    <w:rsid w:val="00045686"/>
    <w:rsid w:val="00054609"/>
    <w:rsid w:val="0008108E"/>
    <w:rsid w:val="000A6F55"/>
    <w:rsid w:val="000E7579"/>
    <w:rsid w:val="000F41F2"/>
    <w:rsid w:val="000F7598"/>
    <w:rsid w:val="001231AD"/>
    <w:rsid w:val="001450E6"/>
    <w:rsid w:val="00150465"/>
    <w:rsid w:val="00160540"/>
    <w:rsid w:val="00186EA0"/>
    <w:rsid w:val="00192EEB"/>
    <w:rsid w:val="00197832"/>
    <w:rsid w:val="001A20FB"/>
    <w:rsid w:val="001B3867"/>
    <w:rsid w:val="001D72C5"/>
    <w:rsid w:val="001D7F8A"/>
    <w:rsid w:val="001E3FEB"/>
    <w:rsid w:val="001E4A02"/>
    <w:rsid w:val="00225A8C"/>
    <w:rsid w:val="00250FC7"/>
    <w:rsid w:val="002626D4"/>
    <w:rsid w:val="002659F1"/>
    <w:rsid w:val="00265CD7"/>
    <w:rsid w:val="00287E79"/>
    <w:rsid w:val="002928F9"/>
    <w:rsid w:val="002A5D07"/>
    <w:rsid w:val="002D3F03"/>
    <w:rsid w:val="002E0D40"/>
    <w:rsid w:val="002E5B0C"/>
    <w:rsid w:val="00300D06"/>
    <w:rsid w:val="003016B7"/>
    <w:rsid w:val="003515AA"/>
    <w:rsid w:val="00374106"/>
    <w:rsid w:val="003832DE"/>
    <w:rsid w:val="003976D5"/>
    <w:rsid w:val="003D6C68"/>
    <w:rsid w:val="004159D0"/>
    <w:rsid w:val="00472145"/>
    <w:rsid w:val="00540389"/>
    <w:rsid w:val="00543D5E"/>
    <w:rsid w:val="00571F41"/>
    <w:rsid w:val="00593658"/>
    <w:rsid w:val="005C151F"/>
    <w:rsid w:val="005E5D1F"/>
    <w:rsid w:val="006034FC"/>
    <w:rsid w:val="00611D43"/>
    <w:rsid w:val="00612D48"/>
    <w:rsid w:val="00616B45"/>
    <w:rsid w:val="00630D9B"/>
    <w:rsid w:val="00631953"/>
    <w:rsid w:val="006439EC"/>
    <w:rsid w:val="00657120"/>
    <w:rsid w:val="00693E16"/>
    <w:rsid w:val="006B4590"/>
    <w:rsid w:val="006C340C"/>
    <w:rsid w:val="006D7B0B"/>
    <w:rsid w:val="006E6AE5"/>
    <w:rsid w:val="006F39E4"/>
    <w:rsid w:val="0070347C"/>
    <w:rsid w:val="007176C1"/>
    <w:rsid w:val="007231EF"/>
    <w:rsid w:val="0078670C"/>
    <w:rsid w:val="007F55CB"/>
    <w:rsid w:val="00844750"/>
    <w:rsid w:val="008B44C4"/>
    <w:rsid w:val="008D2259"/>
    <w:rsid w:val="008D3751"/>
    <w:rsid w:val="008E7FAE"/>
    <w:rsid w:val="00911BF7"/>
    <w:rsid w:val="00974433"/>
    <w:rsid w:val="00977EC8"/>
    <w:rsid w:val="009C17F5"/>
    <w:rsid w:val="009D36FA"/>
    <w:rsid w:val="009D3A8C"/>
    <w:rsid w:val="009E7956"/>
    <w:rsid w:val="00A2492E"/>
    <w:rsid w:val="00A82B6C"/>
    <w:rsid w:val="00A87C47"/>
    <w:rsid w:val="00AA7FE7"/>
    <w:rsid w:val="00AB3173"/>
    <w:rsid w:val="00AC01AA"/>
    <w:rsid w:val="00AC67A1"/>
    <w:rsid w:val="00AC7977"/>
    <w:rsid w:val="00AE352C"/>
    <w:rsid w:val="00B00406"/>
    <w:rsid w:val="00B32E2D"/>
    <w:rsid w:val="00B61990"/>
    <w:rsid w:val="00B7469F"/>
    <w:rsid w:val="00BB7A0E"/>
    <w:rsid w:val="00BF0056"/>
    <w:rsid w:val="00BF0556"/>
    <w:rsid w:val="00C03431"/>
    <w:rsid w:val="00C261F8"/>
    <w:rsid w:val="00C33100"/>
    <w:rsid w:val="00CD1A71"/>
    <w:rsid w:val="00CD1FBB"/>
    <w:rsid w:val="00D016B5"/>
    <w:rsid w:val="00D034F1"/>
    <w:rsid w:val="00D27D5E"/>
    <w:rsid w:val="00D37345"/>
    <w:rsid w:val="00DB44A3"/>
    <w:rsid w:val="00DC156C"/>
    <w:rsid w:val="00DE6D90"/>
    <w:rsid w:val="00DF002F"/>
    <w:rsid w:val="00E0090A"/>
    <w:rsid w:val="00E0244D"/>
    <w:rsid w:val="00E42D5E"/>
    <w:rsid w:val="00E81E94"/>
    <w:rsid w:val="00E82607"/>
    <w:rsid w:val="00EC5A42"/>
    <w:rsid w:val="00F63BC6"/>
    <w:rsid w:val="00FA11F4"/>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rsid w:val="005C15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ar">
    <w:name w:val="_ Single Txt_G Car"/>
    <w:link w:val="SingleTxtG"/>
    <w:rsid w:val="005C151F"/>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836</Words>
  <Characters>4810</Characters>
  <Application>Microsoft Office Word</Application>
  <DocSecurity>4</DocSecurity>
  <Lines>96</Lines>
  <Paragraphs>41</Paragraphs>
  <ScaleCrop>false</ScaleCrop>
  <HeadingPairs>
    <vt:vector size="2" baseType="variant">
      <vt:variant>
        <vt:lpstr>Titre</vt:lpstr>
      </vt:variant>
      <vt:variant>
        <vt:i4>1</vt:i4>
      </vt:variant>
    </vt:vector>
  </HeadingPairs>
  <TitlesOfParts>
    <vt:vector size="1" baseType="lpstr">
      <vt:lpstr>CERD/C/KEN/Q/1-4</vt:lpstr>
    </vt:vector>
  </TitlesOfParts>
  <Company>CSD</Company>
  <LinksUpToDate>false</LinksUpToDate>
  <CharactersWithSpaces>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CERD/C/KEN/Q/1-4</dc:title>
  <dc:subject>Final</dc:subject>
  <dc:creator>Lamy</dc:creator>
  <cp:keywords/>
  <dc:description/>
  <cp:lastModifiedBy>Devouassoux</cp:lastModifiedBy>
  <cp:revision>3</cp:revision>
  <cp:lastPrinted>2011-08-11T16:32:00Z</cp:lastPrinted>
  <dcterms:created xsi:type="dcterms:W3CDTF">2011-08-11T16:32:00Z</dcterms:created>
  <dcterms:modified xsi:type="dcterms:W3CDTF">2011-08-11T16:32:00Z</dcterms:modified>
</cp:coreProperties>
</file>