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D66C9C9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97637B1" w14:textId="77777777" w:rsidR="002D5AAC" w:rsidRDefault="002D5AAC" w:rsidP="00112F5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7434C4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BD31F5B" w14:textId="77777777" w:rsidR="002D5AAC" w:rsidRDefault="00112F5A" w:rsidP="00112F5A">
            <w:pPr>
              <w:jc w:val="right"/>
            </w:pPr>
            <w:r w:rsidRPr="00112F5A">
              <w:rPr>
                <w:sz w:val="40"/>
              </w:rPr>
              <w:t>A</w:t>
            </w:r>
            <w:r>
              <w:t>/HRC/RES/44/1</w:t>
            </w:r>
          </w:p>
        </w:tc>
      </w:tr>
      <w:tr w:rsidR="002D5AAC" w:rsidRPr="00DA2172" w14:paraId="6D186C4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B581B27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84A650F" wp14:editId="3913CC6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16A02E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50BC5AD" w14:textId="77777777" w:rsidR="002D5AAC" w:rsidRDefault="00112F5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FAB43D5" w14:textId="77777777" w:rsidR="00112F5A" w:rsidRDefault="00112F5A" w:rsidP="00112F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21 July 2020</w:t>
            </w:r>
          </w:p>
          <w:p w14:paraId="08560EE2" w14:textId="77777777" w:rsidR="00112F5A" w:rsidRDefault="00112F5A" w:rsidP="00112F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885B909" w14:textId="77777777" w:rsidR="00112F5A" w:rsidRPr="00E71476" w:rsidRDefault="00112F5A" w:rsidP="00112F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CFFC49A" w14:textId="77777777" w:rsidR="00112F5A" w:rsidRPr="00112F5A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B2620E2" w14:textId="77777777" w:rsidR="00112F5A" w:rsidRDefault="00112F5A" w:rsidP="00112F5A">
      <w:pPr>
        <w:rPr>
          <w:b/>
        </w:rPr>
      </w:pPr>
      <w:r>
        <w:rPr>
          <w:b/>
          <w:bCs/>
        </w:rPr>
        <w:t>Сорок четвертая сессия</w:t>
      </w:r>
    </w:p>
    <w:p w14:paraId="60C86F3E" w14:textId="77777777" w:rsidR="00112F5A" w:rsidRDefault="00112F5A" w:rsidP="00112F5A">
      <w:r>
        <w:t xml:space="preserve">30 июня </w:t>
      </w:r>
      <w:r w:rsidRPr="00112F5A">
        <w:t>—</w:t>
      </w:r>
      <w:r>
        <w:t xml:space="preserve"> 17 июля 2020 года</w:t>
      </w:r>
    </w:p>
    <w:p w14:paraId="04608202" w14:textId="77777777" w:rsidR="00112F5A" w:rsidRDefault="00112F5A" w:rsidP="00112F5A">
      <w:r>
        <w:t>Пункт 2 повестки дня</w:t>
      </w:r>
    </w:p>
    <w:p w14:paraId="05682A19" w14:textId="77777777" w:rsidR="00112F5A" w:rsidRDefault="00112F5A" w:rsidP="00112F5A">
      <w:pPr>
        <w:rPr>
          <w:b/>
        </w:rPr>
      </w:pPr>
      <w:r>
        <w:rPr>
          <w:b/>
          <w:bCs/>
        </w:rPr>
        <w:t xml:space="preserve">Ежегодный доклад Верховного комиссара </w:t>
      </w:r>
      <w:r>
        <w:rPr>
          <w:b/>
          <w:bCs/>
        </w:rPr>
        <w:br/>
        <w:t xml:space="preserve">Организации Объединенных Наций по правам </w:t>
      </w:r>
      <w:r>
        <w:rPr>
          <w:b/>
          <w:bCs/>
        </w:rPr>
        <w:br/>
        <w:t xml:space="preserve">человека и доклады Управления Верховного </w:t>
      </w:r>
      <w:r>
        <w:rPr>
          <w:b/>
          <w:bCs/>
        </w:rPr>
        <w:br/>
        <w:t>комиссара и Генерального секретаря</w:t>
      </w:r>
    </w:p>
    <w:p w14:paraId="0823AA5F" w14:textId="77777777" w:rsidR="00112F5A" w:rsidRPr="00F4031A" w:rsidRDefault="00112F5A" w:rsidP="00112F5A">
      <w:pPr>
        <w:pStyle w:val="HChG"/>
      </w:pPr>
      <w:r w:rsidRPr="00F4031A">
        <w:tab/>
      </w:r>
      <w:r w:rsidRPr="00F4031A">
        <w:tab/>
      </w:r>
      <w:r>
        <w:rPr>
          <w:bCs/>
        </w:rPr>
        <w:t>Резолюция, принятая Советом по правам человека 16</w:t>
      </w:r>
      <w:r>
        <w:rPr>
          <w:bCs/>
          <w:lang w:val="en-US"/>
        </w:rPr>
        <w:t> </w:t>
      </w:r>
      <w:r>
        <w:rPr>
          <w:bCs/>
        </w:rPr>
        <w:t>июля 2020 года</w:t>
      </w:r>
    </w:p>
    <w:p w14:paraId="5B4BB535" w14:textId="77777777" w:rsidR="00112F5A" w:rsidRPr="00F4031A" w:rsidRDefault="00112F5A" w:rsidP="00112F5A">
      <w:pPr>
        <w:pStyle w:val="H1G"/>
      </w:pPr>
      <w:r>
        <w:tab/>
        <w:t>44/1.</w:t>
      </w:r>
      <w:r>
        <w:tab/>
        <w:t>Положение в области прав человека в Эритрее</w:t>
      </w:r>
    </w:p>
    <w:p w14:paraId="0273A306" w14:textId="77777777" w:rsidR="00112F5A" w:rsidRPr="00F4031A" w:rsidRDefault="00112F5A" w:rsidP="00112F5A">
      <w:pPr>
        <w:spacing w:after="120"/>
        <w:ind w:left="1134" w:right="1134"/>
        <w:jc w:val="both"/>
        <w:rPr>
          <w:i/>
          <w:iCs/>
        </w:rPr>
      </w:pPr>
      <w:r w:rsidRPr="00F4031A">
        <w:tab/>
      </w:r>
      <w:r w:rsidRPr="00F4031A">
        <w:tab/>
      </w:r>
      <w:r w:rsidRPr="00F4031A">
        <w:rPr>
          <w:i/>
          <w:iCs/>
        </w:rPr>
        <w:t>Совет по правам человека,</w:t>
      </w:r>
    </w:p>
    <w:p w14:paraId="2941DED2" w14:textId="77777777" w:rsidR="00112F5A" w:rsidRDefault="00112F5A" w:rsidP="00112F5A">
      <w:pPr>
        <w:pStyle w:val="SingleTxtG"/>
        <w:ind w:firstLine="567"/>
      </w:pPr>
      <w:r w:rsidRPr="00F4031A"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о правах человека,</w:t>
      </w:r>
    </w:p>
    <w:p w14:paraId="5F0DD643" w14:textId="77777777" w:rsidR="00112F5A" w:rsidRDefault="00112F5A" w:rsidP="00112F5A">
      <w:pPr>
        <w:pStyle w:val="SingleTxtG"/>
        <w:ind w:firstLine="567"/>
      </w:pPr>
      <w:r w:rsidRPr="00F4031A">
        <w:rPr>
          <w:i/>
          <w:iCs/>
        </w:rPr>
        <w:t>ссылаясь</w:t>
      </w:r>
      <w:r>
        <w:t xml:space="preserve"> на резолюцию 60/251 Генеральной Ассамблеи от 15 марта 2006 года, резолюции 5/1 и 5/2 Совета по правам человека от 18 июня 2007 года, резолюцию 91 и решения 250/2002, 275/2003 и 428/12 Африканской комиссии по правам человека и народов и все предыдущие резолюции Совета о положении в области прав человека в Эритрее,</w:t>
      </w:r>
    </w:p>
    <w:p w14:paraId="30E1AD1F" w14:textId="77777777" w:rsidR="00112F5A" w:rsidRDefault="00112F5A" w:rsidP="00112F5A">
      <w:pPr>
        <w:pStyle w:val="SingleTxtG"/>
        <w:ind w:firstLine="567"/>
      </w:pPr>
      <w:r w:rsidRPr="00F4031A">
        <w:rPr>
          <w:i/>
          <w:iCs/>
        </w:rPr>
        <w:t>ссылаясь также</w:t>
      </w:r>
      <w:r>
        <w:t xml:space="preserve"> на важные региональные подвижки, произошедшие в последние годы, и тот потенциал, который они несут для развития прав человека в Эритрее,</w:t>
      </w:r>
    </w:p>
    <w:p w14:paraId="5CBB3D80" w14:textId="77777777" w:rsidR="00112F5A" w:rsidRDefault="00112F5A" w:rsidP="00112F5A">
      <w:pPr>
        <w:pStyle w:val="SingleTxtG"/>
        <w:ind w:firstLine="567"/>
      </w:pPr>
      <w:r w:rsidRPr="00F4031A">
        <w:rPr>
          <w:i/>
          <w:iCs/>
        </w:rPr>
        <w:t>приветствуя</w:t>
      </w:r>
      <w:r>
        <w:t xml:space="preserve"> приверженность Правительства Эритреи Целям в области устойчивого развития и его участие в третьем цикле универсального периодического обзора 28 января 2019 года</w:t>
      </w:r>
      <w:r>
        <w:rPr>
          <w:rStyle w:val="aa"/>
        </w:rPr>
        <w:footnoteReference w:id="1"/>
      </w:r>
      <w:r>
        <w:t xml:space="preserve"> и в диалоге по правам человека с Комитетом по ликвидации дискриминации в отношении женщин 14 февраля 2020 года</w:t>
      </w:r>
      <w:r w:rsidR="00313E3D">
        <w:rPr>
          <w:rStyle w:val="aa"/>
        </w:rPr>
        <w:footnoteReference w:id="2"/>
      </w:r>
      <w:r>
        <w:t>,</w:t>
      </w:r>
    </w:p>
    <w:p w14:paraId="16333D08" w14:textId="77777777" w:rsidR="00112F5A" w:rsidRDefault="00112F5A" w:rsidP="00112F5A">
      <w:pPr>
        <w:pStyle w:val="SingleTxtG"/>
        <w:ind w:firstLine="567"/>
      </w:pPr>
      <w:r w:rsidRPr="00F4031A">
        <w:rPr>
          <w:i/>
          <w:iCs/>
        </w:rPr>
        <w:t>приветствуя</w:t>
      </w:r>
      <w:r>
        <w:t xml:space="preserve"> также доклад Специального докладчика по вопросу о положении в области прав человека в Эритрее</w:t>
      </w:r>
      <w:r>
        <w:rPr>
          <w:rStyle w:val="aa"/>
        </w:rPr>
        <w:footnoteReference w:id="3"/>
      </w:r>
      <w:r>
        <w:t xml:space="preserve"> и ее выводы,</w:t>
      </w:r>
    </w:p>
    <w:p w14:paraId="46B9141A" w14:textId="77777777" w:rsidR="00112F5A" w:rsidRDefault="00112F5A" w:rsidP="00112F5A">
      <w:pPr>
        <w:pStyle w:val="SingleTxtG"/>
        <w:ind w:firstLine="567"/>
      </w:pPr>
      <w:r>
        <w:t>1.</w:t>
      </w:r>
      <w:r>
        <w:tab/>
      </w:r>
      <w:r w:rsidRPr="002766C3">
        <w:rPr>
          <w:i/>
          <w:iCs/>
        </w:rPr>
        <w:t xml:space="preserve">просит </w:t>
      </w:r>
      <w:r>
        <w:t>Управление Верховного комиссара Организации Объединенных Наций по правам человека представить Совету по правам человека на его сорок шестой сессии устную обновленную информацию о достигнутом прогрессе в сотрудничестве между Эритреей и Управлением Верховного комиссара и о его воздействии на положение в области прав человека в Эритрее;</w:t>
      </w:r>
    </w:p>
    <w:p w14:paraId="45450C20" w14:textId="77777777" w:rsidR="00112F5A" w:rsidRDefault="00112F5A" w:rsidP="00112F5A">
      <w:pPr>
        <w:pStyle w:val="SingleTxtG"/>
        <w:ind w:firstLine="567"/>
      </w:pPr>
      <w:r>
        <w:lastRenderedPageBreak/>
        <w:t>2.</w:t>
      </w:r>
      <w:r>
        <w:tab/>
      </w:r>
      <w:r w:rsidRPr="002766C3">
        <w:rPr>
          <w:i/>
          <w:iCs/>
        </w:rPr>
        <w:t>постановляет</w:t>
      </w:r>
      <w:r>
        <w:t xml:space="preserve"> продлить мандат Специального докладчика по вопросу о положении в области прав человека в Эритрее еще на один год и продолжать проводить оценку и сообщать сведения относительно положения в области прав человека в контексте последующих мер в связи с докладом Специального докладчика и просит Специального докладчика представить Совету по правам человека в ходе интерактивного диалога на его сорок шестой сессии устную обновленную информацию и представить в ходе интерактивного диалога Совету на его сорок седьмой сессии и Генеральной Ассамблее на ее семьдесят пятой сессии доклад об осуществлении  мандата;</w:t>
      </w:r>
    </w:p>
    <w:p w14:paraId="04EF09EF" w14:textId="77777777" w:rsidR="00112F5A" w:rsidRDefault="00112F5A" w:rsidP="00112F5A">
      <w:pPr>
        <w:pStyle w:val="SingleTxtG"/>
        <w:ind w:firstLine="567"/>
      </w:pPr>
      <w:r>
        <w:t>3.</w:t>
      </w:r>
      <w:r>
        <w:tab/>
      </w:r>
      <w:r w:rsidRPr="002766C3">
        <w:rPr>
          <w:i/>
          <w:iCs/>
        </w:rPr>
        <w:t>призывает</w:t>
      </w:r>
      <w:r>
        <w:t xml:space="preserve"> Правительство Эритреи в полной мере сотрудничать со Специальным докладчиком, в том числе путем предоставления мандатарию доступа в страну и взятия на себя обязательств по достижению прогресса в отношении предлагаемых контрольных показателей</w:t>
      </w:r>
      <w:r w:rsidR="000D1F50">
        <w:rPr>
          <w:rStyle w:val="aa"/>
          <w:bCs/>
        </w:rPr>
        <w:footnoteReference w:id="4"/>
      </w:r>
      <w:r>
        <w:t>;</w:t>
      </w:r>
      <w:bookmarkStart w:id="0" w:name="_GoBack"/>
      <w:bookmarkEnd w:id="0"/>
    </w:p>
    <w:p w14:paraId="615CD549" w14:textId="77777777" w:rsidR="00112F5A" w:rsidRDefault="00112F5A" w:rsidP="00112F5A">
      <w:pPr>
        <w:pStyle w:val="SingleTxtG"/>
        <w:ind w:firstLine="567"/>
      </w:pPr>
      <w:r>
        <w:t>4.</w:t>
      </w:r>
      <w:r>
        <w:tab/>
      </w:r>
      <w:r w:rsidRPr="002766C3">
        <w:rPr>
          <w:i/>
          <w:iCs/>
        </w:rPr>
        <w:t>просит</w:t>
      </w:r>
      <w:r>
        <w:t xml:space="preserve"> Генерального секретаря предоставить Специальному докладчику всю информацию и ресурсы, необходимые для выполнения мандата;</w:t>
      </w:r>
    </w:p>
    <w:p w14:paraId="416F4BF4" w14:textId="77777777" w:rsidR="00112F5A" w:rsidRDefault="00112F5A" w:rsidP="00112F5A">
      <w:pPr>
        <w:pStyle w:val="SingleTxtG"/>
        <w:ind w:firstLine="567"/>
      </w:pPr>
      <w:r>
        <w:t>5.</w:t>
      </w:r>
      <w:r>
        <w:tab/>
      </w:r>
      <w:r w:rsidRPr="002766C3">
        <w:rPr>
          <w:i/>
          <w:iCs/>
        </w:rPr>
        <w:t xml:space="preserve">постановляет </w:t>
      </w:r>
      <w:r>
        <w:t>продолжать заниматься этим вопросом.</w:t>
      </w:r>
    </w:p>
    <w:p w14:paraId="65C1A1D6" w14:textId="77777777" w:rsidR="00112F5A" w:rsidRPr="00F4031A" w:rsidRDefault="00112F5A" w:rsidP="00112F5A">
      <w:pPr>
        <w:spacing w:after="120"/>
        <w:ind w:left="6804" w:right="1134"/>
        <w:jc w:val="right"/>
        <w:rPr>
          <w:i/>
          <w:iCs/>
        </w:rPr>
      </w:pPr>
      <w:r>
        <w:rPr>
          <w:i/>
          <w:iCs/>
        </w:rPr>
        <w:t>27-е заседание</w:t>
      </w:r>
      <w:r>
        <w:rPr>
          <w:i/>
          <w:iCs/>
        </w:rPr>
        <w:br/>
        <w:t>16 июля 2020 года</w:t>
      </w:r>
    </w:p>
    <w:p w14:paraId="506A728C" w14:textId="77777777" w:rsidR="00112F5A" w:rsidRPr="00F4031A" w:rsidRDefault="00112F5A" w:rsidP="00112F5A">
      <w:pPr>
        <w:pStyle w:val="SingleTxtG"/>
      </w:pPr>
      <w:r>
        <w:t xml:space="preserve">[Принята в результате заносимого в отчет о заседании голосования 24 голосами против 10 при 13 воздержавшихся. Голоса распределились следующим образом: </w:t>
      </w:r>
    </w:p>
    <w:p w14:paraId="1EB93C9A" w14:textId="77777777" w:rsidR="00112F5A" w:rsidRPr="000D1F50" w:rsidRDefault="00112F5A" w:rsidP="00112F5A">
      <w:pPr>
        <w:pStyle w:val="SingleTxtG"/>
        <w:spacing w:after="0"/>
        <w:ind w:left="1701"/>
        <w:rPr>
          <w:color w:val="000000" w:themeColor="text1"/>
        </w:rPr>
      </w:pPr>
      <w:r w:rsidRPr="000D1F50">
        <w:rPr>
          <w:i/>
          <w:iCs/>
          <w:color w:val="000000" w:themeColor="text1"/>
        </w:rPr>
        <w:t>Голосовали за:</w:t>
      </w:r>
      <w:r w:rsidRPr="000D1F50">
        <w:rPr>
          <w:color w:val="000000" w:themeColor="text1"/>
        </w:rPr>
        <w:t xml:space="preserve"> </w:t>
      </w:r>
    </w:p>
    <w:p w14:paraId="4356AE52" w14:textId="77777777" w:rsidR="00112F5A" w:rsidRPr="000D1F50" w:rsidRDefault="00112F5A" w:rsidP="00112F5A">
      <w:pPr>
        <w:pStyle w:val="SingleTxtG"/>
        <w:ind w:left="2268"/>
        <w:rPr>
          <w:color w:val="000000" w:themeColor="text1"/>
        </w:rPr>
      </w:pPr>
      <w:r w:rsidRPr="000D1F50">
        <w:rPr>
          <w:color w:val="000000" w:themeColor="text1"/>
        </w:rPr>
        <w:t>Австралия, Австрия, Аргентина, Армения, Афганистан, Болгария, Бразилия, Германия, Дания, Испания, Италия, Маршалловы Острова, Мексика, Нидерланды, Перу, Польша, Республика Корея, Словакия, Украина, Уругвай, Фиджи, Чехия, Чили и Япония</w:t>
      </w:r>
      <w:r w:rsidR="00FD08A3" w:rsidRPr="000D1F50">
        <w:rPr>
          <w:color w:val="000000" w:themeColor="text1"/>
        </w:rPr>
        <w:t>.</w:t>
      </w:r>
    </w:p>
    <w:p w14:paraId="6F6A597A" w14:textId="77777777" w:rsidR="00112F5A" w:rsidRPr="000D1F50" w:rsidRDefault="00112F5A" w:rsidP="00112F5A">
      <w:pPr>
        <w:pStyle w:val="SingleTxtG"/>
        <w:spacing w:after="0"/>
        <w:ind w:left="1701"/>
        <w:rPr>
          <w:color w:val="000000" w:themeColor="text1"/>
        </w:rPr>
      </w:pPr>
      <w:r w:rsidRPr="000D1F50">
        <w:rPr>
          <w:i/>
          <w:iCs/>
          <w:color w:val="000000" w:themeColor="text1"/>
        </w:rPr>
        <w:t>Голосовали против:</w:t>
      </w:r>
    </w:p>
    <w:p w14:paraId="5DF7876B" w14:textId="77777777" w:rsidR="00112F5A" w:rsidRPr="000D1F50" w:rsidRDefault="00112F5A" w:rsidP="00112F5A">
      <w:pPr>
        <w:pStyle w:val="SingleTxtG"/>
        <w:ind w:left="2268"/>
        <w:rPr>
          <w:color w:val="000000" w:themeColor="text1"/>
        </w:rPr>
      </w:pPr>
      <w:r w:rsidRPr="000D1F50">
        <w:rPr>
          <w:color w:val="000000" w:themeColor="text1"/>
        </w:rPr>
        <w:t>Бахрейн, Венесуэла (Боливарианская Республика), Индия, Камерун, Ливия, Пакистан, Сомали, Судан, Филиппины и Эритрея</w:t>
      </w:r>
      <w:r w:rsidR="00FD08A3" w:rsidRPr="000D1F50">
        <w:rPr>
          <w:color w:val="000000" w:themeColor="text1"/>
        </w:rPr>
        <w:t>.</w:t>
      </w:r>
    </w:p>
    <w:p w14:paraId="7C12F580" w14:textId="77777777" w:rsidR="00112F5A" w:rsidRPr="000D1F50" w:rsidRDefault="00112F5A" w:rsidP="00112F5A">
      <w:pPr>
        <w:pStyle w:val="SingleTxtG"/>
        <w:spacing w:after="0"/>
        <w:ind w:left="1701"/>
        <w:rPr>
          <w:color w:val="000000" w:themeColor="text1"/>
        </w:rPr>
      </w:pPr>
      <w:r w:rsidRPr="000D1F50">
        <w:rPr>
          <w:i/>
          <w:iCs/>
          <w:color w:val="000000" w:themeColor="text1"/>
        </w:rPr>
        <w:t>Воздержались:</w:t>
      </w:r>
      <w:r w:rsidRPr="000D1F50">
        <w:rPr>
          <w:color w:val="000000" w:themeColor="text1"/>
        </w:rPr>
        <w:t xml:space="preserve"> </w:t>
      </w:r>
    </w:p>
    <w:p w14:paraId="7E612356" w14:textId="3B22CA1B" w:rsidR="00112F5A" w:rsidRPr="000D1F50" w:rsidRDefault="00112F5A" w:rsidP="00112F5A">
      <w:pPr>
        <w:pStyle w:val="SingleTxtG"/>
        <w:ind w:left="2268"/>
        <w:rPr>
          <w:color w:val="000000" w:themeColor="text1"/>
        </w:rPr>
      </w:pPr>
      <w:r w:rsidRPr="000D1F50">
        <w:rPr>
          <w:color w:val="000000" w:themeColor="text1"/>
        </w:rPr>
        <w:t>Ангола, Багамские Острова, Бангладеш, Буркина-Фасо, Демократическая Республика Конго, Индонезия, Катар, Мавритания, Намибия, Непал, Нигерия, Сенегал и Того</w:t>
      </w:r>
      <w:r w:rsidR="00DA2172" w:rsidRPr="00DA2172">
        <w:rPr>
          <w:color w:val="000000" w:themeColor="text1"/>
        </w:rPr>
        <w:t>.</w:t>
      </w:r>
      <w:r w:rsidRPr="000D1F50">
        <w:rPr>
          <w:color w:val="000000" w:themeColor="text1"/>
        </w:rPr>
        <w:t>]</w:t>
      </w:r>
    </w:p>
    <w:p w14:paraId="6F95938C" w14:textId="77777777" w:rsidR="00CB0692" w:rsidRPr="00112F5A" w:rsidRDefault="00112F5A" w:rsidP="00112F5A">
      <w:pPr>
        <w:pStyle w:val="SingleTxtG"/>
        <w:spacing w:before="240" w:after="0"/>
        <w:ind w:left="2268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112F5A" w:rsidSect="00112F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67C0DA" w14:textId="77777777" w:rsidR="00295FD3" w:rsidRPr="00A312BC" w:rsidRDefault="00295FD3" w:rsidP="00A312BC"/>
  </w:endnote>
  <w:endnote w:type="continuationSeparator" w:id="0">
    <w:p w14:paraId="37C2B309" w14:textId="77777777" w:rsidR="00295FD3" w:rsidRPr="00A312BC" w:rsidRDefault="00295FD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3DCFB" w14:textId="77777777" w:rsidR="00112F5A" w:rsidRPr="00112F5A" w:rsidRDefault="00112F5A">
    <w:pPr>
      <w:pStyle w:val="a8"/>
    </w:pPr>
    <w:r w:rsidRPr="00112F5A">
      <w:rPr>
        <w:b/>
        <w:sz w:val="18"/>
      </w:rPr>
      <w:fldChar w:fldCharType="begin"/>
    </w:r>
    <w:r w:rsidRPr="00112F5A">
      <w:rPr>
        <w:b/>
        <w:sz w:val="18"/>
      </w:rPr>
      <w:instrText xml:space="preserve"> PAGE  \* MERGEFORMAT </w:instrText>
    </w:r>
    <w:r w:rsidRPr="00112F5A">
      <w:rPr>
        <w:b/>
        <w:sz w:val="18"/>
      </w:rPr>
      <w:fldChar w:fldCharType="separate"/>
    </w:r>
    <w:r w:rsidRPr="00112F5A">
      <w:rPr>
        <w:b/>
        <w:noProof/>
        <w:sz w:val="18"/>
      </w:rPr>
      <w:t>2</w:t>
    </w:r>
    <w:r w:rsidRPr="00112F5A">
      <w:rPr>
        <w:b/>
        <w:sz w:val="18"/>
      </w:rPr>
      <w:fldChar w:fldCharType="end"/>
    </w:r>
    <w:r>
      <w:rPr>
        <w:b/>
        <w:sz w:val="18"/>
      </w:rPr>
      <w:tab/>
    </w:r>
    <w:r>
      <w:t>GE.20-09791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CD694E" w14:textId="77777777" w:rsidR="00112F5A" w:rsidRPr="00112F5A" w:rsidRDefault="00112F5A" w:rsidP="00112F5A">
    <w:pPr>
      <w:pStyle w:val="a8"/>
      <w:tabs>
        <w:tab w:val="clear" w:pos="9639"/>
        <w:tab w:val="right" w:pos="9638"/>
      </w:tabs>
      <w:rPr>
        <w:b/>
        <w:sz w:val="18"/>
      </w:rPr>
    </w:pPr>
    <w:r>
      <w:t>GE.20-09791</w:t>
    </w:r>
    <w:r>
      <w:tab/>
    </w:r>
    <w:r w:rsidRPr="00112F5A">
      <w:rPr>
        <w:b/>
        <w:sz w:val="18"/>
      </w:rPr>
      <w:fldChar w:fldCharType="begin"/>
    </w:r>
    <w:r w:rsidRPr="00112F5A">
      <w:rPr>
        <w:b/>
        <w:sz w:val="18"/>
      </w:rPr>
      <w:instrText xml:space="preserve"> PAGE  \* MERGEFORMAT </w:instrText>
    </w:r>
    <w:r w:rsidRPr="00112F5A">
      <w:rPr>
        <w:b/>
        <w:sz w:val="18"/>
      </w:rPr>
      <w:fldChar w:fldCharType="separate"/>
    </w:r>
    <w:r w:rsidRPr="00112F5A">
      <w:rPr>
        <w:b/>
        <w:noProof/>
        <w:sz w:val="18"/>
      </w:rPr>
      <w:t>3</w:t>
    </w:r>
    <w:r w:rsidRPr="00112F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951BE" w14:textId="77777777" w:rsidR="00042B72" w:rsidRPr="00112F5A" w:rsidRDefault="00112F5A" w:rsidP="00112F5A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F0DA17D" wp14:editId="18F8F7E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20-09791  (R)</w:t>
    </w:r>
    <w:r>
      <w:rPr>
        <w:lang w:val="en-US"/>
      </w:rPr>
      <w:t xml:space="preserve">  040820  050820</w:t>
    </w:r>
    <w:r>
      <w:br/>
    </w:r>
    <w:r w:rsidRPr="00112F5A">
      <w:rPr>
        <w:rFonts w:ascii="C39T30Lfz" w:hAnsi="C39T30Lfz"/>
        <w:kern w:val="14"/>
        <w:sz w:val="56"/>
      </w:rPr>
      <w:t></w:t>
    </w:r>
    <w:r w:rsidRPr="00112F5A">
      <w:rPr>
        <w:rFonts w:ascii="C39T30Lfz" w:hAnsi="C39T30Lfz"/>
        <w:kern w:val="14"/>
        <w:sz w:val="56"/>
      </w:rPr>
      <w:t></w:t>
    </w:r>
    <w:r w:rsidRPr="00112F5A">
      <w:rPr>
        <w:rFonts w:ascii="C39T30Lfz" w:hAnsi="C39T30Lfz"/>
        <w:kern w:val="14"/>
        <w:sz w:val="56"/>
      </w:rPr>
      <w:t></w:t>
    </w:r>
    <w:r w:rsidRPr="00112F5A">
      <w:rPr>
        <w:rFonts w:ascii="C39T30Lfz" w:hAnsi="C39T30Lfz"/>
        <w:kern w:val="14"/>
        <w:sz w:val="56"/>
      </w:rPr>
      <w:t></w:t>
    </w:r>
    <w:r w:rsidRPr="00112F5A">
      <w:rPr>
        <w:rFonts w:ascii="C39T30Lfz" w:hAnsi="C39T30Lfz"/>
        <w:kern w:val="14"/>
        <w:sz w:val="56"/>
      </w:rPr>
      <w:t></w:t>
    </w:r>
    <w:r w:rsidRPr="00112F5A">
      <w:rPr>
        <w:rFonts w:ascii="C39T30Lfz" w:hAnsi="C39T30Lfz"/>
        <w:kern w:val="14"/>
        <w:sz w:val="56"/>
      </w:rPr>
      <w:t></w:t>
    </w:r>
    <w:r w:rsidRPr="00112F5A">
      <w:rPr>
        <w:rFonts w:ascii="C39T30Lfz" w:hAnsi="C39T30Lfz"/>
        <w:kern w:val="14"/>
        <w:sz w:val="56"/>
      </w:rPr>
      <w:t></w:t>
    </w:r>
    <w:r w:rsidRPr="00112F5A">
      <w:rPr>
        <w:rFonts w:ascii="C39T30Lfz" w:hAnsi="C39T30Lfz"/>
        <w:kern w:val="14"/>
        <w:sz w:val="56"/>
      </w:rPr>
      <w:t></w:t>
    </w:r>
    <w:r w:rsidRPr="00112F5A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24A2072" wp14:editId="10CB879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4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4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5220C0" w14:textId="77777777" w:rsidR="00295FD3" w:rsidRPr="001075E9" w:rsidRDefault="00295FD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57F4900" w14:textId="77777777" w:rsidR="00295FD3" w:rsidRDefault="00295FD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B1E4F79" w14:textId="77777777" w:rsidR="00112F5A" w:rsidRPr="00112F5A" w:rsidRDefault="00112F5A" w:rsidP="00112F5A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  <w:t>A/HRC/41/14.</w:t>
      </w:r>
    </w:p>
  </w:footnote>
  <w:footnote w:id="2">
    <w:p w14:paraId="04DBD311" w14:textId="77777777" w:rsidR="00313E3D" w:rsidRPr="00112F5A" w:rsidRDefault="00313E3D" w:rsidP="00313E3D">
      <w:pPr>
        <w:pStyle w:val="ad"/>
        <w:rPr>
          <w:lang w:val="en-US"/>
        </w:rPr>
      </w:pPr>
      <w:r>
        <w:rPr>
          <w:lang w:val="en-US"/>
        </w:rPr>
        <w:tab/>
      </w:r>
      <w:r>
        <w:rPr>
          <w:rStyle w:val="aa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t>См</w:t>
      </w:r>
      <w:r>
        <w:rPr>
          <w:lang w:val="en-US"/>
        </w:rPr>
        <w:t>. CEDAW/C/ERI/CO/6.</w:t>
      </w:r>
    </w:p>
  </w:footnote>
  <w:footnote w:id="3">
    <w:p w14:paraId="003CDB44" w14:textId="77777777" w:rsidR="00112F5A" w:rsidRPr="00112F5A" w:rsidRDefault="00112F5A" w:rsidP="00112F5A">
      <w:pPr>
        <w:pStyle w:val="ad"/>
        <w:rPr>
          <w:lang w:val="en-US"/>
        </w:rPr>
      </w:pPr>
      <w:r>
        <w:rPr>
          <w:lang w:val="en-US"/>
        </w:rPr>
        <w:tab/>
      </w:r>
      <w:r>
        <w:rPr>
          <w:rStyle w:val="aa"/>
        </w:rPr>
        <w:footnoteRef/>
      </w:r>
      <w:r>
        <w:rPr>
          <w:lang w:val="en-US"/>
        </w:rPr>
        <w:tab/>
        <w:t>A/HRC/44/23.</w:t>
      </w:r>
    </w:p>
  </w:footnote>
  <w:footnote w:id="4">
    <w:p w14:paraId="39B47A00" w14:textId="77777777" w:rsidR="000D1F50" w:rsidRPr="00112F5A" w:rsidRDefault="000D1F50" w:rsidP="000D1F50">
      <w:pPr>
        <w:pStyle w:val="ad"/>
        <w:rPr>
          <w:lang w:val="en-US"/>
        </w:rPr>
      </w:pPr>
      <w:r>
        <w:rPr>
          <w:lang w:val="en-US"/>
        </w:rPr>
        <w:tab/>
      </w:r>
      <w:r>
        <w:rPr>
          <w:rStyle w:val="aa"/>
        </w:rPr>
        <w:footnoteRef/>
      </w:r>
      <w:r>
        <w:rPr>
          <w:lang w:val="en-US"/>
        </w:rPr>
        <w:tab/>
        <w:t xml:space="preserve">A/HRC/41/53, </w:t>
      </w:r>
      <w:r>
        <w:t>пункты</w:t>
      </w:r>
      <w:r>
        <w:rPr>
          <w:lang w:val="en-US"/>
        </w:rPr>
        <w:t xml:space="preserve"> 75–81.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12666" w14:textId="4E5E22FA" w:rsidR="00112F5A" w:rsidRPr="00112F5A" w:rsidRDefault="00D8750F">
    <w:pPr>
      <w:pStyle w:val="a5"/>
    </w:pPr>
    <w:fldSimple w:instr=" TITLE  \* MERGEFORMAT ">
      <w:r w:rsidR="00C37098">
        <w:t>A/HRC/RES/44/1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72431" w14:textId="5A3E7C55" w:rsidR="00112F5A" w:rsidRPr="00112F5A" w:rsidRDefault="00D8750F" w:rsidP="00112F5A">
    <w:pPr>
      <w:pStyle w:val="a5"/>
      <w:jc w:val="right"/>
    </w:pPr>
    <w:fldSimple w:instr=" TITLE  \* MERGEFORMAT ">
      <w:r w:rsidR="00C37098">
        <w:t>A/HRC/RES/44/1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53F25" w14:textId="77777777" w:rsidR="00112F5A" w:rsidRDefault="00112F5A" w:rsidP="00112F5A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FD3"/>
    <w:rsid w:val="00033EE1"/>
    <w:rsid w:val="00040272"/>
    <w:rsid w:val="00041EA6"/>
    <w:rsid w:val="00042B72"/>
    <w:rsid w:val="000558BD"/>
    <w:rsid w:val="000842B4"/>
    <w:rsid w:val="000B57E7"/>
    <w:rsid w:val="000B6373"/>
    <w:rsid w:val="000D1F50"/>
    <w:rsid w:val="000F09DF"/>
    <w:rsid w:val="000F61B2"/>
    <w:rsid w:val="001075E9"/>
    <w:rsid w:val="00112F5A"/>
    <w:rsid w:val="00180183"/>
    <w:rsid w:val="0018024D"/>
    <w:rsid w:val="0018649F"/>
    <w:rsid w:val="00196389"/>
    <w:rsid w:val="001B3EF6"/>
    <w:rsid w:val="001C7A89"/>
    <w:rsid w:val="002501D7"/>
    <w:rsid w:val="00295FD3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3E3D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F772A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251E0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37098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8750F"/>
    <w:rsid w:val="00D90028"/>
    <w:rsid w:val="00D90138"/>
    <w:rsid w:val="00DA2172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EF6068"/>
    <w:rsid w:val="00F43903"/>
    <w:rsid w:val="00F94155"/>
    <w:rsid w:val="00F9783F"/>
    <w:rsid w:val="00FD057A"/>
    <w:rsid w:val="00FD08A3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FDB22F4"/>
  <w15:docId w15:val="{80F813A8-AE1F-46D3-8C3A-EAF43A85E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uiPriority w:val="99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504</Words>
  <Characters>3250</Characters>
  <Application>Microsoft Office Word</Application>
  <DocSecurity>0</DocSecurity>
  <Lines>76</Lines>
  <Paragraphs>33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A/HRC/RES/44/1</vt:lpstr>
      <vt:lpstr>A/</vt:lpstr>
      <vt:lpstr>A/</vt:lpstr>
      <vt:lpstr>A/</vt:lpstr>
    </vt:vector>
  </TitlesOfParts>
  <Company>DCM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A/HRC/RES/44/1</dc:title>
  <dc:subject/>
  <dc:creator>Olga OVTCHINNIKOVA</dc:creator>
  <cp:keywords/>
  <cp:lastModifiedBy>Tatiana Chvets</cp:lastModifiedBy>
  <cp:revision>3</cp:revision>
  <cp:lastPrinted>2020-08-05T12:09:00Z</cp:lastPrinted>
  <dcterms:created xsi:type="dcterms:W3CDTF">2020-08-05T12:09:00Z</dcterms:created>
  <dcterms:modified xsi:type="dcterms:W3CDTF">2020-08-05T12:10:00Z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