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rsidTr="00E82775">
        <w:trPr>
          <w:trHeight w:hRule="exact" w:val="851"/>
        </w:trPr>
        <w:tc>
          <w:tcPr>
            <w:tcW w:w="1280" w:type="dxa"/>
            <w:tcBorders>
              <w:bottom w:val="single" w:sz="4" w:space="0" w:color="auto"/>
            </w:tcBorders>
          </w:tcPr>
          <w:p w:rsidR="00F90004" w:rsidRPr="00F124C6" w:rsidRDefault="00F90004" w:rsidP="00E82775">
            <w:pPr>
              <w:pStyle w:val="H23GC"/>
            </w:pPr>
            <w:bookmarkStart w:id="0" w:name="_GoBack"/>
            <w:bookmarkEnd w:id="0"/>
          </w:p>
        </w:tc>
        <w:tc>
          <w:tcPr>
            <w:tcW w:w="2273" w:type="dxa"/>
            <w:tcBorders>
              <w:bottom w:val="single" w:sz="4" w:space="0" w:color="auto"/>
            </w:tcBorders>
            <w:vAlign w:val="bottom"/>
          </w:tcPr>
          <w:p w:rsidR="00F90004" w:rsidRPr="0050687F" w:rsidRDefault="00F90004" w:rsidP="00E82775">
            <w:pPr>
              <w:spacing w:after="80" w:line="300" w:lineRule="exact"/>
              <w:rPr>
                <w:rFonts w:ascii="Time New Roman" w:eastAsia="SimHei" w:hAnsi="Time New Roman" w:hint="eastAsia"/>
                <w:sz w:val="28"/>
              </w:rPr>
            </w:pPr>
            <w:r w:rsidRPr="0050687F">
              <w:rPr>
                <w:rFonts w:ascii="SimSun" w:eastAsia="SimHei" w:hAnsi="SimSun" w:cs="SimSun" w:hint="eastAsia"/>
                <w:sz w:val="28"/>
              </w:rPr>
              <w:t>联</w:t>
            </w:r>
            <w:r w:rsidRPr="0050687F">
              <w:rPr>
                <w:rFonts w:ascii="Time New Roman" w:eastAsia="SimHei" w:hAnsi="Time New Roman" w:hint="eastAsia"/>
                <w:sz w:val="28"/>
              </w:rPr>
              <w:t xml:space="preserve"> </w:t>
            </w:r>
            <w:r w:rsidRPr="0050687F">
              <w:rPr>
                <w:rFonts w:ascii="SimSun" w:eastAsia="SimHei" w:hAnsi="SimSun" w:cs="SimSun" w:hint="eastAsia"/>
                <w:sz w:val="28"/>
              </w:rPr>
              <w:t>合</w:t>
            </w:r>
            <w:r w:rsidRPr="0050687F">
              <w:rPr>
                <w:rFonts w:ascii="Time New Roman" w:eastAsia="SimHei" w:hAnsi="Time New Roman" w:hint="eastAsia"/>
                <w:sz w:val="28"/>
              </w:rPr>
              <w:t xml:space="preserve"> </w:t>
            </w:r>
            <w:r w:rsidRPr="0050687F">
              <w:rPr>
                <w:rFonts w:ascii="SimSun" w:eastAsia="SimHei" w:hAnsi="SimSun" w:cs="SimSun" w:hint="eastAsia"/>
                <w:sz w:val="28"/>
              </w:rPr>
              <w:t>国</w:t>
            </w:r>
          </w:p>
        </w:tc>
        <w:tc>
          <w:tcPr>
            <w:tcW w:w="6086" w:type="dxa"/>
            <w:gridSpan w:val="2"/>
            <w:tcBorders>
              <w:bottom w:val="single" w:sz="4" w:space="0" w:color="auto"/>
            </w:tcBorders>
            <w:vAlign w:val="bottom"/>
          </w:tcPr>
          <w:p w:rsidR="00F90004" w:rsidRPr="001C1E38" w:rsidRDefault="001C1E38" w:rsidP="00E82775">
            <w:pPr>
              <w:spacing w:line="240" w:lineRule="atLeast"/>
              <w:jc w:val="right"/>
              <w:rPr>
                <w:sz w:val="20"/>
                <w:szCs w:val="21"/>
              </w:rPr>
            </w:pPr>
            <w:r w:rsidRPr="001C1E38">
              <w:rPr>
                <w:sz w:val="40"/>
                <w:szCs w:val="21"/>
              </w:rPr>
              <w:t>C</w:t>
            </w:r>
            <w:r w:rsidRPr="001C1E38">
              <w:rPr>
                <w:sz w:val="40"/>
                <w:szCs w:val="40"/>
              </w:rPr>
              <w:t>MW</w:t>
            </w:r>
            <w:r>
              <w:rPr>
                <w:sz w:val="20"/>
                <w:szCs w:val="21"/>
              </w:rPr>
              <w:t>/C/SEN/CO/2-3</w:t>
            </w:r>
          </w:p>
        </w:tc>
      </w:tr>
      <w:tr w:rsidR="00F90004" w:rsidRPr="00F124C6" w:rsidTr="00E82775">
        <w:trPr>
          <w:trHeight w:hRule="exact" w:val="2835"/>
        </w:trPr>
        <w:tc>
          <w:tcPr>
            <w:tcW w:w="1280" w:type="dxa"/>
            <w:tcBorders>
              <w:top w:val="single" w:sz="4" w:space="0" w:color="auto"/>
              <w:bottom w:val="single" w:sz="12" w:space="0" w:color="auto"/>
            </w:tcBorders>
          </w:tcPr>
          <w:p w:rsidR="00F90004" w:rsidRPr="00F124C6" w:rsidRDefault="00F90004" w:rsidP="00E82775">
            <w:pPr>
              <w:spacing w:line="120" w:lineRule="atLeast"/>
              <w:rPr>
                <w:sz w:val="10"/>
                <w:szCs w:val="10"/>
              </w:rPr>
            </w:pPr>
          </w:p>
          <w:p w:rsidR="00F90004" w:rsidRPr="00F124C6" w:rsidRDefault="00F90004" w:rsidP="00E82775">
            <w:pPr>
              <w:spacing w:line="120" w:lineRule="atLeast"/>
              <w:rPr>
                <w:sz w:val="10"/>
                <w:szCs w:val="10"/>
              </w:rPr>
            </w:pPr>
            <w:r>
              <w:rPr>
                <w:rFonts w:hint="eastAsia"/>
                <w:noProof/>
                <w:snapToGrid/>
              </w:rPr>
              <w:drawing>
                <wp:inline distT="0" distB="0" distL="0" distR="0">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F90004" w:rsidRDefault="00F90004" w:rsidP="00E82775">
            <w:pPr>
              <w:spacing w:before="320" w:line="240" w:lineRule="exact"/>
              <w:rPr>
                <w:rFonts w:ascii="Time New Roman" w:eastAsia="SimHei" w:hAnsi="Time New Roman" w:hint="eastAsia"/>
                <w:sz w:val="32"/>
                <w:szCs w:val="32"/>
              </w:rPr>
            </w:pPr>
            <w:r w:rsidRPr="0063058B">
              <w:rPr>
                <w:rFonts w:ascii="Time New Roman" w:eastAsia="SimHei" w:hAnsi="Time New Roman" w:hint="eastAsia"/>
                <w:sz w:val="32"/>
                <w:szCs w:val="32"/>
              </w:rPr>
              <w:t>保护所有移徙工人及其</w:t>
            </w:r>
          </w:p>
          <w:p w:rsidR="00F90004" w:rsidRPr="004756A4" w:rsidRDefault="00F90004" w:rsidP="00E82775">
            <w:pPr>
              <w:spacing w:before="160" w:line="240" w:lineRule="exact"/>
              <w:rPr>
                <w:rFonts w:eastAsia="SimHei"/>
                <w:sz w:val="32"/>
                <w:szCs w:val="32"/>
              </w:rPr>
            </w:pPr>
            <w:r w:rsidRPr="0063058B">
              <w:rPr>
                <w:rFonts w:ascii="Time New Roman" w:eastAsia="SimHei" w:hAnsi="Time New Roman" w:hint="eastAsia"/>
                <w:sz w:val="32"/>
                <w:szCs w:val="32"/>
              </w:rPr>
              <w:t>家庭成员权利</w:t>
            </w:r>
            <w:r>
              <w:rPr>
                <w:rFonts w:ascii="Time New Roman" w:eastAsia="SimHei" w:hAnsi="Time New Roman" w:hint="eastAsia"/>
                <w:sz w:val="32"/>
                <w:szCs w:val="32"/>
              </w:rPr>
              <w:t>国际</w:t>
            </w:r>
            <w:r w:rsidRPr="0063058B">
              <w:rPr>
                <w:rFonts w:ascii="Time New Roman" w:eastAsia="SimHei" w:hAnsi="Time New Roman" w:hint="eastAsia"/>
                <w:sz w:val="32"/>
                <w:szCs w:val="32"/>
              </w:rPr>
              <w:t>公约</w:t>
            </w:r>
          </w:p>
        </w:tc>
        <w:tc>
          <w:tcPr>
            <w:tcW w:w="2819" w:type="dxa"/>
            <w:tcBorders>
              <w:top w:val="single" w:sz="4" w:space="0" w:color="auto"/>
              <w:bottom w:val="single" w:sz="12" w:space="0" w:color="auto"/>
            </w:tcBorders>
          </w:tcPr>
          <w:p w:rsidR="00F90004" w:rsidRPr="0004600B" w:rsidRDefault="00F90004" w:rsidP="00E82775">
            <w:pPr>
              <w:spacing w:before="240" w:line="240" w:lineRule="atLeast"/>
              <w:rPr>
                <w:sz w:val="20"/>
              </w:rPr>
            </w:pPr>
            <w:r w:rsidRPr="00F124C6">
              <w:rPr>
                <w:sz w:val="20"/>
              </w:rPr>
              <w:t xml:space="preserve">Distr.: </w:t>
            </w:r>
            <w:r w:rsidRPr="004756A4">
              <w:rPr>
                <w:sz w:val="20"/>
              </w:rPr>
              <w:t>General</w:t>
            </w:r>
          </w:p>
          <w:p w:rsidR="00F90004" w:rsidRPr="00F124C6" w:rsidRDefault="00E735D2" w:rsidP="00E82775">
            <w:pPr>
              <w:spacing w:line="240" w:lineRule="atLeast"/>
              <w:rPr>
                <w:sz w:val="20"/>
              </w:rPr>
            </w:pPr>
            <w:r>
              <w:rPr>
                <w:sz w:val="20"/>
              </w:rPr>
              <w:t>20 May</w:t>
            </w:r>
            <w:r w:rsidR="00B55087">
              <w:rPr>
                <w:sz w:val="20"/>
              </w:rPr>
              <w:t xml:space="preserve"> 201</w:t>
            </w:r>
            <w:r w:rsidR="007A792B">
              <w:rPr>
                <w:rFonts w:hint="eastAsia"/>
                <w:sz w:val="20"/>
              </w:rPr>
              <w:t>6</w:t>
            </w:r>
          </w:p>
          <w:p w:rsidR="00F90004" w:rsidRPr="00F124C6" w:rsidRDefault="00F90004" w:rsidP="00E82775">
            <w:pPr>
              <w:spacing w:line="240" w:lineRule="atLeast"/>
              <w:rPr>
                <w:sz w:val="20"/>
              </w:rPr>
            </w:pPr>
            <w:r w:rsidRPr="00F124C6">
              <w:rPr>
                <w:sz w:val="20"/>
              </w:rPr>
              <w:t xml:space="preserve">Chinese </w:t>
            </w:r>
          </w:p>
          <w:p w:rsidR="00F90004" w:rsidRPr="00F124C6" w:rsidRDefault="00F90004" w:rsidP="00E82775">
            <w:pPr>
              <w:spacing w:line="240" w:lineRule="atLeast"/>
            </w:pPr>
            <w:r w:rsidRPr="00F124C6">
              <w:rPr>
                <w:sz w:val="20"/>
              </w:rPr>
              <w:t xml:space="preserve">Original: </w:t>
            </w:r>
            <w:r w:rsidR="00E735D2" w:rsidRPr="00E735D2">
              <w:rPr>
                <w:sz w:val="20"/>
              </w:rPr>
              <w:t>French</w:t>
            </w:r>
          </w:p>
        </w:tc>
      </w:tr>
    </w:tbl>
    <w:p w:rsidR="00F90004" w:rsidRDefault="00F90004" w:rsidP="00F90004">
      <w:pPr>
        <w:spacing w:before="120"/>
        <w:rPr>
          <w:rFonts w:ascii="Time New Roman" w:eastAsia="SimHei" w:hAnsi="Time New Roman" w:hint="eastAsia"/>
          <w:sz w:val="24"/>
          <w:szCs w:val="24"/>
        </w:rPr>
      </w:pPr>
      <w:r w:rsidRPr="0063058B">
        <w:rPr>
          <w:rFonts w:ascii="Time New Roman" w:eastAsia="SimHei" w:hAnsi="Time New Roman" w:hint="eastAsia"/>
          <w:sz w:val="24"/>
          <w:szCs w:val="24"/>
        </w:rPr>
        <w:t>保护所有移徙工人及其</w:t>
      </w:r>
      <w:r>
        <w:rPr>
          <w:rFonts w:eastAsia="SimHei"/>
          <w:sz w:val="24"/>
          <w:szCs w:val="24"/>
        </w:rPr>
        <w:br/>
      </w:r>
      <w:r w:rsidRPr="0063058B">
        <w:rPr>
          <w:rFonts w:ascii="Time New Roman" w:eastAsia="SimHei" w:hAnsi="Time New Roman" w:hint="eastAsia"/>
          <w:sz w:val="24"/>
          <w:szCs w:val="24"/>
        </w:rPr>
        <w:t>家庭成员权利委员会</w:t>
      </w:r>
    </w:p>
    <w:p w:rsidR="00E735D2" w:rsidRDefault="00E735D2" w:rsidP="00E735D2">
      <w:pPr>
        <w:pStyle w:val="HChGC"/>
      </w:pPr>
      <w:r>
        <w:rPr>
          <w:rFonts w:hint="eastAsia"/>
        </w:rPr>
        <w:tab/>
      </w:r>
      <w:r>
        <w:rPr>
          <w:rFonts w:hint="eastAsia"/>
        </w:rPr>
        <w:tab/>
      </w:r>
      <w:r>
        <w:rPr>
          <w:rFonts w:hint="eastAsia"/>
        </w:rPr>
        <w:t>关于塞内加尔第二次和第三次合并定期报告的结论性意见</w:t>
      </w:r>
      <w:r w:rsidRPr="00E735D2">
        <w:footnoteReference w:customMarkFollows="1" w:id="2"/>
        <w:t>*</w:t>
      </w:r>
    </w:p>
    <w:p w:rsidR="00E735D2" w:rsidRDefault="00E735D2" w:rsidP="00E735D2">
      <w:pPr>
        <w:pStyle w:val="SingleTxtGC"/>
      </w:pPr>
      <w:r>
        <w:rPr>
          <w:rFonts w:hint="eastAsia"/>
        </w:rPr>
        <w:t xml:space="preserve">1.  </w:t>
      </w:r>
      <w:r>
        <w:rPr>
          <w:rFonts w:hint="eastAsia"/>
        </w:rPr>
        <w:t>委员会在</w:t>
      </w:r>
      <w:r>
        <w:rPr>
          <w:rFonts w:hint="eastAsia"/>
        </w:rPr>
        <w:t>2016</w:t>
      </w:r>
      <w:r>
        <w:rPr>
          <w:rFonts w:hint="eastAsia"/>
        </w:rPr>
        <w:t>年</w:t>
      </w:r>
      <w:r>
        <w:rPr>
          <w:rFonts w:hint="eastAsia"/>
        </w:rPr>
        <w:t>4</w:t>
      </w:r>
      <w:r>
        <w:rPr>
          <w:rFonts w:hint="eastAsia"/>
        </w:rPr>
        <w:t>月</w:t>
      </w:r>
      <w:r>
        <w:rPr>
          <w:rFonts w:hint="eastAsia"/>
        </w:rPr>
        <w:t>13</w:t>
      </w:r>
      <w:r>
        <w:rPr>
          <w:rFonts w:hint="eastAsia"/>
        </w:rPr>
        <w:t>日和</w:t>
      </w:r>
      <w:r>
        <w:rPr>
          <w:rFonts w:hint="eastAsia"/>
        </w:rPr>
        <w:t>14</w:t>
      </w:r>
      <w:r>
        <w:rPr>
          <w:rFonts w:hint="eastAsia"/>
        </w:rPr>
        <w:t>日举行的第</w:t>
      </w:r>
      <w:r>
        <w:rPr>
          <w:rFonts w:hint="eastAsia"/>
        </w:rPr>
        <w:t>312</w:t>
      </w:r>
      <w:r>
        <w:rPr>
          <w:rFonts w:hint="eastAsia"/>
        </w:rPr>
        <w:t>次和第</w:t>
      </w:r>
      <w:r>
        <w:rPr>
          <w:rFonts w:hint="eastAsia"/>
        </w:rPr>
        <w:t>313</w:t>
      </w:r>
      <w:r>
        <w:rPr>
          <w:rFonts w:hint="eastAsia"/>
        </w:rPr>
        <w:t>次会议</w:t>
      </w:r>
      <w:r>
        <w:rPr>
          <w:rFonts w:hint="eastAsia"/>
        </w:rPr>
        <w:t>(CMW/C/SR.312</w:t>
      </w:r>
      <w:r>
        <w:rPr>
          <w:rFonts w:hint="eastAsia"/>
        </w:rPr>
        <w:t>和</w:t>
      </w:r>
      <w:r>
        <w:rPr>
          <w:rFonts w:hint="eastAsia"/>
        </w:rPr>
        <w:t>313)</w:t>
      </w:r>
      <w:r>
        <w:rPr>
          <w:rFonts w:hint="eastAsia"/>
        </w:rPr>
        <w:t>上审议了塞内加尔第二次和第三次合并定期报告</w:t>
      </w:r>
      <w:r>
        <w:rPr>
          <w:rFonts w:hint="eastAsia"/>
        </w:rPr>
        <w:t>(CMW/C/SEN/2-3)</w:t>
      </w:r>
      <w:r>
        <w:rPr>
          <w:rFonts w:hint="eastAsia"/>
        </w:rPr>
        <w:t>。委员会在</w:t>
      </w:r>
      <w:r>
        <w:rPr>
          <w:rFonts w:hint="eastAsia"/>
        </w:rPr>
        <w:t>2016</w:t>
      </w:r>
      <w:r>
        <w:rPr>
          <w:rFonts w:hint="eastAsia"/>
        </w:rPr>
        <w:t>年</w:t>
      </w:r>
      <w:r>
        <w:rPr>
          <w:rFonts w:hint="eastAsia"/>
        </w:rPr>
        <w:t>4</w:t>
      </w:r>
      <w:r>
        <w:rPr>
          <w:rFonts w:hint="eastAsia"/>
        </w:rPr>
        <w:t>月</w:t>
      </w:r>
      <w:r>
        <w:rPr>
          <w:rFonts w:hint="eastAsia"/>
        </w:rPr>
        <w:t>21</w:t>
      </w:r>
      <w:r>
        <w:rPr>
          <w:rFonts w:hint="eastAsia"/>
        </w:rPr>
        <w:t>日举行的第</w:t>
      </w:r>
      <w:r>
        <w:rPr>
          <w:rFonts w:hint="eastAsia"/>
        </w:rPr>
        <w:t>323</w:t>
      </w:r>
      <w:r>
        <w:rPr>
          <w:rFonts w:hint="eastAsia"/>
        </w:rPr>
        <w:t>次会议上通过了以下结论性意见。</w:t>
      </w:r>
    </w:p>
    <w:p w:rsidR="00E735D2" w:rsidRDefault="00E735D2" w:rsidP="00E735D2">
      <w:pPr>
        <w:pStyle w:val="H1GC"/>
      </w:pPr>
      <w:r>
        <w:rPr>
          <w:rFonts w:hint="eastAsia"/>
        </w:rPr>
        <w:tab/>
        <w:t>A.</w:t>
      </w:r>
      <w:r>
        <w:rPr>
          <w:rFonts w:hint="eastAsia"/>
        </w:rPr>
        <w:tab/>
      </w:r>
      <w:r>
        <w:rPr>
          <w:rFonts w:hint="eastAsia"/>
        </w:rPr>
        <w:t>导言</w:t>
      </w:r>
    </w:p>
    <w:p w:rsidR="00E735D2" w:rsidRDefault="00E735D2" w:rsidP="00E735D2">
      <w:pPr>
        <w:pStyle w:val="SingleTxtGC"/>
      </w:pPr>
      <w:r>
        <w:rPr>
          <w:rFonts w:hint="eastAsia"/>
        </w:rPr>
        <w:t xml:space="preserve">2.  </w:t>
      </w:r>
      <w:r>
        <w:rPr>
          <w:rFonts w:hint="eastAsia"/>
        </w:rPr>
        <w:t>委员会欢迎缔约国提交对报告前问题清单</w:t>
      </w:r>
      <w:r>
        <w:rPr>
          <w:rFonts w:hint="eastAsia"/>
        </w:rPr>
        <w:t>(CMW/C/SEN/QPR/2-3)</w:t>
      </w:r>
      <w:r>
        <w:rPr>
          <w:rFonts w:hint="eastAsia"/>
        </w:rPr>
        <w:t>作出答复的第二次和第三次合并定期报告，以及与多部门代表团进行对话期间所提供的补充资料。多部门代表团由塞内加尔常驻联合国日内瓦办事处代表马姆·巴巴·西塞担任团长，其中包括来自司法部、妇女、家庭和儿童部、劳动、社会对话、职业组织和机构关系部、外交和海外侨民部以及塞内加尔常驻联合国日内瓦办事处代表团的代表。委员会还赞赏与该代表团举行的坦诚、开放和建设性的对话。</w:t>
      </w:r>
    </w:p>
    <w:p w:rsidR="00E735D2" w:rsidRDefault="00E735D2" w:rsidP="00E735D2">
      <w:pPr>
        <w:pStyle w:val="SingleTxtGC"/>
      </w:pPr>
      <w:r>
        <w:rPr>
          <w:rFonts w:hint="eastAsia"/>
        </w:rPr>
        <w:t xml:space="preserve">3.  </w:t>
      </w:r>
      <w:r>
        <w:rPr>
          <w:rFonts w:hint="eastAsia"/>
        </w:rPr>
        <w:t>委员会注意到，塞内加尔作为移徙工人原籍国，在保护海外务工国民的权利方面已取得进展。然而，作为过境国和目的地国，缔约国面临保护其领土内移徙工人权利方面的一些挑战。</w:t>
      </w:r>
    </w:p>
    <w:p w:rsidR="00E735D2" w:rsidRDefault="00E735D2" w:rsidP="00E735D2">
      <w:pPr>
        <w:pStyle w:val="SingleTxtGC"/>
      </w:pPr>
      <w:r>
        <w:rPr>
          <w:rFonts w:hint="eastAsia"/>
        </w:rPr>
        <w:t xml:space="preserve">4.  </w:t>
      </w:r>
      <w:r>
        <w:rPr>
          <w:rFonts w:hint="eastAsia"/>
        </w:rPr>
        <w:t>委员会注意到，塞内加尔移徙工人就业所在地国家部分尚未加入《公约》，这可能会对移徙工人享受《公约》规定的权利构成障碍。</w:t>
      </w:r>
    </w:p>
    <w:p w:rsidR="00E735D2" w:rsidRDefault="00E735D2" w:rsidP="00864CA4">
      <w:pPr>
        <w:pStyle w:val="H1GC"/>
      </w:pPr>
      <w:r>
        <w:rPr>
          <w:rFonts w:hint="eastAsia"/>
        </w:rPr>
        <w:lastRenderedPageBreak/>
        <w:tab/>
        <w:t>B.</w:t>
      </w:r>
      <w:r>
        <w:rPr>
          <w:rFonts w:hint="eastAsia"/>
        </w:rPr>
        <w:tab/>
      </w:r>
      <w:r>
        <w:rPr>
          <w:rFonts w:hint="eastAsia"/>
        </w:rPr>
        <w:t>积极方面</w:t>
      </w:r>
    </w:p>
    <w:p w:rsidR="00E735D2" w:rsidRDefault="00E735D2" w:rsidP="00E735D2">
      <w:pPr>
        <w:pStyle w:val="SingleTxtGC"/>
      </w:pPr>
      <w:r>
        <w:rPr>
          <w:rFonts w:hint="eastAsia"/>
        </w:rPr>
        <w:t xml:space="preserve">5.  </w:t>
      </w:r>
      <w:r>
        <w:rPr>
          <w:rFonts w:hint="eastAsia"/>
        </w:rPr>
        <w:t>委员会欢迎缔约国批准或加入下列国际文书：</w:t>
      </w:r>
    </w:p>
    <w:p w:rsidR="00E735D2" w:rsidRDefault="00E735D2" w:rsidP="00864CA4">
      <w:pPr>
        <w:pStyle w:val="SingleTxtGC"/>
        <w:numPr>
          <w:ilvl w:val="0"/>
          <w:numId w:val="7"/>
        </w:numPr>
      </w:pPr>
      <w:r>
        <w:rPr>
          <w:rFonts w:hint="eastAsia"/>
        </w:rPr>
        <w:t>《残疾人权利公约》，</w:t>
      </w:r>
      <w:r>
        <w:rPr>
          <w:rFonts w:hint="eastAsia"/>
        </w:rPr>
        <w:t>2010</w:t>
      </w:r>
      <w:r>
        <w:rPr>
          <w:rFonts w:hint="eastAsia"/>
        </w:rPr>
        <w:t>年</w:t>
      </w:r>
      <w:r>
        <w:rPr>
          <w:rFonts w:hint="eastAsia"/>
        </w:rPr>
        <w:t>9</w:t>
      </w:r>
      <w:r>
        <w:rPr>
          <w:rFonts w:hint="eastAsia"/>
        </w:rPr>
        <w:t>月；</w:t>
      </w:r>
    </w:p>
    <w:p w:rsidR="00E735D2" w:rsidRDefault="00E735D2" w:rsidP="00864CA4">
      <w:pPr>
        <w:pStyle w:val="SingleTxtGC"/>
        <w:numPr>
          <w:ilvl w:val="0"/>
          <w:numId w:val="7"/>
        </w:numPr>
      </w:pPr>
      <w:r>
        <w:rPr>
          <w:rFonts w:hint="eastAsia"/>
        </w:rPr>
        <w:t>《非洲社会保障会议多边社会保障公约》，</w:t>
      </w:r>
      <w:r>
        <w:rPr>
          <w:rFonts w:hint="eastAsia"/>
        </w:rPr>
        <w:t>2014</w:t>
      </w:r>
      <w:r>
        <w:rPr>
          <w:rFonts w:hint="eastAsia"/>
        </w:rPr>
        <w:t>年</w:t>
      </w:r>
      <w:r>
        <w:rPr>
          <w:rFonts w:hint="eastAsia"/>
        </w:rPr>
        <w:t>6</w:t>
      </w:r>
      <w:r>
        <w:rPr>
          <w:rFonts w:hint="eastAsia"/>
        </w:rPr>
        <w:t>月；</w:t>
      </w:r>
    </w:p>
    <w:p w:rsidR="00E735D2" w:rsidRDefault="00E735D2" w:rsidP="00864CA4">
      <w:pPr>
        <w:pStyle w:val="SingleTxtGC"/>
        <w:numPr>
          <w:ilvl w:val="0"/>
          <w:numId w:val="7"/>
        </w:numPr>
      </w:pPr>
      <w:r>
        <w:rPr>
          <w:rFonts w:hint="eastAsia"/>
        </w:rPr>
        <w:t>《跨国收养方面保护儿童及合作海牙公约》，</w:t>
      </w:r>
      <w:r>
        <w:rPr>
          <w:rFonts w:hint="eastAsia"/>
        </w:rPr>
        <w:t>2011</w:t>
      </w:r>
      <w:r>
        <w:rPr>
          <w:rFonts w:hint="eastAsia"/>
        </w:rPr>
        <w:t>年</w:t>
      </w:r>
      <w:r>
        <w:rPr>
          <w:rFonts w:hint="eastAsia"/>
        </w:rPr>
        <w:t>8</w:t>
      </w:r>
      <w:r>
        <w:rPr>
          <w:rFonts w:hint="eastAsia"/>
        </w:rPr>
        <w:t>月。</w:t>
      </w:r>
    </w:p>
    <w:p w:rsidR="00E735D2" w:rsidRDefault="00E735D2" w:rsidP="00E735D2">
      <w:pPr>
        <w:pStyle w:val="SingleTxtGC"/>
      </w:pPr>
      <w:r>
        <w:rPr>
          <w:rFonts w:hint="eastAsia"/>
        </w:rPr>
        <w:t xml:space="preserve">6.  </w:t>
      </w:r>
      <w:r>
        <w:rPr>
          <w:rFonts w:hint="eastAsia"/>
        </w:rPr>
        <w:t>委员会赞赏地注意到缔约国通过了下列立法措施：</w:t>
      </w:r>
    </w:p>
    <w:p w:rsidR="00E735D2" w:rsidRDefault="00E735D2" w:rsidP="00864CA4">
      <w:pPr>
        <w:pStyle w:val="SingleTxtGC"/>
        <w:numPr>
          <w:ilvl w:val="0"/>
          <w:numId w:val="8"/>
        </w:numPr>
        <w:tabs>
          <w:tab w:val="clear" w:pos="2426"/>
          <w:tab w:val="left" w:pos="2427"/>
        </w:tabs>
      </w:pPr>
      <w:r>
        <w:rPr>
          <w:rFonts w:hint="eastAsia"/>
        </w:rPr>
        <w:t>2003</w:t>
      </w:r>
      <w:r>
        <w:rPr>
          <w:rFonts w:hint="eastAsia"/>
        </w:rPr>
        <w:t>年第</w:t>
      </w:r>
      <w:r>
        <w:rPr>
          <w:rFonts w:hint="eastAsia"/>
        </w:rPr>
        <w:t>3748</w:t>
      </w:r>
      <w:r>
        <w:rPr>
          <w:rFonts w:hint="eastAsia"/>
        </w:rPr>
        <w:t>至</w:t>
      </w:r>
      <w:r>
        <w:rPr>
          <w:rFonts w:hint="eastAsia"/>
        </w:rPr>
        <w:t>3750/MFPTEOP/DTSS</w:t>
      </w:r>
      <w:r>
        <w:rPr>
          <w:rFonts w:hint="eastAsia"/>
        </w:rPr>
        <w:t>号部级法令修正案以及《劳动法典》</w:t>
      </w:r>
      <w:r>
        <w:rPr>
          <w:rFonts w:hint="eastAsia"/>
        </w:rPr>
        <w:t>(1997</w:t>
      </w:r>
      <w:r>
        <w:rPr>
          <w:rFonts w:hint="eastAsia"/>
        </w:rPr>
        <w:t>年</w:t>
      </w:r>
      <w:r>
        <w:rPr>
          <w:rFonts w:hint="eastAsia"/>
        </w:rPr>
        <w:t>)</w:t>
      </w:r>
      <w:r>
        <w:rPr>
          <w:rFonts w:hint="eastAsia"/>
        </w:rPr>
        <w:t>第</w:t>
      </w:r>
      <w:r>
        <w:rPr>
          <w:rFonts w:hint="eastAsia"/>
        </w:rPr>
        <w:t>145</w:t>
      </w:r>
      <w:r>
        <w:rPr>
          <w:rFonts w:hint="eastAsia"/>
        </w:rPr>
        <w:t>条的修正案，</w:t>
      </w:r>
      <w:r>
        <w:rPr>
          <w:rFonts w:hint="eastAsia"/>
        </w:rPr>
        <w:t>2015</w:t>
      </w:r>
      <w:r>
        <w:rPr>
          <w:rFonts w:hint="eastAsia"/>
        </w:rPr>
        <w:t>年；</w:t>
      </w:r>
    </w:p>
    <w:p w:rsidR="00E735D2" w:rsidRDefault="00E735D2" w:rsidP="00864CA4">
      <w:pPr>
        <w:pStyle w:val="SingleTxtGC"/>
        <w:numPr>
          <w:ilvl w:val="0"/>
          <w:numId w:val="8"/>
        </w:numPr>
        <w:tabs>
          <w:tab w:val="clear" w:pos="2426"/>
          <w:tab w:val="left" w:pos="2427"/>
        </w:tabs>
      </w:pPr>
      <w:r>
        <w:rPr>
          <w:rFonts w:hint="eastAsia"/>
        </w:rPr>
        <w:t>修正关于塞内加尔国籍的</w:t>
      </w:r>
      <w:r>
        <w:rPr>
          <w:rFonts w:hint="eastAsia"/>
        </w:rPr>
        <w:t>1961</w:t>
      </w:r>
      <w:r>
        <w:rPr>
          <w:rFonts w:hint="eastAsia"/>
        </w:rPr>
        <w:t>年</w:t>
      </w:r>
      <w:r>
        <w:rPr>
          <w:rFonts w:hint="eastAsia"/>
        </w:rPr>
        <w:t>3</w:t>
      </w:r>
      <w:r>
        <w:rPr>
          <w:rFonts w:hint="eastAsia"/>
        </w:rPr>
        <w:t>月</w:t>
      </w:r>
      <w:r>
        <w:rPr>
          <w:rFonts w:hint="eastAsia"/>
        </w:rPr>
        <w:t>7</w:t>
      </w:r>
      <w:r>
        <w:rPr>
          <w:rFonts w:hint="eastAsia"/>
        </w:rPr>
        <w:t>日第</w:t>
      </w:r>
      <w:r>
        <w:rPr>
          <w:rFonts w:hint="eastAsia"/>
        </w:rPr>
        <w:t>61-10</w:t>
      </w:r>
      <w:r>
        <w:rPr>
          <w:rFonts w:hint="eastAsia"/>
        </w:rPr>
        <w:t>号法的第</w:t>
      </w:r>
      <w:r>
        <w:rPr>
          <w:rFonts w:hint="eastAsia"/>
        </w:rPr>
        <w:t>2013-05</w:t>
      </w:r>
      <w:r>
        <w:rPr>
          <w:rFonts w:hint="eastAsia"/>
        </w:rPr>
        <w:t>号法。</w:t>
      </w:r>
    </w:p>
    <w:p w:rsidR="00E735D2" w:rsidRDefault="00E735D2" w:rsidP="00E735D2">
      <w:pPr>
        <w:pStyle w:val="SingleTxtGC"/>
      </w:pPr>
      <w:r>
        <w:rPr>
          <w:rFonts w:hint="eastAsia"/>
        </w:rPr>
        <w:t xml:space="preserve">7.  </w:t>
      </w:r>
      <w:r>
        <w:rPr>
          <w:rFonts w:hint="eastAsia"/>
        </w:rPr>
        <w:t>委员会满意地注意到缔约国采取了下列政策和机构措施：</w:t>
      </w:r>
    </w:p>
    <w:p w:rsidR="00E735D2" w:rsidRDefault="00E735D2" w:rsidP="00864CA4">
      <w:pPr>
        <w:pStyle w:val="SingleTxtGC"/>
        <w:numPr>
          <w:ilvl w:val="0"/>
          <w:numId w:val="10"/>
        </w:numPr>
        <w:tabs>
          <w:tab w:val="clear" w:pos="2426"/>
          <w:tab w:val="left" w:pos="2427"/>
        </w:tabs>
      </w:pPr>
      <w:r>
        <w:rPr>
          <w:rFonts w:hint="eastAsia"/>
        </w:rPr>
        <w:t>《预防和消除童工劳动国家框架计划》及配套的行动计划</w:t>
      </w:r>
      <w:r>
        <w:rPr>
          <w:rFonts w:hint="eastAsia"/>
        </w:rPr>
        <w:t>(2012-2016</w:t>
      </w:r>
      <w:r>
        <w:rPr>
          <w:rFonts w:hint="eastAsia"/>
        </w:rPr>
        <w:t>年</w:t>
      </w:r>
      <w:r>
        <w:rPr>
          <w:rFonts w:hint="eastAsia"/>
        </w:rPr>
        <w:t>)</w:t>
      </w:r>
      <w:r>
        <w:rPr>
          <w:rFonts w:hint="eastAsia"/>
        </w:rPr>
        <w:t>；</w:t>
      </w:r>
    </w:p>
    <w:p w:rsidR="00E735D2" w:rsidRDefault="00E735D2" w:rsidP="00864CA4">
      <w:pPr>
        <w:pStyle w:val="SingleTxtGC"/>
        <w:numPr>
          <w:ilvl w:val="0"/>
          <w:numId w:val="10"/>
        </w:numPr>
        <w:tabs>
          <w:tab w:val="clear" w:pos="2426"/>
          <w:tab w:val="left" w:pos="2427"/>
        </w:tabs>
      </w:pPr>
      <w:r>
        <w:rPr>
          <w:rFonts w:hint="eastAsia"/>
        </w:rPr>
        <w:t>《消除儿童乞讨国家框架计划》</w:t>
      </w:r>
      <w:r>
        <w:rPr>
          <w:rFonts w:hint="eastAsia"/>
        </w:rPr>
        <w:t>(2013-2015</w:t>
      </w:r>
      <w:r>
        <w:rPr>
          <w:rFonts w:hint="eastAsia"/>
        </w:rPr>
        <w:t>年</w:t>
      </w:r>
      <w:r>
        <w:rPr>
          <w:rFonts w:hint="eastAsia"/>
        </w:rPr>
        <w:t>)</w:t>
      </w:r>
      <w:r>
        <w:rPr>
          <w:rFonts w:hint="eastAsia"/>
        </w:rPr>
        <w:t>；</w:t>
      </w:r>
    </w:p>
    <w:p w:rsidR="00E735D2" w:rsidRDefault="00E735D2" w:rsidP="00864CA4">
      <w:pPr>
        <w:pStyle w:val="SingleTxtGC"/>
        <w:numPr>
          <w:ilvl w:val="0"/>
          <w:numId w:val="10"/>
        </w:numPr>
        <w:tabs>
          <w:tab w:val="clear" w:pos="2426"/>
          <w:tab w:val="left" w:pos="2427"/>
        </w:tabs>
      </w:pPr>
      <w:r>
        <w:rPr>
          <w:rFonts w:hint="eastAsia"/>
        </w:rPr>
        <w:t>《打击人口贩运国家行动计划》</w:t>
      </w:r>
      <w:r>
        <w:rPr>
          <w:rFonts w:hint="eastAsia"/>
        </w:rPr>
        <w:t>(2012-2014</w:t>
      </w:r>
      <w:r>
        <w:rPr>
          <w:rFonts w:hint="eastAsia"/>
        </w:rPr>
        <w:t>年</w:t>
      </w:r>
      <w:r>
        <w:rPr>
          <w:rFonts w:hint="eastAsia"/>
        </w:rPr>
        <w:t>)</w:t>
      </w:r>
      <w:r>
        <w:rPr>
          <w:rFonts w:hint="eastAsia"/>
        </w:rPr>
        <w:t>；</w:t>
      </w:r>
    </w:p>
    <w:p w:rsidR="00E735D2" w:rsidRDefault="00E735D2" w:rsidP="00864CA4">
      <w:pPr>
        <w:pStyle w:val="SingleTxtGC"/>
        <w:numPr>
          <w:ilvl w:val="0"/>
          <w:numId w:val="10"/>
        </w:numPr>
        <w:tabs>
          <w:tab w:val="clear" w:pos="2426"/>
          <w:tab w:val="left" w:pos="2427"/>
        </w:tabs>
      </w:pPr>
      <w:r>
        <w:rPr>
          <w:rFonts w:hint="eastAsia"/>
        </w:rPr>
        <w:t>《</w:t>
      </w:r>
      <w:r>
        <w:rPr>
          <w:rFonts w:hint="eastAsia"/>
        </w:rPr>
        <w:t>2013</w:t>
      </w:r>
      <w:r>
        <w:rPr>
          <w:rFonts w:hint="eastAsia"/>
        </w:rPr>
        <w:t>年全民健康保障国家方案》；</w:t>
      </w:r>
    </w:p>
    <w:p w:rsidR="00E735D2" w:rsidRDefault="00E735D2" w:rsidP="00864CA4">
      <w:pPr>
        <w:pStyle w:val="SingleTxtGC"/>
        <w:numPr>
          <w:ilvl w:val="0"/>
          <w:numId w:val="10"/>
        </w:numPr>
        <w:tabs>
          <w:tab w:val="clear" w:pos="2426"/>
          <w:tab w:val="left" w:pos="2427"/>
        </w:tabs>
      </w:pPr>
      <w:r>
        <w:rPr>
          <w:rFonts w:hint="eastAsia"/>
        </w:rPr>
        <w:t>关于地方发展和合法移徙替代秘密移徙的项目</w:t>
      </w:r>
      <w:r>
        <w:rPr>
          <w:rFonts w:hint="eastAsia"/>
        </w:rPr>
        <w:t>(2011-2012</w:t>
      </w:r>
      <w:r>
        <w:rPr>
          <w:rFonts w:hint="eastAsia"/>
        </w:rPr>
        <w:t>年</w:t>
      </w:r>
      <w:r>
        <w:rPr>
          <w:rFonts w:hint="eastAsia"/>
        </w:rPr>
        <w:t>)</w:t>
      </w:r>
      <w:r>
        <w:rPr>
          <w:rFonts w:hint="eastAsia"/>
        </w:rPr>
        <w:t>；</w:t>
      </w:r>
    </w:p>
    <w:p w:rsidR="00E735D2" w:rsidRDefault="00E735D2" w:rsidP="00864CA4">
      <w:pPr>
        <w:pStyle w:val="SingleTxtGC"/>
        <w:numPr>
          <w:ilvl w:val="0"/>
          <w:numId w:val="10"/>
        </w:numPr>
        <w:tabs>
          <w:tab w:val="clear" w:pos="2426"/>
          <w:tab w:val="left" w:pos="2427"/>
        </w:tabs>
      </w:pPr>
      <w:r>
        <w:rPr>
          <w:rFonts w:hint="eastAsia"/>
        </w:rPr>
        <w:t>《发展倡议支助方案》</w:t>
      </w:r>
      <w:r>
        <w:rPr>
          <w:rFonts w:hint="eastAsia"/>
        </w:rPr>
        <w:t>(2009-2011</w:t>
      </w:r>
      <w:r>
        <w:rPr>
          <w:rFonts w:hint="eastAsia"/>
        </w:rPr>
        <w:t>年</w:t>
      </w:r>
      <w:r>
        <w:rPr>
          <w:rFonts w:hint="eastAsia"/>
        </w:rPr>
        <w:t>)</w:t>
      </w:r>
      <w:r>
        <w:rPr>
          <w:rFonts w:hint="eastAsia"/>
        </w:rPr>
        <w:t>；</w:t>
      </w:r>
    </w:p>
    <w:p w:rsidR="00E735D2" w:rsidRDefault="00E735D2" w:rsidP="00864CA4">
      <w:pPr>
        <w:pStyle w:val="SingleTxtGC"/>
        <w:numPr>
          <w:ilvl w:val="0"/>
          <w:numId w:val="10"/>
        </w:numPr>
        <w:tabs>
          <w:tab w:val="clear" w:pos="2426"/>
          <w:tab w:val="left" w:pos="2427"/>
        </w:tabs>
      </w:pPr>
      <w:r>
        <w:rPr>
          <w:rFonts w:hint="eastAsia"/>
        </w:rPr>
        <w:t>2010</w:t>
      </w:r>
      <w:r>
        <w:rPr>
          <w:rFonts w:hint="eastAsia"/>
        </w:rPr>
        <w:t>年成立了打击人口贩运国家协调股；</w:t>
      </w:r>
    </w:p>
    <w:p w:rsidR="00E735D2" w:rsidRDefault="00E735D2" w:rsidP="00864CA4">
      <w:pPr>
        <w:pStyle w:val="SingleTxtGC"/>
        <w:numPr>
          <w:ilvl w:val="0"/>
          <w:numId w:val="10"/>
        </w:numPr>
        <w:tabs>
          <w:tab w:val="clear" w:pos="2426"/>
          <w:tab w:val="left" w:pos="2427"/>
        </w:tabs>
      </w:pPr>
      <w:r>
        <w:rPr>
          <w:rFonts w:hint="eastAsia"/>
        </w:rPr>
        <w:t>防止从塞内加尔非法移徙至欧洲联盟的项目；</w:t>
      </w:r>
    </w:p>
    <w:p w:rsidR="00E735D2" w:rsidRDefault="00E735D2" w:rsidP="00864CA4">
      <w:pPr>
        <w:pStyle w:val="SingleTxtGC"/>
        <w:numPr>
          <w:ilvl w:val="0"/>
          <w:numId w:val="10"/>
        </w:numPr>
        <w:tabs>
          <w:tab w:val="clear" w:pos="2426"/>
          <w:tab w:val="left" w:pos="2427"/>
        </w:tabs>
      </w:pPr>
      <w:r>
        <w:rPr>
          <w:rFonts w:hint="eastAsia"/>
        </w:rPr>
        <w:t>支助非法移民重返社会的项目。</w:t>
      </w:r>
    </w:p>
    <w:p w:rsidR="00E735D2" w:rsidRDefault="00E735D2" w:rsidP="00864CA4">
      <w:pPr>
        <w:pStyle w:val="H1GC"/>
      </w:pPr>
      <w:r>
        <w:rPr>
          <w:rFonts w:hint="eastAsia"/>
        </w:rPr>
        <w:tab/>
        <w:t>C.</w:t>
      </w:r>
      <w:r>
        <w:rPr>
          <w:rFonts w:hint="eastAsia"/>
        </w:rPr>
        <w:tab/>
      </w:r>
      <w:r>
        <w:rPr>
          <w:rFonts w:hint="eastAsia"/>
        </w:rPr>
        <w:t>关注的主要问题和建议</w:t>
      </w:r>
    </w:p>
    <w:p w:rsidR="00E735D2" w:rsidRDefault="00E735D2" w:rsidP="00864CA4">
      <w:pPr>
        <w:pStyle w:val="H23GC"/>
      </w:pPr>
      <w:r>
        <w:rPr>
          <w:rFonts w:hint="eastAsia"/>
        </w:rPr>
        <w:tab/>
        <w:t>1.</w:t>
      </w:r>
      <w:r>
        <w:rPr>
          <w:rFonts w:hint="eastAsia"/>
        </w:rPr>
        <w:tab/>
      </w:r>
      <w:r>
        <w:rPr>
          <w:rFonts w:hint="eastAsia"/>
        </w:rPr>
        <w:t>一般执行措施</w:t>
      </w:r>
      <w:r>
        <w:rPr>
          <w:rFonts w:hint="eastAsia"/>
        </w:rPr>
        <w:t>(</w:t>
      </w:r>
      <w:r>
        <w:rPr>
          <w:rFonts w:hint="eastAsia"/>
        </w:rPr>
        <w:t>第</w:t>
      </w:r>
      <w:r>
        <w:rPr>
          <w:rFonts w:hint="eastAsia"/>
        </w:rPr>
        <w:t>73</w:t>
      </w:r>
      <w:r>
        <w:rPr>
          <w:rFonts w:hint="eastAsia"/>
        </w:rPr>
        <w:t>条和第</w:t>
      </w:r>
      <w:r>
        <w:rPr>
          <w:rFonts w:hint="eastAsia"/>
        </w:rPr>
        <w:t>84</w:t>
      </w:r>
      <w:r>
        <w:rPr>
          <w:rFonts w:hint="eastAsia"/>
        </w:rPr>
        <w:t>条</w:t>
      </w:r>
      <w:r>
        <w:rPr>
          <w:rFonts w:hint="eastAsia"/>
        </w:rPr>
        <w:t>)</w:t>
      </w:r>
    </w:p>
    <w:p w:rsidR="00E735D2" w:rsidRDefault="00E735D2" w:rsidP="00864CA4">
      <w:pPr>
        <w:pStyle w:val="H23GC"/>
      </w:pPr>
      <w:r>
        <w:rPr>
          <w:rFonts w:hint="eastAsia"/>
        </w:rPr>
        <w:tab/>
      </w:r>
      <w:r>
        <w:rPr>
          <w:rFonts w:hint="eastAsia"/>
        </w:rPr>
        <w:tab/>
      </w:r>
      <w:r>
        <w:rPr>
          <w:rFonts w:hint="eastAsia"/>
        </w:rPr>
        <w:t>立法和适用</w:t>
      </w:r>
    </w:p>
    <w:p w:rsidR="00E735D2" w:rsidRDefault="00E735D2" w:rsidP="00E735D2">
      <w:pPr>
        <w:pStyle w:val="SingleTxtGC"/>
      </w:pPr>
      <w:r>
        <w:rPr>
          <w:rFonts w:hint="eastAsia"/>
        </w:rPr>
        <w:t xml:space="preserve">8.  </w:t>
      </w:r>
      <w:r>
        <w:rPr>
          <w:rFonts w:hint="eastAsia"/>
        </w:rPr>
        <w:t>委员会满意地注意到该代表团所作的声明，即缔约国实行一元论法律制度，其特征是国际法优先于国内法以及国际条约可在国内法中直接适用。然而。委员会依然关切的是，《公约》条款尚未被完全纳入国内法。委员会对缺乏有关国内法院适用《公约》的资料一事表示关切。</w:t>
      </w:r>
    </w:p>
    <w:p w:rsidR="00E735D2" w:rsidRDefault="00E735D2" w:rsidP="00E735D2">
      <w:pPr>
        <w:pStyle w:val="SingleTxtGC"/>
      </w:pPr>
      <w:r>
        <w:rPr>
          <w:rFonts w:hint="eastAsia"/>
        </w:rPr>
        <w:lastRenderedPageBreak/>
        <w:t xml:space="preserve">9.  </w:t>
      </w:r>
      <w:r w:rsidRPr="00864CA4">
        <w:rPr>
          <w:rFonts w:ascii="SimHei" w:eastAsia="SimHei" w:hAnsi="SimHei" w:hint="eastAsia"/>
        </w:rPr>
        <w:t>委员会敦促缔约国采取一切必要措施将《公约》全面纳入国内法，并确保其国家法律和政策与《公约》条款相一致。委员会还鼓励缔约国在其第四次定期报告中提供关于国内法院适用《公约》情况的资料。</w:t>
      </w:r>
    </w:p>
    <w:p w:rsidR="00E735D2" w:rsidRDefault="00E735D2" w:rsidP="00864CA4">
      <w:pPr>
        <w:pStyle w:val="H23GC"/>
      </w:pPr>
      <w:r>
        <w:rPr>
          <w:rFonts w:hint="eastAsia"/>
        </w:rPr>
        <w:tab/>
      </w:r>
      <w:r>
        <w:rPr>
          <w:rFonts w:hint="eastAsia"/>
        </w:rPr>
        <w:tab/>
      </w:r>
      <w:r>
        <w:rPr>
          <w:rFonts w:hint="eastAsia"/>
        </w:rPr>
        <w:t>第</w:t>
      </w:r>
      <w:r>
        <w:rPr>
          <w:rFonts w:hint="eastAsia"/>
        </w:rPr>
        <w:t>76</w:t>
      </w:r>
      <w:r>
        <w:rPr>
          <w:rFonts w:hint="eastAsia"/>
        </w:rPr>
        <w:t>条和第</w:t>
      </w:r>
      <w:r>
        <w:rPr>
          <w:rFonts w:hint="eastAsia"/>
        </w:rPr>
        <w:t>77</w:t>
      </w:r>
      <w:r>
        <w:rPr>
          <w:rFonts w:hint="eastAsia"/>
        </w:rPr>
        <w:t>条</w:t>
      </w:r>
    </w:p>
    <w:p w:rsidR="00E735D2" w:rsidRDefault="00E735D2" w:rsidP="00E735D2">
      <w:pPr>
        <w:pStyle w:val="SingleTxtGC"/>
      </w:pPr>
      <w:r>
        <w:rPr>
          <w:rFonts w:hint="eastAsia"/>
        </w:rPr>
        <w:t xml:space="preserve">10.  </w:t>
      </w:r>
      <w:r>
        <w:rPr>
          <w:rFonts w:hint="eastAsia"/>
        </w:rPr>
        <w:t>委员会注意到，缔约国尚未作出《公约》第</w:t>
      </w:r>
      <w:r>
        <w:rPr>
          <w:rFonts w:hint="eastAsia"/>
        </w:rPr>
        <w:t>76</w:t>
      </w:r>
      <w:r>
        <w:rPr>
          <w:rFonts w:hint="eastAsia"/>
        </w:rPr>
        <w:t>条和第</w:t>
      </w:r>
      <w:r>
        <w:rPr>
          <w:rFonts w:hint="eastAsia"/>
        </w:rPr>
        <w:t>77</w:t>
      </w:r>
      <w:r>
        <w:rPr>
          <w:rFonts w:hint="eastAsia"/>
        </w:rPr>
        <w:t>条所规定的声明，即承认委员会有权受理和审议缔约国和个人提交的关于侵犯《公约》所确立的权利之行为的来文。</w:t>
      </w:r>
    </w:p>
    <w:p w:rsidR="00E735D2" w:rsidRDefault="00E735D2" w:rsidP="00E735D2">
      <w:pPr>
        <w:pStyle w:val="SingleTxtGC"/>
      </w:pPr>
      <w:r>
        <w:rPr>
          <w:rFonts w:hint="eastAsia"/>
        </w:rPr>
        <w:t xml:space="preserve">11.  </w:t>
      </w:r>
      <w:r w:rsidRPr="005B643A">
        <w:rPr>
          <w:rFonts w:ascii="SimHei" w:eastAsia="SimHei" w:hAnsi="SimHei" w:hint="eastAsia"/>
        </w:rPr>
        <w:t>委员会鼓励缔约国考虑作出《公约》第</w:t>
      </w:r>
      <w:r>
        <w:rPr>
          <w:rFonts w:hint="eastAsia"/>
        </w:rPr>
        <w:t>76</w:t>
      </w:r>
      <w:r w:rsidRPr="005B643A">
        <w:rPr>
          <w:rFonts w:ascii="SimHei" w:eastAsia="SimHei" w:hAnsi="SimHei" w:hint="eastAsia"/>
        </w:rPr>
        <w:t>条和第</w:t>
      </w:r>
      <w:r>
        <w:rPr>
          <w:rFonts w:hint="eastAsia"/>
        </w:rPr>
        <w:t>77</w:t>
      </w:r>
      <w:r w:rsidRPr="005B643A">
        <w:rPr>
          <w:rFonts w:ascii="SimHei" w:eastAsia="SimHei" w:hAnsi="SimHei" w:hint="eastAsia"/>
        </w:rPr>
        <w:t>条所规定的声明。</w:t>
      </w:r>
    </w:p>
    <w:p w:rsidR="00E735D2" w:rsidRDefault="00E735D2" w:rsidP="00864CA4">
      <w:pPr>
        <w:pStyle w:val="H23GC"/>
      </w:pPr>
      <w:r>
        <w:rPr>
          <w:rFonts w:hint="eastAsia"/>
        </w:rPr>
        <w:tab/>
      </w:r>
      <w:r>
        <w:rPr>
          <w:rFonts w:hint="eastAsia"/>
        </w:rPr>
        <w:tab/>
      </w:r>
      <w:r>
        <w:rPr>
          <w:rFonts w:hint="eastAsia"/>
        </w:rPr>
        <w:t>批准相关文书</w:t>
      </w:r>
    </w:p>
    <w:p w:rsidR="00E735D2" w:rsidRDefault="00E735D2" w:rsidP="00E735D2">
      <w:pPr>
        <w:pStyle w:val="SingleTxtGC"/>
      </w:pPr>
      <w:r>
        <w:rPr>
          <w:rFonts w:hint="eastAsia"/>
        </w:rPr>
        <w:t xml:space="preserve">12.  </w:t>
      </w:r>
      <w:r>
        <w:rPr>
          <w:rFonts w:hint="eastAsia"/>
        </w:rPr>
        <w:t>委员会赞赏地注意到，缔约国已批准所有核心条约以及国际劳工组织</w:t>
      </w:r>
      <w:r>
        <w:rPr>
          <w:rFonts w:hint="eastAsia"/>
        </w:rPr>
        <w:t>(</w:t>
      </w:r>
      <w:r>
        <w:rPr>
          <w:rFonts w:hint="eastAsia"/>
        </w:rPr>
        <w:t>劳工组织</w:t>
      </w:r>
      <w:r>
        <w:rPr>
          <w:rFonts w:hint="eastAsia"/>
        </w:rPr>
        <w:t>)</w:t>
      </w:r>
      <w:r>
        <w:rPr>
          <w:rFonts w:hint="eastAsia"/>
        </w:rPr>
        <w:t>一些公约。然而，委员会注意到，缔约国尚未批准《经济、社会、文化权利国际公约任择议定书》、《旨在废除死刑的公民权利和政治权利国际公约第二项任择议定书》、《儿童权利公约关于设定来文程序的任择议定书》、《残疾人权利公约任择议定书》、劳工组织《</w:t>
      </w:r>
      <w:r>
        <w:rPr>
          <w:rFonts w:hint="eastAsia"/>
        </w:rPr>
        <w:t>1949</w:t>
      </w:r>
      <w:r>
        <w:rPr>
          <w:rFonts w:hint="eastAsia"/>
        </w:rPr>
        <w:t>年移民就业公约</w:t>
      </w:r>
      <w:r>
        <w:rPr>
          <w:rFonts w:hint="eastAsia"/>
        </w:rPr>
        <w:t>(</w:t>
      </w:r>
      <w:r>
        <w:rPr>
          <w:rFonts w:hint="eastAsia"/>
        </w:rPr>
        <w:t>修订本</w:t>
      </w:r>
      <w:r>
        <w:rPr>
          <w:rFonts w:hint="eastAsia"/>
        </w:rPr>
        <w:t>)</w:t>
      </w:r>
      <w:r>
        <w:rPr>
          <w:rFonts w:hint="eastAsia"/>
        </w:rPr>
        <w:t>》</w:t>
      </w:r>
      <w:r>
        <w:rPr>
          <w:rFonts w:hint="eastAsia"/>
        </w:rPr>
        <w:t>(</w:t>
      </w:r>
      <w:r>
        <w:rPr>
          <w:rFonts w:hint="eastAsia"/>
        </w:rPr>
        <w:t>第</w:t>
      </w:r>
      <w:r>
        <w:rPr>
          <w:rFonts w:hint="eastAsia"/>
        </w:rPr>
        <w:t>97</w:t>
      </w:r>
      <w:r>
        <w:rPr>
          <w:rFonts w:hint="eastAsia"/>
        </w:rPr>
        <w:t>号</w:t>
      </w:r>
      <w:r>
        <w:rPr>
          <w:rFonts w:hint="eastAsia"/>
        </w:rPr>
        <w:t>)</w:t>
      </w:r>
      <w:r>
        <w:rPr>
          <w:rFonts w:hint="eastAsia"/>
        </w:rPr>
        <w:t>、劳工组织《</w:t>
      </w:r>
      <w:r>
        <w:rPr>
          <w:rFonts w:hint="eastAsia"/>
        </w:rPr>
        <w:t>1975</w:t>
      </w:r>
      <w:r>
        <w:rPr>
          <w:rFonts w:hint="eastAsia"/>
        </w:rPr>
        <w:t>年移民工人</w:t>
      </w:r>
      <w:r>
        <w:rPr>
          <w:rFonts w:hint="eastAsia"/>
        </w:rPr>
        <w:t>(</w:t>
      </w:r>
      <w:r>
        <w:rPr>
          <w:rFonts w:hint="eastAsia"/>
        </w:rPr>
        <w:t>补充规定</w:t>
      </w:r>
      <w:r>
        <w:rPr>
          <w:rFonts w:hint="eastAsia"/>
        </w:rPr>
        <w:t>)</w:t>
      </w:r>
      <w:r>
        <w:rPr>
          <w:rFonts w:hint="eastAsia"/>
        </w:rPr>
        <w:t>公约》</w:t>
      </w:r>
      <w:r>
        <w:rPr>
          <w:rFonts w:hint="eastAsia"/>
        </w:rPr>
        <w:t>(</w:t>
      </w:r>
      <w:r>
        <w:rPr>
          <w:rFonts w:hint="eastAsia"/>
        </w:rPr>
        <w:t>第</w:t>
      </w:r>
      <w:r>
        <w:rPr>
          <w:rFonts w:hint="eastAsia"/>
        </w:rPr>
        <w:t>143</w:t>
      </w:r>
      <w:r>
        <w:rPr>
          <w:rFonts w:hint="eastAsia"/>
        </w:rPr>
        <w:t>号</w:t>
      </w:r>
      <w:r>
        <w:rPr>
          <w:rFonts w:hint="eastAsia"/>
        </w:rPr>
        <w:t>)</w:t>
      </w:r>
      <w:r>
        <w:rPr>
          <w:rFonts w:hint="eastAsia"/>
        </w:rPr>
        <w:t>，或者劳工组织《</w:t>
      </w:r>
      <w:r>
        <w:rPr>
          <w:rFonts w:hint="eastAsia"/>
        </w:rPr>
        <w:t>2011</w:t>
      </w:r>
      <w:r>
        <w:rPr>
          <w:rFonts w:hint="eastAsia"/>
        </w:rPr>
        <w:t>年家庭工人体面劳动公约》</w:t>
      </w:r>
      <w:r>
        <w:rPr>
          <w:rFonts w:hint="eastAsia"/>
        </w:rPr>
        <w:t>(</w:t>
      </w:r>
      <w:r>
        <w:rPr>
          <w:rFonts w:hint="eastAsia"/>
        </w:rPr>
        <w:t>第</w:t>
      </w:r>
      <w:r>
        <w:rPr>
          <w:rFonts w:hint="eastAsia"/>
        </w:rPr>
        <w:t>189</w:t>
      </w:r>
      <w:r>
        <w:rPr>
          <w:rFonts w:hint="eastAsia"/>
        </w:rPr>
        <w:t>号</w:t>
      </w:r>
      <w:r>
        <w:rPr>
          <w:rFonts w:hint="eastAsia"/>
        </w:rPr>
        <w:t>)</w:t>
      </w:r>
      <w:r>
        <w:rPr>
          <w:rFonts w:hint="eastAsia"/>
        </w:rPr>
        <w:t>。</w:t>
      </w:r>
    </w:p>
    <w:p w:rsidR="00E735D2" w:rsidRDefault="00E735D2" w:rsidP="00E735D2">
      <w:pPr>
        <w:pStyle w:val="SingleTxtGC"/>
      </w:pPr>
      <w:r>
        <w:rPr>
          <w:rFonts w:hint="eastAsia"/>
        </w:rPr>
        <w:t xml:space="preserve">13.  </w:t>
      </w:r>
      <w:r w:rsidRPr="005B643A">
        <w:rPr>
          <w:rFonts w:ascii="SimHei" w:eastAsia="SimHei" w:hAnsi="SimHei" w:hint="eastAsia"/>
        </w:rPr>
        <w:t>委员会建议缔约国考虑尽快批准上述国际人权条约任择议定书以及劳工组织《</w:t>
      </w:r>
      <w:r>
        <w:rPr>
          <w:rFonts w:hint="eastAsia"/>
        </w:rPr>
        <w:t>1949</w:t>
      </w:r>
      <w:r w:rsidRPr="005B643A">
        <w:rPr>
          <w:rFonts w:ascii="SimHei" w:eastAsia="SimHei" w:hAnsi="SimHei" w:hint="eastAsia"/>
        </w:rPr>
        <w:t>年移民就业公约(修订本)》</w:t>
      </w:r>
      <w:r>
        <w:rPr>
          <w:rFonts w:hint="eastAsia"/>
        </w:rPr>
        <w:t>(</w:t>
      </w:r>
      <w:r w:rsidRPr="005B643A">
        <w:rPr>
          <w:rFonts w:ascii="SimHei" w:eastAsia="SimHei" w:hAnsi="SimHei" w:hint="eastAsia"/>
        </w:rPr>
        <w:t>第</w:t>
      </w:r>
      <w:r>
        <w:rPr>
          <w:rFonts w:hint="eastAsia"/>
        </w:rPr>
        <w:t>97</w:t>
      </w:r>
      <w:r w:rsidRPr="005B643A">
        <w:rPr>
          <w:rFonts w:ascii="SimHei" w:eastAsia="SimHei" w:hAnsi="SimHei" w:hint="eastAsia"/>
        </w:rPr>
        <w:t>号</w:t>
      </w:r>
      <w:r>
        <w:rPr>
          <w:rFonts w:hint="eastAsia"/>
        </w:rPr>
        <w:t>)</w:t>
      </w:r>
      <w:r>
        <w:rPr>
          <w:rFonts w:hint="eastAsia"/>
        </w:rPr>
        <w:t>、</w:t>
      </w:r>
      <w:r w:rsidRPr="005B643A">
        <w:rPr>
          <w:rFonts w:ascii="SimHei" w:eastAsia="SimHei" w:hAnsi="SimHei" w:hint="eastAsia"/>
        </w:rPr>
        <w:t>劳工组织《</w:t>
      </w:r>
      <w:r>
        <w:rPr>
          <w:rFonts w:hint="eastAsia"/>
        </w:rPr>
        <w:t>1975</w:t>
      </w:r>
      <w:r w:rsidRPr="005B643A">
        <w:rPr>
          <w:rFonts w:ascii="SimHei" w:eastAsia="SimHei" w:hAnsi="SimHei" w:hint="eastAsia"/>
        </w:rPr>
        <w:t>年移民工人(补充规定)公约》</w:t>
      </w:r>
      <w:r>
        <w:rPr>
          <w:rFonts w:hint="eastAsia"/>
        </w:rPr>
        <w:t>(</w:t>
      </w:r>
      <w:r w:rsidRPr="005B643A">
        <w:rPr>
          <w:rFonts w:ascii="SimHei" w:eastAsia="SimHei" w:hAnsi="SimHei" w:hint="eastAsia"/>
        </w:rPr>
        <w:t>第</w:t>
      </w:r>
      <w:r>
        <w:rPr>
          <w:rFonts w:hint="eastAsia"/>
        </w:rPr>
        <w:t>143</w:t>
      </w:r>
      <w:r w:rsidRPr="005B643A">
        <w:rPr>
          <w:rFonts w:ascii="SimHei" w:eastAsia="SimHei" w:hAnsi="SimHei" w:hint="eastAsia"/>
        </w:rPr>
        <w:t>号</w:t>
      </w:r>
      <w:r>
        <w:rPr>
          <w:rFonts w:hint="eastAsia"/>
        </w:rPr>
        <w:t>)</w:t>
      </w:r>
      <w:r w:rsidRPr="005B643A">
        <w:rPr>
          <w:rFonts w:ascii="SimHei" w:eastAsia="SimHei" w:hAnsi="SimHei" w:hint="eastAsia"/>
        </w:rPr>
        <w:t>及劳工组织《</w:t>
      </w:r>
      <w:r>
        <w:rPr>
          <w:rFonts w:hint="eastAsia"/>
        </w:rPr>
        <w:t>2011</w:t>
      </w:r>
      <w:r w:rsidRPr="005B643A">
        <w:rPr>
          <w:rFonts w:ascii="SimHei" w:eastAsia="SimHei" w:hAnsi="SimHei" w:hint="eastAsia"/>
        </w:rPr>
        <w:t>年家庭工人体面劳动公约》</w:t>
      </w:r>
      <w:r>
        <w:rPr>
          <w:rFonts w:hint="eastAsia"/>
        </w:rPr>
        <w:t>(</w:t>
      </w:r>
      <w:r w:rsidRPr="005B643A">
        <w:rPr>
          <w:rFonts w:ascii="SimHei" w:eastAsia="SimHei" w:hAnsi="SimHei" w:hint="eastAsia"/>
        </w:rPr>
        <w:t>第</w:t>
      </w:r>
      <w:r>
        <w:rPr>
          <w:rFonts w:hint="eastAsia"/>
        </w:rPr>
        <w:t>189</w:t>
      </w:r>
      <w:r w:rsidRPr="005B643A">
        <w:rPr>
          <w:rFonts w:ascii="SimHei" w:eastAsia="SimHei" w:hAnsi="SimHei" w:hint="eastAsia"/>
        </w:rPr>
        <w:t>号</w:t>
      </w:r>
      <w:r>
        <w:rPr>
          <w:rFonts w:hint="eastAsia"/>
        </w:rPr>
        <w:t>)</w:t>
      </w:r>
      <w:r>
        <w:rPr>
          <w:rFonts w:hint="eastAsia"/>
        </w:rPr>
        <w:t>。</w:t>
      </w:r>
    </w:p>
    <w:p w:rsidR="00E735D2" w:rsidRDefault="00E735D2" w:rsidP="00864CA4">
      <w:pPr>
        <w:pStyle w:val="H23GC"/>
      </w:pPr>
      <w:r>
        <w:rPr>
          <w:rFonts w:hint="eastAsia"/>
        </w:rPr>
        <w:tab/>
      </w:r>
      <w:r>
        <w:rPr>
          <w:rFonts w:hint="eastAsia"/>
        </w:rPr>
        <w:tab/>
      </w:r>
      <w:r>
        <w:rPr>
          <w:rFonts w:hint="eastAsia"/>
        </w:rPr>
        <w:t>综合政策和战略</w:t>
      </w:r>
    </w:p>
    <w:p w:rsidR="00E735D2" w:rsidRDefault="00E735D2" w:rsidP="00E735D2">
      <w:pPr>
        <w:pStyle w:val="SingleTxtGC"/>
      </w:pPr>
      <w:r>
        <w:rPr>
          <w:rFonts w:hint="eastAsia"/>
        </w:rPr>
        <w:t xml:space="preserve">14.  </w:t>
      </w:r>
      <w:r>
        <w:rPr>
          <w:rFonts w:hint="eastAsia"/>
        </w:rPr>
        <w:t>委员会赞赏缔约国通过了一系列有关移徙的方案和项目，并实施了《</w:t>
      </w:r>
      <w:r>
        <w:rPr>
          <w:rFonts w:hint="eastAsia"/>
        </w:rPr>
        <w:t>2010-2015</w:t>
      </w:r>
      <w:r>
        <w:rPr>
          <w:rFonts w:hint="eastAsia"/>
        </w:rPr>
        <w:t>年国家就业政策》及配套的业务行动计划。然而，委员会感到关切的是，该国没有出台任何综合性和战略性移徙政策。</w:t>
      </w:r>
    </w:p>
    <w:p w:rsidR="00E735D2" w:rsidRPr="005B643A" w:rsidRDefault="00E735D2" w:rsidP="00E735D2">
      <w:pPr>
        <w:pStyle w:val="SingleTxtGC"/>
        <w:rPr>
          <w:rFonts w:ascii="SimHei" w:eastAsia="SimHei" w:hAnsi="SimHei"/>
        </w:rPr>
      </w:pPr>
      <w:r>
        <w:rPr>
          <w:rFonts w:hint="eastAsia"/>
        </w:rPr>
        <w:t xml:space="preserve">15.  </w:t>
      </w:r>
      <w:r w:rsidRPr="005B643A">
        <w:rPr>
          <w:rFonts w:ascii="SimHei" w:eastAsia="SimHei" w:hAnsi="SimHei" w:hint="eastAsia"/>
        </w:rPr>
        <w:t>委员会建议缔约国根据《公约》并以对性别问题有敏感认识的方式，通过和实施有关劳动力移徙的综合政策，并为其提供必要的资金。</w:t>
      </w:r>
    </w:p>
    <w:p w:rsidR="00E735D2" w:rsidRDefault="00E735D2" w:rsidP="00864CA4">
      <w:pPr>
        <w:pStyle w:val="H23GC"/>
      </w:pPr>
      <w:r>
        <w:rPr>
          <w:rFonts w:hint="eastAsia"/>
        </w:rPr>
        <w:tab/>
      </w:r>
      <w:r>
        <w:rPr>
          <w:rFonts w:hint="eastAsia"/>
        </w:rPr>
        <w:tab/>
      </w:r>
      <w:r>
        <w:rPr>
          <w:rFonts w:hint="eastAsia"/>
        </w:rPr>
        <w:t>协调</w:t>
      </w:r>
    </w:p>
    <w:p w:rsidR="00E735D2" w:rsidRDefault="00E735D2" w:rsidP="00E735D2">
      <w:pPr>
        <w:pStyle w:val="SingleTxtGC"/>
      </w:pPr>
      <w:r>
        <w:rPr>
          <w:rFonts w:hint="eastAsia"/>
        </w:rPr>
        <w:t xml:space="preserve">16.  </w:t>
      </w:r>
      <w:r>
        <w:rPr>
          <w:rFonts w:hint="eastAsia"/>
        </w:rPr>
        <w:t>委员会感到关切的是，采取各种措施落实《公约》各项权利的相关机构和服务部门之间缺乏充分协调。</w:t>
      </w:r>
    </w:p>
    <w:p w:rsidR="00E735D2" w:rsidRPr="005B643A" w:rsidRDefault="00E735D2" w:rsidP="00E735D2">
      <w:pPr>
        <w:pStyle w:val="SingleTxtGC"/>
        <w:rPr>
          <w:rFonts w:ascii="SimHei" w:eastAsia="SimHei" w:hAnsi="SimHei"/>
        </w:rPr>
      </w:pPr>
      <w:r>
        <w:rPr>
          <w:rFonts w:hint="eastAsia"/>
        </w:rPr>
        <w:t xml:space="preserve">17.  </w:t>
      </w:r>
      <w:r w:rsidRPr="005B643A">
        <w:rPr>
          <w:rFonts w:ascii="SimHei" w:eastAsia="SimHei" w:hAnsi="SimHei" w:hint="eastAsia"/>
        </w:rPr>
        <w:t>委员会建议缔约国加倍努力，加强部委和各级政府机构之间的协调，以期有效落实《公约》所保护的各项权利。在这方面，委员会鼓励缔约国建立一个独立机构，负责协调、管理和跟踪与劳动力移徙有关的所有问题，或者重振国家就业管理和监督委员会，为新设立的机构或振兴的国家委员会提供充分的财政和人力资源，使其能够采取行动。</w:t>
      </w:r>
    </w:p>
    <w:p w:rsidR="00E735D2" w:rsidRDefault="00E735D2" w:rsidP="00864CA4">
      <w:pPr>
        <w:pStyle w:val="H23GC"/>
      </w:pPr>
      <w:r>
        <w:rPr>
          <w:rFonts w:hint="eastAsia"/>
        </w:rPr>
        <w:lastRenderedPageBreak/>
        <w:tab/>
      </w:r>
      <w:r>
        <w:rPr>
          <w:rFonts w:hint="eastAsia"/>
        </w:rPr>
        <w:tab/>
      </w:r>
      <w:r>
        <w:rPr>
          <w:rFonts w:hint="eastAsia"/>
        </w:rPr>
        <w:t>数据收集</w:t>
      </w:r>
    </w:p>
    <w:p w:rsidR="00E735D2" w:rsidRDefault="00E735D2" w:rsidP="00E735D2">
      <w:pPr>
        <w:pStyle w:val="SingleTxtGC"/>
      </w:pPr>
      <w:r>
        <w:rPr>
          <w:rFonts w:hint="eastAsia"/>
        </w:rPr>
        <w:t xml:space="preserve">18.  </w:t>
      </w:r>
      <w:r>
        <w:rPr>
          <w:rFonts w:hint="eastAsia"/>
        </w:rPr>
        <w:t>委员会注意到缔约国通过了《国家统计发展战略</w:t>
      </w:r>
      <w:r>
        <w:rPr>
          <w:rFonts w:hint="eastAsia"/>
        </w:rPr>
        <w:t>(2014-2019</w:t>
      </w:r>
      <w:r>
        <w:rPr>
          <w:rFonts w:hint="eastAsia"/>
        </w:rPr>
        <w:t>年</w:t>
      </w:r>
      <w:r>
        <w:rPr>
          <w:rFonts w:hint="eastAsia"/>
        </w:rPr>
        <w:t>)</w:t>
      </w:r>
      <w:r>
        <w:rPr>
          <w:rFonts w:hint="eastAsia"/>
        </w:rPr>
        <w:t>》。委员会还赞赏缔约国提供了综合调查和人口普查相关资料。然而，委员会发现，关于移入和移出缔约国及过境的移民流动的统计数据不充分，特别是关于非正常情况下的移徙工人及其家庭成员以及其他移徙相关问题的数据不充分。如有此类数据，委员会本可准确评价《公约》所赋予的权利在多大程度上及如何在缔约国得到落实。</w:t>
      </w:r>
    </w:p>
    <w:p w:rsidR="00E735D2" w:rsidRPr="005B643A" w:rsidRDefault="00E735D2" w:rsidP="00E735D2">
      <w:pPr>
        <w:pStyle w:val="SingleTxtGC"/>
        <w:rPr>
          <w:rFonts w:ascii="SimHei" w:eastAsia="SimHei" w:hAnsi="SimHei"/>
        </w:rPr>
      </w:pPr>
      <w:r>
        <w:rPr>
          <w:rFonts w:hint="eastAsia"/>
        </w:rPr>
        <w:t xml:space="preserve">19.  </w:t>
      </w:r>
      <w:r w:rsidRPr="005B643A">
        <w:rPr>
          <w:rFonts w:ascii="SimHei" w:eastAsia="SimHei" w:hAnsi="SimHei" w:hint="eastAsia"/>
        </w:rPr>
        <w:t>委员会建议缔约国建立一个集中数据库，收集定性和定量移徙相关统计数据和资料，这些统计数据和资料应涵盖《公约》各个方面、包括非正常情况下的移徙工人；还建议其收集缔约国境内移徙工人身份的详细数据。委员会鼓励缔约国按照可持续发展目标的具体目标</w:t>
      </w:r>
      <w:r>
        <w:rPr>
          <w:rFonts w:hint="eastAsia"/>
        </w:rPr>
        <w:t>17.18</w:t>
      </w:r>
      <w:r>
        <w:rPr>
          <w:rFonts w:hint="eastAsia"/>
        </w:rPr>
        <w:t>，</w:t>
      </w:r>
      <w:r w:rsidRPr="005B643A">
        <w:rPr>
          <w:rFonts w:ascii="SimHei" w:eastAsia="SimHei" w:hAnsi="SimHei" w:hint="eastAsia"/>
        </w:rPr>
        <w:t>汇编按性别、年龄、国籍、出入境该国的理由及所从事工作类型的资料和统计数据，以切实通报相关政策和《公约》的适用情况。</w:t>
      </w:r>
      <w:r>
        <w:rPr>
          <w:rStyle w:val="FootnoteReference"/>
          <w:rFonts w:eastAsia="SimSun"/>
        </w:rPr>
        <w:footnoteReference w:id="3"/>
      </w:r>
      <w:r>
        <w:rPr>
          <w:rFonts w:hint="eastAsia"/>
        </w:rPr>
        <w:t xml:space="preserve"> </w:t>
      </w:r>
      <w:r w:rsidRPr="005B643A">
        <w:rPr>
          <w:rFonts w:ascii="SimHei" w:eastAsia="SimHei" w:hAnsi="SimHei" w:hint="eastAsia"/>
        </w:rPr>
        <w:t>委员会还建议缔约国确保其海外领事和外交部门予以配合，以便汇编移徙相关数据，包括非正常情况下的移徙工人和贩运受害者的状况。如果无法获得准确资料</w:t>
      </w:r>
      <w:r w:rsidR="00864CA4" w:rsidRPr="005F780A">
        <w:rPr>
          <w:rFonts w:hint="eastAsia"/>
          <w:snapToGrid/>
          <w:spacing w:val="-50"/>
          <w:sz w:val="20"/>
          <w:lang w:val="en-GB"/>
        </w:rPr>
        <w:t>―</w:t>
      </w:r>
      <w:r w:rsidR="00864CA4" w:rsidRPr="005F780A">
        <w:rPr>
          <w:rFonts w:hint="eastAsia"/>
          <w:snapToGrid/>
          <w:sz w:val="20"/>
          <w:lang w:val="en-GB"/>
        </w:rPr>
        <w:t>―</w:t>
      </w:r>
      <w:r w:rsidRPr="005B643A">
        <w:rPr>
          <w:rFonts w:ascii="SimHei" w:eastAsia="SimHei" w:hAnsi="SimHei" w:hint="eastAsia"/>
        </w:rPr>
        <w:t>例如在涉及非正常情况下的移徙工人时</w:t>
      </w:r>
      <w:r w:rsidR="00864CA4" w:rsidRPr="005F780A">
        <w:rPr>
          <w:rFonts w:hint="eastAsia"/>
          <w:snapToGrid/>
          <w:spacing w:val="-50"/>
          <w:sz w:val="20"/>
          <w:lang w:val="en-GB"/>
        </w:rPr>
        <w:t>―</w:t>
      </w:r>
      <w:r w:rsidR="00864CA4" w:rsidRPr="005F780A">
        <w:rPr>
          <w:rFonts w:hint="eastAsia"/>
          <w:snapToGrid/>
          <w:sz w:val="20"/>
          <w:lang w:val="en-GB"/>
        </w:rPr>
        <w:t>―</w:t>
      </w:r>
      <w:r w:rsidRPr="005B643A">
        <w:rPr>
          <w:rFonts w:ascii="SimHei" w:eastAsia="SimHei" w:hAnsi="SimHei" w:hint="eastAsia"/>
        </w:rPr>
        <w:t>请根据研究报告或估计数提供资料。</w:t>
      </w:r>
    </w:p>
    <w:p w:rsidR="00E735D2" w:rsidRDefault="00E735D2" w:rsidP="00864CA4">
      <w:pPr>
        <w:pStyle w:val="H23GC"/>
      </w:pPr>
      <w:r>
        <w:rPr>
          <w:rFonts w:hint="eastAsia"/>
        </w:rPr>
        <w:tab/>
      </w:r>
      <w:r>
        <w:rPr>
          <w:rFonts w:hint="eastAsia"/>
        </w:rPr>
        <w:tab/>
      </w:r>
      <w:r>
        <w:rPr>
          <w:rFonts w:hint="eastAsia"/>
        </w:rPr>
        <w:t>《公约》培训和宣传《公约》</w:t>
      </w:r>
    </w:p>
    <w:p w:rsidR="00E735D2" w:rsidRDefault="00E735D2" w:rsidP="00E735D2">
      <w:pPr>
        <w:pStyle w:val="SingleTxtGC"/>
      </w:pPr>
      <w:r>
        <w:rPr>
          <w:rFonts w:hint="eastAsia"/>
        </w:rPr>
        <w:t xml:space="preserve">20.  </w:t>
      </w:r>
      <w:r>
        <w:rPr>
          <w:rFonts w:hint="eastAsia"/>
        </w:rPr>
        <w:t>委员会赞赏地注意到，塞内加尔外交和海外侨民部建立了一个网站，提供以下相关信息：《公约》赋予的权利以及在塞内加尔入境、逗留和定居的条件；针对部署到边境检查站的官员举办有关文件伪造、移民管理和尊重移民权利专题的培训班；以及针对法官编制了适用国际公约方面的两个培训模块。然而，委员会感到关切的是，关于《公约》及其所载权利的专门信息和培训方案缺乏，以及对利益攸关方，包括国家、区域和地方当局、执法人员、法官、检察官、相关领事官员和社会工作者以及民间社会组织、学术界、媒体、移徙工人本身及其家庭成员进行的此类信息的宣传有限。</w:t>
      </w:r>
    </w:p>
    <w:p w:rsidR="00E735D2" w:rsidRDefault="00E735D2" w:rsidP="00E735D2">
      <w:pPr>
        <w:pStyle w:val="SingleTxtGC"/>
      </w:pPr>
      <w:r>
        <w:rPr>
          <w:rFonts w:hint="eastAsia"/>
        </w:rPr>
        <w:t xml:space="preserve">21.  </w:t>
      </w:r>
      <w:r w:rsidRPr="005B643A">
        <w:rPr>
          <w:rFonts w:ascii="SimHei" w:eastAsia="SimHei" w:hAnsi="SimHei" w:hint="eastAsia"/>
        </w:rPr>
        <w:t>委员会建议缔约国制定有关《公约》的教育和培训方案，并且应当对从事移徙相关领域工作的所有官员和其他人员进行这方面的教育和培训。委员会还建议缔约国确保移徙工人能够获取有关《公约》赋予他们的权利的信息。此外，缔约国应当与学术界、民间社会组织和媒体合作，宣传《公约》相关信息并推动《公约》的执行。</w:t>
      </w:r>
    </w:p>
    <w:p w:rsidR="00E735D2" w:rsidRDefault="00E735D2" w:rsidP="00864CA4">
      <w:pPr>
        <w:pStyle w:val="H23GC"/>
      </w:pPr>
      <w:r>
        <w:rPr>
          <w:rFonts w:hint="eastAsia"/>
        </w:rPr>
        <w:lastRenderedPageBreak/>
        <w:tab/>
        <w:t>2.</w:t>
      </w:r>
      <w:r>
        <w:rPr>
          <w:rFonts w:hint="eastAsia"/>
        </w:rPr>
        <w:tab/>
      </w:r>
      <w:r>
        <w:rPr>
          <w:rFonts w:hint="eastAsia"/>
        </w:rPr>
        <w:t>一般原则</w:t>
      </w:r>
      <w:r>
        <w:rPr>
          <w:rFonts w:hint="eastAsia"/>
        </w:rPr>
        <w:t>(</w:t>
      </w:r>
      <w:r>
        <w:rPr>
          <w:rFonts w:hint="eastAsia"/>
        </w:rPr>
        <w:t>第</w:t>
      </w:r>
      <w:r>
        <w:rPr>
          <w:rFonts w:hint="eastAsia"/>
        </w:rPr>
        <w:t>7</w:t>
      </w:r>
      <w:r>
        <w:rPr>
          <w:rFonts w:hint="eastAsia"/>
        </w:rPr>
        <w:t>条和第</w:t>
      </w:r>
      <w:r>
        <w:rPr>
          <w:rFonts w:hint="eastAsia"/>
        </w:rPr>
        <w:t>83</w:t>
      </w:r>
      <w:r>
        <w:rPr>
          <w:rFonts w:hint="eastAsia"/>
        </w:rPr>
        <w:t>条</w:t>
      </w:r>
      <w:r>
        <w:rPr>
          <w:rFonts w:hint="eastAsia"/>
        </w:rPr>
        <w:t>)</w:t>
      </w:r>
    </w:p>
    <w:p w:rsidR="00E735D2" w:rsidRDefault="00E735D2" w:rsidP="00864CA4">
      <w:pPr>
        <w:pStyle w:val="H23GC"/>
      </w:pPr>
      <w:r>
        <w:rPr>
          <w:rFonts w:hint="eastAsia"/>
        </w:rPr>
        <w:tab/>
      </w:r>
      <w:r>
        <w:rPr>
          <w:rFonts w:hint="eastAsia"/>
        </w:rPr>
        <w:tab/>
      </w:r>
      <w:r>
        <w:rPr>
          <w:rFonts w:hint="eastAsia"/>
        </w:rPr>
        <w:t>不歧视</w:t>
      </w:r>
    </w:p>
    <w:p w:rsidR="00E735D2" w:rsidRDefault="00E735D2" w:rsidP="00E735D2">
      <w:pPr>
        <w:pStyle w:val="SingleTxtGC"/>
      </w:pPr>
      <w:r>
        <w:rPr>
          <w:rFonts w:hint="eastAsia"/>
        </w:rPr>
        <w:t xml:space="preserve">22.  </w:t>
      </w:r>
      <w:r>
        <w:rPr>
          <w:rFonts w:hint="eastAsia"/>
        </w:rPr>
        <w:t>委员会注意到，除《公约》以外，缔约国批准了禁止以任何理由进行歧视的所有核心国际人权条约，根据</w:t>
      </w:r>
      <w:r>
        <w:rPr>
          <w:rFonts w:hint="eastAsia"/>
        </w:rPr>
        <w:t>2001</w:t>
      </w:r>
      <w:r>
        <w:rPr>
          <w:rFonts w:hint="eastAsia"/>
        </w:rPr>
        <w:t>年《宪法》第</w:t>
      </w:r>
      <w:r>
        <w:rPr>
          <w:rFonts w:hint="eastAsia"/>
        </w:rPr>
        <w:t>98</w:t>
      </w:r>
      <w:r>
        <w:rPr>
          <w:rFonts w:hint="eastAsia"/>
        </w:rPr>
        <w:t>条，这些文书是国内法整体的一部分。委员会还注意到，缔约国的宪法和立法框架载有关于禁止歧视的条款，包括禁止就业、健康、教育和社会保障领域的歧视。然而，委员会感到关切的是：</w:t>
      </w:r>
    </w:p>
    <w:p w:rsidR="00E735D2" w:rsidRDefault="00E735D2" w:rsidP="00864CA4">
      <w:pPr>
        <w:pStyle w:val="SingleTxtGC"/>
        <w:numPr>
          <w:ilvl w:val="0"/>
          <w:numId w:val="12"/>
        </w:numPr>
        <w:tabs>
          <w:tab w:val="clear" w:pos="2426"/>
          <w:tab w:val="left" w:pos="2427"/>
        </w:tabs>
      </w:pPr>
      <w:r>
        <w:rPr>
          <w:rFonts w:hint="eastAsia"/>
        </w:rPr>
        <w:t>事实上，国内关于就业和工作条件的立法既未涵盖《公约》列明的所有禁止歧视的理由</w:t>
      </w:r>
      <w:r>
        <w:rPr>
          <w:rFonts w:hint="eastAsia"/>
        </w:rPr>
        <w:t>(</w:t>
      </w:r>
      <w:r>
        <w:rPr>
          <w:rFonts w:hint="eastAsia"/>
        </w:rPr>
        <w:t>见第</w:t>
      </w:r>
      <w:r>
        <w:rPr>
          <w:rFonts w:hint="eastAsia"/>
        </w:rPr>
        <w:t>1</w:t>
      </w:r>
      <w:r>
        <w:rPr>
          <w:rFonts w:hint="eastAsia"/>
        </w:rPr>
        <w:t>条第</w:t>
      </w:r>
      <w:r>
        <w:rPr>
          <w:rFonts w:hint="eastAsia"/>
        </w:rPr>
        <w:t>1</w:t>
      </w:r>
      <w:r>
        <w:rPr>
          <w:rFonts w:hint="eastAsia"/>
        </w:rPr>
        <w:t>款和第</w:t>
      </w:r>
      <w:r>
        <w:rPr>
          <w:rFonts w:hint="eastAsia"/>
        </w:rPr>
        <w:t>7</w:t>
      </w:r>
      <w:r>
        <w:rPr>
          <w:rFonts w:hint="eastAsia"/>
        </w:rPr>
        <w:t>条</w:t>
      </w:r>
      <w:r>
        <w:rPr>
          <w:rFonts w:hint="eastAsia"/>
        </w:rPr>
        <w:t>)</w:t>
      </w:r>
      <w:r>
        <w:rPr>
          <w:rFonts w:hint="eastAsia"/>
        </w:rPr>
        <w:t>，也未载有禁止以国籍为由歧视的具体规定；</w:t>
      </w:r>
    </w:p>
    <w:p w:rsidR="00E735D2" w:rsidRDefault="00E735D2" w:rsidP="00864CA4">
      <w:pPr>
        <w:pStyle w:val="SingleTxtGC"/>
        <w:numPr>
          <w:ilvl w:val="0"/>
          <w:numId w:val="12"/>
        </w:numPr>
        <w:tabs>
          <w:tab w:val="clear" w:pos="2426"/>
          <w:tab w:val="left" w:pos="2427"/>
        </w:tabs>
      </w:pPr>
      <w:r>
        <w:rPr>
          <w:rFonts w:hint="eastAsia"/>
        </w:rPr>
        <w:t>有报告称，来自埃博拉疫情爆发国家的移徙工人遭到歧视和污名化，尤其是，他们的健康、教育、公平就业和住房权利受到损害，而且经常遭到骚扰；</w:t>
      </w:r>
    </w:p>
    <w:p w:rsidR="00E735D2" w:rsidRDefault="00E735D2" w:rsidP="00864CA4">
      <w:pPr>
        <w:pStyle w:val="SingleTxtGC"/>
        <w:numPr>
          <w:ilvl w:val="0"/>
          <w:numId w:val="12"/>
        </w:numPr>
        <w:tabs>
          <w:tab w:val="clear" w:pos="2426"/>
          <w:tab w:val="left" w:pos="2427"/>
        </w:tabs>
      </w:pPr>
      <w:r>
        <w:rPr>
          <w:rFonts w:hint="eastAsia"/>
        </w:rPr>
        <w:t>有报告称，在塞内加尔出生的外国国民的子女很难获得塞内加尔国籍，很大程度上是因为入籍程序繁琐和漫长。</w:t>
      </w:r>
    </w:p>
    <w:p w:rsidR="00E735D2" w:rsidRDefault="00E735D2" w:rsidP="00864CA4">
      <w:pPr>
        <w:pStyle w:val="SingleTxtGC"/>
        <w:numPr>
          <w:ilvl w:val="0"/>
          <w:numId w:val="12"/>
        </w:numPr>
        <w:tabs>
          <w:tab w:val="clear" w:pos="2426"/>
          <w:tab w:val="left" w:pos="2427"/>
        </w:tabs>
      </w:pPr>
      <w:r>
        <w:rPr>
          <w:rFonts w:hint="eastAsia"/>
        </w:rPr>
        <w:t>事实上，非正常情况下的移徙工人在非正式部门及过境过程中的权利，以及在海外工作的塞内加尔人的家庭成员的权利未得到合理尊重，特别是在获得社会福利方面；</w:t>
      </w:r>
    </w:p>
    <w:p w:rsidR="00E735D2" w:rsidRDefault="00E735D2" w:rsidP="00864CA4">
      <w:pPr>
        <w:pStyle w:val="SingleTxtGC"/>
        <w:numPr>
          <w:ilvl w:val="0"/>
          <w:numId w:val="12"/>
        </w:numPr>
        <w:tabs>
          <w:tab w:val="clear" w:pos="2426"/>
          <w:tab w:val="left" w:pos="2427"/>
        </w:tabs>
      </w:pPr>
      <w:r>
        <w:rPr>
          <w:rFonts w:hint="eastAsia"/>
        </w:rPr>
        <w:t>缺乏使其能够根据《公约》评估有证和无证移徙工人不受歧视权利的落实情况的实际做法和实例的相关信息。</w:t>
      </w:r>
    </w:p>
    <w:p w:rsidR="00E735D2" w:rsidRPr="005B643A" w:rsidRDefault="00E735D2" w:rsidP="00E735D2">
      <w:pPr>
        <w:pStyle w:val="SingleTxtGC"/>
        <w:rPr>
          <w:rFonts w:ascii="SimHei" w:eastAsia="SimHei" w:hAnsi="SimHei"/>
        </w:rPr>
      </w:pPr>
      <w:r>
        <w:rPr>
          <w:rFonts w:hint="eastAsia"/>
        </w:rPr>
        <w:t xml:space="preserve">23.  </w:t>
      </w:r>
      <w:r w:rsidRPr="005B643A">
        <w:rPr>
          <w:rFonts w:ascii="SimHei" w:eastAsia="SimHei" w:hAnsi="SimHei" w:hint="eastAsia"/>
        </w:rPr>
        <w:t>委员会建议缔约国采取一切必要措施，包括立法修正案，确保所有移徙工人及其家庭成员，无论是否有证明文件，在其领土内或其管辖范围内，根据《公约》第</w:t>
      </w:r>
      <w:r>
        <w:rPr>
          <w:rFonts w:hint="eastAsia"/>
        </w:rPr>
        <w:t>7</w:t>
      </w:r>
      <w:r w:rsidRPr="005B643A">
        <w:rPr>
          <w:rFonts w:ascii="SimHei" w:eastAsia="SimHei" w:hAnsi="SimHei" w:hint="eastAsia"/>
        </w:rPr>
        <w:t>条，不受歧视地享有《公约》认可的各项权利。特别是，委员会建议缔约国：</w:t>
      </w:r>
    </w:p>
    <w:p w:rsidR="00E735D2" w:rsidRDefault="00E735D2" w:rsidP="00864CA4">
      <w:pPr>
        <w:pStyle w:val="SingleTxtGC"/>
        <w:numPr>
          <w:ilvl w:val="0"/>
          <w:numId w:val="14"/>
        </w:numPr>
        <w:tabs>
          <w:tab w:val="clear" w:pos="2426"/>
          <w:tab w:val="left" w:pos="2427"/>
        </w:tabs>
      </w:pPr>
      <w:r w:rsidRPr="005B643A">
        <w:rPr>
          <w:rFonts w:ascii="SimHei" w:eastAsia="SimHei" w:hAnsi="SimHei" w:hint="eastAsia"/>
        </w:rPr>
        <w:t>在其有关就业和工作条件的国内立法中纳入明确和具体禁止以国籍为由歧视的规定，对移徙工人及其家庭成员给予特别保护</w:t>
      </w:r>
      <w:r>
        <w:rPr>
          <w:rFonts w:hint="eastAsia"/>
        </w:rPr>
        <w:t>；</w:t>
      </w:r>
    </w:p>
    <w:p w:rsidR="00E735D2" w:rsidRDefault="00E735D2" w:rsidP="00864CA4">
      <w:pPr>
        <w:pStyle w:val="SingleTxtGC"/>
        <w:numPr>
          <w:ilvl w:val="0"/>
          <w:numId w:val="14"/>
        </w:numPr>
        <w:tabs>
          <w:tab w:val="clear" w:pos="2426"/>
          <w:tab w:val="left" w:pos="2427"/>
        </w:tabs>
      </w:pPr>
      <w:r w:rsidRPr="005B643A">
        <w:rPr>
          <w:rFonts w:ascii="SimHei" w:eastAsia="SimHei" w:hAnsi="SimHei" w:hint="eastAsia"/>
        </w:rPr>
        <w:t>采取一切必要措施，确保来自受埃博拉疫情爆发影响的国家的移徙工人切实享有《公约》所保护的权利，并对歧视、污名化和骚扰移徙工人的行为的实施者提起诉讼和给予惩罚</w:t>
      </w:r>
      <w:r>
        <w:rPr>
          <w:rFonts w:hint="eastAsia"/>
        </w:rPr>
        <w:t>；</w:t>
      </w:r>
    </w:p>
    <w:p w:rsidR="00E735D2" w:rsidRDefault="00E735D2" w:rsidP="00864CA4">
      <w:pPr>
        <w:pStyle w:val="SingleTxtGC"/>
        <w:numPr>
          <w:ilvl w:val="0"/>
          <w:numId w:val="14"/>
        </w:numPr>
        <w:tabs>
          <w:tab w:val="clear" w:pos="2426"/>
          <w:tab w:val="left" w:pos="2427"/>
        </w:tabs>
      </w:pPr>
      <w:r w:rsidRPr="005B643A">
        <w:rPr>
          <w:rFonts w:ascii="SimHei" w:eastAsia="SimHei" w:hAnsi="SimHei" w:hint="eastAsia"/>
        </w:rPr>
        <w:t>加快和简化在塞内加尔出生、父母为外国人的儿童的入籍程序，使其能够在合理时限内获得国籍</w:t>
      </w:r>
      <w:r>
        <w:rPr>
          <w:rFonts w:hint="eastAsia"/>
        </w:rPr>
        <w:t>；</w:t>
      </w:r>
    </w:p>
    <w:p w:rsidR="00E735D2" w:rsidRDefault="00E735D2" w:rsidP="00864CA4">
      <w:pPr>
        <w:pStyle w:val="SingleTxtGC"/>
        <w:numPr>
          <w:ilvl w:val="0"/>
          <w:numId w:val="14"/>
        </w:numPr>
        <w:tabs>
          <w:tab w:val="clear" w:pos="2426"/>
          <w:tab w:val="left" w:pos="2427"/>
        </w:tabs>
      </w:pPr>
      <w:r w:rsidRPr="005B643A">
        <w:rPr>
          <w:rFonts w:ascii="SimHei" w:eastAsia="SimHei" w:hAnsi="SimHei" w:hint="eastAsia"/>
        </w:rPr>
        <w:t>采取必要措施，确保非正式部门和过境的所有非正常情况下的移徙工人以及在海外工作的塞内加尔人的家庭成员享有与塞内加尔国民同等的待遇，特别是在获得社会福利方面</w:t>
      </w:r>
      <w:r>
        <w:rPr>
          <w:rFonts w:hint="eastAsia"/>
        </w:rPr>
        <w:t>；</w:t>
      </w:r>
    </w:p>
    <w:p w:rsidR="00E735D2" w:rsidRDefault="00E735D2" w:rsidP="00864CA4">
      <w:pPr>
        <w:pStyle w:val="SingleTxtGC"/>
        <w:numPr>
          <w:ilvl w:val="0"/>
          <w:numId w:val="14"/>
        </w:numPr>
        <w:tabs>
          <w:tab w:val="clear" w:pos="2426"/>
          <w:tab w:val="left" w:pos="2427"/>
        </w:tabs>
      </w:pPr>
      <w:r w:rsidRPr="005B643A">
        <w:rPr>
          <w:rFonts w:ascii="SimHei" w:eastAsia="SimHei" w:hAnsi="SimHei" w:hint="eastAsia"/>
        </w:rPr>
        <w:lastRenderedPageBreak/>
        <w:t>在其第四次定期报告中提供这方面做法的相关资料，以及相关实例，并提高地方当局、移民官员和广大公众对移徙工人及其家庭成员的权利的认识</w:t>
      </w:r>
      <w:r>
        <w:rPr>
          <w:rFonts w:hint="eastAsia"/>
        </w:rPr>
        <w:t>。</w:t>
      </w:r>
    </w:p>
    <w:p w:rsidR="00E735D2" w:rsidRDefault="00E735D2" w:rsidP="00864CA4">
      <w:pPr>
        <w:pStyle w:val="H23GC"/>
      </w:pPr>
      <w:r>
        <w:rPr>
          <w:rFonts w:hint="eastAsia"/>
        </w:rPr>
        <w:tab/>
      </w:r>
      <w:r>
        <w:rPr>
          <w:rFonts w:hint="eastAsia"/>
        </w:rPr>
        <w:tab/>
      </w:r>
      <w:r>
        <w:rPr>
          <w:rFonts w:hint="eastAsia"/>
        </w:rPr>
        <w:t>得到有效救济的权利</w:t>
      </w:r>
    </w:p>
    <w:p w:rsidR="00E735D2" w:rsidRDefault="00E735D2" w:rsidP="00E735D2">
      <w:pPr>
        <w:pStyle w:val="SingleTxtGC"/>
      </w:pPr>
      <w:r>
        <w:rPr>
          <w:rFonts w:hint="eastAsia"/>
        </w:rPr>
        <w:t xml:space="preserve">24.  </w:t>
      </w:r>
      <w:r>
        <w:rPr>
          <w:rFonts w:hint="eastAsia"/>
        </w:rPr>
        <w:t>委员会满意地注意到缔约国提供了以下信息，即，在遭遇滥用职权或自身权利受到侵犯的情况下，移徙工人及其家庭成员可以获得若干救济。然而，委员会关切的是，未提供移徙工人或其家庭成员、包括非正常情况下的移徙工人或其家庭成员提起与侵犯其根据《公约》所享有的权利有关的案件和</w:t>
      </w:r>
      <w:r>
        <w:rPr>
          <w:rFonts w:hint="eastAsia"/>
        </w:rPr>
        <w:t>/</w:t>
      </w:r>
      <w:r>
        <w:rPr>
          <w:rFonts w:hint="eastAsia"/>
        </w:rPr>
        <w:t>或诉讼程序的数量。</w:t>
      </w:r>
    </w:p>
    <w:p w:rsidR="00E735D2" w:rsidRPr="005B643A" w:rsidRDefault="00E735D2" w:rsidP="00E735D2">
      <w:pPr>
        <w:pStyle w:val="SingleTxtGC"/>
        <w:rPr>
          <w:rFonts w:ascii="SimHei" w:eastAsia="SimHei" w:hAnsi="SimHei"/>
        </w:rPr>
      </w:pPr>
      <w:r>
        <w:rPr>
          <w:rFonts w:hint="eastAsia"/>
        </w:rPr>
        <w:t xml:space="preserve">25.  </w:t>
      </w:r>
      <w:r w:rsidRPr="005B643A">
        <w:rPr>
          <w:rFonts w:ascii="SimHei" w:eastAsia="SimHei" w:hAnsi="SimHei" w:hint="eastAsia"/>
        </w:rPr>
        <w:t>委员会建议缔约国在法律上和实践中确保移徙工人及其家庭成员、包括非正常情况下的移徙工人及其家庭成员在其根据《公约》所享有的权利遭到侵犯时，享有与缔约国国民同等的机会提出申诉并在法院获得有效救济。委员会还建议缔约国采取附加措施，使移徙工人及其家庭成员、包括非正常情况下的移徙工人及其家庭成员知悉在其根据《公约》所享有的权利遭到侵犯时可采用的司法及其他救济。</w:t>
      </w:r>
    </w:p>
    <w:p w:rsidR="00E735D2" w:rsidRDefault="00E735D2" w:rsidP="00864CA4">
      <w:pPr>
        <w:pStyle w:val="H23GC"/>
      </w:pPr>
      <w:r>
        <w:rPr>
          <w:rFonts w:hint="eastAsia"/>
        </w:rPr>
        <w:tab/>
        <w:t>3.</w:t>
      </w:r>
      <w:r>
        <w:rPr>
          <w:rFonts w:hint="eastAsia"/>
        </w:rPr>
        <w:tab/>
      </w:r>
      <w:r>
        <w:rPr>
          <w:rFonts w:hint="eastAsia"/>
        </w:rPr>
        <w:t>所有移徙工人及其家庭成员的人权</w:t>
      </w:r>
      <w:r>
        <w:rPr>
          <w:rFonts w:hint="eastAsia"/>
        </w:rPr>
        <w:t>(</w:t>
      </w:r>
      <w:r>
        <w:rPr>
          <w:rFonts w:hint="eastAsia"/>
        </w:rPr>
        <w:t>第</w:t>
      </w:r>
      <w:r>
        <w:rPr>
          <w:rFonts w:hint="eastAsia"/>
        </w:rPr>
        <w:t>8</w:t>
      </w:r>
      <w:r>
        <w:rPr>
          <w:rFonts w:hint="eastAsia"/>
        </w:rPr>
        <w:t>至</w:t>
      </w:r>
      <w:r>
        <w:rPr>
          <w:rFonts w:hint="eastAsia"/>
        </w:rPr>
        <w:t>35</w:t>
      </w:r>
      <w:r>
        <w:rPr>
          <w:rFonts w:hint="eastAsia"/>
        </w:rPr>
        <w:t>条</w:t>
      </w:r>
      <w:r>
        <w:rPr>
          <w:rFonts w:hint="eastAsia"/>
        </w:rPr>
        <w:t>)</w:t>
      </w:r>
    </w:p>
    <w:p w:rsidR="00E735D2" w:rsidRDefault="00E735D2" w:rsidP="00864CA4">
      <w:pPr>
        <w:pStyle w:val="H23GC"/>
      </w:pPr>
      <w:r>
        <w:rPr>
          <w:rFonts w:hint="eastAsia"/>
        </w:rPr>
        <w:tab/>
      </w:r>
      <w:r>
        <w:rPr>
          <w:rFonts w:hint="eastAsia"/>
        </w:rPr>
        <w:tab/>
      </w:r>
      <w:r>
        <w:rPr>
          <w:rFonts w:hint="eastAsia"/>
        </w:rPr>
        <w:t>正当程序、拘留和在法院前平等</w:t>
      </w:r>
    </w:p>
    <w:p w:rsidR="00E735D2" w:rsidRDefault="00E735D2" w:rsidP="00E735D2">
      <w:pPr>
        <w:pStyle w:val="SingleTxtGC"/>
      </w:pPr>
      <w:r>
        <w:rPr>
          <w:rFonts w:hint="eastAsia"/>
        </w:rPr>
        <w:t xml:space="preserve">26.  </w:t>
      </w:r>
      <w:r>
        <w:rPr>
          <w:rFonts w:hint="eastAsia"/>
        </w:rPr>
        <w:t>委员会注意到代表团所作的声明，即取代</w:t>
      </w:r>
      <w:r>
        <w:rPr>
          <w:rFonts w:hint="eastAsia"/>
        </w:rPr>
        <w:t>1971</w:t>
      </w:r>
      <w:r>
        <w:rPr>
          <w:rFonts w:hint="eastAsia"/>
        </w:rPr>
        <w:t>年</w:t>
      </w:r>
      <w:r>
        <w:rPr>
          <w:rFonts w:hint="eastAsia"/>
        </w:rPr>
        <w:t>1</w:t>
      </w:r>
      <w:r>
        <w:rPr>
          <w:rFonts w:hint="eastAsia"/>
        </w:rPr>
        <w:t>月</w:t>
      </w:r>
      <w:r>
        <w:rPr>
          <w:rFonts w:hint="eastAsia"/>
        </w:rPr>
        <w:t>25</w:t>
      </w:r>
      <w:r>
        <w:rPr>
          <w:rFonts w:hint="eastAsia"/>
        </w:rPr>
        <w:t>日关于外国人在塞内加尔入境、逗留和定居条件的第</w:t>
      </w:r>
      <w:r>
        <w:rPr>
          <w:rFonts w:hint="eastAsia"/>
        </w:rPr>
        <w:t>71-10</w:t>
      </w:r>
      <w:r>
        <w:rPr>
          <w:rFonts w:hint="eastAsia"/>
        </w:rPr>
        <w:t>号法第</w:t>
      </w:r>
      <w:r>
        <w:rPr>
          <w:rFonts w:hint="eastAsia"/>
        </w:rPr>
        <w:t>11</w:t>
      </w:r>
      <w:r>
        <w:rPr>
          <w:rFonts w:hint="eastAsia"/>
        </w:rPr>
        <w:t>条规定的</w:t>
      </w:r>
      <w:r>
        <w:rPr>
          <w:rFonts w:hint="eastAsia"/>
        </w:rPr>
        <w:t>1978</w:t>
      </w:r>
      <w:r>
        <w:rPr>
          <w:rFonts w:hint="eastAsia"/>
        </w:rPr>
        <w:t>年</w:t>
      </w:r>
      <w:r>
        <w:rPr>
          <w:rFonts w:hint="eastAsia"/>
        </w:rPr>
        <w:t>1</w:t>
      </w:r>
      <w:r>
        <w:rPr>
          <w:rFonts w:hint="eastAsia"/>
        </w:rPr>
        <w:t>月第</w:t>
      </w:r>
      <w:r>
        <w:rPr>
          <w:rFonts w:hint="eastAsia"/>
        </w:rPr>
        <w:t>78-12</w:t>
      </w:r>
      <w:r>
        <w:rPr>
          <w:rFonts w:hint="eastAsia"/>
        </w:rPr>
        <w:t>号法并广泛执行。然而，委员会依然感到关切的是：</w:t>
      </w:r>
    </w:p>
    <w:p w:rsidR="00E735D2" w:rsidRDefault="00E735D2" w:rsidP="00864CA4">
      <w:pPr>
        <w:pStyle w:val="SingleTxtGC"/>
        <w:numPr>
          <w:ilvl w:val="0"/>
          <w:numId w:val="16"/>
        </w:numPr>
        <w:tabs>
          <w:tab w:val="clear" w:pos="2426"/>
          <w:tab w:val="left" w:pos="2427"/>
        </w:tabs>
      </w:pPr>
      <w:r>
        <w:rPr>
          <w:rFonts w:hint="eastAsia"/>
        </w:rPr>
        <w:t>根据外国人在塞内加尔入境、逗留和定居条件法的第</w:t>
      </w:r>
      <w:r>
        <w:rPr>
          <w:rFonts w:hint="eastAsia"/>
        </w:rPr>
        <w:t>11</w:t>
      </w:r>
      <w:r>
        <w:rPr>
          <w:rFonts w:hint="eastAsia"/>
        </w:rPr>
        <w:t>条规定，非正常移徙被定为犯罪；</w:t>
      </w:r>
    </w:p>
    <w:p w:rsidR="00E735D2" w:rsidRDefault="00E735D2" w:rsidP="00864CA4">
      <w:pPr>
        <w:pStyle w:val="SingleTxtGC"/>
        <w:numPr>
          <w:ilvl w:val="0"/>
          <w:numId w:val="16"/>
        </w:numPr>
        <w:tabs>
          <w:tab w:val="clear" w:pos="2426"/>
          <w:tab w:val="left" w:pos="2427"/>
        </w:tabs>
      </w:pPr>
      <w:r>
        <w:rPr>
          <w:rFonts w:hint="eastAsia"/>
        </w:rPr>
        <w:t>缺乏关于被拘留移徙工人及其家庭成员的准确、详细资料；</w:t>
      </w:r>
    </w:p>
    <w:p w:rsidR="00E735D2" w:rsidRDefault="00E735D2" w:rsidP="00864CA4">
      <w:pPr>
        <w:pStyle w:val="SingleTxtGC"/>
        <w:numPr>
          <w:ilvl w:val="0"/>
          <w:numId w:val="16"/>
        </w:numPr>
        <w:tabs>
          <w:tab w:val="clear" w:pos="2426"/>
          <w:tab w:val="left" w:pos="2427"/>
        </w:tabs>
      </w:pPr>
      <w:r>
        <w:rPr>
          <w:rFonts w:hint="eastAsia"/>
        </w:rPr>
        <w:t>事实上，非正常情况下的移徙工人与普通囚犯关押在一起，并且儿童与成人没有被分开关押；</w:t>
      </w:r>
    </w:p>
    <w:p w:rsidR="00E735D2" w:rsidRDefault="00E735D2" w:rsidP="00864CA4">
      <w:pPr>
        <w:pStyle w:val="SingleTxtGC"/>
        <w:numPr>
          <w:ilvl w:val="0"/>
          <w:numId w:val="16"/>
        </w:numPr>
        <w:tabs>
          <w:tab w:val="clear" w:pos="2426"/>
          <w:tab w:val="left" w:pos="2427"/>
        </w:tabs>
      </w:pPr>
      <w:r>
        <w:rPr>
          <w:rFonts w:hint="eastAsia"/>
        </w:rPr>
        <w:t>由于基础设施老化、监狱过度拥挤，拘留条件很差；</w:t>
      </w:r>
    </w:p>
    <w:p w:rsidR="00E735D2" w:rsidRDefault="00E735D2" w:rsidP="00864CA4">
      <w:pPr>
        <w:pStyle w:val="SingleTxtGC"/>
        <w:numPr>
          <w:ilvl w:val="0"/>
          <w:numId w:val="16"/>
        </w:numPr>
        <w:tabs>
          <w:tab w:val="clear" w:pos="2426"/>
          <w:tab w:val="left" w:pos="2427"/>
        </w:tabs>
      </w:pPr>
      <w:r>
        <w:rPr>
          <w:rFonts w:hint="eastAsia"/>
        </w:rPr>
        <w:t>有报告称，由于行政或后勤问题，对在警察局等待递解出境的外国人的行政拘留可能无限期延长。</w:t>
      </w:r>
    </w:p>
    <w:p w:rsidR="00E735D2" w:rsidRPr="005B643A" w:rsidRDefault="00E735D2" w:rsidP="00E735D2">
      <w:pPr>
        <w:pStyle w:val="SingleTxtGC"/>
        <w:rPr>
          <w:rFonts w:ascii="SimHei" w:eastAsia="SimHei" w:hAnsi="SimHei"/>
        </w:rPr>
      </w:pPr>
      <w:r>
        <w:rPr>
          <w:rFonts w:hint="eastAsia"/>
        </w:rPr>
        <w:t xml:space="preserve">27.  </w:t>
      </w:r>
      <w:r w:rsidRPr="005B643A">
        <w:rPr>
          <w:rFonts w:ascii="SimHei" w:eastAsia="SimHei" w:hAnsi="SimHei" w:hint="eastAsia"/>
        </w:rPr>
        <w:t>委员会建议缔约国：</w:t>
      </w:r>
    </w:p>
    <w:p w:rsidR="00E735D2" w:rsidRDefault="00E735D2" w:rsidP="00864CA4">
      <w:pPr>
        <w:pStyle w:val="SingleTxtGC"/>
        <w:numPr>
          <w:ilvl w:val="0"/>
          <w:numId w:val="18"/>
        </w:numPr>
        <w:tabs>
          <w:tab w:val="clear" w:pos="2426"/>
          <w:tab w:val="left" w:pos="2427"/>
        </w:tabs>
      </w:pPr>
      <w:r w:rsidRPr="005B643A">
        <w:rPr>
          <w:rFonts w:ascii="SimHei" w:eastAsia="SimHei" w:hAnsi="SimHei" w:hint="eastAsia"/>
        </w:rPr>
        <w:t>修正关于外国人在塞内加尔入境、逗留和定居的</w:t>
      </w:r>
      <w:r>
        <w:rPr>
          <w:rFonts w:hint="eastAsia"/>
        </w:rPr>
        <w:t>1971</w:t>
      </w:r>
      <w:r w:rsidRPr="005B643A">
        <w:rPr>
          <w:rFonts w:ascii="SimHei" w:eastAsia="SimHei" w:hAnsi="SimHei" w:hint="eastAsia"/>
        </w:rPr>
        <w:t>年</w:t>
      </w:r>
      <w:r>
        <w:rPr>
          <w:rFonts w:hint="eastAsia"/>
        </w:rPr>
        <w:t>1</w:t>
      </w:r>
      <w:r w:rsidRPr="005B643A">
        <w:rPr>
          <w:rFonts w:ascii="SimHei" w:eastAsia="SimHei" w:hAnsi="SimHei" w:hint="eastAsia"/>
        </w:rPr>
        <w:t>月</w:t>
      </w:r>
      <w:r>
        <w:rPr>
          <w:rFonts w:hint="eastAsia"/>
        </w:rPr>
        <w:t>25</w:t>
      </w:r>
      <w:r w:rsidRPr="005B643A">
        <w:rPr>
          <w:rFonts w:ascii="SimHei" w:eastAsia="SimHei" w:hAnsi="SimHei" w:hint="eastAsia"/>
        </w:rPr>
        <w:t>日第</w:t>
      </w:r>
      <w:r>
        <w:rPr>
          <w:rFonts w:hint="eastAsia"/>
        </w:rPr>
        <w:t>71-10</w:t>
      </w:r>
      <w:r w:rsidRPr="005B643A">
        <w:rPr>
          <w:rFonts w:ascii="SimHei" w:eastAsia="SimHei" w:hAnsi="SimHei" w:hint="eastAsia"/>
        </w:rPr>
        <w:t>号法，将非正常移徙非刑罪化，因为委员会认为，根据关于非正常情况下的移徙工人及其家庭成员权利的第</w:t>
      </w:r>
      <w:r>
        <w:rPr>
          <w:rFonts w:hint="eastAsia"/>
        </w:rPr>
        <w:t>2(2013)</w:t>
      </w:r>
      <w:r w:rsidRPr="005B643A">
        <w:rPr>
          <w:rFonts w:ascii="SimHei" w:eastAsia="SimHei" w:hAnsi="SimHei" w:hint="eastAsia"/>
        </w:rPr>
        <w:t>号一般性意见，未经授权或无适当证明文件在一国逗留，或者逗留时间超出居留证时限的，不应构成刑事犯罪</w:t>
      </w:r>
      <w:r>
        <w:rPr>
          <w:rFonts w:hint="eastAsia"/>
        </w:rPr>
        <w:t>；</w:t>
      </w:r>
    </w:p>
    <w:p w:rsidR="00E735D2" w:rsidRDefault="00E735D2" w:rsidP="00864CA4">
      <w:pPr>
        <w:pStyle w:val="SingleTxtGC"/>
        <w:numPr>
          <w:ilvl w:val="0"/>
          <w:numId w:val="18"/>
        </w:numPr>
        <w:tabs>
          <w:tab w:val="clear" w:pos="2426"/>
          <w:tab w:val="left" w:pos="2427"/>
        </w:tabs>
      </w:pPr>
      <w:r w:rsidRPr="005B643A">
        <w:rPr>
          <w:rFonts w:ascii="SimHei" w:eastAsia="SimHei" w:hAnsi="SimHei" w:hint="eastAsia"/>
        </w:rPr>
        <w:lastRenderedPageBreak/>
        <w:t>在下次定期报告中指出目前由于违反移民法而被拘留的移民人数，按年龄、性别、国籍和/或血统分列，说明拘留地点、平均拘留期限和拘留条件，并提供关于驱逐出境的数量和所遵循程序的资料</w:t>
      </w:r>
      <w:r>
        <w:rPr>
          <w:rFonts w:hint="eastAsia"/>
        </w:rPr>
        <w:t>；</w:t>
      </w:r>
    </w:p>
    <w:p w:rsidR="00E735D2" w:rsidRDefault="00E735D2" w:rsidP="00864CA4">
      <w:pPr>
        <w:pStyle w:val="SingleTxtGC"/>
        <w:numPr>
          <w:ilvl w:val="0"/>
          <w:numId w:val="18"/>
        </w:numPr>
        <w:tabs>
          <w:tab w:val="clear" w:pos="2426"/>
          <w:tab w:val="left" w:pos="2427"/>
        </w:tabs>
      </w:pPr>
      <w:r w:rsidRPr="005B643A">
        <w:rPr>
          <w:rFonts w:ascii="SimHei" w:eastAsia="SimHei" w:hAnsi="SimHei" w:hint="eastAsia"/>
        </w:rPr>
        <w:t>作为最后手段，仅在例外情况下拘留违反移民法的移徙工人；确保始终将他们与普通犯人分开关押，将妇女与男子分开关押，拘留条件符合国际标准，并且对儿童及其家庭成员以及孤身未成年人采用替代拘留办法</w:t>
      </w:r>
      <w:r>
        <w:rPr>
          <w:rFonts w:hint="eastAsia"/>
        </w:rPr>
        <w:t>。</w:t>
      </w:r>
    </w:p>
    <w:p w:rsidR="00E735D2" w:rsidRDefault="00E735D2" w:rsidP="00864CA4">
      <w:pPr>
        <w:pStyle w:val="SingleTxtGC"/>
        <w:numPr>
          <w:ilvl w:val="0"/>
          <w:numId w:val="18"/>
        </w:numPr>
        <w:tabs>
          <w:tab w:val="clear" w:pos="2426"/>
          <w:tab w:val="left" w:pos="2427"/>
        </w:tabs>
      </w:pPr>
      <w:r w:rsidRPr="005B643A">
        <w:rPr>
          <w:rFonts w:ascii="SimHei" w:eastAsia="SimHei" w:hAnsi="SimHei" w:hint="eastAsia"/>
        </w:rPr>
        <w:t>禁止在警察局对等待从国家领土递解出境的外国人实施行政拘留，并考虑采用替代办法</w:t>
      </w:r>
      <w:r>
        <w:rPr>
          <w:rFonts w:hint="eastAsia"/>
        </w:rPr>
        <w:t>。</w:t>
      </w:r>
    </w:p>
    <w:p w:rsidR="00E735D2" w:rsidRDefault="00E735D2" w:rsidP="00864CA4">
      <w:pPr>
        <w:pStyle w:val="H23GC"/>
      </w:pPr>
      <w:r>
        <w:rPr>
          <w:rFonts w:hint="eastAsia"/>
        </w:rPr>
        <w:tab/>
      </w:r>
      <w:r>
        <w:rPr>
          <w:rFonts w:hint="eastAsia"/>
        </w:rPr>
        <w:tab/>
      </w:r>
      <w:r>
        <w:rPr>
          <w:rFonts w:hint="eastAsia"/>
        </w:rPr>
        <w:t>驱逐</w:t>
      </w:r>
    </w:p>
    <w:p w:rsidR="00E735D2" w:rsidRDefault="00E735D2" w:rsidP="00E735D2">
      <w:pPr>
        <w:pStyle w:val="SingleTxtGC"/>
      </w:pPr>
      <w:r>
        <w:rPr>
          <w:rFonts w:hint="eastAsia"/>
        </w:rPr>
        <w:t xml:space="preserve">28.  </w:t>
      </w:r>
      <w:r>
        <w:rPr>
          <w:rFonts w:hint="eastAsia"/>
        </w:rPr>
        <w:t>委员会注意到，第</w:t>
      </w:r>
      <w:r>
        <w:rPr>
          <w:rFonts w:hint="eastAsia"/>
        </w:rPr>
        <w:t>71-10</w:t>
      </w:r>
      <w:r>
        <w:rPr>
          <w:rFonts w:hint="eastAsia"/>
        </w:rPr>
        <w:t>号法的执行法令第</w:t>
      </w:r>
      <w:r>
        <w:rPr>
          <w:rFonts w:hint="eastAsia"/>
        </w:rPr>
        <w:t>34</w:t>
      </w:r>
      <w:r>
        <w:rPr>
          <w:rFonts w:hint="eastAsia"/>
        </w:rPr>
        <w:t>至</w:t>
      </w:r>
      <w:r>
        <w:rPr>
          <w:rFonts w:hint="eastAsia"/>
        </w:rPr>
        <w:t>38</w:t>
      </w:r>
      <w:r>
        <w:rPr>
          <w:rFonts w:hint="eastAsia"/>
        </w:rPr>
        <w:t>条规定了驱逐程序，作出驱逐的决定必须有正当理由，相关人员有权以滥用职权为由对该行政决定提出有暂缓遣返效力的上诉。然而，委员会感到关切的是，有报告称，缔约国当局并非始终遵循将移徙工人驱逐出境的既定程序。委员会还感到遗憾的是，缺乏关于缔约国决定驱逐的移民及其家庭成员的人数的资料。</w:t>
      </w:r>
    </w:p>
    <w:p w:rsidR="00E735D2" w:rsidRPr="005B643A" w:rsidRDefault="00E735D2" w:rsidP="00E735D2">
      <w:pPr>
        <w:pStyle w:val="SingleTxtGC"/>
        <w:rPr>
          <w:rFonts w:ascii="SimHei" w:eastAsia="SimHei" w:hAnsi="SimHei"/>
        </w:rPr>
      </w:pPr>
      <w:r>
        <w:rPr>
          <w:rFonts w:hint="eastAsia"/>
        </w:rPr>
        <w:t xml:space="preserve">29.  </w:t>
      </w:r>
      <w:r w:rsidRPr="005B643A">
        <w:rPr>
          <w:rFonts w:ascii="SimHei" w:eastAsia="SimHei" w:hAnsi="SimHei" w:hint="eastAsia"/>
        </w:rPr>
        <w:t>委员会建议缔约国采取一切必要措施，确保有效利用第</w:t>
      </w:r>
      <w:r>
        <w:rPr>
          <w:rFonts w:hint="eastAsia"/>
        </w:rPr>
        <w:t>71-10</w:t>
      </w:r>
      <w:r w:rsidRPr="005B643A">
        <w:rPr>
          <w:rFonts w:ascii="SimHei" w:eastAsia="SimHei" w:hAnsi="SimHei" w:hint="eastAsia"/>
        </w:rPr>
        <w:t>号法的执行法令确立的驱逐程序，并尊重《公约》规定的关于驱逐情况下的程序保障。委员会还鼓励缔约国提供关于被驱逐的移徙工人及所遵循的程序的最新资料，包括分列的统计数据。</w:t>
      </w:r>
    </w:p>
    <w:p w:rsidR="00E735D2" w:rsidRDefault="00E735D2" w:rsidP="00864CA4">
      <w:pPr>
        <w:pStyle w:val="H23GC"/>
      </w:pPr>
      <w:r>
        <w:rPr>
          <w:rFonts w:hint="eastAsia"/>
        </w:rPr>
        <w:tab/>
      </w:r>
      <w:r>
        <w:rPr>
          <w:rFonts w:hint="eastAsia"/>
        </w:rPr>
        <w:tab/>
      </w:r>
      <w:r>
        <w:rPr>
          <w:rFonts w:hint="eastAsia"/>
        </w:rPr>
        <w:t>领事协助</w:t>
      </w:r>
    </w:p>
    <w:p w:rsidR="00E735D2" w:rsidRDefault="00E735D2" w:rsidP="00E735D2">
      <w:pPr>
        <w:pStyle w:val="SingleTxtGC"/>
      </w:pPr>
      <w:r>
        <w:rPr>
          <w:rFonts w:hint="eastAsia"/>
        </w:rPr>
        <w:t xml:space="preserve">30.  </w:t>
      </w:r>
      <w:r>
        <w:rPr>
          <w:rFonts w:hint="eastAsia"/>
        </w:rPr>
        <w:t>委员会注意到，缔约国有义务通过其法律和领事事务局、海外侨民总局及其外交和领事机构，向在海外逗留的塞内加尔国民、包括非正常情况下的国民提供协助，特别是向被剥夺自由的国民或者被驱逐出境的国民提供协助。然而，委员会关切的是，有报告称，塞内加尔外交或领事机构向塞内加尔海外移徙工人、特别是被剥夺自由或被驱逐出境的移徙工人提供的保护和法律协助仍然不充分。委员会还感到遗憾的是，缺乏关于外交或领事当局到访东道国拘留地点以查看塞内加尔囚犯的状况的信息，还缺乏关于采取措施向原籍国外交或领事人员通报在塞内加尔被拘留的移徙工人的情况的信息。</w:t>
      </w:r>
    </w:p>
    <w:p w:rsidR="00E735D2" w:rsidRDefault="00E735D2" w:rsidP="00E735D2">
      <w:pPr>
        <w:pStyle w:val="SingleTxtGC"/>
      </w:pPr>
      <w:r>
        <w:rPr>
          <w:rFonts w:hint="eastAsia"/>
        </w:rPr>
        <w:t xml:space="preserve">31.  </w:t>
      </w:r>
      <w:r w:rsidRPr="005B643A">
        <w:rPr>
          <w:rFonts w:ascii="SimHei" w:eastAsia="SimHei" w:hAnsi="SimHei" w:hint="eastAsia"/>
        </w:rPr>
        <w:t>委员会建议缔约国：</w:t>
      </w:r>
    </w:p>
    <w:p w:rsidR="00E735D2" w:rsidRDefault="00E735D2" w:rsidP="00864CA4">
      <w:pPr>
        <w:pStyle w:val="SingleTxtGC"/>
        <w:numPr>
          <w:ilvl w:val="0"/>
          <w:numId w:val="20"/>
        </w:numPr>
        <w:tabs>
          <w:tab w:val="clear" w:pos="2426"/>
          <w:tab w:val="left" w:pos="2427"/>
        </w:tabs>
      </w:pPr>
      <w:r w:rsidRPr="005B643A">
        <w:rPr>
          <w:rFonts w:ascii="SimHei" w:eastAsia="SimHei" w:hAnsi="SimHei" w:hint="eastAsia"/>
        </w:rPr>
        <w:t>为居住国外的塞内加尔移徙工人获得缔约国的领事和外交协助提供便利，尤其是在遭遇拘留或驱逐的情况下</w:t>
      </w:r>
      <w:r>
        <w:rPr>
          <w:rFonts w:hint="eastAsia"/>
        </w:rPr>
        <w:t>；</w:t>
      </w:r>
    </w:p>
    <w:p w:rsidR="00E735D2" w:rsidRDefault="00E735D2" w:rsidP="00864CA4">
      <w:pPr>
        <w:pStyle w:val="SingleTxtGC"/>
        <w:numPr>
          <w:ilvl w:val="0"/>
          <w:numId w:val="20"/>
        </w:numPr>
        <w:tabs>
          <w:tab w:val="clear" w:pos="2426"/>
          <w:tab w:val="left" w:pos="2427"/>
        </w:tabs>
      </w:pPr>
      <w:r w:rsidRPr="005B643A">
        <w:rPr>
          <w:rFonts w:ascii="SimHei" w:eastAsia="SimHei" w:hAnsi="SimHei" w:hint="eastAsia"/>
        </w:rPr>
        <w:t>确保其领事机构能够有效地履行职责，保护和增进塞内加尔移徙工人及其家庭成员的权利，特别是为被剥夺自由或收到驱逐令的任何这类人员提供必要的协助</w:t>
      </w:r>
      <w:r>
        <w:rPr>
          <w:rFonts w:hint="eastAsia"/>
        </w:rPr>
        <w:t>；</w:t>
      </w:r>
    </w:p>
    <w:p w:rsidR="00E735D2" w:rsidRDefault="00E735D2" w:rsidP="00864CA4">
      <w:pPr>
        <w:pStyle w:val="SingleTxtGC"/>
        <w:numPr>
          <w:ilvl w:val="0"/>
          <w:numId w:val="20"/>
        </w:numPr>
        <w:tabs>
          <w:tab w:val="clear" w:pos="2426"/>
          <w:tab w:val="left" w:pos="2427"/>
        </w:tabs>
      </w:pPr>
      <w:r w:rsidRPr="005B643A">
        <w:rPr>
          <w:rFonts w:ascii="SimHei" w:eastAsia="SimHei" w:hAnsi="SimHei" w:hint="eastAsia"/>
        </w:rPr>
        <w:t>采取必要措施，确保向被缔约国羁押人员的原籍国或代表这些国家利益的某国的领事或外交人员系统通报有关情况</w:t>
      </w:r>
      <w:r>
        <w:rPr>
          <w:rFonts w:hint="eastAsia"/>
        </w:rPr>
        <w:t>。</w:t>
      </w:r>
    </w:p>
    <w:p w:rsidR="00E735D2" w:rsidRDefault="00E735D2" w:rsidP="00864CA4">
      <w:pPr>
        <w:pStyle w:val="H23GC"/>
      </w:pPr>
      <w:r>
        <w:rPr>
          <w:rFonts w:hint="eastAsia"/>
        </w:rPr>
        <w:lastRenderedPageBreak/>
        <w:tab/>
      </w:r>
      <w:r>
        <w:rPr>
          <w:rFonts w:hint="eastAsia"/>
        </w:rPr>
        <w:tab/>
      </w:r>
      <w:r>
        <w:rPr>
          <w:rFonts w:hint="eastAsia"/>
        </w:rPr>
        <w:t>社会保障</w:t>
      </w:r>
    </w:p>
    <w:p w:rsidR="00E735D2" w:rsidRDefault="00E735D2" w:rsidP="00E735D2">
      <w:pPr>
        <w:pStyle w:val="SingleTxtGC"/>
      </w:pPr>
      <w:r>
        <w:rPr>
          <w:rFonts w:hint="eastAsia"/>
        </w:rPr>
        <w:t xml:space="preserve">32.  </w:t>
      </w:r>
      <w:r>
        <w:rPr>
          <w:rFonts w:hint="eastAsia"/>
        </w:rPr>
        <w:t>委员会注意到，《劳动法典》禁止并处罚受薪工人待遇方面有关薪酬、工作条件和社会保障的任何歧视，无论这些工人是塞内加尔国民还是外国国民。然而，委员会感到遗憾的是，关于移徙工人及其家庭成员在塞内加尔与法国、西班牙、意大利、马里、毛里塔尼亚、摩洛哥和加蓬等国签署的双边协定规定的社会保障方面享有与国民平等的待遇这一权利的规定不充分。</w:t>
      </w:r>
    </w:p>
    <w:p w:rsidR="00E735D2" w:rsidRPr="005B643A" w:rsidRDefault="00E735D2" w:rsidP="00E735D2">
      <w:pPr>
        <w:pStyle w:val="SingleTxtGC"/>
        <w:rPr>
          <w:rFonts w:ascii="SimHei" w:eastAsia="SimHei" w:hAnsi="SimHei"/>
        </w:rPr>
      </w:pPr>
      <w:r>
        <w:rPr>
          <w:rFonts w:hint="eastAsia"/>
        </w:rPr>
        <w:t xml:space="preserve">33.  </w:t>
      </w:r>
      <w:r w:rsidRPr="005B643A">
        <w:rPr>
          <w:rFonts w:ascii="SimHei" w:eastAsia="SimHei" w:hAnsi="SimHei" w:hint="eastAsia"/>
        </w:rPr>
        <w:t>委员会建议缔约国：</w:t>
      </w:r>
    </w:p>
    <w:p w:rsidR="00E735D2" w:rsidRDefault="00E735D2" w:rsidP="00864CA4">
      <w:pPr>
        <w:pStyle w:val="SingleTxtGC"/>
        <w:numPr>
          <w:ilvl w:val="0"/>
          <w:numId w:val="22"/>
        </w:numPr>
        <w:tabs>
          <w:tab w:val="clear" w:pos="2426"/>
          <w:tab w:val="left" w:pos="2427"/>
        </w:tabs>
      </w:pPr>
      <w:r w:rsidRPr="005B643A">
        <w:rPr>
          <w:rFonts w:ascii="SimHei" w:eastAsia="SimHei" w:hAnsi="SimHei" w:hint="eastAsia"/>
        </w:rPr>
        <w:t>确保所有移徙工人及其家庭成员</w:t>
      </w:r>
      <w:r w:rsidR="00864CA4" w:rsidRPr="005F780A">
        <w:rPr>
          <w:rFonts w:hint="eastAsia"/>
          <w:snapToGrid/>
          <w:spacing w:val="-50"/>
          <w:sz w:val="20"/>
          <w:lang w:val="en-GB"/>
        </w:rPr>
        <w:t>―</w:t>
      </w:r>
      <w:r w:rsidR="00864CA4" w:rsidRPr="005F780A">
        <w:rPr>
          <w:rFonts w:hint="eastAsia"/>
          <w:snapToGrid/>
          <w:sz w:val="20"/>
          <w:lang w:val="en-GB"/>
        </w:rPr>
        <w:t>―</w:t>
      </w:r>
      <w:r w:rsidRPr="005B643A">
        <w:rPr>
          <w:rFonts w:ascii="SimHei" w:eastAsia="SimHei" w:hAnsi="SimHei" w:hint="eastAsia"/>
        </w:rPr>
        <w:t>不论其移徙身份如何</w:t>
      </w:r>
      <w:r w:rsidR="00864CA4" w:rsidRPr="005F780A">
        <w:rPr>
          <w:rFonts w:hint="eastAsia"/>
          <w:snapToGrid/>
          <w:spacing w:val="-50"/>
          <w:sz w:val="20"/>
          <w:lang w:val="en-GB"/>
        </w:rPr>
        <w:t>―</w:t>
      </w:r>
      <w:r w:rsidR="00864CA4" w:rsidRPr="005F780A">
        <w:rPr>
          <w:rFonts w:hint="eastAsia"/>
          <w:snapToGrid/>
          <w:sz w:val="20"/>
          <w:lang w:val="en-GB"/>
        </w:rPr>
        <w:t>―</w:t>
      </w:r>
      <w:r w:rsidRPr="005B643A">
        <w:rPr>
          <w:rFonts w:ascii="SimHei" w:eastAsia="SimHei" w:hAnsi="SimHei" w:hint="eastAsia"/>
        </w:rPr>
        <w:t>在法律上和实践中在薪酬和工作条件方面获得与塞内加尔工人平等的待遇，并且有权加入社会保障计划，并向他们告知在这方面的权利</w:t>
      </w:r>
      <w:r>
        <w:rPr>
          <w:rFonts w:hint="eastAsia"/>
        </w:rPr>
        <w:t>；</w:t>
      </w:r>
    </w:p>
    <w:p w:rsidR="00E735D2" w:rsidRDefault="00E735D2" w:rsidP="00864CA4">
      <w:pPr>
        <w:pStyle w:val="SingleTxtGC"/>
        <w:numPr>
          <w:ilvl w:val="0"/>
          <w:numId w:val="22"/>
        </w:numPr>
        <w:tabs>
          <w:tab w:val="clear" w:pos="2426"/>
          <w:tab w:val="left" w:pos="2427"/>
        </w:tabs>
      </w:pPr>
      <w:r w:rsidRPr="005B643A">
        <w:rPr>
          <w:rFonts w:ascii="SimHei" w:eastAsia="SimHei" w:hAnsi="SimHei" w:hint="eastAsia"/>
        </w:rPr>
        <w:t>通过系统谈判，将社会保障条款纳入有关劳动力移徙的双边和多边协定中，除其他外，是为了便利塞内加尔移民在返回塞内加尔时将其在东道国支付的社会缴款转移</w:t>
      </w:r>
      <w:r>
        <w:rPr>
          <w:rFonts w:hint="eastAsia"/>
        </w:rPr>
        <w:t>。</w:t>
      </w:r>
    </w:p>
    <w:p w:rsidR="00E735D2" w:rsidRDefault="00E735D2" w:rsidP="00E735D2">
      <w:pPr>
        <w:pStyle w:val="SingleTxtGC"/>
      </w:pPr>
      <w:r>
        <w:rPr>
          <w:rFonts w:hint="eastAsia"/>
        </w:rPr>
        <w:t xml:space="preserve">34.  </w:t>
      </w:r>
      <w:r>
        <w:rPr>
          <w:rFonts w:hint="eastAsia"/>
        </w:rPr>
        <w:t>委员会欢迎缔约国提供资料说明残疾养恤金、养老金和幸存者抚恤金可以转移到该国境外，外国受益人可以在自己的国家领取养恤金，但他们必须符合有权获得这些福利的必要条件。然而，委员会关切地注意到，根据确立《社会保障法典》的</w:t>
      </w:r>
      <w:r>
        <w:rPr>
          <w:rFonts w:hint="eastAsia"/>
        </w:rPr>
        <w:t>1973</w:t>
      </w:r>
      <w:r>
        <w:rPr>
          <w:rFonts w:hint="eastAsia"/>
        </w:rPr>
        <w:t>年</w:t>
      </w:r>
      <w:r>
        <w:rPr>
          <w:rFonts w:hint="eastAsia"/>
        </w:rPr>
        <w:t>7</w:t>
      </w:r>
      <w:r>
        <w:rPr>
          <w:rFonts w:hint="eastAsia"/>
        </w:rPr>
        <w:t>月</w:t>
      </w:r>
      <w:r>
        <w:rPr>
          <w:rFonts w:hint="eastAsia"/>
        </w:rPr>
        <w:t>31</w:t>
      </w:r>
      <w:r>
        <w:rPr>
          <w:rFonts w:hint="eastAsia"/>
        </w:rPr>
        <w:t>日第</w:t>
      </w:r>
      <w:r>
        <w:rPr>
          <w:rFonts w:hint="eastAsia"/>
        </w:rPr>
        <w:t>73-37</w:t>
      </w:r>
      <w:r>
        <w:rPr>
          <w:rFonts w:hint="eastAsia"/>
        </w:rPr>
        <w:t>号法第</w:t>
      </w:r>
      <w:r>
        <w:rPr>
          <w:rFonts w:hint="eastAsia"/>
        </w:rPr>
        <w:t>94</w:t>
      </w:r>
      <w:r>
        <w:rPr>
          <w:rFonts w:hint="eastAsia"/>
        </w:rPr>
        <w:t>条，如果缔约国与移徙工人原籍国之间未订立社会保障协定，或者如果一国的立法不保证塞内加尔工人享有与国民相同的权利，那么在塞内加尔受工伤并在后来离开该国的移徙工人仅有资格一次性领取相关款项，其家庭成员如果在事故发生时未居住在塞内加尔，则不能领取任何赔偿。</w:t>
      </w:r>
    </w:p>
    <w:p w:rsidR="00E735D2" w:rsidRDefault="00E735D2" w:rsidP="00E735D2">
      <w:pPr>
        <w:pStyle w:val="SingleTxtGC"/>
      </w:pPr>
      <w:r>
        <w:rPr>
          <w:rFonts w:hint="eastAsia"/>
        </w:rPr>
        <w:t xml:space="preserve">35.  </w:t>
      </w:r>
      <w:r w:rsidRPr="005B643A">
        <w:rPr>
          <w:rFonts w:ascii="SimHei" w:eastAsia="SimHei" w:hAnsi="SimHei" w:hint="eastAsia"/>
        </w:rPr>
        <w:t>委员会建议缔约国修正其立法，以确保所有移徙工人及其家庭成员能够享有与缔约国国民平等的待遇，获得社会服务和福利，包括残疾养恤金，但必须满足参与各项计划的要求，正如《公约》第</w:t>
      </w:r>
      <w:r>
        <w:rPr>
          <w:rFonts w:hint="eastAsia"/>
        </w:rPr>
        <w:t>43</w:t>
      </w:r>
      <w:r w:rsidRPr="005B643A">
        <w:rPr>
          <w:rFonts w:ascii="SimHei" w:eastAsia="SimHei" w:hAnsi="SimHei" w:hint="eastAsia"/>
        </w:rPr>
        <w:t>条所规定的那样</w:t>
      </w:r>
      <w:r>
        <w:rPr>
          <w:rFonts w:hint="eastAsia"/>
        </w:rPr>
        <w:t>。</w:t>
      </w:r>
    </w:p>
    <w:p w:rsidR="00E735D2" w:rsidRDefault="00E735D2" w:rsidP="00864CA4">
      <w:pPr>
        <w:pStyle w:val="H23GC"/>
      </w:pPr>
      <w:r>
        <w:rPr>
          <w:rFonts w:hint="eastAsia"/>
        </w:rPr>
        <w:tab/>
      </w:r>
      <w:r>
        <w:rPr>
          <w:rFonts w:hint="eastAsia"/>
        </w:rPr>
        <w:tab/>
      </w:r>
      <w:r>
        <w:rPr>
          <w:rFonts w:hint="eastAsia"/>
        </w:rPr>
        <w:t>紧急医疗服务</w:t>
      </w:r>
    </w:p>
    <w:p w:rsidR="00E735D2" w:rsidRDefault="00E735D2" w:rsidP="00E735D2">
      <w:pPr>
        <w:pStyle w:val="SingleTxtGC"/>
      </w:pPr>
      <w:r>
        <w:rPr>
          <w:rFonts w:hint="eastAsia"/>
        </w:rPr>
        <w:t xml:space="preserve">36.  </w:t>
      </w:r>
      <w:r>
        <w:rPr>
          <w:rFonts w:hint="eastAsia"/>
        </w:rPr>
        <w:t>委员会注意到缔约国提供的资料表明，移徙工人，不论其移徙身份如何，均享有与本国工人同等条件的医疗服务。然而，委员会感到遗憾的是，没有提供更完整的资料表明，在法律上和实践中，移徙工人及其家庭成员</w:t>
      </w:r>
      <w:r w:rsidR="00864CA4" w:rsidRPr="005F780A">
        <w:rPr>
          <w:rFonts w:hint="eastAsia"/>
          <w:snapToGrid/>
          <w:spacing w:val="-50"/>
          <w:sz w:val="20"/>
          <w:lang w:val="en-GB"/>
        </w:rPr>
        <w:t>―</w:t>
      </w:r>
      <w:r w:rsidR="00864CA4" w:rsidRPr="005F780A">
        <w:rPr>
          <w:rFonts w:hint="eastAsia"/>
          <w:snapToGrid/>
          <w:sz w:val="20"/>
          <w:lang w:val="en-GB"/>
        </w:rPr>
        <w:t>―</w:t>
      </w:r>
      <w:r>
        <w:rPr>
          <w:rFonts w:hint="eastAsia"/>
        </w:rPr>
        <w:t>不论其移徙身份如何</w:t>
      </w:r>
      <w:r w:rsidR="00864CA4" w:rsidRPr="005F780A">
        <w:rPr>
          <w:rFonts w:hint="eastAsia"/>
          <w:snapToGrid/>
          <w:spacing w:val="-50"/>
          <w:sz w:val="20"/>
          <w:lang w:val="en-GB"/>
        </w:rPr>
        <w:t>―</w:t>
      </w:r>
      <w:r w:rsidR="00864CA4" w:rsidRPr="005F780A">
        <w:rPr>
          <w:rFonts w:hint="eastAsia"/>
          <w:snapToGrid/>
          <w:sz w:val="20"/>
          <w:lang w:val="en-GB"/>
        </w:rPr>
        <w:t>―</w:t>
      </w:r>
      <w:r>
        <w:rPr>
          <w:rFonts w:hint="eastAsia"/>
        </w:rPr>
        <w:t>在与缔约国国民待遇平等的基础上获得维持其生命或避免健康遭到不可弥补的损害所需的紧急医疗服务的机会。委员会还感到遗憾的是，没有提供资料说明向居住在缔约国的移徙工人提供产妇和家庭津贴的情况。</w:t>
      </w:r>
    </w:p>
    <w:p w:rsidR="00E735D2" w:rsidRDefault="00E735D2" w:rsidP="00E735D2">
      <w:pPr>
        <w:pStyle w:val="SingleTxtGC"/>
      </w:pPr>
      <w:r>
        <w:rPr>
          <w:rFonts w:hint="eastAsia"/>
        </w:rPr>
        <w:t xml:space="preserve">37.  </w:t>
      </w:r>
      <w:r w:rsidRPr="003A0BD1">
        <w:rPr>
          <w:rFonts w:ascii="SimHei" w:eastAsia="SimHei" w:hAnsi="SimHei" w:hint="eastAsia"/>
        </w:rPr>
        <w:t>委员会建议缔约国在下次定期报告中提供资料：</w:t>
      </w:r>
    </w:p>
    <w:p w:rsidR="00E735D2" w:rsidRDefault="00E735D2" w:rsidP="00864CA4">
      <w:pPr>
        <w:pStyle w:val="SingleTxtGC"/>
        <w:numPr>
          <w:ilvl w:val="0"/>
          <w:numId w:val="24"/>
        </w:numPr>
        <w:tabs>
          <w:tab w:val="clear" w:pos="2426"/>
          <w:tab w:val="left" w:pos="2427"/>
        </w:tabs>
      </w:pPr>
      <w:r w:rsidRPr="003A0BD1">
        <w:rPr>
          <w:rFonts w:ascii="SimHei" w:eastAsia="SimHei" w:hAnsi="SimHei" w:hint="eastAsia"/>
        </w:rPr>
        <w:t>说明在法律上和实践中，所有移徙工人及其家庭成员，不论其移徙身份如何，根据《公约》第</w:t>
      </w:r>
      <w:r>
        <w:rPr>
          <w:rFonts w:hint="eastAsia"/>
        </w:rPr>
        <w:t>28</w:t>
      </w:r>
      <w:r w:rsidRPr="003A0BD1">
        <w:rPr>
          <w:rFonts w:ascii="SimHei" w:eastAsia="SimHei" w:hAnsi="SimHei" w:hint="eastAsia"/>
        </w:rPr>
        <w:t>条的规定，在与缔约国国民待遇平等的基础上获得维持其生命或避免健康遭到不可弥补的损害所需的紧急医疗服务的机会</w:t>
      </w:r>
      <w:r>
        <w:rPr>
          <w:rFonts w:hint="eastAsia"/>
        </w:rPr>
        <w:t>；</w:t>
      </w:r>
    </w:p>
    <w:p w:rsidR="00E735D2" w:rsidRDefault="00E735D2" w:rsidP="00864CA4">
      <w:pPr>
        <w:pStyle w:val="SingleTxtGC"/>
        <w:numPr>
          <w:ilvl w:val="0"/>
          <w:numId w:val="24"/>
        </w:numPr>
        <w:tabs>
          <w:tab w:val="clear" w:pos="2426"/>
          <w:tab w:val="left" w:pos="2427"/>
        </w:tabs>
      </w:pPr>
      <w:r w:rsidRPr="003A0BD1">
        <w:rPr>
          <w:rFonts w:ascii="SimHei" w:eastAsia="SimHei" w:hAnsi="SimHei" w:hint="eastAsia"/>
        </w:rPr>
        <w:lastRenderedPageBreak/>
        <w:t>说明向居住在缔约国的移徙工人提供产妇和家庭津贴的情况</w:t>
      </w:r>
      <w:r>
        <w:rPr>
          <w:rFonts w:hint="eastAsia"/>
        </w:rPr>
        <w:t>。</w:t>
      </w:r>
    </w:p>
    <w:p w:rsidR="00E735D2" w:rsidRDefault="00E735D2" w:rsidP="00864CA4">
      <w:pPr>
        <w:pStyle w:val="H23GC"/>
      </w:pPr>
      <w:r>
        <w:rPr>
          <w:rFonts w:hint="eastAsia"/>
        </w:rPr>
        <w:tab/>
      </w:r>
      <w:r>
        <w:rPr>
          <w:rFonts w:hint="eastAsia"/>
        </w:rPr>
        <w:tab/>
      </w:r>
      <w:r>
        <w:rPr>
          <w:rFonts w:hint="eastAsia"/>
        </w:rPr>
        <w:t>教育</w:t>
      </w:r>
    </w:p>
    <w:p w:rsidR="00E735D2" w:rsidRDefault="00E735D2" w:rsidP="00E735D2">
      <w:pPr>
        <w:pStyle w:val="SingleTxtGC"/>
      </w:pPr>
      <w:r>
        <w:rPr>
          <w:rFonts w:hint="eastAsia"/>
        </w:rPr>
        <w:t xml:space="preserve">38.  </w:t>
      </w:r>
      <w:r>
        <w:rPr>
          <w:rFonts w:hint="eastAsia"/>
        </w:rPr>
        <w:t>委员会注意到，</w:t>
      </w:r>
      <w:r>
        <w:rPr>
          <w:rFonts w:hint="eastAsia"/>
        </w:rPr>
        <w:t>1991</w:t>
      </w:r>
      <w:r>
        <w:rPr>
          <w:rFonts w:hint="eastAsia"/>
        </w:rPr>
        <w:t>年</w:t>
      </w:r>
      <w:r>
        <w:rPr>
          <w:rFonts w:hint="eastAsia"/>
        </w:rPr>
        <w:t>2</w:t>
      </w:r>
      <w:r>
        <w:rPr>
          <w:rFonts w:hint="eastAsia"/>
        </w:rPr>
        <w:t>月</w:t>
      </w:r>
      <w:r>
        <w:rPr>
          <w:rFonts w:hint="eastAsia"/>
        </w:rPr>
        <w:t>16</w:t>
      </w:r>
      <w:r>
        <w:rPr>
          <w:rFonts w:hint="eastAsia"/>
        </w:rPr>
        <w:t>日第</w:t>
      </w:r>
      <w:r>
        <w:rPr>
          <w:rFonts w:hint="eastAsia"/>
        </w:rPr>
        <w:t>91-22</w:t>
      </w:r>
      <w:r>
        <w:rPr>
          <w:rFonts w:hint="eastAsia"/>
        </w:rPr>
        <w:t>号法</w:t>
      </w:r>
      <w:r>
        <w:rPr>
          <w:rFonts w:hint="eastAsia"/>
        </w:rPr>
        <w:t>(</w:t>
      </w:r>
      <w:r>
        <w:rPr>
          <w:rFonts w:hint="eastAsia"/>
        </w:rPr>
        <w:t>《国家教育准则法》</w:t>
      </w:r>
      <w:r>
        <w:rPr>
          <w:rFonts w:hint="eastAsia"/>
        </w:rPr>
        <w:t>)</w:t>
      </w:r>
      <w:r>
        <w:rPr>
          <w:rFonts w:hint="eastAsia"/>
        </w:rPr>
        <w:t>经</w:t>
      </w:r>
      <w:r>
        <w:rPr>
          <w:rFonts w:hint="eastAsia"/>
        </w:rPr>
        <w:t>2014</w:t>
      </w:r>
      <w:r>
        <w:rPr>
          <w:rFonts w:hint="eastAsia"/>
        </w:rPr>
        <w:t>年</w:t>
      </w:r>
      <w:r>
        <w:rPr>
          <w:rFonts w:hint="eastAsia"/>
        </w:rPr>
        <w:t>12</w:t>
      </w:r>
      <w:r>
        <w:rPr>
          <w:rFonts w:hint="eastAsia"/>
        </w:rPr>
        <w:t>月</w:t>
      </w:r>
      <w:r>
        <w:rPr>
          <w:rFonts w:hint="eastAsia"/>
        </w:rPr>
        <w:t>15</w:t>
      </w:r>
      <w:r>
        <w:rPr>
          <w:rFonts w:hint="eastAsia"/>
        </w:rPr>
        <w:t>日第</w:t>
      </w:r>
      <w:r>
        <w:rPr>
          <w:rFonts w:hint="eastAsia"/>
        </w:rPr>
        <w:t>2004-37</w:t>
      </w:r>
      <w:r>
        <w:rPr>
          <w:rFonts w:hint="eastAsia"/>
        </w:rPr>
        <w:t>号法修正，准许居住在塞内加尔的所有儿童，包括移徙工人的子女，进入教育系统。委员会还注意到，学校无需向当局通报儿童的移民身份。然而，委员会关切的是，未提供确保移徙工人及其家庭成员在缔约国切实获得教育机会的具体方案的相关资料。</w:t>
      </w:r>
    </w:p>
    <w:p w:rsidR="00E735D2" w:rsidRDefault="00E735D2" w:rsidP="00E735D2">
      <w:pPr>
        <w:pStyle w:val="SingleTxtGC"/>
      </w:pPr>
      <w:r>
        <w:rPr>
          <w:rFonts w:hint="eastAsia"/>
        </w:rPr>
        <w:t xml:space="preserve">39.  </w:t>
      </w:r>
      <w:r w:rsidRPr="003A0BD1">
        <w:rPr>
          <w:rFonts w:ascii="SimHei" w:eastAsia="SimHei" w:hAnsi="SimHei" w:hint="eastAsia"/>
        </w:rPr>
        <w:t>委员会建议缔约国根据《公约》第</w:t>
      </w:r>
      <w:r>
        <w:rPr>
          <w:rFonts w:hint="eastAsia"/>
        </w:rPr>
        <w:t>30</w:t>
      </w:r>
      <w:r w:rsidRPr="003A0BD1">
        <w:rPr>
          <w:rFonts w:ascii="SimHei" w:eastAsia="SimHei" w:hAnsi="SimHei" w:hint="eastAsia"/>
        </w:rPr>
        <w:t>条，采取具体、有效的措施，包括通过解决语言障碍等办法，确保移徙工人特别是其子女能够进入教育系统</w:t>
      </w:r>
      <w:r>
        <w:rPr>
          <w:rFonts w:hint="eastAsia"/>
        </w:rPr>
        <w:t>。</w:t>
      </w:r>
    </w:p>
    <w:p w:rsidR="00E735D2" w:rsidRDefault="00E735D2" w:rsidP="00864CA4">
      <w:pPr>
        <w:pStyle w:val="H23GC"/>
      </w:pPr>
      <w:r>
        <w:rPr>
          <w:rFonts w:hint="eastAsia"/>
        </w:rPr>
        <w:tab/>
        <w:t>4.</w:t>
      </w:r>
      <w:r>
        <w:rPr>
          <w:rFonts w:hint="eastAsia"/>
        </w:rPr>
        <w:tab/>
      </w:r>
      <w:r>
        <w:rPr>
          <w:rFonts w:hint="eastAsia"/>
        </w:rPr>
        <w:t>有证件或正常情况下的移徙工人及其家庭成员的其他权利</w:t>
      </w:r>
      <w:r>
        <w:rPr>
          <w:rFonts w:hint="eastAsia"/>
        </w:rPr>
        <w:t>(</w:t>
      </w:r>
      <w:r>
        <w:rPr>
          <w:rFonts w:hint="eastAsia"/>
        </w:rPr>
        <w:t>第</w:t>
      </w:r>
      <w:r>
        <w:rPr>
          <w:rFonts w:hint="eastAsia"/>
        </w:rPr>
        <w:t>36</w:t>
      </w:r>
      <w:r>
        <w:rPr>
          <w:rFonts w:hint="eastAsia"/>
        </w:rPr>
        <w:t>至</w:t>
      </w:r>
      <w:r>
        <w:rPr>
          <w:rFonts w:hint="eastAsia"/>
        </w:rPr>
        <w:t>56</w:t>
      </w:r>
      <w:r>
        <w:rPr>
          <w:rFonts w:hint="eastAsia"/>
        </w:rPr>
        <w:t>条</w:t>
      </w:r>
      <w:r>
        <w:rPr>
          <w:rFonts w:hint="eastAsia"/>
        </w:rPr>
        <w:t>)</w:t>
      </w:r>
    </w:p>
    <w:p w:rsidR="00E735D2" w:rsidRDefault="00E735D2" w:rsidP="00864CA4">
      <w:pPr>
        <w:pStyle w:val="H23GC"/>
      </w:pPr>
      <w:r>
        <w:rPr>
          <w:rFonts w:hint="eastAsia"/>
        </w:rPr>
        <w:tab/>
      </w:r>
      <w:r>
        <w:rPr>
          <w:rFonts w:hint="eastAsia"/>
        </w:rPr>
        <w:tab/>
      </w:r>
      <w:r>
        <w:rPr>
          <w:rFonts w:hint="eastAsia"/>
        </w:rPr>
        <w:t>离境前方案，知情权</w:t>
      </w:r>
    </w:p>
    <w:p w:rsidR="00E735D2" w:rsidRDefault="00E735D2" w:rsidP="00E735D2">
      <w:pPr>
        <w:pStyle w:val="SingleTxtGC"/>
      </w:pPr>
      <w:r>
        <w:rPr>
          <w:rFonts w:hint="eastAsia"/>
        </w:rPr>
        <w:t xml:space="preserve">40.  </w:t>
      </w:r>
      <w:r>
        <w:rPr>
          <w:rFonts w:hint="eastAsia"/>
        </w:rPr>
        <w:t>委员会注意到，塞内加尔外交和海外侨民部建立了一个网站，向移徙工人通报他们根据《公约》享有的权利以及在塞内加尔入境和居住的条件。委员会还注意到成立了塞内加尔海外侨民高级理事会，并在外交和海外侨民部设立了一个办公室，接收移民并给予建议和进行监督。然而，委员会感到关切的是，此类措施的影响力有限，以及未提供资料说明缔约国为让正在考虑移民的国民知悉东道国的入境和居住要求以及非正常移徙的危险所采取的步骤。</w:t>
      </w:r>
    </w:p>
    <w:p w:rsidR="00E735D2" w:rsidRDefault="00E735D2" w:rsidP="00E735D2">
      <w:pPr>
        <w:pStyle w:val="SingleTxtGC"/>
      </w:pPr>
      <w:r>
        <w:rPr>
          <w:rFonts w:hint="eastAsia"/>
        </w:rPr>
        <w:t xml:space="preserve">41.  </w:t>
      </w:r>
      <w:r w:rsidRPr="003A0BD1">
        <w:rPr>
          <w:rFonts w:ascii="SimHei" w:eastAsia="SimHei" w:hAnsi="SimHei" w:hint="eastAsia"/>
        </w:rPr>
        <w:t>委员会建议缔约国加倍努力，传播关于移徙工人根据《公约》在缔约国享有的权利的信息以及关于入境和就业的条件的信息。委员会还建议缔约国向考虑移民的国民及其家庭成员通报《公约》赋予他们的权利及其在就业国的权利和义务，以及非正常移徙的危险。在这方面，委员会建议缔约国制定有针对性的离境前和提高认识方案，包括与相关非政府组织、移徙工人及其家庭成员以及经认可的可靠的职业介绍所协商</w:t>
      </w:r>
      <w:r>
        <w:rPr>
          <w:rFonts w:hint="eastAsia"/>
        </w:rPr>
        <w:t>。</w:t>
      </w:r>
    </w:p>
    <w:p w:rsidR="00E735D2" w:rsidRDefault="00E735D2" w:rsidP="00864CA4">
      <w:pPr>
        <w:pStyle w:val="H23GC"/>
      </w:pPr>
      <w:r>
        <w:rPr>
          <w:rFonts w:hint="eastAsia"/>
        </w:rPr>
        <w:tab/>
      </w:r>
      <w:r>
        <w:rPr>
          <w:rFonts w:hint="eastAsia"/>
        </w:rPr>
        <w:tab/>
      </w:r>
      <w:r>
        <w:rPr>
          <w:rFonts w:hint="eastAsia"/>
        </w:rPr>
        <w:t>组建工会的权利</w:t>
      </w:r>
    </w:p>
    <w:p w:rsidR="00E735D2" w:rsidRDefault="00E735D2" w:rsidP="00E735D2">
      <w:pPr>
        <w:pStyle w:val="SingleTxtGC"/>
      </w:pPr>
      <w:r>
        <w:rPr>
          <w:rFonts w:hint="eastAsia"/>
        </w:rPr>
        <w:t xml:space="preserve">42.  </w:t>
      </w:r>
      <w:r>
        <w:rPr>
          <w:rFonts w:hint="eastAsia"/>
        </w:rPr>
        <w:t>委员会再次遗憾地注意到</w:t>
      </w:r>
      <w:r>
        <w:rPr>
          <w:rFonts w:hint="eastAsia"/>
        </w:rPr>
        <w:t>(CMW/C/SEN/CO/1</w:t>
      </w:r>
      <w:r>
        <w:rPr>
          <w:rFonts w:hint="eastAsia"/>
        </w:rPr>
        <w:t>，第</w:t>
      </w:r>
      <w:r>
        <w:rPr>
          <w:rFonts w:hint="eastAsia"/>
        </w:rPr>
        <w:t>16</w:t>
      </w:r>
      <w:r>
        <w:rPr>
          <w:rFonts w:hint="eastAsia"/>
        </w:rPr>
        <w:t>段</w:t>
      </w:r>
      <w:r>
        <w:rPr>
          <w:rFonts w:hint="eastAsia"/>
        </w:rPr>
        <w:t>)</w:t>
      </w:r>
      <w:r>
        <w:rPr>
          <w:rFonts w:hint="eastAsia"/>
        </w:rPr>
        <w:t>，根据《塞内加尔劳动法典》</w:t>
      </w:r>
      <w:r>
        <w:rPr>
          <w:rFonts w:hint="eastAsia"/>
        </w:rPr>
        <w:t>(1997</w:t>
      </w:r>
      <w:r>
        <w:rPr>
          <w:rFonts w:hint="eastAsia"/>
        </w:rPr>
        <w:t>年</w:t>
      </w:r>
      <w:r>
        <w:rPr>
          <w:rFonts w:hint="eastAsia"/>
        </w:rPr>
        <w:t>12</w:t>
      </w:r>
      <w:r>
        <w:rPr>
          <w:rFonts w:hint="eastAsia"/>
        </w:rPr>
        <w:t>月</w:t>
      </w:r>
      <w:r>
        <w:rPr>
          <w:rFonts w:hint="eastAsia"/>
        </w:rPr>
        <w:t>1</w:t>
      </w:r>
      <w:r>
        <w:rPr>
          <w:rFonts w:hint="eastAsia"/>
        </w:rPr>
        <w:t>日第</w:t>
      </w:r>
      <w:r>
        <w:rPr>
          <w:rFonts w:hint="eastAsia"/>
        </w:rPr>
        <w:t>97-17</w:t>
      </w:r>
      <w:r>
        <w:rPr>
          <w:rFonts w:hint="eastAsia"/>
        </w:rPr>
        <w:t>号法</w:t>
      </w:r>
      <w:r>
        <w:rPr>
          <w:rFonts w:hint="eastAsia"/>
        </w:rPr>
        <w:t>)</w:t>
      </w:r>
      <w:r>
        <w:rPr>
          <w:rFonts w:hint="eastAsia"/>
        </w:rPr>
        <w:t>第</w:t>
      </w:r>
      <w:r>
        <w:rPr>
          <w:rFonts w:hint="eastAsia"/>
        </w:rPr>
        <w:t>L.9</w:t>
      </w:r>
      <w:r>
        <w:rPr>
          <w:rFonts w:hint="eastAsia"/>
        </w:rPr>
        <w:t>条的规定，移徙工人担任协会和工会官员的权利应基于缔约国与该移徙工人原籍国之间的互惠协定，因此并不能保障所有移民均平等享有这一权利。</w:t>
      </w:r>
    </w:p>
    <w:p w:rsidR="00E735D2" w:rsidRDefault="00E735D2" w:rsidP="00E735D2">
      <w:pPr>
        <w:pStyle w:val="SingleTxtGC"/>
      </w:pPr>
      <w:r>
        <w:rPr>
          <w:rFonts w:hint="eastAsia"/>
        </w:rPr>
        <w:t xml:space="preserve">43.  </w:t>
      </w:r>
      <w:r w:rsidRPr="003A0BD1">
        <w:rPr>
          <w:rFonts w:ascii="SimHei" w:eastAsia="SimHei" w:hAnsi="SimHei" w:hint="eastAsia"/>
        </w:rPr>
        <w:t>委员会再次建议缔约国</w:t>
      </w:r>
      <w:r>
        <w:rPr>
          <w:rFonts w:hint="eastAsia"/>
        </w:rPr>
        <w:t>(CMW/C/SEN/CO/1</w:t>
      </w:r>
      <w:r>
        <w:rPr>
          <w:rFonts w:hint="eastAsia"/>
        </w:rPr>
        <w:t>，</w:t>
      </w:r>
      <w:r w:rsidRPr="003A0BD1">
        <w:rPr>
          <w:rFonts w:ascii="SimHei" w:eastAsia="SimHei" w:hAnsi="SimHei" w:hint="eastAsia"/>
        </w:rPr>
        <w:t>第</w:t>
      </w:r>
      <w:r>
        <w:rPr>
          <w:rFonts w:hint="eastAsia"/>
        </w:rPr>
        <w:t>16</w:t>
      </w:r>
      <w:r w:rsidRPr="003A0BD1">
        <w:rPr>
          <w:rFonts w:ascii="SimHei" w:eastAsia="SimHei" w:hAnsi="SimHei" w:hint="eastAsia"/>
        </w:rPr>
        <w:t>段</w:t>
      </w:r>
      <w:r>
        <w:rPr>
          <w:rFonts w:hint="eastAsia"/>
        </w:rPr>
        <w:t>)</w:t>
      </w:r>
      <w:r w:rsidRPr="003A0BD1">
        <w:rPr>
          <w:rFonts w:ascii="SimHei" w:eastAsia="SimHei" w:hAnsi="SimHei" w:hint="eastAsia"/>
        </w:rPr>
        <w:t>采取一切必要措施，保障合法居住在塞内加尔的所有移徙工人及其家庭成员享有担任其所属协会或工会官员的权利，而不以与其原籍国的互惠为条件。</w:t>
      </w:r>
    </w:p>
    <w:p w:rsidR="00E735D2" w:rsidRDefault="00E735D2" w:rsidP="00864CA4">
      <w:pPr>
        <w:pStyle w:val="H23GC"/>
      </w:pPr>
      <w:r>
        <w:rPr>
          <w:rFonts w:hint="eastAsia"/>
        </w:rPr>
        <w:lastRenderedPageBreak/>
        <w:tab/>
      </w:r>
      <w:r>
        <w:rPr>
          <w:rFonts w:hint="eastAsia"/>
        </w:rPr>
        <w:tab/>
      </w:r>
      <w:r>
        <w:rPr>
          <w:rFonts w:hint="eastAsia"/>
        </w:rPr>
        <w:t>原籍国的表决权和被选举权</w:t>
      </w:r>
    </w:p>
    <w:p w:rsidR="00E735D2" w:rsidRDefault="00E735D2" w:rsidP="00E735D2">
      <w:pPr>
        <w:pStyle w:val="SingleTxtGC"/>
      </w:pPr>
      <w:r>
        <w:rPr>
          <w:rFonts w:hint="eastAsia"/>
        </w:rPr>
        <w:t xml:space="preserve">44.  </w:t>
      </w:r>
      <w:r>
        <w:rPr>
          <w:rFonts w:hint="eastAsia"/>
        </w:rPr>
        <w:t>委员会注意到，继</w:t>
      </w:r>
      <w:r>
        <w:rPr>
          <w:rFonts w:hint="eastAsia"/>
        </w:rPr>
        <w:t>2016</w:t>
      </w:r>
      <w:r>
        <w:rPr>
          <w:rFonts w:hint="eastAsia"/>
        </w:rPr>
        <w:t>年</w:t>
      </w:r>
      <w:r>
        <w:rPr>
          <w:rFonts w:hint="eastAsia"/>
        </w:rPr>
        <w:t>3</w:t>
      </w:r>
      <w:r>
        <w:rPr>
          <w:rFonts w:hint="eastAsia"/>
        </w:rPr>
        <w:t>月</w:t>
      </w:r>
      <w:r>
        <w:rPr>
          <w:rFonts w:hint="eastAsia"/>
        </w:rPr>
        <w:t>20</w:t>
      </w:r>
      <w:r>
        <w:rPr>
          <w:rFonts w:hint="eastAsia"/>
        </w:rPr>
        <w:t>日全民投票之后，《宪法》经过修正，允许移居海外的塞内加尔人在国民议会占有席位。然而，委员会感到关切的是，没有提供关于塞内加尔移民切实享有其参与原籍国公共事务的权利以及在本国选举中拥有表决权和被选举权的更完整资料。</w:t>
      </w:r>
    </w:p>
    <w:p w:rsidR="00E735D2" w:rsidRDefault="00E735D2" w:rsidP="00E735D2">
      <w:pPr>
        <w:pStyle w:val="SingleTxtGC"/>
      </w:pPr>
      <w:r>
        <w:rPr>
          <w:rFonts w:hint="eastAsia"/>
        </w:rPr>
        <w:t xml:space="preserve">45.  </w:t>
      </w:r>
      <w:r w:rsidRPr="003A0BD1">
        <w:rPr>
          <w:rFonts w:ascii="SimHei" w:eastAsia="SimHei" w:hAnsi="SimHei" w:hint="eastAsia"/>
        </w:rPr>
        <w:t>委员会请缔约国在下次定期报告中提供关于向居住在海外的塞内加尔国民提供参与本国公共事务以及参与总统选举和立法选举的机会的信息。委员会鼓励缔约国采取一切必要措施，包括有针对性的宣传运动，确保塞内加尔移民切实行使其表决权。</w:t>
      </w:r>
    </w:p>
    <w:p w:rsidR="00E735D2" w:rsidRDefault="00E735D2" w:rsidP="00864CA4">
      <w:pPr>
        <w:pStyle w:val="H23GC"/>
      </w:pPr>
      <w:r>
        <w:rPr>
          <w:rFonts w:hint="eastAsia"/>
        </w:rPr>
        <w:tab/>
      </w:r>
      <w:r>
        <w:rPr>
          <w:rFonts w:hint="eastAsia"/>
        </w:rPr>
        <w:tab/>
      </w:r>
      <w:r>
        <w:rPr>
          <w:rFonts w:hint="eastAsia"/>
        </w:rPr>
        <w:t>家庭团聚</w:t>
      </w:r>
    </w:p>
    <w:p w:rsidR="00E735D2" w:rsidRDefault="00E735D2" w:rsidP="00E735D2">
      <w:pPr>
        <w:pStyle w:val="SingleTxtGC"/>
      </w:pPr>
      <w:r>
        <w:rPr>
          <w:rFonts w:hint="eastAsia"/>
        </w:rPr>
        <w:t xml:space="preserve">46.  </w:t>
      </w:r>
      <w:r>
        <w:rPr>
          <w:rFonts w:hint="eastAsia"/>
        </w:rPr>
        <w:t>委员会感到关切的是，没有提供资料说明移徙工人行使家庭团聚权利的情况。</w:t>
      </w:r>
    </w:p>
    <w:p w:rsidR="00E735D2" w:rsidRPr="003A0BD1" w:rsidRDefault="00E735D2" w:rsidP="00E735D2">
      <w:pPr>
        <w:pStyle w:val="SingleTxtGC"/>
        <w:rPr>
          <w:rFonts w:ascii="SimHei" w:eastAsia="SimHei" w:hAnsi="SimHei"/>
        </w:rPr>
      </w:pPr>
      <w:r>
        <w:rPr>
          <w:rFonts w:hint="eastAsia"/>
        </w:rPr>
        <w:t xml:space="preserve">47.  </w:t>
      </w:r>
      <w:r w:rsidRPr="003A0BD1">
        <w:rPr>
          <w:rFonts w:ascii="SimHei" w:eastAsia="SimHei" w:hAnsi="SimHei" w:hint="eastAsia"/>
        </w:rPr>
        <w:t>委员会请缔约国在第四次定期报告中提供资料说明其根据《公约》第</w:t>
      </w:r>
      <w:r>
        <w:rPr>
          <w:rFonts w:hint="eastAsia"/>
        </w:rPr>
        <w:t>44</w:t>
      </w:r>
      <w:r w:rsidRPr="003A0BD1">
        <w:rPr>
          <w:rFonts w:ascii="SimHei" w:eastAsia="SimHei" w:hAnsi="SimHei" w:hint="eastAsia"/>
        </w:rPr>
        <w:t>条的规定采取措施，为移徙工人与其配偶或与依照适用法律与其保持具有与婚姻同等效力关系的人以及与其未成年受抚养的未婚子女团聚提供便利。</w:t>
      </w:r>
    </w:p>
    <w:p w:rsidR="00E735D2" w:rsidRDefault="00E735D2" w:rsidP="00864CA4">
      <w:pPr>
        <w:pStyle w:val="H23GC"/>
      </w:pPr>
      <w:r>
        <w:rPr>
          <w:rFonts w:hint="eastAsia"/>
        </w:rPr>
        <w:tab/>
      </w:r>
      <w:r>
        <w:rPr>
          <w:rFonts w:hint="eastAsia"/>
        </w:rPr>
        <w:tab/>
      </w:r>
      <w:r>
        <w:rPr>
          <w:rFonts w:hint="eastAsia"/>
        </w:rPr>
        <w:t>收益和储蓄的银行转账</w:t>
      </w:r>
    </w:p>
    <w:p w:rsidR="00E735D2" w:rsidRDefault="00E735D2" w:rsidP="00E735D2">
      <w:pPr>
        <w:pStyle w:val="SingleTxtGC"/>
      </w:pPr>
      <w:r>
        <w:rPr>
          <w:rFonts w:hint="eastAsia"/>
        </w:rPr>
        <w:t xml:space="preserve">48.  </w:t>
      </w:r>
      <w:r>
        <w:rPr>
          <w:rFonts w:hint="eastAsia"/>
        </w:rPr>
        <w:t>委员会满意地注意到，缔约国从居住在海外的移徙工人处收到了大量汇款，这些资金大大促进了缔约国的发展，以及缔约国为了方便转账和减少此类转账的费用而出台了创新性安排。然而，委员会感到遗憾的是，没有提供具体资料说明与金融机构建立伙伴关系以便利塞内加尔海外移徙工人和居住在缔约国的移徙工人转移收益和储蓄的情况。</w:t>
      </w:r>
    </w:p>
    <w:p w:rsidR="00E735D2" w:rsidRPr="003A0BD1" w:rsidRDefault="00E735D2" w:rsidP="00E735D2">
      <w:pPr>
        <w:pStyle w:val="SingleTxtGC"/>
        <w:rPr>
          <w:rFonts w:ascii="SimHei" w:eastAsia="SimHei" w:hAnsi="SimHei"/>
        </w:rPr>
      </w:pPr>
      <w:r>
        <w:rPr>
          <w:rFonts w:hint="eastAsia"/>
        </w:rPr>
        <w:t xml:space="preserve">49.  </w:t>
      </w:r>
      <w:r w:rsidRPr="003A0BD1">
        <w:rPr>
          <w:rFonts w:ascii="SimHei" w:eastAsia="SimHei" w:hAnsi="SimHei" w:hint="eastAsia"/>
        </w:rPr>
        <w:t>委员会鼓励缔约国：</w:t>
      </w:r>
    </w:p>
    <w:p w:rsidR="00E735D2" w:rsidRDefault="00E735D2" w:rsidP="00864CA4">
      <w:pPr>
        <w:pStyle w:val="SingleTxtGC"/>
        <w:numPr>
          <w:ilvl w:val="0"/>
          <w:numId w:val="26"/>
        </w:numPr>
        <w:tabs>
          <w:tab w:val="clear" w:pos="2426"/>
          <w:tab w:val="left" w:pos="2427"/>
        </w:tabs>
      </w:pPr>
      <w:r w:rsidRPr="003A0BD1">
        <w:rPr>
          <w:rFonts w:ascii="SimHei" w:eastAsia="SimHei" w:hAnsi="SimHei" w:hint="eastAsia"/>
        </w:rPr>
        <w:t>提供资料说明与金融机构建立伙伴关系以便利居住在海外的塞内加尔移徙工人往缔约国汇款的情况</w:t>
      </w:r>
      <w:r>
        <w:rPr>
          <w:rFonts w:hint="eastAsia"/>
        </w:rPr>
        <w:t>；</w:t>
      </w:r>
    </w:p>
    <w:p w:rsidR="00E735D2" w:rsidRDefault="00E735D2" w:rsidP="00864CA4">
      <w:pPr>
        <w:pStyle w:val="SingleTxtGC"/>
        <w:numPr>
          <w:ilvl w:val="0"/>
          <w:numId w:val="26"/>
        </w:numPr>
        <w:tabs>
          <w:tab w:val="clear" w:pos="2426"/>
          <w:tab w:val="left" w:pos="2427"/>
        </w:tabs>
      </w:pPr>
      <w:r w:rsidRPr="003A0BD1">
        <w:rPr>
          <w:rFonts w:ascii="SimHei" w:eastAsia="SimHei" w:hAnsi="SimHei" w:hint="eastAsia"/>
        </w:rPr>
        <w:t>依照可持续发展目标的具体目标</w:t>
      </w:r>
      <w:r>
        <w:rPr>
          <w:rFonts w:hint="eastAsia"/>
        </w:rPr>
        <w:t>10.c</w:t>
      </w:r>
      <w:r>
        <w:rPr>
          <w:rFonts w:hint="eastAsia"/>
        </w:rPr>
        <w:t>，</w:t>
      </w:r>
      <w:r w:rsidRPr="003A0BD1">
        <w:rPr>
          <w:rFonts w:ascii="SimHei" w:eastAsia="SimHei" w:hAnsi="SimHei" w:hint="eastAsia"/>
        </w:rPr>
        <w:t>加倍努力降低汇款和收款的费用，包括通过适用优惠利率的方式</w:t>
      </w:r>
      <w:r>
        <w:rPr>
          <w:rFonts w:hint="eastAsia"/>
        </w:rPr>
        <w:t>；</w:t>
      </w:r>
    </w:p>
    <w:p w:rsidR="00E735D2" w:rsidRDefault="00E735D2" w:rsidP="00864CA4">
      <w:pPr>
        <w:pStyle w:val="SingleTxtGC"/>
        <w:numPr>
          <w:ilvl w:val="0"/>
          <w:numId w:val="26"/>
        </w:numPr>
        <w:tabs>
          <w:tab w:val="clear" w:pos="2426"/>
          <w:tab w:val="left" w:pos="2427"/>
        </w:tabs>
      </w:pPr>
      <w:r w:rsidRPr="003A0BD1">
        <w:rPr>
          <w:rFonts w:ascii="SimHei" w:eastAsia="SimHei" w:hAnsi="SimHei" w:hint="eastAsia"/>
        </w:rPr>
        <w:t>使存款方式更加方便移徙工人及其家庭成员取用</w:t>
      </w:r>
      <w:r>
        <w:rPr>
          <w:rFonts w:hint="eastAsia"/>
        </w:rPr>
        <w:t>；</w:t>
      </w:r>
    </w:p>
    <w:p w:rsidR="00E735D2" w:rsidRDefault="00E735D2" w:rsidP="00864CA4">
      <w:pPr>
        <w:pStyle w:val="SingleTxtGC"/>
        <w:numPr>
          <w:ilvl w:val="0"/>
          <w:numId w:val="26"/>
        </w:numPr>
        <w:tabs>
          <w:tab w:val="clear" w:pos="2426"/>
          <w:tab w:val="left" w:pos="2427"/>
        </w:tabs>
      </w:pPr>
      <w:r w:rsidRPr="003A0BD1">
        <w:rPr>
          <w:rFonts w:ascii="SimHei" w:eastAsia="SimHei" w:hAnsi="SimHei" w:hint="eastAsia"/>
        </w:rPr>
        <w:t>继续努力帮助这些汇款的收款人获得将资金投资于可持续创收活动的必要技能</w:t>
      </w:r>
      <w:r>
        <w:rPr>
          <w:rFonts w:hint="eastAsia"/>
        </w:rPr>
        <w:t>。</w:t>
      </w:r>
    </w:p>
    <w:p w:rsidR="00E735D2" w:rsidRDefault="00E735D2" w:rsidP="00864CA4">
      <w:pPr>
        <w:pStyle w:val="H23GC"/>
      </w:pPr>
      <w:r>
        <w:rPr>
          <w:rFonts w:hint="eastAsia"/>
        </w:rPr>
        <w:lastRenderedPageBreak/>
        <w:tab/>
        <w:t>5.</w:t>
      </w:r>
      <w:r>
        <w:rPr>
          <w:rFonts w:hint="eastAsia"/>
        </w:rPr>
        <w:tab/>
      </w:r>
      <w:r>
        <w:rPr>
          <w:rFonts w:hint="eastAsia"/>
        </w:rPr>
        <w:t>增进工人及其家庭成员国际移徙的合理、公平、人道和合法条件</w:t>
      </w:r>
      <w:r>
        <w:rPr>
          <w:rFonts w:hint="eastAsia"/>
        </w:rPr>
        <w:t>(</w:t>
      </w:r>
      <w:r>
        <w:rPr>
          <w:rFonts w:hint="eastAsia"/>
        </w:rPr>
        <w:t>第</w:t>
      </w:r>
      <w:r>
        <w:rPr>
          <w:rFonts w:hint="eastAsia"/>
        </w:rPr>
        <w:t>64</w:t>
      </w:r>
      <w:r>
        <w:rPr>
          <w:rFonts w:hint="eastAsia"/>
        </w:rPr>
        <w:t>至</w:t>
      </w:r>
      <w:r>
        <w:rPr>
          <w:rFonts w:hint="eastAsia"/>
        </w:rPr>
        <w:t>71</w:t>
      </w:r>
      <w:r>
        <w:rPr>
          <w:rFonts w:hint="eastAsia"/>
        </w:rPr>
        <w:t>条</w:t>
      </w:r>
      <w:r>
        <w:rPr>
          <w:rFonts w:hint="eastAsia"/>
        </w:rPr>
        <w:t>)</w:t>
      </w:r>
    </w:p>
    <w:p w:rsidR="00E735D2" w:rsidRDefault="00E735D2" w:rsidP="00864CA4">
      <w:pPr>
        <w:pStyle w:val="H23GC"/>
      </w:pPr>
      <w:r>
        <w:rPr>
          <w:rFonts w:hint="eastAsia"/>
        </w:rPr>
        <w:tab/>
      </w:r>
      <w:r>
        <w:rPr>
          <w:rFonts w:hint="eastAsia"/>
        </w:rPr>
        <w:tab/>
      </w:r>
      <w:r>
        <w:rPr>
          <w:rFonts w:hint="eastAsia"/>
        </w:rPr>
        <w:t>国际移徙的合理、公平和人道条件</w:t>
      </w:r>
    </w:p>
    <w:p w:rsidR="00E735D2" w:rsidRDefault="00E735D2" w:rsidP="00E735D2">
      <w:pPr>
        <w:pStyle w:val="SingleTxtGC"/>
      </w:pPr>
      <w:r>
        <w:rPr>
          <w:rFonts w:hint="eastAsia"/>
        </w:rPr>
        <w:t xml:space="preserve">50.  </w:t>
      </w:r>
      <w:r>
        <w:rPr>
          <w:rFonts w:hint="eastAsia"/>
        </w:rPr>
        <w:t>委员会欢迎缔约国与法国、西班牙、意大利、毛里塔尼亚、加蓬、马里、吉布提和摩洛哥缔结有关移徙的合作协定和谅解备忘录，并欢迎适用建立西非国家经济共同体的条约，该条约倡导成员国公民及其财产在相应的西非经济区范围内自由流动。委员会还注意到，缔约国与法国、意大利和西班牙订立了遣返协定。然而，委员会感到遗憾的是，缔约国尚未与大批塞内加尔移民居住的就业国家</w:t>
      </w:r>
      <w:r>
        <w:rPr>
          <w:rFonts w:hint="eastAsia"/>
        </w:rPr>
        <w:t>(</w:t>
      </w:r>
      <w:r>
        <w:rPr>
          <w:rFonts w:hint="eastAsia"/>
        </w:rPr>
        <w:t>例如：冈比亚、几内亚、几内亚比绍、布基纳法索、尼日利亚以及北非和欧洲的一些国家</w:t>
      </w:r>
      <w:r>
        <w:rPr>
          <w:rFonts w:hint="eastAsia"/>
        </w:rPr>
        <w:t>)</w:t>
      </w:r>
      <w:r>
        <w:rPr>
          <w:rFonts w:hint="eastAsia"/>
        </w:rPr>
        <w:t>签署任何双边或多边协定，以确保塞内加尔移民及其家庭成员享有合理、公平和人道条件，并确保其社会、经济和文化需要得到满足。</w:t>
      </w:r>
    </w:p>
    <w:p w:rsidR="00E735D2" w:rsidRPr="003A0BD1" w:rsidRDefault="00E735D2" w:rsidP="00E735D2">
      <w:pPr>
        <w:pStyle w:val="SingleTxtGC"/>
        <w:rPr>
          <w:rFonts w:ascii="SimHei" w:eastAsia="SimHei" w:hAnsi="SimHei"/>
        </w:rPr>
      </w:pPr>
      <w:r>
        <w:rPr>
          <w:rFonts w:hint="eastAsia"/>
        </w:rPr>
        <w:t xml:space="preserve">51.  </w:t>
      </w:r>
      <w:r w:rsidRPr="003A0BD1">
        <w:rPr>
          <w:rFonts w:ascii="SimHei" w:eastAsia="SimHei" w:hAnsi="SimHei" w:hint="eastAsia"/>
        </w:rPr>
        <w:t>委员会建议缔约国加倍努力与目的地国和过境国签署有助于正常移徙的双边和多边协定，确保居住在海外的塞内加尔移徙工人拥有合理、公平和人道的条件，并向其提供程序保障，确保被驱逐的塞内加尔移徙工人不会遭到虐待。委员会再次建议</w:t>
      </w:r>
      <w:r>
        <w:rPr>
          <w:rFonts w:hint="eastAsia"/>
        </w:rPr>
        <w:t>(CMW/C/SEN/CO/1</w:t>
      </w:r>
      <w:r>
        <w:rPr>
          <w:rFonts w:hint="eastAsia"/>
        </w:rPr>
        <w:t>，</w:t>
      </w:r>
      <w:r w:rsidRPr="003A0BD1">
        <w:rPr>
          <w:rFonts w:ascii="SimHei" w:eastAsia="SimHei" w:hAnsi="SimHei" w:hint="eastAsia"/>
        </w:rPr>
        <w:t>第</w:t>
      </w:r>
      <w:r>
        <w:rPr>
          <w:rFonts w:hint="eastAsia"/>
        </w:rPr>
        <w:t>17</w:t>
      </w:r>
      <w:r w:rsidRPr="003A0BD1">
        <w:rPr>
          <w:rFonts w:ascii="SimHei" w:eastAsia="SimHei" w:hAnsi="SimHei" w:hint="eastAsia"/>
        </w:rPr>
        <w:t>段</w:t>
      </w:r>
      <w:r>
        <w:rPr>
          <w:rFonts w:hint="eastAsia"/>
        </w:rPr>
        <w:t>)</w:t>
      </w:r>
      <w:r w:rsidRPr="003A0BD1">
        <w:rPr>
          <w:rFonts w:ascii="SimHei" w:eastAsia="SimHei" w:hAnsi="SimHei" w:hint="eastAsia"/>
        </w:rPr>
        <w:t>缔约国确保其与塞内加尔移徙工人所在的东道国签署的谅解备忘录和双边协定包含与《公约》第</w:t>
      </w:r>
      <w:r>
        <w:rPr>
          <w:rFonts w:hint="eastAsia"/>
        </w:rPr>
        <w:t>22</w:t>
      </w:r>
      <w:r w:rsidRPr="003A0BD1">
        <w:rPr>
          <w:rFonts w:ascii="SimHei" w:eastAsia="SimHei" w:hAnsi="SimHei" w:hint="eastAsia"/>
        </w:rPr>
        <w:t>条和第</w:t>
      </w:r>
      <w:r>
        <w:rPr>
          <w:rFonts w:hint="eastAsia"/>
        </w:rPr>
        <w:t>67</w:t>
      </w:r>
      <w:r w:rsidRPr="003A0BD1">
        <w:rPr>
          <w:rFonts w:ascii="SimHei" w:eastAsia="SimHei" w:hAnsi="SimHei" w:hint="eastAsia"/>
        </w:rPr>
        <w:t>条一致的规定，确保其在这些东道国的国民能够寻求领事当局的保护和协助，包括必要的法律援助，从而使他们的各项权利得到尊重。</w:t>
      </w:r>
    </w:p>
    <w:p w:rsidR="00E735D2" w:rsidRDefault="00E735D2" w:rsidP="00864CA4">
      <w:pPr>
        <w:pStyle w:val="H23GC"/>
      </w:pPr>
      <w:r>
        <w:rPr>
          <w:rFonts w:hint="eastAsia"/>
        </w:rPr>
        <w:tab/>
      </w:r>
      <w:r>
        <w:rPr>
          <w:rFonts w:hint="eastAsia"/>
        </w:rPr>
        <w:tab/>
      </w:r>
      <w:r>
        <w:rPr>
          <w:rFonts w:hint="eastAsia"/>
        </w:rPr>
        <w:t>职业介绍所</w:t>
      </w:r>
    </w:p>
    <w:p w:rsidR="00E735D2" w:rsidRDefault="00E735D2" w:rsidP="00E735D2">
      <w:pPr>
        <w:pStyle w:val="SingleTxtGC"/>
      </w:pPr>
      <w:r>
        <w:rPr>
          <w:rFonts w:hint="eastAsia"/>
        </w:rPr>
        <w:t xml:space="preserve">52.  </w:t>
      </w:r>
      <w:r>
        <w:rPr>
          <w:rFonts w:hint="eastAsia"/>
        </w:rPr>
        <w:t>委员会感到遗憾的是，仅提供了有限的资料说明缔约国私营职业介绍所招聘移徙工人到海外务工的情况以及关于私人招聘的立法和条例。</w:t>
      </w:r>
    </w:p>
    <w:p w:rsidR="00E735D2" w:rsidRPr="003A0BD1" w:rsidRDefault="00E735D2" w:rsidP="00E735D2">
      <w:pPr>
        <w:pStyle w:val="SingleTxtGC"/>
        <w:rPr>
          <w:rFonts w:ascii="SimHei" w:eastAsia="SimHei" w:hAnsi="SimHei"/>
        </w:rPr>
      </w:pPr>
      <w:r>
        <w:rPr>
          <w:rFonts w:hint="eastAsia"/>
        </w:rPr>
        <w:t xml:space="preserve">53.  </w:t>
      </w:r>
      <w:r w:rsidRPr="003A0BD1">
        <w:rPr>
          <w:rFonts w:ascii="SimHei" w:eastAsia="SimHei" w:hAnsi="SimHei" w:hint="eastAsia"/>
        </w:rPr>
        <w:t>委员会建议缔约国采取下列措施：</w:t>
      </w:r>
    </w:p>
    <w:p w:rsidR="00E735D2" w:rsidRDefault="00E735D2" w:rsidP="00864CA4">
      <w:pPr>
        <w:pStyle w:val="SingleTxtGC"/>
        <w:numPr>
          <w:ilvl w:val="0"/>
          <w:numId w:val="28"/>
        </w:numPr>
        <w:tabs>
          <w:tab w:val="clear" w:pos="2426"/>
          <w:tab w:val="left" w:pos="2427"/>
        </w:tabs>
      </w:pPr>
      <w:r w:rsidRPr="003A0BD1">
        <w:rPr>
          <w:rFonts w:ascii="SimHei" w:eastAsia="SimHei" w:hAnsi="SimHei" w:hint="eastAsia"/>
        </w:rPr>
        <w:t>建立私营职业介绍所监管制度，包括许可制度、招聘监测和检查，以防止此类机构对所提供服务收费过高，并防止其成为国外黑心雇主的中介</w:t>
      </w:r>
      <w:r>
        <w:rPr>
          <w:rFonts w:hint="eastAsia"/>
        </w:rPr>
        <w:t>；</w:t>
      </w:r>
    </w:p>
    <w:p w:rsidR="00E735D2" w:rsidRDefault="00E735D2" w:rsidP="00864CA4">
      <w:pPr>
        <w:pStyle w:val="SingleTxtGC"/>
        <w:numPr>
          <w:ilvl w:val="0"/>
          <w:numId w:val="28"/>
        </w:numPr>
        <w:tabs>
          <w:tab w:val="clear" w:pos="2426"/>
          <w:tab w:val="left" w:pos="2427"/>
        </w:tabs>
      </w:pPr>
      <w:r w:rsidRPr="003A0BD1">
        <w:rPr>
          <w:rFonts w:ascii="SimHei" w:eastAsia="SimHei" w:hAnsi="SimHei" w:hint="eastAsia"/>
        </w:rPr>
        <w:t>确保私营职业介绍所向寻求海外就业的个人提供完整资料，并确保它们保证求职者切实享有所有商定的就业福利，特别是薪资</w:t>
      </w:r>
      <w:r>
        <w:rPr>
          <w:rFonts w:hint="eastAsia"/>
        </w:rPr>
        <w:t>；</w:t>
      </w:r>
    </w:p>
    <w:p w:rsidR="00E735D2" w:rsidRDefault="00E735D2" w:rsidP="00864CA4">
      <w:pPr>
        <w:pStyle w:val="SingleTxtGC"/>
        <w:numPr>
          <w:ilvl w:val="0"/>
          <w:numId w:val="28"/>
        </w:numPr>
        <w:tabs>
          <w:tab w:val="clear" w:pos="2426"/>
          <w:tab w:val="left" w:pos="2427"/>
        </w:tabs>
      </w:pPr>
      <w:r w:rsidRPr="003A0BD1">
        <w:rPr>
          <w:rFonts w:ascii="SimHei" w:eastAsia="SimHei" w:hAnsi="SimHei" w:hint="eastAsia"/>
        </w:rPr>
        <w:t>考虑对寻求海外务工人员采用“无工作介绍费”政策</w:t>
      </w:r>
      <w:r>
        <w:rPr>
          <w:rFonts w:hint="eastAsia"/>
        </w:rPr>
        <w:t>。</w:t>
      </w:r>
    </w:p>
    <w:p w:rsidR="00E735D2" w:rsidRDefault="00E735D2" w:rsidP="00864CA4">
      <w:pPr>
        <w:pStyle w:val="H23GC"/>
      </w:pPr>
      <w:r>
        <w:rPr>
          <w:rFonts w:hint="eastAsia"/>
        </w:rPr>
        <w:tab/>
      </w:r>
      <w:r>
        <w:rPr>
          <w:rFonts w:hint="eastAsia"/>
        </w:rPr>
        <w:tab/>
      </w:r>
      <w:r>
        <w:rPr>
          <w:rFonts w:hint="eastAsia"/>
        </w:rPr>
        <w:t>回归和重返社会</w:t>
      </w:r>
    </w:p>
    <w:p w:rsidR="00E735D2" w:rsidRDefault="00E735D2" w:rsidP="00E735D2">
      <w:pPr>
        <w:pStyle w:val="SingleTxtGC"/>
      </w:pPr>
      <w:r>
        <w:rPr>
          <w:rFonts w:hint="eastAsia"/>
        </w:rPr>
        <w:t xml:space="preserve">54.  </w:t>
      </w:r>
      <w:r>
        <w:rPr>
          <w:rFonts w:hint="eastAsia"/>
        </w:rPr>
        <w:t>委员会注意到，缔约国提供在危机情况下将移居国外的塞内加尔人遣返回国的专门业务服务</w:t>
      </w:r>
      <w:r>
        <w:rPr>
          <w:rFonts w:hint="eastAsia"/>
        </w:rPr>
        <w:t>(</w:t>
      </w:r>
      <w:r>
        <w:rPr>
          <w:rFonts w:hint="eastAsia"/>
        </w:rPr>
        <w:t>难民和遣返者救助和援助委员会</w:t>
      </w:r>
      <w:r>
        <w:rPr>
          <w:rFonts w:hint="eastAsia"/>
        </w:rPr>
        <w:t>)</w:t>
      </w:r>
      <w:r>
        <w:rPr>
          <w:rFonts w:hint="eastAsia"/>
        </w:rPr>
        <w:t>。委员会还注意到，塞内加尔外交和海外侨民部设立了一个专项基金，帮助塞内加尔移民回归和重返社会。然而，委员会感到遗憾的是，缺乏关于该基金如何运作及有何种资格要求的详细信息，以及关于该部和其他相关机构为确保塞内加尔移民在海外逗留后有序回归</w:t>
      </w:r>
      <w:r>
        <w:rPr>
          <w:rFonts w:hint="eastAsia"/>
        </w:rPr>
        <w:lastRenderedPageBreak/>
        <w:t>所采取的措施的详细信息。委员会关切地注意到，没有提供资料说明仍身在利比亚并希望被遣返的塞内加尔国民的人数。</w:t>
      </w:r>
    </w:p>
    <w:p w:rsidR="00E735D2" w:rsidRPr="003A0BD1" w:rsidRDefault="00E735D2" w:rsidP="00E735D2">
      <w:pPr>
        <w:pStyle w:val="SingleTxtGC"/>
        <w:rPr>
          <w:rFonts w:ascii="SimHei" w:eastAsia="SimHei" w:hAnsi="SimHei"/>
        </w:rPr>
      </w:pPr>
      <w:r>
        <w:rPr>
          <w:rFonts w:hint="eastAsia"/>
        </w:rPr>
        <w:t xml:space="preserve">55.  </w:t>
      </w:r>
      <w:r w:rsidRPr="003A0BD1">
        <w:rPr>
          <w:rFonts w:ascii="SimHei" w:eastAsia="SimHei" w:hAnsi="SimHei" w:hint="eastAsia"/>
        </w:rPr>
        <w:t>委员会请缔约国在下次定期报告中提供补充资料说明移民援助专项基金的工作方式和资格要求以及塞内加尔外交和海外侨民部为创造适当的社会、经济和文化条件以便利塞内加尔移徙工人及其家庭成员回归并在缔约国长期性重新融入社会的情况。委员会还请缔约国确保仍身在利比亚并希望被遣返的所有塞内加尔国民切实获得难民和遣返者救助和援助委员会所提供的遣返援助。</w:t>
      </w:r>
    </w:p>
    <w:p w:rsidR="00E735D2" w:rsidRDefault="00E735D2" w:rsidP="00864CA4">
      <w:pPr>
        <w:pStyle w:val="H23GC"/>
      </w:pPr>
      <w:r>
        <w:rPr>
          <w:rFonts w:hint="eastAsia"/>
        </w:rPr>
        <w:tab/>
      </w:r>
      <w:r>
        <w:rPr>
          <w:rFonts w:hint="eastAsia"/>
        </w:rPr>
        <w:tab/>
      </w:r>
      <w:r>
        <w:rPr>
          <w:rFonts w:hint="eastAsia"/>
        </w:rPr>
        <w:t>非正常情况下的移徙工人非法或秘密流动和就业</w:t>
      </w:r>
    </w:p>
    <w:p w:rsidR="00E735D2" w:rsidRDefault="00E735D2" w:rsidP="00E735D2">
      <w:pPr>
        <w:pStyle w:val="SingleTxtGC"/>
      </w:pPr>
      <w:r>
        <w:rPr>
          <w:rFonts w:hint="eastAsia"/>
        </w:rPr>
        <w:t xml:space="preserve">56.  </w:t>
      </w:r>
      <w:r>
        <w:rPr>
          <w:rFonts w:hint="eastAsia"/>
        </w:rPr>
        <w:t>委员会欢迎缔约国通过重要的立法、政策和机构措施以打击贩运人口和相关行为，例如《打击人口贩运国家行动计划》</w:t>
      </w:r>
      <w:r>
        <w:rPr>
          <w:rFonts w:hint="eastAsia"/>
        </w:rPr>
        <w:t>(2012-2014</w:t>
      </w:r>
      <w:r>
        <w:rPr>
          <w:rFonts w:hint="eastAsia"/>
        </w:rPr>
        <w:t>年</w:t>
      </w:r>
      <w:r>
        <w:rPr>
          <w:rFonts w:hint="eastAsia"/>
        </w:rPr>
        <w:t>)</w:t>
      </w:r>
      <w:r>
        <w:rPr>
          <w:rFonts w:hint="eastAsia"/>
        </w:rPr>
        <w:t>和《消除儿童乞讨国家框架计划》</w:t>
      </w:r>
      <w:r>
        <w:rPr>
          <w:rFonts w:hint="eastAsia"/>
        </w:rPr>
        <w:t>(2013-2015</w:t>
      </w:r>
      <w:r>
        <w:rPr>
          <w:rFonts w:hint="eastAsia"/>
        </w:rPr>
        <w:t>年</w:t>
      </w:r>
      <w:r>
        <w:rPr>
          <w:rFonts w:hint="eastAsia"/>
        </w:rPr>
        <w:t>)</w:t>
      </w:r>
      <w:r>
        <w:rPr>
          <w:rFonts w:hint="eastAsia"/>
        </w:rPr>
        <w:t>，建立一个部门以协调国家打击人口贩运的工作，并与邻国签署防止和消除贩运儿童行为的协定。然而，委员会感到关切的是：</w:t>
      </w:r>
    </w:p>
    <w:p w:rsidR="00E735D2" w:rsidRDefault="00E735D2" w:rsidP="00864CA4">
      <w:pPr>
        <w:pStyle w:val="SingleTxtGC"/>
        <w:numPr>
          <w:ilvl w:val="0"/>
          <w:numId w:val="30"/>
        </w:numPr>
        <w:tabs>
          <w:tab w:val="clear" w:pos="2426"/>
          <w:tab w:val="left" w:pos="2427"/>
        </w:tabs>
      </w:pPr>
      <w:r>
        <w:rPr>
          <w:rFonts w:hint="eastAsia"/>
        </w:rPr>
        <w:t>缺乏研究、分析和分列数据，使其不仅无法评估贩运入境缔约国的程度，而且无法评估贩运过境缔约国或从缔约国贩运出境的程度；</w:t>
      </w:r>
    </w:p>
    <w:p w:rsidR="00E735D2" w:rsidRDefault="00E735D2" w:rsidP="00864CA4">
      <w:pPr>
        <w:pStyle w:val="SingleTxtGC"/>
        <w:numPr>
          <w:ilvl w:val="0"/>
          <w:numId w:val="30"/>
        </w:numPr>
        <w:tabs>
          <w:tab w:val="clear" w:pos="2426"/>
          <w:tab w:val="left" w:pos="2427"/>
        </w:tabs>
      </w:pPr>
      <w:r>
        <w:rPr>
          <w:rFonts w:hint="eastAsia"/>
        </w:rPr>
        <w:t>收到关于以下情况的资料：</w:t>
      </w:r>
    </w:p>
    <w:p w:rsidR="00E735D2" w:rsidRDefault="00E735D2" w:rsidP="005B643A">
      <w:pPr>
        <w:pStyle w:val="SingleTxtGC"/>
        <w:numPr>
          <w:ilvl w:val="1"/>
          <w:numId w:val="32"/>
        </w:numPr>
        <w:tabs>
          <w:tab w:val="clear" w:pos="431"/>
          <w:tab w:val="clear" w:pos="1134"/>
          <w:tab w:val="clear" w:pos="1565"/>
          <w:tab w:val="clear" w:pos="1996"/>
          <w:tab w:val="clear" w:pos="2427"/>
        </w:tabs>
        <w:ind w:left="1565" w:firstLine="431"/>
      </w:pPr>
      <w:r>
        <w:rPr>
          <w:rFonts w:hint="eastAsia"/>
        </w:rPr>
        <w:t>塞内加尔国民遭到贩运或被迫在西非国家从事农业、金矿开采或家务劳动，或者在欧洲国家、美利坚合众国和中东遭受家庭奴役；</w:t>
      </w:r>
    </w:p>
    <w:p w:rsidR="00E735D2" w:rsidRDefault="00E735D2" w:rsidP="005B643A">
      <w:pPr>
        <w:pStyle w:val="SingleTxtGC"/>
        <w:numPr>
          <w:ilvl w:val="1"/>
          <w:numId w:val="32"/>
        </w:numPr>
        <w:tabs>
          <w:tab w:val="clear" w:pos="431"/>
          <w:tab w:val="clear" w:pos="1134"/>
          <w:tab w:val="clear" w:pos="1565"/>
          <w:tab w:val="clear" w:pos="1996"/>
          <w:tab w:val="clear" w:pos="2427"/>
        </w:tabs>
        <w:ind w:left="1565" w:firstLine="431"/>
      </w:pPr>
      <w:r>
        <w:rPr>
          <w:rFonts w:hint="eastAsia"/>
        </w:rPr>
        <w:t>塞内加尔儿童被迫乞讨并受到邻国伊斯兰教隐士的剥削；</w:t>
      </w:r>
    </w:p>
    <w:p w:rsidR="00E735D2" w:rsidRDefault="00E735D2" w:rsidP="005B643A">
      <w:pPr>
        <w:pStyle w:val="SingleTxtGC"/>
        <w:numPr>
          <w:ilvl w:val="0"/>
          <w:numId w:val="30"/>
        </w:numPr>
        <w:tabs>
          <w:tab w:val="clear" w:pos="2426"/>
          <w:tab w:val="left" w:pos="2427"/>
        </w:tabs>
      </w:pPr>
      <w:r>
        <w:rPr>
          <w:rFonts w:hint="eastAsia"/>
        </w:rPr>
        <w:t>关于以下人员在缔约国存在的报告：</w:t>
      </w:r>
    </w:p>
    <w:p w:rsidR="00E735D2" w:rsidRDefault="00E735D2" w:rsidP="005B643A">
      <w:pPr>
        <w:pStyle w:val="SingleTxtGC"/>
        <w:numPr>
          <w:ilvl w:val="1"/>
          <w:numId w:val="33"/>
        </w:numPr>
        <w:tabs>
          <w:tab w:val="clear" w:pos="431"/>
          <w:tab w:val="clear" w:pos="1134"/>
          <w:tab w:val="clear" w:pos="1565"/>
          <w:tab w:val="clear" w:pos="1996"/>
          <w:tab w:val="clear" w:pos="2427"/>
        </w:tabs>
        <w:ind w:left="1565" w:firstLine="431"/>
      </w:pPr>
      <w:r>
        <w:rPr>
          <w:rFonts w:hint="eastAsia"/>
        </w:rPr>
        <w:t>来自加纳、利比里亚、尼日利亚和塞拉利昂等其他西非国家的妇女和儿童，他们成为性剥削</w:t>
      </w:r>
      <w:r>
        <w:rPr>
          <w:rFonts w:hint="eastAsia"/>
        </w:rPr>
        <w:t>(</w:t>
      </w:r>
      <w:r>
        <w:rPr>
          <w:rFonts w:hint="eastAsia"/>
        </w:rPr>
        <w:t>特别是为色情旅游之目的</w:t>
      </w:r>
      <w:r>
        <w:rPr>
          <w:rFonts w:hint="eastAsia"/>
        </w:rPr>
        <w:t>)</w:t>
      </w:r>
      <w:r>
        <w:rPr>
          <w:rFonts w:hint="eastAsia"/>
        </w:rPr>
        <w:t>、强迫劳动和家庭奴役的受害者；</w:t>
      </w:r>
    </w:p>
    <w:p w:rsidR="00E735D2" w:rsidRDefault="00E735D2" w:rsidP="005B643A">
      <w:pPr>
        <w:pStyle w:val="SingleTxtGC"/>
        <w:numPr>
          <w:ilvl w:val="1"/>
          <w:numId w:val="33"/>
        </w:numPr>
        <w:tabs>
          <w:tab w:val="clear" w:pos="431"/>
          <w:tab w:val="clear" w:pos="1134"/>
          <w:tab w:val="clear" w:pos="1565"/>
          <w:tab w:val="clear" w:pos="1996"/>
          <w:tab w:val="clear" w:pos="2427"/>
        </w:tabs>
        <w:ind w:left="1565" w:firstLine="431"/>
      </w:pPr>
      <w:r>
        <w:rPr>
          <w:rFonts w:hint="eastAsia"/>
        </w:rPr>
        <w:t>来自从事小规模金矿开采的区域的儿童，其中一些儿童遭到贩运、虐待和性剥削；</w:t>
      </w:r>
    </w:p>
    <w:p w:rsidR="00E735D2" w:rsidRDefault="00E735D2" w:rsidP="005B643A">
      <w:pPr>
        <w:pStyle w:val="SingleTxtGC"/>
        <w:numPr>
          <w:ilvl w:val="1"/>
          <w:numId w:val="33"/>
        </w:numPr>
        <w:tabs>
          <w:tab w:val="clear" w:pos="431"/>
          <w:tab w:val="clear" w:pos="1134"/>
          <w:tab w:val="clear" w:pos="1565"/>
          <w:tab w:val="clear" w:pos="1996"/>
          <w:tab w:val="clear" w:pos="2427"/>
        </w:tabs>
        <w:ind w:left="1565" w:firstLine="431"/>
      </w:pPr>
      <w:r>
        <w:rPr>
          <w:rFonts w:hint="eastAsia"/>
        </w:rPr>
        <w:t>来自冈比亚、几内亚、几内亚比绍和马里的儿童，他们被迫乞讨或受到伊斯兰教隐士剥削，为其获取财务收益；</w:t>
      </w:r>
    </w:p>
    <w:p w:rsidR="00E735D2" w:rsidRDefault="00E735D2" w:rsidP="005B643A">
      <w:pPr>
        <w:pStyle w:val="SingleTxtGC"/>
        <w:numPr>
          <w:ilvl w:val="0"/>
          <w:numId w:val="30"/>
        </w:numPr>
        <w:tabs>
          <w:tab w:val="clear" w:pos="2426"/>
          <w:tab w:val="left" w:pos="2427"/>
        </w:tabs>
      </w:pPr>
      <w:r>
        <w:rPr>
          <w:rFonts w:hint="eastAsia"/>
        </w:rPr>
        <w:t>为预防和消除人口贩运，包括向协调国家打击人口贩运工作的部门分配的人力和财务资源不充分；</w:t>
      </w:r>
    </w:p>
    <w:p w:rsidR="00E735D2" w:rsidRDefault="00E735D2" w:rsidP="005B643A">
      <w:pPr>
        <w:pStyle w:val="SingleTxtGC"/>
        <w:numPr>
          <w:ilvl w:val="0"/>
          <w:numId w:val="30"/>
        </w:numPr>
        <w:tabs>
          <w:tab w:val="clear" w:pos="2426"/>
          <w:tab w:val="left" w:pos="2427"/>
        </w:tabs>
      </w:pPr>
      <w:r>
        <w:rPr>
          <w:rFonts w:hint="eastAsia"/>
        </w:rPr>
        <w:t>未作出充分努力以查明贩运和剥削的受害者，特别是被迫乞讨的儿童；</w:t>
      </w:r>
    </w:p>
    <w:p w:rsidR="00E735D2" w:rsidRDefault="00E735D2" w:rsidP="005B643A">
      <w:pPr>
        <w:pStyle w:val="SingleTxtGC"/>
        <w:numPr>
          <w:ilvl w:val="0"/>
          <w:numId w:val="30"/>
        </w:numPr>
        <w:tabs>
          <w:tab w:val="clear" w:pos="2426"/>
          <w:tab w:val="left" w:pos="2427"/>
        </w:tabs>
      </w:pPr>
      <w:r>
        <w:rPr>
          <w:rFonts w:hint="eastAsia"/>
        </w:rPr>
        <w:t>对关于打击人口贩运和相关行为以及关于保护受害者的第</w:t>
      </w:r>
      <w:r>
        <w:rPr>
          <w:rFonts w:hint="eastAsia"/>
        </w:rPr>
        <w:t>2005-06</w:t>
      </w:r>
      <w:r>
        <w:rPr>
          <w:rFonts w:hint="eastAsia"/>
        </w:rPr>
        <w:t>号法的执行有限，对负责其执行的官员的培训不充分；</w:t>
      </w:r>
    </w:p>
    <w:p w:rsidR="00E735D2" w:rsidRDefault="00E735D2" w:rsidP="005B643A">
      <w:pPr>
        <w:pStyle w:val="SingleTxtGC"/>
        <w:numPr>
          <w:ilvl w:val="0"/>
          <w:numId w:val="30"/>
        </w:numPr>
        <w:tabs>
          <w:tab w:val="clear" w:pos="2426"/>
          <w:tab w:val="left" w:pos="2427"/>
        </w:tabs>
      </w:pPr>
      <w:r>
        <w:rPr>
          <w:rFonts w:hint="eastAsia"/>
        </w:rPr>
        <w:lastRenderedPageBreak/>
        <w:t>援引第</w:t>
      </w:r>
      <w:r>
        <w:rPr>
          <w:rFonts w:hint="eastAsia"/>
        </w:rPr>
        <w:t>2005-06</w:t>
      </w:r>
      <w:r>
        <w:rPr>
          <w:rFonts w:hint="eastAsia"/>
        </w:rPr>
        <w:t>号法对企图跨越边境去往欧洲的塞内加尔移民进行起诉。</w:t>
      </w:r>
    </w:p>
    <w:p w:rsidR="00E735D2" w:rsidRPr="003A0BD1" w:rsidRDefault="00E735D2" w:rsidP="00E735D2">
      <w:pPr>
        <w:pStyle w:val="SingleTxtGC"/>
        <w:rPr>
          <w:rFonts w:ascii="SimHei" w:eastAsia="SimHei" w:hAnsi="SimHei"/>
        </w:rPr>
      </w:pPr>
      <w:r>
        <w:rPr>
          <w:rFonts w:hint="eastAsia"/>
        </w:rPr>
        <w:t xml:space="preserve">57.  </w:t>
      </w:r>
      <w:r w:rsidRPr="003A0BD1">
        <w:rPr>
          <w:rFonts w:ascii="SimHei" w:eastAsia="SimHei" w:hAnsi="SimHei" w:hint="eastAsia"/>
        </w:rPr>
        <w:t>委员会建议缔约国：</w:t>
      </w:r>
    </w:p>
    <w:p w:rsidR="00E735D2" w:rsidRDefault="00E735D2" w:rsidP="005B643A">
      <w:pPr>
        <w:pStyle w:val="a4"/>
        <w:numPr>
          <w:ilvl w:val="0"/>
          <w:numId w:val="35"/>
        </w:numPr>
      </w:pPr>
      <w:r w:rsidRPr="003A0BD1">
        <w:rPr>
          <w:rFonts w:ascii="SimHei" w:eastAsia="SimHei" w:hAnsi="SimHei" w:hint="eastAsia"/>
          <w:szCs w:val="20"/>
        </w:rPr>
        <w:t>系统收集按性别、年龄和血统分列的数据，以更好地打击人口贩运和偷运</w:t>
      </w:r>
      <w:r>
        <w:rPr>
          <w:rFonts w:hint="eastAsia"/>
        </w:rPr>
        <w:t>；</w:t>
      </w:r>
    </w:p>
    <w:p w:rsidR="00E735D2" w:rsidRDefault="00E735D2" w:rsidP="005B643A">
      <w:pPr>
        <w:pStyle w:val="a4"/>
        <w:numPr>
          <w:ilvl w:val="0"/>
          <w:numId w:val="35"/>
        </w:numPr>
      </w:pPr>
      <w:r w:rsidRPr="003A0BD1">
        <w:rPr>
          <w:rFonts w:ascii="SimHei" w:eastAsia="SimHei" w:hAnsi="SimHei" w:hint="eastAsia"/>
          <w:szCs w:val="20"/>
        </w:rPr>
        <w:t>大力开展防止贩运和偷运移徙工人的运动，并采取适当措施以阻止传播关于对外和对内移民的误导性信息</w:t>
      </w:r>
      <w:r>
        <w:rPr>
          <w:rFonts w:hint="eastAsia"/>
        </w:rPr>
        <w:t>；</w:t>
      </w:r>
    </w:p>
    <w:p w:rsidR="00E735D2" w:rsidRDefault="00E735D2" w:rsidP="005B643A">
      <w:pPr>
        <w:pStyle w:val="a4"/>
        <w:numPr>
          <w:ilvl w:val="0"/>
          <w:numId w:val="35"/>
        </w:numPr>
      </w:pPr>
      <w:r w:rsidRPr="003A0BD1">
        <w:rPr>
          <w:rFonts w:ascii="SimHei" w:eastAsia="SimHei" w:hAnsi="SimHei" w:hint="eastAsia"/>
          <w:szCs w:val="20"/>
        </w:rPr>
        <w:t>加强对警察和其他执法人员、边防人员、法官、检察官、劳动监察员、教师、卫生保健人员以及缔约国使领馆人员开展关于打击人口贩运和偷运的培训</w:t>
      </w:r>
      <w:r>
        <w:rPr>
          <w:rFonts w:hint="eastAsia"/>
        </w:rPr>
        <w:t>；</w:t>
      </w:r>
    </w:p>
    <w:p w:rsidR="00E735D2" w:rsidRDefault="00E735D2" w:rsidP="005B643A">
      <w:pPr>
        <w:pStyle w:val="a4"/>
        <w:numPr>
          <w:ilvl w:val="0"/>
          <w:numId w:val="35"/>
        </w:numPr>
      </w:pPr>
      <w:r w:rsidRPr="003A0BD1">
        <w:rPr>
          <w:rFonts w:ascii="SimHei" w:eastAsia="SimHei" w:hAnsi="SimHei" w:hint="eastAsia"/>
          <w:szCs w:val="20"/>
        </w:rPr>
        <w:t>迅速、有效和公正地调查、起诉和惩罚所有人口贩运和偷运行为及其他相关罪行，加快处理对人口贩运者和偷运者提起的案件</w:t>
      </w:r>
      <w:r>
        <w:rPr>
          <w:rFonts w:hint="eastAsia"/>
        </w:rPr>
        <w:t>；</w:t>
      </w:r>
    </w:p>
    <w:p w:rsidR="00E735D2" w:rsidRDefault="00E735D2" w:rsidP="005B643A">
      <w:pPr>
        <w:pStyle w:val="a4"/>
        <w:numPr>
          <w:ilvl w:val="0"/>
          <w:numId w:val="35"/>
        </w:numPr>
      </w:pPr>
      <w:r w:rsidRPr="003A0BD1">
        <w:rPr>
          <w:rFonts w:ascii="SimHei" w:eastAsia="SimHei" w:hAnsi="SimHei" w:hint="eastAsia"/>
          <w:szCs w:val="20"/>
        </w:rPr>
        <w:t>向协调国家打击人口贩运工作的部门分配适当的人力和财务资源，以期有效实施防止和消除人口贩运的战略</w:t>
      </w:r>
      <w:r>
        <w:rPr>
          <w:rFonts w:hint="eastAsia"/>
        </w:rPr>
        <w:t>；</w:t>
      </w:r>
    </w:p>
    <w:p w:rsidR="00E735D2" w:rsidRDefault="00E735D2" w:rsidP="005B643A">
      <w:pPr>
        <w:pStyle w:val="a4"/>
        <w:numPr>
          <w:ilvl w:val="0"/>
          <w:numId w:val="35"/>
        </w:numPr>
      </w:pPr>
      <w:r w:rsidRPr="003A0BD1">
        <w:rPr>
          <w:rFonts w:ascii="SimHei" w:eastAsia="SimHei" w:hAnsi="SimHei" w:hint="eastAsia"/>
          <w:szCs w:val="20"/>
        </w:rPr>
        <w:t>加倍努力查明受害者，除了便利受害者重返社会的其他措施以外，向贩运的所有受害者提供保护和协助，特别是在住房、医疗服务和心理支助方面</w:t>
      </w:r>
      <w:r>
        <w:rPr>
          <w:rFonts w:hint="eastAsia"/>
        </w:rPr>
        <w:t>；</w:t>
      </w:r>
    </w:p>
    <w:p w:rsidR="00E735D2" w:rsidRDefault="00E735D2" w:rsidP="005B643A">
      <w:pPr>
        <w:pStyle w:val="a4"/>
        <w:numPr>
          <w:ilvl w:val="0"/>
          <w:numId w:val="35"/>
        </w:numPr>
      </w:pPr>
      <w:r w:rsidRPr="003A0BD1">
        <w:rPr>
          <w:rFonts w:ascii="SimHei" w:eastAsia="SimHei" w:hAnsi="SimHei" w:hint="eastAsia"/>
          <w:szCs w:val="20"/>
        </w:rPr>
        <w:t>修正关于打击人口贩运和相关行为并向贩运的受害者提供保护的第</w:t>
      </w:r>
      <w:r>
        <w:rPr>
          <w:rFonts w:hint="eastAsia"/>
        </w:rPr>
        <w:t>2005-06</w:t>
      </w:r>
      <w:r w:rsidRPr="003A0BD1">
        <w:rPr>
          <w:rFonts w:ascii="SimHei" w:eastAsia="SimHei" w:hAnsi="SimHei" w:hint="eastAsia"/>
          <w:szCs w:val="20"/>
        </w:rPr>
        <w:t>号法，以确保成为贩运受害者的移民获得刑事豁免</w:t>
      </w:r>
      <w:r>
        <w:rPr>
          <w:rFonts w:hint="eastAsia"/>
        </w:rPr>
        <w:t>；</w:t>
      </w:r>
    </w:p>
    <w:p w:rsidR="00E735D2" w:rsidRDefault="00E735D2" w:rsidP="005B643A">
      <w:pPr>
        <w:pStyle w:val="a4"/>
        <w:numPr>
          <w:ilvl w:val="0"/>
          <w:numId w:val="35"/>
        </w:numPr>
      </w:pPr>
      <w:r w:rsidRPr="003A0BD1">
        <w:rPr>
          <w:rFonts w:ascii="SimHei" w:eastAsia="SimHei" w:hAnsi="SimHei" w:hint="eastAsia"/>
          <w:szCs w:val="20"/>
        </w:rPr>
        <w:t>加强国际、区域和双边合作以防止和打击人口贩运</w:t>
      </w:r>
      <w:r>
        <w:rPr>
          <w:rFonts w:hint="eastAsia"/>
        </w:rPr>
        <w:t>。</w:t>
      </w:r>
    </w:p>
    <w:p w:rsidR="00E735D2" w:rsidRDefault="00E735D2" w:rsidP="00E735D2">
      <w:pPr>
        <w:pStyle w:val="SingleTxtGC"/>
      </w:pPr>
      <w:r>
        <w:rPr>
          <w:rFonts w:hint="eastAsia"/>
        </w:rPr>
        <w:t xml:space="preserve">58.  </w:t>
      </w:r>
      <w:r>
        <w:rPr>
          <w:rFonts w:hint="eastAsia"/>
        </w:rPr>
        <w:t>委员会感到关切的是：大批塞内加尔人在试图移民欧洲时死亡；过境国和目的地国为了将责任人绳之以法而开展的调查很少；这些国家没有采取措施以确定和送回遗骸；缔约国几乎未采取措施解决非正常移徙的根源问题。</w:t>
      </w:r>
    </w:p>
    <w:p w:rsidR="00E735D2" w:rsidRDefault="00E735D2" w:rsidP="00E735D2">
      <w:pPr>
        <w:pStyle w:val="SingleTxtGC"/>
      </w:pPr>
      <w:r>
        <w:rPr>
          <w:rFonts w:hint="eastAsia"/>
        </w:rPr>
        <w:t xml:space="preserve">59.  </w:t>
      </w:r>
      <w:r w:rsidRPr="003A0BD1">
        <w:rPr>
          <w:rFonts w:ascii="SimHei" w:eastAsia="SimHei" w:hAnsi="SimHei" w:hint="eastAsia"/>
        </w:rPr>
        <w:t>委员会建议缔约国加强与塞内加尔移徙工人的过境国和目的地国的国际合作，以增加正常移徙渠道的数量；开展充分调查，打击参与偷运移民的犯罪集团；在地方层面加大关于非正常移徙种种危险的公共宣传运动；采取一切适当措施便利确定和向缔约国送回在企图移民过程中死亡的塞内加尔人的遗骸；采取一切必要措施解决非正常移徙的根源问题。</w:t>
      </w:r>
    </w:p>
    <w:p w:rsidR="00E735D2" w:rsidRDefault="00E735D2" w:rsidP="005B643A">
      <w:pPr>
        <w:pStyle w:val="H23GC"/>
      </w:pPr>
      <w:r>
        <w:rPr>
          <w:rFonts w:hint="eastAsia"/>
        </w:rPr>
        <w:tab/>
      </w:r>
      <w:r>
        <w:rPr>
          <w:rFonts w:hint="eastAsia"/>
        </w:rPr>
        <w:tab/>
      </w:r>
      <w:r>
        <w:rPr>
          <w:rFonts w:hint="eastAsia"/>
        </w:rPr>
        <w:t>合法化</w:t>
      </w:r>
    </w:p>
    <w:p w:rsidR="00E735D2" w:rsidRDefault="00E735D2" w:rsidP="00E735D2">
      <w:pPr>
        <w:pStyle w:val="SingleTxtGC"/>
      </w:pPr>
      <w:r>
        <w:rPr>
          <w:rFonts w:hint="eastAsia"/>
        </w:rPr>
        <w:t xml:space="preserve">60.  </w:t>
      </w:r>
      <w:r>
        <w:rPr>
          <w:rFonts w:hint="eastAsia"/>
        </w:rPr>
        <w:t>委员会重申其关切的是，非正常情况下的移徙工人需自行解决身份问题，他们必须与外事警察及旅行证件部门联系，以获取关于如何实现身份合法化的信息</w:t>
      </w:r>
      <w:r>
        <w:rPr>
          <w:rFonts w:hint="eastAsia"/>
        </w:rPr>
        <w:t>(CMW/C/SEN/CO/1</w:t>
      </w:r>
      <w:r>
        <w:rPr>
          <w:rFonts w:hint="eastAsia"/>
        </w:rPr>
        <w:t>，第</w:t>
      </w:r>
      <w:r>
        <w:rPr>
          <w:rFonts w:hint="eastAsia"/>
        </w:rPr>
        <w:t>23</w:t>
      </w:r>
      <w:r>
        <w:rPr>
          <w:rFonts w:hint="eastAsia"/>
        </w:rPr>
        <w:t>段</w:t>
      </w:r>
      <w:r>
        <w:rPr>
          <w:rFonts w:hint="eastAsia"/>
        </w:rPr>
        <w:t>)</w:t>
      </w:r>
      <w:r>
        <w:rPr>
          <w:rFonts w:hint="eastAsia"/>
        </w:rPr>
        <w:t>。委员会感到关切的是，缔约国未采取任何措施在这一过程中向移徙工人提供信息和支助，委员会强调，缔约国有责任采取适当措施执行《公约》第</w:t>
      </w:r>
      <w:r>
        <w:rPr>
          <w:rFonts w:hint="eastAsia"/>
        </w:rPr>
        <w:t>68</w:t>
      </w:r>
      <w:r>
        <w:rPr>
          <w:rFonts w:hint="eastAsia"/>
        </w:rPr>
        <w:t>条和第</w:t>
      </w:r>
      <w:r>
        <w:rPr>
          <w:rFonts w:hint="eastAsia"/>
        </w:rPr>
        <w:t>69</w:t>
      </w:r>
      <w:r>
        <w:rPr>
          <w:rFonts w:hint="eastAsia"/>
        </w:rPr>
        <w:t>条的规定。</w:t>
      </w:r>
    </w:p>
    <w:p w:rsidR="00E735D2" w:rsidRPr="003A0BD1" w:rsidRDefault="00E735D2" w:rsidP="00E735D2">
      <w:pPr>
        <w:pStyle w:val="SingleTxtGC"/>
        <w:rPr>
          <w:rFonts w:ascii="SimHei" w:eastAsia="SimHei" w:hAnsi="SimHei"/>
        </w:rPr>
      </w:pPr>
      <w:r>
        <w:rPr>
          <w:rFonts w:hint="eastAsia"/>
        </w:rPr>
        <w:lastRenderedPageBreak/>
        <w:t xml:space="preserve">61.  </w:t>
      </w:r>
      <w:r w:rsidRPr="003A0BD1">
        <w:rPr>
          <w:rFonts w:ascii="SimHei" w:eastAsia="SimHei" w:hAnsi="SimHei" w:hint="eastAsia"/>
        </w:rPr>
        <w:t>委员会再次建议缔约国采取积极有效的措施，确保移徙工人及其家庭成员不再处于非正常情况下</w:t>
      </w:r>
      <w:r>
        <w:rPr>
          <w:rFonts w:hint="eastAsia"/>
        </w:rPr>
        <w:t>(CMW/C/SEN/CO/1</w:t>
      </w:r>
      <w:r>
        <w:rPr>
          <w:rFonts w:hint="eastAsia"/>
        </w:rPr>
        <w:t>，</w:t>
      </w:r>
      <w:r w:rsidRPr="003A0BD1">
        <w:rPr>
          <w:rFonts w:ascii="SimHei" w:eastAsia="SimHei" w:hAnsi="SimHei" w:hint="eastAsia"/>
        </w:rPr>
        <w:t>第</w:t>
      </w:r>
      <w:r>
        <w:rPr>
          <w:rFonts w:hint="eastAsia"/>
        </w:rPr>
        <w:t>23</w:t>
      </w:r>
      <w:r w:rsidRPr="003A0BD1">
        <w:rPr>
          <w:rFonts w:ascii="SimHei" w:eastAsia="SimHei" w:hAnsi="SimHei" w:hint="eastAsia"/>
        </w:rPr>
        <w:t>段</w:t>
      </w:r>
      <w:r>
        <w:rPr>
          <w:rFonts w:hint="eastAsia"/>
        </w:rPr>
        <w:t>)</w:t>
      </w:r>
      <w:r>
        <w:rPr>
          <w:rFonts w:hint="eastAsia"/>
        </w:rPr>
        <w:t>。</w:t>
      </w:r>
      <w:r w:rsidRPr="003A0BD1">
        <w:rPr>
          <w:rFonts w:ascii="SimHei" w:eastAsia="SimHei" w:hAnsi="SimHei" w:hint="eastAsia"/>
        </w:rPr>
        <w:t>在这方面，鼓励缔约国开展宣传运动，宣传移徙工人的权利以及非正常情况下的移徙工人实现身份合法化所需遵循的程序。委员会建议缔约国制定易用且快捷的合法化程序，且在这整个过程中向非正常情况下的移徙工人提供支助。</w:t>
      </w:r>
    </w:p>
    <w:p w:rsidR="00E735D2" w:rsidRDefault="00E735D2" w:rsidP="005B643A">
      <w:pPr>
        <w:pStyle w:val="H23GC"/>
      </w:pPr>
      <w:r>
        <w:rPr>
          <w:rFonts w:hint="eastAsia"/>
        </w:rPr>
        <w:tab/>
        <w:t>6.</w:t>
      </w:r>
      <w:r>
        <w:rPr>
          <w:rFonts w:hint="eastAsia"/>
        </w:rPr>
        <w:tab/>
      </w:r>
      <w:r>
        <w:rPr>
          <w:rFonts w:hint="eastAsia"/>
        </w:rPr>
        <w:t>后续行动和宣传</w:t>
      </w:r>
    </w:p>
    <w:p w:rsidR="00E735D2" w:rsidRDefault="00E735D2" w:rsidP="005B643A">
      <w:pPr>
        <w:pStyle w:val="H23GC"/>
      </w:pPr>
      <w:r>
        <w:rPr>
          <w:rFonts w:hint="eastAsia"/>
        </w:rPr>
        <w:tab/>
      </w:r>
      <w:r>
        <w:rPr>
          <w:rFonts w:hint="eastAsia"/>
        </w:rPr>
        <w:tab/>
      </w:r>
      <w:r>
        <w:rPr>
          <w:rFonts w:hint="eastAsia"/>
        </w:rPr>
        <w:t>后续行动</w:t>
      </w:r>
    </w:p>
    <w:p w:rsidR="00E735D2" w:rsidRPr="003A0BD1" w:rsidRDefault="00E735D2" w:rsidP="00E735D2">
      <w:pPr>
        <w:pStyle w:val="SingleTxtGC"/>
        <w:rPr>
          <w:rFonts w:ascii="SimHei" w:eastAsia="SimHei" w:hAnsi="SimHei"/>
        </w:rPr>
      </w:pPr>
      <w:r>
        <w:rPr>
          <w:rFonts w:hint="eastAsia"/>
        </w:rPr>
        <w:t xml:space="preserve">62.  </w:t>
      </w:r>
      <w:r w:rsidRPr="003A0BD1">
        <w:rPr>
          <w:rFonts w:ascii="SimHei" w:eastAsia="SimHei" w:hAnsi="SimHei" w:hint="eastAsia"/>
        </w:rPr>
        <w:t>委员会请求缔约国在其第四次定期报告中纳入关于采取了何种措施跟踪落实在本结论性意见中所提出的建议的详细资料。委员会建议缔约国采取一切适当措施确保这些建议得到执行，包括将建议转交政府和议会以及地方当局审议和采取行动。</w:t>
      </w:r>
    </w:p>
    <w:p w:rsidR="00E735D2" w:rsidRPr="003A0BD1" w:rsidRDefault="00E735D2" w:rsidP="00E735D2">
      <w:pPr>
        <w:pStyle w:val="SingleTxtGC"/>
        <w:rPr>
          <w:rFonts w:ascii="SimHei" w:eastAsia="SimHei" w:hAnsi="SimHei"/>
        </w:rPr>
      </w:pPr>
      <w:r>
        <w:rPr>
          <w:rFonts w:hint="eastAsia"/>
        </w:rPr>
        <w:t xml:space="preserve">63.  </w:t>
      </w:r>
      <w:r w:rsidRPr="003A0BD1">
        <w:rPr>
          <w:rFonts w:ascii="SimHei" w:eastAsia="SimHei" w:hAnsi="SimHei" w:hint="eastAsia"/>
        </w:rPr>
        <w:t>委员会请求缔约国让民间社会组织更密切地参与本结论性意见中各项建议的落实工作。</w:t>
      </w:r>
    </w:p>
    <w:p w:rsidR="00E735D2" w:rsidRDefault="00E735D2" w:rsidP="005B643A">
      <w:pPr>
        <w:pStyle w:val="H23GC"/>
      </w:pPr>
      <w:r>
        <w:rPr>
          <w:rFonts w:hint="eastAsia"/>
        </w:rPr>
        <w:tab/>
      </w:r>
      <w:r>
        <w:rPr>
          <w:rFonts w:hint="eastAsia"/>
        </w:rPr>
        <w:tab/>
      </w:r>
      <w:r>
        <w:rPr>
          <w:rFonts w:hint="eastAsia"/>
        </w:rPr>
        <w:t>后续行动报告</w:t>
      </w:r>
    </w:p>
    <w:p w:rsidR="00E735D2" w:rsidRDefault="00E735D2" w:rsidP="00E735D2">
      <w:pPr>
        <w:pStyle w:val="SingleTxtGC"/>
      </w:pPr>
      <w:r>
        <w:rPr>
          <w:rFonts w:hint="eastAsia"/>
        </w:rPr>
        <w:t xml:space="preserve">64.  </w:t>
      </w:r>
      <w:r w:rsidRPr="003A0BD1">
        <w:rPr>
          <w:rFonts w:ascii="SimHei" w:eastAsia="SimHei" w:hAnsi="SimHei" w:hint="eastAsia"/>
        </w:rPr>
        <w:t>委员会请求缔约国在两年内，即</w:t>
      </w:r>
      <w:r>
        <w:rPr>
          <w:rFonts w:hint="eastAsia"/>
        </w:rPr>
        <w:t>2018</w:t>
      </w:r>
      <w:r w:rsidRPr="003A0BD1">
        <w:rPr>
          <w:rFonts w:ascii="SimHei" w:eastAsia="SimHei" w:hAnsi="SimHei" w:hint="eastAsia"/>
        </w:rPr>
        <w:t>年</w:t>
      </w:r>
      <w:r>
        <w:rPr>
          <w:rFonts w:hint="eastAsia"/>
        </w:rPr>
        <w:t>5</w:t>
      </w:r>
      <w:r w:rsidRPr="003A0BD1">
        <w:rPr>
          <w:rFonts w:ascii="SimHei" w:eastAsia="SimHei" w:hAnsi="SimHei" w:hint="eastAsia"/>
        </w:rPr>
        <w:t>月</w:t>
      </w:r>
      <w:r>
        <w:rPr>
          <w:rFonts w:hint="eastAsia"/>
        </w:rPr>
        <w:t>1</w:t>
      </w:r>
      <w:r w:rsidRPr="003A0BD1">
        <w:rPr>
          <w:rFonts w:ascii="SimHei" w:eastAsia="SimHei" w:hAnsi="SimHei" w:hint="eastAsia"/>
        </w:rPr>
        <w:t>日之前，提供关于上文第</w:t>
      </w:r>
      <w:r>
        <w:rPr>
          <w:rFonts w:hint="eastAsia"/>
        </w:rPr>
        <w:t>15</w:t>
      </w:r>
      <w:r>
        <w:rPr>
          <w:rFonts w:hint="eastAsia"/>
        </w:rPr>
        <w:t>、</w:t>
      </w:r>
      <w:r>
        <w:rPr>
          <w:rFonts w:hint="eastAsia"/>
        </w:rPr>
        <w:t>27</w:t>
      </w:r>
      <w:r>
        <w:rPr>
          <w:rFonts w:hint="eastAsia"/>
        </w:rPr>
        <w:t>、</w:t>
      </w:r>
      <w:r>
        <w:rPr>
          <w:rFonts w:hint="eastAsia"/>
        </w:rPr>
        <w:t>57</w:t>
      </w:r>
      <w:r w:rsidRPr="003A0BD1">
        <w:rPr>
          <w:rFonts w:ascii="SimHei" w:eastAsia="SimHei" w:hAnsi="SimHei" w:hint="eastAsia"/>
        </w:rPr>
        <w:t>和</w:t>
      </w:r>
      <w:r>
        <w:rPr>
          <w:rFonts w:hint="eastAsia"/>
        </w:rPr>
        <w:t>59</w:t>
      </w:r>
      <w:r w:rsidRPr="003A0BD1">
        <w:rPr>
          <w:rFonts w:ascii="SimHei" w:eastAsia="SimHei" w:hAnsi="SimHei" w:hint="eastAsia"/>
        </w:rPr>
        <w:t>段所载建议的后续行动的书面资料。</w:t>
      </w:r>
    </w:p>
    <w:p w:rsidR="00E735D2" w:rsidRDefault="00E735D2" w:rsidP="005B643A">
      <w:pPr>
        <w:pStyle w:val="H23GC"/>
      </w:pPr>
      <w:r>
        <w:rPr>
          <w:rFonts w:hint="eastAsia"/>
        </w:rPr>
        <w:tab/>
      </w:r>
      <w:r>
        <w:rPr>
          <w:rFonts w:hint="eastAsia"/>
        </w:rPr>
        <w:tab/>
      </w:r>
      <w:r>
        <w:rPr>
          <w:rFonts w:hint="eastAsia"/>
        </w:rPr>
        <w:t>宣传</w:t>
      </w:r>
    </w:p>
    <w:p w:rsidR="00E735D2" w:rsidRPr="003A0BD1" w:rsidRDefault="00E735D2" w:rsidP="00E735D2">
      <w:pPr>
        <w:pStyle w:val="SingleTxtGC"/>
        <w:rPr>
          <w:rFonts w:ascii="SimHei" w:eastAsia="SimHei" w:hAnsi="SimHei"/>
        </w:rPr>
      </w:pPr>
      <w:r>
        <w:rPr>
          <w:rFonts w:hint="eastAsia"/>
        </w:rPr>
        <w:t xml:space="preserve">65.  </w:t>
      </w:r>
      <w:r w:rsidRPr="003A0BD1">
        <w:rPr>
          <w:rFonts w:ascii="SimHei" w:eastAsia="SimHei" w:hAnsi="SimHei" w:hint="eastAsia"/>
        </w:rPr>
        <w:t>委员会还请缔约国广泛宣传《公约》及本结论性意见，包括向公共机构、司法机构、非政府组织以及其他民间社会成员进行宣传，以提高司法、立法和行政部门、民间社会以及广大公众对《公约》的认识。</w:t>
      </w:r>
    </w:p>
    <w:p w:rsidR="00E735D2" w:rsidRDefault="00E735D2" w:rsidP="005B643A">
      <w:pPr>
        <w:pStyle w:val="H23GC"/>
      </w:pPr>
      <w:r>
        <w:rPr>
          <w:rFonts w:hint="eastAsia"/>
        </w:rPr>
        <w:tab/>
        <w:t>7.</w:t>
      </w:r>
      <w:r>
        <w:rPr>
          <w:rFonts w:hint="eastAsia"/>
        </w:rPr>
        <w:tab/>
      </w:r>
      <w:r>
        <w:rPr>
          <w:rFonts w:hint="eastAsia"/>
        </w:rPr>
        <w:t>技术援助</w:t>
      </w:r>
    </w:p>
    <w:p w:rsidR="00E735D2" w:rsidRPr="003A0BD1" w:rsidRDefault="00E735D2" w:rsidP="00E735D2">
      <w:pPr>
        <w:pStyle w:val="SingleTxtGC"/>
        <w:rPr>
          <w:rFonts w:ascii="SimHei" w:eastAsia="SimHei" w:hAnsi="SimHei"/>
        </w:rPr>
      </w:pPr>
      <w:r>
        <w:rPr>
          <w:rFonts w:hint="eastAsia"/>
        </w:rPr>
        <w:t xml:space="preserve">66.  </w:t>
      </w:r>
      <w:r w:rsidRPr="003A0BD1">
        <w:rPr>
          <w:rFonts w:ascii="SimHei" w:eastAsia="SimHei" w:hAnsi="SimHei" w:hint="eastAsia"/>
        </w:rPr>
        <w:t>委员会建议缔约国借助国际援助、包括技术援助以制定一项落实上述建议和整个《公约》的综合方案。委员会还呼吁缔约国继续与联合国系统各专门机构和方案合作，包括请联合国人权事务高级专员办事处提供编写报告方面的技术和能力建设支助。</w:t>
      </w:r>
    </w:p>
    <w:p w:rsidR="00E735D2" w:rsidRDefault="00E735D2" w:rsidP="005B643A">
      <w:pPr>
        <w:pStyle w:val="H23GC"/>
      </w:pPr>
      <w:r>
        <w:rPr>
          <w:rFonts w:hint="eastAsia"/>
        </w:rPr>
        <w:tab/>
        <w:t>8.</w:t>
      </w:r>
      <w:r>
        <w:rPr>
          <w:rFonts w:hint="eastAsia"/>
        </w:rPr>
        <w:tab/>
      </w:r>
      <w:r>
        <w:rPr>
          <w:rFonts w:hint="eastAsia"/>
        </w:rPr>
        <w:t>下次定期报告</w:t>
      </w:r>
    </w:p>
    <w:p w:rsidR="00E735D2" w:rsidRDefault="00E735D2" w:rsidP="00E735D2">
      <w:pPr>
        <w:pStyle w:val="SingleTxtGC"/>
      </w:pPr>
      <w:r>
        <w:rPr>
          <w:rFonts w:hint="eastAsia"/>
        </w:rPr>
        <w:t xml:space="preserve">67.  </w:t>
      </w:r>
      <w:r w:rsidRPr="003A0BD1">
        <w:rPr>
          <w:rFonts w:ascii="SimHei" w:eastAsia="SimHei" w:hAnsi="SimHei" w:hint="eastAsia"/>
        </w:rPr>
        <w:t>委员会请缔约国在</w:t>
      </w:r>
      <w:r>
        <w:rPr>
          <w:rFonts w:hint="eastAsia"/>
        </w:rPr>
        <w:t>2021</w:t>
      </w:r>
      <w:r w:rsidRPr="003A0BD1">
        <w:rPr>
          <w:rFonts w:ascii="SimHei" w:eastAsia="SimHei" w:hAnsi="SimHei" w:hint="eastAsia"/>
        </w:rPr>
        <w:t>年</w:t>
      </w:r>
      <w:r>
        <w:rPr>
          <w:rFonts w:hint="eastAsia"/>
        </w:rPr>
        <w:t>5</w:t>
      </w:r>
      <w:r w:rsidRPr="003A0BD1">
        <w:rPr>
          <w:rFonts w:ascii="SimHei" w:eastAsia="SimHei" w:hAnsi="SimHei" w:hint="eastAsia"/>
        </w:rPr>
        <w:t>月</w:t>
      </w:r>
      <w:r>
        <w:rPr>
          <w:rFonts w:hint="eastAsia"/>
        </w:rPr>
        <w:t>1</w:t>
      </w:r>
      <w:r w:rsidRPr="003A0BD1">
        <w:rPr>
          <w:rFonts w:ascii="SimHei" w:eastAsia="SimHei" w:hAnsi="SimHei" w:hint="eastAsia"/>
        </w:rPr>
        <w:t>日之前提交第四次定期报告，并在其中纳入落实本结论性意见的情况。或者，缔约国也可遵循简化的报告程序，由委员会起草一份问题清单并在下次报告提交之前转交缔约国。缔约国对该问题清单的答复即构成其根据《公约》第</w:t>
      </w:r>
      <w:r>
        <w:rPr>
          <w:rFonts w:hint="eastAsia"/>
        </w:rPr>
        <w:t>73</w:t>
      </w:r>
      <w:r w:rsidRPr="003A0BD1">
        <w:rPr>
          <w:rFonts w:ascii="SimHei" w:eastAsia="SimHei" w:hAnsi="SimHei" w:hint="eastAsia"/>
        </w:rPr>
        <w:t>条所提交的报告。这样，缔约国就无须按传统方式提交报告。这个新的任择程序是</w:t>
      </w:r>
      <w:r>
        <w:rPr>
          <w:rFonts w:hint="eastAsia"/>
        </w:rPr>
        <w:t>2011</w:t>
      </w:r>
      <w:r w:rsidRPr="003A0BD1">
        <w:rPr>
          <w:rFonts w:ascii="SimHei" w:eastAsia="SimHei" w:hAnsi="SimHei" w:hint="eastAsia"/>
        </w:rPr>
        <w:t>年</w:t>
      </w:r>
      <w:r>
        <w:rPr>
          <w:rFonts w:hint="eastAsia"/>
        </w:rPr>
        <w:t>4</w:t>
      </w:r>
      <w:r w:rsidRPr="003A0BD1">
        <w:rPr>
          <w:rFonts w:ascii="SimHei" w:eastAsia="SimHei" w:hAnsi="SimHei" w:hint="eastAsia"/>
        </w:rPr>
        <w:t>月委员会第十四届会议通过的</w:t>
      </w:r>
      <w:r>
        <w:rPr>
          <w:rFonts w:hint="eastAsia"/>
        </w:rPr>
        <w:t>(</w:t>
      </w:r>
      <w:r w:rsidRPr="003A0BD1">
        <w:rPr>
          <w:rFonts w:ascii="SimHei" w:eastAsia="SimHei" w:hAnsi="SimHei" w:hint="eastAsia"/>
        </w:rPr>
        <w:t>见</w:t>
      </w:r>
      <w:r>
        <w:rPr>
          <w:rFonts w:hint="eastAsia"/>
        </w:rPr>
        <w:t>A/66/48</w:t>
      </w:r>
      <w:r>
        <w:rPr>
          <w:rFonts w:hint="eastAsia"/>
        </w:rPr>
        <w:t>，</w:t>
      </w:r>
      <w:r w:rsidRPr="003A0BD1">
        <w:rPr>
          <w:rFonts w:ascii="SimHei" w:eastAsia="SimHei" w:hAnsi="SimHei" w:hint="eastAsia"/>
        </w:rPr>
        <w:t>第</w:t>
      </w:r>
      <w:r>
        <w:rPr>
          <w:rFonts w:hint="eastAsia"/>
        </w:rPr>
        <w:t>26</w:t>
      </w:r>
      <w:r w:rsidRPr="003A0BD1">
        <w:rPr>
          <w:rFonts w:ascii="SimHei" w:eastAsia="SimHei" w:hAnsi="SimHei" w:hint="eastAsia"/>
        </w:rPr>
        <w:t>段</w:t>
      </w:r>
      <w:r>
        <w:rPr>
          <w:rFonts w:hint="eastAsia"/>
        </w:rPr>
        <w:t>)</w:t>
      </w:r>
      <w:r>
        <w:rPr>
          <w:rFonts w:hint="eastAsia"/>
        </w:rPr>
        <w:t>。</w:t>
      </w:r>
    </w:p>
    <w:p w:rsidR="00E735D2" w:rsidRPr="003A0BD1" w:rsidRDefault="00E735D2" w:rsidP="00E735D2">
      <w:pPr>
        <w:pStyle w:val="SingleTxtGC"/>
        <w:rPr>
          <w:rFonts w:ascii="SimHei" w:eastAsia="SimHei" w:hAnsi="SimHei"/>
        </w:rPr>
      </w:pPr>
      <w:r>
        <w:rPr>
          <w:rFonts w:hint="eastAsia"/>
        </w:rPr>
        <w:lastRenderedPageBreak/>
        <w:t xml:space="preserve">68.  </w:t>
      </w:r>
      <w:r w:rsidRPr="003A0BD1">
        <w:rPr>
          <w:rFonts w:ascii="SimHei" w:eastAsia="SimHei" w:hAnsi="SimHei" w:hint="eastAsia"/>
        </w:rPr>
        <w:t>委员会提请缔约国注意条约专要报告准则</w:t>
      </w:r>
      <w:r>
        <w:rPr>
          <w:rFonts w:hint="eastAsia"/>
        </w:rPr>
        <w:t>(CMW/C/2008/1)</w:t>
      </w:r>
      <w:r>
        <w:rPr>
          <w:rFonts w:hint="eastAsia"/>
        </w:rPr>
        <w:t>，</w:t>
      </w:r>
      <w:r w:rsidRPr="003A0BD1">
        <w:rPr>
          <w:rFonts w:ascii="SimHei" w:eastAsia="SimHei" w:hAnsi="SimHei" w:hint="eastAsia"/>
        </w:rPr>
        <w:t>并提醒缔约国定期报告应符合大会第</w:t>
      </w:r>
      <w:r>
        <w:rPr>
          <w:rFonts w:hint="eastAsia"/>
        </w:rPr>
        <w:t>68/268</w:t>
      </w:r>
      <w:r w:rsidRPr="003A0BD1">
        <w:rPr>
          <w:rFonts w:ascii="SimHei" w:eastAsia="SimHei" w:hAnsi="SimHei" w:hint="eastAsia"/>
        </w:rPr>
        <w:t>号决议的规定，篇幅不超过</w:t>
      </w:r>
      <w:r>
        <w:rPr>
          <w:rFonts w:hint="eastAsia"/>
        </w:rPr>
        <w:t>21 200</w:t>
      </w:r>
      <w:r w:rsidRPr="003A0BD1">
        <w:rPr>
          <w:rFonts w:ascii="SimHei" w:eastAsia="SimHei" w:hAnsi="SimHei" w:hint="eastAsia"/>
        </w:rPr>
        <w:t>字。倘若提交的报告超过规定的字数上限，缔约国需要按上述准则予以缩短。如果缔约国无法重新审查和再提交报告，则不能保证能够翻译该报告以供条约机构审议。</w:t>
      </w:r>
    </w:p>
    <w:p w:rsidR="00E735D2" w:rsidRDefault="00E735D2" w:rsidP="00E735D2">
      <w:pPr>
        <w:pStyle w:val="SingleTxtGC"/>
      </w:pPr>
      <w:r>
        <w:rPr>
          <w:rFonts w:hint="eastAsia"/>
        </w:rPr>
        <w:t xml:space="preserve">69.  </w:t>
      </w:r>
      <w:r w:rsidRPr="003A0BD1">
        <w:rPr>
          <w:rFonts w:ascii="SimHei" w:eastAsia="SimHei" w:hAnsi="SimHei" w:hint="eastAsia"/>
        </w:rPr>
        <w:t>委员会请缔约国确保政府各部委和公共机构广泛参与下次定期报告的编写</w:t>
      </w:r>
      <w:r>
        <w:rPr>
          <w:rFonts w:hint="eastAsia"/>
        </w:rPr>
        <w:t>(</w:t>
      </w:r>
      <w:r w:rsidRPr="003A0BD1">
        <w:rPr>
          <w:rFonts w:ascii="SimHei" w:eastAsia="SimHei" w:hAnsi="SimHei" w:hint="eastAsia"/>
        </w:rPr>
        <w:t>在简化报告程序的情况下，参与问题清单答复的编写</w:t>
      </w:r>
      <w:r>
        <w:rPr>
          <w:rFonts w:hint="eastAsia"/>
        </w:rPr>
        <w:t>)</w:t>
      </w:r>
      <w:r>
        <w:rPr>
          <w:rFonts w:hint="eastAsia"/>
        </w:rPr>
        <w:t>，</w:t>
      </w:r>
      <w:r w:rsidRPr="003A0BD1">
        <w:rPr>
          <w:rFonts w:ascii="SimHei" w:eastAsia="SimHei" w:hAnsi="SimHei" w:hint="eastAsia"/>
        </w:rPr>
        <w:t>同时与包括民间社会、移徙工人权利组织和人权组织在内的所有相关利益攸关方广泛进行磋商。</w:t>
      </w:r>
    </w:p>
    <w:p w:rsidR="005B643A" w:rsidRPr="002C0642" w:rsidRDefault="005B643A" w:rsidP="005B643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735D2" w:rsidRDefault="00E735D2" w:rsidP="00E735D2">
      <w:pPr>
        <w:pStyle w:val="SingleTxtGC"/>
      </w:pPr>
    </w:p>
    <w:sectPr w:rsidR="00E735D2"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59BF" w:rsidRPr="000D319F" w:rsidRDefault="00A859BF" w:rsidP="000D319F">
      <w:pPr>
        <w:pStyle w:val="Footer"/>
        <w:spacing w:after="240"/>
        <w:ind w:left="907"/>
        <w:rPr>
          <w:rFonts w:asciiTheme="majorBidi" w:eastAsia="SimSun" w:hAnsiTheme="majorBidi" w:cstheme="majorBidi"/>
          <w:sz w:val="21"/>
          <w:szCs w:val="21"/>
          <w:lang w:val="en-US"/>
        </w:rPr>
      </w:pPr>
    </w:p>
    <w:p w:rsidR="00A859BF" w:rsidRPr="000D319F" w:rsidRDefault="00A859BF" w:rsidP="000D319F">
      <w:pPr>
        <w:pStyle w:val="Footer"/>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A859BF" w:rsidRPr="000D319F" w:rsidRDefault="00A859BF" w:rsidP="000D319F">
      <w:pPr>
        <w:pStyle w:val="Footer"/>
      </w:pPr>
    </w:p>
  </w:endnote>
  <w:endnote w:type="continuationNotice" w:id="1">
    <w:p w:rsidR="00A859BF" w:rsidRDefault="00A859B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楷体">
    <w:altName w:val="Arial Unicode MS"/>
    <w:charset w:val="86"/>
    <w:family w:val="modern"/>
    <w:pitch w:val="fixed"/>
    <w:sig w:usb0="00000000"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E735D2" w:rsidRDefault="001C1E38" w:rsidP="001C1E38">
    <w:pPr>
      <w:pStyle w:val="Footer"/>
      <w:tabs>
        <w:tab w:val="clear" w:pos="431"/>
        <w:tab w:val="right" w:pos="9638"/>
      </w:tabs>
      <w:rPr>
        <w:rStyle w:val="PageNumber"/>
        <w:rFonts w:eastAsiaTheme="minorEastAsia"/>
        <w:lang w:eastAsia="zh-CN"/>
      </w:rPr>
    </w:pPr>
    <w:r>
      <w:rPr>
        <w:rStyle w:val="PageNumber"/>
      </w:rPr>
      <w:fldChar w:fldCharType="begin"/>
    </w:r>
    <w:r>
      <w:rPr>
        <w:rStyle w:val="PageNumber"/>
      </w:rPr>
      <w:instrText xml:space="preserve"> PAGE  \* MERGEFORMAT </w:instrText>
    </w:r>
    <w:r>
      <w:rPr>
        <w:rStyle w:val="PageNumber"/>
      </w:rPr>
      <w:fldChar w:fldCharType="separate"/>
    </w:r>
    <w:r w:rsidR="00AA7424">
      <w:rPr>
        <w:rStyle w:val="PageNumber"/>
        <w:noProof/>
      </w:rPr>
      <w:t>14</w:t>
    </w:r>
    <w:r>
      <w:rPr>
        <w:rStyle w:val="PageNumber"/>
      </w:rPr>
      <w:fldChar w:fldCharType="end"/>
    </w:r>
    <w:r>
      <w:rPr>
        <w:rStyle w:val="PageNumber"/>
      </w:rPr>
      <w:tab/>
    </w:r>
    <w:r w:rsidRPr="001C1E38">
      <w:rPr>
        <w:rStyle w:val="PageNumber"/>
        <w:b w:val="0"/>
        <w:snapToGrid w:val="0"/>
        <w:sz w:val="16"/>
      </w:rPr>
      <w:t>GE.16-08075</w:t>
    </w:r>
    <w:r w:rsidR="00E735D2">
      <w:rPr>
        <w:rStyle w:val="PageNumber"/>
        <w:rFonts w:eastAsiaTheme="minorEastAsia" w:hint="eastAsia"/>
        <w:b w:val="0"/>
        <w:snapToGrid w:val="0"/>
        <w:sz w:val="16"/>
        <w:lang w:eastAsia="zh-CN"/>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1C1E38" w:rsidRDefault="001C1E38" w:rsidP="001C1E38">
    <w:pPr>
      <w:pStyle w:val="Footer"/>
      <w:tabs>
        <w:tab w:val="clear" w:pos="431"/>
        <w:tab w:val="right" w:pos="9638"/>
      </w:tabs>
      <w:rPr>
        <w:rStyle w:val="PageNumber"/>
      </w:rPr>
    </w:pPr>
    <w:r>
      <w:t>GE.16-08075</w:t>
    </w:r>
    <w:r w:rsidR="00E735D2">
      <w:rPr>
        <w:rFonts w:eastAsiaTheme="minorEastAsia" w:hint="eastAsia"/>
        <w:lang w:eastAsia="zh-CN"/>
      </w:rPr>
      <w:t xml:space="preserve"> (EXT)</w:t>
    </w:r>
    <w:r>
      <w:tab/>
    </w:r>
    <w:r>
      <w:rPr>
        <w:rStyle w:val="PageNumber"/>
      </w:rPr>
      <w:fldChar w:fldCharType="begin"/>
    </w:r>
    <w:r>
      <w:rPr>
        <w:rStyle w:val="PageNumber"/>
      </w:rPr>
      <w:instrText xml:space="preserve"> PAGE  \* MERGEFORMAT </w:instrText>
    </w:r>
    <w:r>
      <w:rPr>
        <w:rStyle w:val="PageNumber"/>
      </w:rPr>
      <w:fldChar w:fldCharType="separate"/>
    </w:r>
    <w:r w:rsidR="00AA7424">
      <w:rPr>
        <w:rStyle w:val="PageNumber"/>
        <w:noProof/>
      </w:rPr>
      <w:t>15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55087" w:rsidRDefault="001C1E38" w:rsidP="00487939">
    <w:pPr>
      <w:pStyle w:val="Footer"/>
      <w:tabs>
        <w:tab w:val="left" w:pos="1701"/>
        <w:tab w:val="left" w:pos="2552"/>
        <w:tab w:val="left" w:pos="8448"/>
      </w:tabs>
      <w:spacing w:before="360"/>
      <w:rPr>
        <w:rFonts w:eastAsiaTheme="minorEastAsia"/>
        <w:b/>
        <w:sz w:val="21"/>
        <w:lang w:eastAsia="zh-CN"/>
      </w:rPr>
    </w:pPr>
    <w:r>
      <w:rPr>
        <w:sz w:val="20"/>
        <w:lang w:eastAsia="zh-CN"/>
      </w:rPr>
      <w:t>GE.16-08075</w:t>
    </w:r>
    <w:r w:rsidR="00731A42" w:rsidRPr="00EE277A">
      <w:rPr>
        <w:sz w:val="20"/>
        <w:lang w:eastAsia="zh-CN"/>
      </w:rPr>
      <w:t xml:space="preserve"> (</w:t>
    </w:r>
    <w:r w:rsidR="00E735D2">
      <w:rPr>
        <w:rFonts w:eastAsiaTheme="minorEastAsia" w:hint="eastAsia"/>
        <w:sz w:val="20"/>
        <w:lang w:eastAsia="zh-CN"/>
      </w:rPr>
      <w:t>EXT</w:t>
    </w:r>
    <w:r w:rsidR="00731A42" w:rsidRPr="00EE277A">
      <w:rPr>
        <w:sz w:val="20"/>
        <w:lang w:eastAsia="zh-CN"/>
      </w:rPr>
      <w:t>)</w:t>
    </w:r>
  </w:p>
  <w:p w:rsidR="00056632" w:rsidRPr="00487939" w:rsidRDefault="001C1E38" w:rsidP="00487939">
    <w:pPr>
      <w:pStyle w:val="Footer"/>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16502B82" wp14:editId="1CA1E648">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MW/C/SEN/CO/2-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SEN/CO/2-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A0C19A6" wp14:editId="0D409F5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59BF" w:rsidRPr="000157B1" w:rsidRDefault="00A859BF"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A859BF" w:rsidRPr="000157B1" w:rsidRDefault="00A859BF"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A859BF" w:rsidRDefault="00A859BF"/>
  </w:footnote>
  <w:footnote w:id="2">
    <w:p w:rsidR="00E735D2" w:rsidRPr="00E735D2" w:rsidRDefault="00E735D2">
      <w:pPr>
        <w:pStyle w:val="FootnoteText"/>
      </w:pPr>
      <w:r>
        <w:rPr>
          <w:rStyle w:val="FootnoteReference"/>
          <w:rFonts w:eastAsia="SimSun" w:hint="eastAsia"/>
        </w:rPr>
        <w:tab/>
      </w:r>
      <w:r w:rsidRPr="00E735D2">
        <w:rPr>
          <w:rStyle w:val="FootnoteReference"/>
          <w:rFonts w:eastAsia="SimSun"/>
          <w:vertAlign w:val="baseline"/>
        </w:rPr>
        <w:t>*</w:t>
      </w:r>
      <w:r w:rsidRPr="00E735D2">
        <w:rPr>
          <w:rFonts w:hint="eastAsia"/>
        </w:rPr>
        <w:tab/>
      </w:r>
      <w:r w:rsidRPr="00E735D2">
        <w:rPr>
          <w:rFonts w:hint="eastAsia"/>
        </w:rPr>
        <w:t>委员会第二十四届会议</w:t>
      </w:r>
      <w:r w:rsidRPr="00E735D2">
        <w:rPr>
          <w:rFonts w:hint="eastAsia"/>
        </w:rPr>
        <w:t>(2016</w:t>
      </w:r>
      <w:r w:rsidRPr="00E735D2">
        <w:rPr>
          <w:rFonts w:hint="eastAsia"/>
        </w:rPr>
        <w:t>年</w:t>
      </w:r>
      <w:r w:rsidRPr="00E735D2">
        <w:rPr>
          <w:rFonts w:hint="eastAsia"/>
        </w:rPr>
        <w:t>4</w:t>
      </w:r>
      <w:r w:rsidRPr="00E735D2">
        <w:rPr>
          <w:rFonts w:hint="eastAsia"/>
        </w:rPr>
        <w:t>月</w:t>
      </w:r>
      <w:r w:rsidRPr="00E735D2">
        <w:rPr>
          <w:rFonts w:hint="eastAsia"/>
        </w:rPr>
        <w:t>11</w:t>
      </w:r>
      <w:r w:rsidRPr="00E735D2">
        <w:rPr>
          <w:rFonts w:hint="eastAsia"/>
        </w:rPr>
        <w:t>日至</w:t>
      </w:r>
      <w:r w:rsidRPr="00E735D2">
        <w:rPr>
          <w:rFonts w:hint="eastAsia"/>
        </w:rPr>
        <w:t>22</w:t>
      </w:r>
      <w:r w:rsidRPr="00E735D2">
        <w:rPr>
          <w:rFonts w:hint="eastAsia"/>
        </w:rPr>
        <w:t>日</w:t>
      </w:r>
      <w:r w:rsidRPr="00E735D2">
        <w:rPr>
          <w:rFonts w:hint="eastAsia"/>
        </w:rPr>
        <w:t>)</w:t>
      </w:r>
      <w:r w:rsidRPr="00E735D2">
        <w:rPr>
          <w:rFonts w:hint="eastAsia"/>
        </w:rPr>
        <w:t>通过。</w:t>
      </w:r>
    </w:p>
  </w:footnote>
  <w:footnote w:id="3">
    <w:p w:rsidR="00E735D2" w:rsidRDefault="00E735D2">
      <w:pPr>
        <w:pStyle w:val="FootnoteText"/>
      </w:pPr>
      <w:r>
        <w:rPr>
          <w:rFonts w:hint="eastAsia"/>
        </w:rPr>
        <w:tab/>
      </w:r>
      <w:r>
        <w:rPr>
          <w:rStyle w:val="FootnoteReference"/>
          <w:rFonts w:eastAsia="SimSun"/>
        </w:rPr>
        <w:footnoteRef/>
      </w:r>
      <w:r>
        <w:rPr>
          <w:rFonts w:hint="eastAsia"/>
        </w:rPr>
        <w:tab/>
      </w:r>
      <w:r w:rsidRPr="00E735D2">
        <w:rPr>
          <w:rFonts w:hint="eastAsia"/>
        </w:rPr>
        <w:t>大会</w:t>
      </w:r>
      <w:r w:rsidRPr="00E735D2">
        <w:rPr>
          <w:rFonts w:hint="eastAsia"/>
        </w:rPr>
        <w:t>2015</w:t>
      </w:r>
      <w:r w:rsidRPr="00E735D2">
        <w:rPr>
          <w:rFonts w:hint="eastAsia"/>
        </w:rPr>
        <w:t>年</w:t>
      </w:r>
      <w:r w:rsidRPr="00E735D2">
        <w:rPr>
          <w:rFonts w:hint="eastAsia"/>
        </w:rPr>
        <w:t>9</w:t>
      </w:r>
      <w:r w:rsidRPr="00E735D2">
        <w:rPr>
          <w:rFonts w:hint="eastAsia"/>
        </w:rPr>
        <w:t>月</w:t>
      </w:r>
      <w:r w:rsidRPr="00E735D2">
        <w:rPr>
          <w:rFonts w:hint="eastAsia"/>
        </w:rPr>
        <w:t>25</w:t>
      </w:r>
      <w:r w:rsidRPr="00E735D2">
        <w:rPr>
          <w:rFonts w:hint="eastAsia"/>
        </w:rPr>
        <w:t>日在第</w:t>
      </w:r>
      <w:r w:rsidRPr="00E735D2">
        <w:rPr>
          <w:rFonts w:hint="eastAsia"/>
        </w:rPr>
        <w:t>70/1</w:t>
      </w:r>
      <w:r w:rsidRPr="00E735D2">
        <w:rPr>
          <w:rFonts w:hint="eastAsia"/>
        </w:rPr>
        <w:t>号决议中通过了《</w:t>
      </w:r>
      <w:r w:rsidRPr="00E735D2">
        <w:rPr>
          <w:rFonts w:hint="eastAsia"/>
        </w:rPr>
        <w:t>2030</w:t>
      </w:r>
      <w:r w:rsidRPr="00E735D2">
        <w:rPr>
          <w:rFonts w:hint="eastAsia"/>
        </w:rPr>
        <w:t>年可持续发展议程》。其中载有</w:t>
      </w:r>
      <w:r w:rsidRPr="00E735D2">
        <w:rPr>
          <w:rFonts w:hint="eastAsia"/>
        </w:rPr>
        <w:t>17</w:t>
      </w:r>
      <w:r w:rsidRPr="00E735D2">
        <w:rPr>
          <w:rFonts w:hint="eastAsia"/>
        </w:rPr>
        <w:t>项可持续发展目标，这些目标进一步细分为诸多具体目标。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1C1E38" w:rsidP="001C1E38">
    <w:pPr>
      <w:pStyle w:val="Header"/>
    </w:pPr>
    <w:r>
      <w:t>CMW/C/SEN/CO/2-3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1C1E38" w:rsidP="001C1E38">
    <w:pPr>
      <w:pStyle w:val="Header"/>
      <w:jc w:val="right"/>
    </w:pPr>
    <w:r>
      <w:t>CMW/C/SEN/CO/2-3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41678FC"/>
    <w:multiLevelType w:val="hybridMultilevel"/>
    <w:tmpl w:val="3C9448A4"/>
    <w:lvl w:ilvl="0" w:tplc="62A0FDA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6856DB"/>
    <w:multiLevelType w:val="hybridMultilevel"/>
    <w:tmpl w:val="A4C0C6D8"/>
    <w:lvl w:ilvl="0" w:tplc="3C805B0E">
      <w:start w:val="1"/>
      <w:numFmt w:val="lowerLetter"/>
      <w:lvlText w:val="(%1)"/>
      <w:lvlJc w:val="left"/>
      <w:pPr>
        <w:ind w:left="1128" w:hanging="696"/>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
    <w:nsid w:val="12200AFC"/>
    <w:multiLevelType w:val="hybridMultilevel"/>
    <w:tmpl w:val="F550B3DE"/>
    <w:lvl w:ilvl="0" w:tplc="BC50E7AA">
      <w:start w:val="1"/>
      <w:numFmt w:val="lowerLetter"/>
      <w:lvlText w:val="(%1)"/>
      <w:lvlJc w:val="left"/>
      <w:pPr>
        <w:ind w:left="1128" w:hanging="696"/>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16CC4652"/>
    <w:multiLevelType w:val="hybridMultilevel"/>
    <w:tmpl w:val="EA208842"/>
    <w:lvl w:ilvl="0" w:tplc="6C20A82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F582EC5"/>
    <w:multiLevelType w:val="hybridMultilevel"/>
    <w:tmpl w:val="1F2407EE"/>
    <w:lvl w:ilvl="0" w:tplc="9020B0C6">
      <w:start w:val="1"/>
      <w:numFmt w:val="lowerLetter"/>
      <w:lvlText w:val="(%1)"/>
      <w:lvlJc w:val="left"/>
      <w:pPr>
        <w:ind w:left="1128" w:hanging="696"/>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8">
    <w:nsid w:val="20312988"/>
    <w:multiLevelType w:val="hybridMultilevel"/>
    <w:tmpl w:val="9D7E59B2"/>
    <w:lvl w:ilvl="0" w:tplc="FAB4558E">
      <w:start w:val="1"/>
      <w:numFmt w:val="lowerLetter"/>
      <w:lvlRestart w:val="0"/>
      <w:lvlText w:val="(%1)"/>
      <w:lvlJc w:val="left"/>
      <w:pPr>
        <w:tabs>
          <w:tab w:val="num" w:pos="2211"/>
        </w:tabs>
        <w:ind w:left="2211" w:hanging="646"/>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ED2C2E"/>
    <w:multiLevelType w:val="hybridMultilevel"/>
    <w:tmpl w:val="44562592"/>
    <w:lvl w:ilvl="0" w:tplc="9F7AAAD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5F263A9"/>
    <w:multiLevelType w:val="hybridMultilevel"/>
    <w:tmpl w:val="11D20F16"/>
    <w:lvl w:ilvl="0" w:tplc="0C56828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B521D7C"/>
    <w:multiLevelType w:val="hybridMultilevel"/>
    <w:tmpl w:val="A9EEBE5E"/>
    <w:lvl w:ilvl="0" w:tplc="EB3C1AC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E0F3A0C"/>
    <w:multiLevelType w:val="hybridMultilevel"/>
    <w:tmpl w:val="287EF3D0"/>
    <w:lvl w:ilvl="0" w:tplc="D8D4CD3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E7C126D"/>
    <w:multiLevelType w:val="hybridMultilevel"/>
    <w:tmpl w:val="A1D28720"/>
    <w:lvl w:ilvl="0" w:tplc="E564E75C">
      <w:start w:val="1"/>
      <w:numFmt w:val="chineseCountingThousand"/>
      <w:lvlRestart w:val="0"/>
      <w:lvlText w:val="(%1)"/>
      <w:lvlJc w:val="left"/>
      <w:pPr>
        <w:tabs>
          <w:tab w:val="num" w:pos="2857"/>
        </w:tabs>
        <w:ind w:left="1565" w:firstLine="431"/>
      </w:pPr>
      <w:rPr>
        <w:rFonts w:ascii="Times New Roman" w:hAnsi="Times New Roman" w:cs="Times New Roman"/>
        <w:color w:val="auto"/>
        <w:sz w:val="21"/>
      </w:rPr>
    </w:lvl>
    <w:lvl w:ilvl="1" w:tplc="06BE0962">
      <w:start w:val="1"/>
      <w:numFmt w:val="chineseCountingThousand"/>
      <w:lvlRestart w:val="0"/>
      <w:lvlText w:val="(%2)"/>
      <w:lvlJc w:val="left"/>
      <w:pPr>
        <w:ind w:left="1871" w:hanging="360"/>
      </w:pPr>
      <w:rPr>
        <w:rFonts w:ascii="Times New Roman" w:hAnsi="Times New Roman" w:cs="Times New Roman"/>
        <w:color w:val="auto"/>
        <w:sz w:val="21"/>
      </w:rPr>
    </w:lvl>
    <w:lvl w:ilvl="2" w:tplc="53F0AA80">
      <w:start w:val="1"/>
      <w:numFmt w:val="lowerLetter"/>
      <w:lvlText w:val="(%3)"/>
      <w:lvlJc w:val="left"/>
      <w:pPr>
        <w:ind w:left="3107" w:hanging="696"/>
      </w:pPr>
      <w:rPr>
        <w:rFonts w:hint="default"/>
      </w:r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14">
    <w:nsid w:val="34B94E85"/>
    <w:multiLevelType w:val="hybridMultilevel"/>
    <w:tmpl w:val="E8FA5C92"/>
    <w:lvl w:ilvl="0" w:tplc="C7C0CEE6">
      <w:start w:val="1"/>
      <w:numFmt w:val="lowerLetter"/>
      <w:lvlText w:val="(%1)"/>
      <w:lvlJc w:val="left"/>
      <w:pPr>
        <w:ind w:left="1128" w:hanging="696"/>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5">
    <w:nsid w:val="3BDB74B5"/>
    <w:multiLevelType w:val="hybridMultilevel"/>
    <w:tmpl w:val="2AF8CBC6"/>
    <w:lvl w:ilvl="0" w:tplc="07882686">
      <w:start w:val="1"/>
      <w:numFmt w:val="lowerLetter"/>
      <w:lvlText w:val="(%1)"/>
      <w:lvlJc w:val="left"/>
      <w:pPr>
        <w:ind w:left="1128" w:hanging="696"/>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6">
    <w:nsid w:val="3E7608DD"/>
    <w:multiLevelType w:val="hybridMultilevel"/>
    <w:tmpl w:val="FAB8F6C0"/>
    <w:lvl w:ilvl="0" w:tplc="3B26B4D6">
      <w:start w:val="1"/>
      <w:numFmt w:val="lowerLetter"/>
      <w:lvlText w:val="(%1)"/>
      <w:lvlJc w:val="left"/>
      <w:pPr>
        <w:ind w:left="1128" w:hanging="696"/>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7">
    <w:nsid w:val="3EE21AB1"/>
    <w:multiLevelType w:val="hybridMultilevel"/>
    <w:tmpl w:val="6F2671D8"/>
    <w:lvl w:ilvl="0" w:tplc="0704602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10E7639"/>
    <w:multiLevelType w:val="hybridMultilevel"/>
    <w:tmpl w:val="8ADC8E0E"/>
    <w:lvl w:ilvl="0" w:tplc="BC56B45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1CC6238"/>
    <w:multiLevelType w:val="hybridMultilevel"/>
    <w:tmpl w:val="75B8A31E"/>
    <w:lvl w:ilvl="0" w:tplc="D40AF9D8">
      <w:start w:val="1"/>
      <w:numFmt w:val="lowerLetter"/>
      <w:lvlText w:val="(%1)"/>
      <w:lvlJc w:val="left"/>
      <w:pPr>
        <w:ind w:left="1128" w:hanging="696"/>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0">
    <w:nsid w:val="43112DF0"/>
    <w:multiLevelType w:val="hybridMultilevel"/>
    <w:tmpl w:val="33DA7810"/>
    <w:lvl w:ilvl="0" w:tplc="B83C68E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3A36B1D"/>
    <w:multiLevelType w:val="hybridMultilevel"/>
    <w:tmpl w:val="C4462620"/>
    <w:lvl w:ilvl="0" w:tplc="F5962AF6">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AC862F60">
      <w:start w:val="1"/>
      <w:numFmt w:val="chineseCountingThousand"/>
      <w:lvlRestart w:val="0"/>
      <w:lvlText w:val="(%2)"/>
      <w:lvlJc w:val="left"/>
      <w:pPr>
        <w:ind w:left="1440" w:hanging="360"/>
      </w:pPr>
      <w:rPr>
        <w:rFonts w:ascii="Times New Roman" w:hAnsi="Times New Roman" w:cs="Times New Roman"/>
        <w:color w:val="auto"/>
        <w:sz w:val="21"/>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3E94F35"/>
    <w:multiLevelType w:val="hybridMultilevel"/>
    <w:tmpl w:val="283C0CDE"/>
    <w:lvl w:ilvl="0" w:tplc="5A644958">
      <w:start w:val="1"/>
      <w:numFmt w:val="lowerLetter"/>
      <w:lvlText w:val="(%1)"/>
      <w:lvlJc w:val="left"/>
      <w:pPr>
        <w:ind w:left="1128" w:hanging="696"/>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3">
    <w:nsid w:val="56CA53CF"/>
    <w:multiLevelType w:val="hybridMultilevel"/>
    <w:tmpl w:val="D10A22CA"/>
    <w:lvl w:ilvl="0" w:tplc="0F16002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76D2A2D"/>
    <w:multiLevelType w:val="hybridMultilevel"/>
    <w:tmpl w:val="A8705A1E"/>
    <w:lvl w:ilvl="0" w:tplc="E0E8A16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7C0C7C22">
      <w:start w:val="1"/>
      <w:numFmt w:val="lowerLetter"/>
      <w:lvlRestart w:val="0"/>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7E5293D"/>
    <w:multiLevelType w:val="hybridMultilevel"/>
    <w:tmpl w:val="D62E2CD8"/>
    <w:lvl w:ilvl="0" w:tplc="AEBCFB2E">
      <w:start w:val="1"/>
      <w:numFmt w:val="lowerLetter"/>
      <w:lvlText w:val="(%1)"/>
      <w:lvlJc w:val="left"/>
      <w:pPr>
        <w:ind w:left="2592" w:hanging="384"/>
      </w:pPr>
      <w:rPr>
        <w:rFonts w:hint="default"/>
      </w:rPr>
    </w:lvl>
    <w:lvl w:ilvl="1" w:tplc="04090019" w:tentative="1">
      <w:start w:val="1"/>
      <w:numFmt w:val="lowerLetter"/>
      <w:lvlText w:val="%2."/>
      <w:lvlJc w:val="left"/>
      <w:pPr>
        <w:ind w:left="3288" w:hanging="360"/>
      </w:pPr>
    </w:lvl>
    <w:lvl w:ilvl="2" w:tplc="0409001B" w:tentative="1">
      <w:start w:val="1"/>
      <w:numFmt w:val="lowerRoman"/>
      <w:lvlText w:val="%3."/>
      <w:lvlJc w:val="right"/>
      <w:pPr>
        <w:ind w:left="4008" w:hanging="180"/>
      </w:pPr>
    </w:lvl>
    <w:lvl w:ilvl="3" w:tplc="0409000F" w:tentative="1">
      <w:start w:val="1"/>
      <w:numFmt w:val="decimal"/>
      <w:lvlText w:val="%4."/>
      <w:lvlJc w:val="left"/>
      <w:pPr>
        <w:ind w:left="4728" w:hanging="360"/>
      </w:pPr>
    </w:lvl>
    <w:lvl w:ilvl="4" w:tplc="04090019" w:tentative="1">
      <w:start w:val="1"/>
      <w:numFmt w:val="lowerLetter"/>
      <w:lvlText w:val="%5."/>
      <w:lvlJc w:val="left"/>
      <w:pPr>
        <w:ind w:left="5448" w:hanging="360"/>
      </w:pPr>
    </w:lvl>
    <w:lvl w:ilvl="5" w:tplc="0409001B" w:tentative="1">
      <w:start w:val="1"/>
      <w:numFmt w:val="lowerRoman"/>
      <w:lvlText w:val="%6."/>
      <w:lvlJc w:val="right"/>
      <w:pPr>
        <w:ind w:left="6168" w:hanging="180"/>
      </w:pPr>
    </w:lvl>
    <w:lvl w:ilvl="6" w:tplc="0409000F" w:tentative="1">
      <w:start w:val="1"/>
      <w:numFmt w:val="decimal"/>
      <w:lvlText w:val="%7."/>
      <w:lvlJc w:val="left"/>
      <w:pPr>
        <w:ind w:left="6888" w:hanging="360"/>
      </w:pPr>
    </w:lvl>
    <w:lvl w:ilvl="7" w:tplc="04090019" w:tentative="1">
      <w:start w:val="1"/>
      <w:numFmt w:val="lowerLetter"/>
      <w:lvlText w:val="%8."/>
      <w:lvlJc w:val="left"/>
      <w:pPr>
        <w:ind w:left="7608" w:hanging="360"/>
      </w:pPr>
    </w:lvl>
    <w:lvl w:ilvl="8" w:tplc="0409001B" w:tentative="1">
      <w:start w:val="1"/>
      <w:numFmt w:val="lowerRoman"/>
      <w:lvlText w:val="%9."/>
      <w:lvlJc w:val="right"/>
      <w:pPr>
        <w:ind w:left="8328" w:hanging="180"/>
      </w:pPr>
    </w:lvl>
  </w:abstractNum>
  <w:abstractNum w:abstractNumId="26">
    <w:nsid w:val="5CE5031D"/>
    <w:multiLevelType w:val="hybridMultilevel"/>
    <w:tmpl w:val="BDC49D8E"/>
    <w:lvl w:ilvl="0" w:tplc="E8FCBFF6">
      <w:start w:val="1"/>
      <w:numFmt w:val="lowerLetter"/>
      <w:lvlText w:val="(%1)"/>
      <w:lvlJc w:val="left"/>
      <w:pPr>
        <w:ind w:left="1128" w:hanging="696"/>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67630A5D"/>
    <w:multiLevelType w:val="hybridMultilevel"/>
    <w:tmpl w:val="EE42220C"/>
    <w:lvl w:ilvl="0" w:tplc="802213C0">
      <w:start w:val="1"/>
      <w:numFmt w:val="lowerLetter"/>
      <w:lvlText w:val="(%1)"/>
      <w:lvlJc w:val="left"/>
      <w:pPr>
        <w:ind w:left="1128" w:hanging="696"/>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9">
    <w:nsid w:val="74A40799"/>
    <w:multiLevelType w:val="hybridMultilevel"/>
    <w:tmpl w:val="328EE040"/>
    <w:lvl w:ilvl="0" w:tplc="E25A330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7762B29"/>
    <w:multiLevelType w:val="hybridMultilevel"/>
    <w:tmpl w:val="A8624224"/>
    <w:lvl w:ilvl="0" w:tplc="0A3A9DF0">
      <w:start w:val="1"/>
      <w:numFmt w:val="lowerLetter"/>
      <w:lvlText w:val="(%1)"/>
      <w:lvlJc w:val="left"/>
      <w:pPr>
        <w:ind w:left="1128" w:hanging="696"/>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1">
    <w:nsid w:val="79130FD6"/>
    <w:multiLevelType w:val="hybridMultilevel"/>
    <w:tmpl w:val="72EAD970"/>
    <w:lvl w:ilvl="0" w:tplc="910290D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91F67F0"/>
    <w:multiLevelType w:val="hybridMultilevel"/>
    <w:tmpl w:val="B9A8E492"/>
    <w:lvl w:ilvl="0" w:tplc="7B1C3F4E">
      <w:start w:val="1"/>
      <w:numFmt w:val="lowerLetter"/>
      <w:lvlRestart w:val="0"/>
      <w:lvlText w:val="(%1)"/>
      <w:lvlJc w:val="left"/>
      <w:pPr>
        <w:tabs>
          <w:tab w:val="num" w:pos="2426"/>
        </w:tabs>
        <w:ind w:left="1134" w:firstLine="431"/>
      </w:pPr>
    </w:lvl>
    <w:lvl w:ilvl="1" w:tplc="4A3C692A">
      <w:start w:val="1"/>
      <w:numFmt w:val="japaneseCounting"/>
      <w:lvlText w:val="(%2)"/>
      <w:lvlJc w:val="left"/>
      <w:pPr>
        <w:ind w:left="3504" w:hanging="2424"/>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67273C"/>
    <w:multiLevelType w:val="hybridMultilevel"/>
    <w:tmpl w:val="AA1EC05E"/>
    <w:lvl w:ilvl="0" w:tplc="A784FC4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B216C08"/>
    <w:multiLevelType w:val="hybridMultilevel"/>
    <w:tmpl w:val="125EEB6A"/>
    <w:lvl w:ilvl="0" w:tplc="D1B22D52">
      <w:start w:val="1"/>
      <w:numFmt w:val="lowerLetter"/>
      <w:lvlText w:val="(%1)"/>
      <w:lvlJc w:val="left"/>
      <w:pPr>
        <w:ind w:left="1128" w:hanging="696"/>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num w:numId="1">
    <w:abstractNumId w:val="4"/>
  </w:num>
  <w:num w:numId="2">
    <w:abstractNumId w:val="27"/>
  </w:num>
  <w:num w:numId="3">
    <w:abstractNumId w:val="5"/>
  </w:num>
  <w:num w:numId="4">
    <w:abstractNumId w:val="0"/>
  </w:num>
  <w:num w:numId="5">
    <w:abstractNumId w:val="8"/>
  </w:num>
  <w:num w:numId="6">
    <w:abstractNumId w:val="25"/>
  </w:num>
  <w:num w:numId="7">
    <w:abstractNumId w:val="9"/>
  </w:num>
  <w:num w:numId="8">
    <w:abstractNumId w:val="17"/>
  </w:num>
  <w:num w:numId="9">
    <w:abstractNumId w:val="7"/>
  </w:num>
  <w:num w:numId="10">
    <w:abstractNumId w:val="1"/>
  </w:num>
  <w:num w:numId="11">
    <w:abstractNumId w:val="16"/>
  </w:num>
  <w:num w:numId="12">
    <w:abstractNumId w:val="11"/>
  </w:num>
  <w:num w:numId="13">
    <w:abstractNumId w:val="3"/>
  </w:num>
  <w:num w:numId="14">
    <w:abstractNumId w:val="18"/>
  </w:num>
  <w:num w:numId="15">
    <w:abstractNumId w:val="30"/>
  </w:num>
  <w:num w:numId="16">
    <w:abstractNumId w:val="31"/>
  </w:num>
  <w:num w:numId="17">
    <w:abstractNumId w:val="22"/>
  </w:num>
  <w:num w:numId="18">
    <w:abstractNumId w:val="29"/>
  </w:num>
  <w:num w:numId="19">
    <w:abstractNumId w:val="14"/>
  </w:num>
  <w:num w:numId="20">
    <w:abstractNumId w:val="20"/>
  </w:num>
  <w:num w:numId="21">
    <w:abstractNumId w:val="2"/>
  </w:num>
  <w:num w:numId="22">
    <w:abstractNumId w:val="12"/>
  </w:num>
  <w:num w:numId="23">
    <w:abstractNumId w:val="26"/>
  </w:num>
  <w:num w:numId="24">
    <w:abstractNumId w:val="23"/>
  </w:num>
  <w:num w:numId="25">
    <w:abstractNumId w:val="19"/>
  </w:num>
  <w:num w:numId="26">
    <w:abstractNumId w:val="10"/>
  </w:num>
  <w:num w:numId="27">
    <w:abstractNumId w:val="34"/>
  </w:num>
  <w:num w:numId="28">
    <w:abstractNumId w:val="6"/>
  </w:num>
  <w:num w:numId="29">
    <w:abstractNumId w:val="15"/>
  </w:num>
  <w:num w:numId="30">
    <w:abstractNumId w:val="32"/>
  </w:num>
  <w:num w:numId="31">
    <w:abstractNumId w:val="28"/>
  </w:num>
  <w:num w:numId="32">
    <w:abstractNumId w:val="21"/>
  </w:num>
  <w:num w:numId="33">
    <w:abstractNumId w:val="13"/>
  </w:num>
  <w:num w:numId="34">
    <w:abstractNumId w:val="24"/>
  </w:num>
  <w:num w:numId="3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4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466C"/>
    <w:rsid w:val="00011483"/>
    <w:rsid w:val="000D319F"/>
    <w:rsid w:val="000E4D0E"/>
    <w:rsid w:val="00144B69"/>
    <w:rsid w:val="00153E86"/>
    <w:rsid w:val="001B1BD1"/>
    <w:rsid w:val="001C1E38"/>
    <w:rsid w:val="001C3EF2"/>
    <w:rsid w:val="001D17F6"/>
    <w:rsid w:val="00204B42"/>
    <w:rsid w:val="002231C3"/>
    <w:rsid w:val="002233E4"/>
    <w:rsid w:val="0024417F"/>
    <w:rsid w:val="00250F8D"/>
    <w:rsid w:val="002E1C97"/>
    <w:rsid w:val="002F5834"/>
    <w:rsid w:val="00326EBF"/>
    <w:rsid w:val="00327FE4"/>
    <w:rsid w:val="00387415"/>
    <w:rsid w:val="00396631"/>
    <w:rsid w:val="003A0BD1"/>
    <w:rsid w:val="003D7D4D"/>
    <w:rsid w:val="00413D23"/>
    <w:rsid w:val="00427F63"/>
    <w:rsid w:val="004A17D1"/>
    <w:rsid w:val="004C4A0A"/>
    <w:rsid w:val="004D62AF"/>
    <w:rsid w:val="00543EBA"/>
    <w:rsid w:val="005B643A"/>
    <w:rsid w:val="005E403A"/>
    <w:rsid w:val="00680656"/>
    <w:rsid w:val="006B1119"/>
    <w:rsid w:val="006E3E46"/>
    <w:rsid w:val="006E71B1"/>
    <w:rsid w:val="00705D89"/>
    <w:rsid w:val="00731A42"/>
    <w:rsid w:val="00767E69"/>
    <w:rsid w:val="0077079A"/>
    <w:rsid w:val="007A5599"/>
    <w:rsid w:val="007A792B"/>
    <w:rsid w:val="00856233"/>
    <w:rsid w:val="00860F27"/>
    <w:rsid w:val="00864CA4"/>
    <w:rsid w:val="008B0560"/>
    <w:rsid w:val="008B2BFA"/>
    <w:rsid w:val="00936F03"/>
    <w:rsid w:val="00943B69"/>
    <w:rsid w:val="00944CB3"/>
    <w:rsid w:val="00956C30"/>
    <w:rsid w:val="009B09D7"/>
    <w:rsid w:val="009D35ED"/>
    <w:rsid w:val="009D6F00"/>
    <w:rsid w:val="00A03CB6"/>
    <w:rsid w:val="00A1364C"/>
    <w:rsid w:val="00A21076"/>
    <w:rsid w:val="00A3739A"/>
    <w:rsid w:val="00A52DAF"/>
    <w:rsid w:val="00A84072"/>
    <w:rsid w:val="00A859BF"/>
    <w:rsid w:val="00AA7424"/>
    <w:rsid w:val="00AC053A"/>
    <w:rsid w:val="00B16570"/>
    <w:rsid w:val="00B53320"/>
    <w:rsid w:val="00B55087"/>
    <w:rsid w:val="00B81FE6"/>
    <w:rsid w:val="00BC6522"/>
    <w:rsid w:val="00C121D5"/>
    <w:rsid w:val="00C17349"/>
    <w:rsid w:val="00C351AA"/>
    <w:rsid w:val="00C55B7D"/>
    <w:rsid w:val="00C7253F"/>
    <w:rsid w:val="00D26A05"/>
    <w:rsid w:val="00D97B98"/>
    <w:rsid w:val="00DC671F"/>
    <w:rsid w:val="00DE4DA7"/>
    <w:rsid w:val="00E13BAC"/>
    <w:rsid w:val="00E33B38"/>
    <w:rsid w:val="00E47FE5"/>
    <w:rsid w:val="00E574AF"/>
    <w:rsid w:val="00E735D2"/>
    <w:rsid w:val="00F1466C"/>
    <w:rsid w:val="00F714DA"/>
    <w:rsid w:val="00F90004"/>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Normal">
    <w:name w:val="Normal"/>
    <w:qFormat/>
    <w:rsid w:val="00A1364C"/>
    <w:pPr>
      <w:tabs>
        <w:tab w:val="left" w:pos="431"/>
      </w:tabs>
      <w:overflowPunct w:val="0"/>
      <w:adjustRightInd w:val="0"/>
      <w:snapToGrid w:val="0"/>
      <w:spacing w:line="320" w:lineRule="exact"/>
      <w:jc w:val="both"/>
    </w:pPr>
    <w:rPr>
      <w:snapToGrid w:val="0"/>
      <w:sz w:val="21"/>
    </w:rPr>
  </w:style>
  <w:style w:type="paragraph" w:styleId="Heading1">
    <w:name w:val="heading 1"/>
    <w:basedOn w:val="Normal"/>
    <w:next w:val="Normal"/>
    <w:link w:val="Heading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basedOn w:val="Normal"/>
    <w:link w:val="FootnoteTextChar"/>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FootnoteTextChar">
    <w:name w:val="Footnote Text Char"/>
    <w:basedOn w:val="DefaultParagraphFont"/>
    <w:link w:val="FootnoteText"/>
    <w:rsid w:val="00956C30"/>
    <w:rPr>
      <w:snapToGrid w:val="0"/>
      <w:sz w:val="18"/>
      <w:szCs w:val="18"/>
    </w:rPr>
  </w:style>
  <w:style w:type="character" w:styleId="FootnoteReference">
    <w:name w:val="footnote reference"/>
    <w:basedOn w:val="DefaultParagraphFont"/>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956C30"/>
    <w:pPr>
      <w:tabs>
        <w:tab w:val="left" w:pos="1134"/>
        <w:tab w:val="left" w:pos="1565"/>
        <w:tab w:val="left" w:pos="1996"/>
        <w:tab w:val="left" w:pos="2427"/>
      </w:tabs>
      <w:spacing w:after="120"/>
      <w:ind w:left="1565" w:right="1134"/>
    </w:pPr>
    <w:rPr>
      <w:szCs w:val="21"/>
    </w:rPr>
  </w:style>
  <w:style w:type="paragraph" w:styleId="EndnoteText">
    <w:name w:val="endnote text"/>
    <w:basedOn w:val="FootnoteText"/>
    <w:link w:val="EndnoteTextChar"/>
    <w:qFormat/>
    <w:rsid w:val="00956C30"/>
    <w:pPr>
      <w:keepLines w:val="0"/>
      <w:spacing w:after="0"/>
    </w:pPr>
  </w:style>
  <w:style w:type="character" w:customStyle="1" w:styleId="EndnoteTextChar">
    <w:name w:val="Endnote Text Char"/>
    <w:basedOn w:val="DefaultParagraphFont"/>
    <w:link w:val="EndnoteText"/>
    <w:rsid w:val="00956C30"/>
    <w:rPr>
      <w:snapToGrid w:val="0"/>
      <w:sz w:val="18"/>
      <w:szCs w:val="18"/>
    </w:rPr>
  </w:style>
  <w:style w:type="character" w:styleId="EndnoteReference">
    <w:name w:val="endnote reference"/>
    <w:basedOn w:val="Footnote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5">
    <w:name w:val="悬挂"/>
    <w:basedOn w:val="Normal"/>
    <w:qFormat/>
    <w:rsid w:val="00D97B98"/>
    <w:pPr>
      <w:tabs>
        <w:tab w:val="left" w:pos="1134"/>
        <w:tab w:val="left" w:pos="1565"/>
        <w:tab w:val="left" w:pos="1996"/>
        <w:tab w:val="left" w:pos="2427"/>
      </w:tabs>
      <w:spacing w:after="120"/>
      <w:ind w:left="1565" w:right="1134" w:hanging="431"/>
    </w:pPr>
  </w:style>
  <w:style w:type="paragraph" w:styleId="Footer">
    <w:name w:val="footer"/>
    <w:basedOn w:val="Normal"/>
    <w:link w:val="FooterChar"/>
    <w:qFormat/>
    <w:rsid w:val="002233E4"/>
    <w:pPr>
      <w:overflowPunct/>
      <w:spacing w:line="240" w:lineRule="auto"/>
      <w:jc w:val="left"/>
    </w:pPr>
    <w:rPr>
      <w:rFonts w:eastAsia="Times New Roman"/>
      <w:sz w:val="16"/>
      <w:szCs w:val="16"/>
      <w:lang w:val="en-GB" w:eastAsia="en-US"/>
    </w:rPr>
  </w:style>
  <w:style w:type="character" w:customStyle="1" w:styleId="FooterChar">
    <w:name w:val="Footer Char"/>
    <w:basedOn w:val="DefaultParagraphFont"/>
    <w:link w:val="Footer"/>
    <w:rsid w:val="002233E4"/>
    <w:rPr>
      <w:rFonts w:eastAsia="Times New Roman"/>
      <w:snapToGrid w:val="0"/>
      <w:sz w:val="16"/>
      <w:szCs w:val="16"/>
      <w:lang w:val="en-GB" w:eastAsia="en-US"/>
    </w:rPr>
  </w:style>
  <w:style w:type="character" w:styleId="PageNumber">
    <w:name w:val="page number"/>
    <w:basedOn w:val="DefaultParagraphFont"/>
    <w:qFormat/>
    <w:rsid w:val="002233E4"/>
    <w:rPr>
      <w:rFonts w:ascii="Times New Roman" w:hAnsi="Times New Roman"/>
      <w:b/>
      <w:i w:val="0"/>
      <w:snapToGrid w:val="0"/>
      <w:spacing w:val="0"/>
      <w:kern w:val="0"/>
      <w:sz w:val="18"/>
      <w14:cntxtAlts w14:val="0"/>
    </w:rPr>
  </w:style>
  <w:style w:type="paragraph" w:styleId="Header">
    <w:name w:val="header"/>
    <w:basedOn w:val="Normal"/>
    <w:link w:val="HeaderChar"/>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basedOn w:val="DefaultParagraphFont"/>
    <w:link w:val="Header"/>
    <w:rsid w:val="002233E4"/>
    <w:rPr>
      <w:rFonts w:eastAsia="Times New Roman"/>
      <w:b/>
      <w:snapToGrid w:val="0"/>
      <w:sz w:val="18"/>
      <w:szCs w:val="18"/>
      <w:lang w:val="en-GB" w:eastAsia="en-US"/>
    </w:rPr>
  </w:style>
  <w:style w:type="character" w:customStyle="1" w:styleId="Heading1Char">
    <w:name w:val="Heading 1 Char"/>
    <w:basedOn w:val="DefaultParagraphFont"/>
    <w:link w:val="Heading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uiPriority w:val="9"/>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uiPriority w:val="9"/>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uiPriority w:val="9"/>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uiPriority w:val="9"/>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uiPriority w:val="9"/>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uiPriority w:val="9"/>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uiPriority w:val="9"/>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uiPriority w:val="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Normal">
    <w:name w:val="Normal"/>
    <w:qFormat/>
    <w:rsid w:val="00A1364C"/>
    <w:pPr>
      <w:tabs>
        <w:tab w:val="left" w:pos="431"/>
      </w:tabs>
      <w:overflowPunct w:val="0"/>
      <w:adjustRightInd w:val="0"/>
      <w:snapToGrid w:val="0"/>
      <w:spacing w:line="320" w:lineRule="exact"/>
      <w:jc w:val="both"/>
    </w:pPr>
    <w:rPr>
      <w:snapToGrid w:val="0"/>
      <w:sz w:val="21"/>
    </w:rPr>
  </w:style>
  <w:style w:type="paragraph" w:styleId="Heading1">
    <w:name w:val="heading 1"/>
    <w:basedOn w:val="Normal"/>
    <w:next w:val="Normal"/>
    <w:link w:val="Heading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basedOn w:val="Normal"/>
    <w:link w:val="FootnoteTextChar"/>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FootnoteTextChar">
    <w:name w:val="Footnote Text Char"/>
    <w:basedOn w:val="DefaultParagraphFont"/>
    <w:link w:val="FootnoteText"/>
    <w:rsid w:val="00956C30"/>
    <w:rPr>
      <w:snapToGrid w:val="0"/>
      <w:sz w:val="18"/>
      <w:szCs w:val="18"/>
    </w:rPr>
  </w:style>
  <w:style w:type="character" w:styleId="FootnoteReference">
    <w:name w:val="footnote reference"/>
    <w:basedOn w:val="DefaultParagraphFont"/>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956C30"/>
    <w:pPr>
      <w:tabs>
        <w:tab w:val="left" w:pos="1134"/>
        <w:tab w:val="left" w:pos="1565"/>
        <w:tab w:val="left" w:pos="1996"/>
        <w:tab w:val="left" w:pos="2427"/>
      </w:tabs>
      <w:spacing w:after="120"/>
      <w:ind w:left="1565" w:right="1134"/>
    </w:pPr>
    <w:rPr>
      <w:szCs w:val="21"/>
    </w:rPr>
  </w:style>
  <w:style w:type="paragraph" w:styleId="EndnoteText">
    <w:name w:val="endnote text"/>
    <w:basedOn w:val="FootnoteText"/>
    <w:link w:val="EndnoteTextChar"/>
    <w:qFormat/>
    <w:rsid w:val="00956C30"/>
    <w:pPr>
      <w:keepLines w:val="0"/>
      <w:spacing w:after="0"/>
    </w:pPr>
  </w:style>
  <w:style w:type="character" w:customStyle="1" w:styleId="EndnoteTextChar">
    <w:name w:val="Endnote Text Char"/>
    <w:basedOn w:val="DefaultParagraphFont"/>
    <w:link w:val="EndnoteText"/>
    <w:rsid w:val="00956C30"/>
    <w:rPr>
      <w:snapToGrid w:val="0"/>
      <w:sz w:val="18"/>
      <w:szCs w:val="18"/>
    </w:rPr>
  </w:style>
  <w:style w:type="character" w:styleId="EndnoteReference">
    <w:name w:val="endnote reference"/>
    <w:basedOn w:val="Footnote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5">
    <w:name w:val="悬挂"/>
    <w:basedOn w:val="Normal"/>
    <w:qFormat/>
    <w:rsid w:val="00D97B98"/>
    <w:pPr>
      <w:tabs>
        <w:tab w:val="left" w:pos="1134"/>
        <w:tab w:val="left" w:pos="1565"/>
        <w:tab w:val="left" w:pos="1996"/>
        <w:tab w:val="left" w:pos="2427"/>
      </w:tabs>
      <w:spacing w:after="120"/>
      <w:ind w:left="1565" w:right="1134" w:hanging="431"/>
    </w:pPr>
  </w:style>
  <w:style w:type="paragraph" w:styleId="Footer">
    <w:name w:val="footer"/>
    <w:basedOn w:val="Normal"/>
    <w:link w:val="FooterChar"/>
    <w:qFormat/>
    <w:rsid w:val="002233E4"/>
    <w:pPr>
      <w:overflowPunct/>
      <w:spacing w:line="240" w:lineRule="auto"/>
      <w:jc w:val="left"/>
    </w:pPr>
    <w:rPr>
      <w:rFonts w:eastAsia="Times New Roman"/>
      <w:sz w:val="16"/>
      <w:szCs w:val="16"/>
      <w:lang w:val="en-GB" w:eastAsia="en-US"/>
    </w:rPr>
  </w:style>
  <w:style w:type="character" w:customStyle="1" w:styleId="FooterChar">
    <w:name w:val="Footer Char"/>
    <w:basedOn w:val="DefaultParagraphFont"/>
    <w:link w:val="Footer"/>
    <w:rsid w:val="002233E4"/>
    <w:rPr>
      <w:rFonts w:eastAsia="Times New Roman"/>
      <w:snapToGrid w:val="0"/>
      <w:sz w:val="16"/>
      <w:szCs w:val="16"/>
      <w:lang w:val="en-GB" w:eastAsia="en-US"/>
    </w:rPr>
  </w:style>
  <w:style w:type="character" w:styleId="PageNumber">
    <w:name w:val="page number"/>
    <w:basedOn w:val="DefaultParagraphFont"/>
    <w:qFormat/>
    <w:rsid w:val="002233E4"/>
    <w:rPr>
      <w:rFonts w:ascii="Times New Roman" w:hAnsi="Times New Roman"/>
      <w:b/>
      <w:i w:val="0"/>
      <w:snapToGrid w:val="0"/>
      <w:spacing w:val="0"/>
      <w:kern w:val="0"/>
      <w:sz w:val="18"/>
      <w14:cntxtAlts w14:val="0"/>
    </w:rPr>
  </w:style>
  <w:style w:type="paragraph" w:styleId="Header">
    <w:name w:val="header"/>
    <w:basedOn w:val="Normal"/>
    <w:link w:val="HeaderChar"/>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basedOn w:val="DefaultParagraphFont"/>
    <w:link w:val="Header"/>
    <w:rsid w:val="002233E4"/>
    <w:rPr>
      <w:rFonts w:eastAsia="Times New Roman"/>
      <w:b/>
      <w:snapToGrid w:val="0"/>
      <w:sz w:val="18"/>
      <w:szCs w:val="18"/>
      <w:lang w:val="en-GB" w:eastAsia="en-US"/>
    </w:rPr>
  </w:style>
  <w:style w:type="character" w:customStyle="1" w:styleId="Heading1Char">
    <w:name w:val="Heading 1 Char"/>
    <w:basedOn w:val="DefaultParagraphFont"/>
    <w:link w:val="Heading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uiPriority w:val="9"/>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uiPriority w:val="9"/>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uiPriority w:val="9"/>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uiPriority w:val="9"/>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uiPriority w:val="9"/>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uiPriority w:val="9"/>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uiPriority w:val="9"/>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uiPriority w:val="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C:\Cover%20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DCC30-9239-45BD-9B77-73E11448F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15</Pages>
  <Words>1884</Words>
  <Characters>10740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1608075</vt:lpstr>
    </vt:vector>
  </TitlesOfParts>
  <Company>DCM</Company>
  <LinksUpToDate>false</LinksUpToDate>
  <CharactersWithSpaces>12599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1608075</dc:title>
  <dc:subject>CMW/C/SEN/CO/2-3</dc:subject>
  <dc:creator>Xin</dc:creator>
  <cp:lastModifiedBy>yangw</cp:lastModifiedBy>
  <cp:revision>2</cp:revision>
  <cp:lastPrinted>2014-05-09T11:28:00Z</cp:lastPrinted>
  <dcterms:created xsi:type="dcterms:W3CDTF">2016-10-10T09:41:00Z</dcterms:created>
  <dcterms:modified xsi:type="dcterms:W3CDTF">2016-10-10T09:41:00Z</dcterms:modified>
</cp:coreProperties>
</file>