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1132A2F8" w14:textId="77777777" w:rsidTr="00213632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42327A03" w14:textId="77777777" w:rsidR="002D5AAC" w:rsidRDefault="002D5AAC" w:rsidP="00CD034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257FAD2B" w14:textId="77777777"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2E230990" w14:textId="4D9DE791" w:rsidR="002D5AAC" w:rsidRDefault="00CD0342" w:rsidP="00CD0342">
            <w:pPr>
              <w:jc w:val="right"/>
            </w:pPr>
            <w:r w:rsidRPr="00CD0342">
              <w:rPr>
                <w:sz w:val="40"/>
              </w:rPr>
              <w:t>CERD</w:t>
            </w:r>
            <w:r>
              <w:t>/C/CMR/Q/22-23</w:t>
            </w:r>
          </w:p>
        </w:tc>
      </w:tr>
      <w:tr w:rsidR="002D5AAC" w14:paraId="19778AD6" w14:textId="77777777" w:rsidTr="00213632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5EA2CCC6" w14:textId="77777777"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5919F590" wp14:editId="53EE6B1B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696A91D" w14:textId="77777777"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5E0B7257" w14:textId="77777777" w:rsidR="002D5AAC" w:rsidRDefault="00CD0342" w:rsidP="00213632">
            <w:pPr>
              <w:spacing w:before="240"/>
            </w:pPr>
            <w:r>
              <w:t>Distr. general</w:t>
            </w:r>
          </w:p>
          <w:p w14:paraId="75241B90" w14:textId="77777777" w:rsidR="00CD0342" w:rsidRDefault="00CD0342" w:rsidP="00CD0342">
            <w:pPr>
              <w:spacing w:line="240" w:lineRule="exact"/>
            </w:pPr>
            <w:r>
              <w:t>10 de febrero de 2022</w:t>
            </w:r>
          </w:p>
          <w:p w14:paraId="717B6CD6" w14:textId="77777777" w:rsidR="00CD0342" w:rsidRDefault="00CD0342" w:rsidP="00CD0342">
            <w:pPr>
              <w:spacing w:line="240" w:lineRule="exact"/>
            </w:pPr>
            <w:r>
              <w:t>Español</w:t>
            </w:r>
          </w:p>
          <w:p w14:paraId="7A038F08" w14:textId="77777777" w:rsidR="00CD0342" w:rsidRDefault="00CD0342" w:rsidP="00CD0342">
            <w:pPr>
              <w:spacing w:line="240" w:lineRule="exact"/>
            </w:pPr>
            <w:r>
              <w:t>Original: francés</w:t>
            </w:r>
          </w:p>
          <w:p w14:paraId="7CE28790" w14:textId="45B3CDBA" w:rsidR="00CD0342" w:rsidRDefault="00CD0342" w:rsidP="00CD0342">
            <w:pPr>
              <w:spacing w:line="240" w:lineRule="exact"/>
            </w:pPr>
            <w:r>
              <w:t>Español, francés e inglés únicamente</w:t>
            </w:r>
          </w:p>
        </w:tc>
      </w:tr>
    </w:tbl>
    <w:p w14:paraId="1FAF0F7C" w14:textId="77777777" w:rsidR="00CD0342" w:rsidRPr="00CD0342" w:rsidRDefault="00CD0342" w:rsidP="00CD0342">
      <w:pPr>
        <w:spacing w:before="120" w:line="240" w:lineRule="auto"/>
        <w:rPr>
          <w:b/>
          <w:sz w:val="24"/>
          <w:szCs w:val="24"/>
        </w:rPr>
      </w:pPr>
      <w:r w:rsidRPr="00CD0342">
        <w:rPr>
          <w:b/>
          <w:bCs/>
          <w:sz w:val="24"/>
          <w:szCs w:val="24"/>
        </w:rPr>
        <w:t>Comité para la Eliminación de la Discriminación Racial</w:t>
      </w:r>
    </w:p>
    <w:p w14:paraId="19F1DE5E" w14:textId="77777777" w:rsidR="00CD0342" w:rsidRPr="00CD0342" w:rsidRDefault="00CD0342" w:rsidP="00CD0342">
      <w:pPr>
        <w:spacing w:line="240" w:lineRule="auto"/>
        <w:rPr>
          <w:b/>
        </w:rPr>
      </w:pPr>
      <w:r w:rsidRPr="00CD0342">
        <w:rPr>
          <w:b/>
          <w:bCs/>
        </w:rPr>
        <w:t>106º período de sesiones</w:t>
      </w:r>
    </w:p>
    <w:p w14:paraId="6EEC7936" w14:textId="77777777" w:rsidR="00CD0342" w:rsidRPr="00CD0342" w:rsidRDefault="00CD0342" w:rsidP="00CD0342">
      <w:pPr>
        <w:spacing w:line="240" w:lineRule="auto"/>
      </w:pPr>
      <w:r w:rsidRPr="00CD0342">
        <w:t>11 a 29 de abril de 2022</w:t>
      </w:r>
    </w:p>
    <w:p w14:paraId="00F30E3F" w14:textId="77777777" w:rsidR="00CD0342" w:rsidRPr="00CD0342" w:rsidRDefault="00CD0342" w:rsidP="00CD0342">
      <w:pPr>
        <w:spacing w:line="240" w:lineRule="auto"/>
      </w:pPr>
      <w:r w:rsidRPr="00CD0342">
        <w:t>Tema 6 del programa provisional</w:t>
      </w:r>
    </w:p>
    <w:p w14:paraId="1DFDB370" w14:textId="77777777" w:rsidR="00CD0342" w:rsidRDefault="00CD0342" w:rsidP="00CD0342">
      <w:pPr>
        <w:spacing w:line="240" w:lineRule="auto"/>
        <w:rPr>
          <w:b/>
          <w:bCs/>
        </w:rPr>
      </w:pPr>
      <w:r w:rsidRPr="00CD0342">
        <w:rPr>
          <w:b/>
          <w:bCs/>
        </w:rPr>
        <w:t xml:space="preserve">Examen de los informes, las observaciones y la información presentados </w:t>
      </w:r>
    </w:p>
    <w:p w14:paraId="077643A8" w14:textId="72937508" w:rsidR="00CD0342" w:rsidRPr="00CD0342" w:rsidRDefault="00CD0342" w:rsidP="00CD0342">
      <w:pPr>
        <w:spacing w:line="240" w:lineRule="auto"/>
        <w:rPr>
          <w:b/>
          <w:bCs/>
        </w:rPr>
      </w:pPr>
      <w:r w:rsidRPr="00CD0342">
        <w:rPr>
          <w:b/>
          <w:bCs/>
        </w:rPr>
        <w:t>por los Estados partes en virtud del artículo 9 de la Convención</w:t>
      </w:r>
    </w:p>
    <w:p w14:paraId="5F0E436C" w14:textId="7A319781" w:rsidR="00CD0342" w:rsidRPr="00CD0342" w:rsidRDefault="00CD0342" w:rsidP="00CD0342">
      <w:pPr>
        <w:pStyle w:val="HChG"/>
      </w:pPr>
      <w:r>
        <w:tab/>
      </w:r>
      <w:r w:rsidRPr="00CD0342">
        <w:tab/>
        <w:t>Lista de temas relativa a los informes periódicos 22º y</w:t>
      </w:r>
      <w:r>
        <w:t> </w:t>
      </w:r>
      <w:r w:rsidRPr="00CD0342">
        <w:t>23º</w:t>
      </w:r>
      <w:r>
        <w:t> </w:t>
      </w:r>
      <w:r w:rsidRPr="00CD0342">
        <w:t>combinados del Camerún</w:t>
      </w:r>
    </w:p>
    <w:p w14:paraId="413D5ED6" w14:textId="6DFB4F9B" w:rsidR="00CD0342" w:rsidRPr="00CD0342" w:rsidRDefault="00CD0342" w:rsidP="00CD0342">
      <w:pPr>
        <w:pStyle w:val="H1G"/>
      </w:pPr>
      <w:r w:rsidRPr="00CD0342">
        <w:tab/>
      </w:r>
      <w:r>
        <w:tab/>
      </w:r>
      <w:r w:rsidRPr="00CD0342">
        <w:t>Nota de la Relatora para el país</w:t>
      </w:r>
      <w:r w:rsidRPr="00CD0342">
        <w:rPr>
          <w:rStyle w:val="Refdenotaalpie"/>
          <w:b w:val="0"/>
          <w:bCs/>
          <w:sz w:val="20"/>
          <w:vertAlign w:val="baseline"/>
        </w:rPr>
        <w:footnoteReference w:customMarkFollows="1" w:id="1"/>
        <w:t>*</w:t>
      </w:r>
    </w:p>
    <w:p w14:paraId="6A6C1CBE" w14:textId="14C09F11" w:rsidR="00CD0342" w:rsidRPr="00CD0342" w:rsidRDefault="00CD0342" w:rsidP="00CD0342">
      <w:pPr>
        <w:pStyle w:val="SingleTxtG"/>
      </w:pPr>
      <w:r w:rsidRPr="00CD0342">
        <w:t>1.</w:t>
      </w:r>
      <w:r w:rsidRPr="00CD0342">
        <w:tab/>
        <w:t>El Comité para la Eliminación de la Discriminación Racial decidió en su 76º período de sesiones</w:t>
      </w:r>
      <w:r w:rsidRPr="00CD0342">
        <w:rPr>
          <w:rStyle w:val="Refdenotaalpie"/>
        </w:rPr>
        <w:footnoteReference w:id="2"/>
      </w:r>
      <w:r w:rsidRPr="00CD0342">
        <w:t xml:space="preserve"> que la Relatora para el país enviaría al Estado parte en cuestión una breve lista de temas con miras a orientar y centrar el diálogo entre la delegación del Estado parte y el Comité durante el examen del informe del Estado parte. El presente documento contiene una lista de temas a tal efecto. La lista no es exhaustiva: durante el diálogo con el Estado parte podrán abordarse otros asuntos. No se requieren respuestas por escrito.</w:t>
      </w:r>
    </w:p>
    <w:p w14:paraId="50979F88" w14:textId="6B8BBF5C" w:rsidR="00CD0342" w:rsidRPr="00CD0342" w:rsidRDefault="00CD0342" w:rsidP="00CD0342">
      <w:pPr>
        <w:pStyle w:val="H1G"/>
      </w:pPr>
      <w:r w:rsidRPr="00CD0342">
        <w:tab/>
      </w:r>
      <w:r>
        <w:tab/>
      </w:r>
      <w:r w:rsidRPr="00CD0342">
        <w:t>La Convención en el derecho interno y el marco institucional y</w:t>
      </w:r>
      <w:r>
        <w:t> </w:t>
      </w:r>
      <w:r w:rsidRPr="00CD0342">
        <w:t>normativo para su aplicación (arts. 1, 2, 4, 6 y 7)</w:t>
      </w:r>
    </w:p>
    <w:p w14:paraId="63CFFD92" w14:textId="77777777" w:rsidR="00CD0342" w:rsidRPr="00CD0342" w:rsidRDefault="00CD0342" w:rsidP="00CD0342">
      <w:pPr>
        <w:pStyle w:val="SingleTxtG"/>
      </w:pPr>
      <w:r w:rsidRPr="00CD0342">
        <w:t>2.</w:t>
      </w:r>
      <w:r w:rsidRPr="00CD0342">
        <w:tab/>
        <w:t>Estadísticas actualizadas sobre la composición demográfica de la población, desglosadas por origen étnico, idiomas hablados y situación (migrantes, refugiados, solicitantes de asilo, apátridas o desplazados internos). Indicadores económicos y sociales de los diferentes grupos que viven en el territorio del Estado parte, desglosados por origen étnico, género y edad, en particular los grupos minoritarios y los pueblos indígenas, a la luz del cuarto censo general de población y hábitat</w:t>
      </w:r>
      <w:r w:rsidRPr="00CD0342">
        <w:rPr>
          <w:rStyle w:val="Refdenotaalpie"/>
        </w:rPr>
        <w:footnoteReference w:id="3"/>
      </w:r>
      <w:r w:rsidRPr="00CD0342">
        <w:t>.</w:t>
      </w:r>
    </w:p>
    <w:p w14:paraId="3D3FA9B9" w14:textId="502DC9B3" w:rsidR="00CD0342" w:rsidRPr="00CD0342" w:rsidRDefault="00CD0342" w:rsidP="00CD0342">
      <w:pPr>
        <w:pStyle w:val="SingleTxtG"/>
      </w:pPr>
      <w:r w:rsidRPr="00CD0342">
        <w:t>3.</w:t>
      </w:r>
      <w:r w:rsidRPr="00CD0342">
        <w:tab/>
        <w:t>Información sobre la prohibición de la discriminación racial conforme a los artículos</w:t>
      </w:r>
      <w:r w:rsidR="00BF7DA3">
        <w:t> </w:t>
      </w:r>
      <w:r w:rsidRPr="00CD0342">
        <w:t>1, 2 y 4 de la Convención, y sobre la definición y la tipificación penal de los actos de discriminación racial y de incitación al odio racial, en especial a la luz de la reforma del Código Penal de 2016. Información y datos estadísticos sobre las denuncias presentadas ante los tribunales por actos de discriminación racial, discursos de odio racista y delitos de odio racista, entre ellos, los que tengan lugar en Internet y en los medios de comunicación, y sobre la cantidad de investigaciones, procesamientos y condenas de los autores</w:t>
      </w:r>
      <w:r w:rsidRPr="00CD0342">
        <w:rPr>
          <w:rStyle w:val="Refdenotaalpie"/>
        </w:rPr>
        <w:footnoteReference w:id="4"/>
      </w:r>
      <w:r w:rsidRPr="00CD0342">
        <w:t>.</w:t>
      </w:r>
    </w:p>
    <w:p w14:paraId="4E5EF652" w14:textId="77777777" w:rsidR="00CD0342" w:rsidRPr="00CD0342" w:rsidRDefault="00CD0342" w:rsidP="00CD0342">
      <w:pPr>
        <w:pStyle w:val="SingleTxtG"/>
      </w:pPr>
      <w:r w:rsidRPr="00CD0342">
        <w:t>4.</w:t>
      </w:r>
      <w:r w:rsidRPr="00CD0342">
        <w:tab/>
        <w:t xml:space="preserve">Información sobre la creación y el establecimiento en 2019 de la Comisión de Derechos Humanos de Camerún como institución nacional independiente para la promoción y la protección de los derechos humanos, en reemplazo de la Comisión Nacional de Derechos Humanos y Libertades, y su conformidad con los principios relativos al estatuto de las </w:t>
      </w:r>
      <w:r w:rsidRPr="00CD0342">
        <w:lastRenderedPageBreak/>
        <w:t>instituciones nacionales de promoción y protección de los derechos humanos (Principios de París), en particular en lo que respecta a su independencia y a su autonomía financiera, así como a su mandato de supervisar y evaluar los avances en la aplicación de la Convención de manera independiente y con transparencia</w:t>
      </w:r>
      <w:r w:rsidRPr="00CD0342">
        <w:rPr>
          <w:rStyle w:val="Refdenotaalpie"/>
        </w:rPr>
        <w:footnoteReference w:id="5"/>
      </w:r>
      <w:r w:rsidRPr="00CD0342">
        <w:t>.</w:t>
      </w:r>
    </w:p>
    <w:p w14:paraId="2C1C9902" w14:textId="77777777" w:rsidR="00CD0342" w:rsidRPr="00CD0342" w:rsidRDefault="00CD0342" w:rsidP="00CD0342">
      <w:pPr>
        <w:pStyle w:val="SingleTxtG"/>
      </w:pPr>
      <w:r w:rsidRPr="00CD0342">
        <w:t>5.</w:t>
      </w:r>
      <w:r w:rsidRPr="00CD0342">
        <w:tab/>
        <w:t>Información actualizada sobre la aplicación del Programa de Rehabilitación del Estado Civil, así como estadísticas desglosadas sobre las tasas de inscripción de nacimientos y las tarjetas de identidad emitidas, especialmente entre los grupos en situación de vulnerabilidad, como los desplazados internos, los pueblos indígenas y la población que vive en zonas rurales y remotas</w:t>
      </w:r>
      <w:r w:rsidRPr="00CD0342">
        <w:rPr>
          <w:rStyle w:val="Refdenotaalpie"/>
        </w:rPr>
        <w:footnoteReference w:id="6"/>
      </w:r>
      <w:r w:rsidRPr="00CD0342">
        <w:t>.</w:t>
      </w:r>
    </w:p>
    <w:p w14:paraId="6026A6CF" w14:textId="1FE2CCE4" w:rsidR="00CD0342" w:rsidRPr="00CD0342" w:rsidRDefault="00CD0342" w:rsidP="00CD0342">
      <w:pPr>
        <w:pStyle w:val="H1G"/>
      </w:pPr>
      <w:r>
        <w:tab/>
      </w:r>
      <w:r w:rsidRPr="00CD0342">
        <w:tab/>
        <w:t>Situación de las minorías étnicas y los pueblos indígenas (art. 5)</w:t>
      </w:r>
    </w:p>
    <w:p w14:paraId="45DA3F2C" w14:textId="77777777" w:rsidR="00CD0342" w:rsidRPr="00CD0342" w:rsidRDefault="00CD0342" w:rsidP="00CD0342">
      <w:pPr>
        <w:pStyle w:val="SingleTxtG"/>
      </w:pPr>
      <w:r w:rsidRPr="00CD0342">
        <w:t>6.</w:t>
      </w:r>
      <w:r w:rsidRPr="00CD0342">
        <w:tab/>
        <w:t>Información actualizada sobre los estudios destinados a identificar y definir las minorías nacionales y étnicas, y los pueblos indígenas en el Estado parte, junto con los resultados de estos estudios</w:t>
      </w:r>
      <w:r w:rsidRPr="00CD0342">
        <w:rPr>
          <w:rStyle w:val="Refdenotaalpie"/>
        </w:rPr>
        <w:footnoteReference w:id="7"/>
      </w:r>
      <w:r w:rsidRPr="00CD0342">
        <w:t>.</w:t>
      </w:r>
    </w:p>
    <w:p w14:paraId="60B64B02" w14:textId="5ADB1979" w:rsidR="00CD0342" w:rsidRPr="00CD0342" w:rsidRDefault="00CD0342" w:rsidP="00CD0342">
      <w:pPr>
        <w:pStyle w:val="SingleTxtG"/>
      </w:pPr>
      <w:r w:rsidRPr="00CD0342">
        <w:t>7.</w:t>
      </w:r>
      <w:r w:rsidRPr="00CD0342">
        <w:tab/>
        <w:t>Medidas tendientes a diseñar y adoptar una estrategia global sobre la situación de los grupos minoritarios y los pueblos indígenas</w:t>
      </w:r>
      <w:r w:rsidRPr="00CD0342">
        <w:rPr>
          <w:rStyle w:val="Refdenotaalpie"/>
        </w:rPr>
        <w:footnoteReference w:id="8"/>
      </w:r>
      <w:r w:rsidRPr="00CD0342">
        <w:t>, y medidas adoptadas para: a) reforzar la participación y la representación efectivas de los grupos minoritarios y los pueblos indígenas en la vida pública y política, así como actualizar los datos estadísticos antes de las elecciones parlamentarias, municipales y presidenciales; b) garantizar el acceso de las mencionadas personas a la educación sin discriminación; y c) garantizar su acceso a la justicia, sobre todo asegurando la disponibilidad de tribunales y servicios de interpretación</w:t>
      </w:r>
      <w:r w:rsidRPr="00CD0342">
        <w:rPr>
          <w:rStyle w:val="Refdenotaalpie"/>
        </w:rPr>
        <w:footnoteReference w:id="9"/>
      </w:r>
      <w:r w:rsidRPr="00CD0342">
        <w:t>.</w:t>
      </w:r>
    </w:p>
    <w:p w14:paraId="4C686544" w14:textId="4F2CBCA2" w:rsidR="00CD0342" w:rsidRPr="00CD0342" w:rsidRDefault="00CD0342" w:rsidP="00CD0342">
      <w:pPr>
        <w:pStyle w:val="SingleTxtG"/>
      </w:pPr>
      <w:r w:rsidRPr="00CD0342">
        <w:t>8.</w:t>
      </w:r>
      <w:r w:rsidRPr="00CD0342">
        <w:tab/>
        <w:t>Medidas adoptadas para: a) aprobar leyes que protejan el derecho de los pueblos indígenas a poseer, utilizar y explotar sus tierras, territorios y recursos, y a ejercer pleno control sobre ellos; b) garantizar su derecho a la consulta y al consentimiento libre, previo e informado sobre los procedimientos administrativos y legislativos que los afecten; y c)</w:t>
      </w:r>
      <w:r>
        <w:t> </w:t>
      </w:r>
      <w:r w:rsidRPr="00CD0342">
        <w:t>garantizar una indemnización y una reparación justas e inmediatas para las comunidades que han sido desplazadas de sus tierras y territorios tradicionales</w:t>
      </w:r>
      <w:r w:rsidRPr="00CD0342">
        <w:rPr>
          <w:rStyle w:val="Refdenotaalpie"/>
        </w:rPr>
        <w:footnoteReference w:id="10"/>
      </w:r>
      <w:r w:rsidRPr="00CD0342">
        <w:t>.</w:t>
      </w:r>
    </w:p>
    <w:p w14:paraId="5C01BDDD" w14:textId="77777777" w:rsidR="00CD0342" w:rsidRPr="00CD0342" w:rsidRDefault="00CD0342" w:rsidP="00CD0342">
      <w:pPr>
        <w:pStyle w:val="SingleTxtG"/>
      </w:pPr>
      <w:r w:rsidRPr="00CD0342">
        <w:t>9.</w:t>
      </w:r>
      <w:r w:rsidRPr="00CD0342">
        <w:tab/>
        <w:t>Medidas para aplicar efectivamente el bilingüismo y acabar con la desigualdad y la discriminación de las minorías nacionales y étnicas, en particular en los ámbitos del empleo, la educación y el acceso a la justicia. Datos estadísticos sobre las escuelas, las universidades y los estudiantes de las regiones del noroeste y el suroeste, así como sobre la representación de las minorías nacionales y étnicas en los altos cargos y en la función pública, especialmente en los sectores de la educación y la justicia</w:t>
      </w:r>
      <w:r w:rsidRPr="00CD0342">
        <w:rPr>
          <w:rStyle w:val="Refdenotaalpie"/>
        </w:rPr>
        <w:footnoteReference w:id="11"/>
      </w:r>
      <w:r w:rsidRPr="00CD0342">
        <w:t>. Información sobre las medidas adoptadas para evaluar y afianzar estas políticas lingüísticas.</w:t>
      </w:r>
    </w:p>
    <w:p w14:paraId="49DDB129" w14:textId="77777777" w:rsidR="00CD0342" w:rsidRPr="00CD0342" w:rsidRDefault="00CD0342" w:rsidP="00CD0342">
      <w:pPr>
        <w:pStyle w:val="SingleTxtG"/>
      </w:pPr>
      <w:r w:rsidRPr="00CD0342">
        <w:t>10.</w:t>
      </w:r>
      <w:r w:rsidRPr="00CD0342">
        <w:tab/>
        <w:t>Información sobre: a) los recursos humanos y financieros asignados a la Comisión Nacional de Promoción del Bilingüismo y el Multiculturalismo; b) los resultados obtenidos por la Comisión hasta la fecha, incluidas las recomendaciones presentadas ante la Presidencia y la cantidad de denuncias recibidas sobre incumplimientos en la aplicación del bilingüismo y el multiculturalismo; y c) las medidas adoptadas para evaluar y afianzar el mandato de la Comisión</w:t>
      </w:r>
      <w:r w:rsidRPr="00CD0342">
        <w:rPr>
          <w:rStyle w:val="Refdenotaalpie"/>
        </w:rPr>
        <w:footnoteReference w:id="12"/>
      </w:r>
      <w:r w:rsidRPr="00CD0342">
        <w:t>.</w:t>
      </w:r>
    </w:p>
    <w:p w14:paraId="3F7F70F9" w14:textId="2AD33132" w:rsidR="00381C24" w:rsidRPr="00CD0342" w:rsidRDefault="00CD0342" w:rsidP="00CD0342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CD0342" w:rsidSect="00CD034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FCD34" w14:textId="77777777" w:rsidR="00546BC5" w:rsidRPr="00D43FF0" w:rsidRDefault="00546BC5" w:rsidP="00D43FF0">
      <w:pPr>
        <w:pStyle w:val="Piedepgina"/>
      </w:pPr>
    </w:p>
  </w:endnote>
  <w:endnote w:type="continuationSeparator" w:id="0">
    <w:p w14:paraId="312B85E9" w14:textId="77777777" w:rsidR="00546BC5" w:rsidRPr="00D43FF0" w:rsidRDefault="00546BC5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0FC42" w14:textId="5EC18433" w:rsidR="00CD0342" w:rsidRPr="00CD0342" w:rsidRDefault="00CD0342" w:rsidP="00CD0342">
    <w:pPr>
      <w:pStyle w:val="Piedepgina"/>
      <w:tabs>
        <w:tab w:val="right" w:pos="9638"/>
      </w:tabs>
    </w:pPr>
    <w:r w:rsidRPr="00CD0342">
      <w:rPr>
        <w:b/>
        <w:sz w:val="18"/>
      </w:rPr>
      <w:fldChar w:fldCharType="begin"/>
    </w:r>
    <w:r w:rsidRPr="00CD0342">
      <w:rPr>
        <w:b/>
        <w:sz w:val="18"/>
      </w:rPr>
      <w:instrText xml:space="preserve"> PAGE  \* MERGEFORMAT </w:instrText>
    </w:r>
    <w:r w:rsidRPr="00CD0342">
      <w:rPr>
        <w:b/>
        <w:sz w:val="18"/>
      </w:rPr>
      <w:fldChar w:fldCharType="separate"/>
    </w:r>
    <w:r w:rsidRPr="00CD0342">
      <w:rPr>
        <w:b/>
        <w:noProof/>
        <w:sz w:val="18"/>
      </w:rPr>
      <w:t>2</w:t>
    </w:r>
    <w:r w:rsidRPr="00CD0342">
      <w:rPr>
        <w:b/>
        <w:sz w:val="18"/>
      </w:rPr>
      <w:fldChar w:fldCharType="end"/>
    </w:r>
    <w:r>
      <w:rPr>
        <w:b/>
        <w:sz w:val="18"/>
      </w:rPr>
      <w:tab/>
    </w:r>
    <w:r>
      <w:t>GE.22-01806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BAADC" w14:textId="3145B7A4" w:rsidR="00CD0342" w:rsidRPr="00CD0342" w:rsidRDefault="00CD0342" w:rsidP="00CD0342">
    <w:pPr>
      <w:pStyle w:val="Piedepgina"/>
      <w:tabs>
        <w:tab w:val="right" w:pos="9638"/>
      </w:tabs>
      <w:rPr>
        <w:b/>
        <w:sz w:val="18"/>
      </w:rPr>
    </w:pPr>
    <w:r>
      <w:t>GE.22-01806</w:t>
    </w:r>
    <w:r>
      <w:tab/>
    </w:r>
    <w:r w:rsidRPr="00CD0342">
      <w:rPr>
        <w:b/>
        <w:sz w:val="18"/>
      </w:rPr>
      <w:fldChar w:fldCharType="begin"/>
    </w:r>
    <w:r w:rsidRPr="00CD0342">
      <w:rPr>
        <w:b/>
        <w:sz w:val="18"/>
      </w:rPr>
      <w:instrText xml:space="preserve"> PAGE  \* MERGEFORMAT </w:instrText>
    </w:r>
    <w:r w:rsidRPr="00CD0342">
      <w:rPr>
        <w:b/>
        <w:sz w:val="18"/>
      </w:rPr>
      <w:fldChar w:fldCharType="separate"/>
    </w:r>
    <w:r w:rsidRPr="00CD0342">
      <w:rPr>
        <w:b/>
        <w:noProof/>
        <w:sz w:val="18"/>
      </w:rPr>
      <w:t>3</w:t>
    </w:r>
    <w:r w:rsidRPr="00CD034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2EFD0" w14:textId="6E72D799" w:rsidR="00C63C2A" w:rsidRPr="00CD0342" w:rsidRDefault="00CD0342" w:rsidP="00CD0342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7728" behindDoc="0" locked="1" layoutInCell="1" allowOverlap="1" wp14:anchorId="5212F08C" wp14:editId="33A3C5A6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22-01806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00968AAC" wp14:editId="01D93DAB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010322    080322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FC3D2" w14:textId="77777777" w:rsidR="00546BC5" w:rsidRPr="001075E9" w:rsidRDefault="00546BC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FB7F47C" w14:textId="77777777" w:rsidR="00546BC5" w:rsidRDefault="00546BC5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72DAF72" w14:textId="2246E4B4" w:rsidR="00CD0342" w:rsidRPr="00CD0342" w:rsidRDefault="00CD0342" w:rsidP="00CD0342">
      <w:pPr>
        <w:pStyle w:val="Textonotapie"/>
        <w:rPr>
          <w:sz w:val="20"/>
        </w:rPr>
      </w:pPr>
      <w:r>
        <w:tab/>
      </w:r>
      <w:r w:rsidRPr="00CD0342">
        <w:rPr>
          <w:rStyle w:val="Refdenotaalpie"/>
          <w:sz w:val="20"/>
          <w:vertAlign w:val="baseline"/>
        </w:rPr>
        <w:t>*</w:t>
      </w:r>
      <w:r w:rsidRPr="00CD0342">
        <w:rPr>
          <w:rStyle w:val="Refdenotaalpie"/>
          <w:vertAlign w:val="baseline"/>
        </w:rPr>
        <w:tab/>
      </w:r>
      <w:r w:rsidRPr="00CD0342">
        <w:t>Este informe se presentó después del plazo establecido a fin de poder incluir en él los hechos más recientes.</w:t>
      </w:r>
    </w:p>
  </w:footnote>
  <w:footnote w:id="2">
    <w:p w14:paraId="2B7E3871" w14:textId="2D636D5B" w:rsidR="00CD0342" w:rsidRDefault="00CD0342" w:rsidP="00CD0342">
      <w:pPr>
        <w:pStyle w:val="Textonotapie"/>
      </w:pPr>
      <w:r>
        <w:tab/>
      </w:r>
      <w:r w:rsidRPr="00CD0342">
        <w:rPr>
          <w:rStyle w:val="Refdenotaalpie"/>
        </w:rPr>
        <w:footnoteRef/>
      </w:r>
      <w:r>
        <w:tab/>
      </w:r>
      <w:hyperlink r:id="rId1" w:history="1">
        <w:r w:rsidRPr="00CD0342">
          <w:rPr>
            <w:rStyle w:val="Hipervnculo"/>
            <w:lang w:val="en-US"/>
          </w:rPr>
          <w:t>A/65/18</w:t>
        </w:r>
      </w:hyperlink>
      <w:r w:rsidRPr="00CD0342">
        <w:rPr>
          <w:lang w:val="en-US"/>
        </w:rPr>
        <w:t>, párr. 85.</w:t>
      </w:r>
    </w:p>
  </w:footnote>
  <w:footnote w:id="3">
    <w:p w14:paraId="588CC2F0" w14:textId="77ED2AE3" w:rsidR="00CD0342" w:rsidRPr="00EC5A4A" w:rsidRDefault="00CD0342" w:rsidP="00CD0342">
      <w:pPr>
        <w:pStyle w:val="Textonotapie"/>
      </w:pPr>
      <w:r w:rsidRPr="00EC5A4A">
        <w:rPr>
          <w:lang w:val="en-US"/>
        </w:rPr>
        <w:tab/>
      </w:r>
      <w:r w:rsidRPr="00CD0342">
        <w:rPr>
          <w:rStyle w:val="Refdenotaalpie"/>
        </w:rPr>
        <w:footnoteRef/>
      </w:r>
      <w:r w:rsidRPr="00EC5A4A">
        <w:rPr>
          <w:lang w:val="en-US"/>
        </w:rPr>
        <w:tab/>
      </w:r>
      <w:hyperlink r:id="rId2" w:history="1">
        <w:r w:rsidRPr="00CD0342">
          <w:rPr>
            <w:rStyle w:val="Hipervnculo"/>
            <w:lang w:val="en-US"/>
          </w:rPr>
          <w:t>CERD/C/CMR/CO/19-21</w:t>
        </w:r>
      </w:hyperlink>
      <w:r w:rsidRPr="00EC5A4A">
        <w:rPr>
          <w:lang w:val="en-US"/>
        </w:rPr>
        <w:t xml:space="preserve">, párr. </w:t>
      </w:r>
      <w:r w:rsidRPr="00EC5A4A">
        <w:t xml:space="preserve">6; y </w:t>
      </w:r>
      <w:hyperlink r:id="rId3" w:history="1">
        <w:r w:rsidRPr="00CD0342">
          <w:rPr>
            <w:rStyle w:val="Hipervnculo"/>
          </w:rPr>
          <w:t>CERD/C/CMR/22-23</w:t>
        </w:r>
      </w:hyperlink>
      <w:r w:rsidRPr="00EC5A4A">
        <w:t>, párrs. 31 a 34.</w:t>
      </w:r>
    </w:p>
  </w:footnote>
  <w:footnote w:id="4">
    <w:p w14:paraId="2B1F4D6D" w14:textId="72221093" w:rsidR="00CD0342" w:rsidRPr="00EC5A4A" w:rsidRDefault="00CD0342" w:rsidP="00CD0342">
      <w:pPr>
        <w:pStyle w:val="Textonotapie"/>
      </w:pPr>
      <w:r w:rsidRPr="00EC5A4A">
        <w:tab/>
      </w:r>
      <w:r w:rsidRPr="00CD0342">
        <w:rPr>
          <w:rStyle w:val="Refdenotaalpie"/>
        </w:rPr>
        <w:footnoteRef/>
      </w:r>
      <w:r w:rsidRPr="00EC5A4A">
        <w:tab/>
      </w:r>
      <w:hyperlink r:id="rId4" w:history="1">
        <w:r w:rsidRPr="00CD0342">
          <w:rPr>
            <w:rStyle w:val="Hipervnculo"/>
          </w:rPr>
          <w:t>CERD/C/CMR/CO/19-21</w:t>
        </w:r>
      </w:hyperlink>
      <w:r w:rsidRPr="00EC5A4A">
        <w:t xml:space="preserve">, párrs. 7 y 9; y </w:t>
      </w:r>
      <w:hyperlink r:id="rId5" w:history="1">
        <w:r w:rsidRPr="00CD0342">
          <w:rPr>
            <w:rStyle w:val="Hipervnculo"/>
          </w:rPr>
          <w:t>CERD/C/CMR/22-23</w:t>
        </w:r>
      </w:hyperlink>
      <w:r w:rsidRPr="00EC5A4A">
        <w:t>, párrs. 14, 28, 35, 36 y 46.</w:t>
      </w:r>
    </w:p>
  </w:footnote>
  <w:footnote w:id="5">
    <w:p w14:paraId="6AEA1913" w14:textId="455D1A03" w:rsidR="00CD0342" w:rsidRPr="00EC5A4A" w:rsidRDefault="00CD0342" w:rsidP="00CD0342">
      <w:pPr>
        <w:pStyle w:val="Textonotapie"/>
        <w:rPr>
          <w:lang w:val="en-US"/>
        </w:rPr>
      </w:pPr>
      <w:r w:rsidRPr="00EC5A4A">
        <w:tab/>
      </w:r>
      <w:r w:rsidRPr="00CD0342">
        <w:rPr>
          <w:rStyle w:val="Refdenotaalpie"/>
        </w:rPr>
        <w:footnoteRef/>
      </w:r>
      <w:r w:rsidRPr="00EC5A4A">
        <w:tab/>
      </w:r>
      <w:hyperlink r:id="rId6" w:history="1">
        <w:r w:rsidRPr="00CD0342">
          <w:rPr>
            <w:rStyle w:val="Hipervnculo"/>
          </w:rPr>
          <w:t>CERD/C/CMR/CO/19-21</w:t>
        </w:r>
      </w:hyperlink>
      <w:r w:rsidRPr="00EC5A4A">
        <w:t xml:space="preserve">, párr. 8; y </w:t>
      </w:r>
      <w:hyperlink r:id="rId7" w:history="1">
        <w:r w:rsidRPr="00CD0342">
          <w:rPr>
            <w:rStyle w:val="Hipervnculo"/>
          </w:rPr>
          <w:t>CERD/C/CMR/22-23</w:t>
        </w:r>
      </w:hyperlink>
      <w:r w:rsidRPr="00EC5A4A">
        <w:t xml:space="preserve">, párrs. </w:t>
      </w:r>
      <w:r w:rsidRPr="00EC5A4A">
        <w:rPr>
          <w:lang w:val="en-US"/>
        </w:rPr>
        <w:t>37 a 42.</w:t>
      </w:r>
    </w:p>
  </w:footnote>
  <w:footnote w:id="6">
    <w:p w14:paraId="31D0DCDF" w14:textId="328039CF" w:rsidR="00CD0342" w:rsidRPr="00EC5A4A" w:rsidRDefault="00CD0342" w:rsidP="00CD0342">
      <w:pPr>
        <w:pStyle w:val="Textonotapie"/>
      </w:pPr>
      <w:r w:rsidRPr="00EC5A4A">
        <w:rPr>
          <w:lang w:val="en-US"/>
        </w:rPr>
        <w:tab/>
      </w:r>
      <w:r w:rsidRPr="00CD0342">
        <w:rPr>
          <w:rStyle w:val="Refdenotaalpie"/>
        </w:rPr>
        <w:footnoteRef/>
      </w:r>
      <w:r w:rsidRPr="00EC5A4A">
        <w:rPr>
          <w:lang w:val="en-US"/>
        </w:rPr>
        <w:tab/>
      </w:r>
      <w:hyperlink r:id="rId8" w:history="1">
        <w:r w:rsidRPr="00CD0342">
          <w:rPr>
            <w:rStyle w:val="Hipervnculo"/>
            <w:lang w:val="en-US"/>
          </w:rPr>
          <w:t>CERD/C/CMR/CO/19-21</w:t>
        </w:r>
      </w:hyperlink>
      <w:r w:rsidRPr="00EC5A4A">
        <w:rPr>
          <w:lang w:val="en-US"/>
        </w:rPr>
        <w:t xml:space="preserve">, párr. </w:t>
      </w:r>
      <w:r w:rsidRPr="00EC5A4A">
        <w:t xml:space="preserve">19; y </w:t>
      </w:r>
      <w:hyperlink r:id="rId9" w:history="1">
        <w:r w:rsidRPr="00CD0342">
          <w:rPr>
            <w:rStyle w:val="Hipervnculo"/>
          </w:rPr>
          <w:t>CERD/C/CMR/22-23</w:t>
        </w:r>
      </w:hyperlink>
      <w:r w:rsidRPr="00EC5A4A">
        <w:t>, párrs. 194 a 211.</w:t>
      </w:r>
    </w:p>
  </w:footnote>
  <w:footnote w:id="7">
    <w:p w14:paraId="34B6314D" w14:textId="590A0169" w:rsidR="00CD0342" w:rsidRPr="00EC5A4A" w:rsidRDefault="00CD0342" w:rsidP="00CD0342">
      <w:pPr>
        <w:pStyle w:val="Textonotapie"/>
      </w:pPr>
      <w:r w:rsidRPr="00EC5A4A">
        <w:tab/>
      </w:r>
      <w:r w:rsidRPr="00CD0342">
        <w:rPr>
          <w:rStyle w:val="Refdenotaalpie"/>
        </w:rPr>
        <w:footnoteRef/>
      </w:r>
      <w:r w:rsidRPr="00EC5A4A">
        <w:tab/>
      </w:r>
      <w:hyperlink r:id="rId10" w:history="1">
        <w:r w:rsidRPr="00CD0342">
          <w:rPr>
            <w:rStyle w:val="Hipervnculo"/>
          </w:rPr>
          <w:t>CERD/C/CMR/CO/19-21</w:t>
        </w:r>
      </w:hyperlink>
      <w:r w:rsidRPr="00EC5A4A">
        <w:t xml:space="preserve">, párr. 14; y </w:t>
      </w:r>
      <w:hyperlink r:id="rId11" w:history="1">
        <w:r w:rsidRPr="00CD0342">
          <w:rPr>
            <w:rStyle w:val="Hipervnculo"/>
          </w:rPr>
          <w:t>CERD/C/CMR/22-23</w:t>
        </w:r>
      </w:hyperlink>
      <w:r w:rsidRPr="00EC5A4A">
        <w:t>, párrs. 30 y 103 a 107.</w:t>
      </w:r>
    </w:p>
  </w:footnote>
  <w:footnote w:id="8">
    <w:p w14:paraId="4C8E2C17" w14:textId="1C45067B" w:rsidR="00CD0342" w:rsidRPr="00EC5A4A" w:rsidRDefault="00CD0342" w:rsidP="00CD0342">
      <w:pPr>
        <w:pStyle w:val="Textonotapie"/>
      </w:pPr>
      <w:r w:rsidRPr="00EC5A4A">
        <w:tab/>
      </w:r>
      <w:r w:rsidRPr="00CD0342">
        <w:rPr>
          <w:rStyle w:val="Refdenotaalpie"/>
        </w:rPr>
        <w:footnoteRef/>
      </w:r>
      <w:r w:rsidRPr="00EC5A4A">
        <w:rPr>
          <w:lang w:val="en-US"/>
        </w:rPr>
        <w:tab/>
      </w:r>
      <w:hyperlink r:id="rId12" w:history="1">
        <w:r w:rsidRPr="00CD0342">
          <w:rPr>
            <w:rStyle w:val="Hipervnculo"/>
            <w:lang w:val="en-US"/>
          </w:rPr>
          <w:t>CERD/C/CMR/CO/19-21</w:t>
        </w:r>
      </w:hyperlink>
      <w:r w:rsidRPr="00EC5A4A">
        <w:rPr>
          <w:lang w:val="en-US"/>
        </w:rPr>
        <w:t xml:space="preserve">, párr. </w:t>
      </w:r>
      <w:r w:rsidRPr="00EC5A4A">
        <w:t xml:space="preserve">10; y </w:t>
      </w:r>
      <w:hyperlink r:id="rId13" w:history="1">
        <w:r w:rsidRPr="00CD0342">
          <w:rPr>
            <w:rStyle w:val="Hipervnculo"/>
          </w:rPr>
          <w:t>CERD/C/CMR/22-23</w:t>
        </w:r>
      </w:hyperlink>
      <w:r w:rsidRPr="00EC5A4A">
        <w:t>, párrs. 30 y 47 a 50.</w:t>
      </w:r>
    </w:p>
  </w:footnote>
  <w:footnote w:id="9">
    <w:p w14:paraId="053E5563" w14:textId="6E8A2FEF" w:rsidR="00CD0342" w:rsidRPr="00EC5A4A" w:rsidRDefault="00CD0342" w:rsidP="00CD0342">
      <w:pPr>
        <w:pStyle w:val="Textonotapie"/>
      </w:pPr>
      <w:r w:rsidRPr="00EC5A4A">
        <w:tab/>
      </w:r>
      <w:r w:rsidRPr="00CD0342">
        <w:rPr>
          <w:rStyle w:val="Refdenotaalpie"/>
        </w:rPr>
        <w:footnoteRef/>
      </w:r>
      <w:r w:rsidRPr="00EC5A4A">
        <w:rPr>
          <w:lang w:val="en-US"/>
        </w:rPr>
        <w:tab/>
      </w:r>
      <w:hyperlink r:id="rId14" w:history="1">
        <w:r w:rsidRPr="00CD0342">
          <w:rPr>
            <w:rStyle w:val="Hipervnculo"/>
            <w:lang w:val="en-US"/>
          </w:rPr>
          <w:t>CERD/C/CMR/CO/19-21</w:t>
        </w:r>
      </w:hyperlink>
      <w:r w:rsidRPr="00EC5A4A">
        <w:rPr>
          <w:lang w:val="en-US"/>
        </w:rPr>
        <w:t xml:space="preserve">, párrs. </w:t>
      </w:r>
      <w:r w:rsidRPr="00EC5A4A">
        <w:t xml:space="preserve">11, 15 y 17; y </w:t>
      </w:r>
      <w:hyperlink r:id="rId15" w:history="1">
        <w:r w:rsidRPr="00CD0342">
          <w:rPr>
            <w:rStyle w:val="Hipervnculo"/>
          </w:rPr>
          <w:t>CERD/C/CMR/22-23</w:t>
        </w:r>
      </w:hyperlink>
      <w:r w:rsidRPr="00EC5A4A">
        <w:t>, párrs. 51 a 60, 108 a 119 y 155 a 159.</w:t>
      </w:r>
    </w:p>
  </w:footnote>
  <w:footnote w:id="10">
    <w:p w14:paraId="435E6113" w14:textId="344EFB95" w:rsidR="00CD0342" w:rsidRPr="00EC5A4A" w:rsidRDefault="00CD0342" w:rsidP="00CD0342">
      <w:pPr>
        <w:pStyle w:val="Textonotapie"/>
        <w:rPr>
          <w:lang w:val="en-US"/>
        </w:rPr>
      </w:pPr>
      <w:r w:rsidRPr="00EC5A4A">
        <w:tab/>
      </w:r>
      <w:r w:rsidRPr="00CD0342">
        <w:rPr>
          <w:rStyle w:val="Refdenotaalpie"/>
        </w:rPr>
        <w:footnoteRef/>
      </w:r>
      <w:r w:rsidRPr="00EC5A4A">
        <w:tab/>
      </w:r>
      <w:hyperlink r:id="rId16" w:history="1">
        <w:r w:rsidRPr="00CD0342">
          <w:rPr>
            <w:rStyle w:val="Hipervnculo"/>
          </w:rPr>
          <w:t>CERD/C/CMR/CO/19-21</w:t>
        </w:r>
      </w:hyperlink>
      <w:r w:rsidRPr="00EC5A4A">
        <w:t xml:space="preserve">, párr. 16; y </w:t>
      </w:r>
      <w:hyperlink r:id="rId17" w:history="1">
        <w:r w:rsidRPr="00CD0342">
          <w:rPr>
            <w:rStyle w:val="Hipervnculo"/>
          </w:rPr>
          <w:t>CERD/C/CMR/22-23</w:t>
        </w:r>
      </w:hyperlink>
      <w:r w:rsidRPr="00EC5A4A">
        <w:t xml:space="preserve">, párrs. </w:t>
      </w:r>
      <w:r w:rsidRPr="00EC5A4A">
        <w:rPr>
          <w:lang w:val="en-US"/>
        </w:rPr>
        <w:t>131 a 153.</w:t>
      </w:r>
    </w:p>
  </w:footnote>
  <w:footnote w:id="11">
    <w:p w14:paraId="16BEF2E4" w14:textId="1718B7E2" w:rsidR="00CD0342" w:rsidRPr="00EC5A4A" w:rsidRDefault="00CD0342" w:rsidP="00CD0342">
      <w:pPr>
        <w:pStyle w:val="Textonotapie"/>
      </w:pPr>
      <w:r w:rsidRPr="00EC5A4A">
        <w:rPr>
          <w:lang w:val="en-US"/>
        </w:rPr>
        <w:tab/>
      </w:r>
      <w:r w:rsidRPr="00CD0342">
        <w:rPr>
          <w:rStyle w:val="Refdenotaalpie"/>
        </w:rPr>
        <w:footnoteRef/>
      </w:r>
      <w:r w:rsidRPr="00EC5A4A">
        <w:rPr>
          <w:lang w:val="en-US"/>
        </w:rPr>
        <w:tab/>
      </w:r>
      <w:hyperlink r:id="rId18" w:history="1">
        <w:r w:rsidRPr="00CD0342">
          <w:rPr>
            <w:rStyle w:val="Hipervnculo"/>
            <w:lang w:val="en-US"/>
          </w:rPr>
          <w:t>CERD/C/CMR/CO/19-21</w:t>
        </w:r>
      </w:hyperlink>
      <w:r w:rsidRPr="00EC5A4A">
        <w:rPr>
          <w:lang w:val="en-US"/>
        </w:rPr>
        <w:t xml:space="preserve">, párr. </w:t>
      </w:r>
      <w:r w:rsidRPr="00EC5A4A">
        <w:t xml:space="preserve">13; y </w:t>
      </w:r>
      <w:hyperlink r:id="rId19" w:history="1">
        <w:r w:rsidRPr="00CD0342">
          <w:rPr>
            <w:rStyle w:val="Hipervnculo"/>
          </w:rPr>
          <w:t>CERD/C/CMR/22-23</w:t>
        </w:r>
      </w:hyperlink>
      <w:r w:rsidRPr="00EC5A4A">
        <w:t>, párrs. 68 a 102.</w:t>
      </w:r>
    </w:p>
  </w:footnote>
  <w:footnote w:id="12">
    <w:p w14:paraId="3678D844" w14:textId="049DA34C" w:rsidR="00CD0342" w:rsidRPr="00EC5A4A" w:rsidRDefault="00CD0342" w:rsidP="00CD0342">
      <w:pPr>
        <w:pStyle w:val="Textonotapie"/>
      </w:pPr>
      <w:r w:rsidRPr="00EC5A4A">
        <w:tab/>
      </w:r>
      <w:r w:rsidRPr="00CD0342">
        <w:rPr>
          <w:rStyle w:val="Refdenotaalpie"/>
        </w:rPr>
        <w:footnoteRef/>
      </w:r>
      <w:r w:rsidRPr="00EC5A4A">
        <w:tab/>
      </w:r>
      <w:hyperlink r:id="rId20" w:history="1">
        <w:r w:rsidRPr="00CD0342">
          <w:rPr>
            <w:rStyle w:val="Hipervnculo"/>
          </w:rPr>
          <w:t>CERD/C/CMR/CO/19-21</w:t>
        </w:r>
      </w:hyperlink>
      <w:r w:rsidRPr="00EC5A4A">
        <w:t xml:space="preserve">, párr. 13; y </w:t>
      </w:r>
      <w:hyperlink r:id="rId21" w:history="1">
        <w:r w:rsidRPr="00CD0342">
          <w:rPr>
            <w:rStyle w:val="Hipervnculo"/>
          </w:rPr>
          <w:t>CERD/C/CMR/22-23</w:t>
        </w:r>
      </w:hyperlink>
      <w:r w:rsidRPr="00EC5A4A">
        <w:t>, párrs. 8 y 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A1E96" w14:textId="42E36A15" w:rsidR="00CD0342" w:rsidRPr="00CD0342" w:rsidRDefault="00CD0342">
    <w:pPr>
      <w:pStyle w:val="Encabezado"/>
    </w:pPr>
    <w:fldSimple w:instr=" TITLE  \* MERGEFORMAT ">
      <w:r w:rsidR="00BB2962">
        <w:t>CERD/C/CMR/Q/22-23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77AF0" w14:textId="50D4DC0A" w:rsidR="00CD0342" w:rsidRPr="00CD0342" w:rsidRDefault="00CD0342" w:rsidP="00CD0342">
    <w:pPr>
      <w:pStyle w:val="Encabezado"/>
      <w:jc w:val="right"/>
    </w:pPr>
    <w:fldSimple w:instr=" TITLE  \* MERGEFORMAT ">
      <w:r w:rsidR="00BB2962">
        <w:t>CERD/C/CMR/Q/22-23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DE29DA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6"/>
  </w:num>
  <w:num w:numId="4">
    <w:abstractNumId w:val="15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4"/>
  </w:num>
  <w:num w:numId="18">
    <w:abstractNumId w:val="11"/>
  </w:num>
  <w:num w:numId="19">
    <w:abstractNumId w:val="10"/>
  </w:num>
  <w:num w:numId="20">
    <w:abstractNumId w:val="16"/>
  </w:num>
  <w:num w:numId="21">
    <w:abstractNumId w:val="15"/>
  </w:num>
  <w:num w:numId="22">
    <w:abstractNumId w:val="12"/>
  </w:num>
  <w:num w:numId="23">
    <w:abstractNumId w:val="12"/>
  </w:num>
  <w:num w:numId="24">
    <w:abstractNumId w:val="13"/>
  </w:num>
  <w:num w:numId="25">
    <w:abstractNumId w:val="9"/>
  </w:num>
  <w:num w:numId="26">
    <w:abstractNumId w:val="7"/>
  </w:num>
  <w:num w:numId="27">
    <w:abstractNumId w:val="6"/>
  </w:num>
  <w:num w:numId="28">
    <w:abstractNumId w:val="5"/>
  </w:num>
  <w:num w:numId="29">
    <w:abstractNumId w:val="4"/>
  </w:num>
  <w:num w:numId="30">
    <w:abstractNumId w:val="8"/>
  </w:num>
  <w:num w:numId="31">
    <w:abstractNumId w:val="3"/>
  </w:num>
  <w:num w:numId="32">
    <w:abstractNumId w:val="2"/>
  </w:num>
  <w:num w:numId="33">
    <w:abstractNumId w:val="1"/>
  </w:num>
  <w:num w:numId="34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BC5"/>
    <w:rsid w:val="00006BB9"/>
    <w:rsid w:val="000107A1"/>
    <w:rsid w:val="0002339D"/>
    <w:rsid w:val="00036733"/>
    <w:rsid w:val="000B57E7"/>
    <w:rsid w:val="000F09DF"/>
    <w:rsid w:val="000F5804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4031F0"/>
    <w:rsid w:val="004531AE"/>
    <w:rsid w:val="00454E07"/>
    <w:rsid w:val="00471CB3"/>
    <w:rsid w:val="004B5CEF"/>
    <w:rsid w:val="0050108D"/>
    <w:rsid w:val="0051740C"/>
    <w:rsid w:val="00546BC5"/>
    <w:rsid w:val="00572E19"/>
    <w:rsid w:val="005F0B42"/>
    <w:rsid w:val="00634841"/>
    <w:rsid w:val="00655A21"/>
    <w:rsid w:val="0067198A"/>
    <w:rsid w:val="006725B3"/>
    <w:rsid w:val="006808A9"/>
    <w:rsid w:val="006B12B8"/>
    <w:rsid w:val="006D631C"/>
    <w:rsid w:val="006F35EE"/>
    <w:rsid w:val="007021FF"/>
    <w:rsid w:val="007076CB"/>
    <w:rsid w:val="007967DF"/>
    <w:rsid w:val="007F6465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21A12"/>
    <w:rsid w:val="00951972"/>
    <w:rsid w:val="00954E65"/>
    <w:rsid w:val="00A17DFD"/>
    <w:rsid w:val="00A414EF"/>
    <w:rsid w:val="00A4674B"/>
    <w:rsid w:val="00A917B3"/>
    <w:rsid w:val="00AB4B51"/>
    <w:rsid w:val="00B066FC"/>
    <w:rsid w:val="00B10CC7"/>
    <w:rsid w:val="00B62458"/>
    <w:rsid w:val="00B778C8"/>
    <w:rsid w:val="00BA3587"/>
    <w:rsid w:val="00BB2962"/>
    <w:rsid w:val="00BB36EA"/>
    <w:rsid w:val="00BD33EE"/>
    <w:rsid w:val="00BF7DA3"/>
    <w:rsid w:val="00C60F0C"/>
    <w:rsid w:val="00C63C2A"/>
    <w:rsid w:val="00C805C9"/>
    <w:rsid w:val="00C907F0"/>
    <w:rsid w:val="00CA1679"/>
    <w:rsid w:val="00CC15A3"/>
    <w:rsid w:val="00CD0342"/>
    <w:rsid w:val="00CF005B"/>
    <w:rsid w:val="00D05347"/>
    <w:rsid w:val="00D43FF0"/>
    <w:rsid w:val="00D90138"/>
    <w:rsid w:val="00DA26B8"/>
    <w:rsid w:val="00DD4E25"/>
    <w:rsid w:val="00E05C6B"/>
    <w:rsid w:val="00E2656E"/>
    <w:rsid w:val="00E73F76"/>
    <w:rsid w:val="00EA31D8"/>
    <w:rsid w:val="00EA5579"/>
    <w:rsid w:val="00EF1360"/>
    <w:rsid w:val="00EF3220"/>
    <w:rsid w:val="00EF7198"/>
    <w:rsid w:val="00F41883"/>
    <w:rsid w:val="00F45524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789CADA"/>
  <w15:docId w15:val="{87950BFA-BFBF-4DC5-AE55-5977711DA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7F6465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7F646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7F64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7F646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7F646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7F646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7F646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7F646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7F646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7F646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7F64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7F646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7F646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7F646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7F6465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7F646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7F646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7F6465"/>
    <w:pPr>
      <w:numPr>
        <w:numId w:val="3"/>
      </w:numPr>
    </w:pPr>
  </w:style>
  <w:style w:type="numbering" w:styleId="1ai">
    <w:name w:val="Outline List 1"/>
    <w:basedOn w:val="Sinlista"/>
    <w:rsid w:val="007F646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7F6465"/>
  </w:style>
  <w:style w:type="numbering" w:styleId="ArtculoSeccin">
    <w:name w:val="Outline List 3"/>
    <w:basedOn w:val="Sinlista"/>
    <w:rsid w:val="007F6465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7F6465"/>
    <w:pPr>
      <w:ind w:left="4252"/>
    </w:pPr>
  </w:style>
  <w:style w:type="character" w:styleId="CitaHTML">
    <w:name w:val="HTML Cite"/>
    <w:semiHidden/>
    <w:rsid w:val="007F6465"/>
    <w:rPr>
      <w:i/>
      <w:iCs/>
    </w:rPr>
  </w:style>
  <w:style w:type="character" w:styleId="CdigoHTML">
    <w:name w:val="HTML Code"/>
    <w:semiHidden/>
    <w:rsid w:val="007F646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7F6465"/>
    <w:pPr>
      <w:spacing w:after="120"/>
      <w:ind w:left="283"/>
    </w:pPr>
  </w:style>
  <w:style w:type="paragraph" w:styleId="Continuarlista2">
    <w:name w:val="List Continue 2"/>
    <w:basedOn w:val="Normal"/>
    <w:semiHidden/>
    <w:rsid w:val="007F6465"/>
    <w:pPr>
      <w:spacing w:after="120"/>
      <w:ind w:left="566"/>
    </w:pPr>
  </w:style>
  <w:style w:type="paragraph" w:styleId="Continuarlista3">
    <w:name w:val="List Continue 3"/>
    <w:basedOn w:val="Normal"/>
    <w:semiHidden/>
    <w:rsid w:val="007F6465"/>
    <w:pPr>
      <w:spacing w:after="120"/>
      <w:ind w:left="849"/>
    </w:pPr>
  </w:style>
  <w:style w:type="paragraph" w:styleId="Continuarlista4">
    <w:name w:val="List Continue 4"/>
    <w:basedOn w:val="Normal"/>
    <w:semiHidden/>
    <w:rsid w:val="007F6465"/>
    <w:pPr>
      <w:spacing w:after="120"/>
      <w:ind w:left="1132"/>
    </w:pPr>
  </w:style>
  <w:style w:type="paragraph" w:styleId="Continuarlista5">
    <w:name w:val="List Continue 5"/>
    <w:basedOn w:val="Normal"/>
    <w:semiHidden/>
    <w:rsid w:val="007F6465"/>
    <w:pPr>
      <w:spacing w:after="120"/>
      <w:ind w:left="1415"/>
    </w:pPr>
  </w:style>
  <w:style w:type="character" w:styleId="DefinicinHTML">
    <w:name w:val="HTML Definition"/>
    <w:semiHidden/>
    <w:rsid w:val="007F6465"/>
    <w:rPr>
      <w:i/>
      <w:iCs/>
    </w:rPr>
  </w:style>
  <w:style w:type="paragraph" w:styleId="DireccinHTML">
    <w:name w:val="HTML Address"/>
    <w:basedOn w:val="Normal"/>
    <w:link w:val="DireccinHTMLCar"/>
    <w:semiHidden/>
    <w:rsid w:val="007F6465"/>
    <w:rPr>
      <w:i/>
      <w:iCs/>
    </w:rPr>
  </w:style>
  <w:style w:type="paragraph" w:styleId="Direccinsobre">
    <w:name w:val="envelope address"/>
    <w:basedOn w:val="Normal"/>
    <w:semiHidden/>
    <w:rsid w:val="007F646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7F6465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7F646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7F6465"/>
  </w:style>
  <w:style w:type="character" w:styleId="nfasis">
    <w:name w:val="Emphasis"/>
    <w:semiHidden/>
    <w:rsid w:val="007F6465"/>
    <w:rPr>
      <w:i/>
      <w:iCs/>
    </w:rPr>
  </w:style>
  <w:style w:type="paragraph" w:styleId="Fecha">
    <w:name w:val="Date"/>
    <w:basedOn w:val="Normal"/>
    <w:next w:val="Normal"/>
    <w:link w:val="FechaCar"/>
    <w:semiHidden/>
    <w:rsid w:val="007F6465"/>
  </w:style>
  <w:style w:type="paragraph" w:styleId="Firma">
    <w:name w:val="Signature"/>
    <w:basedOn w:val="Normal"/>
    <w:link w:val="FirmaCar"/>
    <w:semiHidden/>
    <w:rsid w:val="007F6465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7F6465"/>
  </w:style>
  <w:style w:type="character" w:styleId="Hipervnculo">
    <w:name w:val="Hyperlink"/>
    <w:uiPriority w:val="4"/>
    <w:rsid w:val="007F6465"/>
    <w:rPr>
      <w:color w:val="0000FF"/>
      <w:u w:val="none"/>
    </w:rPr>
  </w:style>
  <w:style w:type="character" w:styleId="Hipervnculovisitado">
    <w:name w:val="FollowedHyperlink"/>
    <w:uiPriority w:val="4"/>
    <w:rsid w:val="007F6465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7F6465"/>
    <w:rPr>
      <w:rFonts w:ascii="Courier New" w:hAnsi="Courier New" w:cs="Courier New"/>
    </w:rPr>
  </w:style>
  <w:style w:type="paragraph" w:styleId="Lista">
    <w:name w:val="List"/>
    <w:basedOn w:val="Normal"/>
    <w:semiHidden/>
    <w:rsid w:val="007F6465"/>
    <w:pPr>
      <w:ind w:left="283" w:hanging="283"/>
    </w:pPr>
  </w:style>
  <w:style w:type="paragraph" w:styleId="Lista2">
    <w:name w:val="List 2"/>
    <w:basedOn w:val="Normal"/>
    <w:semiHidden/>
    <w:rsid w:val="007F6465"/>
    <w:pPr>
      <w:ind w:left="566" w:hanging="283"/>
    </w:pPr>
  </w:style>
  <w:style w:type="paragraph" w:styleId="Lista3">
    <w:name w:val="List 3"/>
    <w:basedOn w:val="Normal"/>
    <w:semiHidden/>
    <w:rsid w:val="007F6465"/>
    <w:pPr>
      <w:ind w:left="849" w:hanging="283"/>
    </w:pPr>
  </w:style>
  <w:style w:type="paragraph" w:styleId="Lista4">
    <w:name w:val="List 4"/>
    <w:basedOn w:val="Normal"/>
    <w:semiHidden/>
    <w:rsid w:val="007F6465"/>
    <w:pPr>
      <w:ind w:left="1132" w:hanging="283"/>
    </w:pPr>
  </w:style>
  <w:style w:type="paragraph" w:styleId="Lista5">
    <w:name w:val="List 5"/>
    <w:basedOn w:val="Normal"/>
    <w:semiHidden/>
    <w:rsid w:val="007F6465"/>
    <w:pPr>
      <w:ind w:left="1415" w:hanging="283"/>
    </w:pPr>
  </w:style>
  <w:style w:type="paragraph" w:styleId="Listaconnmeros">
    <w:name w:val="List Number"/>
    <w:basedOn w:val="Normal"/>
    <w:semiHidden/>
    <w:rsid w:val="007F6465"/>
    <w:pPr>
      <w:numPr>
        <w:numId w:val="30"/>
      </w:numPr>
    </w:pPr>
  </w:style>
  <w:style w:type="paragraph" w:styleId="Listaconnmeros2">
    <w:name w:val="List Number 2"/>
    <w:basedOn w:val="Normal"/>
    <w:semiHidden/>
    <w:rsid w:val="007F6465"/>
    <w:pPr>
      <w:numPr>
        <w:numId w:val="31"/>
      </w:numPr>
    </w:pPr>
  </w:style>
  <w:style w:type="paragraph" w:styleId="Listaconnmeros3">
    <w:name w:val="List Number 3"/>
    <w:basedOn w:val="Normal"/>
    <w:semiHidden/>
    <w:rsid w:val="007F6465"/>
    <w:pPr>
      <w:numPr>
        <w:numId w:val="32"/>
      </w:numPr>
    </w:pPr>
  </w:style>
  <w:style w:type="paragraph" w:styleId="Listaconnmeros4">
    <w:name w:val="List Number 4"/>
    <w:basedOn w:val="Normal"/>
    <w:semiHidden/>
    <w:rsid w:val="007F6465"/>
    <w:pPr>
      <w:numPr>
        <w:numId w:val="33"/>
      </w:numPr>
    </w:pPr>
  </w:style>
  <w:style w:type="paragraph" w:styleId="Listaconnmeros5">
    <w:name w:val="List Number 5"/>
    <w:basedOn w:val="Normal"/>
    <w:semiHidden/>
    <w:rsid w:val="007F6465"/>
    <w:pPr>
      <w:numPr>
        <w:numId w:val="34"/>
      </w:numPr>
    </w:pPr>
  </w:style>
  <w:style w:type="paragraph" w:styleId="Listaconvietas">
    <w:name w:val="List Bullet"/>
    <w:basedOn w:val="Normal"/>
    <w:semiHidden/>
    <w:rsid w:val="007F6465"/>
    <w:pPr>
      <w:numPr>
        <w:numId w:val="25"/>
      </w:numPr>
    </w:pPr>
  </w:style>
  <w:style w:type="paragraph" w:styleId="Listaconvietas2">
    <w:name w:val="List Bullet 2"/>
    <w:basedOn w:val="Normal"/>
    <w:semiHidden/>
    <w:rsid w:val="007F6465"/>
    <w:pPr>
      <w:numPr>
        <w:numId w:val="26"/>
      </w:numPr>
    </w:pPr>
  </w:style>
  <w:style w:type="paragraph" w:styleId="Listaconvietas3">
    <w:name w:val="List Bullet 3"/>
    <w:basedOn w:val="Normal"/>
    <w:semiHidden/>
    <w:rsid w:val="007F6465"/>
    <w:pPr>
      <w:numPr>
        <w:numId w:val="27"/>
      </w:numPr>
    </w:pPr>
  </w:style>
  <w:style w:type="paragraph" w:styleId="Listaconvietas4">
    <w:name w:val="List Bullet 4"/>
    <w:basedOn w:val="Normal"/>
    <w:semiHidden/>
    <w:rsid w:val="007F6465"/>
    <w:pPr>
      <w:numPr>
        <w:numId w:val="28"/>
      </w:numPr>
    </w:pPr>
  </w:style>
  <w:style w:type="paragraph" w:styleId="Listaconvietas5">
    <w:name w:val="List Bullet 5"/>
    <w:basedOn w:val="Normal"/>
    <w:semiHidden/>
    <w:rsid w:val="007F6465"/>
    <w:pPr>
      <w:numPr>
        <w:numId w:val="29"/>
      </w:numPr>
    </w:pPr>
  </w:style>
  <w:style w:type="character" w:styleId="MquinadeescribirHTML">
    <w:name w:val="HTML Typewriter"/>
    <w:semiHidden/>
    <w:rsid w:val="007F646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7F6465"/>
    <w:rPr>
      <w:sz w:val="24"/>
      <w:szCs w:val="24"/>
    </w:rPr>
  </w:style>
  <w:style w:type="character" w:styleId="Nmerodelnea">
    <w:name w:val="line number"/>
    <w:basedOn w:val="Fuentedeprrafopredeter"/>
    <w:semiHidden/>
    <w:rsid w:val="007F6465"/>
  </w:style>
  <w:style w:type="character" w:styleId="Nmerodepgina">
    <w:name w:val="page number"/>
    <w:aliases w:val="7_G"/>
    <w:uiPriority w:val="3"/>
    <w:qFormat/>
    <w:rsid w:val="007F6465"/>
    <w:rPr>
      <w:b/>
      <w:sz w:val="18"/>
    </w:rPr>
  </w:style>
  <w:style w:type="character" w:styleId="Refdenotaalfinal">
    <w:name w:val="endnote reference"/>
    <w:aliases w:val="1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7F6465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7F6465"/>
  </w:style>
  <w:style w:type="paragraph" w:styleId="Sangra2detindependiente">
    <w:name w:val="Body Text Indent 2"/>
    <w:basedOn w:val="Normal"/>
    <w:link w:val="Sangra2detindependienteCar"/>
    <w:semiHidden/>
    <w:rsid w:val="007F646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7F646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7F6465"/>
    <w:pPr>
      <w:spacing w:after="120"/>
      <w:ind w:left="283"/>
    </w:pPr>
  </w:style>
  <w:style w:type="paragraph" w:styleId="Sangranormal">
    <w:name w:val="Normal Indent"/>
    <w:basedOn w:val="Normal"/>
    <w:semiHidden/>
    <w:rsid w:val="007F6465"/>
    <w:pPr>
      <w:ind w:left="567"/>
    </w:pPr>
  </w:style>
  <w:style w:type="paragraph" w:styleId="Subttulo">
    <w:name w:val="Subtitle"/>
    <w:basedOn w:val="Normal"/>
    <w:link w:val="SubttuloCar"/>
    <w:semiHidden/>
    <w:rsid w:val="007F646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7F6465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7F6465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7F6465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7F6465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7F6465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7F6465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7F6465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7F6465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7F6465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7F6465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7F6465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7F6465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7F646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7F6465"/>
    <w:pPr>
      <w:spacing w:after="120"/>
      <w:ind w:left="1440" w:right="1440"/>
    </w:pPr>
  </w:style>
  <w:style w:type="character" w:styleId="Textoennegrita">
    <w:name w:val="Strong"/>
    <w:semiHidden/>
    <w:rsid w:val="007F6465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7F6465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7F6465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7F646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7F6465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7F6465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7F6465"/>
  </w:style>
  <w:style w:type="paragraph" w:styleId="Textosinformato">
    <w:name w:val="Plain Text"/>
    <w:basedOn w:val="Normal"/>
    <w:link w:val="TextosinformatoCar"/>
    <w:semiHidden/>
    <w:rsid w:val="007F6465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7F646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7F6465"/>
    <w:rPr>
      <w:i/>
      <w:iCs/>
    </w:rPr>
  </w:style>
  <w:style w:type="paragraph" w:customStyle="1" w:styleId="Bullet1G">
    <w:name w:val="_Bullet 1_G"/>
    <w:basedOn w:val="Normal"/>
    <w:uiPriority w:val="1"/>
    <w:qFormat/>
    <w:rsid w:val="007F6465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7F6465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7F646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F6465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7F6465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7F6465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7F6465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7F6465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F6465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7F6465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7F6465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7F6465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7F6465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7F6465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7F6465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7F6465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7F6465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7F6465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7F6465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7F6465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7F6465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7F6465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7F6465"/>
    <w:rPr>
      <w:b/>
      <w:sz w:val="18"/>
      <w:lang w:val="es-ES" w:eastAsia="es-ES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7F6465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7F6465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7F6465"/>
    <w:rPr>
      <w:rFonts w:ascii="Courier New" w:hAnsi="Courier New" w:cs="Courier New"/>
      <w:lang w:val="es-ES" w:eastAsia="es-ES"/>
    </w:rPr>
  </w:style>
  <w:style w:type="character" w:styleId="nfasisintenso">
    <w:name w:val="Intense Emphasis"/>
    <w:uiPriority w:val="21"/>
    <w:rsid w:val="007F6465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rsid w:val="007F646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rsid w:val="007F6465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7F6465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7F6465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7F6465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7F6465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7F6465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semiHidden/>
    <w:rsid w:val="007F6465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7F6465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7F6465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7F6465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7F6465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7F6465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7F6465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7F6465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7F6465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CD03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es/CERD/C/CMR/CO/19-21" TargetMode="External"/><Relationship Id="rId13" Type="http://schemas.openxmlformats.org/officeDocument/2006/relationships/hyperlink" Target="https://undocs.org/es/CERD/C/CMR/22-23" TargetMode="External"/><Relationship Id="rId18" Type="http://schemas.openxmlformats.org/officeDocument/2006/relationships/hyperlink" Target="https://undocs.org/es/CERD/C/CMR/CO/19-21" TargetMode="External"/><Relationship Id="rId3" Type="http://schemas.openxmlformats.org/officeDocument/2006/relationships/hyperlink" Target="https://undocs.org/es/CERD/C/CMR/22-23" TargetMode="External"/><Relationship Id="rId21" Type="http://schemas.openxmlformats.org/officeDocument/2006/relationships/hyperlink" Target="https://undocs.org/es/CERD/C/CMR/22-23" TargetMode="External"/><Relationship Id="rId7" Type="http://schemas.openxmlformats.org/officeDocument/2006/relationships/hyperlink" Target="https://undocs.org/es/CERD/C/CMR/22-23" TargetMode="External"/><Relationship Id="rId12" Type="http://schemas.openxmlformats.org/officeDocument/2006/relationships/hyperlink" Target="https://undocs.org/es/CERD/C/CMR/CO/19-21" TargetMode="External"/><Relationship Id="rId17" Type="http://schemas.openxmlformats.org/officeDocument/2006/relationships/hyperlink" Target="https://undocs.org/es/CERD/C/CMR/22-23" TargetMode="External"/><Relationship Id="rId2" Type="http://schemas.openxmlformats.org/officeDocument/2006/relationships/hyperlink" Target="https://undocs.org/es/CERD/C/CMR/CO/19-21" TargetMode="External"/><Relationship Id="rId16" Type="http://schemas.openxmlformats.org/officeDocument/2006/relationships/hyperlink" Target="https://undocs.org/es/CERD/C/CMR/CO/19-21" TargetMode="External"/><Relationship Id="rId20" Type="http://schemas.openxmlformats.org/officeDocument/2006/relationships/hyperlink" Target="https://undocs.org/es/CERD/C/CMR/CO/19-21" TargetMode="External"/><Relationship Id="rId1" Type="http://schemas.openxmlformats.org/officeDocument/2006/relationships/hyperlink" Target="https://undocs.org/es/A/65/18" TargetMode="External"/><Relationship Id="rId6" Type="http://schemas.openxmlformats.org/officeDocument/2006/relationships/hyperlink" Target="https://undocs.org/es/CERD/C/CMR/CO/19-21" TargetMode="External"/><Relationship Id="rId11" Type="http://schemas.openxmlformats.org/officeDocument/2006/relationships/hyperlink" Target="https://undocs.org/es/CERD/C/CMR/22-23" TargetMode="External"/><Relationship Id="rId5" Type="http://schemas.openxmlformats.org/officeDocument/2006/relationships/hyperlink" Target="https://undocs.org/es/CERD/C/CMR/22-23" TargetMode="External"/><Relationship Id="rId15" Type="http://schemas.openxmlformats.org/officeDocument/2006/relationships/hyperlink" Target="https://undocs.org/es/CERD/C/CMR/22-23" TargetMode="External"/><Relationship Id="rId10" Type="http://schemas.openxmlformats.org/officeDocument/2006/relationships/hyperlink" Target="https://undocs.org/es/CERD/C/CMR/CO/19-21" TargetMode="External"/><Relationship Id="rId19" Type="http://schemas.openxmlformats.org/officeDocument/2006/relationships/hyperlink" Target="https://undocs.org/es/CERD/C/CMR/22-23" TargetMode="External"/><Relationship Id="rId4" Type="http://schemas.openxmlformats.org/officeDocument/2006/relationships/hyperlink" Target="https://undocs.org/es/CERD/C/CMR/CO/19-21" TargetMode="External"/><Relationship Id="rId9" Type="http://schemas.openxmlformats.org/officeDocument/2006/relationships/hyperlink" Target="https://undocs.org/es/CERD/C/CMR/22-23" TargetMode="External"/><Relationship Id="rId14" Type="http://schemas.openxmlformats.org/officeDocument/2006/relationships/hyperlink" Target="https://undocs.org/es/CERD/C/CMR/CO/19-2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2</Pages>
  <Words>934</Words>
  <Characters>5007</Characters>
  <Application>Microsoft Office Word</Application>
  <DocSecurity>0</DocSecurity>
  <Lines>87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CERD/C/CMR/Q/22-23</vt:lpstr>
    </vt:vector>
  </TitlesOfParts>
  <Company/>
  <LinksUpToDate>false</LinksUpToDate>
  <CharactersWithSpaces>5908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CERD/C/CMR/Q/22-23</dc:title>
  <dc:subject/>
  <dc:creator>Luz Maria URQUIZU MARROQUIN</dc:creator>
  <cp:keywords/>
  <cp:lastModifiedBy>Luz Urquizu Marroquin</cp:lastModifiedBy>
  <cp:revision>3</cp:revision>
  <cp:lastPrinted>2022-03-08T10:47:00Z</cp:lastPrinted>
  <dcterms:created xsi:type="dcterms:W3CDTF">2022-03-08T10:47:00Z</dcterms:created>
  <dcterms:modified xsi:type="dcterms:W3CDTF">2022-03-08T10:48:00Z</dcterms:modified>
</cp:coreProperties>
</file>