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87322A" w:rsidRDefault="006B3E27" w:rsidP="009867A8">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1E06C0" w:rsidP="00977D1E">
            <w:pPr>
              <w:bidi w:val="0"/>
              <w:spacing w:after="20"/>
              <w:jc w:val="left"/>
              <w:rPr>
                <w:szCs w:val="20"/>
              </w:rPr>
            </w:pPr>
            <w:r w:rsidRPr="001E06C0">
              <w:rPr>
                <w:sz w:val="40"/>
                <w:szCs w:val="20"/>
              </w:rPr>
              <w:t>CCPR</w:t>
            </w:r>
            <w:r>
              <w:rPr>
                <w:szCs w:val="20"/>
              </w:rPr>
              <w:t>/C/SRB/CO/3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7F5BD3B5" wp14:editId="00D5CFA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977D1E" w:rsidP="00977D1E">
            <w:pPr>
              <w:bidi w:val="0"/>
              <w:spacing w:before="240"/>
              <w:jc w:val="left"/>
              <w:rPr>
                <w:szCs w:val="20"/>
              </w:rPr>
            </w:pPr>
            <w:r>
              <w:rPr>
                <w:szCs w:val="20"/>
              </w:rPr>
              <w:t>Distr.: General</w:t>
            </w:r>
          </w:p>
          <w:p w:rsidR="00977D1E" w:rsidRDefault="00977D1E" w:rsidP="00977D1E">
            <w:pPr>
              <w:bidi w:val="0"/>
              <w:jc w:val="left"/>
              <w:rPr>
                <w:szCs w:val="20"/>
              </w:rPr>
            </w:pPr>
            <w:r>
              <w:rPr>
                <w:szCs w:val="20"/>
              </w:rPr>
              <w:t>10 April 2017</w:t>
            </w:r>
          </w:p>
          <w:p w:rsidR="00977D1E" w:rsidRDefault="00977D1E" w:rsidP="00977D1E">
            <w:pPr>
              <w:bidi w:val="0"/>
              <w:jc w:val="left"/>
              <w:rPr>
                <w:szCs w:val="20"/>
              </w:rPr>
            </w:pPr>
            <w:r>
              <w:rPr>
                <w:szCs w:val="20"/>
              </w:rPr>
              <w:t>Arabic</w:t>
            </w:r>
          </w:p>
          <w:p w:rsidR="00977D1E" w:rsidRPr="00CB6622" w:rsidRDefault="00977D1E" w:rsidP="00977D1E">
            <w:pPr>
              <w:bidi w:val="0"/>
              <w:jc w:val="left"/>
              <w:rPr>
                <w:szCs w:val="20"/>
              </w:rPr>
            </w:pPr>
            <w:r>
              <w:rPr>
                <w:szCs w:val="20"/>
              </w:rPr>
              <w:t>Original: English</w:t>
            </w:r>
          </w:p>
        </w:tc>
      </w:tr>
    </w:tbl>
    <w:p w:rsidR="00977D1E" w:rsidRPr="00977D1E" w:rsidRDefault="00977D1E" w:rsidP="00977D1E">
      <w:pPr>
        <w:spacing w:before="120" w:line="380" w:lineRule="exact"/>
        <w:rPr>
          <w:b/>
          <w:bCs/>
          <w:sz w:val="36"/>
          <w:szCs w:val="36"/>
          <w:rtl/>
        </w:rPr>
      </w:pPr>
      <w:r w:rsidRPr="00977D1E">
        <w:rPr>
          <w:rFonts w:hint="cs"/>
          <w:b/>
          <w:bCs/>
          <w:sz w:val="36"/>
          <w:szCs w:val="36"/>
          <w:rtl/>
        </w:rPr>
        <w:t>اللجنة المعنية بحقوق الإنسان</w:t>
      </w:r>
    </w:p>
    <w:p w:rsidR="00977D1E" w:rsidRDefault="00977D1E" w:rsidP="00977D1E">
      <w:pPr>
        <w:pStyle w:val="HChGA"/>
        <w:rPr>
          <w:rtl/>
        </w:rPr>
      </w:pPr>
      <w:r>
        <w:rPr>
          <w:rFonts w:hint="cs"/>
          <w:rtl/>
        </w:rPr>
        <w:tab/>
      </w:r>
      <w:r>
        <w:rPr>
          <w:rFonts w:hint="cs"/>
          <w:rtl/>
        </w:rPr>
        <w:tab/>
        <w:t>الملاحظات الختامية بشأن التقرير الدوري الثالث لصربيا</w:t>
      </w:r>
      <w:r w:rsidRPr="008B04CE">
        <w:rPr>
          <w:rStyle w:val="FootnoteReference"/>
          <w:sz w:val="20"/>
          <w:vertAlign w:val="baseline"/>
          <w:rtl/>
        </w:rPr>
        <w:footnoteReference w:customMarkFollows="1" w:id="1"/>
        <w:t>*</w:t>
      </w:r>
    </w:p>
    <w:p w:rsidR="00977D1E" w:rsidRDefault="00977D1E" w:rsidP="002622C8">
      <w:pPr>
        <w:pStyle w:val="SingleTxtGA"/>
        <w:rPr>
          <w:rtl/>
        </w:rPr>
      </w:pPr>
      <w:r w:rsidRPr="00977D1E">
        <w:rPr>
          <w:rFonts w:hint="cs"/>
          <w:spacing w:val="-4"/>
          <w:rtl/>
        </w:rPr>
        <w:t>1-</w:t>
      </w:r>
      <w:r w:rsidRPr="00977D1E">
        <w:rPr>
          <w:rFonts w:hint="cs"/>
          <w:spacing w:val="-4"/>
          <w:rtl/>
        </w:rPr>
        <w:tab/>
        <w:t>نظرت اللجنة في التقرير الدوري الثالث لصربيا (</w:t>
      </w:r>
      <w:r w:rsidRPr="00977D1E">
        <w:rPr>
          <w:spacing w:val="-4"/>
        </w:rPr>
        <w:t>CCPR/C/SRB/3</w:t>
      </w:r>
      <w:r w:rsidRPr="00977D1E">
        <w:rPr>
          <w:rFonts w:hint="cs"/>
          <w:spacing w:val="-4"/>
          <w:rtl/>
        </w:rPr>
        <w:t>) في جلستيها</w:t>
      </w:r>
      <w:r>
        <w:rPr>
          <w:rFonts w:hint="cs"/>
          <w:rtl/>
        </w:rPr>
        <w:t xml:space="preserve"> 3341 و3342 (انظر </w:t>
      </w:r>
      <w:r w:rsidRPr="00AB5F64">
        <w:t>CCPR/C/SR.3341</w:t>
      </w:r>
      <w:r>
        <w:rPr>
          <w:rFonts w:hint="cs"/>
          <w:rtl/>
        </w:rPr>
        <w:t xml:space="preserve"> و</w:t>
      </w:r>
      <w:r>
        <w:t>3342</w:t>
      </w:r>
      <w:r>
        <w:rPr>
          <w:rFonts w:hint="cs"/>
          <w:rtl/>
        </w:rPr>
        <w:t>)، المعقودتين في 7 و8 آذار/مارس 2017. واعتمدت اللجنة هذه الملاحظات الختامية في جلستها 3364، المعقودة في 23 آذار</w:t>
      </w:r>
      <w:r w:rsidR="002622C8">
        <w:rPr>
          <w:rFonts w:hint="cs"/>
          <w:rtl/>
        </w:rPr>
        <w:t xml:space="preserve">/ </w:t>
      </w:r>
      <w:r>
        <w:rPr>
          <w:rFonts w:hint="cs"/>
          <w:rtl/>
        </w:rPr>
        <w:t>مارس</w:t>
      </w:r>
      <w:r w:rsidR="002622C8">
        <w:rPr>
          <w:rFonts w:hint="eastAsia"/>
          <w:rtl/>
        </w:rPr>
        <w:t> </w:t>
      </w:r>
      <w:r>
        <w:rPr>
          <w:rFonts w:hint="cs"/>
          <w:rtl/>
        </w:rPr>
        <w:t>2017.</w:t>
      </w:r>
    </w:p>
    <w:p w:rsidR="00977D1E" w:rsidRDefault="00977D1E" w:rsidP="00977D1E">
      <w:pPr>
        <w:pStyle w:val="H1GA"/>
        <w:rPr>
          <w:rtl/>
        </w:rPr>
      </w:pPr>
      <w:r>
        <w:rPr>
          <w:rFonts w:hint="cs"/>
          <w:rtl/>
        </w:rPr>
        <w:tab/>
        <w:t>ألف-</w:t>
      </w:r>
      <w:r>
        <w:rPr>
          <w:rFonts w:hint="cs"/>
          <w:rtl/>
        </w:rPr>
        <w:tab/>
        <w:t>مقدمة</w:t>
      </w:r>
    </w:p>
    <w:p w:rsidR="00977D1E" w:rsidRDefault="00977D1E" w:rsidP="00977D1E">
      <w:pPr>
        <w:pStyle w:val="SingleTxtGA"/>
        <w:rPr>
          <w:rtl/>
        </w:rPr>
      </w:pPr>
      <w:r>
        <w:rPr>
          <w:rFonts w:hint="cs"/>
          <w:rtl/>
        </w:rPr>
        <w:t>2-</w:t>
      </w:r>
      <w:r>
        <w:rPr>
          <w:rFonts w:hint="cs"/>
          <w:rtl/>
        </w:rPr>
        <w:tab/>
        <w:t>ترحب اللجنة بتقديم التقرير الدوري الثالث لصربيا وبالمعلومات الواردة فيه. وتعرب اللجنة عن تقديرها للفرصة التي أُتيحت لها لتجديد حوارها البنَّاء مع وفد الدولة الطرف الكبير بشأن التدابير المتخذة في الفترة المشمولة بالتقرير لتنفيذ أحكام العهد. وتعرب اللجنة عن امتنانها للدولة الطرف على ردودها الكتابية (</w:t>
      </w:r>
      <w:r w:rsidRPr="00AB5F64">
        <w:t>CCPR/C/SRB/Q/3/Add.1</w:t>
      </w:r>
      <w:r>
        <w:rPr>
          <w:rFonts w:hint="cs"/>
          <w:rtl/>
        </w:rPr>
        <w:t>) على قائمة المسائل (</w:t>
      </w:r>
      <w:r w:rsidRPr="00AB5F64">
        <w:t>CCPR/C/SRB/Q/3</w:t>
      </w:r>
      <w:r>
        <w:rPr>
          <w:rFonts w:hint="cs"/>
          <w:rtl/>
        </w:rPr>
        <w:t>)، وهي الردود التي استُكملت بالإجابات الشفوية التي قدمها الوفد، وعلى المعلومات الإضافية التي قدمتها كتابيا.</w:t>
      </w:r>
    </w:p>
    <w:p w:rsidR="00977D1E" w:rsidRDefault="00977D1E" w:rsidP="00977D1E">
      <w:pPr>
        <w:pStyle w:val="SingleTxtGA"/>
        <w:rPr>
          <w:rtl/>
        </w:rPr>
      </w:pPr>
      <w:r>
        <w:rPr>
          <w:rFonts w:hint="cs"/>
          <w:rtl/>
        </w:rPr>
        <w:t>3-</w:t>
      </w:r>
      <w:r>
        <w:rPr>
          <w:rFonts w:hint="cs"/>
          <w:rtl/>
        </w:rPr>
        <w:tab/>
        <w:t xml:space="preserve">وتذكِّر اللجنة بملاحظاتها الختامية السابقة (انظر </w:t>
      </w:r>
      <w:r w:rsidRPr="00AB5F64">
        <w:t>CCPR/C/UNK/CO/1</w:t>
      </w:r>
      <w:r>
        <w:rPr>
          <w:rFonts w:hint="cs"/>
          <w:rtl/>
        </w:rPr>
        <w:t>) وتلاحظ أن الدولة الطرف لا تزال تعلن عدم قدرتها على مراقبة عملية تطبيق العهد في كوسوفو</w:t>
      </w:r>
      <w:r>
        <w:rPr>
          <w:vertAlign w:val="superscript"/>
          <w:rtl/>
        </w:rPr>
        <w:t>(</w:t>
      </w:r>
      <w:r>
        <w:rPr>
          <w:rStyle w:val="FootnoteReference"/>
          <w:rtl/>
        </w:rPr>
        <w:footnoteReference w:id="2"/>
      </w:r>
      <w:r>
        <w:rPr>
          <w:vertAlign w:val="superscript"/>
          <w:rtl/>
        </w:rPr>
        <w:t>)</w:t>
      </w:r>
      <w:r>
        <w:rPr>
          <w:rFonts w:hint="cs"/>
          <w:rtl/>
        </w:rPr>
        <w:t xml:space="preserve"> لأن السلطة المدنية هناك تمارسها، بموجب قرار مجلس الأمن 1244(1999)، بعثة الأمم المتحدة للإدارة المؤقتة في كوسوفو (بعثة الأمم المتحدة في كوسوفو). وترى اللجنة أن العهد لا يزال ينطبق على كوسوفو، ولذلك فهي تشجع بعثة الأمم المتحدة في كوسوفو على أن تعد، بالتعاون مع مؤسسات كوسوفو، ودون الإخلال بالوضع القانوني النهائي لكوسوفو، تقريراً عن وضع حقوق الإنسان هناك وأن تقدمه إلى اللجنة. </w:t>
      </w:r>
    </w:p>
    <w:p w:rsidR="00977D1E" w:rsidRDefault="00977D1E" w:rsidP="00977D1E">
      <w:pPr>
        <w:pStyle w:val="H1GA"/>
        <w:spacing w:before="120"/>
        <w:rPr>
          <w:rtl/>
        </w:rPr>
      </w:pPr>
      <w:r>
        <w:rPr>
          <w:rFonts w:hint="cs"/>
          <w:rtl/>
        </w:rPr>
        <w:lastRenderedPageBreak/>
        <w:tab/>
        <w:t>باء-</w:t>
      </w:r>
      <w:r>
        <w:rPr>
          <w:rFonts w:hint="cs"/>
          <w:rtl/>
        </w:rPr>
        <w:tab/>
        <w:t>الجوانب الإيجابية</w:t>
      </w:r>
    </w:p>
    <w:p w:rsidR="00977D1E" w:rsidRDefault="00977D1E" w:rsidP="009002F2">
      <w:pPr>
        <w:pStyle w:val="SingleTxtGA"/>
        <w:spacing w:after="100" w:line="376" w:lineRule="exact"/>
        <w:rPr>
          <w:rtl/>
        </w:rPr>
      </w:pPr>
      <w:r>
        <w:rPr>
          <w:rFonts w:hint="cs"/>
          <w:rtl/>
        </w:rPr>
        <w:t>4-</w:t>
      </w:r>
      <w:r>
        <w:rPr>
          <w:rFonts w:hint="cs"/>
          <w:rtl/>
        </w:rPr>
        <w:tab/>
        <w:t>ترحب اللجنة بالتدابير المؤسسية والتشريعية التالية التي اتخذتها الدولة الطرف:</w:t>
      </w:r>
    </w:p>
    <w:p w:rsidR="00977D1E" w:rsidRDefault="00977D1E" w:rsidP="009002F2">
      <w:pPr>
        <w:pStyle w:val="SingleTxtGA"/>
        <w:spacing w:after="100" w:line="376" w:lineRule="exact"/>
        <w:rPr>
          <w:rtl/>
        </w:rPr>
      </w:pPr>
      <w:r>
        <w:rPr>
          <w:rFonts w:hint="cs"/>
          <w:rtl/>
        </w:rPr>
        <w:tab/>
        <w:t>(أ)</w:t>
      </w:r>
      <w:r>
        <w:rPr>
          <w:rFonts w:hint="cs"/>
          <w:rtl/>
        </w:rPr>
        <w:tab/>
        <w:t xml:space="preserve">اعتماد القانون المتعلق بتنفيذ الجزاءات الجنائية والقانون المتعلق بإنفاذ الجزاءات والتدابير غير </w:t>
      </w:r>
      <w:proofErr w:type="spellStart"/>
      <w:r>
        <w:rPr>
          <w:rFonts w:hint="cs"/>
          <w:rtl/>
        </w:rPr>
        <w:t>الاحتجازية</w:t>
      </w:r>
      <w:proofErr w:type="spellEnd"/>
      <w:r>
        <w:rPr>
          <w:rFonts w:hint="cs"/>
          <w:rtl/>
        </w:rPr>
        <w:t xml:space="preserve"> في عام 2014؛ </w:t>
      </w:r>
    </w:p>
    <w:p w:rsidR="00977D1E" w:rsidRDefault="00977D1E" w:rsidP="009002F2">
      <w:pPr>
        <w:pStyle w:val="SingleTxtGA"/>
        <w:spacing w:after="100" w:line="376" w:lineRule="exact"/>
        <w:rPr>
          <w:rtl/>
        </w:rPr>
      </w:pPr>
      <w:r>
        <w:rPr>
          <w:rFonts w:hint="cs"/>
          <w:rtl/>
        </w:rPr>
        <w:tab/>
        <w:t>(ب)</w:t>
      </w:r>
      <w:r>
        <w:rPr>
          <w:rFonts w:hint="cs"/>
          <w:rtl/>
        </w:rPr>
        <w:tab/>
        <w:t>اعتماد الاستراتيجية الوطنية لتحسين وضع المرأة وتعزيز المساواة بين الجنسين (2016-2020) وخطة العمل المرفقة بها المتعلقة بتنفيذها؛</w:t>
      </w:r>
    </w:p>
    <w:p w:rsidR="00977D1E" w:rsidRDefault="00977D1E" w:rsidP="009002F2">
      <w:pPr>
        <w:pStyle w:val="SingleTxtGA"/>
        <w:spacing w:after="100" w:line="376" w:lineRule="exact"/>
        <w:rPr>
          <w:rtl/>
        </w:rPr>
      </w:pPr>
      <w:r>
        <w:rPr>
          <w:rFonts w:hint="cs"/>
          <w:rtl/>
        </w:rPr>
        <w:tab/>
        <w:t>(ج)</w:t>
      </w:r>
      <w:r>
        <w:rPr>
          <w:rFonts w:hint="cs"/>
          <w:rtl/>
        </w:rPr>
        <w:tab/>
        <w:t>إنشاء الهيئة التنسيقية المعنية بالمساواة بين الجنسين، في عام 2014؛</w:t>
      </w:r>
    </w:p>
    <w:p w:rsidR="00977D1E" w:rsidRDefault="00977D1E" w:rsidP="009002F2">
      <w:pPr>
        <w:pStyle w:val="SingleTxtGA"/>
        <w:spacing w:after="100" w:line="376" w:lineRule="exact"/>
        <w:rPr>
          <w:rtl/>
        </w:rPr>
      </w:pPr>
      <w:r>
        <w:rPr>
          <w:rFonts w:hint="cs"/>
          <w:rtl/>
        </w:rPr>
        <w:tab/>
        <w:t>(د)</w:t>
      </w:r>
      <w:r>
        <w:rPr>
          <w:rFonts w:hint="cs"/>
          <w:rtl/>
        </w:rPr>
        <w:tab/>
        <w:t>اعتماد القانون الجديد المتعلق بمنع العنف المنزلي، في عام 2016.</w:t>
      </w:r>
    </w:p>
    <w:p w:rsidR="00977D1E" w:rsidRDefault="00977D1E" w:rsidP="009002F2">
      <w:pPr>
        <w:pStyle w:val="SingleTxtGA"/>
        <w:spacing w:after="100" w:line="376" w:lineRule="exact"/>
        <w:rPr>
          <w:rtl/>
        </w:rPr>
      </w:pPr>
      <w:r>
        <w:rPr>
          <w:rFonts w:hint="cs"/>
          <w:rtl/>
        </w:rPr>
        <w:t>5-</w:t>
      </w:r>
      <w:r>
        <w:rPr>
          <w:rFonts w:hint="cs"/>
          <w:rtl/>
        </w:rPr>
        <w:tab/>
        <w:t>وترحب اللجنة أيضاً بتصديق الدولة الطرف على الصكوك التالية أو انضمامها إليها:</w:t>
      </w:r>
    </w:p>
    <w:p w:rsidR="00977D1E" w:rsidRDefault="00977D1E" w:rsidP="009002F2">
      <w:pPr>
        <w:pStyle w:val="SingleTxtGA"/>
        <w:spacing w:after="100" w:line="376" w:lineRule="exact"/>
        <w:rPr>
          <w:rtl/>
        </w:rPr>
      </w:pPr>
      <w:r>
        <w:rPr>
          <w:rFonts w:hint="cs"/>
          <w:rtl/>
        </w:rPr>
        <w:tab/>
        <w:t>(أ)</w:t>
      </w:r>
      <w:r>
        <w:rPr>
          <w:rFonts w:hint="cs"/>
          <w:rtl/>
        </w:rPr>
        <w:tab/>
        <w:t>الاتفاقية الدولية لحماية جميع الأشخاص من الاختفاء القسري، في 18 أيار/مايو 2011؛</w:t>
      </w:r>
    </w:p>
    <w:p w:rsidR="00977D1E" w:rsidRDefault="00977D1E" w:rsidP="009002F2">
      <w:pPr>
        <w:pStyle w:val="SingleTxtGA"/>
        <w:spacing w:after="100" w:line="376" w:lineRule="exact"/>
        <w:rPr>
          <w:rtl/>
        </w:rPr>
      </w:pPr>
      <w:r>
        <w:rPr>
          <w:rFonts w:hint="cs"/>
          <w:rtl/>
        </w:rPr>
        <w:tab/>
        <w:t>(ب)</w:t>
      </w:r>
      <w:r>
        <w:rPr>
          <w:rFonts w:hint="cs"/>
          <w:rtl/>
        </w:rPr>
        <w:tab/>
        <w:t>اتفاقية مجلس أوروبا بشأن منع ومكافحة العنف ضد المرأة والعنف العائلي، في 31 تشرين الأول/أكتوبر 2013؛</w:t>
      </w:r>
    </w:p>
    <w:p w:rsidR="00977D1E" w:rsidRDefault="00977D1E" w:rsidP="009002F2">
      <w:pPr>
        <w:pStyle w:val="SingleTxtGA"/>
        <w:spacing w:after="100" w:line="376" w:lineRule="exact"/>
        <w:rPr>
          <w:rtl/>
        </w:rPr>
      </w:pPr>
      <w:r>
        <w:rPr>
          <w:rFonts w:hint="cs"/>
          <w:rtl/>
        </w:rPr>
        <w:tab/>
        <w:t>(ج)</w:t>
      </w:r>
      <w:r>
        <w:rPr>
          <w:rFonts w:hint="cs"/>
          <w:rtl/>
        </w:rPr>
        <w:tab/>
        <w:t>البروتوكول المتعلق بالتعاون في البحث عن الأشخاص المفقودين، في عام</w:t>
      </w:r>
      <w:r>
        <w:rPr>
          <w:rFonts w:hint="eastAsia"/>
          <w:rtl/>
        </w:rPr>
        <w:t> </w:t>
      </w:r>
      <w:r>
        <w:rPr>
          <w:rFonts w:hint="cs"/>
          <w:rtl/>
        </w:rPr>
        <w:t xml:space="preserve">2015، وهو البروتوكول الذي </w:t>
      </w:r>
      <w:r>
        <w:rPr>
          <w:rFonts w:eastAsiaTheme="minorEastAsia" w:hint="cs"/>
          <w:rtl/>
          <w:lang w:val="fr-FR" w:eastAsia="zh-CN"/>
        </w:rPr>
        <w:t xml:space="preserve">جرى </w:t>
      </w:r>
      <w:r>
        <w:rPr>
          <w:rFonts w:hint="cs"/>
          <w:rtl/>
        </w:rPr>
        <w:t>توقيعه بالاشتراك مع البوسنة والهرسك.</w:t>
      </w:r>
    </w:p>
    <w:p w:rsidR="00977D1E" w:rsidRDefault="00977D1E" w:rsidP="00977D1E">
      <w:pPr>
        <w:pStyle w:val="H1GA"/>
        <w:rPr>
          <w:rtl/>
        </w:rPr>
      </w:pPr>
      <w:r>
        <w:rPr>
          <w:rFonts w:hint="cs"/>
          <w:rtl/>
        </w:rPr>
        <w:tab/>
        <w:t>جيم-</w:t>
      </w:r>
      <w:r>
        <w:rPr>
          <w:rFonts w:hint="cs"/>
          <w:rtl/>
        </w:rPr>
        <w:tab/>
        <w:t>دواعي القلق الرئيسية والتوصيات</w:t>
      </w:r>
    </w:p>
    <w:p w:rsidR="00977D1E" w:rsidRDefault="00977D1E" w:rsidP="00977D1E">
      <w:pPr>
        <w:pStyle w:val="H23GA"/>
        <w:rPr>
          <w:rtl/>
        </w:rPr>
      </w:pPr>
      <w:r>
        <w:rPr>
          <w:rFonts w:hint="cs"/>
          <w:rtl/>
        </w:rPr>
        <w:tab/>
      </w:r>
      <w:r>
        <w:rPr>
          <w:rFonts w:hint="cs"/>
          <w:rtl/>
        </w:rPr>
        <w:tab/>
        <w:t>البروتوكول الاختياري وانطباق العهد في التشريعات المحلية</w:t>
      </w:r>
    </w:p>
    <w:p w:rsidR="00977D1E" w:rsidRPr="006234D3" w:rsidRDefault="00977D1E" w:rsidP="009002F2">
      <w:pPr>
        <w:pStyle w:val="SingleTxtGA"/>
        <w:spacing w:after="100" w:line="376" w:lineRule="exact"/>
        <w:rPr>
          <w:spacing w:val="-3"/>
          <w:rtl/>
        </w:rPr>
      </w:pPr>
      <w:r w:rsidRPr="006234D3">
        <w:rPr>
          <w:rFonts w:hint="cs"/>
          <w:spacing w:val="-3"/>
          <w:rtl/>
        </w:rPr>
        <w:t>6-</w:t>
      </w:r>
      <w:r w:rsidRPr="006234D3">
        <w:rPr>
          <w:rFonts w:hint="cs"/>
          <w:spacing w:val="-3"/>
          <w:rtl/>
        </w:rPr>
        <w:tab/>
        <w:t>ترحب اللجنة بإنشاء المجلس المعني برصد تنفيذ توصيات آليات حقوق الإنسان التابعة للأمم المتحدة، ومع ذلك تشعر بالقلق لعدم وجود آليات قانونية واضحة لتنفيذ الآراء التي اعتمدتها اللجنة بموجب البروتوكول الاختياري ولرصد تنفيذها. وتلاحظ اللجنة أن أحكام العهد أُدمجت في القانون المحلي، ومن ثم يمكن حمايتها في المحاكم. ومع ذلك، تأسف اللجنة لتدني مستوى وعي المجتمع القضائي والقانوني بالتطبيق العملي للعهد في النظام القانوني المحلي (المادة</w:t>
      </w:r>
      <w:r w:rsidRPr="006234D3">
        <w:rPr>
          <w:rFonts w:hint="eastAsia"/>
          <w:spacing w:val="-3"/>
          <w:rtl/>
        </w:rPr>
        <w:t> </w:t>
      </w:r>
      <w:r w:rsidRPr="006234D3">
        <w:rPr>
          <w:rFonts w:hint="cs"/>
          <w:spacing w:val="-3"/>
          <w:rtl/>
        </w:rPr>
        <w:t xml:space="preserve">2). </w:t>
      </w:r>
    </w:p>
    <w:p w:rsidR="00977D1E" w:rsidRPr="00583E90" w:rsidRDefault="00977D1E" w:rsidP="009002F2">
      <w:pPr>
        <w:pStyle w:val="SingleTxtGA"/>
        <w:spacing w:after="100" w:line="376" w:lineRule="exact"/>
        <w:rPr>
          <w:b/>
          <w:bCs/>
          <w:rtl/>
        </w:rPr>
      </w:pPr>
      <w:r>
        <w:rPr>
          <w:rFonts w:hint="cs"/>
          <w:rtl/>
        </w:rPr>
        <w:t>7-</w:t>
      </w:r>
      <w:r>
        <w:rPr>
          <w:rFonts w:hint="cs"/>
          <w:rtl/>
        </w:rPr>
        <w:tab/>
      </w:r>
      <w:r w:rsidRPr="00583E90">
        <w:rPr>
          <w:rFonts w:hint="cs"/>
          <w:b/>
          <w:bCs/>
          <w:rtl/>
        </w:rPr>
        <w:t xml:space="preserve">ينبغي للدولة الطرف أن تكفل نشر وتنفيذ آراء اللجنة بصورة منهجية، بما في ذلك الآراء التي اعتمدتها بشأن البلاغ رقم 1556/2007 </w:t>
      </w:r>
      <w:r w:rsidRPr="00977D1E">
        <w:rPr>
          <w:rFonts w:hint="cs"/>
          <w:b/>
          <w:bCs/>
          <w:i/>
          <w:iCs/>
          <w:rtl/>
        </w:rPr>
        <w:t>(</w:t>
      </w:r>
      <w:proofErr w:type="spellStart"/>
      <w:r w:rsidRPr="00977D1E">
        <w:rPr>
          <w:rFonts w:hint="cs"/>
          <w:b/>
          <w:bCs/>
          <w:i/>
          <w:iCs/>
          <w:rtl/>
        </w:rPr>
        <w:t>نوفاكوفيتش</w:t>
      </w:r>
      <w:proofErr w:type="spellEnd"/>
      <w:r w:rsidRPr="00977D1E">
        <w:rPr>
          <w:rFonts w:hint="cs"/>
          <w:b/>
          <w:bCs/>
          <w:i/>
          <w:iCs/>
          <w:rtl/>
        </w:rPr>
        <w:t xml:space="preserve"> </w:t>
      </w:r>
      <w:proofErr w:type="spellStart"/>
      <w:r w:rsidRPr="00977D1E">
        <w:rPr>
          <w:rFonts w:hint="cs"/>
          <w:b/>
          <w:bCs/>
          <w:i/>
          <w:iCs/>
          <w:rtl/>
        </w:rPr>
        <w:t>ونوفاكوفيتش</w:t>
      </w:r>
      <w:proofErr w:type="spellEnd"/>
      <w:r w:rsidRPr="00977D1E">
        <w:rPr>
          <w:rFonts w:hint="cs"/>
          <w:b/>
          <w:bCs/>
          <w:i/>
          <w:iCs/>
          <w:rtl/>
        </w:rPr>
        <w:t xml:space="preserve"> ضد صربيا)</w:t>
      </w:r>
      <w:r>
        <w:rPr>
          <w:rFonts w:hint="cs"/>
          <w:b/>
          <w:bCs/>
          <w:rtl/>
        </w:rPr>
        <w:t>،</w:t>
      </w:r>
      <w:r w:rsidRPr="00583E90">
        <w:rPr>
          <w:rFonts w:hint="cs"/>
          <w:b/>
          <w:bCs/>
          <w:rtl/>
        </w:rPr>
        <w:t xml:space="preserve"> وأن تعزز جهودها الرامية إلى ضمان </w:t>
      </w:r>
      <w:r>
        <w:rPr>
          <w:rFonts w:hint="cs"/>
          <w:b/>
          <w:bCs/>
          <w:rtl/>
        </w:rPr>
        <w:t>ت</w:t>
      </w:r>
      <w:r w:rsidRPr="00583E90">
        <w:rPr>
          <w:rFonts w:hint="cs"/>
          <w:b/>
          <w:bCs/>
          <w:rtl/>
        </w:rPr>
        <w:t>وعي</w:t>
      </w:r>
      <w:r>
        <w:rPr>
          <w:rFonts w:hint="cs"/>
          <w:b/>
          <w:bCs/>
          <w:rtl/>
        </w:rPr>
        <w:t>ة</w:t>
      </w:r>
      <w:r w:rsidRPr="00583E90">
        <w:rPr>
          <w:rFonts w:hint="cs"/>
          <w:b/>
          <w:bCs/>
          <w:rtl/>
        </w:rPr>
        <w:t xml:space="preserve"> السلطات، لا سيما </w:t>
      </w:r>
      <w:r>
        <w:rPr>
          <w:rFonts w:hint="cs"/>
          <w:b/>
          <w:bCs/>
          <w:rtl/>
        </w:rPr>
        <w:t>ا</w:t>
      </w:r>
      <w:r w:rsidRPr="00583E90">
        <w:rPr>
          <w:rFonts w:hint="cs"/>
          <w:b/>
          <w:bCs/>
          <w:rtl/>
        </w:rPr>
        <w:t xml:space="preserve">لقضاة ووكلاء </w:t>
      </w:r>
      <w:r>
        <w:rPr>
          <w:rFonts w:hint="cs"/>
          <w:b/>
          <w:bCs/>
          <w:rtl/>
        </w:rPr>
        <w:t>الادعاء</w:t>
      </w:r>
      <w:r w:rsidRPr="00583E90">
        <w:rPr>
          <w:rFonts w:hint="cs"/>
          <w:b/>
          <w:bCs/>
          <w:rtl/>
        </w:rPr>
        <w:t xml:space="preserve"> والمحامين، بإمكانية تطبيق أحكام العهد في الدولة الطرف.</w:t>
      </w:r>
    </w:p>
    <w:p w:rsidR="00977D1E" w:rsidRDefault="00977D1E" w:rsidP="00977D1E">
      <w:pPr>
        <w:pStyle w:val="H23GA"/>
        <w:rPr>
          <w:rtl/>
        </w:rPr>
      </w:pPr>
      <w:r>
        <w:rPr>
          <w:rFonts w:hint="cs"/>
          <w:rtl/>
        </w:rPr>
        <w:tab/>
      </w:r>
      <w:r>
        <w:rPr>
          <w:rFonts w:hint="cs"/>
          <w:rtl/>
        </w:rPr>
        <w:tab/>
        <w:t>الأطر القانونية المناهضة للتمييز</w:t>
      </w:r>
    </w:p>
    <w:p w:rsidR="00977D1E" w:rsidRDefault="00977D1E" w:rsidP="009002F2">
      <w:pPr>
        <w:pStyle w:val="SingleTxtGA"/>
        <w:spacing w:after="100" w:line="376" w:lineRule="exact"/>
        <w:rPr>
          <w:rtl/>
        </w:rPr>
      </w:pPr>
      <w:r>
        <w:rPr>
          <w:rFonts w:hint="cs"/>
          <w:rtl/>
        </w:rPr>
        <w:t>8-</w:t>
      </w:r>
      <w:r>
        <w:rPr>
          <w:rFonts w:hint="cs"/>
          <w:rtl/>
        </w:rPr>
        <w:tab/>
        <w:t>تنوِّه اللجنة باستراتيجية منع التمييز والحماية منه، ولكنها تشعر بالقلق بشأن ما يلي: (أ) عدم التنفيذ العملي للاستراتيجية، أو تأخره؛ و(ب) عدم الاعتراف بالتمييز غير المباشر في القانون الراهن لمكافحة التمييز؛ و(ج) عدم وجود معلومات بشأن الإجراءات المدنية، وقلة عدد الإجراءات الجنائية المتخذة بشأن التمييز؛ و(د) وعدم جمع الدولة الطرف بيانات مصنَّفة عن الأقليات الإثنية والعرقية (المواد 2 و3 و26 و27).</w:t>
      </w:r>
    </w:p>
    <w:p w:rsidR="00977D1E" w:rsidRPr="00583E90" w:rsidRDefault="00977D1E" w:rsidP="00027145">
      <w:pPr>
        <w:pStyle w:val="SingleTxtGA"/>
        <w:rPr>
          <w:b/>
          <w:bCs/>
          <w:rtl/>
        </w:rPr>
      </w:pPr>
      <w:r>
        <w:rPr>
          <w:rFonts w:hint="cs"/>
          <w:rtl/>
        </w:rPr>
        <w:lastRenderedPageBreak/>
        <w:t>9-</w:t>
      </w:r>
      <w:r>
        <w:rPr>
          <w:rFonts w:hint="cs"/>
          <w:rtl/>
        </w:rPr>
        <w:tab/>
      </w:r>
      <w:r w:rsidRPr="00583E90">
        <w:rPr>
          <w:rFonts w:hint="cs"/>
          <w:b/>
          <w:bCs/>
          <w:rtl/>
        </w:rPr>
        <w:t xml:space="preserve">ينبغي للدولة الطرف القيام بما يلي: (أ) اتخاذ تدابير ملموسة </w:t>
      </w:r>
      <w:r>
        <w:rPr>
          <w:rFonts w:hint="cs"/>
          <w:b/>
          <w:bCs/>
          <w:rtl/>
        </w:rPr>
        <w:t>ل</w:t>
      </w:r>
      <w:r w:rsidRPr="00583E90">
        <w:rPr>
          <w:rFonts w:hint="cs"/>
          <w:b/>
          <w:bCs/>
          <w:rtl/>
        </w:rPr>
        <w:t xml:space="preserve">ضمان تنفيذ خطة العمل المتعلقة بتنفيذ استراتيجية منع التمييز والحماية منه، وذلك في الوقت المناسب وبطريقة فعالة؛ </w:t>
      </w:r>
      <w:r>
        <w:rPr>
          <w:rFonts w:hint="cs"/>
          <w:b/>
          <w:bCs/>
          <w:rtl/>
        </w:rPr>
        <w:t>و</w:t>
      </w:r>
      <w:r w:rsidRPr="00583E90">
        <w:rPr>
          <w:rFonts w:hint="cs"/>
          <w:b/>
          <w:bCs/>
          <w:rtl/>
        </w:rPr>
        <w:t xml:space="preserve">(ب) ضمان أن تتناول التعديلات المقررة لقانون مكافحة التمييز، على نحو </w:t>
      </w:r>
      <w:r>
        <w:rPr>
          <w:rFonts w:hint="cs"/>
          <w:b/>
          <w:bCs/>
          <w:rtl/>
        </w:rPr>
        <w:t>مناسب</w:t>
      </w:r>
      <w:r w:rsidRPr="00583E90">
        <w:rPr>
          <w:rFonts w:hint="cs"/>
          <w:b/>
          <w:bCs/>
          <w:rtl/>
        </w:rPr>
        <w:t xml:space="preserve">، التمييز غير المباشر بوصفه شكلاً من أشكال التمييز؛ </w:t>
      </w:r>
      <w:r>
        <w:rPr>
          <w:rFonts w:hint="cs"/>
          <w:b/>
          <w:bCs/>
          <w:rtl/>
        </w:rPr>
        <w:t>و</w:t>
      </w:r>
      <w:r w:rsidRPr="00583E90">
        <w:rPr>
          <w:rFonts w:hint="cs"/>
          <w:b/>
          <w:bCs/>
          <w:rtl/>
        </w:rPr>
        <w:t xml:space="preserve">(ج) تعزيز قدرة المفوض المعني بحماية المساواة على إقامة دعاوى بموجب قانون مكافحة التمييز؛ </w:t>
      </w:r>
      <w:r>
        <w:rPr>
          <w:rFonts w:hint="cs"/>
          <w:b/>
          <w:bCs/>
          <w:rtl/>
        </w:rPr>
        <w:t>و</w:t>
      </w:r>
      <w:r w:rsidRPr="00583E90">
        <w:rPr>
          <w:rFonts w:hint="cs"/>
          <w:b/>
          <w:bCs/>
          <w:rtl/>
        </w:rPr>
        <w:t>(د)</w:t>
      </w:r>
      <w:r w:rsidR="00027145">
        <w:rPr>
          <w:rFonts w:hint="eastAsia"/>
          <w:b/>
          <w:bCs/>
          <w:rtl/>
        </w:rPr>
        <w:t> </w:t>
      </w:r>
      <w:r w:rsidRPr="00583E90">
        <w:rPr>
          <w:rFonts w:hint="cs"/>
          <w:b/>
          <w:bCs/>
          <w:rtl/>
        </w:rPr>
        <w:t xml:space="preserve">تعزيز الإنفاذ القضائي لقانون مكافحة التمييز عن طريق الإجراءات الجنائية والمدنية، </w:t>
      </w:r>
      <w:r>
        <w:rPr>
          <w:rFonts w:hint="cs"/>
          <w:b/>
          <w:bCs/>
          <w:rtl/>
        </w:rPr>
        <w:t>ويشمل</w:t>
      </w:r>
      <w:r w:rsidRPr="00583E90">
        <w:rPr>
          <w:rFonts w:hint="cs"/>
          <w:b/>
          <w:bCs/>
          <w:rtl/>
        </w:rPr>
        <w:t xml:space="preserve"> ذلك تدريب القضاة ومسؤولي إنفاذ القانون والمحامين </w:t>
      </w:r>
      <w:r>
        <w:rPr>
          <w:rFonts w:hint="cs"/>
          <w:b/>
          <w:bCs/>
          <w:rtl/>
        </w:rPr>
        <w:t xml:space="preserve">في مجال </w:t>
      </w:r>
      <w:r w:rsidRPr="00583E90">
        <w:rPr>
          <w:rFonts w:hint="cs"/>
          <w:b/>
          <w:bCs/>
          <w:rtl/>
        </w:rPr>
        <w:t xml:space="preserve">عدم التمييز؛ </w:t>
      </w:r>
      <w:r>
        <w:rPr>
          <w:rFonts w:hint="cs"/>
          <w:b/>
          <w:bCs/>
          <w:rtl/>
        </w:rPr>
        <w:t>و</w:t>
      </w:r>
      <w:r w:rsidRPr="00583E90">
        <w:rPr>
          <w:rFonts w:hint="cs"/>
          <w:b/>
          <w:bCs/>
          <w:rtl/>
        </w:rPr>
        <w:t xml:space="preserve">(ه) جمع بيانات واستحداث أدوات تسمح للدولة الطرف بتقييم وضمان تمتع الأقليات العرقية </w:t>
      </w:r>
      <w:proofErr w:type="spellStart"/>
      <w:r w:rsidRPr="00583E90">
        <w:rPr>
          <w:rFonts w:hint="cs"/>
          <w:b/>
          <w:bCs/>
          <w:rtl/>
        </w:rPr>
        <w:t>والإثنية</w:t>
      </w:r>
      <w:proofErr w:type="spellEnd"/>
      <w:r w:rsidRPr="00583E90">
        <w:rPr>
          <w:rFonts w:hint="cs"/>
          <w:b/>
          <w:bCs/>
          <w:rtl/>
        </w:rPr>
        <w:t xml:space="preserve"> تمتعاً فعلياً بجميع حقوق الإنسان والحريات الأساسية، والاستفادة من هذه البيانات لأغراض التخطيط والتقييم. </w:t>
      </w:r>
    </w:p>
    <w:p w:rsidR="00977D1E" w:rsidRDefault="00977D1E" w:rsidP="00977D1E">
      <w:pPr>
        <w:pStyle w:val="H23GA"/>
        <w:rPr>
          <w:rtl/>
        </w:rPr>
      </w:pPr>
      <w:r>
        <w:rPr>
          <w:rFonts w:hint="cs"/>
          <w:rtl/>
        </w:rPr>
        <w:tab/>
      </w:r>
      <w:r>
        <w:rPr>
          <w:rFonts w:hint="cs"/>
          <w:rtl/>
        </w:rPr>
        <w:tab/>
        <w:t>جرائم الكراهية</w:t>
      </w:r>
    </w:p>
    <w:p w:rsidR="00977D1E" w:rsidRPr="00D168BC" w:rsidRDefault="00977D1E" w:rsidP="00977D1E">
      <w:pPr>
        <w:pStyle w:val="SingleTxtGA"/>
        <w:rPr>
          <w:spacing w:val="-4"/>
          <w:rtl/>
        </w:rPr>
      </w:pPr>
      <w:r w:rsidRPr="00D168BC">
        <w:rPr>
          <w:rFonts w:hint="cs"/>
          <w:spacing w:val="-4"/>
          <w:rtl/>
        </w:rPr>
        <w:t>10-</w:t>
      </w:r>
      <w:r w:rsidRPr="00D168BC">
        <w:rPr>
          <w:rFonts w:hint="cs"/>
          <w:spacing w:val="-4"/>
          <w:rtl/>
        </w:rPr>
        <w:tab/>
        <w:t xml:space="preserve">تشعر اللجنة بالقلق لأن جرائم الكراهية، لا سيما ضد </w:t>
      </w:r>
      <w:proofErr w:type="spellStart"/>
      <w:r w:rsidRPr="00D168BC">
        <w:rPr>
          <w:rFonts w:hint="cs"/>
          <w:spacing w:val="-4"/>
          <w:rtl/>
        </w:rPr>
        <w:t>الروما</w:t>
      </w:r>
      <w:proofErr w:type="spellEnd"/>
      <w:r w:rsidRPr="00D168BC">
        <w:rPr>
          <w:rFonts w:hint="cs"/>
          <w:spacing w:val="-4"/>
          <w:rtl/>
        </w:rPr>
        <w:t xml:space="preserve">، لا تزال تمثل مشكلة جسيمة في الدولة الطرف رغم جهودها لمنع الجرائم المدفوعة بالكراهية. وتلاحظ اللجنة التعديلات المدخلة على المادة 54(أ) من القانون الجنائي، وهي التعديلات التي تأخذ بالظروف المشدِّدة للعقوبة في حالة الجرائم المرتكبة بدافع من الشعور بالكراهية تجاه عرق معين أو دين معين، أو جنسية أو </w:t>
      </w:r>
      <w:proofErr w:type="spellStart"/>
      <w:r w:rsidRPr="00D168BC">
        <w:rPr>
          <w:rFonts w:hint="cs"/>
          <w:spacing w:val="-4"/>
          <w:rtl/>
        </w:rPr>
        <w:t>إثنية</w:t>
      </w:r>
      <w:proofErr w:type="spellEnd"/>
      <w:r w:rsidRPr="00D168BC">
        <w:rPr>
          <w:rFonts w:hint="cs"/>
          <w:spacing w:val="-4"/>
          <w:rtl/>
        </w:rPr>
        <w:t xml:space="preserve"> معينة، أو جنس معين، أو ميل جنسي معين، أو هوية جنسانية معينة، ولكنها تأسف لأن الدولة الطرف لم تقدم أي مثال للتنفيذ العملي لتلك التوصيات (المواد 2 و6 و20 و26).</w:t>
      </w:r>
    </w:p>
    <w:p w:rsidR="00977D1E" w:rsidRPr="00583E90" w:rsidRDefault="00977D1E" w:rsidP="00977D1E">
      <w:pPr>
        <w:pStyle w:val="SingleTxtGA"/>
        <w:rPr>
          <w:b/>
          <w:bCs/>
          <w:rtl/>
        </w:rPr>
      </w:pPr>
      <w:r>
        <w:rPr>
          <w:rFonts w:hint="cs"/>
          <w:rtl/>
        </w:rPr>
        <w:t>11-</w:t>
      </w:r>
      <w:r>
        <w:rPr>
          <w:rFonts w:hint="cs"/>
          <w:rtl/>
        </w:rPr>
        <w:tab/>
      </w:r>
      <w:r w:rsidRPr="00583E90">
        <w:rPr>
          <w:rFonts w:hint="cs"/>
          <w:b/>
          <w:bCs/>
          <w:rtl/>
        </w:rPr>
        <w:t xml:space="preserve">ينبغي للدولة الطرف القيام بما يلي: (أ) تعزيز جهودها الرامية إلى تشجيع التسامح مع الأشخاص المنتمين إلى أقليات </w:t>
      </w:r>
      <w:proofErr w:type="spellStart"/>
      <w:r w:rsidRPr="00583E90">
        <w:rPr>
          <w:rFonts w:hint="cs"/>
          <w:b/>
          <w:bCs/>
          <w:rtl/>
        </w:rPr>
        <w:t>إثنية</w:t>
      </w:r>
      <w:proofErr w:type="spellEnd"/>
      <w:r w:rsidRPr="00583E90">
        <w:rPr>
          <w:rFonts w:hint="cs"/>
          <w:b/>
          <w:bCs/>
          <w:rtl/>
        </w:rPr>
        <w:t xml:space="preserve"> وقومية وعرقية ودينية و</w:t>
      </w:r>
      <w:r>
        <w:rPr>
          <w:rFonts w:hint="cs"/>
          <w:b/>
          <w:bCs/>
          <w:rtl/>
        </w:rPr>
        <w:t>أقليات أخرى</w:t>
      </w:r>
      <w:r w:rsidRPr="00583E90">
        <w:rPr>
          <w:rFonts w:hint="cs"/>
          <w:b/>
          <w:bCs/>
          <w:rtl/>
        </w:rPr>
        <w:t xml:space="preserve">، بمن فيهم أفراد </w:t>
      </w:r>
      <w:r>
        <w:rPr>
          <w:rFonts w:hint="cs"/>
          <w:b/>
          <w:bCs/>
          <w:rtl/>
        </w:rPr>
        <w:t>جماعة</w:t>
      </w:r>
      <w:r w:rsidRPr="00583E90">
        <w:rPr>
          <w:rFonts w:hint="cs"/>
          <w:b/>
          <w:bCs/>
          <w:rtl/>
        </w:rPr>
        <w:t xml:space="preserve"> </w:t>
      </w:r>
      <w:proofErr w:type="spellStart"/>
      <w:r w:rsidRPr="00583E90">
        <w:rPr>
          <w:rFonts w:hint="cs"/>
          <w:b/>
          <w:bCs/>
          <w:rtl/>
        </w:rPr>
        <w:t>الروما</w:t>
      </w:r>
      <w:proofErr w:type="spellEnd"/>
      <w:r w:rsidRPr="00583E90">
        <w:rPr>
          <w:rFonts w:hint="cs"/>
          <w:b/>
          <w:bCs/>
          <w:rtl/>
        </w:rPr>
        <w:t xml:space="preserve">؛ </w:t>
      </w:r>
      <w:r>
        <w:rPr>
          <w:rFonts w:hint="cs"/>
          <w:b/>
          <w:bCs/>
          <w:rtl/>
        </w:rPr>
        <w:t>و</w:t>
      </w:r>
      <w:r w:rsidRPr="00583E90">
        <w:rPr>
          <w:rFonts w:hint="cs"/>
          <w:b/>
          <w:bCs/>
          <w:rtl/>
        </w:rPr>
        <w:t>(ب) التنفيذ الفعلي للمادة 54(أ) من القانون الجنائي، ويشمل ذلك ضمان تحديد جرائم الكراهية والتحقيق الفوري فيها ومقاضاة مرتكبيها المزعومين ومعاقبتهم بعقوبات مناسبة</w:t>
      </w:r>
      <w:r>
        <w:rPr>
          <w:rFonts w:hint="cs"/>
          <w:b/>
          <w:bCs/>
          <w:rtl/>
        </w:rPr>
        <w:t>،</w:t>
      </w:r>
      <w:r w:rsidRPr="00583E90">
        <w:rPr>
          <w:rFonts w:hint="cs"/>
          <w:b/>
          <w:bCs/>
          <w:rtl/>
        </w:rPr>
        <w:t xml:space="preserve"> في حالة إدانتهم.</w:t>
      </w:r>
    </w:p>
    <w:p w:rsidR="00977D1E" w:rsidRDefault="00977D1E" w:rsidP="00977D1E">
      <w:pPr>
        <w:pStyle w:val="H23GA"/>
        <w:rPr>
          <w:rtl/>
        </w:rPr>
      </w:pPr>
      <w:r>
        <w:rPr>
          <w:rFonts w:hint="cs"/>
          <w:rtl/>
        </w:rPr>
        <w:tab/>
      </w:r>
      <w:r>
        <w:rPr>
          <w:rFonts w:hint="cs"/>
          <w:rtl/>
        </w:rPr>
        <w:tab/>
        <w:t xml:space="preserve">التمييز ضد </w:t>
      </w:r>
      <w:proofErr w:type="spellStart"/>
      <w:r>
        <w:rPr>
          <w:rFonts w:hint="cs"/>
          <w:rtl/>
        </w:rPr>
        <w:t>المثليات</w:t>
      </w:r>
      <w:proofErr w:type="spellEnd"/>
      <w:r>
        <w:rPr>
          <w:rFonts w:hint="cs"/>
          <w:rtl/>
        </w:rPr>
        <w:t xml:space="preserve"> والمثليين ومزدوجي الميل الجنسي ومغايري الهوية الجنسانية وحاملي صفات الجنسين والمصابين بفيروس نقص المناعة البشرية</w:t>
      </w:r>
    </w:p>
    <w:p w:rsidR="00977D1E" w:rsidRDefault="00977D1E" w:rsidP="00977D1E">
      <w:pPr>
        <w:pStyle w:val="SingleTxtGA"/>
        <w:rPr>
          <w:rtl/>
        </w:rPr>
      </w:pPr>
      <w:r>
        <w:rPr>
          <w:rFonts w:hint="cs"/>
          <w:rtl/>
        </w:rPr>
        <w:t>12-</w:t>
      </w:r>
      <w:r>
        <w:rPr>
          <w:rFonts w:hint="cs"/>
          <w:rtl/>
        </w:rPr>
        <w:tab/>
        <w:t xml:space="preserve">تشعر اللجنة بالقلق بشأن ما يلي: (أ) استمرار الارتفاع الشديد لعدد أفعال التمييز والتعصب والعنف المرتكبة ضد </w:t>
      </w:r>
      <w:proofErr w:type="spellStart"/>
      <w:r>
        <w:rPr>
          <w:rFonts w:hint="cs"/>
          <w:rtl/>
        </w:rPr>
        <w:t>المثليات</w:t>
      </w:r>
      <w:proofErr w:type="spellEnd"/>
      <w:r>
        <w:rPr>
          <w:rFonts w:hint="cs"/>
          <w:rtl/>
        </w:rPr>
        <w:t xml:space="preserve"> والمثليين ومزدوجي الميل الجنسي ومغايري الهوية الجنسانية وحاملي صفات الجنسين؛ و(ب) عدم تنظيم العواقب القانونية المترتبة على تعديل أو تغيير جنس الشخص في الوقت الراهن بموجب أي إطار قانوني، وعدم وجود الحق في اختيار نوع الجنس المفضل في حالة عدم إتاحة التدخل الجراحي؛ و(ج) استمرار تعرض المصابين بفيروس نقص المناعة البشرية للتمييز ولانتهاكات حقهم في الخصوصية، لا سيما في سياق الرعاية الصحية (المواد 2 و7 و16 و26).</w:t>
      </w:r>
    </w:p>
    <w:p w:rsidR="00977D1E" w:rsidRPr="00583E90" w:rsidRDefault="00977D1E" w:rsidP="00977D1E">
      <w:pPr>
        <w:pStyle w:val="SingleTxtGA"/>
        <w:rPr>
          <w:b/>
          <w:bCs/>
          <w:rtl/>
        </w:rPr>
      </w:pPr>
      <w:r>
        <w:rPr>
          <w:rFonts w:hint="cs"/>
          <w:rtl/>
        </w:rPr>
        <w:t>13-</w:t>
      </w:r>
      <w:r>
        <w:rPr>
          <w:rFonts w:hint="cs"/>
          <w:rtl/>
        </w:rPr>
        <w:tab/>
      </w:r>
      <w:r w:rsidRPr="00583E90">
        <w:rPr>
          <w:rFonts w:hint="cs"/>
          <w:b/>
          <w:bCs/>
          <w:rtl/>
        </w:rPr>
        <w:t xml:space="preserve">ينبغي للدولة الطرف القيام بما يلي: (أ) تعزيز التدابير الرامية إلى استئصال جميع أشكال الوصم الاجتماعي والتمييز والعنف </w:t>
      </w:r>
      <w:r>
        <w:rPr>
          <w:rFonts w:hint="cs"/>
          <w:b/>
          <w:bCs/>
          <w:rtl/>
        </w:rPr>
        <w:t xml:space="preserve">في </w:t>
      </w:r>
      <w:r w:rsidRPr="00583E90">
        <w:rPr>
          <w:rFonts w:hint="cs"/>
          <w:b/>
          <w:bCs/>
          <w:rtl/>
        </w:rPr>
        <w:t>حق أشخاص بسبب ميلهم الجنسي أو هويتهم الجنس</w:t>
      </w:r>
      <w:r>
        <w:rPr>
          <w:rFonts w:hint="cs"/>
          <w:b/>
          <w:bCs/>
          <w:rtl/>
        </w:rPr>
        <w:t>انية أو إصابتهم بفيروس نقص المناعة البشرية؛ و(ب)</w:t>
      </w:r>
      <w:r w:rsidRPr="00583E90">
        <w:rPr>
          <w:rFonts w:hint="cs"/>
          <w:b/>
          <w:bCs/>
          <w:rtl/>
        </w:rPr>
        <w:t xml:space="preserve"> تنفيذ إجراء يتوافق مع</w:t>
      </w:r>
      <w:r>
        <w:rPr>
          <w:rFonts w:hint="cs"/>
          <w:b/>
          <w:bCs/>
          <w:rtl/>
        </w:rPr>
        <w:t xml:space="preserve"> </w:t>
      </w:r>
      <w:r w:rsidRPr="00583E90">
        <w:rPr>
          <w:rFonts w:hint="cs"/>
          <w:b/>
          <w:bCs/>
          <w:rtl/>
        </w:rPr>
        <w:t xml:space="preserve">أحكام العهد </w:t>
      </w:r>
      <w:r>
        <w:rPr>
          <w:rFonts w:hint="cs"/>
          <w:b/>
          <w:bCs/>
          <w:rtl/>
        </w:rPr>
        <w:t>ل</w:t>
      </w:r>
      <w:r w:rsidRPr="00583E90">
        <w:rPr>
          <w:rFonts w:hint="cs"/>
          <w:b/>
          <w:bCs/>
          <w:rtl/>
        </w:rPr>
        <w:t>لاعتراف القانوني ب</w:t>
      </w:r>
      <w:r>
        <w:rPr>
          <w:rFonts w:hint="cs"/>
          <w:b/>
          <w:bCs/>
          <w:rtl/>
        </w:rPr>
        <w:t>نوع الجنس</w:t>
      </w:r>
      <w:r w:rsidRPr="00583E90">
        <w:rPr>
          <w:rFonts w:hint="cs"/>
          <w:b/>
          <w:bCs/>
          <w:rtl/>
        </w:rPr>
        <w:t xml:space="preserve">. </w:t>
      </w:r>
    </w:p>
    <w:p w:rsidR="00977D1E" w:rsidRDefault="00977D1E" w:rsidP="00977D1E">
      <w:pPr>
        <w:pStyle w:val="H23GA"/>
        <w:rPr>
          <w:rtl/>
        </w:rPr>
      </w:pPr>
      <w:r>
        <w:rPr>
          <w:rFonts w:hint="cs"/>
          <w:rtl/>
        </w:rPr>
        <w:lastRenderedPageBreak/>
        <w:tab/>
      </w:r>
      <w:r>
        <w:rPr>
          <w:rFonts w:hint="cs"/>
          <w:rtl/>
        </w:rPr>
        <w:tab/>
        <w:t xml:space="preserve">إقصاء </w:t>
      </w:r>
      <w:proofErr w:type="spellStart"/>
      <w:r>
        <w:rPr>
          <w:rFonts w:hint="cs"/>
          <w:rtl/>
        </w:rPr>
        <w:t>الروما</w:t>
      </w:r>
      <w:proofErr w:type="spellEnd"/>
    </w:p>
    <w:p w:rsidR="00977D1E" w:rsidRDefault="00977D1E" w:rsidP="00977D1E">
      <w:pPr>
        <w:pStyle w:val="SingleTxtGA"/>
        <w:rPr>
          <w:rtl/>
        </w:rPr>
      </w:pPr>
      <w:r>
        <w:rPr>
          <w:rFonts w:hint="cs"/>
          <w:rtl/>
        </w:rPr>
        <w:t>14-</w:t>
      </w:r>
      <w:r>
        <w:rPr>
          <w:rFonts w:hint="cs"/>
          <w:rtl/>
        </w:rPr>
        <w:tab/>
        <w:t xml:space="preserve">تكرر اللجنة الإعراب عن قلقها لأن أفراد جماعة </w:t>
      </w:r>
      <w:proofErr w:type="spellStart"/>
      <w:r>
        <w:rPr>
          <w:rFonts w:hint="cs"/>
          <w:rtl/>
        </w:rPr>
        <w:t>الروما</w:t>
      </w:r>
      <w:proofErr w:type="spellEnd"/>
      <w:r>
        <w:rPr>
          <w:rFonts w:hint="cs"/>
          <w:rtl/>
        </w:rPr>
        <w:t xml:space="preserve"> لا يزالون يعانون من التمييز والإقصاء الواسع النطاق، ومن البطالة، والإخلاء القسري، والفصل بحكم الواقع في السكن والتعليم، رغم جهود الدولة في هذا الإطار. وتلاحظ اللجنة أن الدولة الطرف أحرزت تقدماً في مسألة تسجيل </w:t>
      </w:r>
      <w:proofErr w:type="spellStart"/>
      <w:r>
        <w:rPr>
          <w:rFonts w:hint="cs"/>
          <w:rtl/>
        </w:rPr>
        <w:t>الروما</w:t>
      </w:r>
      <w:proofErr w:type="spellEnd"/>
      <w:r>
        <w:rPr>
          <w:rFonts w:hint="cs"/>
          <w:rtl/>
        </w:rPr>
        <w:t xml:space="preserve">، ولكنها تشعر القلق بشأن الصعوبات المستمرة التي يواجهها </w:t>
      </w:r>
      <w:proofErr w:type="spellStart"/>
      <w:r>
        <w:rPr>
          <w:rFonts w:hint="cs"/>
          <w:rtl/>
        </w:rPr>
        <w:t>الروما</w:t>
      </w:r>
      <w:proofErr w:type="spellEnd"/>
      <w:r>
        <w:rPr>
          <w:rFonts w:hint="cs"/>
          <w:rtl/>
        </w:rPr>
        <w:t xml:space="preserve"> المشردون داخلياً فيما يتعلق بما يلي: (أ) تسجيل المواليد وأماكن أقامتهم والحصول على وثائق الهوية، نتيجة أمور منها التفسير الضيق للقانون المتعلق بالإقامة الدائمة والمؤقتة؛ و(ب) اندماجهم في المجتمع الصربي؛ و(ج) ما ذكرته التقارير من تدني الأوضاع في المراكز الجماعية (المواد 2 و7 و16 و17 و24 و26).</w:t>
      </w:r>
    </w:p>
    <w:p w:rsidR="00977D1E" w:rsidRPr="00583E90" w:rsidRDefault="00977D1E" w:rsidP="00977D1E">
      <w:pPr>
        <w:pStyle w:val="SingleTxtGA"/>
        <w:rPr>
          <w:b/>
          <w:bCs/>
          <w:rtl/>
        </w:rPr>
      </w:pPr>
      <w:r>
        <w:rPr>
          <w:rFonts w:hint="cs"/>
          <w:rtl/>
        </w:rPr>
        <w:t>15-</w:t>
      </w:r>
      <w:r>
        <w:rPr>
          <w:rFonts w:hint="cs"/>
          <w:rtl/>
        </w:rPr>
        <w:tab/>
      </w:r>
      <w:r w:rsidRPr="00583E90">
        <w:rPr>
          <w:rFonts w:hint="cs"/>
          <w:b/>
          <w:bCs/>
          <w:rtl/>
        </w:rPr>
        <w:t xml:space="preserve">ينبغي للدولة الطرف أن تعزز جهودها </w:t>
      </w:r>
      <w:r>
        <w:rPr>
          <w:rFonts w:hint="cs"/>
          <w:b/>
          <w:bCs/>
          <w:rtl/>
        </w:rPr>
        <w:t>لتحقيق</w:t>
      </w:r>
      <w:r w:rsidRPr="00583E90">
        <w:rPr>
          <w:rFonts w:hint="cs"/>
          <w:b/>
          <w:bCs/>
          <w:rtl/>
        </w:rPr>
        <w:t xml:space="preserve"> ما يلي: (أ) تعزيز </w:t>
      </w:r>
      <w:r>
        <w:rPr>
          <w:rFonts w:hint="cs"/>
          <w:b/>
          <w:bCs/>
          <w:rtl/>
        </w:rPr>
        <w:t>ح</w:t>
      </w:r>
      <w:r w:rsidRPr="00583E90">
        <w:rPr>
          <w:rFonts w:hint="cs"/>
          <w:b/>
          <w:bCs/>
          <w:rtl/>
        </w:rPr>
        <w:t xml:space="preserve">صول أفراد </w:t>
      </w:r>
      <w:r>
        <w:rPr>
          <w:rFonts w:hint="cs"/>
          <w:b/>
          <w:bCs/>
          <w:rtl/>
        </w:rPr>
        <w:t>جماعة</w:t>
      </w:r>
      <w:r w:rsidRPr="00583E90">
        <w:rPr>
          <w:rFonts w:hint="cs"/>
          <w:b/>
          <w:bCs/>
          <w:rtl/>
        </w:rPr>
        <w:t xml:space="preserve"> </w:t>
      </w:r>
      <w:proofErr w:type="spellStart"/>
      <w:r w:rsidRPr="00583E90">
        <w:rPr>
          <w:rFonts w:hint="cs"/>
          <w:b/>
          <w:bCs/>
          <w:rtl/>
        </w:rPr>
        <w:t>الروما</w:t>
      </w:r>
      <w:proofErr w:type="spellEnd"/>
      <w:r w:rsidRPr="00583E90">
        <w:rPr>
          <w:rFonts w:hint="cs"/>
          <w:b/>
          <w:bCs/>
          <w:rtl/>
        </w:rPr>
        <w:t xml:space="preserve">، دون تمييز، </w:t>
      </w:r>
      <w:r>
        <w:rPr>
          <w:rFonts w:hint="cs"/>
          <w:b/>
          <w:bCs/>
          <w:rtl/>
        </w:rPr>
        <w:t>ع</w:t>
      </w:r>
      <w:r w:rsidRPr="00583E90">
        <w:rPr>
          <w:rFonts w:hint="cs"/>
          <w:b/>
          <w:bCs/>
          <w:rtl/>
        </w:rPr>
        <w:t xml:space="preserve">لى الفرص والخدمات في جميع المجالات؛ </w:t>
      </w:r>
      <w:r>
        <w:rPr>
          <w:rFonts w:hint="cs"/>
          <w:b/>
          <w:bCs/>
          <w:rtl/>
        </w:rPr>
        <w:t>و</w:t>
      </w:r>
      <w:r w:rsidRPr="00583E90">
        <w:rPr>
          <w:rFonts w:hint="cs"/>
          <w:b/>
          <w:bCs/>
          <w:rtl/>
        </w:rPr>
        <w:t>(ب) تيسير وتمكين عملية تسجيل الأط</w:t>
      </w:r>
      <w:r>
        <w:rPr>
          <w:rFonts w:hint="cs"/>
          <w:b/>
          <w:bCs/>
          <w:rtl/>
        </w:rPr>
        <w:t>فال المولودين لوالدين</w:t>
      </w:r>
      <w:r w:rsidRPr="00583E90">
        <w:rPr>
          <w:rFonts w:hint="cs"/>
          <w:b/>
          <w:bCs/>
          <w:rtl/>
        </w:rPr>
        <w:t xml:space="preserve"> لا يحملون وثائق هوية، والسماح </w:t>
      </w:r>
      <w:proofErr w:type="spellStart"/>
      <w:r w:rsidRPr="00583E90">
        <w:rPr>
          <w:rFonts w:hint="cs"/>
          <w:b/>
          <w:bCs/>
          <w:rtl/>
        </w:rPr>
        <w:t>للروما</w:t>
      </w:r>
      <w:proofErr w:type="spellEnd"/>
      <w:r w:rsidRPr="00583E90">
        <w:rPr>
          <w:rFonts w:hint="cs"/>
          <w:b/>
          <w:bCs/>
          <w:rtl/>
        </w:rPr>
        <w:t xml:space="preserve"> المشردين داخلياً الذين يعيشون في مستوطنات غير نظامية بتسجيل أماكن إقامتهم والحصول على وثائق هوية، بوسائل منها مراجعة القانون المتعلق بالإقامة الدائمة والمؤقتة؛ </w:t>
      </w:r>
      <w:r>
        <w:rPr>
          <w:rFonts w:hint="cs"/>
          <w:b/>
          <w:bCs/>
          <w:rtl/>
        </w:rPr>
        <w:t>و</w:t>
      </w:r>
      <w:r w:rsidRPr="00583E90">
        <w:rPr>
          <w:rFonts w:hint="cs"/>
          <w:b/>
          <w:bCs/>
          <w:rtl/>
        </w:rPr>
        <w:t xml:space="preserve">(ج) </w:t>
      </w:r>
      <w:r>
        <w:rPr>
          <w:rFonts w:hint="cs"/>
          <w:b/>
          <w:bCs/>
          <w:rtl/>
        </w:rPr>
        <w:t>التعاون</w:t>
      </w:r>
      <w:r w:rsidRPr="00583E90">
        <w:rPr>
          <w:rFonts w:hint="cs"/>
          <w:b/>
          <w:bCs/>
          <w:rtl/>
        </w:rPr>
        <w:t xml:space="preserve"> مع جم</w:t>
      </w:r>
      <w:r>
        <w:rPr>
          <w:rFonts w:hint="cs"/>
          <w:b/>
          <w:bCs/>
          <w:rtl/>
        </w:rPr>
        <w:t>ا</w:t>
      </w:r>
      <w:r w:rsidRPr="00583E90">
        <w:rPr>
          <w:rFonts w:hint="cs"/>
          <w:b/>
          <w:bCs/>
          <w:rtl/>
        </w:rPr>
        <w:t xml:space="preserve">عات </w:t>
      </w:r>
      <w:proofErr w:type="spellStart"/>
      <w:r w:rsidRPr="00583E90">
        <w:rPr>
          <w:rFonts w:hint="cs"/>
          <w:b/>
          <w:bCs/>
          <w:rtl/>
        </w:rPr>
        <w:t>الروما</w:t>
      </w:r>
      <w:proofErr w:type="spellEnd"/>
      <w:r w:rsidRPr="00583E90">
        <w:rPr>
          <w:rFonts w:hint="cs"/>
          <w:b/>
          <w:bCs/>
          <w:rtl/>
        </w:rPr>
        <w:t xml:space="preserve"> المشردين داخلياً على إيجاد حلول </w:t>
      </w:r>
      <w:r>
        <w:rPr>
          <w:rFonts w:hint="cs"/>
          <w:b/>
          <w:bCs/>
          <w:rtl/>
        </w:rPr>
        <w:t>دائمة</w:t>
      </w:r>
      <w:r w:rsidRPr="00583E90">
        <w:rPr>
          <w:rFonts w:hint="cs"/>
          <w:b/>
          <w:bCs/>
          <w:rtl/>
        </w:rPr>
        <w:t xml:space="preserve"> مناسبة لهم، ويشمل ذلك إدماجهم المحلي في المجتمع الصربي؛ </w:t>
      </w:r>
      <w:r>
        <w:rPr>
          <w:rFonts w:hint="cs"/>
          <w:b/>
          <w:bCs/>
          <w:rtl/>
        </w:rPr>
        <w:t>و</w:t>
      </w:r>
      <w:r w:rsidRPr="00583E90">
        <w:rPr>
          <w:rFonts w:hint="cs"/>
          <w:b/>
          <w:bCs/>
          <w:rtl/>
        </w:rPr>
        <w:t>(د) اتخاذ جميع الخطوات الضرورية لتنف</w:t>
      </w:r>
      <w:r>
        <w:rPr>
          <w:rFonts w:hint="cs"/>
          <w:b/>
          <w:bCs/>
          <w:rtl/>
        </w:rPr>
        <w:t>يذ استراتيجية الإدماج الاجتماعي</w:t>
      </w:r>
      <w:r w:rsidRPr="00583E90">
        <w:rPr>
          <w:rFonts w:hint="cs"/>
          <w:b/>
          <w:bCs/>
          <w:rtl/>
        </w:rPr>
        <w:t xml:space="preserve"> </w:t>
      </w:r>
      <w:proofErr w:type="spellStart"/>
      <w:r w:rsidRPr="00583E90">
        <w:rPr>
          <w:rFonts w:hint="cs"/>
          <w:b/>
          <w:bCs/>
          <w:rtl/>
        </w:rPr>
        <w:t>للروما</w:t>
      </w:r>
      <w:proofErr w:type="spellEnd"/>
      <w:r w:rsidRPr="00583E90">
        <w:rPr>
          <w:rFonts w:hint="cs"/>
          <w:b/>
          <w:bCs/>
          <w:rtl/>
        </w:rPr>
        <w:t xml:space="preserve">. </w:t>
      </w:r>
    </w:p>
    <w:p w:rsidR="00977D1E" w:rsidRDefault="00977D1E" w:rsidP="00977D1E">
      <w:pPr>
        <w:pStyle w:val="H23GA"/>
        <w:rPr>
          <w:rtl/>
        </w:rPr>
      </w:pPr>
      <w:r>
        <w:rPr>
          <w:rFonts w:hint="cs"/>
          <w:rtl/>
        </w:rPr>
        <w:tab/>
      </w:r>
      <w:r>
        <w:rPr>
          <w:rFonts w:hint="cs"/>
          <w:rtl/>
        </w:rPr>
        <w:tab/>
        <w:t xml:space="preserve">الأشخاص ذوو الإعاقة </w:t>
      </w:r>
    </w:p>
    <w:p w:rsidR="00977D1E" w:rsidRDefault="00977D1E" w:rsidP="00977D1E">
      <w:pPr>
        <w:pStyle w:val="SingleTxtGA"/>
        <w:rPr>
          <w:rtl/>
        </w:rPr>
      </w:pPr>
      <w:r>
        <w:rPr>
          <w:rFonts w:hint="cs"/>
          <w:rtl/>
        </w:rPr>
        <w:t>16-</w:t>
      </w:r>
      <w:r>
        <w:rPr>
          <w:rFonts w:hint="cs"/>
          <w:rtl/>
        </w:rPr>
        <w:tab/>
        <w:t>تلاحظ اللجنة أن الدولة الطرف أحرزت بعض التقدم في تعزيز وحماية حقوق الأشخاص ذوي الإعاقة، ولكنها تشعر بالقلق لأن هؤلاء الأشخاص لا يزالون يواجهون تحديات كثيرة تعترض وصولهم إلى العدالة والتعليم والعمل والمشاركة السياسية. وتلاحظ اللجنة بقلق تعرض أعداد كبيرة من الأشخاص ذوي الإعاقات العقلية والذهنية والنفسية - الاجتماعية للإيداع القسري في المؤسسات الطبية، والعزل، والعلاج القسري؛ وعدم كفاية الأطر القانونية الراهنة الرامية إلى توفير الرعاية خارج المؤسسات وتعزيز الدعم المجتمعي المناسب؛ وما ذكرته التقارير من نزوع نحو الحرمان من الأهلية القانونية، بما في ذلك الأهلية القانونية الكاملة، الذي يطال بصورة غير متناسبة حقوق الأشخاص ذوي الإعاقة؛ والنطاق المحدود لإجراءات الحماية من التمييز القائم على أساس الإعاقة (المواد 2 و7 و14 و16 و25 و26).</w:t>
      </w:r>
    </w:p>
    <w:p w:rsidR="00977D1E" w:rsidRPr="00583E90" w:rsidRDefault="00977D1E" w:rsidP="00977D1E">
      <w:pPr>
        <w:pStyle w:val="SingleTxtGA"/>
        <w:rPr>
          <w:b/>
          <w:bCs/>
          <w:rtl/>
        </w:rPr>
      </w:pPr>
      <w:r>
        <w:rPr>
          <w:rFonts w:hint="cs"/>
          <w:rtl/>
        </w:rPr>
        <w:t>17-</w:t>
      </w:r>
      <w:r>
        <w:rPr>
          <w:rFonts w:hint="cs"/>
          <w:rtl/>
        </w:rPr>
        <w:tab/>
      </w:r>
      <w:r w:rsidRPr="00583E90">
        <w:rPr>
          <w:rFonts w:hint="cs"/>
          <w:b/>
          <w:bCs/>
          <w:rtl/>
        </w:rPr>
        <w:t xml:space="preserve">ينبغي للدولة الطرف القيام بما يلي: (أ) اتخاذ التدابير المناسبة التي تكفل عدم تعرض الأشخاص ذوي الإعاقة للتمييز في التمتع بحقوقهم؛ </w:t>
      </w:r>
      <w:r>
        <w:rPr>
          <w:rFonts w:hint="cs"/>
          <w:b/>
          <w:bCs/>
          <w:rtl/>
        </w:rPr>
        <w:t>و</w:t>
      </w:r>
      <w:r w:rsidRPr="00583E90">
        <w:rPr>
          <w:rFonts w:hint="cs"/>
          <w:b/>
          <w:bCs/>
          <w:rtl/>
        </w:rPr>
        <w:t>(ب) اتخاذ جميع التدابير الضرورية لتنفيذ سياسة لت</w:t>
      </w:r>
      <w:r>
        <w:rPr>
          <w:rFonts w:hint="cs"/>
          <w:b/>
          <w:bCs/>
          <w:rtl/>
        </w:rPr>
        <w:t>قديم الرعاية ل</w:t>
      </w:r>
      <w:r w:rsidRPr="00583E90">
        <w:rPr>
          <w:rFonts w:hint="cs"/>
          <w:b/>
          <w:bCs/>
          <w:rtl/>
        </w:rPr>
        <w:t>لأشخاص ذوي الإعاقة خارج المؤسسات مع توفير الدعم المجتمعي ا</w:t>
      </w:r>
      <w:r>
        <w:rPr>
          <w:rFonts w:hint="cs"/>
          <w:b/>
          <w:bCs/>
          <w:rtl/>
        </w:rPr>
        <w:t>لمناسب لهم؛ و(ج) ضمان أن لا</w:t>
      </w:r>
      <w:r w:rsidRPr="00583E90">
        <w:rPr>
          <w:rFonts w:hint="cs"/>
          <w:b/>
          <w:bCs/>
          <w:rtl/>
        </w:rPr>
        <w:t xml:space="preserve"> ي</w:t>
      </w:r>
      <w:r>
        <w:rPr>
          <w:rFonts w:hint="cs"/>
          <w:b/>
          <w:bCs/>
          <w:rtl/>
        </w:rPr>
        <w:t>ُ</w:t>
      </w:r>
      <w:r w:rsidRPr="00583E90">
        <w:rPr>
          <w:rFonts w:hint="cs"/>
          <w:b/>
          <w:bCs/>
          <w:rtl/>
        </w:rPr>
        <w:t xml:space="preserve">تخذ </w:t>
      </w:r>
      <w:r>
        <w:rPr>
          <w:rFonts w:hint="cs"/>
          <w:b/>
          <w:bCs/>
          <w:rtl/>
        </w:rPr>
        <w:t xml:space="preserve">أي </w:t>
      </w:r>
      <w:r w:rsidRPr="00583E90">
        <w:rPr>
          <w:rFonts w:hint="cs"/>
          <w:b/>
          <w:bCs/>
          <w:rtl/>
        </w:rPr>
        <w:t>قرار بعزل الأشخاص ذوي الإعاقات ال</w:t>
      </w:r>
      <w:r>
        <w:rPr>
          <w:rFonts w:hint="cs"/>
          <w:b/>
          <w:bCs/>
          <w:rtl/>
        </w:rPr>
        <w:t>عقل</w:t>
      </w:r>
      <w:r w:rsidRPr="00583E90">
        <w:rPr>
          <w:rFonts w:hint="cs"/>
          <w:b/>
          <w:bCs/>
          <w:rtl/>
        </w:rPr>
        <w:t>ية أو الذهنية أو النفسية - الاجتماعية أو بإيداعهم المؤسسات أو بعلاجهم إلا بعد إجراء تقييم طبي شامل</w:t>
      </w:r>
      <w:r>
        <w:rPr>
          <w:rFonts w:hint="cs"/>
          <w:b/>
          <w:bCs/>
          <w:rtl/>
        </w:rPr>
        <w:t xml:space="preserve"> لحالتهم</w:t>
      </w:r>
      <w:r w:rsidRPr="00583E90">
        <w:rPr>
          <w:rFonts w:hint="cs"/>
          <w:b/>
          <w:bCs/>
          <w:rtl/>
        </w:rPr>
        <w:t xml:space="preserve">، وأن تكون القيود المفروضة </w:t>
      </w:r>
      <w:r>
        <w:rPr>
          <w:rFonts w:hint="cs"/>
          <w:b/>
          <w:bCs/>
          <w:rtl/>
        </w:rPr>
        <w:t xml:space="preserve">عليهم </w:t>
      </w:r>
      <w:r w:rsidRPr="00583E90">
        <w:rPr>
          <w:rFonts w:hint="cs"/>
          <w:b/>
          <w:bCs/>
          <w:rtl/>
        </w:rPr>
        <w:t xml:space="preserve">قانونية وضرورية ومتناسبة مع ظروف الفرد وأن تشمل ضمانات الحصول على سبيل انتصاف فعال، وأن يخضع أي انتهاك لتحقيق فعال وأن </w:t>
      </w:r>
      <w:proofErr w:type="spellStart"/>
      <w:r>
        <w:rPr>
          <w:rFonts w:hint="cs"/>
          <w:b/>
          <w:bCs/>
          <w:rtl/>
        </w:rPr>
        <w:t>يُساءل</w:t>
      </w:r>
      <w:proofErr w:type="spellEnd"/>
      <w:r w:rsidRPr="00583E90">
        <w:rPr>
          <w:rFonts w:hint="cs"/>
          <w:b/>
          <w:bCs/>
          <w:rtl/>
        </w:rPr>
        <w:t xml:space="preserve"> الجناة</w:t>
      </w:r>
      <w:r>
        <w:rPr>
          <w:rFonts w:hint="cs"/>
          <w:b/>
          <w:bCs/>
          <w:rtl/>
        </w:rPr>
        <w:t xml:space="preserve"> جنائياً</w:t>
      </w:r>
      <w:r w:rsidRPr="00583E90">
        <w:rPr>
          <w:rFonts w:hint="cs"/>
          <w:b/>
          <w:bCs/>
          <w:rtl/>
        </w:rPr>
        <w:t xml:space="preserve">؛ </w:t>
      </w:r>
      <w:r>
        <w:rPr>
          <w:rFonts w:hint="cs"/>
          <w:b/>
          <w:bCs/>
          <w:rtl/>
        </w:rPr>
        <w:lastRenderedPageBreak/>
        <w:t>و</w:t>
      </w:r>
      <w:r w:rsidRPr="00583E90">
        <w:rPr>
          <w:rFonts w:hint="cs"/>
          <w:b/>
          <w:bCs/>
          <w:rtl/>
        </w:rPr>
        <w:t>(د)</w:t>
      </w:r>
      <w:r>
        <w:rPr>
          <w:rFonts w:hint="eastAsia"/>
          <w:b/>
          <w:bCs/>
          <w:rtl/>
        </w:rPr>
        <w:t> </w:t>
      </w:r>
      <w:r w:rsidRPr="00583E90">
        <w:rPr>
          <w:rFonts w:hint="cs"/>
          <w:b/>
          <w:bCs/>
          <w:rtl/>
        </w:rPr>
        <w:t xml:space="preserve">إجراء تعديلات قانونية </w:t>
      </w:r>
      <w:r>
        <w:rPr>
          <w:rFonts w:hint="cs"/>
          <w:b/>
          <w:bCs/>
          <w:rtl/>
        </w:rPr>
        <w:t>من أجل ا</w:t>
      </w:r>
      <w:r w:rsidRPr="00583E90">
        <w:rPr>
          <w:rFonts w:hint="cs"/>
          <w:b/>
          <w:bCs/>
          <w:rtl/>
        </w:rPr>
        <w:t>ل</w:t>
      </w:r>
      <w:r>
        <w:rPr>
          <w:rFonts w:hint="cs"/>
          <w:b/>
          <w:bCs/>
          <w:rtl/>
        </w:rPr>
        <w:t xml:space="preserve">قضاء على النزوع </w:t>
      </w:r>
      <w:r w:rsidRPr="00583E90">
        <w:rPr>
          <w:rFonts w:hint="cs"/>
          <w:b/>
          <w:bCs/>
          <w:rtl/>
        </w:rPr>
        <w:t>نحو الحرمان الكامل من الأهلية القانونية، وتعزيز جهودها الرامية إلى استعادة الأشخاص ذوي الإعاقة للأهلية القانونية؛</w:t>
      </w:r>
      <w:r>
        <w:rPr>
          <w:rFonts w:hint="cs"/>
          <w:rtl/>
        </w:rPr>
        <w:t xml:space="preserve"> </w:t>
      </w:r>
      <w:r w:rsidRPr="00BC77EB">
        <w:rPr>
          <w:rFonts w:hint="eastAsia"/>
          <w:b/>
          <w:bCs/>
          <w:rtl/>
        </w:rPr>
        <w:t>و</w:t>
      </w:r>
      <w:r w:rsidRPr="00583E90">
        <w:rPr>
          <w:rFonts w:hint="cs"/>
          <w:b/>
          <w:bCs/>
          <w:rtl/>
        </w:rPr>
        <w:t xml:space="preserve">(ه) الاعتراف بأن حرمان الأشخاص ذوي الإعاقة من الترتيبات </w:t>
      </w:r>
      <w:proofErr w:type="spellStart"/>
      <w:r w:rsidRPr="00583E90">
        <w:rPr>
          <w:rFonts w:hint="cs"/>
          <w:b/>
          <w:bCs/>
          <w:rtl/>
        </w:rPr>
        <w:t>التيسيرية</w:t>
      </w:r>
      <w:proofErr w:type="spellEnd"/>
      <w:r w:rsidRPr="00583E90">
        <w:rPr>
          <w:rFonts w:hint="cs"/>
          <w:b/>
          <w:bCs/>
          <w:rtl/>
        </w:rPr>
        <w:t xml:space="preserve"> المعقولة هو شكل من أشكال التمييز؛ </w:t>
      </w:r>
      <w:r>
        <w:rPr>
          <w:rFonts w:hint="cs"/>
          <w:b/>
          <w:bCs/>
          <w:rtl/>
        </w:rPr>
        <w:t>و</w:t>
      </w:r>
      <w:r w:rsidRPr="00583E90">
        <w:rPr>
          <w:rFonts w:hint="cs"/>
          <w:b/>
          <w:bCs/>
          <w:rtl/>
        </w:rPr>
        <w:t>(و) إدراج الإعاقة ضمن أسس مقاضاة مرتكبي جرائم الكراهية</w:t>
      </w:r>
      <w:r>
        <w:rPr>
          <w:rFonts w:hint="cs"/>
          <w:b/>
          <w:bCs/>
          <w:rtl/>
        </w:rPr>
        <w:t xml:space="preserve"> المزعومين</w:t>
      </w:r>
      <w:r w:rsidRPr="00583E90">
        <w:rPr>
          <w:rFonts w:hint="cs"/>
          <w:b/>
          <w:bCs/>
          <w:rtl/>
        </w:rPr>
        <w:t xml:space="preserve">. </w:t>
      </w:r>
    </w:p>
    <w:p w:rsidR="00977D1E" w:rsidRPr="008B04CE" w:rsidRDefault="00977D1E" w:rsidP="00977D1E">
      <w:pPr>
        <w:pStyle w:val="H23GA"/>
        <w:rPr>
          <w:rtl/>
        </w:rPr>
      </w:pPr>
      <w:r>
        <w:rPr>
          <w:rFonts w:hint="cs"/>
          <w:rtl/>
        </w:rPr>
        <w:tab/>
      </w:r>
      <w:r>
        <w:rPr>
          <w:rFonts w:hint="cs"/>
          <w:rtl/>
        </w:rPr>
        <w:tab/>
        <w:t>المساواة بين الجنسين والتمييز ضد المرأة</w:t>
      </w:r>
    </w:p>
    <w:p w:rsidR="00977D1E" w:rsidRDefault="00977D1E" w:rsidP="00977D1E">
      <w:pPr>
        <w:pStyle w:val="SingleTxtGA"/>
        <w:rPr>
          <w:rtl/>
        </w:rPr>
      </w:pPr>
      <w:r>
        <w:rPr>
          <w:rFonts w:hint="cs"/>
          <w:rtl/>
        </w:rPr>
        <w:t>18-</w:t>
      </w:r>
      <w:r>
        <w:rPr>
          <w:rFonts w:hint="cs"/>
          <w:rtl/>
        </w:rPr>
        <w:tab/>
        <w:t>تلاحظ اللجنة أن الدولة الطرف اتخذت خطوات مهمة نحو تحسين تمثيل المرأة في المجال العام، ومع ذلك ترى أن الأنماط الثقافية القائمة على السلطة الأبوية والأدوار الجنسانية النمطية للمرأة والرجل لا تزال شائعة في المجتمع الصربي. وتشعر اللجنة بالقلق أيضاً بشأن ما</w:t>
      </w:r>
      <w:r>
        <w:rPr>
          <w:rFonts w:hint="eastAsia"/>
          <w:rtl/>
        </w:rPr>
        <w:t> </w:t>
      </w:r>
      <w:r>
        <w:rPr>
          <w:rFonts w:hint="cs"/>
          <w:rtl/>
        </w:rPr>
        <w:t xml:space="preserve">يلي: (أ) وضع المرأة المنتمية إلى الفئات الضعيفة؛ و(ب) ما ذكرته التقارير من حالات الزواج المبكر في بعض جماعات </w:t>
      </w:r>
      <w:proofErr w:type="spellStart"/>
      <w:r>
        <w:rPr>
          <w:rFonts w:hint="cs"/>
          <w:rtl/>
        </w:rPr>
        <w:t>الروما</w:t>
      </w:r>
      <w:proofErr w:type="spellEnd"/>
      <w:r>
        <w:rPr>
          <w:rFonts w:hint="cs"/>
          <w:rtl/>
        </w:rPr>
        <w:t>؛ و(ج) عدم تنفيذ قانون المساواة بين الجنسين (المواد 2 و3 و7 و23 و26).</w:t>
      </w:r>
    </w:p>
    <w:p w:rsidR="00977D1E" w:rsidRPr="008B0383" w:rsidRDefault="00977D1E" w:rsidP="00977D1E">
      <w:pPr>
        <w:pStyle w:val="SingleTxtGA"/>
        <w:rPr>
          <w:b/>
          <w:bCs/>
          <w:rtl/>
        </w:rPr>
      </w:pPr>
      <w:r>
        <w:rPr>
          <w:rFonts w:hint="cs"/>
          <w:rtl/>
        </w:rPr>
        <w:t>19-</w:t>
      </w:r>
      <w:r>
        <w:rPr>
          <w:rFonts w:hint="cs"/>
          <w:rtl/>
        </w:rPr>
        <w:tab/>
      </w:r>
      <w:r w:rsidRPr="008B0383">
        <w:rPr>
          <w:rFonts w:hint="cs"/>
          <w:b/>
          <w:bCs/>
          <w:rtl/>
        </w:rPr>
        <w:t>ينبغي للدولة الطرف القيام بما يلي: (أ) مواصلة جهودها الرامية إلى التوعية بمسألة مساواة المرأة بالرجل، بهدف مكافحة جميع مظاهر التحيز وال</w:t>
      </w:r>
      <w:r>
        <w:rPr>
          <w:rFonts w:hint="cs"/>
          <w:b/>
          <w:bCs/>
          <w:rtl/>
        </w:rPr>
        <w:t xml:space="preserve">قوالب </w:t>
      </w:r>
      <w:r w:rsidRPr="008B0383">
        <w:rPr>
          <w:rFonts w:hint="cs"/>
          <w:b/>
          <w:bCs/>
          <w:rtl/>
        </w:rPr>
        <w:t xml:space="preserve">النمطية ضد المرأة؛ </w:t>
      </w:r>
      <w:r>
        <w:rPr>
          <w:rFonts w:hint="cs"/>
          <w:b/>
          <w:bCs/>
          <w:rtl/>
        </w:rPr>
        <w:t>و</w:t>
      </w:r>
      <w:r w:rsidRPr="008B0383">
        <w:rPr>
          <w:rFonts w:hint="cs"/>
          <w:b/>
          <w:bCs/>
          <w:rtl/>
        </w:rPr>
        <w:t xml:space="preserve">(ب) اتخاذ جميع التدابير الضرورية لحماية المرأة المنتمية إلى الفئات الضعيفة، بما في ذلك حمايتها من الزواج المبكر؛ </w:t>
      </w:r>
      <w:r>
        <w:rPr>
          <w:rFonts w:hint="cs"/>
          <w:b/>
          <w:bCs/>
          <w:rtl/>
        </w:rPr>
        <w:t>و</w:t>
      </w:r>
      <w:r w:rsidRPr="008B0383">
        <w:rPr>
          <w:rFonts w:hint="cs"/>
          <w:b/>
          <w:bCs/>
          <w:rtl/>
        </w:rPr>
        <w:t>(ج) ضمان تنفيذ أُطرها القانونية المتعلقة بالمساواة ب</w:t>
      </w:r>
      <w:r>
        <w:rPr>
          <w:rFonts w:hint="cs"/>
          <w:b/>
          <w:bCs/>
          <w:rtl/>
        </w:rPr>
        <w:t>ين الجنسين</w:t>
      </w:r>
      <w:r w:rsidRPr="008B0383">
        <w:rPr>
          <w:rFonts w:hint="cs"/>
          <w:b/>
          <w:bCs/>
          <w:rtl/>
        </w:rPr>
        <w:t xml:space="preserve"> تنفيذاً كاملاً على جميع المستويات.</w:t>
      </w:r>
    </w:p>
    <w:p w:rsidR="00977D1E" w:rsidRDefault="00977D1E" w:rsidP="00977D1E">
      <w:pPr>
        <w:pStyle w:val="H23GA"/>
        <w:rPr>
          <w:rtl/>
        </w:rPr>
      </w:pPr>
      <w:r>
        <w:rPr>
          <w:rFonts w:hint="cs"/>
          <w:rtl/>
        </w:rPr>
        <w:tab/>
      </w:r>
      <w:r>
        <w:rPr>
          <w:rFonts w:hint="cs"/>
          <w:rtl/>
        </w:rPr>
        <w:tab/>
        <w:t xml:space="preserve">العنف ضد النساء والأطفال، بما في ذلك العنف المنزلي </w:t>
      </w:r>
    </w:p>
    <w:p w:rsidR="00977D1E" w:rsidRDefault="00977D1E" w:rsidP="00977D1E">
      <w:pPr>
        <w:pStyle w:val="SingleTxtGA"/>
        <w:rPr>
          <w:rtl/>
          <w:lang w:eastAsia="ar-SA"/>
        </w:rPr>
      </w:pPr>
      <w:r>
        <w:rPr>
          <w:rFonts w:hint="cs"/>
          <w:rtl/>
          <w:lang w:eastAsia="ar-SA"/>
        </w:rPr>
        <w:t>20-</w:t>
      </w:r>
      <w:r>
        <w:rPr>
          <w:rFonts w:hint="cs"/>
          <w:rtl/>
          <w:lang w:eastAsia="ar-SA"/>
        </w:rPr>
        <w:tab/>
        <w:t>تنوِّه اللجنة بجهود الدولة الطرف الرامية إلى منع العنف ضد النساء والأطفال، بما في ذلك العنف المنزلي، ومع ذلك تشعر بالقلق لأن أشكالاً خطيرة لهذا العنف لا تزال شائعة في الواقع العملي. وتشعر اللجنة بقلق خاص بشأن عدم كفاية استجابة هيئات إنفاذ القانون والهيئات القضائية لحالات العنف المنزلي، حيث لا يسفر إلا عدد قليل من حالات العنف المنزلي المبلغ عنها عن إجراءات قضائية وإدانات (المواد 2 و3 و6 و7 و26).</w:t>
      </w:r>
    </w:p>
    <w:p w:rsidR="00977D1E" w:rsidRDefault="00977D1E" w:rsidP="004566D8">
      <w:pPr>
        <w:pStyle w:val="SingleTxtGA"/>
        <w:rPr>
          <w:b/>
          <w:bCs/>
          <w:rtl/>
          <w:lang w:eastAsia="ar-SA"/>
        </w:rPr>
      </w:pPr>
      <w:r>
        <w:rPr>
          <w:rFonts w:hint="cs"/>
          <w:rtl/>
          <w:lang w:eastAsia="ar-SA"/>
        </w:rPr>
        <w:t>21-</w:t>
      </w:r>
      <w:r>
        <w:rPr>
          <w:rFonts w:hint="cs"/>
          <w:rtl/>
          <w:lang w:eastAsia="ar-SA"/>
        </w:rPr>
        <w:tab/>
      </w:r>
      <w:r>
        <w:rPr>
          <w:rFonts w:hint="cs"/>
          <w:b/>
          <w:bCs/>
          <w:rtl/>
          <w:lang w:eastAsia="ar-SA"/>
        </w:rPr>
        <w:t>ينبغي للدولة الطرف مضاعفة جهودها، بسبل منها ما يلي: (أ) ضمان تخصيص ما يكفي من الموارد التقنية والمالية ومن التدريب من أجل التصدي لمشكلة العنف ضد النساء والأطفال؛ و(ب) القيام بمزيد من العمل للتوعية بالآثار الضارة للعنف المنزلي؛ و(ج) ضمان توعية المرأة بالخيار المدرج في القانون الجديد المتعلق بمنع العنف المنزلي، وهو طلب إصدار أمر زجري، وضمان تنفيذ القانون وإنفاذه بصورة فعالة؛ و(د)</w:t>
      </w:r>
      <w:r w:rsidR="004566D8">
        <w:rPr>
          <w:rFonts w:hint="eastAsia"/>
          <w:b/>
          <w:bCs/>
          <w:rtl/>
          <w:lang w:eastAsia="ar-SA"/>
        </w:rPr>
        <w:t> </w:t>
      </w:r>
      <w:r>
        <w:rPr>
          <w:rFonts w:hint="cs"/>
          <w:b/>
          <w:bCs/>
          <w:rtl/>
          <w:lang w:eastAsia="ar-SA"/>
        </w:rPr>
        <w:t>ضمان إجراء تحقيق دقيق في حالات العنف المنزلي، ومقاضاة الجناة، ومعاقبتهم في حالة إدانتهم بعقوبات تتناسب مع جسامة الجرم.</w:t>
      </w:r>
    </w:p>
    <w:p w:rsidR="00977D1E" w:rsidRDefault="00977D1E" w:rsidP="00977D1E">
      <w:pPr>
        <w:pStyle w:val="H23GA"/>
        <w:rPr>
          <w:rtl/>
        </w:rPr>
      </w:pPr>
      <w:r>
        <w:rPr>
          <w:rFonts w:hint="cs"/>
          <w:rtl/>
        </w:rPr>
        <w:tab/>
      </w:r>
      <w:r>
        <w:rPr>
          <w:rFonts w:hint="cs"/>
          <w:rtl/>
        </w:rPr>
        <w:tab/>
        <w:t>الأشخاص المختفون والمساءلة عن الانتهاكات السابقة لحقوق الإنسان</w:t>
      </w:r>
    </w:p>
    <w:p w:rsidR="00977D1E" w:rsidRDefault="00977D1E" w:rsidP="00977D1E">
      <w:pPr>
        <w:pStyle w:val="SingleTxtGA"/>
        <w:rPr>
          <w:rtl/>
          <w:lang w:eastAsia="ar-SA"/>
        </w:rPr>
      </w:pPr>
      <w:r>
        <w:rPr>
          <w:rFonts w:hint="cs"/>
          <w:rtl/>
          <w:lang w:eastAsia="ar-SA"/>
        </w:rPr>
        <w:t>22-</w:t>
      </w:r>
      <w:r>
        <w:rPr>
          <w:rFonts w:hint="cs"/>
          <w:rtl/>
          <w:lang w:eastAsia="ar-SA"/>
        </w:rPr>
        <w:tab/>
        <w:t xml:space="preserve">تنوِّه اللجنة بجهود الدولة الطرف فيما يتعلق بالأشخاص المختفين والمساءلة عن الانتهاكات السابقة لحقوق الإنسان، ومع ذلك تشعر بالقلق بشأن ما يلي: (أ) التقدم المحدود المحرز في البحث عن المختفين؛ و(ب) تدني معدل المتابعات القضائية على جرائم الحرب المرتكبة </w:t>
      </w:r>
      <w:r>
        <w:rPr>
          <w:rFonts w:hint="cs"/>
          <w:rtl/>
          <w:lang w:eastAsia="ar-SA"/>
        </w:rPr>
        <w:lastRenderedPageBreak/>
        <w:t xml:space="preserve">أثناء النزاعات المسلحة، بما في ذلك الانتهاكات التي ارتكبها مسؤولون في المستويين المتوسط والعالي؛ و(ج) التعريف الضيق ل‍ "الضحية" في القانون المتعلق بالمدنيين المصابين بعجز من جراء الحرب، والتعريف الضيق ل‍ "الأطراف المتضررة" في قانون الإجراءات الجنائية، وشرط إعلان الضحايا وفاة الشخص المختفي لكي يحصلوا على تعويض؛ و(د) عدم توافر موارد لدى مكتب المدعي العام المعني بجرائم الحرب، وعدم وجود </w:t>
      </w:r>
      <w:r w:rsidRPr="004B5833">
        <w:rPr>
          <w:rtl/>
          <w:lang w:eastAsia="ar-SA"/>
        </w:rPr>
        <w:t xml:space="preserve">مدعي عام </w:t>
      </w:r>
      <w:r>
        <w:rPr>
          <w:rFonts w:hint="cs"/>
          <w:rtl/>
          <w:lang w:eastAsia="ar-SA"/>
        </w:rPr>
        <w:t xml:space="preserve">جديد </w:t>
      </w:r>
      <w:r w:rsidRPr="004B5833">
        <w:rPr>
          <w:rtl/>
          <w:lang w:eastAsia="ar-SA"/>
        </w:rPr>
        <w:t>معني بجرائم الحرب</w:t>
      </w:r>
      <w:r>
        <w:rPr>
          <w:rFonts w:hint="cs"/>
          <w:rtl/>
          <w:lang w:eastAsia="ar-SA"/>
        </w:rPr>
        <w:t>، والضغط الذي يُدَّعى أن الحكومة تمارسه على مكتب المدعي العام (المواد 2 و6 و7 و9 و16).</w:t>
      </w:r>
    </w:p>
    <w:p w:rsidR="00977D1E" w:rsidRDefault="00977D1E" w:rsidP="00977D1E">
      <w:pPr>
        <w:pStyle w:val="SingleTxtGA"/>
        <w:rPr>
          <w:b/>
          <w:bCs/>
          <w:rtl/>
          <w:lang w:eastAsia="ar-SA"/>
        </w:rPr>
      </w:pPr>
      <w:r>
        <w:rPr>
          <w:rFonts w:hint="cs"/>
          <w:rtl/>
          <w:lang w:eastAsia="ar-SA"/>
        </w:rPr>
        <w:t>23-</w:t>
      </w:r>
      <w:r>
        <w:rPr>
          <w:rFonts w:hint="cs"/>
          <w:rtl/>
          <w:lang w:eastAsia="ar-SA"/>
        </w:rPr>
        <w:tab/>
      </w:r>
      <w:r>
        <w:rPr>
          <w:rFonts w:hint="cs"/>
          <w:b/>
          <w:bCs/>
          <w:rtl/>
          <w:lang w:eastAsia="ar-SA"/>
        </w:rPr>
        <w:t xml:space="preserve">ينبغي للدولة الطرف القيام بما يلي: (أ) مواصلة التحقيق في جميع حالات اختفاء الأشخاص التي لم تُحسم بعد لكشف النقاب عن مصيرهم وأماكن وجودهم، وضمان إبلاغ الضحايا وذويهم بنتيجة التحقيق؛ و(ب) ضمان مقاضاة جميع مرتكبي جرائم الحرب، بمن فيهم المسؤولون في المستويين المتوسط والعالي؛ و(ج) تعديل القانون المتعلق بالمدنيين المصابين بعجز من جراء الحرب وقانون الإجراءات الجنائية، من أجل توسيع نطاق تعريف كل من "الضحية" و"الطرف المتضرر"، وضمان حصول جميع ضحايا الاختفاء القسري على حق فعلي في التعويض الكامل وفقاً لمعايير حقوق الإنسان؛ و(د) ضمان توفير موارد كافية لمكتب المدعي العام المعني بجرائم الحرب، والمسارعة إلى تعيين مدعٍ عام جديد معني بجرائم الحرب، وضمان استقلالية مكتب المدعي العام كي يتسنى له تنفيذ ولايته بفعالية. </w:t>
      </w:r>
    </w:p>
    <w:p w:rsidR="00977D1E" w:rsidRDefault="00977D1E" w:rsidP="00977D1E">
      <w:pPr>
        <w:pStyle w:val="H23GA"/>
        <w:rPr>
          <w:rtl/>
        </w:rPr>
      </w:pPr>
      <w:r>
        <w:rPr>
          <w:rFonts w:hint="cs"/>
          <w:rtl/>
        </w:rPr>
        <w:tab/>
      </w:r>
      <w:r>
        <w:rPr>
          <w:rFonts w:hint="cs"/>
          <w:rtl/>
        </w:rPr>
        <w:tab/>
        <w:t>حالات الوفاة في عنابر الولادة وحالات الاختفاء منها</w:t>
      </w:r>
    </w:p>
    <w:p w:rsidR="00977D1E" w:rsidRDefault="00977D1E" w:rsidP="00977D1E">
      <w:pPr>
        <w:pStyle w:val="SingleTxtGA"/>
        <w:rPr>
          <w:rtl/>
          <w:lang w:eastAsia="ar-SA"/>
        </w:rPr>
      </w:pPr>
      <w:r>
        <w:rPr>
          <w:rFonts w:hint="cs"/>
          <w:rtl/>
          <w:lang w:eastAsia="ar-SA"/>
        </w:rPr>
        <w:t>24-</w:t>
      </w:r>
      <w:r>
        <w:rPr>
          <w:rFonts w:hint="cs"/>
          <w:rtl/>
          <w:lang w:eastAsia="ar-SA"/>
        </w:rPr>
        <w:tab/>
        <w:t>تشعر اللجنة بالقلق لعدم وجود تشريع ينص على تعويض والدي الأطفال حديثي الولادة الذين يُدَّعى أنهم ماتوا في عنابر الولادة أو اختفوا منها، لا سيما في الفترة من سبعينات إلى تسعينات القرن الماضي (المواد 2 و6 و23).</w:t>
      </w:r>
    </w:p>
    <w:p w:rsidR="00977D1E" w:rsidRDefault="00977D1E" w:rsidP="00977D1E">
      <w:pPr>
        <w:pStyle w:val="SingleTxtGA"/>
        <w:rPr>
          <w:b/>
          <w:bCs/>
          <w:rtl/>
          <w:lang w:eastAsia="ar-SA"/>
        </w:rPr>
      </w:pPr>
      <w:r>
        <w:rPr>
          <w:rFonts w:hint="cs"/>
          <w:rtl/>
          <w:lang w:eastAsia="ar-SA"/>
        </w:rPr>
        <w:t>25-</w:t>
      </w:r>
      <w:r>
        <w:rPr>
          <w:rFonts w:hint="cs"/>
          <w:rtl/>
          <w:lang w:eastAsia="ar-SA"/>
        </w:rPr>
        <w:tab/>
      </w:r>
      <w:r>
        <w:rPr>
          <w:rFonts w:hint="cs"/>
          <w:b/>
          <w:bCs/>
          <w:rtl/>
          <w:lang w:eastAsia="ar-SA"/>
        </w:rPr>
        <w:t>ينبغي للدولة الطرف أن تتخذ خطوات تكفل سرعة اعتماد قانون يتناول الحالات السابقة المدعاة لوفاة الأطفال الحديثي الولادة أو اختفائهم، وتقديم التعويض للوالدين في كل حالة.</w:t>
      </w:r>
    </w:p>
    <w:p w:rsidR="00977D1E" w:rsidRDefault="00977D1E" w:rsidP="00977D1E">
      <w:pPr>
        <w:pStyle w:val="H23GA"/>
        <w:rPr>
          <w:rtl/>
        </w:rPr>
      </w:pPr>
      <w:r>
        <w:rPr>
          <w:rFonts w:hint="cs"/>
          <w:rtl/>
        </w:rPr>
        <w:tab/>
      </w:r>
      <w:r>
        <w:rPr>
          <w:rFonts w:hint="cs"/>
          <w:rtl/>
        </w:rPr>
        <w:tab/>
        <w:t>حظر التعذيب وإساءة المعاملة</w:t>
      </w:r>
    </w:p>
    <w:p w:rsidR="00977D1E" w:rsidRDefault="00977D1E" w:rsidP="007E3A21">
      <w:pPr>
        <w:pStyle w:val="SingleTxtGA"/>
        <w:rPr>
          <w:rtl/>
          <w:lang w:eastAsia="ar-SA"/>
        </w:rPr>
      </w:pPr>
      <w:r>
        <w:rPr>
          <w:rFonts w:hint="cs"/>
          <w:rtl/>
          <w:lang w:eastAsia="ar-SA"/>
        </w:rPr>
        <w:t>26-</w:t>
      </w:r>
      <w:r>
        <w:rPr>
          <w:rFonts w:hint="cs"/>
          <w:rtl/>
          <w:lang w:eastAsia="ar-SA"/>
        </w:rPr>
        <w:tab/>
        <w:t>تشعر اللجنة بالقلق بشأن ما يلي: (أ) استمرار عدم توافق تعريف التعذيب مع المادة</w:t>
      </w:r>
      <w:r w:rsidR="007E3A21">
        <w:rPr>
          <w:rFonts w:hint="eastAsia"/>
          <w:rtl/>
          <w:lang w:eastAsia="ar-SA"/>
        </w:rPr>
        <w:t> </w:t>
      </w:r>
      <w:r>
        <w:rPr>
          <w:rFonts w:hint="cs"/>
          <w:rtl/>
          <w:lang w:eastAsia="ar-SA"/>
        </w:rPr>
        <w:t xml:space="preserve">7 من العهد؛ و(ب) الادعاءات بعدم إجراء </w:t>
      </w:r>
      <w:r w:rsidRPr="008B6071">
        <w:rPr>
          <w:rtl/>
          <w:lang w:eastAsia="ar-SA"/>
        </w:rPr>
        <w:t>وكلاء الادعاء</w:t>
      </w:r>
      <w:r>
        <w:rPr>
          <w:rFonts w:hint="cs"/>
          <w:rtl/>
          <w:lang w:eastAsia="ar-SA"/>
        </w:rPr>
        <w:t xml:space="preserve"> بصورة منهجية لتحقيقات مستقلة، أينما وُجدت أسس معقولة تدعو إلى الاعتقاد بارتكاب فعل من أفعال التعذيب أو إساءة المعاملة؛ و(ج) انخفاض معدل المقاضاة في حالات التعذيب وإساءة المعاملة، وإيقاع عقوبات متساهلة بالجناة المدانين؛ و(د) العقبات التي تعترض حصول الضحايا على التعويض في كثير من الأحيان بسبب ارتفاع معيار إثبات الضرر الذي تحدده المحاكم وتطبيق نظام سقوط الدعوى بالتقادم على دعاواهم (المادتان 2 و7).</w:t>
      </w:r>
    </w:p>
    <w:p w:rsidR="00977D1E" w:rsidRDefault="00977D1E" w:rsidP="00977D1E">
      <w:pPr>
        <w:pStyle w:val="SingleTxtGA"/>
        <w:rPr>
          <w:b/>
          <w:bCs/>
          <w:rtl/>
          <w:lang w:eastAsia="ar-SA"/>
        </w:rPr>
      </w:pPr>
      <w:r>
        <w:rPr>
          <w:rFonts w:hint="cs"/>
          <w:rtl/>
          <w:lang w:eastAsia="ar-SA"/>
        </w:rPr>
        <w:t>27-</w:t>
      </w:r>
      <w:r>
        <w:rPr>
          <w:rFonts w:hint="cs"/>
          <w:rtl/>
          <w:lang w:eastAsia="ar-SA"/>
        </w:rPr>
        <w:tab/>
      </w:r>
      <w:r w:rsidRPr="003B6970">
        <w:rPr>
          <w:rFonts w:hint="cs"/>
          <w:b/>
          <w:bCs/>
          <w:rtl/>
          <w:lang w:eastAsia="ar-SA"/>
        </w:rPr>
        <w:t xml:space="preserve">ينبغي للدولة الطرف اتخاذ تدابير </w:t>
      </w:r>
      <w:r>
        <w:rPr>
          <w:rFonts w:hint="cs"/>
          <w:b/>
          <w:bCs/>
          <w:rtl/>
          <w:lang w:eastAsia="ar-SA"/>
        </w:rPr>
        <w:t xml:space="preserve">لتحقيق ما يلي: (أ) تعديل قانونها الجنائي بحيث يتضمن تعريفاً للتعذيب يتفق تماماً مع المادة 7 من العهد ومع المعايير الأخرى المقررة دولياً؛ و(ب) ضمان إجراء هيئة مستقلة تحقيقات فعالة في جميع الادعاءات </w:t>
      </w:r>
      <w:r>
        <w:rPr>
          <w:rFonts w:hint="cs"/>
          <w:b/>
          <w:bCs/>
          <w:rtl/>
          <w:lang w:eastAsia="ar-SA"/>
        </w:rPr>
        <w:lastRenderedPageBreak/>
        <w:t xml:space="preserve">الموثوقة المتعلقة بالتعذيب أو إساءة المعاملة؛ و(ج) تعديل تشريعاتها لضمان إيقاع عقوبات بمرتكبي أفعال التعذيب أو إساءة المعاملة تتناسب مع طبيعتها الخطيرة، وإلغاء نظام سقوط الدعوى بالتقادم في جرائم التعذيب وإساءة المعاملة؛ و(د) إزالة جميع العقبات التي تعترض ممارسة الضحايا لحقوقهم في الانتصاف القضائي. </w:t>
      </w:r>
    </w:p>
    <w:p w:rsidR="00977D1E" w:rsidRDefault="00977D1E" w:rsidP="00977D1E">
      <w:pPr>
        <w:pStyle w:val="H23GA"/>
        <w:rPr>
          <w:rtl/>
        </w:rPr>
      </w:pPr>
      <w:r>
        <w:rPr>
          <w:rFonts w:hint="cs"/>
          <w:rtl/>
        </w:rPr>
        <w:tab/>
      </w:r>
      <w:r>
        <w:rPr>
          <w:rFonts w:hint="cs"/>
          <w:rtl/>
        </w:rPr>
        <w:tab/>
        <w:t xml:space="preserve">الأشخاص المحرومون من حريتهم </w:t>
      </w:r>
    </w:p>
    <w:p w:rsidR="00977D1E" w:rsidRDefault="00977D1E" w:rsidP="00977D1E">
      <w:pPr>
        <w:pStyle w:val="SingleTxtGA"/>
        <w:rPr>
          <w:rtl/>
          <w:lang w:eastAsia="ar-SA"/>
        </w:rPr>
      </w:pPr>
      <w:r>
        <w:rPr>
          <w:rFonts w:hint="cs"/>
          <w:rtl/>
          <w:lang w:eastAsia="ar-SA"/>
        </w:rPr>
        <w:t>28-</w:t>
      </w:r>
      <w:r>
        <w:rPr>
          <w:rFonts w:hint="cs"/>
          <w:rtl/>
          <w:lang w:eastAsia="ar-SA"/>
        </w:rPr>
        <w:tab/>
        <w:t>تنوِّه اللجنة بجهود الدولة الطرف فيما يتعلق بالأشخاص المحرومين من حريتهم، ومع ذلك تشعر بالقلق بشأن استمرار الاكتظاظ في السجون؛ وتدني أوضاع الاحتجاز، لا سيما في أماكن الاحتجاز التابعة للشرطة؛ وعدم كفاية خدمات الرعاية الصحية والأنشطة المجدية المتاحة للسجناء (المادتان 7 و10).</w:t>
      </w:r>
    </w:p>
    <w:p w:rsidR="00977D1E" w:rsidRDefault="00977D1E" w:rsidP="00977D1E">
      <w:pPr>
        <w:pStyle w:val="SingleTxtGA"/>
        <w:rPr>
          <w:b/>
          <w:bCs/>
          <w:rtl/>
          <w:lang w:eastAsia="ar-SA"/>
        </w:rPr>
      </w:pPr>
      <w:r>
        <w:rPr>
          <w:rFonts w:hint="cs"/>
          <w:rtl/>
          <w:lang w:eastAsia="ar-SA"/>
        </w:rPr>
        <w:t>29-</w:t>
      </w:r>
      <w:r>
        <w:rPr>
          <w:rFonts w:hint="cs"/>
          <w:rtl/>
          <w:lang w:eastAsia="ar-SA"/>
        </w:rPr>
        <w:tab/>
      </w:r>
      <w:r>
        <w:rPr>
          <w:rFonts w:hint="cs"/>
          <w:b/>
          <w:bCs/>
          <w:rtl/>
          <w:lang w:eastAsia="ar-SA"/>
        </w:rPr>
        <w:t>ينبغي للدولة الطرف أن تعزز جهودها من أجل تخفيف الاكتظاظ في السجون، بطرق منها مواصلة تطوير استخدام بدائل للاحتجاز، وتحسين أوضاع الاحتجاز، بما</w:t>
      </w:r>
      <w:r>
        <w:rPr>
          <w:rFonts w:hint="eastAsia"/>
          <w:b/>
          <w:bCs/>
          <w:rtl/>
          <w:lang w:eastAsia="ar-SA"/>
        </w:rPr>
        <w:t> </w:t>
      </w:r>
      <w:r>
        <w:rPr>
          <w:rFonts w:hint="cs"/>
          <w:b/>
          <w:bCs/>
          <w:rtl/>
          <w:lang w:eastAsia="ar-SA"/>
        </w:rPr>
        <w:t>في ذلك إمكانية الحصول على الرعاية الصحية ومزاولة الأنشطة، وزيادة جهودها الرامية إلى ضمان حق السجناء في معاملة كريمة.</w:t>
      </w:r>
    </w:p>
    <w:p w:rsidR="00977D1E" w:rsidRDefault="00977D1E" w:rsidP="00977D1E">
      <w:pPr>
        <w:pStyle w:val="H23GA"/>
        <w:rPr>
          <w:rtl/>
        </w:rPr>
      </w:pPr>
      <w:r>
        <w:rPr>
          <w:rFonts w:hint="cs"/>
          <w:rtl/>
        </w:rPr>
        <w:tab/>
      </w:r>
      <w:r>
        <w:rPr>
          <w:rFonts w:hint="cs"/>
          <w:rtl/>
        </w:rPr>
        <w:tab/>
      </w:r>
      <w:proofErr w:type="spellStart"/>
      <w:r>
        <w:rPr>
          <w:rFonts w:hint="cs"/>
          <w:rtl/>
        </w:rPr>
        <w:t>الاتجار</w:t>
      </w:r>
      <w:proofErr w:type="spellEnd"/>
      <w:r>
        <w:rPr>
          <w:rFonts w:hint="cs"/>
          <w:rtl/>
        </w:rPr>
        <w:t xml:space="preserve"> بالأشخاص والعمل القسري </w:t>
      </w:r>
    </w:p>
    <w:p w:rsidR="00977D1E" w:rsidRDefault="00977D1E" w:rsidP="00977D1E">
      <w:pPr>
        <w:pStyle w:val="SingleTxtGA"/>
        <w:rPr>
          <w:rtl/>
          <w:lang w:eastAsia="ar-SA"/>
        </w:rPr>
      </w:pPr>
      <w:r>
        <w:rPr>
          <w:rFonts w:hint="cs"/>
          <w:rtl/>
          <w:lang w:eastAsia="ar-SA"/>
        </w:rPr>
        <w:t>30-</w:t>
      </w:r>
      <w:r>
        <w:rPr>
          <w:rFonts w:hint="cs"/>
          <w:rtl/>
          <w:lang w:eastAsia="ar-SA"/>
        </w:rPr>
        <w:tab/>
        <w:t xml:space="preserve">تشعر اللجنة بالقلق بشأن ما يلي: (أ) وجود جماعات إجرامية وطنية وأجنبية متورطة في </w:t>
      </w:r>
      <w:proofErr w:type="spellStart"/>
      <w:r>
        <w:rPr>
          <w:rFonts w:hint="cs"/>
          <w:rtl/>
          <w:lang w:eastAsia="ar-SA"/>
        </w:rPr>
        <w:t>الاتجار</w:t>
      </w:r>
      <w:proofErr w:type="spellEnd"/>
      <w:r>
        <w:rPr>
          <w:rFonts w:hint="cs"/>
          <w:rtl/>
          <w:lang w:eastAsia="ar-SA"/>
        </w:rPr>
        <w:t xml:space="preserve"> بعدد كبير من المهاجرين واللاجئين في الدولة الطرف واستغلالهم؛ و(ب) المعلومات التي تفيد بأن المنسق الوطني المعني بمكافحة </w:t>
      </w:r>
      <w:proofErr w:type="spellStart"/>
      <w:r>
        <w:rPr>
          <w:rFonts w:hint="cs"/>
          <w:rtl/>
          <w:lang w:eastAsia="ar-SA"/>
        </w:rPr>
        <w:t>الاتجار</w:t>
      </w:r>
      <w:proofErr w:type="spellEnd"/>
      <w:r>
        <w:rPr>
          <w:rFonts w:hint="cs"/>
          <w:rtl/>
          <w:lang w:eastAsia="ar-SA"/>
        </w:rPr>
        <w:t xml:space="preserve"> لم يحصل على خطة عمل رسمية أو ميزانية؛ و(ج) وضع الأطفال المتجر بهم أو المستغلين من جانب أفراد من الأسرة أو</w:t>
      </w:r>
      <w:r>
        <w:rPr>
          <w:rFonts w:hint="eastAsia"/>
          <w:rtl/>
          <w:lang w:eastAsia="ar-SA"/>
        </w:rPr>
        <w:t> </w:t>
      </w:r>
      <w:r>
        <w:rPr>
          <w:rFonts w:hint="cs"/>
          <w:rtl/>
          <w:lang w:eastAsia="ar-SA"/>
        </w:rPr>
        <w:t>غيرهم الذين يُجبرون على العمل أو التسول أو البغاء (المواد 7 و8 و13 و24).</w:t>
      </w:r>
    </w:p>
    <w:p w:rsidR="00977D1E" w:rsidRPr="00A06E86" w:rsidRDefault="00977D1E" w:rsidP="002107C6">
      <w:pPr>
        <w:pStyle w:val="SingleTxtGA"/>
        <w:rPr>
          <w:b/>
          <w:bCs/>
          <w:rtl/>
          <w:lang w:eastAsia="ar-SA"/>
        </w:rPr>
      </w:pPr>
      <w:r>
        <w:rPr>
          <w:rFonts w:hint="cs"/>
          <w:rtl/>
          <w:lang w:eastAsia="ar-SA"/>
        </w:rPr>
        <w:t>31-</w:t>
      </w:r>
      <w:r>
        <w:rPr>
          <w:rFonts w:hint="cs"/>
          <w:rtl/>
          <w:lang w:eastAsia="ar-SA"/>
        </w:rPr>
        <w:tab/>
      </w:r>
      <w:r w:rsidRPr="00A06E86">
        <w:rPr>
          <w:rFonts w:hint="cs"/>
          <w:b/>
          <w:bCs/>
          <w:rtl/>
          <w:lang w:eastAsia="ar-SA"/>
        </w:rPr>
        <w:t xml:space="preserve">ينبغي للدولة الطرف القيام بما يلي: (أ) تعزيز التدابير الرامية إلى منع ومكافحة </w:t>
      </w:r>
      <w:proofErr w:type="spellStart"/>
      <w:r w:rsidRPr="00A06E86">
        <w:rPr>
          <w:rFonts w:hint="cs"/>
          <w:b/>
          <w:bCs/>
          <w:rtl/>
          <w:lang w:eastAsia="ar-SA"/>
        </w:rPr>
        <w:t>الاتجار</w:t>
      </w:r>
      <w:proofErr w:type="spellEnd"/>
      <w:r w:rsidRPr="00A06E86">
        <w:rPr>
          <w:rFonts w:hint="cs"/>
          <w:b/>
          <w:bCs/>
          <w:rtl/>
          <w:lang w:eastAsia="ar-SA"/>
        </w:rPr>
        <w:t xml:space="preserve"> بالأشخاص، مع التركيز بشكل </w:t>
      </w:r>
      <w:r>
        <w:rPr>
          <w:rFonts w:hint="cs"/>
          <w:b/>
          <w:bCs/>
          <w:rtl/>
          <w:lang w:eastAsia="ar-SA"/>
        </w:rPr>
        <w:t>خاص</w:t>
      </w:r>
      <w:r w:rsidRPr="00A06E86">
        <w:rPr>
          <w:rFonts w:hint="cs"/>
          <w:b/>
          <w:bCs/>
          <w:rtl/>
          <w:lang w:eastAsia="ar-SA"/>
        </w:rPr>
        <w:t xml:space="preserve"> على المهاجرين واللاجئين؛</w:t>
      </w:r>
      <w:r>
        <w:rPr>
          <w:rFonts w:hint="cs"/>
          <w:b/>
          <w:bCs/>
          <w:rtl/>
          <w:lang w:eastAsia="ar-SA"/>
        </w:rPr>
        <w:t xml:space="preserve"> و(ب)</w:t>
      </w:r>
      <w:r w:rsidRPr="00A06E86">
        <w:rPr>
          <w:rFonts w:hint="cs"/>
          <w:b/>
          <w:bCs/>
          <w:rtl/>
          <w:lang w:eastAsia="ar-SA"/>
        </w:rPr>
        <w:t xml:space="preserve"> </w:t>
      </w:r>
      <w:r>
        <w:rPr>
          <w:rFonts w:hint="cs"/>
          <w:b/>
          <w:bCs/>
          <w:rtl/>
          <w:lang w:eastAsia="ar-SA"/>
        </w:rPr>
        <w:t>توفير</w:t>
      </w:r>
      <w:r w:rsidRPr="00A06E86">
        <w:rPr>
          <w:rFonts w:hint="cs"/>
          <w:b/>
          <w:bCs/>
          <w:rtl/>
          <w:lang w:eastAsia="ar-SA"/>
        </w:rPr>
        <w:t xml:space="preserve"> الموارد الضرورية للتحقيق في حالات </w:t>
      </w:r>
      <w:proofErr w:type="spellStart"/>
      <w:r w:rsidRPr="00A06E86">
        <w:rPr>
          <w:rFonts w:hint="cs"/>
          <w:b/>
          <w:bCs/>
          <w:rtl/>
          <w:lang w:eastAsia="ar-SA"/>
        </w:rPr>
        <w:t>الاتجار</w:t>
      </w:r>
      <w:proofErr w:type="spellEnd"/>
      <w:r w:rsidRPr="00A06E86">
        <w:rPr>
          <w:rFonts w:hint="cs"/>
          <w:b/>
          <w:bCs/>
          <w:rtl/>
          <w:lang w:eastAsia="ar-SA"/>
        </w:rPr>
        <w:t xml:space="preserve"> بالأشخاص ومقاضاة جميع الجناة؛ </w:t>
      </w:r>
      <w:r>
        <w:rPr>
          <w:rFonts w:hint="cs"/>
          <w:b/>
          <w:bCs/>
          <w:rtl/>
          <w:lang w:eastAsia="ar-SA"/>
        </w:rPr>
        <w:t>و</w:t>
      </w:r>
      <w:r w:rsidRPr="00A06E86">
        <w:rPr>
          <w:rFonts w:hint="cs"/>
          <w:b/>
          <w:bCs/>
          <w:rtl/>
          <w:lang w:eastAsia="ar-SA"/>
        </w:rPr>
        <w:t>(ج)</w:t>
      </w:r>
      <w:r w:rsidR="002107C6">
        <w:rPr>
          <w:rFonts w:hint="eastAsia"/>
          <w:b/>
          <w:bCs/>
          <w:rtl/>
          <w:lang w:eastAsia="ar-SA"/>
        </w:rPr>
        <w:t> </w:t>
      </w:r>
      <w:r w:rsidRPr="00A06E86">
        <w:rPr>
          <w:rFonts w:hint="cs"/>
          <w:b/>
          <w:bCs/>
          <w:rtl/>
          <w:lang w:eastAsia="ar-SA"/>
        </w:rPr>
        <w:t xml:space="preserve">توفير الموارد الضرورية وتقديم خطة عمل رسمية للمنسق الوطني المعني بمكافحة </w:t>
      </w:r>
      <w:proofErr w:type="spellStart"/>
      <w:r w:rsidRPr="00A06E86">
        <w:rPr>
          <w:rFonts w:hint="cs"/>
          <w:b/>
          <w:bCs/>
          <w:rtl/>
          <w:lang w:eastAsia="ar-SA"/>
        </w:rPr>
        <w:t>الاتجار</w:t>
      </w:r>
      <w:proofErr w:type="spellEnd"/>
      <w:r w:rsidRPr="00A06E86">
        <w:rPr>
          <w:rFonts w:hint="cs"/>
          <w:b/>
          <w:bCs/>
          <w:rtl/>
          <w:lang w:eastAsia="ar-SA"/>
        </w:rPr>
        <w:t xml:space="preserve">؛ </w:t>
      </w:r>
      <w:r>
        <w:rPr>
          <w:rFonts w:hint="cs"/>
          <w:b/>
          <w:bCs/>
          <w:rtl/>
          <w:lang w:eastAsia="ar-SA"/>
        </w:rPr>
        <w:t>و</w:t>
      </w:r>
      <w:r w:rsidRPr="00A06E86">
        <w:rPr>
          <w:rFonts w:hint="cs"/>
          <w:b/>
          <w:bCs/>
          <w:rtl/>
          <w:lang w:eastAsia="ar-SA"/>
        </w:rPr>
        <w:t xml:space="preserve">(د) ضمان إبعاد الأطفال عن الأسر المسؤولة عن استغلالهم، والاعتراف الكامل بالأطفال بوصفهم ضحايا لا جناة ارتكبوا جرائم؛ </w:t>
      </w:r>
      <w:r>
        <w:rPr>
          <w:rFonts w:hint="cs"/>
          <w:b/>
          <w:bCs/>
          <w:rtl/>
          <w:lang w:eastAsia="ar-SA"/>
        </w:rPr>
        <w:t>و</w:t>
      </w:r>
      <w:r w:rsidRPr="00A06E86">
        <w:rPr>
          <w:rFonts w:hint="cs"/>
          <w:b/>
          <w:bCs/>
          <w:rtl/>
          <w:lang w:eastAsia="ar-SA"/>
        </w:rPr>
        <w:t>(ه) ضمان تزويد مفتشية العمل والهيئات التنسيقية ذات الصلة بالموارد الكافية والتدريب و</w:t>
      </w:r>
      <w:r>
        <w:rPr>
          <w:rFonts w:hint="cs"/>
          <w:b/>
          <w:bCs/>
          <w:rtl/>
          <w:lang w:eastAsia="ar-SA"/>
        </w:rPr>
        <w:t>ال</w:t>
      </w:r>
      <w:r w:rsidRPr="00A06E86">
        <w:rPr>
          <w:rFonts w:hint="cs"/>
          <w:b/>
          <w:bCs/>
          <w:rtl/>
          <w:lang w:eastAsia="ar-SA"/>
        </w:rPr>
        <w:t xml:space="preserve">سبل </w:t>
      </w:r>
      <w:r>
        <w:rPr>
          <w:rFonts w:hint="cs"/>
          <w:b/>
          <w:bCs/>
          <w:rtl/>
          <w:lang w:eastAsia="ar-SA"/>
        </w:rPr>
        <w:t xml:space="preserve">التي تمكنها من كشف </w:t>
      </w:r>
      <w:r w:rsidRPr="00A06E86">
        <w:rPr>
          <w:rFonts w:hint="cs"/>
          <w:b/>
          <w:bCs/>
          <w:rtl/>
          <w:lang w:eastAsia="ar-SA"/>
        </w:rPr>
        <w:t xml:space="preserve">عمل الأطفال ومنعه؛ </w:t>
      </w:r>
      <w:r>
        <w:rPr>
          <w:rFonts w:hint="cs"/>
          <w:b/>
          <w:bCs/>
          <w:rtl/>
          <w:lang w:eastAsia="ar-SA"/>
        </w:rPr>
        <w:t>و</w:t>
      </w:r>
      <w:r w:rsidRPr="00A06E86">
        <w:rPr>
          <w:rFonts w:hint="cs"/>
          <w:b/>
          <w:bCs/>
          <w:rtl/>
          <w:lang w:eastAsia="ar-SA"/>
        </w:rPr>
        <w:t xml:space="preserve">(و) وضع برامج لإعادة تأهيل ضحايا </w:t>
      </w:r>
      <w:proofErr w:type="spellStart"/>
      <w:r w:rsidRPr="00A06E86">
        <w:rPr>
          <w:rFonts w:hint="cs"/>
          <w:b/>
          <w:bCs/>
          <w:rtl/>
          <w:lang w:eastAsia="ar-SA"/>
        </w:rPr>
        <w:t>الاتجار</w:t>
      </w:r>
      <w:proofErr w:type="spellEnd"/>
      <w:r w:rsidRPr="00A06E86">
        <w:rPr>
          <w:rFonts w:hint="cs"/>
          <w:b/>
          <w:bCs/>
          <w:rtl/>
          <w:lang w:eastAsia="ar-SA"/>
        </w:rPr>
        <w:t xml:space="preserve"> والعمل القسري، بمن فيهم الأطفال.</w:t>
      </w:r>
    </w:p>
    <w:p w:rsidR="00977D1E" w:rsidRDefault="00977D1E" w:rsidP="00977D1E">
      <w:pPr>
        <w:pStyle w:val="H23GA"/>
        <w:rPr>
          <w:rtl/>
        </w:rPr>
      </w:pPr>
      <w:r>
        <w:rPr>
          <w:rFonts w:hint="cs"/>
          <w:rtl/>
        </w:rPr>
        <w:tab/>
      </w:r>
      <w:r>
        <w:rPr>
          <w:rFonts w:hint="cs"/>
          <w:rtl/>
        </w:rPr>
        <w:tab/>
        <w:t xml:space="preserve">اللاجئون وملتمسو اللجوء </w:t>
      </w:r>
    </w:p>
    <w:p w:rsidR="00977D1E" w:rsidRDefault="00977D1E" w:rsidP="00977D1E">
      <w:pPr>
        <w:pStyle w:val="SingleTxtGA"/>
        <w:rPr>
          <w:rtl/>
          <w:lang w:eastAsia="ar-SA"/>
        </w:rPr>
      </w:pPr>
      <w:r>
        <w:rPr>
          <w:rFonts w:hint="cs"/>
          <w:rtl/>
          <w:lang w:eastAsia="ar-SA"/>
        </w:rPr>
        <w:t>32-</w:t>
      </w:r>
      <w:r>
        <w:rPr>
          <w:rFonts w:hint="cs"/>
          <w:rtl/>
          <w:lang w:eastAsia="ar-SA"/>
        </w:rPr>
        <w:tab/>
        <w:t xml:space="preserve">تعترف اللجنة بالتحديات الراهنة فيما يتعلق باللاجئين، وتقدِّر إجراءات الحماية القانونية الأساسية المتخذة، ورغم ذلك تشعر بالقلق بشأن ما يلي: (أ) العقبات الكبيرة وفترات التأخر الطويلة التي تكتنف عملية تسجيل ملتمسي اللجوء وإجراء مقابلات معهم وتزويدهم بوثائق هوية، وقلة عدد طلبات اللجوء التي تُمنح الموافقة؛ و(ب) ما ذكرته التقارير من حالات بذل جهود ترمي إلى منع الوصول إلى الإقليم الصربي وإجراءات اللجوء، وعمليات الطرد </w:t>
      </w:r>
      <w:r>
        <w:rPr>
          <w:rFonts w:hint="cs"/>
          <w:rtl/>
          <w:lang w:eastAsia="ar-SA"/>
        </w:rPr>
        <w:lastRenderedPageBreak/>
        <w:t>الجماعي والعنيف، وسوء تطبيق مبدأ "البلد الثالث الآمن"، رغم بواعث القلق المتعلقة بالأوضاع في بعض تلك البلدان؛ و(ج) الأوضاع غير الملائمة في مراكز الاستقبال، ومنها وضع القصَّر غير المصحوبين بذويهم مع أشخاص بالغين، وعدم تقديم الرعاية للأفراد خارج مراكز الاستقبال؛ و(د) عدم إمكانية وصول القصَّر غير المصحوبين بذويهم إلى أوصياء يمكنهم اتخاذ قرار يراعي المصلحة الفضلى للطفل؛ و(ه) عدم ملاءمة إجراءات تحديد سن القصَّر غير المصحوبين بذويهم (المواد 6 و7 و13 و24).</w:t>
      </w:r>
    </w:p>
    <w:p w:rsidR="00977D1E" w:rsidRPr="00A06E86" w:rsidRDefault="00977D1E" w:rsidP="00977D1E">
      <w:pPr>
        <w:pStyle w:val="SingleTxtGA"/>
        <w:rPr>
          <w:b/>
          <w:bCs/>
          <w:rtl/>
          <w:lang w:eastAsia="ar-SA"/>
        </w:rPr>
      </w:pPr>
      <w:r>
        <w:rPr>
          <w:rFonts w:hint="cs"/>
          <w:rtl/>
          <w:lang w:eastAsia="ar-SA"/>
        </w:rPr>
        <w:t>33-</w:t>
      </w:r>
      <w:r>
        <w:rPr>
          <w:rFonts w:hint="cs"/>
          <w:rtl/>
          <w:lang w:eastAsia="ar-SA"/>
        </w:rPr>
        <w:tab/>
      </w:r>
      <w:r w:rsidRPr="00A06E86">
        <w:rPr>
          <w:rFonts w:hint="cs"/>
          <w:b/>
          <w:bCs/>
          <w:rtl/>
          <w:lang w:eastAsia="ar-SA"/>
        </w:rPr>
        <w:t xml:space="preserve">ينبغي للدولة الطرف أن تحترم على نحو صارم التزاماتها الوطنية والدولية، عن طريق ما يلي: (أ) ضمان إتاحة الإجراءات الرسيمة لطلب اللجوء في جميع النقاط الحدودية، لا سيما في المطارات الدولية ومناطق العبور، </w:t>
      </w:r>
      <w:r>
        <w:rPr>
          <w:rFonts w:hint="cs"/>
          <w:b/>
          <w:bCs/>
          <w:rtl/>
          <w:lang w:eastAsia="ar-SA"/>
        </w:rPr>
        <w:t>و</w:t>
      </w:r>
      <w:r w:rsidRPr="00A06E86">
        <w:rPr>
          <w:rFonts w:hint="cs"/>
          <w:b/>
          <w:bCs/>
          <w:rtl/>
          <w:lang w:eastAsia="ar-SA"/>
        </w:rPr>
        <w:t xml:space="preserve">تقديم التدريب المناسب إلى جميع الأشخاص المتعاملين مباشرة مع اللاجئين أو المهاجرين؛ </w:t>
      </w:r>
      <w:r>
        <w:rPr>
          <w:rFonts w:hint="cs"/>
          <w:b/>
          <w:bCs/>
          <w:rtl/>
          <w:lang w:eastAsia="ar-SA"/>
        </w:rPr>
        <w:t>و</w:t>
      </w:r>
      <w:r w:rsidRPr="00A06E86">
        <w:rPr>
          <w:rFonts w:hint="cs"/>
          <w:b/>
          <w:bCs/>
          <w:rtl/>
          <w:lang w:eastAsia="ar-SA"/>
        </w:rPr>
        <w:t xml:space="preserve">(ب) ضمان دراسة جميع طلبات اللجوء </w:t>
      </w:r>
      <w:r>
        <w:rPr>
          <w:rFonts w:hint="cs"/>
          <w:b/>
          <w:bCs/>
          <w:rtl/>
          <w:lang w:eastAsia="ar-SA"/>
        </w:rPr>
        <w:t>على وجه السرعة و</w:t>
      </w:r>
      <w:r w:rsidRPr="00A06E86">
        <w:rPr>
          <w:rFonts w:hint="cs"/>
          <w:b/>
          <w:bCs/>
          <w:rtl/>
          <w:lang w:eastAsia="ar-SA"/>
        </w:rPr>
        <w:t xml:space="preserve">على أساس فردي في إطار من الاحترام الكامل لمبدأ عدم الإعادة القسرية، مع إمكانية الطعن في قرارات الرفض عن طريق الإجراءات </w:t>
      </w:r>
      <w:proofErr w:type="spellStart"/>
      <w:r w:rsidRPr="00A06E86">
        <w:rPr>
          <w:rFonts w:hint="cs"/>
          <w:b/>
          <w:bCs/>
          <w:rtl/>
          <w:lang w:eastAsia="ar-SA"/>
        </w:rPr>
        <w:t>الإيقافية</w:t>
      </w:r>
      <w:proofErr w:type="spellEnd"/>
      <w:r w:rsidRPr="00A06E86">
        <w:rPr>
          <w:rFonts w:hint="cs"/>
          <w:b/>
          <w:bCs/>
          <w:rtl/>
          <w:lang w:eastAsia="ar-SA"/>
        </w:rPr>
        <w:t xml:space="preserve">؛ </w:t>
      </w:r>
      <w:r>
        <w:rPr>
          <w:rFonts w:hint="cs"/>
          <w:b/>
          <w:bCs/>
          <w:rtl/>
          <w:lang w:eastAsia="ar-SA"/>
        </w:rPr>
        <w:t>و</w:t>
      </w:r>
      <w:r w:rsidRPr="00A06E86">
        <w:rPr>
          <w:rFonts w:hint="cs"/>
          <w:b/>
          <w:bCs/>
          <w:rtl/>
          <w:lang w:eastAsia="ar-SA"/>
        </w:rPr>
        <w:t xml:space="preserve">(ج) الامتناع عن الطرد الجماعي للأجانب، وضمان إجراء تقييم موضوعي لمستوى الحماية عند إبعاد الأجانب إلى "بلدان ثالثة آمنة"؛ </w:t>
      </w:r>
      <w:r>
        <w:rPr>
          <w:rFonts w:hint="cs"/>
          <w:b/>
          <w:bCs/>
          <w:rtl/>
          <w:lang w:eastAsia="ar-SA"/>
        </w:rPr>
        <w:t>و</w:t>
      </w:r>
      <w:r w:rsidRPr="00A06E86">
        <w:rPr>
          <w:rFonts w:hint="cs"/>
          <w:b/>
          <w:bCs/>
          <w:rtl/>
          <w:lang w:eastAsia="ar-SA"/>
        </w:rPr>
        <w:t>(د) ضمان توفير الأوضاع المناسبة لجميع اللاجئين وملتمسي اللجوء، داخل مراكز الاستقبال وخارجها</w:t>
      </w:r>
      <w:r>
        <w:rPr>
          <w:rFonts w:hint="cs"/>
          <w:b/>
          <w:bCs/>
          <w:rtl/>
          <w:lang w:eastAsia="ar-SA"/>
        </w:rPr>
        <w:t xml:space="preserve"> على السواء</w:t>
      </w:r>
      <w:r w:rsidRPr="00A06E86">
        <w:rPr>
          <w:rFonts w:hint="cs"/>
          <w:b/>
          <w:bCs/>
          <w:rtl/>
          <w:lang w:eastAsia="ar-SA"/>
        </w:rPr>
        <w:t xml:space="preserve">؛ </w:t>
      </w:r>
      <w:r>
        <w:rPr>
          <w:rFonts w:hint="cs"/>
          <w:b/>
          <w:bCs/>
          <w:rtl/>
          <w:lang w:eastAsia="ar-SA"/>
        </w:rPr>
        <w:t>و</w:t>
      </w:r>
      <w:r w:rsidRPr="00A06E86">
        <w:rPr>
          <w:rFonts w:hint="cs"/>
          <w:b/>
          <w:bCs/>
          <w:rtl/>
          <w:lang w:eastAsia="ar-SA"/>
        </w:rPr>
        <w:t xml:space="preserve">(ه) ضمان وجود بروتوكولات مناسبة لتحديد سن </w:t>
      </w:r>
      <w:r>
        <w:rPr>
          <w:rFonts w:hint="cs"/>
          <w:b/>
          <w:bCs/>
          <w:rtl/>
          <w:lang w:eastAsia="ar-SA"/>
        </w:rPr>
        <w:t>القصَّر</w:t>
      </w:r>
      <w:r w:rsidRPr="00A06E86">
        <w:rPr>
          <w:rFonts w:hint="cs"/>
          <w:b/>
          <w:bCs/>
          <w:rtl/>
          <w:lang w:eastAsia="ar-SA"/>
        </w:rPr>
        <w:t xml:space="preserve"> غير المصحوبين بذويهم، وضمان وصولهم إلى الوصي المناسب وحصولهم على المعاملة المناسبة التي تراعي مبدأ المصالح الفضلى للطفل.</w:t>
      </w:r>
    </w:p>
    <w:p w:rsidR="00977D1E" w:rsidRDefault="00977D1E" w:rsidP="00977D1E">
      <w:pPr>
        <w:pStyle w:val="H23GA"/>
        <w:rPr>
          <w:rtl/>
        </w:rPr>
      </w:pPr>
      <w:r>
        <w:rPr>
          <w:rFonts w:hint="cs"/>
          <w:rtl/>
        </w:rPr>
        <w:tab/>
      </w:r>
      <w:r>
        <w:rPr>
          <w:rFonts w:hint="cs"/>
          <w:rtl/>
        </w:rPr>
        <w:tab/>
        <w:t>إقامة العدل</w:t>
      </w:r>
    </w:p>
    <w:p w:rsidR="00977D1E" w:rsidRPr="007D7A1F" w:rsidRDefault="00977D1E" w:rsidP="00977D1E">
      <w:pPr>
        <w:pStyle w:val="SingleTxtGA"/>
        <w:rPr>
          <w:rtl/>
          <w:lang w:eastAsia="ar-SA"/>
        </w:rPr>
      </w:pPr>
      <w:r>
        <w:rPr>
          <w:rFonts w:hint="cs"/>
          <w:rtl/>
          <w:lang w:eastAsia="ar-SA"/>
        </w:rPr>
        <w:t>34-</w:t>
      </w:r>
      <w:r>
        <w:rPr>
          <w:rFonts w:hint="cs"/>
          <w:rtl/>
          <w:lang w:eastAsia="ar-SA"/>
        </w:rPr>
        <w:tab/>
        <w:t>تنوِّه اللجنة باستراتيجية إصلاح نظام القضاء الوطني، وبالجهود المبذولة مؤخراً لتقليص العدد الكبير من القضايا المتراكمة، ومع ذلك تشعر بالقلق بشأن ما يلي: (أ) فترة اختبار القضاة الجدد التي تمتد ثلاث سنوات؛ و(ب) حالات الضغط والانتقام المدعاة التي يمارسها السياسيون ووسائط الإعلام على القضاة ووكلاء الادعاء ومجلس القضاء الأعلى ومجلس الادعاء العام للدولة؛ و(ج) الكم المتبقي من القضايا المتراكمة؛ و(د) التأخر في اعتماد مشروع قانون بشأن المساعدة القانونية المجانية (المادة 14).</w:t>
      </w:r>
    </w:p>
    <w:p w:rsidR="00977D1E" w:rsidRPr="00BC77EB" w:rsidRDefault="00977D1E" w:rsidP="00EE3204">
      <w:pPr>
        <w:pStyle w:val="SingleTxtGA"/>
        <w:rPr>
          <w:b/>
          <w:bCs/>
          <w:rtl/>
        </w:rPr>
      </w:pPr>
      <w:r w:rsidRPr="00977D1E">
        <w:rPr>
          <w:rtl/>
        </w:rPr>
        <w:t>35-</w:t>
      </w:r>
      <w:r w:rsidRPr="00BC77EB">
        <w:rPr>
          <w:b/>
          <w:bCs/>
          <w:rtl/>
        </w:rPr>
        <w:tab/>
      </w:r>
      <w:r w:rsidRPr="00BC77EB">
        <w:rPr>
          <w:rFonts w:hint="eastAsia"/>
          <w:b/>
          <w:bCs/>
          <w:rtl/>
        </w:rPr>
        <w:t>ينبغي</w:t>
      </w:r>
      <w:r w:rsidRPr="00BC77EB">
        <w:rPr>
          <w:b/>
          <w:bCs/>
          <w:rtl/>
        </w:rPr>
        <w:t xml:space="preserve"> للدولة الطرف القيام بما يلي: (أ) </w:t>
      </w:r>
      <w:r w:rsidRPr="00BC77EB">
        <w:rPr>
          <w:rFonts w:hint="eastAsia"/>
          <w:b/>
          <w:bCs/>
          <w:rtl/>
        </w:rPr>
        <w:t>اتخاذ</w:t>
      </w:r>
      <w:r w:rsidRPr="00BC77EB">
        <w:rPr>
          <w:b/>
          <w:bCs/>
          <w:rtl/>
        </w:rPr>
        <w:t xml:space="preserve"> </w:t>
      </w:r>
      <w:r w:rsidRPr="00BC77EB">
        <w:rPr>
          <w:rFonts w:hint="eastAsia"/>
          <w:b/>
          <w:bCs/>
          <w:rtl/>
        </w:rPr>
        <w:t>خطوات</w:t>
      </w:r>
      <w:r w:rsidRPr="00BC77EB">
        <w:rPr>
          <w:b/>
          <w:bCs/>
          <w:rtl/>
        </w:rPr>
        <w:t xml:space="preserve"> </w:t>
      </w:r>
      <w:r w:rsidRPr="00BC77EB">
        <w:rPr>
          <w:rFonts w:hint="eastAsia"/>
          <w:b/>
          <w:bCs/>
          <w:rtl/>
        </w:rPr>
        <w:t>لترسيخ</w:t>
      </w:r>
      <w:r w:rsidRPr="00BC77EB">
        <w:rPr>
          <w:b/>
          <w:bCs/>
          <w:rtl/>
        </w:rPr>
        <w:t xml:space="preserve"> </w:t>
      </w:r>
      <w:r w:rsidRPr="00BC77EB">
        <w:rPr>
          <w:rFonts w:hint="eastAsia"/>
          <w:b/>
          <w:bCs/>
          <w:rtl/>
        </w:rPr>
        <w:t>استقلال</w:t>
      </w:r>
      <w:r>
        <w:rPr>
          <w:rFonts w:hint="cs"/>
          <w:b/>
          <w:bCs/>
          <w:rtl/>
        </w:rPr>
        <w:t>ية</w:t>
      </w:r>
      <w:r w:rsidRPr="00BC77EB">
        <w:rPr>
          <w:b/>
          <w:bCs/>
          <w:rtl/>
        </w:rPr>
        <w:t xml:space="preserve"> القضاء، بطرق منها ضمان مدة خدمة القضاة الجدد ومنع أي تدخل سياسي في عمل مجلس القضاء الأعلى ومجلس الادعاء العام للدولة؛ </w:t>
      </w:r>
      <w:r>
        <w:rPr>
          <w:rFonts w:hint="cs"/>
          <w:b/>
          <w:bCs/>
          <w:rtl/>
        </w:rPr>
        <w:t>و</w:t>
      </w:r>
      <w:r w:rsidRPr="00BC77EB">
        <w:rPr>
          <w:b/>
          <w:bCs/>
          <w:rtl/>
        </w:rPr>
        <w:t>(ب)</w:t>
      </w:r>
      <w:r w:rsidR="00EE3204">
        <w:rPr>
          <w:rFonts w:hint="cs"/>
          <w:b/>
          <w:bCs/>
          <w:rtl/>
        </w:rPr>
        <w:t xml:space="preserve"> </w:t>
      </w:r>
      <w:r w:rsidRPr="00BC77EB">
        <w:rPr>
          <w:rFonts w:hint="eastAsia"/>
          <w:b/>
          <w:bCs/>
          <w:rtl/>
        </w:rPr>
        <w:t>اتخاذ</w:t>
      </w:r>
      <w:r w:rsidRPr="00BC77EB">
        <w:rPr>
          <w:b/>
          <w:bCs/>
          <w:rtl/>
        </w:rPr>
        <w:t xml:space="preserve"> خطوات لضمان التحقيق الفوري في جميع حالات الضغط </w:t>
      </w:r>
      <w:r w:rsidRPr="00BC77EB">
        <w:rPr>
          <w:rFonts w:hint="eastAsia"/>
          <w:b/>
          <w:bCs/>
          <w:rtl/>
        </w:rPr>
        <w:t>الممارس</w:t>
      </w:r>
      <w:r w:rsidRPr="00BC77EB">
        <w:rPr>
          <w:b/>
          <w:bCs/>
          <w:rtl/>
        </w:rPr>
        <w:t xml:space="preserve"> </w:t>
      </w:r>
      <w:r w:rsidRPr="00BC77EB">
        <w:rPr>
          <w:rFonts w:hint="eastAsia"/>
          <w:b/>
          <w:bCs/>
          <w:rtl/>
        </w:rPr>
        <w:t>من</w:t>
      </w:r>
      <w:r w:rsidRPr="00BC77EB">
        <w:rPr>
          <w:b/>
          <w:bCs/>
          <w:rtl/>
        </w:rPr>
        <w:t xml:space="preserve"> </w:t>
      </w:r>
      <w:r w:rsidRPr="00BC77EB">
        <w:rPr>
          <w:rFonts w:hint="eastAsia"/>
          <w:b/>
          <w:bCs/>
          <w:rtl/>
        </w:rPr>
        <w:t>جانب</w:t>
      </w:r>
      <w:r w:rsidRPr="00BC77EB">
        <w:rPr>
          <w:b/>
          <w:bCs/>
          <w:rtl/>
        </w:rPr>
        <w:t xml:space="preserve"> </w:t>
      </w:r>
      <w:r w:rsidRPr="00BC77EB">
        <w:rPr>
          <w:rFonts w:hint="eastAsia"/>
          <w:b/>
          <w:bCs/>
          <w:rtl/>
        </w:rPr>
        <w:t>السياسيين</w:t>
      </w:r>
      <w:r w:rsidRPr="00BC77EB">
        <w:rPr>
          <w:b/>
          <w:bCs/>
          <w:rtl/>
        </w:rPr>
        <w:t xml:space="preserve"> </w:t>
      </w:r>
      <w:r w:rsidRPr="00BC77EB">
        <w:rPr>
          <w:rFonts w:hint="eastAsia"/>
          <w:b/>
          <w:bCs/>
          <w:rtl/>
        </w:rPr>
        <w:t>ووسائط</w:t>
      </w:r>
      <w:r w:rsidRPr="00BC77EB">
        <w:rPr>
          <w:b/>
          <w:bCs/>
          <w:rtl/>
        </w:rPr>
        <w:t xml:space="preserve"> الإعلام على القضاة ووكلاء </w:t>
      </w:r>
      <w:r w:rsidRPr="00BC77EB">
        <w:rPr>
          <w:rFonts w:hint="eastAsia"/>
          <w:b/>
          <w:bCs/>
          <w:rtl/>
        </w:rPr>
        <w:t>الادعاء،</w:t>
      </w:r>
      <w:r w:rsidRPr="00BC77EB">
        <w:rPr>
          <w:b/>
          <w:bCs/>
          <w:rtl/>
        </w:rPr>
        <w:t xml:space="preserve"> </w:t>
      </w:r>
      <w:r w:rsidRPr="00BC77EB">
        <w:rPr>
          <w:rFonts w:hint="eastAsia"/>
          <w:b/>
          <w:bCs/>
          <w:rtl/>
        </w:rPr>
        <w:t>والمعاقبة</w:t>
      </w:r>
      <w:r w:rsidRPr="00BC77EB">
        <w:rPr>
          <w:b/>
          <w:bCs/>
          <w:rtl/>
        </w:rPr>
        <w:t xml:space="preserve"> </w:t>
      </w:r>
      <w:r w:rsidRPr="00BC77EB">
        <w:rPr>
          <w:rFonts w:hint="eastAsia"/>
          <w:b/>
          <w:bCs/>
          <w:rtl/>
        </w:rPr>
        <w:t>عليها؛</w:t>
      </w:r>
      <w:r w:rsidRPr="00BC77EB">
        <w:rPr>
          <w:b/>
          <w:bCs/>
          <w:rtl/>
        </w:rPr>
        <w:t xml:space="preserve"> </w:t>
      </w:r>
      <w:r>
        <w:rPr>
          <w:rFonts w:hint="cs"/>
          <w:b/>
          <w:bCs/>
          <w:rtl/>
        </w:rPr>
        <w:t>و</w:t>
      </w:r>
      <w:r w:rsidRPr="00BC77EB">
        <w:rPr>
          <w:b/>
          <w:bCs/>
          <w:rtl/>
        </w:rPr>
        <w:t>(ج)</w:t>
      </w:r>
      <w:r>
        <w:rPr>
          <w:b/>
          <w:bCs/>
          <w:rtl/>
        </w:rPr>
        <w:t xml:space="preserve"> </w:t>
      </w:r>
      <w:r w:rsidRPr="00BC77EB">
        <w:rPr>
          <w:rFonts w:hint="eastAsia"/>
          <w:b/>
          <w:bCs/>
          <w:rtl/>
        </w:rPr>
        <w:t>تعزيز</w:t>
      </w:r>
      <w:r w:rsidRPr="00BC77EB">
        <w:rPr>
          <w:b/>
          <w:bCs/>
          <w:rtl/>
        </w:rPr>
        <w:t xml:space="preserve"> </w:t>
      </w:r>
      <w:r w:rsidRPr="00BC77EB">
        <w:rPr>
          <w:rFonts w:hint="eastAsia"/>
          <w:b/>
          <w:bCs/>
          <w:rtl/>
        </w:rPr>
        <w:t>جهودها</w:t>
      </w:r>
      <w:r w:rsidRPr="00BC77EB">
        <w:rPr>
          <w:b/>
          <w:bCs/>
          <w:rtl/>
        </w:rPr>
        <w:t xml:space="preserve"> </w:t>
      </w:r>
      <w:r w:rsidRPr="00BC77EB">
        <w:rPr>
          <w:rFonts w:hint="eastAsia"/>
          <w:b/>
          <w:bCs/>
          <w:rtl/>
        </w:rPr>
        <w:t>لضمان</w:t>
      </w:r>
      <w:r w:rsidRPr="00BC77EB">
        <w:rPr>
          <w:b/>
          <w:bCs/>
          <w:rtl/>
        </w:rPr>
        <w:t xml:space="preserve"> </w:t>
      </w:r>
      <w:r w:rsidRPr="00BC77EB">
        <w:rPr>
          <w:rFonts w:hint="eastAsia"/>
          <w:b/>
          <w:bCs/>
          <w:rtl/>
        </w:rPr>
        <w:t>إجراء</w:t>
      </w:r>
      <w:r w:rsidRPr="00BC77EB">
        <w:rPr>
          <w:b/>
          <w:bCs/>
          <w:rtl/>
        </w:rPr>
        <w:t xml:space="preserve"> </w:t>
      </w:r>
      <w:r w:rsidRPr="00BC77EB">
        <w:rPr>
          <w:rFonts w:hint="eastAsia"/>
          <w:b/>
          <w:bCs/>
          <w:rtl/>
        </w:rPr>
        <w:t>المحاكمات</w:t>
      </w:r>
      <w:r w:rsidRPr="00BC77EB">
        <w:rPr>
          <w:b/>
          <w:bCs/>
          <w:rtl/>
        </w:rPr>
        <w:t xml:space="preserve"> </w:t>
      </w:r>
      <w:r w:rsidRPr="00BC77EB">
        <w:rPr>
          <w:rFonts w:hint="eastAsia"/>
          <w:b/>
          <w:bCs/>
          <w:rtl/>
        </w:rPr>
        <w:t>في</w:t>
      </w:r>
      <w:r w:rsidRPr="00BC77EB">
        <w:rPr>
          <w:b/>
          <w:bCs/>
          <w:rtl/>
        </w:rPr>
        <w:t xml:space="preserve"> </w:t>
      </w:r>
      <w:r w:rsidRPr="00BC77EB">
        <w:rPr>
          <w:rFonts w:hint="eastAsia"/>
          <w:b/>
          <w:bCs/>
          <w:rtl/>
        </w:rPr>
        <w:t>وقت</w:t>
      </w:r>
      <w:r w:rsidRPr="00BC77EB">
        <w:rPr>
          <w:b/>
          <w:bCs/>
          <w:rtl/>
        </w:rPr>
        <w:t xml:space="preserve"> </w:t>
      </w:r>
      <w:r w:rsidRPr="00BC77EB">
        <w:rPr>
          <w:rFonts w:hint="eastAsia"/>
          <w:b/>
          <w:bCs/>
          <w:rtl/>
        </w:rPr>
        <w:t>معقول</w:t>
      </w:r>
      <w:r w:rsidRPr="00BC77EB">
        <w:rPr>
          <w:b/>
          <w:bCs/>
          <w:rtl/>
        </w:rPr>
        <w:t xml:space="preserve"> </w:t>
      </w:r>
      <w:r w:rsidRPr="00BC77EB">
        <w:rPr>
          <w:rFonts w:hint="eastAsia"/>
          <w:b/>
          <w:bCs/>
          <w:rtl/>
        </w:rPr>
        <w:t>وتقليص</w:t>
      </w:r>
      <w:r w:rsidRPr="00BC77EB">
        <w:rPr>
          <w:b/>
          <w:bCs/>
          <w:rtl/>
        </w:rPr>
        <w:t xml:space="preserve"> </w:t>
      </w:r>
      <w:r w:rsidRPr="00BC77EB">
        <w:rPr>
          <w:rFonts w:hint="eastAsia"/>
          <w:b/>
          <w:bCs/>
          <w:rtl/>
        </w:rPr>
        <w:t>تراكم</w:t>
      </w:r>
      <w:r w:rsidRPr="00BC77EB">
        <w:rPr>
          <w:b/>
          <w:bCs/>
          <w:rtl/>
        </w:rPr>
        <w:t xml:space="preserve"> </w:t>
      </w:r>
      <w:r w:rsidRPr="00BC77EB">
        <w:rPr>
          <w:rFonts w:hint="eastAsia"/>
          <w:b/>
          <w:bCs/>
          <w:rtl/>
        </w:rPr>
        <w:t>القضايا؛</w:t>
      </w:r>
      <w:r w:rsidRPr="00BC77EB">
        <w:rPr>
          <w:b/>
          <w:bCs/>
          <w:rtl/>
        </w:rPr>
        <w:t xml:space="preserve"> (د)</w:t>
      </w:r>
      <w:r>
        <w:rPr>
          <w:b/>
          <w:bCs/>
          <w:rtl/>
        </w:rPr>
        <w:t xml:space="preserve"> </w:t>
      </w:r>
      <w:r>
        <w:rPr>
          <w:rFonts w:hint="cs"/>
          <w:b/>
          <w:bCs/>
          <w:rtl/>
        </w:rPr>
        <w:t>و</w:t>
      </w:r>
      <w:r w:rsidRPr="00BC77EB">
        <w:rPr>
          <w:rFonts w:hint="eastAsia"/>
          <w:b/>
          <w:bCs/>
          <w:rtl/>
        </w:rPr>
        <w:t>تعزيز</w:t>
      </w:r>
      <w:r w:rsidRPr="00BC77EB">
        <w:rPr>
          <w:b/>
          <w:bCs/>
          <w:rtl/>
        </w:rPr>
        <w:t xml:space="preserve"> جهودها من أجل اعتماد مشروع قانون المساعدة القانونية المجانية. </w:t>
      </w:r>
    </w:p>
    <w:p w:rsidR="00977D1E" w:rsidRPr="00CC58B5" w:rsidRDefault="00977D1E" w:rsidP="00977D1E">
      <w:pPr>
        <w:pStyle w:val="H23GA"/>
        <w:rPr>
          <w:rtl/>
        </w:rPr>
      </w:pPr>
      <w:r>
        <w:rPr>
          <w:rFonts w:hint="cs"/>
          <w:rtl/>
        </w:rPr>
        <w:lastRenderedPageBreak/>
        <w:tab/>
      </w:r>
      <w:r>
        <w:rPr>
          <w:rFonts w:hint="cs"/>
          <w:rtl/>
        </w:rPr>
        <w:tab/>
      </w:r>
      <w:r w:rsidRPr="00CC58B5">
        <w:rPr>
          <w:rFonts w:hint="cs"/>
          <w:rtl/>
        </w:rPr>
        <w:t xml:space="preserve">حرية الفكر والضمير والدين </w:t>
      </w:r>
    </w:p>
    <w:p w:rsidR="00977D1E" w:rsidRDefault="00977D1E" w:rsidP="00977D1E">
      <w:pPr>
        <w:pStyle w:val="SingleTxtGA"/>
        <w:rPr>
          <w:rtl/>
          <w:lang w:val="fr-CH"/>
        </w:rPr>
      </w:pPr>
      <w:r>
        <w:rPr>
          <w:rFonts w:hint="cs"/>
          <w:rtl/>
        </w:rPr>
        <w:t>36-</w:t>
      </w:r>
      <w:r>
        <w:rPr>
          <w:rFonts w:hint="cs"/>
          <w:rtl/>
        </w:rPr>
        <w:tab/>
        <w:t xml:space="preserve">في سياق إشارة اللجنة إلى ملاحظاتها الختامية السابقة (انظر </w:t>
      </w:r>
      <w:r>
        <w:rPr>
          <w:lang w:val="fr-CH"/>
        </w:rPr>
        <w:t>CCPR/C/SRB/CO/2</w:t>
      </w:r>
      <w:r>
        <w:rPr>
          <w:rFonts w:hint="cs"/>
          <w:rtl/>
          <w:lang w:val="fr-CH"/>
        </w:rPr>
        <w:t xml:space="preserve">، الفقرة 20) تكرر اللجنة الإعراب عن قلقها بشأن العواقب العملية المترتبة على التفرقة القانونية بين الأديان "التقليدية" و"غير التقليدية" (المواد 2 و18 و27). </w:t>
      </w:r>
    </w:p>
    <w:p w:rsidR="00977D1E" w:rsidRPr="00BC77EB" w:rsidRDefault="00977D1E" w:rsidP="00977D1E">
      <w:pPr>
        <w:pStyle w:val="SingleTxtGA"/>
        <w:rPr>
          <w:b/>
          <w:bCs/>
          <w:rtl/>
          <w:lang w:val="fr-CH"/>
        </w:rPr>
      </w:pPr>
      <w:r w:rsidRPr="00977D1E">
        <w:rPr>
          <w:rtl/>
          <w:lang w:val="fr-CH"/>
        </w:rPr>
        <w:t>37-</w:t>
      </w:r>
      <w:r w:rsidRPr="00977D1E">
        <w:rPr>
          <w:rtl/>
          <w:lang w:val="fr-CH"/>
        </w:rPr>
        <w:tab/>
      </w:r>
      <w:r w:rsidRPr="00BC77EB">
        <w:rPr>
          <w:rFonts w:hint="eastAsia"/>
          <w:b/>
          <w:bCs/>
          <w:rtl/>
          <w:lang w:val="fr-CH"/>
        </w:rPr>
        <w:t>ينبغي</w:t>
      </w:r>
      <w:r w:rsidRPr="00BC77EB">
        <w:rPr>
          <w:b/>
          <w:bCs/>
          <w:rtl/>
          <w:lang w:val="fr-CH"/>
        </w:rPr>
        <w:t xml:space="preserve"> للدولة الطرف أن تضمن </w:t>
      </w:r>
      <w:r w:rsidRPr="00BC77EB">
        <w:rPr>
          <w:rFonts w:hint="eastAsia"/>
          <w:b/>
          <w:bCs/>
          <w:rtl/>
          <w:lang w:val="fr-CH"/>
        </w:rPr>
        <w:t>بصورة</w:t>
      </w:r>
      <w:r w:rsidRPr="006D2C8A">
        <w:rPr>
          <w:rFonts w:hint="cs"/>
          <w:rtl/>
          <w:lang w:val="fr-CH"/>
        </w:rPr>
        <w:t xml:space="preserve"> </w:t>
      </w:r>
      <w:r w:rsidRPr="00BC77EB">
        <w:rPr>
          <w:rFonts w:hint="eastAsia"/>
          <w:b/>
          <w:bCs/>
          <w:rtl/>
          <w:lang w:val="fr-CH"/>
        </w:rPr>
        <w:t>عملية</w:t>
      </w:r>
      <w:r w:rsidRPr="00BC77EB">
        <w:rPr>
          <w:b/>
          <w:bCs/>
          <w:rtl/>
          <w:lang w:val="fr-CH"/>
        </w:rPr>
        <w:t xml:space="preserve"> احترام مبدأ المعاملة المتساوية للأديان، وفقاً لاشتراطات المادة 18 من العهد. </w:t>
      </w:r>
    </w:p>
    <w:p w:rsidR="00977D1E" w:rsidRPr="00CC58B5" w:rsidRDefault="00977D1E" w:rsidP="00977D1E">
      <w:pPr>
        <w:pStyle w:val="H23GA"/>
        <w:rPr>
          <w:rtl/>
          <w:lang w:val="fr-CH"/>
        </w:rPr>
      </w:pPr>
      <w:r>
        <w:rPr>
          <w:rFonts w:hint="cs"/>
          <w:rtl/>
          <w:lang w:val="fr-CH"/>
        </w:rPr>
        <w:tab/>
      </w:r>
      <w:r>
        <w:rPr>
          <w:rFonts w:hint="cs"/>
          <w:rtl/>
          <w:lang w:val="fr-CH"/>
        </w:rPr>
        <w:tab/>
      </w:r>
      <w:r w:rsidRPr="00CC58B5">
        <w:rPr>
          <w:rFonts w:hint="cs"/>
          <w:rtl/>
          <w:lang w:val="fr-CH"/>
        </w:rPr>
        <w:t>حرية التعبير</w:t>
      </w:r>
    </w:p>
    <w:p w:rsidR="00977D1E" w:rsidRDefault="00977D1E" w:rsidP="00977D1E">
      <w:pPr>
        <w:pStyle w:val="SingleTxtGA"/>
        <w:rPr>
          <w:rtl/>
          <w:lang w:val="fr-CH"/>
        </w:rPr>
      </w:pPr>
      <w:r>
        <w:rPr>
          <w:rFonts w:hint="cs"/>
          <w:rtl/>
          <w:lang w:val="fr-CH"/>
        </w:rPr>
        <w:t>38-</w:t>
      </w:r>
      <w:r>
        <w:rPr>
          <w:rFonts w:hint="cs"/>
          <w:rtl/>
          <w:lang w:val="fr-CH"/>
        </w:rPr>
        <w:tab/>
        <w:t xml:space="preserve">تشعر اللجنة بالقلق بشأن الادعاءات التي تفيد بقيام مسؤولين رسميين بالتشهير علناً بإعلاميين وتخويفهم، وبشأن الحيز الضيق المتاح للنقاش، وبخاصةٍ بشأن مقاضاة الصحافيين وأفراد المجتمع المدني بسبب تعبيرهم عن آرائهم. وفي سياق ملاحظة عملية خصخصة وسائط الإعلام، تشعر اللجنة بالقلق بشأن انعدام الشفافية فيما يتعلق بملكية وسائط الإعلام والنفوذ العام المستمر الممارس على بعض وسائط الإعلام. وتشعر اللجنة بالقلق أيضاً بشأن جوانب تطبيق قانون التجمعات العامة الصادر في 26 كانون الثاني/يناير 2016، وهي الجوانب التي من شأنها أن تعوق، لا أن تيسر، حماية الحق في حرية التجمع (المادتان 19 و21). </w:t>
      </w:r>
    </w:p>
    <w:p w:rsidR="00977D1E" w:rsidRPr="00BC77EB" w:rsidRDefault="00977D1E" w:rsidP="0071442F">
      <w:pPr>
        <w:pStyle w:val="SingleTxtGA"/>
        <w:rPr>
          <w:b/>
          <w:bCs/>
          <w:rtl/>
          <w:lang w:val="fr-CH"/>
        </w:rPr>
      </w:pPr>
      <w:r w:rsidRPr="00977D1E">
        <w:rPr>
          <w:rtl/>
          <w:lang w:val="fr-CH"/>
        </w:rPr>
        <w:t>39-</w:t>
      </w:r>
      <w:r w:rsidRPr="00977D1E">
        <w:rPr>
          <w:rtl/>
          <w:lang w:val="fr-CH"/>
        </w:rPr>
        <w:tab/>
      </w:r>
      <w:r w:rsidRPr="00BC77EB">
        <w:rPr>
          <w:rFonts w:hint="eastAsia"/>
          <w:b/>
          <w:bCs/>
          <w:rtl/>
          <w:lang w:val="fr-CH"/>
        </w:rPr>
        <w:t>ينبغي</w:t>
      </w:r>
      <w:r w:rsidRPr="00BC77EB">
        <w:rPr>
          <w:b/>
          <w:bCs/>
          <w:rtl/>
          <w:lang w:val="fr-CH"/>
        </w:rPr>
        <w:t xml:space="preserve"> </w:t>
      </w:r>
      <w:r w:rsidRPr="00BC77EB">
        <w:rPr>
          <w:rFonts w:hint="eastAsia"/>
          <w:b/>
          <w:bCs/>
          <w:rtl/>
          <w:lang w:val="fr-CH"/>
        </w:rPr>
        <w:t>للدولة</w:t>
      </w:r>
      <w:r w:rsidRPr="00BC77EB">
        <w:rPr>
          <w:b/>
          <w:bCs/>
          <w:rtl/>
          <w:lang w:val="fr-CH"/>
        </w:rPr>
        <w:t xml:space="preserve"> </w:t>
      </w:r>
      <w:r w:rsidRPr="00BC77EB">
        <w:rPr>
          <w:rFonts w:hint="eastAsia"/>
          <w:b/>
          <w:bCs/>
          <w:rtl/>
          <w:lang w:val="fr-CH"/>
        </w:rPr>
        <w:t>الطرف</w:t>
      </w:r>
      <w:r w:rsidRPr="00BC77EB">
        <w:rPr>
          <w:b/>
          <w:bCs/>
          <w:rtl/>
          <w:lang w:val="fr-CH"/>
        </w:rPr>
        <w:t xml:space="preserve"> </w:t>
      </w:r>
      <w:r w:rsidRPr="00BC77EB">
        <w:rPr>
          <w:rFonts w:hint="eastAsia"/>
          <w:b/>
          <w:bCs/>
          <w:rtl/>
          <w:lang w:val="fr-CH"/>
        </w:rPr>
        <w:t>القيام</w:t>
      </w:r>
      <w:r w:rsidRPr="00BC77EB">
        <w:rPr>
          <w:b/>
          <w:bCs/>
          <w:rtl/>
          <w:lang w:val="fr-CH"/>
        </w:rPr>
        <w:t xml:space="preserve"> </w:t>
      </w:r>
      <w:r w:rsidRPr="00BC77EB">
        <w:rPr>
          <w:rFonts w:hint="eastAsia"/>
          <w:b/>
          <w:bCs/>
          <w:rtl/>
          <w:lang w:val="fr-CH"/>
        </w:rPr>
        <w:t>بما</w:t>
      </w:r>
      <w:r w:rsidRPr="00BC77EB">
        <w:rPr>
          <w:b/>
          <w:bCs/>
          <w:rtl/>
          <w:lang w:val="fr-CH"/>
        </w:rPr>
        <w:t xml:space="preserve"> </w:t>
      </w:r>
      <w:r w:rsidRPr="00BC77EB">
        <w:rPr>
          <w:rFonts w:hint="eastAsia"/>
          <w:b/>
          <w:bCs/>
          <w:rtl/>
          <w:lang w:val="fr-CH"/>
        </w:rPr>
        <w:t>يلي</w:t>
      </w:r>
      <w:r w:rsidRPr="00BC77EB">
        <w:rPr>
          <w:b/>
          <w:bCs/>
          <w:rtl/>
          <w:lang w:val="fr-CH"/>
        </w:rPr>
        <w:t>:</w:t>
      </w:r>
      <w:r>
        <w:rPr>
          <w:rFonts w:hint="cs"/>
          <w:b/>
          <w:bCs/>
          <w:rtl/>
          <w:lang w:val="fr-CH"/>
        </w:rPr>
        <w:t xml:space="preserve"> </w:t>
      </w:r>
      <w:r w:rsidRPr="00BC77EB">
        <w:rPr>
          <w:b/>
          <w:bCs/>
          <w:rtl/>
          <w:lang w:val="fr-CH"/>
        </w:rPr>
        <w:t xml:space="preserve">(أ) </w:t>
      </w:r>
      <w:r w:rsidRPr="00BC77EB">
        <w:rPr>
          <w:rFonts w:hint="eastAsia"/>
          <w:b/>
          <w:bCs/>
          <w:rtl/>
          <w:lang w:val="fr-CH"/>
        </w:rPr>
        <w:t>اتخاذ</w:t>
      </w:r>
      <w:r w:rsidRPr="00BC77EB">
        <w:rPr>
          <w:b/>
          <w:bCs/>
          <w:rtl/>
          <w:lang w:val="fr-CH"/>
        </w:rPr>
        <w:t xml:space="preserve"> خطوات عاجلة لتوفير </w:t>
      </w:r>
      <w:r w:rsidRPr="00BC77EB">
        <w:rPr>
          <w:rFonts w:hint="eastAsia"/>
          <w:b/>
          <w:bCs/>
          <w:rtl/>
          <w:lang w:val="fr-CH"/>
        </w:rPr>
        <w:t>حماية</w:t>
      </w:r>
      <w:r w:rsidRPr="00BC77EB">
        <w:rPr>
          <w:b/>
          <w:bCs/>
          <w:rtl/>
          <w:lang w:val="fr-CH"/>
        </w:rPr>
        <w:t xml:space="preserve"> </w:t>
      </w:r>
      <w:r w:rsidRPr="00BC77EB">
        <w:rPr>
          <w:rFonts w:hint="eastAsia"/>
          <w:b/>
          <w:bCs/>
          <w:rtl/>
          <w:lang w:val="fr-CH"/>
        </w:rPr>
        <w:t>فعلية</w:t>
      </w:r>
      <w:r w:rsidRPr="00BC77EB">
        <w:rPr>
          <w:b/>
          <w:bCs/>
          <w:rtl/>
          <w:lang w:val="fr-CH"/>
        </w:rPr>
        <w:t xml:space="preserve"> </w:t>
      </w:r>
      <w:r w:rsidRPr="00BC77EB">
        <w:rPr>
          <w:rFonts w:hint="eastAsia"/>
          <w:b/>
          <w:bCs/>
          <w:rtl/>
          <w:lang w:val="fr-CH"/>
        </w:rPr>
        <w:t>للعاملين</w:t>
      </w:r>
      <w:r w:rsidRPr="00BC77EB">
        <w:rPr>
          <w:b/>
          <w:bCs/>
          <w:rtl/>
          <w:lang w:val="fr-CH"/>
        </w:rPr>
        <w:t xml:space="preserve"> </w:t>
      </w:r>
      <w:r w:rsidRPr="00BC77EB">
        <w:rPr>
          <w:rFonts w:hint="eastAsia"/>
          <w:b/>
          <w:bCs/>
          <w:rtl/>
          <w:lang w:val="fr-CH"/>
        </w:rPr>
        <w:t>في</w:t>
      </w:r>
      <w:r w:rsidRPr="00BC77EB">
        <w:rPr>
          <w:b/>
          <w:bCs/>
          <w:rtl/>
          <w:lang w:val="fr-CH"/>
        </w:rPr>
        <w:t xml:space="preserve"> </w:t>
      </w:r>
      <w:r w:rsidRPr="00BC77EB">
        <w:rPr>
          <w:rFonts w:hint="eastAsia"/>
          <w:b/>
          <w:bCs/>
          <w:rtl/>
          <w:lang w:val="fr-CH"/>
        </w:rPr>
        <w:t>الإعلام</w:t>
      </w:r>
      <w:r w:rsidRPr="00BC77EB">
        <w:rPr>
          <w:b/>
          <w:bCs/>
          <w:rtl/>
          <w:lang w:val="fr-CH"/>
        </w:rPr>
        <w:t xml:space="preserve"> </w:t>
      </w:r>
      <w:r w:rsidRPr="00BC77EB">
        <w:rPr>
          <w:rFonts w:hint="eastAsia"/>
          <w:b/>
          <w:bCs/>
          <w:rtl/>
          <w:lang w:val="fr-CH"/>
        </w:rPr>
        <w:t>من</w:t>
      </w:r>
      <w:r w:rsidRPr="00BC77EB">
        <w:rPr>
          <w:b/>
          <w:bCs/>
          <w:rtl/>
          <w:lang w:val="fr-CH"/>
        </w:rPr>
        <w:t xml:space="preserve"> </w:t>
      </w:r>
      <w:r w:rsidRPr="00BC77EB">
        <w:rPr>
          <w:rFonts w:hint="eastAsia"/>
          <w:b/>
          <w:bCs/>
          <w:rtl/>
          <w:lang w:val="fr-CH"/>
        </w:rPr>
        <w:t>جميع</w:t>
      </w:r>
      <w:r w:rsidRPr="00BC77EB">
        <w:rPr>
          <w:b/>
          <w:bCs/>
          <w:rtl/>
          <w:lang w:val="fr-CH"/>
        </w:rPr>
        <w:t xml:space="preserve"> </w:t>
      </w:r>
      <w:r w:rsidRPr="00BC77EB">
        <w:rPr>
          <w:rFonts w:hint="eastAsia"/>
          <w:b/>
          <w:bCs/>
          <w:rtl/>
          <w:lang w:val="fr-CH"/>
        </w:rPr>
        <w:t>أشكال</w:t>
      </w:r>
      <w:r w:rsidRPr="00BC77EB">
        <w:rPr>
          <w:b/>
          <w:bCs/>
          <w:rtl/>
          <w:lang w:val="fr-CH"/>
        </w:rPr>
        <w:t xml:space="preserve"> </w:t>
      </w:r>
      <w:r w:rsidRPr="00BC77EB">
        <w:rPr>
          <w:rFonts w:hint="eastAsia"/>
          <w:b/>
          <w:bCs/>
          <w:rtl/>
          <w:lang w:val="fr-CH"/>
        </w:rPr>
        <w:t>التخويف،</w:t>
      </w:r>
      <w:r w:rsidRPr="00BC77EB">
        <w:rPr>
          <w:b/>
          <w:bCs/>
          <w:rtl/>
          <w:lang w:val="fr-CH"/>
        </w:rPr>
        <w:t xml:space="preserve"> </w:t>
      </w:r>
      <w:r w:rsidRPr="00BC77EB">
        <w:rPr>
          <w:rFonts w:hint="eastAsia"/>
          <w:b/>
          <w:bCs/>
          <w:rtl/>
          <w:lang w:val="fr-CH"/>
        </w:rPr>
        <w:t>وضمان</w:t>
      </w:r>
      <w:r w:rsidRPr="00BC77EB">
        <w:rPr>
          <w:b/>
          <w:bCs/>
          <w:rtl/>
          <w:lang w:val="fr-CH"/>
        </w:rPr>
        <w:t xml:space="preserve"> </w:t>
      </w:r>
      <w:r w:rsidRPr="00BC77EB">
        <w:rPr>
          <w:rFonts w:hint="eastAsia"/>
          <w:b/>
          <w:bCs/>
          <w:rtl/>
          <w:lang w:val="fr-CH"/>
        </w:rPr>
        <w:t>التحقيق</w:t>
      </w:r>
      <w:r w:rsidRPr="00BC77EB">
        <w:rPr>
          <w:b/>
          <w:bCs/>
          <w:rtl/>
          <w:lang w:val="fr-CH"/>
        </w:rPr>
        <w:t xml:space="preserve"> </w:t>
      </w:r>
      <w:r w:rsidRPr="00BC77EB">
        <w:rPr>
          <w:rFonts w:hint="eastAsia"/>
          <w:b/>
          <w:bCs/>
          <w:rtl/>
          <w:lang w:val="fr-CH"/>
        </w:rPr>
        <w:t>على</w:t>
      </w:r>
      <w:r w:rsidRPr="00BC77EB">
        <w:rPr>
          <w:b/>
          <w:bCs/>
          <w:rtl/>
          <w:lang w:val="fr-CH"/>
        </w:rPr>
        <w:t xml:space="preserve"> </w:t>
      </w:r>
      <w:r w:rsidRPr="00BC77EB">
        <w:rPr>
          <w:rFonts w:hint="eastAsia"/>
          <w:b/>
          <w:bCs/>
          <w:rtl/>
          <w:lang w:val="fr-CH"/>
        </w:rPr>
        <w:t>النحو</w:t>
      </w:r>
      <w:r w:rsidRPr="00BC77EB">
        <w:rPr>
          <w:b/>
          <w:bCs/>
          <w:rtl/>
          <w:lang w:val="fr-CH"/>
        </w:rPr>
        <w:t xml:space="preserve"> </w:t>
      </w:r>
      <w:r w:rsidRPr="00BC77EB">
        <w:rPr>
          <w:rFonts w:hint="eastAsia"/>
          <w:b/>
          <w:bCs/>
          <w:rtl/>
          <w:lang w:val="fr-CH"/>
        </w:rPr>
        <w:t>الواجب</w:t>
      </w:r>
      <w:r w:rsidRPr="00BC77EB">
        <w:rPr>
          <w:b/>
          <w:bCs/>
          <w:rtl/>
          <w:lang w:val="fr-CH"/>
        </w:rPr>
        <w:t xml:space="preserve"> </w:t>
      </w:r>
      <w:r w:rsidRPr="00BC77EB">
        <w:rPr>
          <w:rFonts w:hint="eastAsia"/>
          <w:b/>
          <w:bCs/>
          <w:rtl/>
          <w:lang w:val="fr-CH"/>
        </w:rPr>
        <w:t>في</w:t>
      </w:r>
      <w:r w:rsidRPr="00BC77EB">
        <w:rPr>
          <w:b/>
          <w:bCs/>
          <w:rtl/>
          <w:lang w:val="fr-CH"/>
        </w:rPr>
        <w:t xml:space="preserve"> </w:t>
      </w:r>
      <w:r w:rsidRPr="00BC77EB">
        <w:rPr>
          <w:rFonts w:hint="eastAsia"/>
          <w:b/>
          <w:bCs/>
          <w:rtl/>
          <w:lang w:val="fr-CH"/>
        </w:rPr>
        <w:t>جميع</w:t>
      </w:r>
      <w:r w:rsidRPr="00BC77EB">
        <w:rPr>
          <w:b/>
          <w:bCs/>
          <w:rtl/>
          <w:lang w:val="fr-CH"/>
        </w:rPr>
        <w:t xml:space="preserve"> </w:t>
      </w:r>
      <w:r w:rsidRPr="00BC77EB">
        <w:rPr>
          <w:rFonts w:hint="eastAsia"/>
          <w:b/>
          <w:bCs/>
          <w:rtl/>
          <w:lang w:val="fr-CH"/>
        </w:rPr>
        <w:t>الحالات</w:t>
      </w:r>
      <w:r w:rsidRPr="00BC77EB">
        <w:rPr>
          <w:b/>
          <w:bCs/>
          <w:rtl/>
          <w:lang w:val="fr-CH"/>
        </w:rPr>
        <w:t xml:space="preserve"> </w:t>
      </w:r>
      <w:r w:rsidRPr="00BC77EB">
        <w:rPr>
          <w:rFonts w:hint="eastAsia"/>
          <w:b/>
          <w:bCs/>
          <w:rtl/>
          <w:lang w:val="fr-CH"/>
        </w:rPr>
        <w:t>ومقاضاة</w:t>
      </w:r>
      <w:r w:rsidRPr="00BC77EB">
        <w:rPr>
          <w:b/>
          <w:bCs/>
          <w:rtl/>
          <w:lang w:val="fr-CH"/>
        </w:rPr>
        <w:t xml:space="preserve"> </w:t>
      </w:r>
      <w:r w:rsidRPr="00BC77EB">
        <w:rPr>
          <w:rFonts w:hint="eastAsia"/>
          <w:b/>
          <w:bCs/>
          <w:rtl/>
          <w:lang w:val="fr-CH"/>
        </w:rPr>
        <w:t>مرتكبي</w:t>
      </w:r>
      <w:r w:rsidRPr="00BC77EB">
        <w:rPr>
          <w:b/>
          <w:bCs/>
          <w:rtl/>
          <w:lang w:val="fr-CH"/>
        </w:rPr>
        <w:t xml:space="preserve"> </w:t>
      </w:r>
      <w:r w:rsidRPr="00BC77EB">
        <w:rPr>
          <w:rFonts w:hint="eastAsia"/>
          <w:b/>
          <w:bCs/>
          <w:rtl/>
          <w:lang w:val="fr-CH"/>
        </w:rPr>
        <w:t>أفعال</w:t>
      </w:r>
      <w:r w:rsidRPr="00BC77EB">
        <w:rPr>
          <w:b/>
          <w:bCs/>
          <w:rtl/>
          <w:lang w:val="fr-CH"/>
        </w:rPr>
        <w:t xml:space="preserve"> </w:t>
      </w:r>
      <w:r w:rsidRPr="00BC77EB">
        <w:rPr>
          <w:rFonts w:hint="eastAsia"/>
          <w:b/>
          <w:bCs/>
          <w:rtl/>
          <w:lang w:val="fr-CH"/>
        </w:rPr>
        <w:t>التخويف</w:t>
      </w:r>
      <w:r w:rsidRPr="00BC77EB">
        <w:rPr>
          <w:b/>
          <w:bCs/>
          <w:rtl/>
          <w:lang w:val="fr-CH"/>
        </w:rPr>
        <w:t xml:space="preserve"> </w:t>
      </w:r>
      <w:r w:rsidRPr="00BC77EB">
        <w:rPr>
          <w:rFonts w:hint="eastAsia"/>
          <w:b/>
          <w:bCs/>
          <w:rtl/>
          <w:lang w:val="fr-CH"/>
        </w:rPr>
        <w:t>ومعاقبتهم</w:t>
      </w:r>
      <w:r w:rsidRPr="00BC77EB">
        <w:rPr>
          <w:b/>
          <w:bCs/>
          <w:rtl/>
          <w:lang w:val="fr-CH"/>
        </w:rPr>
        <w:t xml:space="preserve"> </w:t>
      </w:r>
      <w:r w:rsidRPr="00BC77EB">
        <w:rPr>
          <w:rFonts w:hint="eastAsia"/>
          <w:b/>
          <w:bCs/>
          <w:rtl/>
          <w:lang w:val="fr-CH"/>
        </w:rPr>
        <w:t>بعقوبات</w:t>
      </w:r>
      <w:r w:rsidRPr="00BC77EB">
        <w:rPr>
          <w:b/>
          <w:bCs/>
          <w:rtl/>
          <w:lang w:val="fr-CH"/>
        </w:rPr>
        <w:t xml:space="preserve"> </w:t>
      </w:r>
      <w:r w:rsidRPr="00BC77EB">
        <w:rPr>
          <w:rFonts w:hint="eastAsia"/>
          <w:b/>
          <w:bCs/>
          <w:rtl/>
          <w:lang w:val="fr-CH"/>
        </w:rPr>
        <w:t>مناسبة؛</w:t>
      </w:r>
      <w:r w:rsidRPr="00BC77EB">
        <w:rPr>
          <w:b/>
          <w:bCs/>
          <w:rtl/>
          <w:lang w:val="fr-CH"/>
        </w:rPr>
        <w:t xml:space="preserve"> </w:t>
      </w:r>
      <w:r>
        <w:rPr>
          <w:rFonts w:hint="cs"/>
          <w:b/>
          <w:bCs/>
          <w:rtl/>
          <w:lang w:val="fr-CH"/>
        </w:rPr>
        <w:t>و</w:t>
      </w:r>
      <w:r w:rsidRPr="00BC77EB">
        <w:rPr>
          <w:b/>
          <w:bCs/>
          <w:rtl/>
          <w:lang w:val="fr-CH"/>
        </w:rPr>
        <w:t>(ب)</w:t>
      </w:r>
      <w:r w:rsidR="0071442F">
        <w:rPr>
          <w:rFonts w:hint="cs"/>
          <w:b/>
          <w:bCs/>
          <w:rtl/>
          <w:lang w:val="fr-CH"/>
        </w:rPr>
        <w:t> </w:t>
      </w:r>
      <w:r w:rsidRPr="00BC77EB">
        <w:rPr>
          <w:rFonts w:hint="eastAsia"/>
          <w:b/>
          <w:bCs/>
          <w:rtl/>
          <w:lang w:val="fr-CH"/>
        </w:rPr>
        <w:t>الامتناع</w:t>
      </w:r>
      <w:r w:rsidRPr="00BC77EB">
        <w:rPr>
          <w:b/>
          <w:bCs/>
          <w:rtl/>
          <w:lang w:val="fr-CH"/>
        </w:rPr>
        <w:t xml:space="preserve"> </w:t>
      </w:r>
      <w:r w:rsidRPr="00BC77EB">
        <w:rPr>
          <w:rFonts w:hint="eastAsia"/>
          <w:b/>
          <w:bCs/>
          <w:rtl/>
          <w:lang w:val="fr-CH"/>
        </w:rPr>
        <w:t>عن</w:t>
      </w:r>
      <w:r w:rsidRPr="00BC77EB">
        <w:rPr>
          <w:b/>
          <w:bCs/>
          <w:rtl/>
          <w:lang w:val="fr-CH"/>
        </w:rPr>
        <w:t xml:space="preserve"> </w:t>
      </w:r>
      <w:r w:rsidRPr="00BC77EB">
        <w:rPr>
          <w:rFonts w:hint="eastAsia"/>
          <w:b/>
          <w:bCs/>
          <w:rtl/>
          <w:lang w:val="fr-CH"/>
        </w:rPr>
        <w:t>مقاضاة</w:t>
      </w:r>
      <w:r w:rsidRPr="00BC77EB">
        <w:rPr>
          <w:b/>
          <w:bCs/>
          <w:rtl/>
          <w:lang w:val="fr-CH"/>
        </w:rPr>
        <w:t xml:space="preserve"> </w:t>
      </w:r>
      <w:r w:rsidRPr="00BC77EB">
        <w:rPr>
          <w:rFonts w:hint="eastAsia"/>
          <w:b/>
          <w:bCs/>
          <w:rtl/>
          <w:lang w:val="fr-CH"/>
        </w:rPr>
        <w:t>الصح</w:t>
      </w:r>
      <w:r>
        <w:rPr>
          <w:rFonts w:hint="cs"/>
          <w:b/>
          <w:bCs/>
          <w:rtl/>
          <w:lang w:val="fr-CH"/>
        </w:rPr>
        <w:t>ا</w:t>
      </w:r>
      <w:r w:rsidRPr="00BC77EB">
        <w:rPr>
          <w:rFonts w:hint="eastAsia"/>
          <w:b/>
          <w:bCs/>
          <w:rtl/>
          <w:lang w:val="fr-CH"/>
        </w:rPr>
        <w:t>فيين</w:t>
      </w:r>
      <w:r w:rsidRPr="00BC77EB">
        <w:rPr>
          <w:b/>
          <w:bCs/>
          <w:rtl/>
          <w:lang w:val="fr-CH"/>
        </w:rPr>
        <w:t xml:space="preserve"> </w:t>
      </w:r>
      <w:r w:rsidRPr="00BC77EB">
        <w:rPr>
          <w:rFonts w:hint="eastAsia"/>
          <w:b/>
          <w:bCs/>
          <w:rtl/>
          <w:lang w:val="fr-CH"/>
        </w:rPr>
        <w:t>والمدافعين</w:t>
      </w:r>
      <w:r w:rsidRPr="00BC77EB">
        <w:rPr>
          <w:b/>
          <w:bCs/>
          <w:rtl/>
          <w:lang w:val="fr-CH"/>
        </w:rPr>
        <w:t xml:space="preserve"> </w:t>
      </w:r>
      <w:r w:rsidRPr="00BC77EB">
        <w:rPr>
          <w:rFonts w:hint="eastAsia"/>
          <w:b/>
          <w:bCs/>
          <w:rtl/>
          <w:lang w:val="fr-CH"/>
        </w:rPr>
        <w:t>عن</w:t>
      </w:r>
      <w:r w:rsidRPr="00BC77EB">
        <w:rPr>
          <w:b/>
          <w:bCs/>
          <w:rtl/>
          <w:lang w:val="fr-CH"/>
        </w:rPr>
        <w:t xml:space="preserve"> </w:t>
      </w:r>
      <w:r w:rsidRPr="00BC77EB">
        <w:rPr>
          <w:rFonts w:hint="eastAsia"/>
          <w:b/>
          <w:bCs/>
          <w:rtl/>
          <w:lang w:val="fr-CH"/>
        </w:rPr>
        <w:t>حقوق</w:t>
      </w:r>
      <w:r w:rsidRPr="00BC77EB">
        <w:rPr>
          <w:b/>
          <w:bCs/>
          <w:rtl/>
          <w:lang w:val="fr-CH"/>
        </w:rPr>
        <w:t xml:space="preserve"> </w:t>
      </w:r>
      <w:r w:rsidRPr="00BC77EB">
        <w:rPr>
          <w:rFonts w:hint="eastAsia"/>
          <w:b/>
          <w:bCs/>
          <w:rtl/>
          <w:lang w:val="fr-CH"/>
        </w:rPr>
        <w:t>الإنسان</w:t>
      </w:r>
      <w:r w:rsidRPr="00BC77EB">
        <w:rPr>
          <w:b/>
          <w:bCs/>
          <w:rtl/>
          <w:lang w:val="fr-CH"/>
        </w:rPr>
        <w:t xml:space="preserve"> </w:t>
      </w:r>
      <w:r w:rsidRPr="00BC77EB">
        <w:rPr>
          <w:rFonts w:hint="eastAsia"/>
          <w:b/>
          <w:bCs/>
          <w:rtl/>
          <w:lang w:val="fr-CH"/>
        </w:rPr>
        <w:t>و</w:t>
      </w:r>
      <w:r>
        <w:rPr>
          <w:rFonts w:hint="cs"/>
          <w:b/>
          <w:bCs/>
          <w:rtl/>
          <w:lang w:val="fr-CH"/>
        </w:rPr>
        <w:t xml:space="preserve">غيرهم من </w:t>
      </w:r>
      <w:r w:rsidRPr="00BC77EB">
        <w:rPr>
          <w:rFonts w:hint="eastAsia"/>
          <w:b/>
          <w:bCs/>
          <w:rtl/>
          <w:lang w:val="fr-CH"/>
        </w:rPr>
        <w:t>أفراد</w:t>
      </w:r>
      <w:r w:rsidRPr="00BC77EB">
        <w:rPr>
          <w:b/>
          <w:bCs/>
          <w:rtl/>
          <w:lang w:val="fr-CH"/>
        </w:rPr>
        <w:t xml:space="preserve"> </w:t>
      </w:r>
      <w:r w:rsidRPr="00BC77EB">
        <w:rPr>
          <w:rFonts w:hint="eastAsia"/>
          <w:b/>
          <w:bCs/>
          <w:rtl/>
          <w:lang w:val="fr-CH"/>
        </w:rPr>
        <w:t>المجتمع</w:t>
      </w:r>
      <w:r w:rsidRPr="00BC77EB">
        <w:rPr>
          <w:b/>
          <w:bCs/>
          <w:rtl/>
          <w:lang w:val="fr-CH"/>
        </w:rPr>
        <w:t xml:space="preserve"> </w:t>
      </w:r>
      <w:r w:rsidRPr="00BC77EB">
        <w:rPr>
          <w:rFonts w:hint="eastAsia"/>
          <w:b/>
          <w:bCs/>
          <w:rtl/>
          <w:lang w:val="fr-CH"/>
        </w:rPr>
        <w:t>المدني</w:t>
      </w:r>
      <w:r>
        <w:rPr>
          <w:rFonts w:hint="cs"/>
          <w:b/>
          <w:bCs/>
          <w:rtl/>
          <w:lang w:val="fr-CH"/>
        </w:rPr>
        <w:t xml:space="preserve"> </w:t>
      </w:r>
      <w:r w:rsidRPr="00BC77EB">
        <w:rPr>
          <w:rFonts w:hint="eastAsia"/>
          <w:b/>
          <w:bCs/>
          <w:rtl/>
          <w:lang w:val="fr-CH"/>
        </w:rPr>
        <w:t>مقاضاة</w:t>
      </w:r>
      <w:r w:rsidRPr="00BC77EB">
        <w:rPr>
          <w:b/>
          <w:bCs/>
          <w:rtl/>
          <w:lang w:val="fr-CH"/>
        </w:rPr>
        <w:t xml:space="preserve"> </w:t>
      </w:r>
      <w:r w:rsidRPr="00BC77EB">
        <w:rPr>
          <w:rFonts w:hint="eastAsia"/>
          <w:b/>
          <w:bCs/>
          <w:rtl/>
          <w:lang w:val="fr-CH"/>
        </w:rPr>
        <w:t>تهدف</w:t>
      </w:r>
      <w:r w:rsidRPr="00BC77EB">
        <w:rPr>
          <w:b/>
          <w:bCs/>
          <w:rtl/>
          <w:lang w:val="fr-CH"/>
        </w:rPr>
        <w:t xml:space="preserve"> إلى ردعهم </w:t>
      </w:r>
      <w:r>
        <w:rPr>
          <w:rFonts w:hint="cs"/>
          <w:b/>
          <w:bCs/>
          <w:rtl/>
          <w:lang w:val="fr-CH"/>
        </w:rPr>
        <w:t>أ</w:t>
      </w:r>
      <w:r w:rsidRPr="00BC77EB">
        <w:rPr>
          <w:rFonts w:hint="eastAsia"/>
          <w:b/>
          <w:bCs/>
          <w:rtl/>
          <w:lang w:val="fr-CH"/>
        </w:rPr>
        <w:t>و</w:t>
      </w:r>
      <w:r>
        <w:rPr>
          <w:rFonts w:hint="cs"/>
          <w:b/>
          <w:bCs/>
          <w:rtl/>
          <w:lang w:val="fr-CH"/>
        </w:rPr>
        <w:t xml:space="preserve"> تثبيطهم </w:t>
      </w:r>
      <w:r w:rsidRPr="00BC77EB">
        <w:rPr>
          <w:rFonts w:hint="eastAsia"/>
          <w:b/>
          <w:bCs/>
          <w:rtl/>
          <w:lang w:val="fr-CH"/>
        </w:rPr>
        <w:t>عن</w:t>
      </w:r>
      <w:r w:rsidRPr="00BC77EB">
        <w:rPr>
          <w:b/>
          <w:bCs/>
          <w:rtl/>
          <w:lang w:val="fr-CH"/>
        </w:rPr>
        <w:t xml:space="preserve"> </w:t>
      </w:r>
      <w:r w:rsidRPr="00BC77EB">
        <w:rPr>
          <w:rFonts w:hint="eastAsia"/>
          <w:b/>
          <w:bCs/>
          <w:rtl/>
          <w:lang w:val="fr-CH"/>
        </w:rPr>
        <w:t>إبداء</w:t>
      </w:r>
      <w:r w:rsidRPr="00BC77EB">
        <w:rPr>
          <w:b/>
          <w:bCs/>
          <w:rtl/>
          <w:lang w:val="fr-CH"/>
        </w:rPr>
        <w:t xml:space="preserve"> </w:t>
      </w:r>
      <w:r w:rsidRPr="00BC77EB">
        <w:rPr>
          <w:rFonts w:hint="eastAsia"/>
          <w:b/>
          <w:bCs/>
          <w:rtl/>
          <w:lang w:val="fr-CH"/>
        </w:rPr>
        <w:t>آرائهم</w:t>
      </w:r>
      <w:r w:rsidRPr="00BC77EB">
        <w:rPr>
          <w:b/>
          <w:bCs/>
          <w:rtl/>
          <w:lang w:val="fr-CH"/>
        </w:rPr>
        <w:t xml:space="preserve"> </w:t>
      </w:r>
      <w:r w:rsidRPr="00BC77EB">
        <w:rPr>
          <w:rFonts w:hint="eastAsia"/>
          <w:b/>
          <w:bCs/>
          <w:rtl/>
          <w:lang w:val="fr-CH"/>
        </w:rPr>
        <w:t>بحرية؛</w:t>
      </w:r>
      <w:r w:rsidRPr="00BC77EB">
        <w:rPr>
          <w:b/>
          <w:bCs/>
          <w:rtl/>
          <w:lang w:val="fr-CH"/>
        </w:rPr>
        <w:t xml:space="preserve"> </w:t>
      </w:r>
      <w:r>
        <w:rPr>
          <w:rFonts w:hint="cs"/>
          <w:b/>
          <w:bCs/>
          <w:rtl/>
          <w:lang w:val="fr-CH"/>
        </w:rPr>
        <w:t>و</w:t>
      </w:r>
      <w:r w:rsidRPr="00BC77EB">
        <w:rPr>
          <w:b/>
          <w:bCs/>
          <w:rtl/>
          <w:lang w:val="fr-CH"/>
        </w:rPr>
        <w:t>(ج)</w:t>
      </w:r>
      <w:r w:rsidR="0071442F">
        <w:rPr>
          <w:rFonts w:hint="cs"/>
          <w:b/>
          <w:bCs/>
          <w:rtl/>
          <w:lang w:val="fr-CH"/>
        </w:rPr>
        <w:t> </w:t>
      </w:r>
      <w:r w:rsidRPr="00BC77EB">
        <w:rPr>
          <w:rFonts w:hint="eastAsia"/>
          <w:b/>
          <w:bCs/>
          <w:rtl/>
          <w:lang w:val="fr-CH"/>
        </w:rPr>
        <w:t>اتخاذ</w:t>
      </w:r>
      <w:r w:rsidRPr="00BC77EB">
        <w:rPr>
          <w:b/>
          <w:bCs/>
          <w:rtl/>
          <w:lang w:val="fr-CH"/>
        </w:rPr>
        <w:t xml:space="preserve"> </w:t>
      </w:r>
      <w:r w:rsidRPr="00BC77EB">
        <w:rPr>
          <w:rFonts w:hint="eastAsia"/>
          <w:b/>
          <w:bCs/>
          <w:rtl/>
          <w:lang w:val="fr-CH"/>
        </w:rPr>
        <w:t>خطوات</w:t>
      </w:r>
      <w:r w:rsidRPr="00BC77EB">
        <w:rPr>
          <w:b/>
          <w:bCs/>
          <w:rtl/>
          <w:lang w:val="fr-CH"/>
        </w:rPr>
        <w:t xml:space="preserve"> </w:t>
      </w:r>
      <w:r w:rsidRPr="00BC77EB">
        <w:rPr>
          <w:rFonts w:hint="eastAsia"/>
          <w:b/>
          <w:bCs/>
          <w:rtl/>
          <w:lang w:val="fr-CH"/>
        </w:rPr>
        <w:t>لضمان</w:t>
      </w:r>
      <w:r w:rsidRPr="00BC77EB">
        <w:rPr>
          <w:b/>
          <w:bCs/>
          <w:rtl/>
          <w:lang w:val="fr-CH"/>
        </w:rPr>
        <w:t xml:space="preserve"> </w:t>
      </w:r>
      <w:r w:rsidRPr="00BC77EB">
        <w:rPr>
          <w:rFonts w:hint="eastAsia"/>
          <w:b/>
          <w:bCs/>
          <w:rtl/>
          <w:lang w:val="fr-CH"/>
        </w:rPr>
        <w:t>الشفافية</w:t>
      </w:r>
      <w:r w:rsidRPr="00BC77EB">
        <w:rPr>
          <w:b/>
          <w:bCs/>
          <w:rtl/>
          <w:lang w:val="fr-CH"/>
        </w:rPr>
        <w:t xml:space="preserve"> </w:t>
      </w:r>
      <w:r w:rsidRPr="00BC77EB">
        <w:rPr>
          <w:rFonts w:hint="eastAsia"/>
          <w:b/>
          <w:bCs/>
          <w:rtl/>
          <w:lang w:val="fr-CH"/>
        </w:rPr>
        <w:t>فيما</w:t>
      </w:r>
      <w:r w:rsidRPr="00BC77EB">
        <w:rPr>
          <w:b/>
          <w:bCs/>
          <w:rtl/>
          <w:lang w:val="fr-CH"/>
        </w:rPr>
        <w:t xml:space="preserve"> </w:t>
      </w:r>
      <w:r w:rsidRPr="00BC77EB">
        <w:rPr>
          <w:rFonts w:hint="eastAsia"/>
          <w:b/>
          <w:bCs/>
          <w:rtl/>
          <w:lang w:val="fr-CH"/>
        </w:rPr>
        <w:t>يتعلق</w:t>
      </w:r>
      <w:r w:rsidRPr="00BC77EB">
        <w:rPr>
          <w:b/>
          <w:bCs/>
          <w:rtl/>
          <w:lang w:val="fr-CH"/>
        </w:rPr>
        <w:t xml:space="preserve"> </w:t>
      </w:r>
      <w:r w:rsidRPr="00BC77EB">
        <w:rPr>
          <w:rFonts w:hint="eastAsia"/>
          <w:b/>
          <w:bCs/>
          <w:rtl/>
          <w:lang w:val="fr-CH"/>
        </w:rPr>
        <w:t>بملكية</w:t>
      </w:r>
      <w:r w:rsidRPr="00BC77EB">
        <w:rPr>
          <w:b/>
          <w:bCs/>
          <w:rtl/>
          <w:lang w:val="fr-CH"/>
        </w:rPr>
        <w:t xml:space="preserve"> </w:t>
      </w:r>
      <w:r w:rsidRPr="00BC77EB">
        <w:rPr>
          <w:rFonts w:hint="eastAsia"/>
          <w:b/>
          <w:bCs/>
          <w:rtl/>
          <w:lang w:val="fr-CH"/>
        </w:rPr>
        <w:t>وسائط</w:t>
      </w:r>
      <w:r w:rsidRPr="00BC77EB">
        <w:rPr>
          <w:b/>
          <w:bCs/>
          <w:rtl/>
          <w:lang w:val="fr-CH"/>
        </w:rPr>
        <w:t xml:space="preserve"> </w:t>
      </w:r>
      <w:r w:rsidRPr="00BC77EB">
        <w:rPr>
          <w:rFonts w:hint="eastAsia"/>
          <w:b/>
          <w:bCs/>
          <w:rtl/>
          <w:lang w:val="fr-CH"/>
        </w:rPr>
        <w:t>الإعلام،</w:t>
      </w:r>
      <w:r w:rsidRPr="00BC77EB">
        <w:rPr>
          <w:b/>
          <w:bCs/>
          <w:rtl/>
          <w:lang w:val="fr-CH"/>
        </w:rPr>
        <w:t xml:space="preserve"> </w:t>
      </w:r>
      <w:r w:rsidRPr="00BC77EB">
        <w:rPr>
          <w:rFonts w:hint="eastAsia"/>
          <w:b/>
          <w:bCs/>
          <w:rtl/>
          <w:lang w:val="fr-CH"/>
        </w:rPr>
        <w:t>وضمان</w:t>
      </w:r>
      <w:r w:rsidRPr="00BC77EB">
        <w:rPr>
          <w:b/>
          <w:bCs/>
          <w:rtl/>
          <w:lang w:val="fr-CH"/>
        </w:rPr>
        <w:t xml:space="preserve"> </w:t>
      </w:r>
      <w:r w:rsidRPr="00BC77EB">
        <w:rPr>
          <w:rFonts w:hint="eastAsia"/>
          <w:b/>
          <w:bCs/>
          <w:rtl/>
          <w:lang w:val="fr-CH"/>
        </w:rPr>
        <w:t>حرية</w:t>
      </w:r>
      <w:r w:rsidRPr="00BC77EB">
        <w:rPr>
          <w:b/>
          <w:bCs/>
          <w:rtl/>
          <w:lang w:val="fr-CH"/>
        </w:rPr>
        <w:t xml:space="preserve"> </w:t>
      </w:r>
      <w:r w:rsidRPr="00BC77EB">
        <w:rPr>
          <w:rFonts w:hint="eastAsia"/>
          <w:b/>
          <w:bCs/>
          <w:rtl/>
          <w:lang w:val="fr-CH"/>
        </w:rPr>
        <w:t>واستقلالية</w:t>
      </w:r>
      <w:r w:rsidRPr="00BC77EB">
        <w:rPr>
          <w:b/>
          <w:bCs/>
          <w:rtl/>
          <w:lang w:val="fr-CH"/>
        </w:rPr>
        <w:t xml:space="preserve"> </w:t>
      </w:r>
      <w:r w:rsidRPr="00BC77EB">
        <w:rPr>
          <w:rFonts w:hint="eastAsia"/>
          <w:b/>
          <w:bCs/>
          <w:rtl/>
          <w:lang w:val="fr-CH"/>
        </w:rPr>
        <w:t>المنافذ</w:t>
      </w:r>
      <w:r w:rsidRPr="00BC77EB">
        <w:rPr>
          <w:b/>
          <w:bCs/>
          <w:rtl/>
          <w:lang w:val="fr-CH"/>
        </w:rPr>
        <w:t xml:space="preserve"> </w:t>
      </w:r>
      <w:r w:rsidRPr="00BC77EB">
        <w:rPr>
          <w:rFonts w:hint="eastAsia"/>
          <w:b/>
          <w:bCs/>
          <w:rtl/>
          <w:lang w:val="fr-CH"/>
        </w:rPr>
        <w:t>الإعلامية</w:t>
      </w:r>
      <w:r w:rsidRPr="00BC77EB">
        <w:rPr>
          <w:b/>
          <w:bCs/>
          <w:rtl/>
          <w:lang w:val="fr-CH"/>
        </w:rPr>
        <w:t xml:space="preserve"> </w:t>
      </w:r>
      <w:r w:rsidRPr="00BC77EB">
        <w:rPr>
          <w:rFonts w:hint="eastAsia"/>
          <w:b/>
          <w:bCs/>
          <w:rtl/>
          <w:lang w:val="fr-CH"/>
        </w:rPr>
        <w:t>الخاصة</w:t>
      </w:r>
      <w:r>
        <w:rPr>
          <w:rFonts w:hint="cs"/>
          <w:b/>
          <w:bCs/>
          <w:rtl/>
          <w:lang w:val="fr-CH"/>
        </w:rPr>
        <w:t>،</w:t>
      </w:r>
      <w:r w:rsidRPr="00BC77EB">
        <w:rPr>
          <w:b/>
          <w:bCs/>
          <w:rtl/>
          <w:lang w:val="fr-CH"/>
        </w:rPr>
        <w:t xml:space="preserve"> وفقاً لتعليق اللجنة العام رقم 34(2011) بشأن حرية الرأي والتعبير؛ </w:t>
      </w:r>
      <w:r>
        <w:rPr>
          <w:rFonts w:hint="cs"/>
          <w:b/>
          <w:bCs/>
          <w:rtl/>
          <w:lang w:val="fr-CH"/>
        </w:rPr>
        <w:t>و</w:t>
      </w:r>
      <w:r w:rsidRPr="00BC77EB">
        <w:rPr>
          <w:b/>
          <w:bCs/>
          <w:rtl/>
          <w:lang w:val="fr-CH"/>
        </w:rPr>
        <w:t>(د)</w:t>
      </w:r>
      <w:r>
        <w:rPr>
          <w:b/>
          <w:bCs/>
          <w:rtl/>
          <w:lang w:val="fr-CH"/>
        </w:rPr>
        <w:t xml:space="preserve"> </w:t>
      </w:r>
      <w:r w:rsidRPr="00BC77EB">
        <w:rPr>
          <w:rFonts w:hint="eastAsia"/>
          <w:b/>
          <w:bCs/>
          <w:rtl/>
          <w:lang w:val="fr-CH"/>
        </w:rPr>
        <w:t>مراجعة</w:t>
      </w:r>
      <w:r w:rsidRPr="00BC77EB">
        <w:rPr>
          <w:b/>
          <w:bCs/>
          <w:rtl/>
          <w:lang w:val="fr-CH"/>
        </w:rPr>
        <w:t xml:space="preserve"> </w:t>
      </w:r>
      <w:r w:rsidRPr="00BC77EB">
        <w:rPr>
          <w:rFonts w:hint="eastAsia"/>
          <w:b/>
          <w:bCs/>
          <w:rtl/>
          <w:lang w:val="fr-CH"/>
        </w:rPr>
        <w:t>تطبيق</w:t>
      </w:r>
      <w:r w:rsidRPr="00BC77EB">
        <w:rPr>
          <w:b/>
          <w:bCs/>
          <w:rtl/>
          <w:lang w:val="fr-CH"/>
        </w:rPr>
        <w:t xml:space="preserve"> </w:t>
      </w:r>
      <w:r w:rsidRPr="00BC77EB">
        <w:rPr>
          <w:rFonts w:hint="eastAsia"/>
          <w:b/>
          <w:bCs/>
          <w:rtl/>
          <w:lang w:val="fr-CH"/>
        </w:rPr>
        <w:t>قانون</w:t>
      </w:r>
      <w:r w:rsidRPr="00BC77EB">
        <w:rPr>
          <w:b/>
          <w:bCs/>
          <w:rtl/>
          <w:lang w:val="fr-CH"/>
        </w:rPr>
        <w:t xml:space="preserve"> </w:t>
      </w:r>
      <w:r w:rsidRPr="00BC77EB">
        <w:rPr>
          <w:rFonts w:hint="eastAsia"/>
          <w:b/>
          <w:bCs/>
          <w:rtl/>
          <w:lang w:val="fr-CH"/>
        </w:rPr>
        <w:t>التجمعات</w:t>
      </w:r>
      <w:r w:rsidRPr="00BC77EB">
        <w:rPr>
          <w:b/>
          <w:bCs/>
          <w:rtl/>
          <w:lang w:val="fr-CH"/>
        </w:rPr>
        <w:t xml:space="preserve"> </w:t>
      </w:r>
      <w:r w:rsidRPr="00BC77EB">
        <w:rPr>
          <w:rFonts w:hint="eastAsia"/>
          <w:b/>
          <w:bCs/>
          <w:rtl/>
          <w:lang w:val="fr-CH"/>
        </w:rPr>
        <w:t>العامة</w:t>
      </w:r>
      <w:r w:rsidRPr="00BC77EB">
        <w:rPr>
          <w:b/>
          <w:bCs/>
          <w:rtl/>
          <w:lang w:val="fr-CH"/>
        </w:rPr>
        <w:t xml:space="preserve"> </w:t>
      </w:r>
      <w:r w:rsidRPr="00BC77EB">
        <w:rPr>
          <w:rFonts w:hint="eastAsia"/>
          <w:b/>
          <w:bCs/>
          <w:rtl/>
          <w:lang w:val="fr-CH"/>
        </w:rPr>
        <w:t>الصادر</w:t>
      </w:r>
      <w:r w:rsidRPr="00BC77EB">
        <w:rPr>
          <w:b/>
          <w:bCs/>
          <w:rtl/>
          <w:lang w:val="fr-CH"/>
        </w:rPr>
        <w:t xml:space="preserve"> </w:t>
      </w:r>
      <w:r w:rsidRPr="00BC77EB">
        <w:rPr>
          <w:rFonts w:hint="eastAsia"/>
          <w:b/>
          <w:bCs/>
          <w:rtl/>
          <w:lang w:val="fr-CH"/>
        </w:rPr>
        <w:t>في</w:t>
      </w:r>
      <w:r w:rsidRPr="00BC77EB">
        <w:rPr>
          <w:b/>
          <w:bCs/>
          <w:rtl/>
          <w:lang w:val="fr-CH"/>
        </w:rPr>
        <w:t xml:space="preserve"> 26 </w:t>
      </w:r>
      <w:r w:rsidRPr="00BC77EB">
        <w:rPr>
          <w:rFonts w:hint="eastAsia"/>
          <w:b/>
          <w:bCs/>
          <w:rtl/>
          <w:lang w:val="fr-CH"/>
        </w:rPr>
        <w:t>كانون</w:t>
      </w:r>
      <w:r w:rsidRPr="00BC77EB">
        <w:rPr>
          <w:b/>
          <w:bCs/>
          <w:rtl/>
          <w:lang w:val="fr-CH"/>
        </w:rPr>
        <w:t xml:space="preserve"> </w:t>
      </w:r>
      <w:r w:rsidRPr="00BC77EB">
        <w:rPr>
          <w:rFonts w:hint="eastAsia"/>
          <w:b/>
          <w:bCs/>
          <w:rtl/>
          <w:lang w:val="fr-CH"/>
        </w:rPr>
        <w:t>الثاني</w:t>
      </w:r>
      <w:r w:rsidRPr="00BC77EB">
        <w:rPr>
          <w:b/>
          <w:bCs/>
          <w:rtl/>
          <w:lang w:val="fr-CH"/>
        </w:rPr>
        <w:t xml:space="preserve">/يناير 2016، </w:t>
      </w:r>
      <w:r w:rsidRPr="00BC77EB">
        <w:rPr>
          <w:rFonts w:hint="eastAsia"/>
          <w:b/>
          <w:bCs/>
          <w:rtl/>
          <w:lang w:val="fr-CH"/>
        </w:rPr>
        <w:t>لضمان</w:t>
      </w:r>
      <w:r w:rsidRPr="00BC77EB">
        <w:rPr>
          <w:b/>
          <w:bCs/>
          <w:rtl/>
          <w:lang w:val="fr-CH"/>
        </w:rPr>
        <w:t xml:space="preserve"> </w:t>
      </w:r>
      <w:r w:rsidRPr="00BC77EB">
        <w:rPr>
          <w:rFonts w:hint="eastAsia"/>
          <w:b/>
          <w:bCs/>
          <w:rtl/>
          <w:lang w:val="fr-CH"/>
        </w:rPr>
        <w:t>امتثاله</w:t>
      </w:r>
      <w:r w:rsidRPr="00BC77EB">
        <w:rPr>
          <w:b/>
          <w:bCs/>
          <w:rtl/>
          <w:lang w:val="fr-CH"/>
        </w:rPr>
        <w:t xml:space="preserve"> </w:t>
      </w:r>
      <w:r w:rsidRPr="00BC77EB">
        <w:rPr>
          <w:rFonts w:hint="eastAsia"/>
          <w:b/>
          <w:bCs/>
          <w:rtl/>
          <w:lang w:val="fr-CH"/>
        </w:rPr>
        <w:t>لأحكام</w:t>
      </w:r>
      <w:r w:rsidRPr="00BC77EB">
        <w:rPr>
          <w:b/>
          <w:bCs/>
          <w:rtl/>
          <w:lang w:val="fr-CH"/>
        </w:rPr>
        <w:t xml:space="preserve"> العهد. </w:t>
      </w:r>
    </w:p>
    <w:p w:rsidR="00977D1E" w:rsidRPr="00CC58B5" w:rsidRDefault="00977D1E" w:rsidP="00977D1E">
      <w:pPr>
        <w:pStyle w:val="H23GA"/>
        <w:rPr>
          <w:rtl/>
          <w:lang w:val="fr-CH"/>
        </w:rPr>
      </w:pPr>
      <w:r>
        <w:rPr>
          <w:rFonts w:hint="cs"/>
          <w:rtl/>
        </w:rPr>
        <w:tab/>
      </w:r>
      <w:r>
        <w:rPr>
          <w:rFonts w:hint="cs"/>
          <w:rtl/>
        </w:rPr>
        <w:tab/>
      </w:r>
      <w:r w:rsidRPr="00977D1E">
        <w:rPr>
          <w:rFonts w:hint="cs"/>
          <w:rtl/>
        </w:rPr>
        <w:t>المشاركة</w:t>
      </w:r>
      <w:r w:rsidRPr="00CC58B5">
        <w:rPr>
          <w:rFonts w:hint="cs"/>
          <w:rtl/>
          <w:lang w:val="fr-CH"/>
        </w:rPr>
        <w:t xml:space="preserve"> في الشؤون العامة</w:t>
      </w:r>
    </w:p>
    <w:p w:rsidR="00977D1E" w:rsidRDefault="00977D1E" w:rsidP="00977D1E">
      <w:pPr>
        <w:pStyle w:val="SingleTxtGA"/>
        <w:rPr>
          <w:rtl/>
          <w:lang w:val="fr-CH"/>
        </w:rPr>
      </w:pPr>
      <w:r>
        <w:rPr>
          <w:rFonts w:hint="cs"/>
          <w:rtl/>
          <w:lang w:val="fr-CH"/>
        </w:rPr>
        <w:t>40-</w:t>
      </w:r>
      <w:r>
        <w:rPr>
          <w:rFonts w:hint="cs"/>
          <w:rtl/>
          <w:lang w:val="fr-CH"/>
        </w:rPr>
        <w:tab/>
        <w:t xml:space="preserve">تشعر اللجنة بالقلق بشأن ما يلي: (أ) تدني مستوى تمثيل الأقليات، بما فيها </w:t>
      </w:r>
      <w:proofErr w:type="spellStart"/>
      <w:r>
        <w:rPr>
          <w:rFonts w:hint="cs"/>
          <w:rtl/>
          <w:lang w:val="fr-CH"/>
        </w:rPr>
        <w:t>الروما</w:t>
      </w:r>
      <w:proofErr w:type="spellEnd"/>
      <w:r>
        <w:rPr>
          <w:rFonts w:hint="cs"/>
          <w:rtl/>
          <w:lang w:val="fr-CH"/>
        </w:rPr>
        <w:t>، في الهيئات الحكومية والإدارة العامة، وتأسف لعدم وجود إحصاءات في هذا الصدد؛ و(ب)</w:t>
      </w:r>
      <w:r>
        <w:rPr>
          <w:rFonts w:hint="eastAsia"/>
          <w:rtl/>
          <w:lang w:val="fr-CH"/>
        </w:rPr>
        <w:t> </w:t>
      </w:r>
      <w:r>
        <w:rPr>
          <w:rFonts w:hint="cs"/>
          <w:rtl/>
          <w:lang w:val="fr-CH"/>
        </w:rPr>
        <w:t xml:space="preserve">الادعاءات المتعلقة بالاعتداء على رموز المعارضة السياسية، وبحالات خطيرة لممارسة الضغط على الناخبين (المادة 25). </w:t>
      </w:r>
    </w:p>
    <w:p w:rsidR="00977D1E" w:rsidRPr="00BC77EB" w:rsidRDefault="00977D1E" w:rsidP="00977D1E">
      <w:pPr>
        <w:pStyle w:val="SingleTxtGA"/>
        <w:rPr>
          <w:b/>
          <w:bCs/>
          <w:rtl/>
          <w:lang w:val="fr-CH"/>
        </w:rPr>
      </w:pPr>
      <w:r w:rsidRPr="00977D1E">
        <w:rPr>
          <w:rtl/>
          <w:lang w:val="fr-CH"/>
        </w:rPr>
        <w:t>41-</w:t>
      </w:r>
      <w:r w:rsidRPr="00BC77EB">
        <w:rPr>
          <w:b/>
          <w:bCs/>
          <w:rtl/>
          <w:lang w:val="fr-CH"/>
        </w:rPr>
        <w:tab/>
      </w:r>
      <w:r w:rsidRPr="00BC77EB">
        <w:rPr>
          <w:rFonts w:hint="eastAsia"/>
          <w:b/>
          <w:bCs/>
          <w:rtl/>
          <w:lang w:val="fr-CH"/>
        </w:rPr>
        <w:t>ينبغي</w:t>
      </w:r>
      <w:r w:rsidRPr="00BC77EB">
        <w:rPr>
          <w:b/>
          <w:bCs/>
          <w:rtl/>
          <w:lang w:val="fr-CH"/>
        </w:rPr>
        <w:t xml:space="preserve"> </w:t>
      </w:r>
      <w:r w:rsidRPr="00BC77EB">
        <w:rPr>
          <w:rFonts w:hint="eastAsia"/>
          <w:b/>
          <w:bCs/>
          <w:rtl/>
          <w:lang w:val="fr-CH"/>
        </w:rPr>
        <w:t>للدولة</w:t>
      </w:r>
      <w:r w:rsidRPr="00BC77EB">
        <w:rPr>
          <w:b/>
          <w:bCs/>
          <w:rtl/>
          <w:lang w:val="fr-CH"/>
        </w:rPr>
        <w:t xml:space="preserve"> </w:t>
      </w:r>
      <w:r w:rsidRPr="00BC77EB">
        <w:rPr>
          <w:rFonts w:hint="eastAsia"/>
          <w:b/>
          <w:bCs/>
          <w:rtl/>
          <w:lang w:val="fr-CH"/>
        </w:rPr>
        <w:t>الطرف</w:t>
      </w:r>
      <w:r w:rsidRPr="00BC77EB">
        <w:rPr>
          <w:b/>
          <w:bCs/>
          <w:rtl/>
          <w:lang w:val="fr-CH"/>
        </w:rPr>
        <w:t xml:space="preserve"> </w:t>
      </w:r>
      <w:r w:rsidRPr="00BC77EB">
        <w:rPr>
          <w:rFonts w:hint="eastAsia"/>
          <w:b/>
          <w:bCs/>
          <w:rtl/>
          <w:lang w:val="fr-CH"/>
        </w:rPr>
        <w:t>القيام</w:t>
      </w:r>
      <w:r w:rsidRPr="00BC77EB">
        <w:rPr>
          <w:b/>
          <w:bCs/>
          <w:rtl/>
          <w:lang w:val="fr-CH"/>
        </w:rPr>
        <w:t xml:space="preserve"> </w:t>
      </w:r>
      <w:r w:rsidRPr="00BC77EB">
        <w:rPr>
          <w:rFonts w:hint="eastAsia"/>
          <w:b/>
          <w:bCs/>
          <w:rtl/>
          <w:lang w:val="fr-CH"/>
        </w:rPr>
        <w:t>بما</w:t>
      </w:r>
      <w:r w:rsidRPr="00BC77EB">
        <w:rPr>
          <w:b/>
          <w:bCs/>
          <w:rtl/>
          <w:lang w:val="fr-CH"/>
        </w:rPr>
        <w:t xml:space="preserve"> </w:t>
      </w:r>
      <w:r w:rsidRPr="00BC77EB">
        <w:rPr>
          <w:rFonts w:hint="eastAsia"/>
          <w:b/>
          <w:bCs/>
          <w:rtl/>
          <w:lang w:val="fr-CH"/>
        </w:rPr>
        <w:t>يلي</w:t>
      </w:r>
      <w:r w:rsidRPr="00BC77EB">
        <w:rPr>
          <w:b/>
          <w:bCs/>
          <w:rtl/>
          <w:lang w:val="fr-CH"/>
        </w:rPr>
        <w:t>:</w:t>
      </w:r>
      <w:r>
        <w:rPr>
          <w:rFonts w:hint="cs"/>
          <w:b/>
          <w:bCs/>
          <w:rtl/>
          <w:lang w:val="fr-CH"/>
        </w:rPr>
        <w:t xml:space="preserve"> </w:t>
      </w:r>
      <w:r w:rsidRPr="00BC77EB">
        <w:rPr>
          <w:b/>
          <w:bCs/>
          <w:rtl/>
          <w:lang w:val="fr-CH"/>
        </w:rPr>
        <w:t xml:space="preserve">(أ) </w:t>
      </w:r>
      <w:r w:rsidRPr="00BC77EB">
        <w:rPr>
          <w:rFonts w:hint="eastAsia"/>
          <w:b/>
          <w:bCs/>
          <w:rtl/>
          <w:lang w:val="fr-CH"/>
        </w:rPr>
        <w:t>تعزيز</w:t>
      </w:r>
      <w:r w:rsidRPr="00BC77EB">
        <w:rPr>
          <w:b/>
          <w:bCs/>
          <w:rtl/>
          <w:lang w:val="fr-CH"/>
        </w:rPr>
        <w:t xml:space="preserve"> جهودها من أجل زيادة تمثيل أفراد </w:t>
      </w:r>
      <w:r w:rsidRPr="00BC77EB">
        <w:rPr>
          <w:rFonts w:hint="eastAsia"/>
          <w:b/>
          <w:bCs/>
          <w:rtl/>
          <w:lang w:val="fr-CH"/>
        </w:rPr>
        <w:t>جم</w:t>
      </w:r>
      <w:r>
        <w:rPr>
          <w:rFonts w:hint="cs"/>
          <w:b/>
          <w:bCs/>
          <w:rtl/>
          <w:lang w:val="fr-CH"/>
        </w:rPr>
        <w:t>ا</w:t>
      </w:r>
      <w:r w:rsidRPr="00BC77EB">
        <w:rPr>
          <w:rFonts w:hint="eastAsia"/>
          <w:b/>
          <w:bCs/>
          <w:rtl/>
          <w:lang w:val="fr-CH"/>
        </w:rPr>
        <w:t>ع</w:t>
      </w:r>
      <w:r>
        <w:rPr>
          <w:rFonts w:hint="cs"/>
          <w:b/>
          <w:bCs/>
          <w:rtl/>
          <w:lang w:val="fr-CH"/>
        </w:rPr>
        <w:t>ة</w:t>
      </w:r>
      <w:r w:rsidRPr="00BC77EB">
        <w:rPr>
          <w:b/>
          <w:bCs/>
          <w:rtl/>
          <w:lang w:val="fr-CH"/>
        </w:rPr>
        <w:t xml:space="preserve"> </w:t>
      </w:r>
      <w:proofErr w:type="spellStart"/>
      <w:r w:rsidRPr="00BC77EB">
        <w:rPr>
          <w:b/>
          <w:bCs/>
          <w:rtl/>
          <w:lang w:val="fr-CH"/>
        </w:rPr>
        <w:t>الروما</w:t>
      </w:r>
      <w:proofErr w:type="spellEnd"/>
      <w:r w:rsidRPr="00BC77EB">
        <w:rPr>
          <w:b/>
          <w:bCs/>
          <w:rtl/>
          <w:lang w:val="fr-CH"/>
        </w:rPr>
        <w:t xml:space="preserve"> والأقليات القومية الأخرى في الهيئات الحكومية على الصعيدين الوطني والمحلي، ويشمل ذلك، بحسب الاقتضاء، اتخاذ التدابير الخاصة المؤقتة المناسبة؛ </w:t>
      </w:r>
      <w:r>
        <w:rPr>
          <w:rFonts w:hint="cs"/>
          <w:b/>
          <w:bCs/>
          <w:rtl/>
          <w:lang w:val="fr-CH"/>
        </w:rPr>
        <w:t>و</w:t>
      </w:r>
      <w:r w:rsidRPr="00BC77EB">
        <w:rPr>
          <w:b/>
          <w:bCs/>
          <w:rtl/>
          <w:lang w:val="fr-CH"/>
        </w:rPr>
        <w:t xml:space="preserve">(ب) </w:t>
      </w:r>
      <w:r w:rsidRPr="00BC77EB">
        <w:rPr>
          <w:rFonts w:hint="eastAsia"/>
          <w:b/>
          <w:bCs/>
          <w:rtl/>
          <w:lang w:val="fr-CH"/>
        </w:rPr>
        <w:t>ضمان</w:t>
      </w:r>
      <w:r w:rsidRPr="00BC77EB">
        <w:rPr>
          <w:b/>
          <w:bCs/>
          <w:rtl/>
          <w:lang w:val="fr-CH"/>
        </w:rPr>
        <w:t xml:space="preserve"> </w:t>
      </w:r>
      <w:r w:rsidRPr="00BC77EB">
        <w:rPr>
          <w:rFonts w:hint="eastAsia"/>
          <w:b/>
          <w:bCs/>
          <w:rtl/>
          <w:lang w:val="fr-CH"/>
        </w:rPr>
        <w:t>إنشاء</w:t>
      </w:r>
      <w:r w:rsidRPr="00BC77EB">
        <w:rPr>
          <w:b/>
          <w:bCs/>
          <w:rtl/>
          <w:lang w:val="fr-CH"/>
        </w:rPr>
        <w:t xml:space="preserve"> </w:t>
      </w:r>
      <w:r w:rsidRPr="00BC77EB">
        <w:rPr>
          <w:rFonts w:hint="eastAsia"/>
          <w:b/>
          <w:bCs/>
          <w:rtl/>
          <w:lang w:val="fr-CH"/>
        </w:rPr>
        <w:t>هيئة</w:t>
      </w:r>
      <w:r w:rsidRPr="00BC77EB">
        <w:rPr>
          <w:b/>
          <w:bCs/>
          <w:rtl/>
          <w:lang w:val="fr-CH"/>
        </w:rPr>
        <w:t xml:space="preserve"> </w:t>
      </w:r>
      <w:r w:rsidRPr="00BC77EB">
        <w:rPr>
          <w:rFonts w:hint="eastAsia"/>
          <w:b/>
          <w:bCs/>
          <w:rtl/>
          <w:lang w:val="fr-CH"/>
        </w:rPr>
        <w:t>فعالة</w:t>
      </w:r>
      <w:r w:rsidRPr="00BC77EB">
        <w:rPr>
          <w:b/>
          <w:bCs/>
          <w:rtl/>
          <w:lang w:val="fr-CH"/>
        </w:rPr>
        <w:t xml:space="preserve"> </w:t>
      </w:r>
      <w:r w:rsidRPr="00BC77EB">
        <w:rPr>
          <w:rFonts w:hint="eastAsia"/>
          <w:b/>
          <w:bCs/>
          <w:rtl/>
          <w:lang w:val="fr-CH"/>
        </w:rPr>
        <w:t>ومستقلة</w:t>
      </w:r>
      <w:r w:rsidRPr="00BC77EB">
        <w:rPr>
          <w:b/>
          <w:bCs/>
          <w:rtl/>
          <w:lang w:val="fr-CH"/>
        </w:rPr>
        <w:t xml:space="preserve"> </w:t>
      </w:r>
      <w:r w:rsidRPr="00BC77EB">
        <w:rPr>
          <w:rFonts w:hint="eastAsia"/>
          <w:b/>
          <w:bCs/>
          <w:rtl/>
          <w:lang w:val="fr-CH"/>
        </w:rPr>
        <w:t>لمراقبة</w:t>
      </w:r>
      <w:r w:rsidRPr="00BC77EB">
        <w:rPr>
          <w:b/>
          <w:bCs/>
          <w:rtl/>
          <w:lang w:val="fr-CH"/>
        </w:rPr>
        <w:t xml:space="preserve"> </w:t>
      </w:r>
      <w:r w:rsidRPr="00BC77EB">
        <w:rPr>
          <w:rFonts w:hint="eastAsia"/>
          <w:b/>
          <w:bCs/>
          <w:rtl/>
          <w:lang w:val="fr-CH"/>
        </w:rPr>
        <w:t>الانتخابات،</w:t>
      </w:r>
      <w:r w:rsidRPr="00BC77EB">
        <w:rPr>
          <w:b/>
          <w:bCs/>
          <w:rtl/>
          <w:lang w:val="fr-CH"/>
        </w:rPr>
        <w:t xml:space="preserve"> </w:t>
      </w:r>
      <w:r w:rsidRPr="00BC77EB">
        <w:rPr>
          <w:rFonts w:hint="eastAsia"/>
          <w:b/>
          <w:bCs/>
          <w:rtl/>
          <w:lang w:val="fr-CH"/>
        </w:rPr>
        <w:t>و</w:t>
      </w:r>
      <w:r>
        <w:rPr>
          <w:rFonts w:hint="cs"/>
          <w:b/>
          <w:bCs/>
          <w:rtl/>
          <w:lang w:val="fr-CH"/>
        </w:rPr>
        <w:t xml:space="preserve">الإبلاغ </w:t>
      </w:r>
      <w:r w:rsidRPr="00BC77EB">
        <w:rPr>
          <w:rFonts w:hint="eastAsia"/>
          <w:b/>
          <w:bCs/>
          <w:rtl/>
          <w:lang w:val="fr-CH"/>
        </w:rPr>
        <w:t>عن</w:t>
      </w:r>
      <w:r w:rsidRPr="00BC77EB">
        <w:rPr>
          <w:b/>
          <w:bCs/>
          <w:rtl/>
          <w:lang w:val="fr-CH"/>
        </w:rPr>
        <w:t xml:space="preserve"> </w:t>
      </w:r>
      <w:r w:rsidRPr="00BC77EB">
        <w:rPr>
          <w:rFonts w:hint="eastAsia"/>
          <w:b/>
          <w:bCs/>
          <w:rtl/>
          <w:lang w:val="fr-CH"/>
        </w:rPr>
        <w:t>ادعاءات</w:t>
      </w:r>
      <w:r w:rsidRPr="00BC77EB">
        <w:rPr>
          <w:b/>
          <w:bCs/>
          <w:rtl/>
          <w:lang w:val="fr-CH"/>
        </w:rPr>
        <w:t xml:space="preserve"> </w:t>
      </w:r>
      <w:r w:rsidRPr="00BC77EB">
        <w:rPr>
          <w:rFonts w:hint="eastAsia"/>
          <w:b/>
          <w:bCs/>
          <w:rtl/>
          <w:lang w:val="fr-CH"/>
        </w:rPr>
        <w:t>الاعتداء</w:t>
      </w:r>
      <w:r w:rsidRPr="00BC77EB">
        <w:rPr>
          <w:b/>
          <w:bCs/>
          <w:rtl/>
          <w:lang w:val="fr-CH"/>
        </w:rPr>
        <w:t xml:space="preserve"> </w:t>
      </w:r>
      <w:r w:rsidRPr="00BC77EB">
        <w:rPr>
          <w:rFonts w:hint="eastAsia"/>
          <w:b/>
          <w:bCs/>
          <w:rtl/>
          <w:lang w:val="fr-CH"/>
        </w:rPr>
        <w:t>على</w:t>
      </w:r>
      <w:r w:rsidRPr="00BC77EB">
        <w:rPr>
          <w:b/>
          <w:bCs/>
          <w:rtl/>
          <w:lang w:val="fr-CH"/>
        </w:rPr>
        <w:t xml:space="preserve"> </w:t>
      </w:r>
      <w:r w:rsidRPr="00BC77EB">
        <w:rPr>
          <w:rFonts w:hint="eastAsia"/>
          <w:b/>
          <w:bCs/>
          <w:rtl/>
          <w:lang w:val="fr-CH"/>
        </w:rPr>
        <w:t>السياسيين</w:t>
      </w:r>
      <w:r w:rsidRPr="00BC77EB">
        <w:rPr>
          <w:b/>
          <w:bCs/>
          <w:rtl/>
          <w:lang w:val="fr-CH"/>
        </w:rPr>
        <w:t xml:space="preserve"> </w:t>
      </w:r>
      <w:r w:rsidRPr="00BC77EB">
        <w:rPr>
          <w:rFonts w:hint="eastAsia"/>
          <w:b/>
          <w:bCs/>
          <w:rtl/>
          <w:lang w:val="fr-CH"/>
        </w:rPr>
        <w:t>وتخويف</w:t>
      </w:r>
      <w:r w:rsidRPr="00BC77EB">
        <w:rPr>
          <w:b/>
          <w:bCs/>
          <w:rtl/>
          <w:lang w:val="fr-CH"/>
        </w:rPr>
        <w:t xml:space="preserve"> </w:t>
      </w:r>
      <w:r w:rsidRPr="00BC77EB">
        <w:rPr>
          <w:rFonts w:hint="eastAsia"/>
          <w:b/>
          <w:bCs/>
          <w:rtl/>
          <w:lang w:val="fr-CH"/>
        </w:rPr>
        <w:t>الناخبين،</w:t>
      </w:r>
      <w:r w:rsidRPr="00BC77EB">
        <w:rPr>
          <w:b/>
          <w:bCs/>
          <w:rtl/>
          <w:lang w:val="fr-CH"/>
        </w:rPr>
        <w:t xml:space="preserve"> </w:t>
      </w:r>
      <w:r w:rsidRPr="00BC77EB">
        <w:rPr>
          <w:rFonts w:hint="eastAsia"/>
          <w:b/>
          <w:bCs/>
          <w:rtl/>
          <w:lang w:val="fr-CH"/>
        </w:rPr>
        <w:t>والتحقيق</w:t>
      </w:r>
      <w:r w:rsidRPr="00BC77EB">
        <w:rPr>
          <w:b/>
          <w:bCs/>
          <w:rtl/>
          <w:lang w:val="fr-CH"/>
        </w:rPr>
        <w:t xml:space="preserve"> </w:t>
      </w:r>
      <w:r w:rsidRPr="00BC77EB">
        <w:rPr>
          <w:rFonts w:hint="eastAsia"/>
          <w:b/>
          <w:bCs/>
          <w:rtl/>
          <w:lang w:val="fr-CH"/>
        </w:rPr>
        <w:t>فيها</w:t>
      </w:r>
      <w:r w:rsidRPr="00BC77EB">
        <w:rPr>
          <w:b/>
          <w:bCs/>
          <w:rtl/>
          <w:lang w:val="fr-CH"/>
        </w:rPr>
        <w:t xml:space="preserve"> </w:t>
      </w:r>
      <w:r w:rsidRPr="00BC77EB">
        <w:rPr>
          <w:rFonts w:hint="eastAsia"/>
          <w:b/>
          <w:bCs/>
          <w:rtl/>
          <w:lang w:val="fr-CH"/>
        </w:rPr>
        <w:t>والتصدي</w:t>
      </w:r>
      <w:r w:rsidRPr="00BC77EB">
        <w:rPr>
          <w:b/>
          <w:bCs/>
          <w:rtl/>
          <w:lang w:val="fr-CH"/>
        </w:rPr>
        <w:t xml:space="preserve"> </w:t>
      </w:r>
      <w:r w:rsidRPr="00BC77EB">
        <w:rPr>
          <w:rFonts w:hint="eastAsia"/>
          <w:b/>
          <w:bCs/>
          <w:rtl/>
          <w:lang w:val="fr-CH"/>
        </w:rPr>
        <w:t>لها</w:t>
      </w:r>
      <w:r>
        <w:rPr>
          <w:rFonts w:hint="cs"/>
          <w:b/>
          <w:bCs/>
          <w:rtl/>
          <w:lang w:val="fr-CH"/>
        </w:rPr>
        <w:t xml:space="preserve"> بصورة فورية</w:t>
      </w:r>
      <w:r w:rsidRPr="00BC77EB">
        <w:rPr>
          <w:b/>
          <w:bCs/>
          <w:rtl/>
          <w:lang w:val="fr-CH"/>
        </w:rPr>
        <w:t xml:space="preserve">. </w:t>
      </w:r>
    </w:p>
    <w:p w:rsidR="00977D1E" w:rsidRPr="00CC58B5" w:rsidRDefault="00977D1E" w:rsidP="00977D1E">
      <w:pPr>
        <w:pStyle w:val="H1GA"/>
        <w:rPr>
          <w:rtl/>
          <w:lang w:val="fr-CH"/>
        </w:rPr>
      </w:pPr>
      <w:r>
        <w:rPr>
          <w:rFonts w:hint="cs"/>
          <w:rtl/>
          <w:lang w:val="fr-CH"/>
        </w:rPr>
        <w:lastRenderedPageBreak/>
        <w:tab/>
      </w:r>
      <w:r w:rsidRPr="00CC58B5">
        <w:rPr>
          <w:rFonts w:hint="cs"/>
          <w:rtl/>
          <w:lang w:val="fr-CH"/>
        </w:rPr>
        <w:t>دال-</w:t>
      </w:r>
      <w:r w:rsidRPr="00CC58B5">
        <w:rPr>
          <w:rFonts w:hint="cs"/>
          <w:rtl/>
          <w:lang w:val="fr-CH"/>
        </w:rPr>
        <w:tab/>
      </w:r>
      <w:r w:rsidRPr="00977D1E">
        <w:rPr>
          <w:rFonts w:hint="cs"/>
          <w:rtl/>
        </w:rPr>
        <w:t>النشر</w:t>
      </w:r>
      <w:r w:rsidRPr="00CC58B5">
        <w:rPr>
          <w:rFonts w:hint="cs"/>
          <w:rtl/>
          <w:lang w:val="fr-CH"/>
        </w:rPr>
        <w:t xml:space="preserve"> والمتابعة</w:t>
      </w:r>
    </w:p>
    <w:p w:rsidR="00977D1E" w:rsidRDefault="00977D1E" w:rsidP="00977D1E">
      <w:pPr>
        <w:pStyle w:val="SingleTxtGA"/>
        <w:rPr>
          <w:rtl/>
          <w:lang w:val="fr-CH"/>
        </w:rPr>
      </w:pPr>
      <w:r>
        <w:rPr>
          <w:rFonts w:hint="cs"/>
          <w:rtl/>
          <w:lang w:val="fr-CH"/>
        </w:rPr>
        <w:t>42-</w:t>
      </w:r>
      <w:r>
        <w:rPr>
          <w:rFonts w:hint="cs"/>
          <w:rtl/>
          <w:lang w:val="fr-CH"/>
        </w:rPr>
        <w:tab/>
        <w:t xml:space="preserve">ينبغي للدولة الطرف </w:t>
      </w:r>
      <w:r w:rsidRPr="006636D5">
        <w:rPr>
          <w:rtl/>
          <w:lang w:val="fr-CH"/>
        </w:rPr>
        <w:t>أن تنشر على نطاق واسع</w:t>
      </w:r>
      <w:r>
        <w:rPr>
          <w:rFonts w:hint="cs"/>
          <w:rtl/>
          <w:lang w:val="fr-CH"/>
        </w:rPr>
        <w:t xml:space="preserve">، عن طريق مجلس رصد تنفيذ توصيات آليات حقوق الإنسان التابعة للأمم المتحدة وغيره، أحكام العهد، والتقرير الدوري الثالث، والردود الكتابية على قائمة المسائل المقدمة من اللجنة، وهذه الملاحظات الختامية، من أجل إذكاء وعي السلطات القضائية والتشريعية والإدارية ومنظمات المجتمع المدني والمنظمات غير الحكومية العاملة في البلد، وعامة الجمهور بالحقوق المنصوص عليها في العهد. وينبغي للدولة الطرف أن تكفل ترجمة التقرير وهذه الملاحظات الختامية إلى اللغات الرسمية للدولة الطرف. </w:t>
      </w:r>
    </w:p>
    <w:p w:rsidR="00977D1E" w:rsidRDefault="00977D1E" w:rsidP="00977D1E">
      <w:pPr>
        <w:pStyle w:val="SingleTxtGA"/>
        <w:rPr>
          <w:rtl/>
          <w:lang w:val="fr-CH"/>
        </w:rPr>
      </w:pPr>
      <w:r>
        <w:rPr>
          <w:rFonts w:hint="cs"/>
          <w:rtl/>
          <w:lang w:val="fr-CH"/>
        </w:rPr>
        <w:t>43-</w:t>
      </w:r>
      <w:r>
        <w:rPr>
          <w:rFonts w:hint="cs"/>
          <w:rtl/>
          <w:lang w:val="fr-CH"/>
        </w:rPr>
        <w:tab/>
        <w:t xml:space="preserve">ووفقاً للفقرة 5 من المادة 71 من النظام الداخلي للجنة، ينبغي للدولة الطرف أن تقدم، في غضون عام من اعتماد هذه الملاحظات الختامية، معلومات بشأن تنفيذ التوصيات المقدمة من اللجنة في الفقرات 15 (إقصاء </w:t>
      </w:r>
      <w:proofErr w:type="spellStart"/>
      <w:r>
        <w:rPr>
          <w:rFonts w:hint="cs"/>
          <w:rtl/>
          <w:lang w:val="fr-CH"/>
        </w:rPr>
        <w:t>الروما</w:t>
      </w:r>
      <w:proofErr w:type="spellEnd"/>
      <w:r>
        <w:rPr>
          <w:rFonts w:hint="cs"/>
          <w:rtl/>
          <w:lang w:val="fr-CH"/>
        </w:rPr>
        <w:t xml:space="preserve">)، و33 (اللاجئون وملتمسو اللجوء)، و39 (حرية التعبير) الواردة أعلاه. </w:t>
      </w:r>
    </w:p>
    <w:p w:rsidR="00977D1E" w:rsidRDefault="00977D1E" w:rsidP="00977D1E">
      <w:pPr>
        <w:pStyle w:val="SingleTxtGA"/>
        <w:rPr>
          <w:rtl/>
          <w:lang w:val="fr-CH"/>
        </w:rPr>
      </w:pPr>
      <w:r>
        <w:rPr>
          <w:rFonts w:hint="cs"/>
          <w:rtl/>
          <w:lang w:val="fr-CH"/>
        </w:rPr>
        <w:t>44-</w:t>
      </w:r>
      <w:r>
        <w:rPr>
          <w:rFonts w:hint="cs"/>
          <w:rtl/>
          <w:lang w:val="fr-CH"/>
        </w:rPr>
        <w:tab/>
        <w:t>وتطلب اللجنة إلى الدولة الطرف أن تقدم تقريرها الدوري المقبل بحلول 29 آذار/ مارس 2021، وأن تضمِّنه معلومات محدَّثة ومحددة عن تنفيذ التوصيات المقدمة في هذه الملاحظات الختامية وعن تنفيذ العهد ككل. وتطلب اللجنة إلى الدولة الطرف أيضاً، في سياق إعداد التقرير، أن تتشاور على نطاق واسع مع منظمات المجتمع المدني والمنظمات غير الحكومية العاملة في البلد. وعملاً بقرار الجمعية العامة 68/268، يجب ألا يتجاوز عدد كلمات التقرير</w:t>
      </w:r>
      <w:r>
        <w:rPr>
          <w:rFonts w:hint="eastAsia"/>
          <w:rtl/>
          <w:lang w:val="fr-CH"/>
        </w:rPr>
        <w:t> </w:t>
      </w:r>
      <w:r>
        <w:rPr>
          <w:rFonts w:hint="cs"/>
          <w:rtl/>
          <w:lang w:val="fr-CH"/>
        </w:rPr>
        <w:t xml:space="preserve">200 21 كلمة. وتدعو اللجنة الدولة الطرف أيضاً إلى أن توافق، بحلول 29 آذار/مارس 2018، على اتباع إجرائها المبسط لتقديم التقارير الذي تحيل اللجنة بموجبه إلى الدولة الطرف قائمة مسائل قبل تقديم تقريرها الدوري. وستشكل ردود الدولة الطرف على قائمة المسائل تقريرها الدوري الرابع الذي سيُقدم بموجب المادة 40 من العهد. </w:t>
      </w:r>
    </w:p>
    <w:p w:rsidR="00B54045" w:rsidRPr="00977D1E" w:rsidRDefault="00977D1E" w:rsidP="00977D1E">
      <w:pPr>
        <w:spacing w:before="120"/>
        <w:jc w:val="center"/>
        <w:rPr>
          <w:u w:val="single"/>
          <w:rtl/>
        </w:rPr>
      </w:pPr>
      <w:r>
        <w:rPr>
          <w:u w:val="single"/>
          <w:rtl/>
        </w:rPr>
        <w:tab/>
      </w:r>
      <w:r>
        <w:rPr>
          <w:u w:val="single"/>
          <w:rtl/>
        </w:rPr>
        <w:tab/>
      </w:r>
      <w:r>
        <w:rPr>
          <w:u w:val="single"/>
          <w:rtl/>
        </w:rPr>
        <w:tab/>
      </w:r>
    </w:p>
    <w:sectPr w:rsidR="00B54045" w:rsidRPr="00977D1E" w:rsidSect="001E06C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380" w:rsidRPr="002901D9" w:rsidRDefault="00143380" w:rsidP="002901D9">
      <w:pPr>
        <w:spacing w:after="60" w:line="240" w:lineRule="auto"/>
        <w:rPr>
          <w:i/>
          <w:iCs/>
        </w:rPr>
      </w:pPr>
      <w:r>
        <w:rPr>
          <w:rFonts w:hint="cs"/>
          <w:i/>
          <w:iCs/>
          <w:rtl/>
        </w:rPr>
        <w:t>الحواشي</w:t>
      </w:r>
    </w:p>
  </w:endnote>
  <w:endnote w:type="continuationSeparator" w:id="0">
    <w:p w:rsidR="00143380" w:rsidRDefault="001433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6C0" w:rsidRPr="00977D1E" w:rsidRDefault="00977D1E" w:rsidP="00977D1E">
    <w:pPr>
      <w:pStyle w:val="Footer"/>
      <w:tabs>
        <w:tab w:val="right" w:pos="9598"/>
      </w:tabs>
      <w:rPr>
        <w:sz w:val="17"/>
      </w:rPr>
    </w:pPr>
    <w:r>
      <w:rPr>
        <w:sz w:val="17"/>
      </w:rPr>
      <w:t>GE.17-05777</w:t>
    </w:r>
    <w:r>
      <w:rPr>
        <w:sz w:val="17"/>
      </w:rPr>
      <w:tab/>
    </w:r>
    <w:r w:rsidRPr="00977D1E">
      <w:rPr>
        <w:b/>
        <w:sz w:val="18"/>
      </w:rPr>
      <w:fldChar w:fldCharType="begin"/>
    </w:r>
    <w:r w:rsidRPr="00977D1E">
      <w:rPr>
        <w:b/>
        <w:sz w:val="18"/>
      </w:rPr>
      <w:instrText xml:space="preserve"> PAGE  \* MERGEFORMAT </w:instrText>
    </w:r>
    <w:r w:rsidRPr="00977D1E">
      <w:rPr>
        <w:b/>
        <w:sz w:val="18"/>
      </w:rPr>
      <w:fldChar w:fldCharType="separate"/>
    </w:r>
    <w:r w:rsidR="004771B9">
      <w:rPr>
        <w:b/>
        <w:noProof/>
        <w:sz w:val="18"/>
      </w:rPr>
      <w:t>10</w:t>
    </w:r>
    <w:r w:rsidRPr="00977D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77D1E" w:rsidRDefault="00977D1E" w:rsidP="006959B0">
    <w:pPr>
      <w:pStyle w:val="Footer"/>
      <w:tabs>
        <w:tab w:val="right" w:pos="9599"/>
      </w:tabs>
      <w:jc w:val="left"/>
      <w:rPr>
        <w:b/>
        <w:sz w:val="18"/>
        <w:lang w:val="en-US"/>
      </w:rPr>
    </w:pPr>
    <w:r w:rsidRPr="00977D1E">
      <w:rPr>
        <w:b/>
        <w:sz w:val="18"/>
        <w:lang w:val="en-US"/>
      </w:rPr>
      <w:fldChar w:fldCharType="begin"/>
    </w:r>
    <w:r w:rsidRPr="00977D1E">
      <w:rPr>
        <w:b/>
        <w:sz w:val="18"/>
        <w:lang w:val="en-US"/>
      </w:rPr>
      <w:instrText xml:space="preserve"> PAGE  \* MERGEFORMAT </w:instrText>
    </w:r>
    <w:r w:rsidRPr="00977D1E">
      <w:rPr>
        <w:b/>
        <w:sz w:val="18"/>
        <w:lang w:val="en-US"/>
      </w:rPr>
      <w:fldChar w:fldCharType="separate"/>
    </w:r>
    <w:r w:rsidR="004771B9">
      <w:rPr>
        <w:b/>
        <w:noProof/>
        <w:sz w:val="18"/>
        <w:lang w:val="en-US"/>
      </w:rPr>
      <w:t>9</w:t>
    </w:r>
    <w:r w:rsidRPr="00977D1E">
      <w:rPr>
        <w:b/>
        <w:sz w:val="18"/>
        <w:lang w:val="en-US"/>
      </w:rPr>
      <w:fldChar w:fldCharType="end"/>
    </w:r>
    <w:r>
      <w:rPr>
        <w:b/>
        <w:sz w:val="18"/>
        <w:lang w:val="en-US"/>
      </w:rPr>
      <w:tab/>
    </w:r>
    <w:r>
      <w:rPr>
        <w:sz w:val="17"/>
        <w:lang w:val="en-US"/>
      </w:rPr>
      <w:t>GE.17-05777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1E06C0" w:rsidP="00982139">
    <w:pPr>
      <w:pStyle w:val="Footer"/>
      <w:spacing w:before="360"/>
      <w:jc w:val="right"/>
      <w:rPr>
        <w:sz w:val="20"/>
        <w:szCs w:val="20"/>
      </w:rPr>
    </w:pPr>
    <w:r>
      <w:rPr>
        <w:sz w:val="20"/>
        <w:szCs w:val="20"/>
      </w:rPr>
      <w:t>GE.17-05777</w:t>
    </w:r>
    <w:r w:rsidR="00DE50B1">
      <w:rPr>
        <w:noProof/>
        <w:lang w:val="en-US"/>
      </w:rPr>
      <w:drawing>
        <wp:anchor distT="0" distB="0" distL="114300" distR="114300" simplePos="0" relativeHeight="251659264" behindDoc="1" locked="1" layoutInCell="0" allowOverlap="1" wp14:anchorId="3AEA2FDE" wp14:editId="453B292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1E06C0" w:rsidRPr="001E06C0" w:rsidRDefault="001E06C0" w:rsidP="001E06C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43738" cy="643737"/>
          <wp:effectExtent l="0" t="0" r="444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3738" cy="643737"/>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380" w:rsidRDefault="00143380" w:rsidP="000437B8">
      <w:pPr>
        <w:pStyle w:val="Footer"/>
        <w:bidi/>
        <w:spacing w:after="80" w:line="200" w:lineRule="exact"/>
        <w:ind w:left="680"/>
      </w:pPr>
      <w:r>
        <w:rPr>
          <w:rtl/>
        </w:rPr>
        <w:t>__________</w:t>
      </w:r>
    </w:p>
  </w:footnote>
  <w:footnote w:type="continuationSeparator" w:id="0">
    <w:p w:rsidR="00143380" w:rsidRDefault="00143380" w:rsidP="00656392">
      <w:pPr>
        <w:spacing w:line="240" w:lineRule="auto"/>
      </w:pPr>
      <w:r>
        <w:continuationSeparator/>
      </w:r>
    </w:p>
  </w:footnote>
  <w:footnote w:id="1">
    <w:p w:rsidR="00977D1E" w:rsidRPr="008B04CE" w:rsidRDefault="00977D1E" w:rsidP="00977D1E">
      <w:pPr>
        <w:pStyle w:val="FootnoteText1"/>
      </w:pPr>
      <w:r>
        <w:rPr>
          <w:rtl/>
        </w:rPr>
        <w:t>*</w:t>
      </w:r>
      <w:r>
        <w:rPr>
          <w:rtl/>
        </w:rPr>
        <w:tab/>
      </w:r>
      <w:r>
        <w:rPr>
          <w:rFonts w:hint="cs"/>
          <w:rtl/>
        </w:rPr>
        <w:t>اعتمدتها اللجنة في دورتها 119 (6-29 آذار/مارس 2017).</w:t>
      </w:r>
    </w:p>
  </w:footnote>
  <w:footnote w:id="2">
    <w:p w:rsidR="00977D1E" w:rsidRPr="008B04CE" w:rsidRDefault="00977D1E" w:rsidP="00977D1E">
      <w:pPr>
        <w:pStyle w:val="FootnoteText1"/>
      </w:pPr>
      <w:r w:rsidRPr="008B04CE">
        <w:rPr>
          <w:rtl/>
        </w:rPr>
        <w:t>(</w:t>
      </w:r>
      <w:r w:rsidRPr="008B04CE">
        <w:rPr>
          <w:rStyle w:val="FootnoteReference"/>
          <w:vertAlign w:val="baseline"/>
        </w:rPr>
        <w:footnoteRef/>
      </w:r>
      <w:r>
        <w:rPr>
          <w:sz w:val="26"/>
          <w:rtl/>
        </w:rPr>
        <w:t>)</w:t>
      </w:r>
      <w:r>
        <w:rPr>
          <w:sz w:val="26"/>
          <w:rtl/>
        </w:rPr>
        <w:tab/>
      </w:r>
      <w:r>
        <w:rPr>
          <w:rFonts w:hint="cs"/>
          <w:sz w:val="26"/>
          <w:rtl/>
        </w:rPr>
        <w:t>ينبغي أن تفهم جميع الإشارات إلى كوسوفو في هذه الوثيقة فهماً يتوافق تماماً مع قرار مجلس الأمن 1244(1999).</w:t>
      </w:r>
      <w:r w:rsidRPr="008B04CE">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6C0" w:rsidRPr="00977D1E" w:rsidRDefault="00977D1E" w:rsidP="00977D1E">
    <w:pPr>
      <w:pStyle w:val="Header"/>
      <w:jc w:val="right"/>
    </w:pPr>
    <w:r w:rsidRPr="00977D1E">
      <w:t>CCPR/C/SRB/CO/3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6C0" w:rsidRPr="00977D1E" w:rsidRDefault="00977D1E" w:rsidP="00977D1E">
    <w:pPr>
      <w:pStyle w:val="Header"/>
      <w:jc w:val="left"/>
    </w:pPr>
    <w:r w:rsidRPr="00977D1E">
      <w:t>CCPR/C/SRB/CO/3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43380"/>
    <w:rsid w:val="000076D5"/>
    <w:rsid w:val="00027145"/>
    <w:rsid w:val="00043663"/>
    <w:rsid w:val="000437B8"/>
    <w:rsid w:val="000505CF"/>
    <w:rsid w:val="000D701C"/>
    <w:rsid w:val="000E2A71"/>
    <w:rsid w:val="00143380"/>
    <w:rsid w:val="00160263"/>
    <w:rsid w:val="00181F96"/>
    <w:rsid w:val="001A1371"/>
    <w:rsid w:val="001B346A"/>
    <w:rsid w:val="001E06C0"/>
    <w:rsid w:val="001E1CAD"/>
    <w:rsid w:val="001E290D"/>
    <w:rsid w:val="002107C6"/>
    <w:rsid w:val="002144FA"/>
    <w:rsid w:val="0023469A"/>
    <w:rsid w:val="00243C8A"/>
    <w:rsid w:val="002622C8"/>
    <w:rsid w:val="00267A0E"/>
    <w:rsid w:val="002901D9"/>
    <w:rsid w:val="002976C2"/>
    <w:rsid w:val="003260FF"/>
    <w:rsid w:val="00343D95"/>
    <w:rsid w:val="00363A18"/>
    <w:rsid w:val="00374341"/>
    <w:rsid w:val="003D1062"/>
    <w:rsid w:val="00420D7B"/>
    <w:rsid w:val="00450B21"/>
    <w:rsid w:val="00453B63"/>
    <w:rsid w:val="00455780"/>
    <w:rsid w:val="004566D8"/>
    <w:rsid w:val="004771B9"/>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234D3"/>
    <w:rsid w:val="00656392"/>
    <w:rsid w:val="0068781D"/>
    <w:rsid w:val="006959B0"/>
    <w:rsid w:val="006B3E27"/>
    <w:rsid w:val="006B6507"/>
    <w:rsid w:val="006C104C"/>
    <w:rsid w:val="0071442F"/>
    <w:rsid w:val="00733704"/>
    <w:rsid w:val="0078071A"/>
    <w:rsid w:val="00787E1E"/>
    <w:rsid w:val="007B2FB7"/>
    <w:rsid w:val="007E3A21"/>
    <w:rsid w:val="00837C2E"/>
    <w:rsid w:val="00852A9A"/>
    <w:rsid w:val="0087322A"/>
    <w:rsid w:val="008F49E1"/>
    <w:rsid w:val="009002F2"/>
    <w:rsid w:val="0090370F"/>
    <w:rsid w:val="009269D2"/>
    <w:rsid w:val="00942135"/>
    <w:rsid w:val="009521B0"/>
    <w:rsid w:val="00977D1E"/>
    <w:rsid w:val="00982139"/>
    <w:rsid w:val="009867A8"/>
    <w:rsid w:val="009A7E9F"/>
    <w:rsid w:val="009E5018"/>
    <w:rsid w:val="00A12B37"/>
    <w:rsid w:val="00A2642E"/>
    <w:rsid w:val="00AB6758"/>
    <w:rsid w:val="00B13763"/>
    <w:rsid w:val="00B477A4"/>
    <w:rsid w:val="00B54045"/>
    <w:rsid w:val="00C438D7"/>
    <w:rsid w:val="00C81B50"/>
    <w:rsid w:val="00CB6622"/>
    <w:rsid w:val="00CD1801"/>
    <w:rsid w:val="00CF65C6"/>
    <w:rsid w:val="00D10EF1"/>
    <w:rsid w:val="00D168BC"/>
    <w:rsid w:val="00D42810"/>
    <w:rsid w:val="00D67CE3"/>
    <w:rsid w:val="00D72747"/>
    <w:rsid w:val="00D914A7"/>
    <w:rsid w:val="00DD13C3"/>
    <w:rsid w:val="00DD596E"/>
    <w:rsid w:val="00DD621E"/>
    <w:rsid w:val="00DE50B1"/>
    <w:rsid w:val="00DE795B"/>
    <w:rsid w:val="00DF0575"/>
    <w:rsid w:val="00E70E04"/>
    <w:rsid w:val="00EC05A7"/>
    <w:rsid w:val="00EC4B6B"/>
    <w:rsid w:val="00ED7442"/>
    <w:rsid w:val="00EE3204"/>
    <w:rsid w:val="00EF1EE5"/>
    <w:rsid w:val="00F273F8"/>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E3204"/>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E3204"/>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E4A7D-15D9-4B4E-B7A4-AFCC1F759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3323</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CCPR/C/SRB/CO/3</vt:lpstr>
    </vt:vector>
  </TitlesOfParts>
  <Company>DCM</Company>
  <LinksUpToDate>false</LinksUpToDate>
  <CharactersWithSpaces>22226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CCPR/C/SRB/CO/3</dc:title>
  <dc:subject>GE.1705777</dc:subject>
  <dc:creator>MBUH42/bah-AGH</dc:creator>
  <cp:keywords>ODS No.1708896</cp:keywords>
  <dc:description>Distribution: General
Original: English
Date: 10 April 2017</dc:description>
  <cp:lastModifiedBy>Tpsara</cp:lastModifiedBy>
  <cp:revision>2</cp:revision>
  <cp:lastPrinted>2017-05-05T11:35:00Z</cp:lastPrinted>
  <dcterms:created xsi:type="dcterms:W3CDTF">2017-05-05T16:08:00Z</dcterms:created>
  <dcterms:modified xsi:type="dcterms:W3CDTF">2017-05-05T16:08:00Z</dcterms:modified>
  <cp:category>Finale</cp:category>
</cp:coreProperties>
</file>