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D3ED9F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FEF5E9C" w14:textId="77777777" w:rsidR="002D5AAC" w:rsidRDefault="002D5AAC" w:rsidP="0070084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D0D37E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F26595B" w14:textId="26A450FC" w:rsidR="002D5AAC" w:rsidRDefault="00700844" w:rsidP="00700844">
            <w:pPr>
              <w:jc w:val="right"/>
            </w:pPr>
            <w:r w:rsidRPr="00700844">
              <w:rPr>
                <w:sz w:val="40"/>
              </w:rPr>
              <w:t>A</w:t>
            </w:r>
            <w:r>
              <w:t>/HRC/RES/55/25</w:t>
            </w:r>
          </w:p>
        </w:tc>
      </w:tr>
      <w:tr w:rsidR="002D5AAC" w:rsidRPr="00700844" w14:paraId="72AC1152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F3DA84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68012B6" wp14:editId="6A5A9C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6CD4A6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8D3F40C" w14:textId="77777777" w:rsidR="002D5AAC" w:rsidRDefault="0070084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50F8074" w14:textId="79A7A750" w:rsidR="00700844" w:rsidRDefault="00700844" w:rsidP="007008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April 2024</w:t>
            </w:r>
          </w:p>
          <w:p w14:paraId="4C53E3CA" w14:textId="77777777" w:rsidR="00700844" w:rsidRDefault="00700844" w:rsidP="007008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926DAFE" w14:textId="18AB8772" w:rsidR="00700844" w:rsidRPr="00E71476" w:rsidRDefault="00700844" w:rsidP="007008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4E2168D4" w14:textId="77777777" w:rsidR="00DF71B9" w:rsidRPr="00700844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C58D871" w14:textId="77777777" w:rsidR="00700844" w:rsidRPr="003C7E6B" w:rsidRDefault="00700844" w:rsidP="00700844">
      <w:pPr>
        <w:rPr>
          <w:b/>
        </w:rPr>
      </w:pPr>
      <w:r w:rsidRPr="003C7E6B">
        <w:rPr>
          <w:b/>
          <w:bCs/>
        </w:rPr>
        <w:t>Пятьдесят пятая сессия</w:t>
      </w:r>
    </w:p>
    <w:p w14:paraId="27746289" w14:textId="77777777" w:rsidR="00700844" w:rsidRPr="003C7E6B" w:rsidRDefault="00700844" w:rsidP="00700844">
      <w:r w:rsidRPr="003C7E6B">
        <w:t>26 февраля — 5 апреля 2024 года</w:t>
      </w:r>
    </w:p>
    <w:p w14:paraId="36F4E26F" w14:textId="77777777" w:rsidR="00700844" w:rsidRPr="003C7E6B" w:rsidRDefault="00700844" w:rsidP="00700844">
      <w:r w:rsidRPr="003C7E6B">
        <w:t>Пункт 10 повестки дня</w:t>
      </w:r>
    </w:p>
    <w:p w14:paraId="6B9F8CCB" w14:textId="77777777" w:rsidR="00700844" w:rsidRPr="003C7E6B" w:rsidRDefault="00700844" w:rsidP="00700844">
      <w:pPr>
        <w:rPr>
          <w:b/>
        </w:rPr>
      </w:pPr>
      <w:r w:rsidRPr="003C7E6B">
        <w:rPr>
          <w:b/>
          <w:bCs/>
        </w:rPr>
        <w:t>Техническая помощь и создание потенциала</w:t>
      </w:r>
    </w:p>
    <w:p w14:paraId="2AF2C198" w14:textId="29EEC767" w:rsidR="00700844" w:rsidRPr="00D95C7F" w:rsidRDefault="00700844" w:rsidP="00365643">
      <w:pPr>
        <w:pStyle w:val="HChG"/>
      </w:pPr>
      <w:r w:rsidRPr="003C7E6B">
        <w:tab/>
      </w:r>
      <w:r w:rsidRPr="003C7E6B">
        <w:tab/>
      </w:r>
      <w:r w:rsidRPr="00A45063">
        <w:t xml:space="preserve">Резолюция, принятая Советом по правам человека </w:t>
      </w:r>
      <w:r>
        <w:br/>
      </w:r>
      <w:r w:rsidRPr="00A45063">
        <w:t>4 апреля 2024 года</w:t>
      </w:r>
    </w:p>
    <w:p w14:paraId="2F060DC1" w14:textId="58DA59F6" w:rsidR="00700844" w:rsidRPr="003C7E6B" w:rsidRDefault="00700844" w:rsidP="00700844">
      <w:pPr>
        <w:pStyle w:val="H1G"/>
      </w:pPr>
      <w:r w:rsidRPr="003C7E6B">
        <w:t>55/</w:t>
      </w:r>
      <w:r w:rsidRPr="00BB10C8">
        <w:t>25</w:t>
      </w:r>
      <w:r w:rsidRPr="00700844">
        <w:t>.</w:t>
      </w:r>
      <w:r>
        <w:tab/>
      </w:r>
      <w:r w:rsidRPr="003C7E6B">
        <w:tab/>
        <w:t>Техническая помощь и создание потенциала в области прав человека в Мали</w:t>
      </w:r>
    </w:p>
    <w:p w14:paraId="164A76CA" w14:textId="77777777" w:rsidR="00700844" w:rsidRPr="003C7E6B" w:rsidRDefault="00700844" w:rsidP="00700844">
      <w:pPr>
        <w:spacing w:after="120"/>
        <w:ind w:left="1134" w:right="1134" w:firstLine="567"/>
        <w:jc w:val="both"/>
      </w:pPr>
      <w:r w:rsidRPr="003C7E6B">
        <w:rPr>
          <w:i/>
          <w:iCs/>
        </w:rPr>
        <w:t>Совет по правам человека,</w:t>
      </w:r>
    </w:p>
    <w:p w14:paraId="41BBD669" w14:textId="77777777" w:rsidR="00700844" w:rsidRPr="003C7E6B" w:rsidRDefault="00700844" w:rsidP="00700844">
      <w:pPr>
        <w:spacing w:after="120"/>
        <w:ind w:left="1134" w:right="1134"/>
        <w:jc w:val="both"/>
        <w:rPr>
          <w:bCs/>
          <w:i/>
        </w:rPr>
      </w:pPr>
      <w:r w:rsidRPr="003C7E6B">
        <w:tab/>
      </w:r>
      <w:r w:rsidRPr="003C7E6B">
        <w:tab/>
      </w:r>
      <w:r w:rsidRPr="003C7E6B">
        <w:rPr>
          <w:i/>
          <w:iCs/>
        </w:rPr>
        <w:t>руководствуясь</w:t>
      </w:r>
      <w:r w:rsidRPr="003C7E6B">
        <w:t xml:space="preserve"> целями и принципами Устава Организации Объединенных Наций,</w:t>
      </w:r>
    </w:p>
    <w:p w14:paraId="5E1D485E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>вновь подтверждая</w:t>
      </w:r>
      <w:r w:rsidRPr="003C7E6B">
        <w:t xml:space="preserve"> Всеобщую декларацию прав человека и другие соответствующие международные договоры по правам человека,</w:t>
      </w:r>
    </w:p>
    <w:p w14:paraId="246E3044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>ссылаясь</w:t>
      </w:r>
      <w:r w:rsidRPr="003C7E6B">
        <w:t xml:space="preserve"> на резолюцию </w:t>
      </w:r>
      <w:hyperlink r:id="rId8" w:history="1">
        <w:r w:rsidRPr="00E60306">
          <w:rPr>
            <w:rStyle w:val="af1"/>
          </w:rPr>
          <w:t>60/251</w:t>
        </w:r>
      </w:hyperlink>
      <w:r w:rsidRPr="003C7E6B">
        <w:t xml:space="preserve"> Генеральной Ассамблеи от 15 марта 2006 года,</w:t>
      </w:r>
    </w:p>
    <w:p w14:paraId="323E6CAE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>ссылаясь также</w:t>
      </w:r>
      <w:r w:rsidRPr="003C7E6B">
        <w:t xml:space="preserve"> на резолюции Совета по правам человека </w:t>
      </w:r>
      <w:r w:rsidRPr="001E6DE4">
        <w:t>5/1</w:t>
      </w:r>
      <w:r w:rsidRPr="003C7E6B">
        <w:t xml:space="preserve"> об институциональном строительстве Совета и </w:t>
      </w:r>
      <w:r w:rsidRPr="001E6DE4">
        <w:t>5/2</w:t>
      </w:r>
      <w:r w:rsidRPr="003C7E6B">
        <w:t xml:space="preserve"> о Кодексе поведения мандатариев специальных процедур Совета от 18 июня 2007 года,</w:t>
      </w:r>
    </w:p>
    <w:p w14:paraId="1FDC3018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ссылаясь далее </w:t>
      </w:r>
      <w:r w:rsidRPr="003C7E6B">
        <w:t xml:space="preserve">на свои резолюции </w:t>
      </w:r>
      <w:hyperlink r:id="rId9" w:history="1">
        <w:r w:rsidRPr="00E60306">
          <w:rPr>
            <w:rStyle w:val="af1"/>
          </w:rPr>
          <w:t>20/17</w:t>
        </w:r>
      </w:hyperlink>
      <w:r w:rsidRPr="003C7E6B">
        <w:t xml:space="preserve"> от 6 июля 2012 года о положении в области прав человека в Мали, </w:t>
      </w:r>
      <w:hyperlink r:id="rId10" w:history="1">
        <w:r w:rsidRPr="00E60306">
          <w:rPr>
            <w:rStyle w:val="af1"/>
          </w:rPr>
          <w:t>22/18</w:t>
        </w:r>
      </w:hyperlink>
      <w:r w:rsidRPr="003C7E6B">
        <w:t xml:space="preserve"> от 21 марта 2013 года об учреждении мандата независимого эксперта по вопросу о положении в области прав человека в Мали,</w:t>
      </w:r>
      <w:r>
        <w:t xml:space="preserve"> </w:t>
      </w:r>
      <w:hyperlink r:id="rId11" w:history="1">
        <w:r w:rsidRPr="00E60306">
          <w:rPr>
            <w:rStyle w:val="af1"/>
          </w:rPr>
          <w:t>25/36</w:t>
        </w:r>
      </w:hyperlink>
      <w:r w:rsidRPr="003C7E6B">
        <w:t xml:space="preserve"> от 28 марта 2014 года, </w:t>
      </w:r>
      <w:hyperlink r:id="rId12" w:history="1">
        <w:r w:rsidRPr="00E60306">
          <w:rPr>
            <w:rStyle w:val="af1"/>
          </w:rPr>
          <w:t>31/28</w:t>
        </w:r>
      </w:hyperlink>
      <w:r w:rsidRPr="003C7E6B">
        <w:t xml:space="preserve"> от 24 марта 2016 года, </w:t>
      </w:r>
      <w:hyperlink r:id="rId13" w:history="1">
        <w:r w:rsidRPr="00E60306">
          <w:rPr>
            <w:rStyle w:val="af1"/>
          </w:rPr>
          <w:t>34/39</w:t>
        </w:r>
      </w:hyperlink>
      <w:r w:rsidRPr="003C7E6B">
        <w:t xml:space="preserve"> от 24 марта 2017 года, </w:t>
      </w:r>
      <w:hyperlink r:id="rId14" w:history="1">
        <w:r w:rsidRPr="00E60306">
          <w:rPr>
            <w:rStyle w:val="af1"/>
          </w:rPr>
          <w:t>37/39</w:t>
        </w:r>
      </w:hyperlink>
      <w:r w:rsidRPr="003C7E6B">
        <w:t xml:space="preserve"> от 23 марта 2018 года, </w:t>
      </w:r>
      <w:hyperlink r:id="rId15" w:history="1">
        <w:r w:rsidRPr="00E60306">
          <w:rPr>
            <w:rStyle w:val="af1"/>
          </w:rPr>
          <w:t>40/26</w:t>
        </w:r>
      </w:hyperlink>
      <w:r w:rsidRPr="003C7E6B">
        <w:t xml:space="preserve"> от 22 марта 2019 года, </w:t>
      </w:r>
      <w:hyperlink r:id="rId16" w:history="1">
        <w:r w:rsidRPr="00E60306">
          <w:rPr>
            <w:rStyle w:val="af1"/>
          </w:rPr>
          <w:t>43/38</w:t>
        </w:r>
      </w:hyperlink>
      <w:r w:rsidRPr="003C7E6B">
        <w:t xml:space="preserve"> от 22 июня 2020 года, </w:t>
      </w:r>
      <w:hyperlink r:id="rId17" w:history="1">
        <w:r w:rsidRPr="00E60306">
          <w:rPr>
            <w:rStyle w:val="af1"/>
          </w:rPr>
          <w:t>46/28</w:t>
        </w:r>
      </w:hyperlink>
      <w:r w:rsidRPr="003C7E6B">
        <w:t xml:space="preserve"> от 24 марта 2021 года, </w:t>
      </w:r>
      <w:hyperlink r:id="rId18" w:history="1">
        <w:r w:rsidRPr="00E60306">
          <w:rPr>
            <w:rStyle w:val="af1"/>
          </w:rPr>
          <w:t>49/34</w:t>
        </w:r>
      </w:hyperlink>
      <w:r w:rsidRPr="003C7E6B">
        <w:t xml:space="preserve"> от 1 апреля 2022 года и </w:t>
      </w:r>
      <w:hyperlink r:id="rId19" w:history="1">
        <w:r w:rsidRPr="00E60306">
          <w:rPr>
            <w:rStyle w:val="af1"/>
          </w:rPr>
          <w:t>52/42</w:t>
        </w:r>
      </w:hyperlink>
      <w:r w:rsidRPr="003C7E6B">
        <w:t xml:space="preserve"> от 4 апреля 2023 года о продлении мандата Независимого эксперта,</w:t>
      </w:r>
    </w:p>
    <w:p w14:paraId="5D2DDD3D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вновь подтверждая </w:t>
      </w:r>
      <w:r w:rsidRPr="003C7E6B">
        <w:t>главную ответственность государств за 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других соответствующих международных договорах по правам человека, участниками которых они являются,</w:t>
      </w:r>
    </w:p>
    <w:p w14:paraId="438D42CE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>вновь подтверждая также</w:t>
      </w:r>
      <w:r w:rsidRPr="003C7E6B">
        <w:t xml:space="preserve"> свою приверженность суверенитету, независимости, единству и территориальной целостности Мали,</w:t>
      </w:r>
    </w:p>
    <w:p w14:paraId="1D48A3EB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принимая к сведению </w:t>
      </w:r>
      <w:r w:rsidRPr="003C7E6B">
        <w:t>доклад Независимого эксперта по вопросу о положении в области прав человека в Мали</w:t>
      </w:r>
      <w:r w:rsidRPr="003C7E6B">
        <w:rPr>
          <w:rStyle w:val="aa"/>
          <w:bCs/>
        </w:rPr>
        <w:footnoteReference w:id="1"/>
      </w:r>
      <w:r w:rsidRPr="003C7E6B">
        <w:t>,</w:t>
      </w:r>
    </w:p>
    <w:p w14:paraId="06C52200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отмечая </w:t>
      </w:r>
      <w:r w:rsidRPr="003C7E6B">
        <w:t xml:space="preserve">введение в действие 22 июля 2023 года новой Конституции в результате референдума 18 июня 2023 года и принимая к сведению заявление </w:t>
      </w:r>
      <w:r w:rsidRPr="003C7E6B">
        <w:lastRenderedPageBreak/>
        <w:t>переходного правительства Мали от 25 сентября 2023 года о переносе всеобщих выборов, включая президентские выборы, первоначально запланированные на февраль 2024 года,</w:t>
      </w:r>
    </w:p>
    <w:p w14:paraId="53B6133F" w14:textId="77777777" w:rsidR="00700844" w:rsidRPr="003C7E6B" w:rsidRDefault="00700844" w:rsidP="00700844">
      <w:pPr>
        <w:spacing w:after="120"/>
        <w:ind w:left="1134" w:right="1134"/>
        <w:jc w:val="both"/>
        <w:rPr>
          <w:bCs/>
          <w:i/>
        </w:rPr>
      </w:pPr>
      <w:r w:rsidRPr="003C7E6B">
        <w:tab/>
      </w:r>
      <w:r w:rsidRPr="003C7E6B">
        <w:tab/>
      </w:r>
      <w:r w:rsidRPr="003C7E6B">
        <w:rPr>
          <w:i/>
          <w:iCs/>
        </w:rPr>
        <w:t>будучи по-прежнему озабочен</w:t>
      </w:r>
      <w:r w:rsidRPr="003C7E6B">
        <w:t xml:space="preserve"> сохранением проблем безопасности и насильственного экстремизма, а также продолжающейся террористической деятельностью, распространением стрелкового оружия, незаконным оборотом наркотиков, незаконным провозом мигрантов, торговлей людьми и другими формами транснациональной организованной преступности, несмотря на ощутимый прогресс в этих областях,</w:t>
      </w:r>
    </w:p>
    <w:p w14:paraId="0B0D290A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>будучи по-прежнему озабочен также</w:t>
      </w:r>
      <w:r w:rsidRPr="003C7E6B">
        <w:t xml:space="preserve"> продолжающимися нарушениями и ущемлениями прав человека, включая издевательства, сексуальное и гендерное насилие в условиях конфликта, насилие в отношении детей и других уязвимых групп, а также нарушениями международного гуманитарного права, оказывающими серьезное воздействие на гражданское население, несмотря на существенное снижение числа случаев таких нарушений,</w:t>
      </w:r>
    </w:p>
    <w:p w14:paraId="12EC0D3F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напоминая </w:t>
      </w:r>
      <w:r w:rsidRPr="003C7E6B">
        <w:t>о важности привлечения всех лиц, совершивших такие акты, к ответственности в компетентных судебных органах,</w:t>
      </w:r>
    </w:p>
    <w:p w14:paraId="04C4EE9A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будучи по-прежнему озабочен </w:t>
      </w:r>
      <w:r w:rsidRPr="003C7E6B">
        <w:t>продовольственным кризисом и ситуацией, связанной с потребностью в оказании гуманитарной помощи затронутому конфликтом населению, включая беженцев и внутренне перемещенных лиц, все столь же низким уровнем финансирования мер гуманитарного реагирования и отсутствием безопасности, продолжающим затруднять гуманитарный доступ, подчеркивая, что сложная гуманитарная ситуация оказывает несоразмерное воздействие на женщин и девочек, и осуждая нападения на гуманитарный персонал,</w:t>
      </w:r>
      <w:bookmarkStart w:id="0" w:name="_Hlk2090994"/>
    </w:p>
    <w:bookmarkEnd w:id="0"/>
    <w:p w14:paraId="12022CB7" w14:textId="77777777" w:rsidR="00700844" w:rsidRPr="003C7E6B" w:rsidRDefault="00700844" w:rsidP="00700844">
      <w:pPr>
        <w:spacing w:after="120"/>
        <w:ind w:left="1134" w:right="1134"/>
        <w:jc w:val="both"/>
        <w:rPr>
          <w:bCs/>
          <w:i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отмечая </w:t>
      </w:r>
      <w:r w:rsidRPr="003C7E6B">
        <w:t>стремление переходных органов власти Мали отдать приоритет межмалийскому диалогу посредством принятия национальной ответственности за мирный процесс и процесс примирения в Мали после денонсации указанными властями Соглашения о мире и примирении в Мали, ставшего результатом Алжирского процесса,</w:t>
      </w:r>
      <w:bookmarkStart w:id="1" w:name="_Hlk98796534"/>
      <w:bookmarkEnd w:id="1"/>
    </w:p>
    <w:p w14:paraId="787A26BE" w14:textId="77777777" w:rsidR="00700844" w:rsidRPr="003C7E6B" w:rsidRDefault="00700844" w:rsidP="00700844">
      <w:pPr>
        <w:spacing w:after="120"/>
        <w:ind w:left="1134" w:right="1134"/>
        <w:jc w:val="both"/>
        <w:rPr>
          <w:i/>
        </w:rPr>
      </w:pPr>
      <w:r w:rsidRPr="003C7E6B">
        <w:tab/>
      </w:r>
      <w:r w:rsidRPr="003C7E6B">
        <w:tab/>
      </w:r>
      <w:r w:rsidRPr="003C7E6B">
        <w:rPr>
          <w:i/>
          <w:iCs/>
        </w:rPr>
        <w:t>отмечая также</w:t>
      </w:r>
      <w:r w:rsidRPr="003C7E6B">
        <w:t xml:space="preserve"> стремление правительства и народа Мали, выраженное в различных обстоятельствах, в частности в ходе Конференции по национальному примирению, за которой последовали принятие закона о национальном примирении, инклюзивный национальный диалог, национальные консультации и национальный диалог по вопросам реформы, уделять приоритетное внимание диалогу и примирению в процессе урегулирования кризиса,</w:t>
      </w:r>
    </w:p>
    <w:p w14:paraId="012D450F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призывая </w:t>
      </w:r>
      <w:r w:rsidRPr="003C7E6B">
        <w:t xml:space="preserve">переходные органы власти Мали активизировать их усилия по </w:t>
      </w:r>
      <w:r>
        <w:t>укреплению</w:t>
      </w:r>
      <w:r w:rsidRPr="003C7E6B">
        <w:t xml:space="preserve"> верховенства права и эффективной борьбе с безнаказанностью,</w:t>
      </w:r>
    </w:p>
    <w:p w14:paraId="40BEF1A5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приветствуя </w:t>
      </w:r>
      <w:r w:rsidRPr="003C7E6B">
        <w:t>сотрудничество Мали с международными правозащитными механизмами и его участие в четвертом цикле универсального периодического обзора в мае 2023 года, а также призывая страну направить приглашения мандатариям специальных процедур Совета,</w:t>
      </w:r>
    </w:p>
    <w:p w14:paraId="78490C53" w14:textId="77777777" w:rsidR="00700844" w:rsidRPr="003C7E6B" w:rsidRDefault="00700844" w:rsidP="00700844">
      <w:pPr>
        <w:spacing w:after="120"/>
        <w:ind w:left="1134" w:right="1134"/>
        <w:jc w:val="both"/>
        <w:rPr>
          <w:bCs/>
          <w:i/>
          <w:i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отмечая </w:t>
      </w:r>
      <w:r w:rsidRPr="003C7E6B">
        <w:t>укрепление институциональной базы в области прав человека благодаря созданию и началу работы Национального управления по правам человека,</w:t>
      </w:r>
    </w:p>
    <w:p w14:paraId="256AB91A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напоминая </w:t>
      </w:r>
      <w:r w:rsidRPr="003C7E6B">
        <w:t>о выводах Рабочей группы Совета Безопасности по вопросу о детях и вооруженных конфликтах относительно ситуации в Мали</w:t>
      </w:r>
      <w:r w:rsidRPr="003C7E6B">
        <w:rPr>
          <w:rStyle w:val="aa"/>
          <w:bCs/>
        </w:rPr>
        <w:footnoteReference w:id="2"/>
      </w:r>
      <w:r w:rsidRPr="003C7E6B">
        <w:t>,</w:t>
      </w:r>
    </w:p>
    <w:p w14:paraId="0A4BD21F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принимая к сведению </w:t>
      </w:r>
      <w:r w:rsidRPr="003C7E6B">
        <w:t>решение Мали о выходе из Экономического сообщества западноафриканских государств,</w:t>
      </w:r>
    </w:p>
    <w:p w14:paraId="19C8A12B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 xml:space="preserve">принимая к сведению также </w:t>
      </w:r>
      <w:r w:rsidRPr="003C7E6B">
        <w:t xml:space="preserve">прекращение действия мандата Многопрофильной комплексной миссии Организации Объединенных Наций по стабилизации в Мали в </w:t>
      </w:r>
      <w:r w:rsidRPr="003C7E6B">
        <w:lastRenderedPageBreak/>
        <w:t xml:space="preserve">соответствии с резолюцией </w:t>
      </w:r>
      <w:hyperlink r:id="rId20" w:history="1">
        <w:r w:rsidRPr="00A11D53">
          <w:rPr>
            <w:rStyle w:val="af1"/>
          </w:rPr>
          <w:t>2690 (2023)</w:t>
        </w:r>
      </w:hyperlink>
      <w:r w:rsidRPr="003C7E6B">
        <w:t xml:space="preserve"> Совета Безопасности от 30 июня 2023 года по просьбе переходного правительства Мали,</w:t>
      </w:r>
    </w:p>
    <w:p w14:paraId="40DBA10C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 w:rsidRPr="003C7E6B">
        <w:tab/>
      </w:r>
      <w:r w:rsidRPr="003C7E6B">
        <w:tab/>
      </w:r>
      <w:r w:rsidRPr="003C7E6B">
        <w:rPr>
          <w:i/>
          <w:iCs/>
        </w:rPr>
        <w:t>будучи по-прежнему убежден</w:t>
      </w:r>
      <w:r w:rsidRPr="003C7E6B">
        <w:t>, что региональные сотрудничество и интеграция являются важнейшими рычагами для обеспечения мира и безопасности, а также укрепления человеческого, социального и экономического развития,</w:t>
      </w:r>
    </w:p>
    <w:p w14:paraId="44BE2C91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1.</w:t>
      </w:r>
      <w:r w:rsidRPr="003C7E6B">
        <w:tab/>
      </w:r>
      <w:r w:rsidRPr="003C7E6B">
        <w:rPr>
          <w:i/>
          <w:iCs/>
        </w:rPr>
        <w:t xml:space="preserve">решительно осуждает </w:t>
      </w:r>
      <w:r w:rsidRPr="003C7E6B">
        <w:t>нарушения и ущемления прав человека и нарушения международного гуманитарного права, нарушения и ущемления прав детей, в частности вербовку и использование детей, в нарушение норм международного права, а также внесудебные казни и казни без надлежащего судебного разбирательства, насильственные исчезновения, произвольные задержания и содержание под стражей, акты пыток и жестокое обращение с лицами, содержащимися под стражей, убийства, калечение, а также нападения на школы и больницы;</w:t>
      </w:r>
    </w:p>
    <w:p w14:paraId="4EC07D08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2.</w:t>
      </w:r>
      <w:r w:rsidRPr="003C7E6B">
        <w:tab/>
      </w:r>
      <w:r w:rsidRPr="003C7E6B">
        <w:rPr>
          <w:i/>
          <w:iCs/>
        </w:rPr>
        <w:t>решительно осуждает также</w:t>
      </w:r>
      <w:r w:rsidRPr="003C7E6B">
        <w:t xml:space="preserve"> нарушения прав человека, включая нарушения и ущемления прав женщин</w:t>
      </w:r>
      <w:r>
        <w:t xml:space="preserve"> и девочек</w:t>
      </w:r>
      <w:r w:rsidRPr="003C7E6B">
        <w:t>, в том числе сексуальное и гендерное насилие, и приветствует принятие Национальной программы по отказу от гендерного насилия и создание рамочной основы для анализа проблемы гендерного насилия в мае 2022 года, а также особый учет и наказание гендерного насилия в рамках процесса пересмотра Уголовного кодекса, Уголовно-процессуального кодекса и Кодекса военной юстиции;</w:t>
      </w:r>
    </w:p>
    <w:p w14:paraId="49898B40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3.</w:t>
      </w:r>
      <w:r w:rsidRPr="003C7E6B">
        <w:tab/>
      </w:r>
      <w:r w:rsidRPr="003C7E6B">
        <w:rPr>
          <w:i/>
          <w:iCs/>
        </w:rPr>
        <w:t xml:space="preserve">призывает </w:t>
      </w:r>
      <w:r w:rsidRPr="003C7E6B">
        <w:t>все стороны уважать гражданский характер школ как таковых в соответствии с международным гуманитарным правом, настоятельно призывает все стороны положить конец нарушениям и противоправным действиям, совершаемым против школ, и выполнять их обязательства в соответствии с применимыми нормами международного права, включая нормы международного права прав человека и международного гуманитарного права, приветствует в этой связи одобрение властями Мали в феврале 2019 года Декларации о безопасности в школах и рекомендует им осуществлять ее, в частности путем составления списка школ, закрытых из-за прямых угроз или отсутствия безопасности;</w:t>
      </w:r>
    </w:p>
    <w:p w14:paraId="3CAFECF1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4.</w:t>
      </w:r>
      <w:r w:rsidRPr="003C7E6B">
        <w:tab/>
      </w:r>
      <w:r w:rsidRPr="003C7E6B">
        <w:rPr>
          <w:i/>
          <w:iCs/>
        </w:rPr>
        <w:t xml:space="preserve">напоминает </w:t>
      </w:r>
      <w:r w:rsidRPr="003C7E6B">
        <w:t>в этой связи, что все, кто совершал подобные деяния, должны предстать перед компетентными судами как на национальном, так и на международном уровнях;</w:t>
      </w:r>
    </w:p>
    <w:p w14:paraId="4421B976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5.</w:t>
      </w:r>
      <w:r w:rsidRPr="003C7E6B">
        <w:tab/>
      </w:r>
      <w:r w:rsidRPr="003C7E6B">
        <w:rPr>
          <w:i/>
          <w:iCs/>
        </w:rPr>
        <w:t>решительно осуждает</w:t>
      </w:r>
      <w:r w:rsidRPr="003C7E6B">
        <w:t xml:space="preserve"> нападения, включая террористические нападения, на гражданских лиц, представителей местных, региональных и центральных государственных органов, а также Сил обороны и безопасности Мали и подчеркивает важность предания суду тех, кто исполнял, направлял и организовывал эти акты, и тех, кто их финансировал, и настоятельно призывает переходное правительство Мали активизировать усилия по обеспечению того, чтобы лица, виновные в этих нападениях, подверглись судебному преследованию в соответствующих случаях;</w:t>
      </w:r>
    </w:p>
    <w:p w14:paraId="5CD4AA86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6.</w:t>
      </w:r>
      <w:r w:rsidRPr="003C7E6B">
        <w:tab/>
      </w:r>
      <w:r w:rsidRPr="003C7E6B">
        <w:rPr>
          <w:i/>
          <w:iCs/>
        </w:rPr>
        <w:t xml:space="preserve">решительно осуждает также </w:t>
      </w:r>
      <w:r w:rsidRPr="003C7E6B">
        <w:t>нападения на гражданское население в рамках межобщинного насилия и призывает переходное правительство Мали, опираясь на поддержку международного сообщества, активизировать его усилия по национальному примирению и предотвращению насилия в выявленных очагах напряженности;</w:t>
      </w:r>
    </w:p>
    <w:p w14:paraId="659EBB88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7.</w:t>
      </w:r>
      <w:r w:rsidRPr="003C7E6B">
        <w:tab/>
      </w:r>
      <w:r w:rsidRPr="003C7E6B">
        <w:rPr>
          <w:i/>
          <w:iCs/>
        </w:rPr>
        <w:t xml:space="preserve">вновь обращается </w:t>
      </w:r>
      <w:r w:rsidRPr="003C7E6B">
        <w:t>с призывом немедленно положить конец нарушениям и ущемлениям прав человека и нарушениям международного гуманитарного права, а также обеспечить строгое соблюдение прав человека и основных свобод;</w:t>
      </w:r>
    </w:p>
    <w:p w14:paraId="158D3CFB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8.</w:t>
      </w:r>
      <w:r w:rsidRPr="003C7E6B">
        <w:tab/>
      </w:r>
      <w:r w:rsidRPr="003C7E6B">
        <w:rPr>
          <w:i/>
          <w:iCs/>
        </w:rPr>
        <w:t>просит</w:t>
      </w:r>
      <w:r w:rsidRPr="003C7E6B">
        <w:t xml:space="preserve"> все стороны разрешить в соответствии с применимыми положениями международного гуманитарного права и во имя уважения гуманитарных принципов безопасный, полный, незамедлительный и беспрепятственный гуманитарный доступ, содействовать безопасной и беспрепятственной доставке гуманитарной помощи, с тем чтобы ее можно было быстро распределять среди всех нуждающихся на всей территории Мали, и обеспечить безопасность и защиту </w:t>
      </w:r>
      <w:r w:rsidRPr="003C7E6B">
        <w:lastRenderedPageBreak/>
        <w:t>гражданских лиц, которые ее получают, и безопасность и защиту гуманитарного и медицинского персонала, работающего в Мали;</w:t>
      </w:r>
    </w:p>
    <w:p w14:paraId="6669243A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9.</w:t>
      </w:r>
      <w:r w:rsidRPr="003C7E6B">
        <w:tab/>
      </w:r>
      <w:r w:rsidRPr="003C7E6B">
        <w:rPr>
          <w:i/>
          <w:iCs/>
        </w:rPr>
        <w:t xml:space="preserve">рекомендует </w:t>
      </w:r>
      <w:r w:rsidRPr="003C7E6B">
        <w:t>переходным органам власти Мали продолжать выполнять рекомендации, принятые в ходе четвертого цикла универсального периодического обзора Мали, в частности призывает принять закон о борьбе с гендерным насилием и продолжать прилагать усилия по борьбе с рабством, в частности путем принятия отдельного и всеобъемлющего закона, устанавливающего уголовную ответственность за преступление наследственного рабства и аналогичную практику, в соответствии с применимыми международными и региональными документами, и приветствует достигнутый в этом отношении прогресс в судебной сфере;</w:t>
      </w:r>
    </w:p>
    <w:p w14:paraId="6A9FA401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10.</w:t>
      </w:r>
      <w:r w:rsidRPr="003C7E6B">
        <w:tab/>
      </w:r>
      <w:r w:rsidRPr="003C7E6B">
        <w:rPr>
          <w:i/>
          <w:iCs/>
        </w:rPr>
        <w:t xml:space="preserve">призывает </w:t>
      </w:r>
      <w:r w:rsidRPr="003C7E6B">
        <w:t>международное сообщество продолжать поддерживать усилия переходных органов власти по обеспечению более широкого участия женщин в процессе национального примирения и во всех директивных органах в рамках мирного процесса, а также расширению их политических прав и возможностей на всех уровнях и далее призывает переходные органы власти и стороны в Мали активизировать их усилия в этом направлении, а также приветствует принятие дорожной карты в отношении гендерных вопросов, выборов и реформ и соответствующего плана действий на период 2024–2026 годов;</w:t>
      </w:r>
    </w:p>
    <w:p w14:paraId="09639987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11.</w:t>
      </w:r>
      <w:r w:rsidRPr="003C7E6B">
        <w:tab/>
      </w:r>
      <w:r w:rsidRPr="003C7E6B">
        <w:rPr>
          <w:i/>
          <w:iCs/>
        </w:rPr>
        <w:t>рекомендует</w:t>
      </w:r>
      <w:r w:rsidRPr="003C7E6B">
        <w:t xml:space="preserve"> переходным органам власти Мали продолжать необходимые действия по предотвращению вербовки и использования детей в нарушение международного права, положить конец такой практике, осуществлять долгосрочные программы реинтеграции и реабилитации, в том числе с учетом гендерных аспектов, и принять закон о защите детей;</w:t>
      </w:r>
      <w:bookmarkStart w:id="2" w:name="_Hlk2689915"/>
      <w:bookmarkEnd w:id="2"/>
    </w:p>
    <w:p w14:paraId="4D057761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12.</w:t>
      </w:r>
      <w:r w:rsidRPr="003C7E6B">
        <w:tab/>
      </w:r>
      <w:r w:rsidRPr="003C7E6B">
        <w:rPr>
          <w:i/>
          <w:iCs/>
        </w:rPr>
        <w:t>рекомендует</w:t>
      </w:r>
      <w:r w:rsidRPr="003C7E6B">
        <w:t xml:space="preserve"> </w:t>
      </w:r>
      <w:r w:rsidRPr="003C7E6B">
        <w:rPr>
          <w:i/>
          <w:iCs/>
        </w:rPr>
        <w:t>также</w:t>
      </w:r>
      <w:r w:rsidRPr="003C7E6B">
        <w:t xml:space="preserve"> переходным органам власти Мали принять все надлежащие меры по обеспечению соблюдения Факультативного протокола к Конвенции о правах ребенка, касающегося участия детей в вооруженных конфликтах, и, в частности, активизировать меры по дальнейшему осуществлению Протокола об освобождении и передаче детей, ранее связанных с вооруженными силами и группами, подписанного Организацией Объединенных Наций и правительством Мали в 2013</w:t>
      </w:r>
      <w:r>
        <w:rPr>
          <w:lang w:val="en-US"/>
        </w:rPr>
        <w:t> </w:t>
      </w:r>
      <w:r w:rsidRPr="003C7E6B">
        <w:t>году, а также укрепить учебные программы Сил обороны и безопасности Мали по этим вопросам и призывает партнеров оказать поддержку малийским переходным органам власти, с тем чтобы обеспечить более широкий доступ к правосудию и социальным, медицинским и психосоциальным услугам для всех лиц, ставших жертвами сексуального и гендерного насилия;</w:t>
      </w:r>
    </w:p>
    <w:p w14:paraId="65C1ABF0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13.</w:t>
      </w:r>
      <w:r w:rsidRPr="003C7E6B">
        <w:tab/>
      </w:r>
      <w:r w:rsidRPr="003C7E6B">
        <w:rPr>
          <w:i/>
          <w:iCs/>
        </w:rPr>
        <w:t>призывает</w:t>
      </w:r>
      <w:r w:rsidRPr="003C7E6B">
        <w:t xml:space="preserve"> переходные органы власти Мали обеспечить, чтобы все лица, совершившие нарушения и ущемления прав человека и нарушения международного гуманитарного права, предстали перед компетентными судебными органами, и настоятельно призывает переходные органы власти активизировать усилия по борьбе с безнаказанностью;</w:t>
      </w:r>
    </w:p>
    <w:p w14:paraId="51EDFF03" w14:textId="77777777" w:rsidR="00700844" w:rsidRPr="003C7E6B" w:rsidRDefault="00700844" w:rsidP="00700844">
      <w:pPr>
        <w:spacing w:after="120"/>
        <w:ind w:left="1134" w:right="1134"/>
        <w:jc w:val="both"/>
        <w:rPr>
          <w:bCs/>
          <w:iCs/>
        </w:rPr>
      </w:pPr>
      <w:r>
        <w:tab/>
      </w:r>
      <w:r>
        <w:tab/>
      </w:r>
      <w:r w:rsidRPr="003C7E6B">
        <w:t>14.</w:t>
      </w:r>
      <w:r w:rsidRPr="003C7E6B">
        <w:tab/>
      </w:r>
      <w:r w:rsidRPr="003C7E6B">
        <w:rPr>
          <w:i/>
          <w:iCs/>
        </w:rPr>
        <w:t xml:space="preserve">настоятельно призывает </w:t>
      </w:r>
      <w:r w:rsidRPr="003C7E6B">
        <w:t>переходные органы власти Мали обеспечить, чтобы меры в целях содействия национальному примирению разрабатывались на инклюзивной основе, и приветствует в этой связи проведение Национальной недели примирения с 15 по 21 сентября 2023 года;</w:t>
      </w:r>
    </w:p>
    <w:p w14:paraId="325CF45A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15.</w:t>
      </w:r>
      <w:r w:rsidRPr="003C7E6B">
        <w:tab/>
      </w:r>
      <w:r w:rsidRPr="003C7E6B">
        <w:rPr>
          <w:i/>
          <w:iCs/>
        </w:rPr>
        <w:t xml:space="preserve">решительно осуждает </w:t>
      </w:r>
      <w:r w:rsidRPr="003C7E6B">
        <w:t>казни лиц без надлежащего судебного разбирательства, рекомендует переходным органам власти довести до конца уже открытые и будущие судебные расследования в целях привлечения к ответственности лиц, виновных в этих серьезных нарушениях прав человека, приветствует проведение в 2023 и 2024 годах специальных судебных сессий для рассмотрения, в частности, дел, касающихся преступлений терроризма, транснациональной организованной преступной деятельности и противоправных деяний, связанных с экономической и финансовой преступностью, а также рассмотрение военными судами ряда дел о преступлениях, в которых они компетентны, и рекомендует переходным органам власти Мали завершить процесс принятия и введения в действие законопроекта об Уголовном кодексе и законопроекта об Уголовно-процессуальном кодексе, утвержденных Советом министров 11 октября 2023 года;</w:t>
      </w:r>
      <w:bookmarkStart w:id="3" w:name="_Hlk98174711"/>
    </w:p>
    <w:bookmarkEnd w:id="3"/>
    <w:p w14:paraId="3316E781" w14:textId="77777777" w:rsidR="00700844" w:rsidRPr="003C7E6B" w:rsidRDefault="00700844" w:rsidP="00700844">
      <w:pPr>
        <w:pStyle w:val="SingleTxtG"/>
        <w:rPr>
          <w:bCs/>
          <w:iCs/>
        </w:rPr>
      </w:pPr>
      <w:r>
        <w:lastRenderedPageBreak/>
        <w:tab/>
      </w:r>
      <w:r w:rsidRPr="003C7E6B">
        <w:t>16.</w:t>
      </w:r>
      <w:r w:rsidRPr="003C7E6B">
        <w:tab/>
      </w:r>
      <w:r w:rsidRPr="003C7E6B">
        <w:rPr>
          <w:i/>
          <w:iCs/>
        </w:rPr>
        <w:t xml:space="preserve">приветствует </w:t>
      </w:r>
      <w:r w:rsidRPr="003C7E6B">
        <w:t>реализацию политики по возмещению ущерба, в частности начало работы Управления по возмещению ущерба пострадавшим в результате кризисов в Мали, включая жертв серьезных нарушений прав человека, назначение членов Руководящего комитета и Постоянного секретаря Управления, а также проведение 29 декабря 2023 года первого заседания Руководящего комитета, который планирует начало предоставления возмещения в 2024 году;</w:t>
      </w:r>
    </w:p>
    <w:p w14:paraId="10BC0C4B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17.</w:t>
      </w:r>
      <w:r w:rsidRPr="003C7E6B">
        <w:tab/>
      </w:r>
      <w:r w:rsidRPr="003C7E6B">
        <w:rPr>
          <w:i/>
          <w:iCs/>
        </w:rPr>
        <w:t xml:space="preserve">рекомендует </w:t>
      </w:r>
      <w:r w:rsidRPr="003C7E6B">
        <w:t>переходным органам власти Мали и всем региональным и международным заинтересованным сторонам продолжать прилагать усилия для установления мира и безопасности в Мали;</w:t>
      </w:r>
    </w:p>
    <w:p w14:paraId="19305737" w14:textId="77777777" w:rsidR="00700844" w:rsidRPr="003C7E6B" w:rsidRDefault="00700844" w:rsidP="00700844">
      <w:pPr>
        <w:pStyle w:val="SingleTxtG"/>
      </w:pPr>
      <w:r>
        <w:tab/>
      </w:r>
      <w:r w:rsidRPr="003C7E6B">
        <w:t>18.</w:t>
      </w:r>
      <w:r w:rsidRPr="003C7E6B">
        <w:tab/>
      </w:r>
      <w:r w:rsidRPr="003C7E6B">
        <w:rPr>
          <w:i/>
          <w:iCs/>
        </w:rPr>
        <w:t xml:space="preserve">отмечает </w:t>
      </w:r>
      <w:r w:rsidRPr="003C7E6B">
        <w:t>усилия переходных органов власти Мали по восстановлению государственной власти и верховенства права на всей территории страны;</w:t>
      </w:r>
    </w:p>
    <w:p w14:paraId="6E8E94C5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19.</w:t>
      </w:r>
      <w:r w:rsidRPr="003C7E6B">
        <w:tab/>
      </w:r>
      <w:r w:rsidRPr="003C7E6B">
        <w:rPr>
          <w:i/>
          <w:iCs/>
        </w:rPr>
        <w:t xml:space="preserve">призывает </w:t>
      </w:r>
      <w:r w:rsidRPr="003C7E6B">
        <w:t>все стороны соблюдать права человека и обеспечивать строгое соблюдение норм международного права прав человека и международного гуманитарного права;</w:t>
      </w:r>
    </w:p>
    <w:p w14:paraId="6EEE47D1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20.</w:t>
      </w:r>
      <w:r w:rsidRPr="003C7E6B">
        <w:tab/>
      </w:r>
      <w:r w:rsidRPr="003C7E6B">
        <w:rPr>
          <w:i/>
          <w:iCs/>
        </w:rPr>
        <w:t xml:space="preserve">приветствует </w:t>
      </w:r>
      <w:r w:rsidRPr="003C7E6B">
        <w:t>усилия переходных органов власти, направленные на действительное восстановление государственного управления, в частности органов судебной власти, и основных социальных служб в центральных и северных областях страны и настоятельно призывает их продолжать прилагать усилия для восстановления условий, необходимых для обеспечения приемлемого уровня безопасности;</w:t>
      </w:r>
    </w:p>
    <w:p w14:paraId="46461FAD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21.</w:t>
      </w:r>
      <w:r w:rsidRPr="003C7E6B">
        <w:tab/>
      </w:r>
      <w:r w:rsidRPr="003C7E6B">
        <w:rPr>
          <w:i/>
          <w:iCs/>
        </w:rPr>
        <w:t xml:space="preserve">отмечает </w:t>
      </w:r>
      <w:r w:rsidRPr="003C7E6B">
        <w:t>стремление переходного правительства Мали обеспечить возвращение к конституционному порядку путем организации справедливых, свободных, прозрачных, инклюзивных и заслуживающих доверия президентских выборов и настоятельно призывает его сообщить график проведения этих выборов;</w:t>
      </w:r>
    </w:p>
    <w:p w14:paraId="0B3A0857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22.</w:t>
      </w:r>
      <w:r w:rsidRPr="003C7E6B">
        <w:tab/>
      </w:r>
      <w:r w:rsidRPr="003C7E6B">
        <w:rPr>
          <w:i/>
          <w:iCs/>
        </w:rPr>
        <w:t>рекомендует</w:t>
      </w:r>
      <w:r w:rsidRPr="003C7E6B">
        <w:t xml:space="preserve"> переходным органам власти Мали усилить сотрудничество с Независимым экспертом по вопросу о положении в области прав человека в Мали в рамках деятельности по выполнению возложенного на него мандата и призывает переходные органы власти выполнить его рекомендации;</w:t>
      </w:r>
    </w:p>
    <w:p w14:paraId="4C5EB8F0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23.</w:t>
      </w:r>
      <w:r w:rsidRPr="003C7E6B">
        <w:tab/>
      </w:r>
      <w:r w:rsidRPr="003C7E6B">
        <w:rPr>
          <w:i/>
          <w:iCs/>
        </w:rPr>
        <w:t xml:space="preserve">постановляет </w:t>
      </w:r>
      <w:r w:rsidRPr="003C7E6B">
        <w:t>продлить на один год мандат Независимого эксперта по вопросу о положении в области прав человека в Мали, с тем чтобы позволить ему продолжить оценку положения в области прав человека в Мали и оказывать помощь для обеспечения поощрения, защиты и осуществления прав человека и укрепления верховенства права;</w:t>
      </w:r>
    </w:p>
    <w:p w14:paraId="68E9A607" w14:textId="77777777" w:rsidR="00700844" w:rsidRPr="003C7E6B" w:rsidRDefault="00700844" w:rsidP="00700844">
      <w:pPr>
        <w:spacing w:after="120"/>
        <w:ind w:left="1134" w:right="1134"/>
        <w:jc w:val="both"/>
        <w:rPr>
          <w:bCs/>
        </w:rPr>
      </w:pPr>
      <w:r>
        <w:tab/>
      </w:r>
      <w:r>
        <w:tab/>
      </w:r>
      <w:r w:rsidRPr="003C7E6B">
        <w:t>24.</w:t>
      </w:r>
      <w:r w:rsidRPr="003C7E6B">
        <w:tab/>
      </w:r>
      <w:r w:rsidRPr="003C7E6B">
        <w:rPr>
          <w:i/>
          <w:iCs/>
        </w:rPr>
        <w:t xml:space="preserve">призывает </w:t>
      </w:r>
      <w:r w:rsidRPr="003C7E6B">
        <w:t>все стороны в Мали в полной мере сотрудничать с Независимым экспертом и оказывать ему содействие в выполнении его мандата;</w:t>
      </w:r>
    </w:p>
    <w:p w14:paraId="66934863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25.</w:t>
      </w:r>
      <w:r w:rsidRPr="003C7E6B">
        <w:tab/>
      </w:r>
      <w:r w:rsidRPr="003C7E6B">
        <w:rPr>
          <w:i/>
          <w:iCs/>
        </w:rPr>
        <w:t xml:space="preserve">просит </w:t>
      </w:r>
      <w:r w:rsidRPr="003C7E6B">
        <w:t>Независимого эксперта в рамках его мандата работать в тесном сотрудничестве со всеми структурами Организации Объединенных Наций, Африканским союзом, соседними государствами и любыми другими заинтересованными международными организациями, а также с гражданским обществом Мали;</w:t>
      </w:r>
    </w:p>
    <w:p w14:paraId="3B4CE2BE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26.</w:t>
      </w:r>
      <w:r w:rsidRPr="003C7E6B">
        <w:tab/>
      </w:r>
      <w:r w:rsidRPr="00A11D53">
        <w:rPr>
          <w:i/>
          <w:iCs/>
        </w:rPr>
        <w:t>просит также</w:t>
      </w:r>
      <w:r w:rsidRPr="003C7E6B">
        <w:t xml:space="preserve"> Независимого эксперта представить доклад Совету по правам человека на его пятьдесят восьмой сессии;</w:t>
      </w:r>
    </w:p>
    <w:p w14:paraId="0FA378A1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27.</w:t>
      </w:r>
      <w:r w:rsidRPr="003C7E6B">
        <w:tab/>
      </w:r>
      <w:r w:rsidRPr="003C7E6B">
        <w:rPr>
          <w:i/>
          <w:iCs/>
        </w:rPr>
        <w:t xml:space="preserve">постановляет </w:t>
      </w:r>
      <w:r w:rsidRPr="003C7E6B">
        <w:t>провести на своей пятьдесят восьмой сессии диалог в присутствии Независимого эксперта и представителей переходного правительства Мали, чтобы оценить эволюцию положения в области прав человека в этой стране, уделив особое внимание вопросу защиты гражданских лиц в условиях борьбы с терроризмом;</w:t>
      </w:r>
    </w:p>
    <w:p w14:paraId="0D5777A8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28.</w:t>
      </w:r>
      <w:r w:rsidRPr="003C7E6B">
        <w:tab/>
      </w:r>
      <w:r w:rsidRPr="003C7E6B">
        <w:rPr>
          <w:i/>
          <w:iCs/>
        </w:rPr>
        <w:t xml:space="preserve">предлагает </w:t>
      </w:r>
      <w:r w:rsidRPr="003C7E6B">
        <w:t>Генеральному секретарю и Верховному комиссару Организации Объединенных Наций по правам человека продолжать оказывать Независимому эксперту любую помощь, необходимую для выполнения им его мандата;</w:t>
      </w:r>
    </w:p>
    <w:p w14:paraId="6F96203A" w14:textId="77777777" w:rsidR="00700844" w:rsidRPr="003C7E6B" w:rsidRDefault="00700844" w:rsidP="00700844">
      <w:pPr>
        <w:pStyle w:val="SingleTxtG"/>
        <w:pageBreakBefore/>
        <w:rPr>
          <w:bCs/>
        </w:rPr>
      </w:pPr>
      <w:r>
        <w:lastRenderedPageBreak/>
        <w:tab/>
      </w:r>
      <w:r w:rsidRPr="003C7E6B">
        <w:t>29.</w:t>
      </w:r>
      <w:r w:rsidRPr="003C7E6B">
        <w:tab/>
      </w:r>
      <w:r w:rsidRPr="003C7E6B">
        <w:rPr>
          <w:i/>
          <w:iCs/>
        </w:rPr>
        <w:t xml:space="preserve">просит </w:t>
      </w:r>
      <w:r w:rsidRPr="003C7E6B">
        <w:t>Управление Верховного комиссара Организации Объединенных Наций по правам человека продолжать оказывать техническую помощь, запрашиваемую переходным правительством Мали, в целях укрепления потенциала Национальной комиссии по правам человека Мали;</w:t>
      </w:r>
    </w:p>
    <w:p w14:paraId="6D5F33C0" w14:textId="77777777" w:rsidR="00700844" w:rsidRPr="003C7E6B" w:rsidRDefault="00700844" w:rsidP="00700844">
      <w:pPr>
        <w:pStyle w:val="SingleTxtG"/>
        <w:rPr>
          <w:bCs/>
        </w:rPr>
      </w:pPr>
      <w:r>
        <w:tab/>
      </w:r>
      <w:r w:rsidRPr="003C7E6B">
        <w:t>30.</w:t>
      </w:r>
      <w:r w:rsidRPr="003C7E6B">
        <w:tab/>
      </w:r>
      <w:r w:rsidRPr="003C7E6B">
        <w:rPr>
          <w:i/>
          <w:iCs/>
        </w:rPr>
        <w:t xml:space="preserve">настоятельно призывает </w:t>
      </w:r>
      <w:r w:rsidRPr="003C7E6B">
        <w:t>международное сообщество продолжать оказывать Мали необходимую помощь с целью обеспечения стабильности в стране для поощрения уважения всех прав человека и решительной борьбы с безнаказанностью, что будет способствовать национальному примирению, миру и социальной сплоченности;</w:t>
      </w:r>
    </w:p>
    <w:p w14:paraId="78512F21" w14:textId="77777777" w:rsidR="00700844" w:rsidRPr="00BB10C8" w:rsidRDefault="00700844" w:rsidP="00700844">
      <w:pPr>
        <w:pStyle w:val="SingleTxtG"/>
      </w:pPr>
      <w:r>
        <w:tab/>
      </w:r>
      <w:r w:rsidRPr="003C7E6B">
        <w:t>31.</w:t>
      </w:r>
      <w:r w:rsidRPr="003C7E6B">
        <w:tab/>
      </w:r>
      <w:r w:rsidRPr="003C7E6B">
        <w:rPr>
          <w:i/>
          <w:iCs/>
        </w:rPr>
        <w:t xml:space="preserve">постановляет </w:t>
      </w:r>
      <w:r w:rsidRPr="003C7E6B">
        <w:t>продолжать заниматься этим вопросом.</w:t>
      </w:r>
    </w:p>
    <w:p w14:paraId="10105BEB" w14:textId="279BD76D" w:rsidR="00700844" w:rsidRPr="00A45063" w:rsidRDefault="00700844" w:rsidP="00700844">
      <w:pPr>
        <w:pStyle w:val="SingleTxtG"/>
        <w:spacing w:after="0"/>
        <w:jc w:val="right"/>
        <w:rPr>
          <w:i/>
          <w:iCs/>
        </w:rPr>
      </w:pPr>
      <w:r w:rsidRPr="00A45063">
        <w:rPr>
          <w:i/>
          <w:iCs/>
        </w:rPr>
        <w:t>5</w:t>
      </w:r>
      <w:r w:rsidRPr="00BB10C8">
        <w:rPr>
          <w:i/>
          <w:iCs/>
        </w:rPr>
        <w:t>5</w:t>
      </w:r>
      <w:r w:rsidRPr="00A45063">
        <w:rPr>
          <w:i/>
          <w:iCs/>
        </w:rPr>
        <w:t>-е заседание</w:t>
      </w:r>
      <w:r>
        <w:rPr>
          <w:i/>
          <w:iCs/>
        </w:rPr>
        <w:br/>
      </w:r>
      <w:r w:rsidRPr="00A45063">
        <w:rPr>
          <w:i/>
          <w:iCs/>
        </w:rPr>
        <w:t>4 апреля 2024 года</w:t>
      </w:r>
    </w:p>
    <w:p w14:paraId="5EA2F56D" w14:textId="77777777" w:rsidR="00700844" w:rsidRPr="00A45063" w:rsidRDefault="00700844" w:rsidP="00700844">
      <w:pPr>
        <w:pStyle w:val="SingleTxtG"/>
      </w:pPr>
      <w:r w:rsidRPr="00A45063">
        <w:t>[</w:t>
      </w:r>
      <w:r w:rsidRPr="00D95C7F">
        <w:t>Принята без голосования</w:t>
      </w:r>
      <w:r w:rsidRPr="00A45063">
        <w:t>.]</w:t>
      </w:r>
    </w:p>
    <w:p w14:paraId="31EC85B4" w14:textId="77777777" w:rsidR="00700844" w:rsidRDefault="00700844" w:rsidP="00700844">
      <w:pPr>
        <w:spacing w:before="240"/>
        <w:ind w:left="1134" w:right="1134"/>
        <w:jc w:val="center"/>
        <w:rPr>
          <w:u w:val="single"/>
        </w:rPr>
      </w:pPr>
      <w:r w:rsidRPr="003C7E6B">
        <w:rPr>
          <w:u w:val="single"/>
        </w:rPr>
        <w:tab/>
      </w:r>
      <w:r w:rsidRPr="003C7E6B">
        <w:rPr>
          <w:u w:val="single"/>
        </w:rPr>
        <w:tab/>
      </w:r>
      <w:r w:rsidRPr="003C7E6B">
        <w:rPr>
          <w:u w:val="single"/>
        </w:rPr>
        <w:tab/>
      </w:r>
      <w:r w:rsidRPr="003C7E6B">
        <w:rPr>
          <w:u w:val="single"/>
        </w:rPr>
        <w:tab/>
      </w:r>
    </w:p>
    <w:p w14:paraId="59D228E0" w14:textId="77777777" w:rsidR="00700844" w:rsidRPr="00E60306" w:rsidRDefault="00700844" w:rsidP="00700844"/>
    <w:p w14:paraId="26143339" w14:textId="77777777" w:rsidR="00CB0692" w:rsidRPr="00700844" w:rsidRDefault="00CB0692" w:rsidP="002E5067"/>
    <w:sectPr w:rsidR="00CB0692" w:rsidRPr="00700844" w:rsidSect="00700844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1221D" w14:textId="77777777" w:rsidR="009E4F9A" w:rsidRPr="00A312BC" w:rsidRDefault="009E4F9A" w:rsidP="00A312BC"/>
  </w:endnote>
  <w:endnote w:type="continuationSeparator" w:id="0">
    <w:p w14:paraId="4054D98B" w14:textId="77777777" w:rsidR="009E4F9A" w:rsidRPr="00A312BC" w:rsidRDefault="009E4F9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976D6" w14:textId="35DD1E28" w:rsidR="00700844" w:rsidRPr="00700844" w:rsidRDefault="00700844">
    <w:pPr>
      <w:pStyle w:val="a8"/>
    </w:pPr>
    <w:r w:rsidRPr="00700844">
      <w:rPr>
        <w:b/>
        <w:sz w:val="18"/>
      </w:rPr>
      <w:fldChar w:fldCharType="begin"/>
    </w:r>
    <w:r w:rsidRPr="00700844">
      <w:rPr>
        <w:b/>
        <w:sz w:val="18"/>
      </w:rPr>
      <w:instrText xml:space="preserve"> PAGE  \* MERGEFORMAT </w:instrText>
    </w:r>
    <w:r w:rsidRPr="00700844">
      <w:rPr>
        <w:b/>
        <w:sz w:val="18"/>
      </w:rPr>
      <w:fldChar w:fldCharType="separate"/>
    </w:r>
    <w:r w:rsidRPr="00700844">
      <w:rPr>
        <w:b/>
        <w:noProof/>
        <w:sz w:val="18"/>
      </w:rPr>
      <w:t>2</w:t>
    </w:r>
    <w:r w:rsidRPr="00700844">
      <w:rPr>
        <w:b/>
        <w:sz w:val="18"/>
      </w:rPr>
      <w:fldChar w:fldCharType="end"/>
    </w:r>
    <w:r>
      <w:rPr>
        <w:b/>
        <w:sz w:val="18"/>
      </w:rPr>
      <w:tab/>
    </w:r>
    <w:r>
      <w:t>GE.24-06217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83E16" w14:textId="15BAD6EA" w:rsidR="00700844" w:rsidRPr="00700844" w:rsidRDefault="00700844" w:rsidP="00700844">
    <w:pPr>
      <w:pStyle w:val="a8"/>
      <w:tabs>
        <w:tab w:val="clear" w:pos="9639"/>
        <w:tab w:val="right" w:pos="9638"/>
      </w:tabs>
      <w:rPr>
        <w:b/>
        <w:sz w:val="18"/>
      </w:rPr>
    </w:pPr>
    <w:r>
      <w:t>GE.24-06217</w:t>
    </w:r>
    <w:r>
      <w:tab/>
    </w:r>
    <w:r w:rsidRPr="00700844">
      <w:rPr>
        <w:b/>
        <w:sz w:val="18"/>
      </w:rPr>
      <w:fldChar w:fldCharType="begin"/>
    </w:r>
    <w:r w:rsidRPr="00700844">
      <w:rPr>
        <w:b/>
        <w:sz w:val="18"/>
      </w:rPr>
      <w:instrText xml:space="preserve"> PAGE  \* MERGEFORMAT </w:instrText>
    </w:r>
    <w:r w:rsidRPr="00700844">
      <w:rPr>
        <w:b/>
        <w:sz w:val="18"/>
      </w:rPr>
      <w:fldChar w:fldCharType="separate"/>
    </w:r>
    <w:r w:rsidRPr="00700844">
      <w:rPr>
        <w:b/>
        <w:noProof/>
        <w:sz w:val="18"/>
      </w:rPr>
      <w:t>3</w:t>
    </w:r>
    <w:r w:rsidRPr="0070084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9A934" w14:textId="17A98AD8" w:rsidR="00042B72" w:rsidRPr="00700844" w:rsidRDefault="00700844" w:rsidP="0070084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0D2CCA8" wp14:editId="68E6A4B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24-06217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1538AFC" wp14:editId="2E43002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110424  120424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260579" w14:textId="77777777" w:rsidR="009E4F9A" w:rsidRPr="001075E9" w:rsidRDefault="009E4F9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0CF5013" w14:textId="77777777" w:rsidR="009E4F9A" w:rsidRDefault="009E4F9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E76F516" w14:textId="77777777" w:rsidR="00700844" w:rsidRDefault="00700844" w:rsidP="00700844">
      <w:pPr>
        <w:pStyle w:val="ad"/>
        <w:widowControl w:val="0"/>
        <w:tabs>
          <w:tab w:val="clear" w:pos="1021"/>
          <w:tab w:val="right" w:pos="1020"/>
        </w:tabs>
      </w:pPr>
      <w:r w:rsidRPr="00D66A08">
        <w:tab/>
      </w:r>
      <w:r>
        <w:rPr>
          <w:rStyle w:val="aa"/>
        </w:rPr>
        <w:footnoteRef/>
      </w:r>
      <w:r>
        <w:tab/>
      </w:r>
      <w:hyperlink r:id="rId1" w:history="1">
        <w:r w:rsidRPr="00E60306">
          <w:rPr>
            <w:rStyle w:val="af1"/>
          </w:rPr>
          <w:t>A/HRC/55/79</w:t>
        </w:r>
      </w:hyperlink>
      <w:r>
        <w:t>.</w:t>
      </w:r>
    </w:p>
  </w:footnote>
  <w:footnote w:id="2">
    <w:p w14:paraId="64A5336B" w14:textId="77777777" w:rsidR="00700844" w:rsidRDefault="00700844" w:rsidP="00700844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2" w:history="1">
        <w:r w:rsidRPr="00E60306">
          <w:rPr>
            <w:rStyle w:val="af1"/>
          </w:rPr>
          <w:t>S/AC.51/2023/3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1EDA9" w14:textId="184B71F8" w:rsidR="00700844" w:rsidRPr="00700844" w:rsidRDefault="00700844">
    <w:pPr>
      <w:pStyle w:val="a5"/>
    </w:pPr>
    <w:fldSimple w:instr=" TITLE  \* MERGEFORMAT ">
      <w:r w:rsidR="001533C6">
        <w:t>A/HRC/RES/55/25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4BA88" w14:textId="7A295884" w:rsidR="00700844" w:rsidRPr="00700844" w:rsidRDefault="00700844" w:rsidP="00700844">
    <w:pPr>
      <w:pStyle w:val="a5"/>
      <w:jc w:val="right"/>
    </w:pPr>
    <w:fldSimple w:instr=" TITLE  \* MERGEFORMAT ">
      <w:r w:rsidR="001533C6">
        <w:t>A/HRC/RES/55/25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649479552">
    <w:abstractNumId w:val="16"/>
  </w:num>
  <w:num w:numId="2" w16cid:durableId="1847405966">
    <w:abstractNumId w:val="11"/>
  </w:num>
  <w:num w:numId="3" w16cid:durableId="377902097">
    <w:abstractNumId w:val="10"/>
  </w:num>
  <w:num w:numId="4" w16cid:durableId="647248604">
    <w:abstractNumId w:val="17"/>
  </w:num>
  <w:num w:numId="5" w16cid:durableId="1611006984">
    <w:abstractNumId w:val="13"/>
  </w:num>
  <w:num w:numId="6" w16cid:durableId="1239167793">
    <w:abstractNumId w:val="8"/>
  </w:num>
  <w:num w:numId="7" w16cid:durableId="1548759812">
    <w:abstractNumId w:val="3"/>
  </w:num>
  <w:num w:numId="8" w16cid:durableId="1223638414">
    <w:abstractNumId w:val="2"/>
  </w:num>
  <w:num w:numId="9" w16cid:durableId="1323893518">
    <w:abstractNumId w:val="1"/>
  </w:num>
  <w:num w:numId="10" w16cid:durableId="1089038247">
    <w:abstractNumId w:val="0"/>
  </w:num>
  <w:num w:numId="11" w16cid:durableId="674039980">
    <w:abstractNumId w:val="9"/>
  </w:num>
  <w:num w:numId="12" w16cid:durableId="971864004">
    <w:abstractNumId w:val="7"/>
  </w:num>
  <w:num w:numId="13" w16cid:durableId="1692338233">
    <w:abstractNumId w:val="6"/>
  </w:num>
  <w:num w:numId="14" w16cid:durableId="1795513986">
    <w:abstractNumId w:val="5"/>
  </w:num>
  <w:num w:numId="15" w16cid:durableId="1338069735">
    <w:abstractNumId w:val="4"/>
  </w:num>
  <w:num w:numId="16" w16cid:durableId="553850969">
    <w:abstractNumId w:val="15"/>
  </w:num>
  <w:num w:numId="17" w16cid:durableId="172116470">
    <w:abstractNumId w:val="12"/>
  </w:num>
  <w:num w:numId="18" w16cid:durableId="1283801800">
    <w:abstractNumId w:val="14"/>
  </w:num>
  <w:num w:numId="19" w16cid:durableId="1900363877">
    <w:abstractNumId w:val="15"/>
  </w:num>
  <w:num w:numId="20" w16cid:durableId="1955674023">
    <w:abstractNumId w:val="12"/>
  </w:num>
  <w:num w:numId="21" w16cid:durableId="113864208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F9A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533C6"/>
    <w:rsid w:val="00180183"/>
    <w:rsid w:val="0018024D"/>
    <w:rsid w:val="0018649F"/>
    <w:rsid w:val="00196389"/>
    <w:rsid w:val="001B3EF6"/>
    <w:rsid w:val="001C7A89"/>
    <w:rsid w:val="0023515C"/>
    <w:rsid w:val="002501D7"/>
    <w:rsid w:val="002638FE"/>
    <w:rsid w:val="00272A35"/>
    <w:rsid w:val="002A2EFC"/>
    <w:rsid w:val="002C0E18"/>
    <w:rsid w:val="002D5AAC"/>
    <w:rsid w:val="002E5067"/>
    <w:rsid w:val="002F405F"/>
    <w:rsid w:val="002F7EEC"/>
    <w:rsid w:val="00301299"/>
    <w:rsid w:val="003036A7"/>
    <w:rsid w:val="00305C08"/>
    <w:rsid w:val="00307FB6"/>
    <w:rsid w:val="00312B45"/>
    <w:rsid w:val="00317339"/>
    <w:rsid w:val="00322004"/>
    <w:rsid w:val="003334ED"/>
    <w:rsid w:val="003402C2"/>
    <w:rsid w:val="00365643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0844"/>
    <w:rsid w:val="007021FF"/>
    <w:rsid w:val="00707123"/>
    <w:rsid w:val="00712895"/>
    <w:rsid w:val="00757357"/>
    <w:rsid w:val="00782C09"/>
    <w:rsid w:val="007D3BD5"/>
    <w:rsid w:val="007D5A02"/>
    <w:rsid w:val="0081338E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6E84"/>
    <w:rsid w:val="009675B6"/>
    <w:rsid w:val="009A24AC"/>
    <w:rsid w:val="009E4F9A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43149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24CA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22E23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DAD00"/>
  <w15:docId w15:val="{A3CBB916-14FC-42A5-861C-F1DC8C3C8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70084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0/251" TargetMode="External"/><Relationship Id="rId13" Type="http://schemas.openxmlformats.org/officeDocument/2006/relationships/hyperlink" Target="http://undocs.org/ru/A/HRC/RES/34/39" TargetMode="External"/><Relationship Id="rId18" Type="http://schemas.openxmlformats.org/officeDocument/2006/relationships/hyperlink" Target="http://undocs.org/ru/A/HRC/RES/49/34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wmf"/><Relationship Id="rId12" Type="http://schemas.openxmlformats.org/officeDocument/2006/relationships/hyperlink" Target="http://undocs.org/ru/A/HRC/RES/31/28" TargetMode="External"/><Relationship Id="rId17" Type="http://schemas.openxmlformats.org/officeDocument/2006/relationships/hyperlink" Target="http://undocs.org/ru/A/HRC/RES/46/28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undocs.org/ru/A/HRC/RES/43/38" TargetMode="External"/><Relationship Id="rId20" Type="http://schemas.openxmlformats.org/officeDocument/2006/relationships/hyperlink" Target="http://undocs.org/ru/S/RES/2690(2023)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A/HRC/RES/25/36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undocs.org/ru/A/HRC/RES/40/26" TargetMode="External"/><Relationship Id="rId23" Type="http://schemas.openxmlformats.org/officeDocument/2006/relationships/footer" Target="footer1.xml"/><Relationship Id="rId10" Type="http://schemas.openxmlformats.org/officeDocument/2006/relationships/hyperlink" Target="http://undocs.org/ru/A/HRC/RES/22/18" TargetMode="External"/><Relationship Id="rId19" Type="http://schemas.openxmlformats.org/officeDocument/2006/relationships/hyperlink" Target="http://undocs.org/ru/A/HRC/RES/52/4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HRC/RES/20/17" TargetMode="External"/><Relationship Id="rId14" Type="http://schemas.openxmlformats.org/officeDocument/2006/relationships/hyperlink" Target="http://undocs.org/ru/A/HRC/RES/37/39" TargetMode="Externa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S/AC.51/2023/3" TargetMode="External"/><Relationship Id="rId1" Type="http://schemas.openxmlformats.org/officeDocument/2006/relationships/hyperlink" Target="http://undocs.org/ru/A/HRC/55/7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6</Pages>
  <Words>2135</Words>
  <Characters>14551</Characters>
  <Application>Microsoft Office Word</Application>
  <DocSecurity>0</DocSecurity>
  <Lines>269</Lines>
  <Paragraphs>70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A/HRC/RES/55/25</dc:title>
  <dc:subject/>
  <dc:creator>Elena IZOTOVA</dc:creator>
  <cp:keywords/>
  <cp:lastModifiedBy>Elena Izotova</cp:lastModifiedBy>
  <cp:revision>3</cp:revision>
  <cp:lastPrinted>2024-04-12T15:05:00Z</cp:lastPrinted>
  <dcterms:created xsi:type="dcterms:W3CDTF">2024-04-12T15:05:00Z</dcterms:created>
  <dcterms:modified xsi:type="dcterms:W3CDTF">2024-04-12T15:05:00Z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