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2400C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2400C1" w:rsidP="002400C1">
            <w:pPr>
              <w:jc w:val="right"/>
            </w:pPr>
            <w:r w:rsidRPr="002400C1">
              <w:rPr>
                <w:sz w:val="40"/>
              </w:rPr>
              <w:t>CCPR</w:t>
            </w:r>
            <w:r>
              <w:t>/C/125/2/Add.3</w:t>
            </w:r>
          </w:p>
        </w:tc>
      </w:tr>
      <w:tr w:rsidR="002D5AAC" w:rsidRPr="002400C1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4646F48A" wp14:editId="2B202AED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2400C1" w:rsidRDefault="002400C1" w:rsidP="00BC3629">
            <w:pPr>
              <w:spacing w:before="240"/>
              <w:rPr>
                <w:lang w:val="en-US"/>
              </w:rPr>
            </w:pPr>
            <w:r w:rsidRPr="002400C1">
              <w:rPr>
                <w:lang w:val="en-US"/>
              </w:rPr>
              <w:t>Distr.: General</w:t>
            </w:r>
          </w:p>
          <w:p w:rsidR="002400C1" w:rsidRPr="002400C1" w:rsidRDefault="002400C1" w:rsidP="002400C1">
            <w:pPr>
              <w:spacing w:line="240" w:lineRule="exact"/>
              <w:rPr>
                <w:lang w:val="en-US"/>
              </w:rPr>
            </w:pPr>
            <w:r w:rsidRPr="002400C1">
              <w:rPr>
                <w:lang w:val="en-US"/>
              </w:rPr>
              <w:t>6 May 2019</w:t>
            </w:r>
          </w:p>
          <w:p w:rsidR="002400C1" w:rsidRPr="002400C1" w:rsidRDefault="002400C1" w:rsidP="002400C1">
            <w:pPr>
              <w:spacing w:line="240" w:lineRule="exact"/>
              <w:rPr>
                <w:lang w:val="en-US"/>
              </w:rPr>
            </w:pPr>
            <w:r w:rsidRPr="002400C1">
              <w:rPr>
                <w:lang w:val="en-US"/>
              </w:rPr>
              <w:t>Russian</w:t>
            </w:r>
          </w:p>
          <w:p w:rsidR="002400C1" w:rsidRPr="002400C1" w:rsidRDefault="002400C1" w:rsidP="002400C1">
            <w:pPr>
              <w:spacing w:line="240" w:lineRule="exact"/>
              <w:rPr>
                <w:lang w:val="en-US"/>
              </w:rPr>
            </w:pPr>
            <w:r w:rsidRPr="002400C1">
              <w:rPr>
                <w:lang w:val="en-US"/>
              </w:rPr>
              <w:t>Original: English</w:t>
            </w:r>
          </w:p>
        </w:tc>
      </w:tr>
    </w:tbl>
    <w:p w:rsidR="002400C1" w:rsidRPr="002400C1" w:rsidRDefault="002400C1" w:rsidP="002400C1">
      <w:pPr>
        <w:spacing w:before="120"/>
        <w:rPr>
          <w:sz w:val="24"/>
          <w:szCs w:val="24"/>
        </w:rPr>
      </w:pPr>
      <w:r w:rsidRPr="002400C1">
        <w:rPr>
          <w:b/>
          <w:bCs/>
          <w:sz w:val="24"/>
          <w:szCs w:val="24"/>
        </w:rPr>
        <w:t>Комитет по правам человека</w:t>
      </w:r>
    </w:p>
    <w:p w:rsidR="002400C1" w:rsidRPr="001E273B" w:rsidRDefault="002400C1" w:rsidP="002400C1">
      <w:pPr>
        <w:pStyle w:val="HChG"/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>Доклад о пос</w:t>
      </w:r>
      <w:r>
        <w:rPr>
          <w:bCs/>
        </w:rPr>
        <w:t>ледующей деятельности в связи с </w:t>
      </w:r>
      <w:r>
        <w:rPr>
          <w:bCs/>
        </w:rPr>
        <w:t>заключительными замечаниями Комитета</w:t>
      </w:r>
      <w:r w:rsidRPr="000B4A32">
        <w:rPr>
          <w:b w:val="0"/>
          <w:bCs/>
          <w:sz w:val="20"/>
        </w:rPr>
        <w:footnoteReference w:customMarkFollows="1" w:id="1"/>
        <w:t>*</w:t>
      </w:r>
      <w:bookmarkStart w:id="0" w:name="_Toc506807534"/>
      <w:bookmarkEnd w:id="0"/>
    </w:p>
    <w:p w:rsidR="002400C1" w:rsidRPr="001E273B" w:rsidRDefault="002400C1" w:rsidP="002400C1">
      <w:pPr>
        <w:pStyle w:val="H23G"/>
      </w:pPr>
      <w:r>
        <w:tab/>
      </w:r>
      <w:r>
        <w:tab/>
      </w:r>
      <w:r>
        <w:rPr>
          <w:bCs/>
        </w:rPr>
        <w:t>Добавление</w:t>
      </w:r>
    </w:p>
    <w:p w:rsidR="002400C1" w:rsidRPr="0064331C" w:rsidRDefault="002400C1" w:rsidP="00826841">
      <w:pPr>
        <w:pStyle w:val="H1G"/>
      </w:pPr>
      <w:r>
        <w:tab/>
      </w:r>
      <w:r>
        <w:tab/>
      </w:r>
      <w:r>
        <w:rPr>
          <w:bCs/>
        </w:rPr>
        <w:t>Оценка информации о пос</w:t>
      </w:r>
      <w:r>
        <w:rPr>
          <w:bCs/>
        </w:rPr>
        <w:t>ледующей деятельности в связи с </w:t>
      </w:r>
      <w:r>
        <w:rPr>
          <w:bCs/>
        </w:rPr>
        <w:t>заключительными замечаниями по Швеции</w:t>
      </w:r>
      <w:r w:rsidRPr="000B4A32">
        <w:rPr>
          <w:b w:val="0"/>
          <w:bCs/>
          <w:sz w:val="20"/>
        </w:rPr>
        <w:footnoteReference w:customMarkFollows="1" w:id="2"/>
        <w:t>**</w:t>
      </w:r>
      <w:r w:rsidRPr="0064331C">
        <w:tab/>
      </w:r>
      <w:r w:rsidRPr="0064331C">
        <w:tab/>
      </w:r>
    </w:p>
    <w:tbl>
      <w:tblPr>
        <w:tblW w:w="6810" w:type="dxa"/>
        <w:tblInd w:w="17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36"/>
        <w:gridCol w:w="3874"/>
      </w:tblGrid>
      <w:tr w:rsidR="002400C1" w:rsidRPr="0064331C" w:rsidTr="002400C1">
        <w:tc>
          <w:tcPr>
            <w:tcW w:w="2936" w:type="dxa"/>
            <w:hideMark/>
          </w:tcPr>
          <w:p w:rsidR="002400C1" w:rsidRPr="0064331C" w:rsidRDefault="002400C1">
            <w:pPr>
              <w:spacing w:after="120"/>
              <w:ind w:left="35"/>
              <w:rPr>
                <w:i/>
                <w:spacing w:val="4"/>
                <w:w w:val="103"/>
                <w:kern w:val="14"/>
              </w:rPr>
            </w:pPr>
            <w:r>
              <w:rPr>
                <w:i/>
                <w:iCs/>
              </w:rPr>
              <w:t>Заключительные  замечания</w:t>
            </w:r>
            <w:r>
              <w:rPr>
                <w:i/>
                <w:iCs/>
              </w:rPr>
              <w:br/>
            </w:r>
            <w:r>
              <w:rPr>
                <w:i/>
                <w:iCs/>
              </w:rPr>
              <w:t>(116-я сессия)</w:t>
            </w:r>
            <w:r w:rsidRPr="0064331C">
              <w:rPr>
                <w:i/>
              </w:rPr>
              <w:t>:</w:t>
            </w:r>
          </w:p>
        </w:tc>
        <w:tc>
          <w:tcPr>
            <w:tcW w:w="3874" w:type="dxa"/>
            <w:vAlign w:val="bottom"/>
          </w:tcPr>
          <w:p w:rsidR="002400C1" w:rsidRPr="0064331C" w:rsidRDefault="002400C1" w:rsidP="002400C1">
            <w:pPr>
              <w:spacing w:after="120"/>
            </w:pPr>
            <w:r>
              <w:t>CCPR/C/SWE/CO/7, 23 марта 2016 года</w:t>
            </w:r>
          </w:p>
        </w:tc>
      </w:tr>
      <w:tr w:rsidR="002400C1" w:rsidRPr="0064331C" w:rsidTr="002400C1">
        <w:tc>
          <w:tcPr>
            <w:tcW w:w="2936" w:type="dxa"/>
            <w:hideMark/>
          </w:tcPr>
          <w:p w:rsidR="002400C1" w:rsidRPr="0064331C" w:rsidRDefault="002400C1">
            <w:pPr>
              <w:spacing w:after="120"/>
              <w:ind w:left="35"/>
              <w:rPr>
                <w:i/>
              </w:rPr>
            </w:pPr>
            <w:r>
              <w:rPr>
                <w:i/>
                <w:iCs/>
              </w:rPr>
              <w:t>Пункты, сопряженные с </w:t>
            </w:r>
            <w:r w:rsidRPr="002400C1">
              <w:rPr>
                <w:i/>
                <w:iCs/>
              </w:rPr>
              <w:t>последующей деятельностью</w:t>
            </w:r>
            <w:r w:rsidRPr="0064331C">
              <w:rPr>
                <w:i/>
              </w:rPr>
              <w:t>:</w:t>
            </w:r>
          </w:p>
        </w:tc>
        <w:tc>
          <w:tcPr>
            <w:tcW w:w="3874" w:type="dxa"/>
            <w:vAlign w:val="bottom"/>
          </w:tcPr>
          <w:p w:rsidR="002400C1" w:rsidRPr="0064331C" w:rsidRDefault="002400C1" w:rsidP="002400C1">
            <w:pPr>
              <w:spacing w:after="120"/>
            </w:pPr>
            <w:r>
              <w:t>17 и 33</w:t>
            </w:r>
          </w:p>
        </w:tc>
      </w:tr>
      <w:tr w:rsidR="002400C1" w:rsidRPr="0064331C" w:rsidTr="002400C1">
        <w:tc>
          <w:tcPr>
            <w:tcW w:w="2936" w:type="dxa"/>
            <w:hideMark/>
          </w:tcPr>
          <w:p w:rsidR="002400C1" w:rsidRPr="0064331C" w:rsidRDefault="002400C1">
            <w:pPr>
              <w:spacing w:after="120"/>
              <w:ind w:left="35"/>
              <w:rPr>
                <w:i/>
              </w:rPr>
            </w:pPr>
            <w:r w:rsidRPr="002400C1">
              <w:rPr>
                <w:i/>
                <w:iCs/>
              </w:rPr>
              <w:t>Ответ, касающийся последующей деятельности</w:t>
            </w:r>
            <w:r w:rsidRPr="0064331C">
              <w:rPr>
                <w:i/>
              </w:rPr>
              <w:t>:</w:t>
            </w:r>
          </w:p>
        </w:tc>
        <w:tc>
          <w:tcPr>
            <w:tcW w:w="3874" w:type="dxa"/>
          </w:tcPr>
          <w:p w:rsidR="002400C1" w:rsidRPr="0064331C" w:rsidRDefault="002400C1">
            <w:pPr>
              <w:spacing w:after="120"/>
            </w:pPr>
            <w:r w:rsidRPr="002400C1">
              <w:t>CCPR/C</w:t>
            </w:r>
            <w:r>
              <w:t>/SWE/CO/7/Add.1, 26 апреля 2017 </w:t>
            </w:r>
            <w:r w:rsidRPr="002400C1">
              <w:t>года</w:t>
            </w:r>
          </w:p>
        </w:tc>
      </w:tr>
      <w:tr w:rsidR="002400C1" w:rsidRPr="0064331C" w:rsidTr="002400C1">
        <w:tc>
          <w:tcPr>
            <w:tcW w:w="2936" w:type="dxa"/>
            <w:hideMark/>
          </w:tcPr>
          <w:p w:rsidR="002400C1" w:rsidRPr="0064331C" w:rsidRDefault="002400C1" w:rsidP="002400C1">
            <w:pPr>
              <w:spacing w:after="120"/>
              <w:rPr>
                <w:i/>
              </w:rPr>
            </w:pPr>
            <w:r w:rsidRPr="002400C1">
              <w:rPr>
                <w:i/>
                <w:iCs/>
              </w:rPr>
              <w:t>Оценка Комитета</w:t>
            </w:r>
            <w:r w:rsidRPr="0064331C">
              <w:rPr>
                <w:i/>
              </w:rPr>
              <w:t>:</w:t>
            </w:r>
          </w:p>
        </w:tc>
        <w:tc>
          <w:tcPr>
            <w:tcW w:w="3874" w:type="dxa"/>
          </w:tcPr>
          <w:p w:rsidR="002400C1" w:rsidRPr="0064331C" w:rsidRDefault="002400C1">
            <w:pPr>
              <w:spacing w:after="120"/>
            </w:pPr>
            <w:r>
              <w:t>Требует</w:t>
            </w:r>
            <w:r>
              <w:t>ся дополнительная информация по </w:t>
            </w:r>
            <w:r>
              <w:t xml:space="preserve">пунктам 17 </w:t>
            </w:r>
            <w:r>
              <w:rPr>
                <w:b/>
                <w:bCs/>
              </w:rPr>
              <w:t>[A]</w:t>
            </w:r>
            <w:r>
              <w:t xml:space="preserve"> и 33</w:t>
            </w:r>
            <w:r>
              <w:rPr>
                <w:b/>
                <w:bCs/>
              </w:rPr>
              <w:t xml:space="preserve"> [B][C]</w:t>
            </w:r>
          </w:p>
        </w:tc>
      </w:tr>
    </w:tbl>
    <w:p w:rsidR="002400C1" w:rsidRPr="001E273B" w:rsidRDefault="002400C1" w:rsidP="002F574E">
      <w:pPr>
        <w:pStyle w:val="H23G"/>
        <w:spacing w:before="120"/>
      </w:pPr>
      <w:r>
        <w:tab/>
      </w:r>
      <w:r>
        <w:tab/>
      </w:r>
      <w:r>
        <w:rPr>
          <w:bCs/>
        </w:rPr>
        <w:t>Пункт 17: Расизм и ненавистнические высказывания</w:t>
      </w:r>
    </w:p>
    <w:p w:rsidR="002400C1" w:rsidRPr="008536BD" w:rsidRDefault="002400C1" w:rsidP="002400C1">
      <w:pPr>
        <w:pStyle w:val="SingleTxtG"/>
        <w:rPr>
          <w:b/>
          <w:bCs/>
        </w:rPr>
      </w:pPr>
      <w:r>
        <w:tab/>
      </w:r>
      <w:r>
        <w:tab/>
      </w:r>
      <w:r>
        <w:rPr>
          <w:b/>
          <w:bCs/>
        </w:rPr>
        <w:t>Государству-участнику следует удвоить свои усилия как в рамках правоохранительной деятельности, так и посредством проведения информационных кампаний, направленных на борьбу с ненавистническими высказываниями, в том числе в Интернете, с насилием на почве расизма и ксенофобии против этнических или религиозных меньшинств и с негативными стереотипами и образами в их отношении в соответствии со статьями 19 и 20 Пакта и замечанием общего порядка № 34 (2011 год) Комитета о свободе мнений и свободе их выражения.</w:t>
      </w:r>
      <w:r>
        <w:t xml:space="preserve"> </w:t>
      </w:r>
      <w:r>
        <w:rPr>
          <w:b/>
          <w:bCs/>
        </w:rPr>
        <w:t>Ему следует, в частности: а) начать осуществление новых информационно-просветительских кампаний, направленных на поощрение соблюдения прав человека и терпимости к культурному разнообразию и ориентированных на пересмотр и искоренение стереотипов по отношению к различным этническим и религиозным меньшинствам;</w:t>
      </w:r>
      <w:r>
        <w:t xml:space="preserve"> </w:t>
      </w:r>
      <w:r>
        <w:rPr>
          <w:b/>
          <w:bCs/>
        </w:rPr>
        <w:t>и b) </w:t>
      </w:r>
      <w:r>
        <w:rPr>
          <w:b/>
          <w:bCs/>
        </w:rPr>
        <w:t>эффективно осуществлять правовые и политические рамки для борьбы со всеми проявлениями расизма, ненависти и ксенофобии, в том числе путем тщательного расследования таких случаев, привлечения в надлежащих случаях к судебной ответственности подозреваемых и, если они будут признаны виновными, установления наказания за них и предоставления жертвам надлежащих средств правовой защиты.</w:t>
      </w:r>
    </w:p>
    <w:p w:rsidR="002400C1" w:rsidRPr="001E273B" w:rsidRDefault="002400C1" w:rsidP="002400C1">
      <w:pPr>
        <w:pStyle w:val="H23G"/>
      </w:pPr>
      <w:r>
        <w:lastRenderedPageBreak/>
        <w:tab/>
      </w:r>
      <w:r>
        <w:tab/>
      </w:r>
      <w:r>
        <w:rPr>
          <w:bCs/>
        </w:rPr>
        <w:t>Резюме ответа государства-участника</w:t>
      </w:r>
      <w:r>
        <w:t xml:space="preserve"> </w:t>
      </w:r>
    </w:p>
    <w:p w:rsidR="002400C1" w:rsidRPr="008536BD" w:rsidRDefault="002F574E" w:rsidP="002400C1">
      <w:pPr>
        <w:pStyle w:val="SingleTxtG"/>
      </w:pPr>
      <w:r>
        <w:tab/>
      </w:r>
      <w:r w:rsidR="002400C1">
        <w:tab/>
        <w:t>Управление полиции Швеции активизировало работу по борьбе с преступлениями на почве ненависти, и в бюджетной росписи на 2017 год ему было поручено представить правительству доклад о выполнении рекомендаций международных правозащитных органов и о применении правовых рамок в области прав человека. Решение Комиссара национальной полиции от 30 апреля 2015 года о дальнейшей активизации усилий Управления полиции привело к созданию национального контактного центра и специальных подразделений по борьбе с преступлениями на почве ненависти в трех метрополитенских полицейских округах (Стокгольм, Запад (Гётеборг) и Юг (Мальмё)), выделению ресурсов на проведение уголовных расследований, оказание помощи жертвам, подготовку сотрудников полиции, информационно-пропагандистские мероприятия и другие меры укрепления доверия. В 2015 году был создан национальный консультативный форум по этому вопросу. В октябре 2015 года был создан Центр по борьбе с киберпреступностью в целях укрепления потенциала для расследования всех форм киберпреступности и ненавистнических высказываний, в том числе в Интернете.</w:t>
      </w:r>
    </w:p>
    <w:p w:rsidR="002400C1" w:rsidRPr="008536BD" w:rsidRDefault="002F574E" w:rsidP="002400C1">
      <w:pPr>
        <w:pStyle w:val="SingleTxtG"/>
      </w:pPr>
      <w:r>
        <w:tab/>
      </w:r>
      <w:r w:rsidR="002400C1">
        <w:tab/>
        <w:t xml:space="preserve">В своем периодическом докладе (CCPR/C/SWE/7, пункт 148) государство-участник повторило информацию об обязанностях Центра повышения квалификации в Мальмё и о специально назначенных прокурорах по делам о преступлениях на почве ненависти в каждой региональной прокуратуре. Тема преступлений на почве ненависти является частью базовой и продвинутой программы обучения работников прокуратуры. Шведская прокуратура обновила свою общую процедуру расследования преступлений на почве ненависти в декабре 2016 года на основе представленного в январе 2016 года обзора 300 случаев предполагаемых преступлений на почве ненависти и их расследования. В 2018 году она должна была представить доклад о мерах по укреплению своей способности реагировать на угрозы и гонения в Интернете. </w:t>
      </w:r>
    </w:p>
    <w:p w:rsidR="002400C1" w:rsidRPr="008536BD" w:rsidRDefault="002F574E" w:rsidP="002400C1">
      <w:pPr>
        <w:pStyle w:val="SingleTxtG"/>
      </w:pPr>
      <w:r>
        <w:tab/>
      </w:r>
      <w:r w:rsidR="002400C1">
        <w:tab/>
        <w:t>В принятом 24 ноября 2016 года Национальном плане по борьбе с расизмом, аналогичными формами проявления враждебности и преступлениями на почве ненависти определены в качестве особо важных следующие стратегические области: улучшение координации и мониторинга; активизация усилий в сфере знаний, образования и научных исследований, включая а) и</w:t>
      </w:r>
      <w:r w:rsidR="005A2331">
        <w:t>нициативу, рассчитанную до 2019 </w:t>
      </w:r>
      <w:r w:rsidR="002400C1">
        <w:t>года и охватывающую такие темы, как афрофобия, антисемитизм, «антицыганизм», исламофобия, расизм в отношении саами, гомофобия и трансфобия, которая предусматривает подготовку по вопросам расизма для сотрудников школ, социальных работников и сотрудников полиции, b) информационные кампании в школах в 2017 году и c) специальное финансирование с 2016 года исследований по проблеме расизма  Шведским научно-исследовательским советом; усиление поддержки гражданского общества и углубленного диалога, включая увеличение финансирования Шведским агентством по делам молодежи</w:t>
      </w:r>
      <w:r w:rsidR="005A2331">
        <w:t xml:space="preserve"> и гражданского общества в 2016–</w:t>
      </w:r>
      <w:r w:rsidR="002400C1">
        <w:t>2020 годах мероприятий, конкретно направленных на борьбу с вышеупомянутыми формами расизма и нетерпимости; укрепление превентивных мер в Интернете, включая проведение Шведским советом по средствам массовой информации кампании «Скажи нет ненависти» в 2017</w:t>
      </w:r>
      <w:r w:rsidR="005A2331">
        <w:t>–</w:t>
      </w:r>
      <w:r w:rsidR="002400C1">
        <w:t xml:space="preserve">2020 годах; и более активную систему правосудия. </w:t>
      </w:r>
    </w:p>
    <w:p w:rsidR="002400C1" w:rsidRPr="001E273B" w:rsidRDefault="002400C1" w:rsidP="002400C1">
      <w:pPr>
        <w:pStyle w:val="H23G"/>
      </w:pPr>
      <w:r>
        <w:tab/>
      </w:r>
      <w:r>
        <w:tab/>
      </w:r>
      <w:r>
        <w:rPr>
          <w:bCs/>
        </w:rPr>
        <w:t>Оценка Комитета</w:t>
      </w:r>
    </w:p>
    <w:p w:rsidR="002400C1" w:rsidRPr="008536BD" w:rsidRDefault="002400C1" w:rsidP="002400C1">
      <w:pPr>
        <w:pStyle w:val="SingleTxtG"/>
      </w:pPr>
      <w:r>
        <w:rPr>
          <w:b/>
          <w:bCs/>
        </w:rPr>
        <w:t xml:space="preserve">[A] </w:t>
      </w:r>
      <w:r>
        <w:t xml:space="preserve">a) и b): Комитет высоко оценивает масштабные меры, принятые государством-участником для предупреждения расизма, ксенофобии и других форм нетерпимости и борьбы с ними, в частности посредством проведения информационно-просветительских, исследовательских и учебных мероприятий, предусмотренных в национальном плане, принятом 24 ноября 2016 года; ему необходима информация о воздействии этих мер, включая разъяснения, подкрепленные соответствующими данными, в отношении того, привело ли их осуществление к сокращению числа проявлений расизма и нетерпимости, вызывающих озабоченность Комитета, а также о сохраняющихся пробелах и проблемах. </w:t>
      </w:r>
    </w:p>
    <w:p w:rsidR="002400C1" w:rsidRPr="008536BD" w:rsidRDefault="002F574E" w:rsidP="002400C1">
      <w:pPr>
        <w:pStyle w:val="SingleTxtG"/>
      </w:pPr>
      <w:r>
        <w:lastRenderedPageBreak/>
        <w:tab/>
      </w:r>
      <w:r w:rsidR="002400C1">
        <w:tab/>
        <w:t xml:space="preserve">Комитет приветствует новые меры, принятые государством-участником для более активного реагирования на преступления на почве ненависти, включая создание национального контактного центра и специальных подразделений по борьбе с преступлениями на почве ненависти в трех столичных метрополитенских округах, выделение ресурсов на проведение уголовных расследований и оказание помощи жертвам, а также обновление (декабрь 2016 года) общей процедуры Генеральной прокуратуры в отношении расследования преступлений на почве ненависти. Ему требуется дополнительная информация о том, способствовали ли и если да, то каким образом эти меры совершенствованию практики выявления, расследования и судебного преследования актов расизма, ксенофобии и других форм нетерпимости и улучшению поддержки жертв, включая соответствующие данные о количестве инцидентов, зарегистрированных с 2016 года, проведенных расследований, возбужденных преследований и вынесенных приговоров, а также о средствах правовой защиты, предоставляемых жертвам таких нарушений. </w:t>
      </w:r>
    </w:p>
    <w:p w:rsidR="002400C1" w:rsidRPr="001E273B" w:rsidRDefault="002400C1" w:rsidP="002400C1">
      <w:pPr>
        <w:pStyle w:val="H23G"/>
      </w:pPr>
      <w:r>
        <w:tab/>
      </w:r>
      <w:r>
        <w:tab/>
      </w:r>
      <w:r>
        <w:rPr>
          <w:bCs/>
        </w:rPr>
        <w:t>Пункт 33: Права иностранцев, включая мигрантов, беженцев и просителей убежища</w:t>
      </w:r>
    </w:p>
    <w:p w:rsidR="002400C1" w:rsidRPr="001E273B" w:rsidRDefault="002400C1" w:rsidP="002400C1">
      <w:pPr>
        <w:pStyle w:val="SingleTxtG"/>
        <w:rPr>
          <w:b/>
          <w:bCs/>
        </w:rPr>
      </w:pPr>
      <w:r>
        <w:tab/>
      </w:r>
      <w:r>
        <w:rPr>
          <w:b/>
          <w:bCs/>
        </w:rPr>
        <w:t>Государству-участнику следует:</w:t>
      </w:r>
      <w:r>
        <w:t xml:space="preserve"> </w:t>
      </w:r>
    </w:p>
    <w:p w:rsidR="002400C1" w:rsidRPr="008536BD" w:rsidRDefault="002400C1" w:rsidP="002400C1">
      <w:pPr>
        <w:pStyle w:val="SingleTxtG"/>
        <w:rPr>
          <w:b/>
          <w:bCs/>
        </w:rPr>
      </w:pPr>
      <w:r>
        <w:tab/>
      </w:r>
      <w:r w:rsidR="002F574E">
        <w:tab/>
      </w:r>
      <w:r w:rsidRPr="002F574E">
        <w:rPr>
          <w:b/>
        </w:rPr>
        <w:t>a)</w:t>
      </w:r>
      <w:r w:rsidRPr="002F574E">
        <w:rPr>
          <w:b/>
        </w:rPr>
        <w:tab/>
      </w:r>
      <w:r>
        <w:rPr>
          <w:b/>
          <w:bCs/>
        </w:rPr>
        <w:t>обеспечить, чтобы его политика и практика, касающиеся возвращения и высылки мигрантов и просителей убежища, обеспечивали достаточные гарантии соблюдения принципа недопустимости принудительного возвращения, в частности для мигрантов и просителей убежища, охватываемых новыми временными корректировками законодательства о предоставлении убежища, которые в настоящее время разрабатываются в правительственных учреждениях, и для тех, кто связан с делами, которые объявлены «случаями, касающимися вопросов безопасности» или «особыми случаями, касающимися вопросов безопасности»;</w:t>
      </w:r>
    </w:p>
    <w:p w:rsidR="002400C1" w:rsidRPr="008536BD" w:rsidRDefault="002F574E" w:rsidP="002400C1">
      <w:pPr>
        <w:pStyle w:val="SingleTxtG"/>
        <w:rPr>
          <w:b/>
          <w:bCs/>
        </w:rPr>
      </w:pPr>
      <w:r>
        <w:tab/>
      </w:r>
      <w:r w:rsidR="002400C1">
        <w:tab/>
      </w:r>
      <w:r w:rsidR="002400C1" w:rsidRPr="002F574E">
        <w:rPr>
          <w:b/>
        </w:rPr>
        <w:t>b)</w:t>
      </w:r>
      <w:r w:rsidR="002400C1">
        <w:tab/>
      </w:r>
      <w:r w:rsidR="002400C1">
        <w:rPr>
          <w:b/>
          <w:bCs/>
        </w:rPr>
        <w:t>обеспечить, чтобы заключение мигрантов и просителей убежища под стражу использовалось лишь в качестве крайней меры и в течение как можно более короткого периода времени, насколько это необходимо и соразмерно в конкретных обстоятельствах, и чтобы на практике применялись меры, альтернативные заключению под стражу.</w:t>
      </w:r>
      <w:r w:rsidR="002400C1">
        <w:t xml:space="preserve"> </w:t>
      </w:r>
    </w:p>
    <w:p w:rsidR="002400C1" w:rsidRPr="001E273B" w:rsidRDefault="002400C1" w:rsidP="002400C1">
      <w:pPr>
        <w:pStyle w:val="H23G"/>
      </w:pPr>
      <w:r>
        <w:tab/>
      </w:r>
      <w:r>
        <w:tab/>
      </w:r>
      <w:r>
        <w:rPr>
          <w:bCs/>
        </w:rPr>
        <w:t>Резюме ответа государства-участника</w:t>
      </w:r>
      <w:r>
        <w:t xml:space="preserve"> </w:t>
      </w:r>
    </w:p>
    <w:p w:rsidR="002400C1" w:rsidRPr="001E273B" w:rsidRDefault="002400C1" w:rsidP="002400C1">
      <w:pPr>
        <w:pStyle w:val="H4G"/>
      </w:pPr>
      <w:r>
        <w:tab/>
      </w:r>
      <w:r>
        <w:tab/>
      </w:r>
      <w:r>
        <w:rPr>
          <w:iCs/>
        </w:rPr>
        <w:t>Ответ, касающийся пункта 33 а)</w:t>
      </w:r>
      <w:r>
        <w:t xml:space="preserve"> </w:t>
      </w:r>
    </w:p>
    <w:p w:rsidR="002400C1" w:rsidRPr="001E273B" w:rsidRDefault="002400C1" w:rsidP="002400C1">
      <w:pPr>
        <w:pStyle w:val="SingleTxtG"/>
      </w:pPr>
      <w:r>
        <w:tab/>
      </w:r>
      <w:r w:rsidR="002F574E">
        <w:tab/>
      </w:r>
      <w:r>
        <w:t>В отношении «случаев, касающихся вопросов безопасности» или «особых случаев, касающимися вопросов безопасности» государство-участник ссылается на свой периодический доклад (CCPR/C/SWE/7, пункт 138). Закон о временных ограничениях возможности получения вида на жител</w:t>
      </w:r>
      <w:r w:rsidR="002F574E">
        <w:t>ьство (действует с 20 июля 2016 </w:t>
      </w:r>
      <w:r>
        <w:t xml:space="preserve">года) не изменяет порядка применения принципа невысылки, изложенного в Законе об иностранцах (2005:716). Он ограничивает право на воссоединение семей и возможность получения вида на жительство в целях защиты. Он предусматривает выдачу временного, а не постоянного вида на жительство лицам, имеющим право на дополнительную защиту, и вида на жительство по гуманитарным соображениям, если только это не противоречит международным обязательствам государства-участника. </w:t>
      </w:r>
    </w:p>
    <w:p w:rsidR="002400C1" w:rsidRPr="008536BD" w:rsidRDefault="002F574E" w:rsidP="002400C1">
      <w:pPr>
        <w:pStyle w:val="SingleTxtG"/>
      </w:pPr>
      <w:r>
        <w:tab/>
      </w:r>
      <w:r w:rsidR="002400C1">
        <w:tab/>
        <w:t>Вынесению постановлений об отказе во въезде или о высылке должно предшествовать тщательное рассмотрение представленных оснований для пребывания в стране. Исполнение постановлений прекращается, если существуют или возникают препятствия для их исполнения, такие как риск принудительного возвращения (CCPR/C/SWE/7, пункты 133 и 137</w:t>
      </w:r>
      <w:r w:rsidRPr="002F574E">
        <w:t>–</w:t>
      </w:r>
      <w:r w:rsidR="002400C1">
        <w:t>138). Шведское агентство по миграции постоянно работает над обеспечением соблюдения высоких правовых стандартов в процессе принятия решений, в том числе посредством усилий, предпринимаемых в области подготовки новых сотрудников и методов индивидуализированной оценки рисков.</w:t>
      </w:r>
    </w:p>
    <w:p w:rsidR="002400C1" w:rsidRPr="001E273B" w:rsidRDefault="002400C1" w:rsidP="002400C1">
      <w:pPr>
        <w:pStyle w:val="H4G"/>
      </w:pPr>
      <w:r>
        <w:lastRenderedPageBreak/>
        <w:tab/>
      </w:r>
      <w:r>
        <w:tab/>
      </w:r>
      <w:r>
        <w:rPr>
          <w:iCs/>
        </w:rPr>
        <w:t>Ответ, касающийся пункта 33 b)</w:t>
      </w:r>
      <w:r>
        <w:t xml:space="preserve"> </w:t>
      </w:r>
    </w:p>
    <w:p w:rsidR="002400C1" w:rsidRPr="008536BD" w:rsidRDefault="002F574E" w:rsidP="002400C1">
      <w:pPr>
        <w:pStyle w:val="SingleTxtG"/>
      </w:pPr>
      <w:r>
        <w:tab/>
      </w:r>
      <w:r w:rsidR="002400C1">
        <w:tab/>
        <w:t xml:space="preserve">Содержание под стражей, как правило, не применяется к тем, кто должен вернуться на родину. Большинство содержащихся под стражей иностранцев </w:t>
      </w:r>
      <w:r w:rsidR="005A2331">
        <w:t>–</w:t>
      </w:r>
      <w:r w:rsidR="002400C1">
        <w:t xml:space="preserve"> это лица, подлежащие высылке. Закон об иностранцах устанавливает основания для содержания под стражей. Он должен применяться таким образом, чтобы не ограничивать свободу больше, чем это необходимо,</w:t>
      </w:r>
      <w:r w:rsidR="005A2331">
        <w:t xml:space="preserve"> в каждом отдельном случае. В </w:t>
      </w:r>
      <w:r w:rsidR="002400C1">
        <w:t>основном на тех же основаниях, применяется, когда это возможно, альтернатива в виде надзора, предусматривающая обязательство регулярно отмечаться в полиции или Агентстве по миграции. Постановления о содержании под стражей и надзоре подлежат пересмотру с периодичностью, установленной в Законе об инос</w:t>
      </w:r>
      <w:r>
        <w:t>транцах (глава 10, раздел 9), и </w:t>
      </w:r>
      <w:r w:rsidR="002400C1">
        <w:t>немедленно отменяются, если исчезают основания для их применения. Задержанные иностранцы, как правило, помещаются в специальный центр содержания под стражей, находящийся в ведении Агентства по миграции; по</w:t>
      </w:r>
      <w:r>
        <w:t xml:space="preserve"> состоянию на конец 2016 года в </w:t>
      </w:r>
      <w:r w:rsidR="002400C1">
        <w:t>стране насчитывалось 357 постоянных</w:t>
      </w:r>
      <w:r>
        <w:t xml:space="preserve"> помещений и 349 заключенных, а </w:t>
      </w:r>
      <w:r w:rsidR="002400C1">
        <w:t xml:space="preserve">продолжительность пребывания составляла в среднем 26,6 дня, что на </w:t>
      </w:r>
      <w:r w:rsidR="005A2331">
        <w:t>6</w:t>
      </w:r>
      <w:r w:rsidR="002400C1">
        <w:t xml:space="preserve"> дней больше, чем в среднем в 2015 году. В 2016 году в общей сложности в них побывал 3</w:t>
      </w:r>
      <w:r w:rsidR="005A2331">
        <w:t> 5</w:t>
      </w:r>
      <w:r w:rsidR="002400C1">
        <w:t>71</w:t>
      </w:r>
      <w:r w:rsidR="005A2331">
        <w:t> </w:t>
      </w:r>
      <w:r w:rsidR="002400C1">
        <w:t>человек, по сравнению с 3</w:t>
      </w:r>
      <w:r w:rsidR="005A2331">
        <w:t> </w:t>
      </w:r>
      <w:r w:rsidR="002400C1">
        <w:t>750 в 2015 году.</w:t>
      </w:r>
    </w:p>
    <w:p w:rsidR="002400C1" w:rsidRPr="001E273B" w:rsidRDefault="002400C1" w:rsidP="002400C1">
      <w:pPr>
        <w:pStyle w:val="H23G"/>
      </w:pPr>
      <w:r>
        <w:tab/>
      </w:r>
      <w:r>
        <w:tab/>
      </w:r>
      <w:r>
        <w:rPr>
          <w:bCs/>
        </w:rPr>
        <w:t>Оценка Комитета</w:t>
      </w:r>
    </w:p>
    <w:p w:rsidR="002400C1" w:rsidRPr="008536BD" w:rsidRDefault="002400C1" w:rsidP="002400C1">
      <w:pPr>
        <w:pStyle w:val="SingleTxtG"/>
      </w:pPr>
      <w:r>
        <w:rPr>
          <w:b/>
          <w:bCs/>
        </w:rPr>
        <w:t xml:space="preserve">[B] </w:t>
      </w:r>
      <w:r>
        <w:t>а): Комитет отмечает, что правовой режим, применимый к «случаям, касающимся вопросов безопасности» или «особым случаям, касающимся вопросов безопасности», как представляется, не изменился с момента принят</w:t>
      </w:r>
      <w:r w:rsidR="002F574E">
        <w:t>ия заключительных замечаний. Он </w:t>
      </w:r>
      <w:r>
        <w:t>приветствует информацию о Законе о временных ограничениях права на получение вида на жительство, действующем с 20 июля 2016 года, неизменном применении принципа невысылки, а также о подготовке сотрудников Агентства по миграции и разработке методов индивидуализированной оценки рисков. Комитету требуется дополнительная информация о: а) вынесении Апелляционным судом по</w:t>
      </w:r>
      <w:r w:rsidR="002F574E">
        <w:t xml:space="preserve"> миграционным делам решений по «</w:t>
      </w:r>
      <w:r>
        <w:t>делам, касающимся безопасности</w:t>
      </w:r>
      <w:r w:rsidR="002F574E">
        <w:t>» и «</w:t>
      </w:r>
      <w:r>
        <w:t>особым делам, касающимся безопасности</w:t>
      </w:r>
      <w:r w:rsidR="002F574E">
        <w:t>»</w:t>
      </w:r>
      <w:r>
        <w:t>, в частности в отношении процессуальных прав соответствующих иностранцев, количестве заключений, вынесенных Судом по таким апелляциям со времени принятия заключительных замечаний, и количестве заключений, в которых были установлены препятствия для осуществления высылки; b) любых соответствующих законодательных и политических изменениях после истечения срока действия временного законо</w:t>
      </w:r>
      <w:r w:rsidR="002F574E">
        <w:t>дательства в июле 2016 года, их </w:t>
      </w:r>
      <w:r>
        <w:t xml:space="preserve">совместимости с Пактом, в частности в том, что касается надежных гарантий против принудительного возвращения; и с) применения на практике методов индивидуализированной оценки риска в случаях предоставления убежища и позитивного воздействия на снижение риска высылки. </w:t>
      </w:r>
    </w:p>
    <w:p w:rsidR="002400C1" w:rsidRPr="008536BD" w:rsidRDefault="002400C1" w:rsidP="002400C1">
      <w:pPr>
        <w:pStyle w:val="SingleTxtG"/>
      </w:pPr>
      <w:r>
        <w:rPr>
          <w:b/>
          <w:bCs/>
        </w:rPr>
        <w:t xml:space="preserve">[C] </w:t>
      </w:r>
      <w:r>
        <w:t>b): Комитет принимает к сведению информацию о содержании под стражей мигрантов и просителей убежища и применении надзора в качестве альтернативы, когда э</w:t>
      </w:r>
      <w:bookmarkStart w:id="1" w:name="_GoBack"/>
      <w:bookmarkEnd w:id="1"/>
      <w:r>
        <w:t>то возможно. Однако ему требуется a) дополнительная информация о том, используется ли содержание под стражей в качестве крайней меры, применяется ли оно в течение как можно более короткого соответствующего периода времени и является ли оно оправданным исходя из соображений разумности, необходимости и соразмерности в свете соответствующих обстоятельств; b) дополнительной информации о предельных сроках содержания под стражей иммигрантов; и</w:t>
      </w:r>
      <w:r w:rsidR="002F574E">
        <w:t> </w:t>
      </w:r>
      <w:r>
        <w:t>с)</w:t>
      </w:r>
      <w:r w:rsidR="002F574E">
        <w:t> </w:t>
      </w:r>
      <w:r>
        <w:t xml:space="preserve">обновленных данных о применении альтернатив содержанию под стражей на практике. </w:t>
      </w:r>
    </w:p>
    <w:p w:rsidR="002400C1" w:rsidRPr="008536BD" w:rsidRDefault="002400C1" w:rsidP="002400C1">
      <w:pPr>
        <w:pStyle w:val="SingleTxtG"/>
      </w:pPr>
      <w:r>
        <w:rPr>
          <w:b/>
          <w:bCs/>
        </w:rPr>
        <w:t>Рекомендуемые действия</w:t>
      </w:r>
      <w:r w:rsidRPr="005A2331">
        <w:rPr>
          <w:b/>
        </w:rPr>
        <w:t>:</w:t>
      </w:r>
      <w:r>
        <w:t xml:space="preserve"> следует направить письмо, извещающее государство-участник о прекращении процедуры последующих действий. Элементы запрошенной информации будут, если это будет сочтено целесообразным, включены в перечень вопросов, предваряющий представление восьмого периодического доклада Швеции. </w:t>
      </w:r>
    </w:p>
    <w:p w:rsidR="00381C24" w:rsidRPr="002400C1" w:rsidRDefault="002400C1" w:rsidP="002400C1">
      <w:pPr>
        <w:pStyle w:val="SingleTxtG"/>
      </w:pPr>
      <w:r>
        <w:rPr>
          <w:b/>
          <w:bCs/>
        </w:rPr>
        <w:t>Дата представления следующего периодического доклада</w:t>
      </w:r>
      <w:r w:rsidRPr="005A2331">
        <w:rPr>
          <w:b/>
        </w:rPr>
        <w:t>:</w:t>
      </w:r>
      <w:r>
        <w:t xml:space="preserve"> 31 марта 2023 года.</w:t>
      </w:r>
    </w:p>
    <w:p w:rsidR="002400C1" w:rsidRPr="002400C1" w:rsidRDefault="002400C1" w:rsidP="002400C1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2400C1" w:rsidRPr="002400C1" w:rsidSect="002400C1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36FE" w:rsidRPr="00A312BC" w:rsidRDefault="002536FE" w:rsidP="00A312BC"/>
  </w:endnote>
  <w:endnote w:type="continuationSeparator" w:id="0">
    <w:p w:rsidR="002536FE" w:rsidRPr="00A312BC" w:rsidRDefault="002536FE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00C1" w:rsidRPr="002400C1" w:rsidRDefault="002400C1">
    <w:pPr>
      <w:pStyle w:val="a8"/>
    </w:pPr>
    <w:r w:rsidRPr="002400C1">
      <w:rPr>
        <w:b/>
        <w:sz w:val="18"/>
      </w:rPr>
      <w:fldChar w:fldCharType="begin"/>
    </w:r>
    <w:r w:rsidRPr="002400C1">
      <w:rPr>
        <w:b/>
        <w:sz w:val="18"/>
      </w:rPr>
      <w:instrText xml:space="preserve"> PAGE  \* MERGEFORMAT </w:instrText>
    </w:r>
    <w:r w:rsidRPr="002400C1">
      <w:rPr>
        <w:b/>
        <w:sz w:val="18"/>
      </w:rPr>
      <w:fldChar w:fldCharType="separate"/>
    </w:r>
    <w:r w:rsidR="00C101E3">
      <w:rPr>
        <w:b/>
        <w:noProof/>
        <w:sz w:val="18"/>
      </w:rPr>
      <w:t>4</w:t>
    </w:r>
    <w:r w:rsidRPr="002400C1">
      <w:rPr>
        <w:b/>
        <w:sz w:val="18"/>
      </w:rPr>
      <w:fldChar w:fldCharType="end"/>
    </w:r>
    <w:r>
      <w:rPr>
        <w:b/>
        <w:sz w:val="18"/>
      </w:rPr>
      <w:tab/>
    </w:r>
    <w:r>
      <w:t>GE.19-07378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00C1" w:rsidRPr="002400C1" w:rsidRDefault="002400C1" w:rsidP="002400C1">
    <w:pPr>
      <w:pStyle w:val="a8"/>
      <w:tabs>
        <w:tab w:val="clear" w:pos="9639"/>
        <w:tab w:val="right" w:pos="9638"/>
      </w:tabs>
      <w:rPr>
        <w:b/>
        <w:sz w:val="18"/>
      </w:rPr>
    </w:pPr>
    <w:r>
      <w:t>GE.19-07378</w:t>
    </w:r>
    <w:r>
      <w:tab/>
    </w:r>
    <w:r w:rsidRPr="002400C1">
      <w:rPr>
        <w:b/>
        <w:sz w:val="18"/>
      </w:rPr>
      <w:fldChar w:fldCharType="begin"/>
    </w:r>
    <w:r w:rsidRPr="002400C1">
      <w:rPr>
        <w:b/>
        <w:sz w:val="18"/>
      </w:rPr>
      <w:instrText xml:space="preserve"> PAGE  \* MERGEFORMAT </w:instrText>
    </w:r>
    <w:r w:rsidRPr="002400C1">
      <w:rPr>
        <w:b/>
        <w:sz w:val="18"/>
      </w:rPr>
      <w:fldChar w:fldCharType="separate"/>
    </w:r>
    <w:r w:rsidR="00C101E3">
      <w:rPr>
        <w:b/>
        <w:noProof/>
        <w:sz w:val="18"/>
      </w:rPr>
      <w:t>3</w:t>
    </w:r>
    <w:r w:rsidRPr="002400C1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2400C1" w:rsidRDefault="002400C1" w:rsidP="002400C1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19-07378  (R)</w:t>
    </w:r>
    <w:r w:rsidR="002F574E">
      <w:t xml:space="preserve">  240519  270519</w:t>
    </w:r>
    <w:r>
      <w:br/>
    </w:r>
    <w:r w:rsidRPr="002400C1">
      <w:rPr>
        <w:rFonts w:ascii="C39T30Lfz" w:hAnsi="C39T30Lfz"/>
        <w:kern w:val="14"/>
        <w:sz w:val="56"/>
      </w:rPr>
      <w:t></w:t>
    </w:r>
    <w:r w:rsidRPr="002400C1">
      <w:rPr>
        <w:rFonts w:ascii="C39T30Lfz" w:hAnsi="C39T30Lfz"/>
        <w:kern w:val="14"/>
        <w:sz w:val="56"/>
      </w:rPr>
      <w:t></w:t>
    </w:r>
    <w:r w:rsidRPr="002400C1">
      <w:rPr>
        <w:rFonts w:ascii="C39T30Lfz" w:hAnsi="C39T30Lfz"/>
        <w:kern w:val="14"/>
        <w:sz w:val="56"/>
      </w:rPr>
      <w:t></w:t>
    </w:r>
    <w:r w:rsidRPr="002400C1">
      <w:rPr>
        <w:rFonts w:ascii="C39T30Lfz" w:hAnsi="C39T30Lfz"/>
        <w:kern w:val="14"/>
        <w:sz w:val="56"/>
      </w:rPr>
      <w:t></w:t>
    </w:r>
    <w:r w:rsidRPr="002400C1">
      <w:rPr>
        <w:rFonts w:ascii="C39T30Lfz" w:hAnsi="C39T30Lfz"/>
        <w:kern w:val="14"/>
        <w:sz w:val="56"/>
      </w:rPr>
      <w:t></w:t>
    </w:r>
    <w:r w:rsidRPr="002400C1">
      <w:rPr>
        <w:rFonts w:ascii="C39T30Lfz" w:hAnsi="C39T30Lfz"/>
        <w:kern w:val="14"/>
        <w:sz w:val="56"/>
      </w:rPr>
      <w:t></w:t>
    </w:r>
    <w:r w:rsidRPr="002400C1">
      <w:rPr>
        <w:rFonts w:ascii="C39T30Lfz" w:hAnsi="C39T30Lfz"/>
        <w:kern w:val="14"/>
        <w:sz w:val="56"/>
      </w:rPr>
      <w:t></w:t>
    </w:r>
    <w:r w:rsidRPr="002400C1">
      <w:rPr>
        <w:rFonts w:ascii="C39T30Lfz" w:hAnsi="C39T30Lfz"/>
        <w:kern w:val="14"/>
        <w:sz w:val="56"/>
      </w:rPr>
      <w:t></w:t>
    </w:r>
    <w:r w:rsidRPr="002400C1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CCPR/C/125/2/Add.3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CPR/C/125/2/Add.3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36FE" w:rsidRPr="001075E9" w:rsidRDefault="002536FE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2536FE" w:rsidRDefault="002536FE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2400C1" w:rsidRPr="001E273B" w:rsidRDefault="002400C1" w:rsidP="002400C1">
      <w:pPr>
        <w:pStyle w:val="ad"/>
      </w:pPr>
      <w:r>
        <w:tab/>
      </w:r>
      <w:r w:rsidRPr="002400C1">
        <w:rPr>
          <w:sz w:val="20"/>
        </w:rPr>
        <w:t>*</w:t>
      </w:r>
      <w:r>
        <w:tab/>
        <w:t xml:space="preserve">Принят Комитетом на его 125-й сессии (4–29 марта 2019 года). </w:t>
      </w:r>
    </w:p>
  </w:footnote>
  <w:footnote w:id="2">
    <w:p w:rsidR="002400C1" w:rsidRPr="001E273B" w:rsidRDefault="002400C1" w:rsidP="002400C1">
      <w:pPr>
        <w:pStyle w:val="ad"/>
      </w:pPr>
      <w:r>
        <w:tab/>
      </w:r>
      <w:r w:rsidRPr="002400C1">
        <w:rPr>
          <w:sz w:val="20"/>
        </w:rPr>
        <w:t>**</w:t>
      </w:r>
      <w:r>
        <w:tab/>
        <w:t xml:space="preserve">Критерии оценки доступны по адресу </w:t>
      </w:r>
      <w:hyperlink r:id="rId1" w:history="1">
        <w:r w:rsidR="002F574E" w:rsidRPr="002C5C32">
          <w:rPr>
            <w:rStyle w:val="af1"/>
          </w:rPr>
          <w:t>http://tbinternet.ohchr.org/Treaties/CCPR/Shared%20</w:t>
        </w:r>
        <w:r w:rsidR="002F574E" w:rsidRPr="002C5C32">
          <w:rPr>
            <w:rStyle w:val="af1"/>
          </w:rPr>
          <w:br/>
          <w:t>Documents/1_Global/INT_CCPR_FGD_8108_E.pdf</w:t>
        </w:r>
      </w:hyperlink>
      <w:r w:rsidR="002F574E" w:rsidRPr="002F574E">
        <w:t xml:space="preserve"> </w:t>
      </w:r>
      <w:r>
        <w:t>(на английском языке).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00C1" w:rsidRPr="002400C1" w:rsidRDefault="002400C1">
    <w:pPr>
      <w:pStyle w:val="a5"/>
    </w:pPr>
    <w:fldSimple w:instr=" TITLE  \* MERGEFORMAT ">
      <w:r w:rsidR="00C101E3">
        <w:t>CCPR/C/125/2/Add.3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00C1" w:rsidRPr="002400C1" w:rsidRDefault="002400C1" w:rsidP="002400C1">
    <w:pPr>
      <w:pStyle w:val="a5"/>
      <w:jc w:val="right"/>
    </w:pPr>
    <w:fldSimple w:instr=" TITLE  \* MERGEFORMAT ">
      <w:r w:rsidR="00C101E3">
        <w:t>CCPR/C/125/2/Add.3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50"/>
  <w:displayBackgroundShape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inkAnnotation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36FE"/>
    <w:rsid w:val="00033EE1"/>
    <w:rsid w:val="00042B72"/>
    <w:rsid w:val="000558BD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400C1"/>
    <w:rsid w:val="002536FE"/>
    <w:rsid w:val="00254812"/>
    <w:rsid w:val="002A2EFC"/>
    <w:rsid w:val="002C0E18"/>
    <w:rsid w:val="002C5EB2"/>
    <w:rsid w:val="002D5AAC"/>
    <w:rsid w:val="002E5067"/>
    <w:rsid w:val="002F405F"/>
    <w:rsid w:val="002F574E"/>
    <w:rsid w:val="002F7EEC"/>
    <w:rsid w:val="00301299"/>
    <w:rsid w:val="00305C08"/>
    <w:rsid w:val="00307FB6"/>
    <w:rsid w:val="00317339"/>
    <w:rsid w:val="00322004"/>
    <w:rsid w:val="0032326A"/>
    <w:rsid w:val="003402C2"/>
    <w:rsid w:val="00375F01"/>
    <w:rsid w:val="00381C24"/>
    <w:rsid w:val="003958D0"/>
    <w:rsid w:val="003B00E5"/>
    <w:rsid w:val="00407B78"/>
    <w:rsid w:val="00424203"/>
    <w:rsid w:val="00452493"/>
    <w:rsid w:val="00454E07"/>
    <w:rsid w:val="00472C5C"/>
    <w:rsid w:val="004969B2"/>
    <w:rsid w:val="0050108D"/>
    <w:rsid w:val="00513081"/>
    <w:rsid w:val="00517901"/>
    <w:rsid w:val="00526683"/>
    <w:rsid w:val="005709E0"/>
    <w:rsid w:val="00572E19"/>
    <w:rsid w:val="005961C8"/>
    <w:rsid w:val="005A2331"/>
    <w:rsid w:val="005D7914"/>
    <w:rsid w:val="005E2B41"/>
    <w:rsid w:val="005F0B42"/>
    <w:rsid w:val="00666B97"/>
    <w:rsid w:val="00681A10"/>
    <w:rsid w:val="006A1ED8"/>
    <w:rsid w:val="006C2031"/>
    <w:rsid w:val="006D461A"/>
    <w:rsid w:val="006F35EE"/>
    <w:rsid w:val="007021FF"/>
    <w:rsid w:val="00712895"/>
    <w:rsid w:val="0075523D"/>
    <w:rsid w:val="00757357"/>
    <w:rsid w:val="00787D3A"/>
    <w:rsid w:val="00791B9D"/>
    <w:rsid w:val="00825F8D"/>
    <w:rsid w:val="00834B71"/>
    <w:rsid w:val="0086445C"/>
    <w:rsid w:val="00866D2B"/>
    <w:rsid w:val="00894693"/>
    <w:rsid w:val="008A08D7"/>
    <w:rsid w:val="008B6909"/>
    <w:rsid w:val="00906890"/>
    <w:rsid w:val="00911BE4"/>
    <w:rsid w:val="00931A71"/>
    <w:rsid w:val="00951972"/>
    <w:rsid w:val="009608F3"/>
    <w:rsid w:val="009918E2"/>
    <w:rsid w:val="009A24AC"/>
    <w:rsid w:val="009D21FD"/>
    <w:rsid w:val="00A14DA8"/>
    <w:rsid w:val="00A312BC"/>
    <w:rsid w:val="00A34D07"/>
    <w:rsid w:val="00A84021"/>
    <w:rsid w:val="00A84D35"/>
    <w:rsid w:val="00A917B3"/>
    <w:rsid w:val="00AB4B51"/>
    <w:rsid w:val="00AD6F87"/>
    <w:rsid w:val="00B10CC7"/>
    <w:rsid w:val="00B136DB"/>
    <w:rsid w:val="00B539E7"/>
    <w:rsid w:val="00B62458"/>
    <w:rsid w:val="00BC18B2"/>
    <w:rsid w:val="00BC3629"/>
    <w:rsid w:val="00BD33EE"/>
    <w:rsid w:val="00BF1A04"/>
    <w:rsid w:val="00C0177C"/>
    <w:rsid w:val="00C101E3"/>
    <w:rsid w:val="00C106D6"/>
    <w:rsid w:val="00C46D5A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9090B"/>
    <w:rsid w:val="00DD78D1"/>
    <w:rsid w:val="00DE32CD"/>
    <w:rsid w:val="00DF71B9"/>
    <w:rsid w:val="00E005F7"/>
    <w:rsid w:val="00E06BEE"/>
    <w:rsid w:val="00E46656"/>
    <w:rsid w:val="00E73F76"/>
    <w:rsid w:val="00EA2C9F"/>
    <w:rsid w:val="00EA420E"/>
    <w:rsid w:val="00ED0BDA"/>
    <w:rsid w:val="00EF1360"/>
    <w:rsid w:val="00EF3220"/>
    <w:rsid w:val="00F43903"/>
    <w:rsid w:val="00F94155"/>
    <w:rsid w:val="00F9783F"/>
    <w:rsid w:val="00FC636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6B89738F"/>
  <w15:docId w15:val="{71449DD6-D2BC-444A-AFBE-FCD2CEBC2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931A7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AD6F87"/>
    <w:rPr>
      <w:color w:val="0000FF" w:themeColor="hyperlink"/>
      <w:u w:val="none"/>
    </w:rPr>
  </w:style>
  <w:style w:type="character" w:styleId="af2">
    <w:name w:val="FollowedHyperlink"/>
    <w:basedOn w:val="a0"/>
    <w:rsid w:val="00AD6F87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tbinternet.ohchr.org/Treaties/CCPR/Shared%20Documents/1_Global/INT_CCPR_FGD_8108_E.pdf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1</TotalTime>
  <Pages>4</Pages>
  <Words>1637</Words>
  <Characters>11381</Characters>
  <Application>Microsoft Office Word</Application>
  <DocSecurity>0</DocSecurity>
  <Lines>210</Lines>
  <Paragraphs>49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CCPR/C/125/2/Add.3</vt:lpstr>
      <vt:lpstr>A/</vt:lpstr>
      <vt:lpstr>A/</vt:lpstr>
    </vt:vector>
  </TitlesOfParts>
  <Company>DCM</Company>
  <LinksUpToDate>false</LinksUpToDate>
  <CharactersWithSpaces>12969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CCPR/C/125/2/Add.3</dc:title>
  <dc:subject/>
  <dc:creator>Marina KOROTKOVA</dc:creator>
  <cp:keywords/>
  <cp:lastModifiedBy>Marina Korotkova</cp:lastModifiedBy>
  <cp:revision>3</cp:revision>
  <cp:lastPrinted>2019-05-27T06:07:00Z</cp:lastPrinted>
  <dcterms:created xsi:type="dcterms:W3CDTF">2019-05-27T06:07:00Z</dcterms:created>
  <dcterms:modified xsi:type="dcterms:W3CDTF">2019-05-27T06:08:00Z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