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Предсессионная рабочая группа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Тридцать шестая сессия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7–25 августа 2006 года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периодического доклада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Грузия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Предсессионная рабочая группа рассмотрела сводный второй и третий пери</w:t>
      </w:r>
      <w:r>
        <w:t>о</w:t>
      </w:r>
      <w:r>
        <w:t>дический доклады Грузии (CEDAW/C/GEO/2-3).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замечания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В докладе отмечается, что информацию для доклада представили разли</w:t>
      </w:r>
      <w:r>
        <w:t>ч</w:t>
      </w:r>
      <w:r>
        <w:t>ные министерства и государственные учреждения (пункт 2), однако неясно, был ли доклад утвержден правительством. В докладе также отмечается, что в Грузии насчитывается более 60 женских неправительственных организаций (пункт 30). Просьба уточнить, принимали ли эти неправительственные орган</w:t>
      </w:r>
      <w:r>
        <w:t>и</w:t>
      </w:r>
      <w:r>
        <w:t>зации участие в подготовке доклада и проводились ли с ними консультации в ходе его подготовки, а также был ли доклад утвержден правительством и пре</w:t>
      </w:r>
      <w:r>
        <w:t>д</w:t>
      </w:r>
      <w:r>
        <w:t>ставлен парл</w:t>
      </w:r>
      <w:r>
        <w:t>а</w:t>
      </w:r>
      <w:r>
        <w:t>менту.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Конституция, законодательство и национальный механизм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2.</w:t>
      </w:r>
      <w:r>
        <w:tab/>
        <w:t>Просьба разъяснить статус Конвенции в национальной правовой системе. Можно ли ссылаться на Конвенцию в национальных судах? Просьба назвать любые судебные дела, в ходе слушания которых делались ссылки на Конве</w:t>
      </w:r>
      <w:r>
        <w:t>н</w:t>
      </w:r>
      <w:r>
        <w:t>цию.</w:t>
      </w:r>
    </w:p>
    <w:p w:rsidR="00000000" w:rsidRDefault="00000000">
      <w:pPr>
        <w:pStyle w:val="SingleTxt"/>
      </w:pPr>
      <w:r>
        <w:t>3.</w:t>
      </w:r>
      <w:r>
        <w:tab/>
        <w:t>Согласно докладу, министерство юстиции и Государственная комиссия по разработке государственной политики в области улучшения положения же</w:t>
      </w:r>
      <w:r>
        <w:t>н</w:t>
      </w:r>
      <w:r>
        <w:t>щин должны были разработать до конца 2004 года новый вариант статьи 36 Конституции в целях принятия отдельного статута по правам женщин и ге</w:t>
      </w:r>
      <w:r>
        <w:t>н</w:t>
      </w:r>
      <w:r>
        <w:t>дерному равенству (пункт 42). Просьба представить подробную информацию о с</w:t>
      </w:r>
      <w:r>
        <w:t>о</w:t>
      </w:r>
      <w:r>
        <w:t>стоянии и содержании этой предлагаемой поправки к Конституции.</w:t>
      </w:r>
    </w:p>
    <w:p w:rsidR="00000000" w:rsidRDefault="00000000">
      <w:pPr>
        <w:pStyle w:val="SingleTxt"/>
      </w:pPr>
      <w:r>
        <w:t>4.</w:t>
      </w:r>
      <w:r>
        <w:tab/>
        <w:t>В докладе отмечается, что Подкомитет по вопросам охраны матери и р</w:t>
      </w:r>
      <w:r>
        <w:t>е</w:t>
      </w:r>
      <w:r>
        <w:t>бенка и развития семьи и Парламентский комитет по защите прав человека, прошениям граждан и построению гражданского общества активно участвов</w:t>
      </w:r>
      <w:r>
        <w:t>а</w:t>
      </w:r>
      <w:r>
        <w:t>ли в разработке проектов законов, затрагивающих гендерные вопросы (пункт 32). Просьба представить подробную информацию о проектах законов, которые были предложены этими органами, и указать, были ли приняты к</w:t>
      </w:r>
      <w:r>
        <w:t>а</w:t>
      </w:r>
      <w:r>
        <w:t>кие</w:t>
      </w:r>
      <w:r>
        <w:noBreakHyphen/>
        <w:t>либо из этих зак</w:t>
      </w:r>
      <w:r>
        <w:t>о</w:t>
      </w:r>
      <w:r>
        <w:t>нов.</w:t>
      </w:r>
    </w:p>
    <w:p w:rsidR="00000000" w:rsidRDefault="00000000">
      <w:pPr>
        <w:pStyle w:val="SingleTxt"/>
      </w:pPr>
      <w:r>
        <w:t>5.</w:t>
      </w:r>
      <w:r>
        <w:tab/>
        <w:t>В докладе отмечается, что 1 июня 2000 года вступил в силу закон, пред</w:t>
      </w:r>
      <w:r>
        <w:t>у</w:t>
      </w:r>
      <w:r>
        <w:t>сматривающий уголовную ответственность за «нарушение равноправия гра</w:t>
      </w:r>
      <w:r>
        <w:t>ж</w:t>
      </w:r>
      <w:r>
        <w:t>дан» (пункт 35). Просьба сообщить, возбуждались ли в соответствии с этим з</w:t>
      </w:r>
      <w:r>
        <w:t>а</w:t>
      </w:r>
      <w:r>
        <w:t>коном дела о дискриминации по признаку пола, какие решения были приняты по этим делам и предоставляются ли женщинам, ставшим жертвами дискрим</w:t>
      </w:r>
      <w:r>
        <w:t>и</w:t>
      </w:r>
      <w:r>
        <w:t>нации, средства гражданской, админис</w:t>
      </w:r>
      <w:r>
        <w:t>т</w:t>
      </w:r>
      <w:r>
        <w:t>ративной и другой защиты.</w:t>
      </w:r>
    </w:p>
    <w:p w:rsidR="00000000" w:rsidRDefault="00000000">
      <w:pPr>
        <w:pStyle w:val="SingleTxt"/>
      </w:pPr>
      <w:r>
        <w:t>6.</w:t>
      </w:r>
      <w:r>
        <w:tab/>
        <w:t>В докладе подробно говорится о различных мерах, которые должны быть приняты в соответствии с Планом действий по улучшению положения женщин в Грузии (2001–2004 годы), включая создание институциональных механизмов для обеспечения учета гендерных факторов в государственной политике и з</w:t>
      </w:r>
      <w:r>
        <w:t>а</w:t>
      </w:r>
      <w:r>
        <w:t>конодательстве и защиты прав женщин в условиях вооруженных конфликтов и в постконфликтные периоды; расширение участия женщин в процессах прин</w:t>
      </w:r>
      <w:r>
        <w:t>я</w:t>
      </w:r>
      <w:r>
        <w:t>тия решений; поощрение экономической самостоятельности женщин; пред</w:t>
      </w:r>
      <w:r>
        <w:t>у</w:t>
      </w:r>
      <w:r>
        <w:t>преждение нищеты; и улучшение состояния здоровья женщин (пункт 19). Просьба представить подробную информацию о конкретном эффекте от мер по осуществлению этого плана в каждой из указанных областей и указать, какие механизмы были разработаны в поддер</w:t>
      </w:r>
      <w:r>
        <w:t>ж</w:t>
      </w:r>
      <w:r>
        <w:t>ку таких мер.</w:t>
      </w:r>
    </w:p>
    <w:p w:rsidR="00000000" w:rsidRDefault="00000000">
      <w:pPr>
        <w:pStyle w:val="SingleTxt"/>
      </w:pPr>
      <w:r>
        <w:t>7.</w:t>
      </w:r>
      <w:r>
        <w:tab/>
        <w:t>В докладе говорится, что с апреля 2000 года состав Государственной к</w:t>
      </w:r>
      <w:r>
        <w:t>о</w:t>
      </w:r>
      <w:r>
        <w:t>миссии по разработке государственной политики в области улучшения пол</w:t>
      </w:r>
      <w:r>
        <w:t>о</w:t>
      </w:r>
      <w:r>
        <w:t>жения женщин, которая является основным органом по координации гендерной политики правительства, претерпел существенные изменения, связанные с о</w:t>
      </w:r>
      <w:r>
        <w:t>т</w:t>
      </w:r>
      <w:r>
        <w:t>ставкой прежнего правительства (пункт 27). Просьба представить подробную информацию о нынешнем составе, мандате, полномочиях и ресурсах Комиссии и о ее отношениях с Департаментом по демографии, охране матери и ребенка и развитию семьи, который осуществляет контроль и координирует деятельность различных государственных учреждений, занимающихся проблемами женщин и семьи (пункт 28).</w:t>
      </w:r>
    </w:p>
    <w:p w:rsidR="00000000" w:rsidRDefault="00000000">
      <w:pPr>
        <w:pStyle w:val="SingleTxt"/>
      </w:pPr>
      <w:r>
        <w:t>8.</w:t>
      </w:r>
      <w:r>
        <w:tab/>
        <w:t>В докладе говорится, что в Канцелярии Народного защитника (Омбудсм</w:t>
      </w:r>
      <w:r>
        <w:t>е</w:t>
      </w:r>
      <w:r>
        <w:t>на) в 2002 году был создан Центр по правам женщин (пункт 31). Просьба пре</w:t>
      </w:r>
      <w:r>
        <w:t>д</w:t>
      </w:r>
      <w:r>
        <w:t>ставить подробную информацию о жалобах на нарушения прав женщин, кот</w:t>
      </w:r>
      <w:r>
        <w:t>о</w:t>
      </w:r>
      <w:r>
        <w:t>рые были получены и рассмотрены Центром или Омбудсменом за время, пр</w:t>
      </w:r>
      <w:r>
        <w:t>о</w:t>
      </w:r>
      <w:r>
        <w:t>шедшее с момента представления первоначального доклада.</w:t>
      </w:r>
    </w:p>
    <w:p w:rsidR="00000000" w:rsidRDefault="00000000">
      <w:pPr>
        <w:pStyle w:val="SingleTxt"/>
      </w:pPr>
      <w:r>
        <w:t>9.</w:t>
      </w:r>
      <w:r>
        <w:tab/>
        <w:t>В докладе говорится, что Государственному департаменту статистики п</w:t>
      </w:r>
      <w:r>
        <w:t>о</w:t>
      </w:r>
      <w:r>
        <w:t>ручено включать в свой ежегодный доклад гендерноориентированные данные (пункт 16) и что в 1999 и в 2002 годах им были опубликованы статистические сборники под названием «Женщины и мужчины в Грузии», в которых соде</w:t>
      </w:r>
      <w:r>
        <w:t>р</w:t>
      </w:r>
      <w:r>
        <w:t>жатся самые разнообразные данные гендерного характера (пункт 48). Вместе с тем в доклад включена лишь ограниченная статистическая информация, и в нем не обсуждаются результаты статистического анализа, касающегося пол</w:t>
      </w:r>
      <w:r>
        <w:t>о</w:t>
      </w:r>
      <w:r>
        <w:t>жения женщин и осуществления Конвенции в Грузии. Просьба представить информацию о сделанных на основе проведенных статистических исследов</w:t>
      </w:r>
      <w:r>
        <w:t>а</w:t>
      </w:r>
      <w:r>
        <w:t>ний выводах относительно положения женщин. Просьба сообщить также, к</w:t>
      </w:r>
      <w:r>
        <w:t>а</w:t>
      </w:r>
      <w:r>
        <w:t>ким образом полученная информация используется для совершенствования, мониторинга и оценки политики и программ, касающихся же</w:t>
      </w:r>
      <w:r>
        <w:t>н</w:t>
      </w:r>
      <w:r>
        <w:t>щин.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женщин в общественной жизни и принятии решений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10.</w:t>
      </w:r>
      <w:r>
        <w:tab/>
        <w:t>Согласно докладу, показатели представленности женщин в директивных органах не претерпели сколько-нибудь существенных изменений с момента представления первоначального доклада (7 процентов в парламенте и 14 процентов в местных органах управления) (пункт 82). Грузия не применяет специальных мер временного характера для расширения участия женщин (пункт 49). В докладе отмечается, что в органах судебной власти женщины представлены значительно лучше и составляют одну треть всех судей страны. Согласно докладу, подобное состояние дел можно объяснить тем, что женщ</w:t>
      </w:r>
      <w:r>
        <w:t>и</w:t>
      </w:r>
      <w:r>
        <w:t>ны-юристы выиграли от принятия новых правил отбора судей, которые позв</w:t>
      </w:r>
      <w:r>
        <w:t>о</w:t>
      </w:r>
      <w:r>
        <w:t>ляют им конкурировать с мужчинами на равной основе (пункт 83). Просьба представить более подробную информацию об опыте применения правил о</w:t>
      </w:r>
      <w:r>
        <w:t>т</w:t>
      </w:r>
      <w:r>
        <w:t>бора, позволяющих женщинам на равных конкурировать с мужчинами, а также о том, каким образом эти правила можно было бы использовать в контексте других процедур отбора и избрания. Просьба также сообщить о принимаемых мерах для обеспечения полного и равного участия и представленности женщин на всех уровнях государственного управления с учетом общей рекоменд</w:t>
      </w:r>
      <w:r>
        <w:t>а</w:t>
      </w:r>
      <w:r>
        <w:t>ции 25 Комитета о временных специальных мерах и общей рекомендации 23 об уч</w:t>
      </w:r>
      <w:r>
        <w:t>а</w:t>
      </w:r>
      <w:r>
        <w:t>стии женщин в общественной жизни.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11.</w:t>
      </w:r>
      <w:r>
        <w:tab/>
        <w:t>Просьба уточнить характер собираемых данных обо всех видах насилия в отношении женщин, включая бытовое насилие, похищения, изнасилования и сексуальное насилие, и указать, какие тенденции выявляются с помощью таких данных.</w:t>
      </w:r>
    </w:p>
    <w:p w:rsidR="00000000" w:rsidRDefault="00000000">
      <w:pPr>
        <w:pStyle w:val="SingleTxt"/>
      </w:pPr>
      <w:r>
        <w:t>12.</w:t>
      </w:r>
      <w:r>
        <w:tab/>
        <w:t>В докладе говорится, что в 2000–2003 годах было зарегистрировано 134 случая изнасилования и 87 покушений на изнасилование (пункт 76). Просьба представить обновленные данные о количестве дел, связанных с се</w:t>
      </w:r>
      <w:r>
        <w:t>к</w:t>
      </w:r>
      <w:r>
        <w:t>суальным насилием, включая дела, завершившиеся осуждением виновных, и средней продолжительности сроков тюремного заключения по вынесенным приговорам.</w:t>
      </w:r>
    </w:p>
    <w:p w:rsidR="00000000" w:rsidRDefault="00000000">
      <w:pPr>
        <w:pStyle w:val="SingleTxt"/>
      </w:pPr>
      <w:r>
        <w:t>13.</w:t>
      </w:r>
      <w:r>
        <w:tab/>
        <w:t>В докладе Специального докладчика по вопросу о насилии в отношении женщин, его причинах и последствиях за 2003 год (E/CN.4/2003/75/Add.1, пункт 1991) отмечается, что серьезной проблемой в Грузии является бытовое насилие, однако оно преследуется и о нем сообщается лишь в редких случаях, поскольку в обществе существует табу на обсуждение этой проблемы вне с</w:t>
      </w:r>
      <w:r>
        <w:t>е</w:t>
      </w:r>
      <w:r>
        <w:t>мьи. В этой связи делается ссылка на План действий по борьбе с насилием в отношении женщин (2000–2002 годы) (пункт 37). Вместе с тем в докладе нич</w:t>
      </w:r>
      <w:r>
        <w:t>е</w:t>
      </w:r>
      <w:r>
        <w:t>го не говорится о принятии или рассмотрении закона о бытовом насилии. Просьба представить подробную информацию о принимаемых правительством мерах для решения проблемы бытового насилия, включая информацию о пр</w:t>
      </w:r>
      <w:r>
        <w:t>о</w:t>
      </w:r>
      <w:r>
        <w:t>водимых исследованиях, принятых законах, оказываемых услугах и созданных механизмах.</w:t>
      </w:r>
    </w:p>
    <w:p w:rsidR="00000000" w:rsidRDefault="00000000">
      <w:pPr>
        <w:pStyle w:val="SingleTxt"/>
      </w:pPr>
      <w:r>
        <w:t>14.</w:t>
      </w:r>
      <w:r>
        <w:tab/>
        <w:t>Согласно докладу, в настоящее время рассматриваются законы о насилии на производстве (включая сексуальные домогательства на рабочем месте) (пункт 105). Просьба представить подробную информацию о достигнутом пр</w:t>
      </w:r>
      <w:r>
        <w:t>о</w:t>
      </w:r>
      <w:r>
        <w:t>грессе, в частности о том, приняты ли эти законы и каковы их сфера примен</w:t>
      </w:r>
      <w:r>
        <w:t>е</w:t>
      </w:r>
      <w:r>
        <w:t>ния и содержание.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женщинами и эксплуатация проституции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15.</w:t>
      </w:r>
      <w:r>
        <w:tab/>
        <w:t>Специальный докладчик по вопросу о насилии в отношении женщин, его причинах и последствиях в своем докладе за 2003 год (E/CN.4/2003/75/Add.1, пункт 1993) отмечает, что Грузия является страной-поставщиком и страной транзита женщин, переправляемых главным образом в Турцию, Израиль, Гр</w:t>
      </w:r>
      <w:r>
        <w:t>е</w:t>
      </w:r>
      <w:r>
        <w:t>цию и Западную Европу в целях их сексуальной эксплуатации и использования в качестве домашней прислуги. В Плане действий по борьбе с насилием в о</w:t>
      </w:r>
      <w:r>
        <w:t>т</w:t>
      </w:r>
      <w:r>
        <w:t>ношении женщин (2000–2002 годы) предусмотрены меры по сбору данных о торговле женщинами в целях их сексуальной эксплуатации и разработке пр</w:t>
      </w:r>
      <w:r>
        <w:t>о</w:t>
      </w:r>
      <w:r>
        <w:t>грамм защиты жертв (пункт 60). Кроме того, в Плане действий по борьбе с торговлей людьми (2003–2005 годы) предусмотрено оказание жертвам такой торговли услуг по реабилитации (пункт 62). Вместе с тем в докладе отсутс</w:t>
      </w:r>
      <w:r>
        <w:t>т</w:t>
      </w:r>
      <w:r>
        <w:t>вуют данные о масштабах торговли людьми и не указывается, имеются ли к</w:t>
      </w:r>
      <w:r>
        <w:t>а</w:t>
      </w:r>
      <w:r>
        <w:t>кие-либо программы защиты и реабилитации жертв. Просьба представить т</w:t>
      </w:r>
      <w:r>
        <w:t>а</w:t>
      </w:r>
      <w:r>
        <w:t>кую информ</w:t>
      </w:r>
      <w:r>
        <w:t>а</w:t>
      </w:r>
      <w:r>
        <w:t>цию.</w:t>
      </w:r>
    </w:p>
    <w:p w:rsidR="00000000" w:rsidRDefault="00000000">
      <w:pPr>
        <w:pStyle w:val="SingleTxt"/>
      </w:pPr>
      <w:r>
        <w:t>16.</w:t>
      </w:r>
      <w:r>
        <w:tab/>
        <w:t>Согласно докладу, поправки к Уголовному кодексу, запрещающие торго</w:t>
      </w:r>
      <w:r>
        <w:t>в</w:t>
      </w:r>
      <w:r>
        <w:t>лю людьми, вступили в силу 10 июля 2003 года и с июля по октябрь 2003 года было возбуждено четыре уголовных дела в связи с такой торговлей (пункт 70). Просьба представить подробную информацию о законе, устанавливающем уг</w:t>
      </w:r>
      <w:r>
        <w:t>о</w:t>
      </w:r>
      <w:r>
        <w:t>ловную ответственность за торговлю людьми, и последние данные о количес</w:t>
      </w:r>
      <w:r>
        <w:t>т</w:t>
      </w:r>
      <w:r>
        <w:t>ве дел, возбужденных в соответствии с этим законом, и вынесенных пригов</w:t>
      </w:r>
      <w:r>
        <w:t>о</w:t>
      </w:r>
      <w:r>
        <w:t>рах.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17.</w:t>
      </w:r>
      <w:r>
        <w:tab/>
        <w:t>В своих предыдущих заключительных замечаниях Комитет выразил обе</w:t>
      </w:r>
      <w:r>
        <w:t>с</w:t>
      </w:r>
      <w:r>
        <w:t>покоенность по поводу сохранения различий в оплате труда мужчин и женщин, особенно в государственном секторе, и просил Грузию сообщить о причинах этого (A/54/38/Rev.1, часть вторая, пункты 107 и 108). В докладе говорится, что эти различия сохраняются во всех секторах (пункт 111, таблица 9) и объясн</w:t>
      </w:r>
      <w:r>
        <w:t>я</w:t>
      </w:r>
      <w:r>
        <w:t>ются тем, что женщины независимо от уровня их образования гораздо чаще выполняют низкооплачиваемую работу, чем мужчины (пункт 115). Просьба с</w:t>
      </w:r>
      <w:r>
        <w:t>о</w:t>
      </w:r>
      <w:r>
        <w:t>общить о мерах, принимаемых в целях сокращения разрыва в заработной плате и разрыва между квалификацией женщин и возможностями их трудоустройс</w:t>
      </w:r>
      <w:r>
        <w:t>т</w:t>
      </w:r>
      <w:r>
        <w:t>ва.</w:t>
      </w:r>
    </w:p>
    <w:p w:rsidR="00000000" w:rsidRDefault="00000000">
      <w:pPr>
        <w:pStyle w:val="SingleTxt"/>
      </w:pPr>
      <w:r>
        <w:t>18.</w:t>
      </w:r>
      <w:r>
        <w:tab/>
        <w:t>Согласно докладу, министерству здравоохранения было поручено прове</w:t>
      </w:r>
      <w:r>
        <w:t>с</w:t>
      </w:r>
      <w:r>
        <w:t>ти анализ стандартов в области охраны здоровья женщин в производственной области в целях ликвидации прямой и косвенной дискриминации в отношении женщин на рынке труда (пункты 11 и 44). Просьба представить подробную и</w:t>
      </w:r>
      <w:r>
        <w:t>н</w:t>
      </w:r>
      <w:r>
        <w:t>формацию о результатах этого анализа и предложенных и/или уже принятых мерах.</w:t>
      </w:r>
    </w:p>
    <w:p w:rsidR="00000000" w:rsidRDefault="00000000">
      <w:pPr>
        <w:pStyle w:val="SingleTxt"/>
      </w:pPr>
      <w:r>
        <w:t>19.</w:t>
      </w:r>
      <w:r>
        <w:tab/>
        <w:t>В докладе отмечается, что число «экономически неактивных» женщин более чем вдвое превышает число «экономически неактивных» мужчин (пункт 109, таблица 7). В то же время среди «лиц, работающих на семейных предприятиях/в домашних хозяйствах без вознаграждения» мужчин в два раза больше, чем женщин (пункт 114, таблица 11). Просьба разъяснить понятия «экономически неактивное население» и «лица, работающие в домашних х</w:t>
      </w:r>
      <w:r>
        <w:t>о</w:t>
      </w:r>
      <w:r>
        <w:t>зяйствах без вознаграждения» и представить подробную информацию об уч</w:t>
      </w:r>
      <w:r>
        <w:t>а</w:t>
      </w:r>
      <w:r>
        <w:t>стии женщин в неорганизованном се</w:t>
      </w:r>
      <w:r>
        <w:t>к</w:t>
      </w:r>
      <w:r>
        <w:t>торе.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 и стереотипы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20.</w:t>
      </w:r>
      <w:r>
        <w:tab/>
        <w:t>В докладе отмечается, что министерству образования было поручено пр</w:t>
      </w:r>
      <w:r>
        <w:t>о</w:t>
      </w:r>
      <w:r>
        <w:t>вести гендерный анализ содержания учебников и издать руководство по вопр</w:t>
      </w:r>
      <w:r>
        <w:t>о</w:t>
      </w:r>
      <w:r>
        <w:t>сам «гендерного равенства и запрета дискриминации по признаку пола», кот</w:t>
      </w:r>
      <w:r>
        <w:t>о</w:t>
      </w:r>
      <w:r>
        <w:t>рым руководствовались бы авторы школьных учебников (пункт 54). Просьба представить подробную информацию о том, был ли завершен проект по изъ</w:t>
      </w:r>
      <w:r>
        <w:t>я</w:t>
      </w:r>
      <w:r>
        <w:t>тию стереотипных фраз из учебников и были ли проверены и пересмотрены учебники помимо тех, которые используются в начальных школах.</w:t>
      </w:r>
    </w:p>
    <w:p w:rsidR="00000000" w:rsidRDefault="00000000">
      <w:pPr>
        <w:pStyle w:val="SingleTxt"/>
      </w:pPr>
      <w:r>
        <w:t>21.</w:t>
      </w:r>
      <w:r>
        <w:tab/>
        <w:t>Просьба представить информацию о принимаемых правительством мерах по стимулированию средств массовой информации к прекращению стереоти</w:t>
      </w:r>
      <w:r>
        <w:t>п</w:t>
      </w:r>
      <w:r>
        <w:t>ного изображения женщин и активному содействию формированию позитивн</w:t>
      </w:r>
      <w:r>
        <w:t>о</w:t>
      </w:r>
      <w:r>
        <w:t>го образа женщин, не обремененного стереотипами.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Охрана здоровья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22.</w:t>
      </w:r>
      <w:r>
        <w:tab/>
        <w:t>В докладе говорится, что в соответствии с Указом президента № 110 «О мерах по профилактике заболеваний, передаваемых половым путем» мин</w:t>
      </w:r>
      <w:r>
        <w:t>и</w:t>
      </w:r>
      <w:r>
        <w:t>стерству внутренних дел «поручено доставлять проституток в соответству</w:t>
      </w:r>
      <w:r>
        <w:t>ю</w:t>
      </w:r>
      <w:r>
        <w:t>щие медицинские учреждения для выявления лиц с заболеваниями, передава</w:t>
      </w:r>
      <w:r>
        <w:t>е</w:t>
      </w:r>
      <w:r>
        <w:t>мыми половым путем» (пункт 75). Просьба разъяснить это заявление и указать, к</w:t>
      </w:r>
      <w:r>
        <w:t>а</w:t>
      </w:r>
      <w:r>
        <w:t xml:space="preserve">ким образом защищаются права женщин в этой области. </w:t>
      </w:r>
    </w:p>
    <w:p w:rsidR="00000000" w:rsidRDefault="00000000">
      <w:pPr>
        <w:pStyle w:val="SingleTxt"/>
      </w:pPr>
      <w:r>
        <w:t>23.</w:t>
      </w:r>
      <w:r>
        <w:tab/>
        <w:t>Согласно докладу, в 2003 году в стране было зарегистрировано 457 ВИЧ</w:t>
      </w:r>
      <w:r>
        <w:noBreakHyphen/>
        <w:t>инфицированных, 70 из которых — женщины; вместе с тем, по оце</w:t>
      </w:r>
      <w:r>
        <w:t>н</w:t>
      </w:r>
      <w:r>
        <w:t>кам ВОЗ, реальное число ВИЧ</w:t>
      </w:r>
      <w:r>
        <w:noBreakHyphen/>
        <w:t>инфицированных и больных СПИДом составл</w:t>
      </w:r>
      <w:r>
        <w:t>я</w:t>
      </w:r>
      <w:r>
        <w:t>ет 2000 человек (пункт 80). В докладе также отмечается, что женщины не хотят сообщать о своем заболевании в связи с негативным отношением к ВИЧ/СПИДу (пункт 122). Просьба сообщить, учитываются ли в государстве</w:t>
      </w:r>
      <w:r>
        <w:t>н</w:t>
      </w:r>
      <w:r>
        <w:t>ной программе профилактики ВИЧ/СПИДа (2003–2007 годы) (пункт 77) ге</w:t>
      </w:r>
      <w:r>
        <w:t>н</w:t>
      </w:r>
      <w:r>
        <w:t>дерные аспекты (и если да, то каким образом), а также представить информ</w:t>
      </w:r>
      <w:r>
        <w:t>а</w:t>
      </w:r>
      <w:r>
        <w:t>цию о том, какие меры принимаются в целях изменения отношения в обществе к ВИЧ</w:t>
      </w:r>
      <w:r>
        <w:noBreakHyphen/>
        <w:t>инфицированным и больным СПИДом и поощрения женщин к тому, чтобы они обращались в л</w:t>
      </w:r>
      <w:r>
        <w:t>е</w:t>
      </w:r>
      <w:r>
        <w:t>чебные учреждения.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семейные отношения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24.</w:t>
      </w:r>
      <w:r>
        <w:tab/>
        <w:t>В первоначальном докладе Грузии говорится, что «никаких препятствий к заключению брака по религиозному обряду государство не чинит, и в после</w:t>
      </w:r>
      <w:r>
        <w:t>д</w:t>
      </w:r>
      <w:r>
        <w:t>нее время он приобрел в стране широкое распространение» (CEDAW/C/GEO/1, пункт 127). Во втором и третьем периодическом докладе (пункт 161) говори</w:t>
      </w:r>
      <w:r>
        <w:t>т</w:t>
      </w:r>
      <w:r>
        <w:t>ся, что содержащаяся в первоначальном докладе информация о нормативно-правовой базе в данной области сохраняет свою актуальность. Просьба уто</w:t>
      </w:r>
      <w:r>
        <w:t>ч</w:t>
      </w:r>
      <w:r>
        <w:t>нить, применяются ли положения Кодекса о браке и семье к бракам по религ</w:t>
      </w:r>
      <w:r>
        <w:t>и</w:t>
      </w:r>
      <w:r>
        <w:t>озному обряду или же эти браки регулируются религиозным правом.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Сельские женщины, этнические меньшинства, женщины старших возрастов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25.</w:t>
      </w:r>
      <w:r>
        <w:tab/>
        <w:t>Просьба представить подробную информацию об охране здоровья, обр</w:t>
      </w:r>
      <w:r>
        <w:t>а</w:t>
      </w:r>
      <w:r>
        <w:t xml:space="preserve">зовании и экономическом положении сельских женщин, а также об их участии в политической жизни. </w:t>
      </w:r>
    </w:p>
    <w:p w:rsidR="00000000" w:rsidRDefault="00000000">
      <w:pPr>
        <w:pStyle w:val="SingleTxt"/>
      </w:pPr>
      <w:r>
        <w:t>26.</w:t>
      </w:r>
      <w:r>
        <w:tab/>
        <w:t>В основном документе Грузии (HRI/CORE/1/Add.90/Rev.1) указывается на многоэтнический состав населения страны (пункты 24–26). Вместе с тем из информации по различным статьям Конвенции, содержащейся в сводном вт</w:t>
      </w:r>
      <w:r>
        <w:t>о</w:t>
      </w:r>
      <w:r>
        <w:t>ром и третьем периодическом докладе, не ясно, находятся ли женщины, пр</w:t>
      </w:r>
      <w:r>
        <w:t>и</w:t>
      </w:r>
      <w:r>
        <w:t>надлежащие к различным этническим группам, в особо уязвимом или неблаг</w:t>
      </w:r>
      <w:r>
        <w:t>о</w:t>
      </w:r>
      <w:r>
        <w:t>приятном положении; в нем также не указывается, приняты ли конкретные м</w:t>
      </w:r>
      <w:r>
        <w:t>е</w:t>
      </w:r>
      <w:r>
        <w:t>ры для решения проблем такого рода. Просьба представить такую информ</w:t>
      </w:r>
      <w:r>
        <w:t>а</w:t>
      </w:r>
      <w:r>
        <w:t>цию, включая статистические данные, дезагрегированные по признаку пола и во</w:t>
      </w:r>
      <w:r>
        <w:t>з</w:t>
      </w:r>
      <w:r>
        <w:t>растным группам.</w:t>
      </w:r>
    </w:p>
    <w:p w:rsidR="00000000" w:rsidRDefault="00000000">
      <w:pPr>
        <w:pStyle w:val="SingleTxt"/>
      </w:pPr>
      <w:r>
        <w:t>27.</w:t>
      </w:r>
      <w:r>
        <w:tab/>
        <w:t>Женщины составляют большинство в возрастной группе населения ста</w:t>
      </w:r>
      <w:r>
        <w:t>р</w:t>
      </w:r>
      <w:r>
        <w:t>ше 25 лет. Просьба представить информацию о плане и программах в поддер</w:t>
      </w:r>
      <w:r>
        <w:t>ж</w:t>
      </w:r>
      <w:r>
        <w:t>ку таких женщин, особенно женщин в сельских районах и женщин, относ</w:t>
      </w:r>
      <w:r>
        <w:t>я</w:t>
      </w:r>
      <w:r>
        <w:t>щихся к этн</w:t>
      </w:r>
      <w:r>
        <w:t>и</w:t>
      </w:r>
      <w:r>
        <w:t>ческим меньшинствам.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Национальность и гражданство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28.</w:t>
      </w:r>
      <w:r>
        <w:tab/>
        <w:t>Просьба указать причины, по которым правительство воздерживается от внесения изменений или поправок, касающихся гражданства женщин, в Закон о гражданстве.</w:t>
      </w:r>
    </w:p>
    <w:p w:rsidR="00000000" w:rsidRDefault="00000000">
      <w:pPr>
        <w:pStyle w:val="SingleTxt"/>
        <w:spacing w:after="0" w:line="240" w:lineRule="auto"/>
      </w:pPr>
      <w:r>
        <w:rPr>
          <w:w w:val="100"/>
        </w:rPr>
        <w:pict>
          <v:line id="_x0000_s2050" style="position:absolute;left:0;text-align:left;z-index:1;mso-position-horizontal:absolute;mso-position-horizontal-relative:text;mso-position-vertical:absolute;mso-position-vertical-relative:text" from="210.25pt,30pt" to="282.25pt,30pt" o:allowincell="f" strokeweight=".25pt"/>
        </w:pic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NO&gt;&gt;N0625026R&lt;&lt;ODS JOB NO&gt;&gt;</w:t>
      </w:r>
    </w:p>
    <w:p w:rsidR="00000000" w:rsidRDefault="00000000">
      <w:pPr>
        <w:pStyle w:val="CommentText"/>
      </w:pPr>
      <w:r>
        <w:t>&lt;&lt;ODS DOC SYMBOL1&gt;&gt;CEDAW/C/GEO/Q/3&lt;&lt;ODS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06-25026 (R)    030306    0</w:t>
    </w:r>
    <w:r>
      <w:rPr>
        <w:b w:val="0"/>
        <w:noProof w:val="0"/>
        <w:sz w:val="20"/>
        <w:lang w:val="ru-RU"/>
      </w:rPr>
      <w:t>7</w:t>
    </w:r>
    <w:r>
      <w:rPr>
        <w:b w:val="0"/>
        <w:sz w:val="20"/>
      </w:rPr>
      <w:t>0306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*0625026*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CEDAW/C/GEO/Q/3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CEDAW/C/GEO/Q/3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/C/GEO/Q/3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22 February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3/03/2006 17:47:00"/>
    <w:docVar w:name="DocCategory" w:val="Doc"/>
    <w:docVar w:name="DocType" w:val="Final"/>
    <w:docVar w:name="JobNo" w:val="0625026R"/>
    <w:docVar w:name="OandT" w:val=" "/>
    <w:docVar w:name="Symbol1" w:val="CEDAW/C/GEO/Q/3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6</Pages>
  <Words>2155</Words>
  <Characters>12286</Characters>
  <Application>Microsoft Office Word</Application>
  <DocSecurity>4</DocSecurity>
  <Lines>102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15088</CharactersWithSpaces>
  <SharedDoc>false</SharedDoc>
  <HLinks>
    <vt:vector size="6" baseType="variant">
      <vt:variant>
        <vt:i4>4522087</vt:i4>
      </vt:variant>
      <vt:variant>
        <vt:i4>31060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Nadejda Kozlova</dc:creator>
  <cp:keywords/>
  <dc:description/>
  <cp:lastModifiedBy>Irina Galitchskaia</cp:lastModifiedBy>
  <cp:revision>8</cp:revision>
  <cp:lastPrinted>2006-03-07T08:13:00Z</cp:lastPrinted>
  <dcterms:created xsi:type="dcterms:W3CDTF">2006-03-07T08:11:00Z</dcterms:created>
  <dcterms:modified xsi:type="dcterms:W3CDTF">2006-03-07T09:31:00Z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0625026</vt:lpwstr>
  </property>
  <property fmtid="{D5CDD505-2E9C-101B-9397-08002B2CF9AE}" pid="3" name="Symbol1">
    <vt:lpwstr>CEDAW/C/GEO/Q/3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Galitchskaia</vt:lpwstr>
  </property>
</Properties>
</file>