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0;margin-top:704.65pt;width:198pt;height:18pt;z-index:1;mso-position-horizontal-relative:margin" filled="f" stroked="f">
            <v:textbox inset="0,0,0,0">
              <w:txbxContent>
                <w:p w:rsidR="00000000" w:rsidRDefault="00000000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GE.09-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40595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    260209    270209</w:t>
                  </w:r>
                </w:p>
              </w:txbxContent>
            </v:textbox>
            <w10:wrap anchorx="margin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  <w:lang w:val="en-US"/>
              </w:rPr>
              <w:br/>
            </w:r>
            <w:r>
              <w:rPr>
                <w:b/>
                <w:sz w:val="30"/>
              </w:rPr>
              <w:t>ОБЪЕДИНЕННЫХ 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7"/>
            </w:pPr>
            <w:r>
              <w:t>CAT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</w:pPr>
    </w:p>
    <w:tbl>
      <w:tblPr>
        <w:tblW w:w="0" w:type="auto"/>
        <w:tblInd w:w="8" w:type="dxa"/>
        <w:tblBorders>
          <w:bottom w:val="single" w:sz="3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5386"/>
        <w:gridCol w:w="2835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68"/>
        </w:trPr>
        <w:tc>
          <w:tcPr>
            <w:tcW w:w="1418" w:type="dxa"/>
          </w:tcPr>
          <w:bookmarkStart w:id="0" w:name="_MON_1115032092"/>
          <w:bookmarkEnd w:id="0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2207063" r:id="rId8"/>
              </w:objec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</w:rPr>
            </w:pPr>
            <w:r>
              <w:rPr>
                <w:vanish/>
                <w:sz w:val="20"/>
              </w:rPr>
              <w:fldChar w:fldCharType="begin"/>
            </w:r>
            <w:r>
              <w:rPr>
                <w:vanish/>
                <w:sz w:val="20"/>
              </w:rPr>
              <w:instrText>SEQ _endnote  \* ARABIC</w:instrText>
            </w:r>
            <w:r>
              <w:rPr>
                <w:vanish/>
                <w:sz w:val="20"/>
              </w:rPr>
              <w:fldChar w:fldCharType="separate"/>
            </w:r>
            <w:r>
              <w:rPr>
                <w:noProof/>
                <w:vanish/>
                <w:sz w:val="20"/>
              </w:rPr>
              <w:t>1</w:t>
            </w:r>
            <w:r>
              <w:rPr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</w:pPr>
          </w:p>
        </w:tc>
        <w:tc>
          <w:tcPr>
            <w:tcW w:w="5386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</w:pPr>
            <w:r>
              <w:rPr>
                <w:b/>
                <w:sz w:val="30"/>
              </w:rPr>
              <w:t xml:space="preserve">Конвенция против пыток </w:t>
            </w:r>
            <w:r>
              <w:rPr>
                <w:b/>
                <w:sz w:val="30"/>
              </w:rPr>
              <w:br/>
              <w:t xml:space="preserve">и других жестоких, бесчеловечных </w:t>
            </w:r>
            <w:r>
              <w:rPr>
                <w:b/>
                <w:sz w:val="30"/>
              </w:rPr>
              <w:br/>
              <w:t xml:space="preserve">или унижающих достоинство видов </w:t>
            </w:r>
            <w:r>
              <w:rPr>
                <w:b/>
                <w:sz w:val="30"/>
              </w:rPr>
              <w:br/>
              <w:t>обращения и наказания</w:t>
            </w:r>
          </w:p>
        </w:tc>
        <w:tc>
          <w:tcPr>
            <w:tcW w:w="2835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t>Distr.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1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"</w:instrText>
            </w:r>
            <w:r>
              <w:rPr>
                <w:sz w:val="22"/>
              </w:rPr>
              <w:instrText>Символ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>
              <w:rPr>
                <w:sz w:val="22"/>
                <w:lang w:val="en-US"/>
              </w:rPr>
              <w:instrText xml:space="preserve">" \* MERGEFORMAT </w:instrText>
            </w:r>
            <w:r>
              <w:rPr>
                <w:sz w:val="22"/>
              </w:rPr>
              <w:fldChar w:fldCharType="separate"/>
            </w:r>
            <w:r>
              <w:rPr>
                <w:sz w:val="22"/>
                <w:lang w:val="en-US"/>
              </w:rPr>
              <w:t>CAT/C/PHL/Q/2</w:t>
            </w:r>
            <w:r>
              <w:rPr>
                <w:sz w:val="22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"</w:instrText>
            </w:r>
            <w:r>
              <w:rPr>
                <w:sz w:val="22"/>
              </w:rPr>
              <w:instrText>Дата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>
              <w:rPr>
                <w:sz w:val="22"/>
                <w:lang w:val="en-US"/>
              </w:rPr>
              <w:instrText xml:space="preserve">" \* MERGEFORMAT </w:instrText>
            </w:r>
            <w:r>
              <w:rPr>
                <w:sz w:val="22"/>
              </w:rPr>
              <w:fldChar w:fldCharType="separate"/>
            </w:r>
            <w:r>
              <w:rPr>
                <w:sz w:val="22"/>
                <w:lang w:val="en-US"/>
              </w:rPr>
              <w:t>12 February 2009</w:t>
            </w:r>
            <w:r>
              <w:rPr>
                <w:sz w:val="22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t>RUSSIAN</w:t>
            </w: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</w:rPr>
              <w:t xml:space="preserve">Original:  </w:t>
            </w:r>
            <w:r>
              <w:rPr>
                <w:sz w:val="22"/>
              </w:rPr>
              <w:fldChar w:fldCharType="begin">
                <w:ffData>
                  <w:name w:val="ПолеСоСписком3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3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2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9"/>
              <w:rPr>
                <w:sz w:val="22"/>
              </w:rPr>
            </w:pPr>
          </w:p>
        </w:tc>
      </w:tr>
    </w:tbl>
    <w:p w:rsidR="00000000" w:rsidRDefault="00000000">
      <w:pPr>
        <w:tabs>
          <w:tab w:val="left" w:pos="0"/>
        </w:tabs>
        <w:suppressAutoHyphens/>
        <w:rPr>
          <w:lang w:val="en-US"/>
        </w:rPr>
      </w:pPr>
    </w:p>
    <w:p w:rsidR="00000000" w:rsidRDefault="00000000">
      <w:r>
        <w:t>КОМИТЕТ ПРОТИВ ПЫТОК</w:t>
      </w:r>
      <w:r>
        <w:br/>
        <w:t>Сорок вторая сессия</w:t>
      </w:r>
      <w:r>
        <w:br/>
        <w:t>27 апреля - 15 мая 2009 года</w:t>
      </w:r>
    </w:p>
    <w:p w:rsidR="00000000" w:rsidRDefault="00000000"/>
    <w:p w:rsidR="00000000" w:rsidRDefault="00000000"/>
    <w:p w:rsidR="00000000" w:rsidRDefault="00000000">
      <w:pPr>
        <w:jc w:val="center"/>
        <w:rPr>
          <w:b/>
          <w:szCs w:val="24"/>
        </w:rPr>
      </w:pPr>
      <w:r>
        <w:rPr>
          <w:b/>
        </w:rPr>
        <w:t>Перечень вопросов для рассмотрения в ходе обсуждения второго</w:t>
      </w:r>
      <w:r>
        <w:rPr>
          <w:b/>
        </w:rPr>
        <w:br/>
        <w:t xml:space="preserve">периодического доклада ФИЛИППИН </w:t>
      </w:r>
      <w:r>
        <w:rPr>
          <w:b/>
          <w:szCs w:val="24"/>
        </w:rPr>
        <w:t>(</w:t>
      </w:r>
      <w:r>
        <w:rPr>
          <w:b/>
          <w:szCs w:val="24"/>
          <w:lang w:val="en-US"/>
        </w:rPr>
        <w:t>CAT</w:t>
      </w:r>
      <w:r>
        <w:rPr>
          <w:b/>
          <w:szCs w:val="24"/>
        </w:rPr>
        <w:t>/</w:t>
      </w:r>
      <w:r>
        <w:rPr>
          <w:b/>
          <w:szCs w:val="24"/>
          <w:lang w:val="en-US"/>
        </w:rPr>
        <w:t>C</w:t>
      </w:r>
      <w:r>
        <w:rPr>
          <w:b/>
          <w:szCs w:val="24"/>
        </w:rPr>
        <w:t>/</w:t>
      </w:r>
      <w:r>
        <w:rPr>
          <w:b/>
          <w:szCs w:val="24"/>
          <w:lang w:val="en-US"/>
        </w:rPr>
        <w:t>PHL</w:t>
      </w:r>
      <w:r>
        <w:rPr>
          <w:b/>
          <w:szCs w:val="24"/>
        </w:rPr>
        <w:t>/2)</w:t>
      </w:r>
    </w:p>
    <w:p w:rsidR="00000000" w:rsidRDefault="00000000">
      <w:pPr>
        <w:jc w:val="center"/>
        <w:rPr>
          <w:b/>
          <w:szCs w:val="24"/>
        </w:rPr>
      </w:pPr>
    </w:p>
    <w:p w:rsidR="00000000" w:rsidRDefault="00000000">
      <w:pPr>
        <w:jc w:val="center"/>
        <w:rPr>
          <w:b/>
        </w:rPr>
      </w:pPr>
      <w:r>
        <w:rPr>
          <w:b/>
          <w:szCs w:val="24"/>
        </w:rPr>
        <w:t>Статья 1</w:t>
      </w:r>
    </w:p>
    <w:p w:rsidR="00000000" w:rsidRDefault="00000000">
      <w:pPr>
        <w:jc w:val="center"/>
        <w:rPr>
          <w:b/>
        </w:rPr>
      </w:pPr>
    </w:p>
    <w:p w:rsidR="00000000" w:rsidRDefault="00000000">
      <w:r>
        <w:t>1.</w:t>
      </w:r>
      <w:r>
        <w:tab/>
        <w:t>Хотя в докладе (</w:t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PHL</w:t>
      </w:r>
      <w:r>
        <w:t>/2) заявлено, что пересмотренный Уголовный кодекс гарантирует квалификацию всех актов пыток в качестве уголовных правонарушений, которые караются на основании законодательства Филиппин соответствующими мерами наказания (пункт 4), просьба проинформировать Комитет о мерах, принятых государством-участником для изменения его законодательства и для включения содержащегося в Конвенции определения пытки в его Уголовный кодекс.  Согласно докладу Комитет по вопросам правосудия одобрил законопроект № 5846 Палаты представителей, который объединяет в себе три законопроекта о пытках, а в Сенат представлены два законопроекта о пытках, которые пока находятся на рассмотрении в комитетах.  Просьба представить более подробную информацию об этих законопроектах и разъяснить их содержание и взаимосвязь.  Каково положение дел с этими законопроектами (пункты 3 и 4)?</w:t>
      </w:r>
    </w:p>
    <w:p w:rsidR="00000000" w:rsidRDefault="00000000"/>
    <w:p w:rsidR="00000000" w:rsidRDefault="00000000">
      <w:pPr>
        <w:keepNext/>
        <w:jc w:val="center"/>
        <w:rPr>
          <w:b/>
        </w:rPr>
      </w:pPr>
      <w:r>
        <w:rPr>
          <w:b/>
        </w:rPr>
        <w:t>Статья 2</w:t>
      </w:r>
    </w:p>
    <w:p w:rsidR="00000000" w:rsidRDefault="00000000">
      <w:pPr>
        <w:keepNext/>
        <w:jc w:val="center"/>
        <w:rPr>
          <w:b/>
        </w:rPr>
      </w:pPr>
    </w:p>
    <w:p w:rsidR="00000000" w:rsidRDefault="00000000">
      <w:pPr>
        <w:keepNext/>
      </w:pPr>
      <w:r>
        <w:t>2.</w:t>
      </w:r>
      <w:r>
        <w:tab/>
        <w:t xml:space="preserve">Просьба сообщить, каким образом в государстве-участнике осуществляются основные правовые гарантии, предусмотренные в Республиканском законе № 7438 (включая незамедлительный доступ к защитнику и медицинскому освидетельствованию, а также право на информирование родственников) для задержанных лиц с момента их задержания.  Просьба представить информацию о любых ограничениях, которые могут </w:t>
      </w:r>
    </w:p>
    <w:p w:rsidR="00000000" w:rsidRDefault="00000000">
      <w:r>
        <w:br w:type="page"/>
        <w:t>быть введены в отношении этих прав, и пояснить содержащееся в докладе заявление о том, что "…независимо от положений вышеупомянутой статьи любой надзиратель, несущий ответственность за какого</w:t>
      </w:r>
      <w:r>
        <w:noBreakHyphen/>
        <w:t>либо задержанного лица или заключенного, может принимать такие разумные меры, которые могут оказаться необходимыми для обеспечения их безопасности и предупреждения их побега" (пункт 56).  Какие меры принимает государство-участник для обеспечения узкого толкования этого положения (пункт 54)?  Просьба также представить информацию о применении положения о наказаниях, содержащегося в статье 4 того же закона.  Сколь часто делаются ссылки на это положение и сколько государственных служащих было наказано в соответствии с ним?</w:t>
      </w:r>
    </w:p>
    <w:p w:rsidR="00000000" w:rsidRDefault="00000000">
      <w:pPr>
        <w:rPr>
          <w:sz w:val="20"/>
        </w:rPr>
      </w:pPr>
    </w:p>
    <w:p w:rsidR="00000000" w:rsidRDefault="00000000">
      <w:r>
        <w:t>3.</w:t>
      </w:r>
      <w:r>
        <w:tab/>
        <w:t>Просьба представить подробную информацию о фактической практике задержания подозреваемых Филиппинской национальной полицией (ФНП) и Вооруженными силами Филиппин (ВСФ), в том числе данные о количестве и продолжительности задержаний.  Просьба прокомментировать сообщения о том, что, хотя власти должны предъявлять обвинения в течение 12</w:t>
      </w:r>
      <w:r>
        <w:noBreakHyphen/>
        <w:t>36 часов с момента ареста, произведенного без соответствующего ордера, в зависимости от степени тяжести преступления, продолжительное содержание под стражей до суда остается актуальной проблемой вследствие медлительности судебных разбирательств.  Просьба также прокомментировать сообщения о том, что аресты без соответствующих ордеров получили широкое распространение, что многие из этих арестов могут быть произвольными и что лицам, подозреваемым в совершении уголовных преступлений, угрожает применение пыток и жестокого обращения в течение длительных периодов, когда их задерживают "на время следствия".  Проходят ли задержанные ФНП и ВСФ лица систематическую регистрацию и ведется ли общий реестр задержанных лиц?</w:t>
      </w:r>
    </w:p>
    <w:p w:rsidR="00000000" w:rsidRDefault="00000000">
      <w:pPr>
        <w:rPr>
          <w:sz w:val="20"/>
        </w:rPr>
      </w:pPr>
    </w:p>
    <w:p w:rsidR="00000000" w:rsidRDefault="00000000">
      <w:r>
        <w:t>4.</w:t>
      </w:r>
      <w:r>
        <w:tab/>
        <w:t>Просьба прокомментировать сообщения о том, что Республиканский закон № 9372 (Закон 2007 года о безопасности населения), известный также как Закон о борьбе с терроризмом, позволяет выдавать задержанных на Филиппинах лиц странам, в которых систематически применяются пытки, если принимающее государство дает гарантии справедливого обращения.  Позволяет ли этот закон задерживать подозреваемых без соответствующего ордера или предъявления обвинения на срок до 72 часов?  Просьба рассказать о мерах, принимаемых государством-участником для учета озабоченностей, которые высказал Специальный докладчик по вопросу о поощрении и защите прав человека в условиях борьбы с терроризмом в связи с Законом о безопасности населения, в том числе широким определением "террористических преступлений", строгим применением наказания в виде тюремного заключения на срок в 40 лет, компетенцией различных органов, уполномоченных пересматривать задержание отдельных лиц, и ограничениями свободы передвижения (</w:t>
      </w:r>
      <w:r>
        <w:rPr>
          <w:lang w:val="en-US"/>
        </w:rPr>
        <w:t>A</w:t>
      </w:r>
      <w:r>
        <w:t>/</w:t>
      </w:r>
      <w:r>
        <w:rPr>
          <w:lang w:val="en-US"/>
        </w:rPr>
        <w:t>HRC</w:t>
      </w:r>
      <w:r>
        <w:t>/6/17/</w:t>
      </w:r>
      <w:r>
        <w:rPr>
          <w:lang w:val="en-US"/>
        </w:rPr>
        <w:t>Add</w:t>
      </w:r>
      <w:r>
        <w:t>.1, пункты 64</w:t>
      </w:r>
      <w:r>
        <w:noBreakHyphen/>
        <w:t>97).</w:t>
      </w:r>
    </w:p>
    <w:p w:rsidR="00000000" w:rsidRDefault="00000000"/>
    <w:p w:rsidR="00000000" w:rsidRDefault="00000000">
      <w:r>
        <w:t>5.</w:t>
      </w:r>
      <w:r>
        <w:tab/>
        <w:t>Просьба проинформировать Комитет о том, содержит ли законодательство, запрещающее применение пыток и жестокого, бесчеловечного и унижающего достоинство обращения, конкретные положения о гендерных нарушениях Конвенции, включая сексуальное насилие.  Просьба также рассказать о всех эффективных мерах, если таковые принимаются, по выявлению и предупреждению подобных деяний и представить данные о жертвах в разбивке по полу, возрасту и этническому происхождению и информацию о расследованиях, преследованиях и наказаниях лиц, совершивших такие деяния.</w:t>
      </w:r>
    </w:p>
    <w:p w:rsidR="00000000" w:rsidRDefault="00000000"/>
    <w:p w:rsidR="00000000" w:rsidRDefault="00000000">
      <w:r>
        <w:t>6.</w:t>
      </w:r>
      <w:r>
        <w:tab/>
        <w:t>Из имеющейся в распоряжении Комитета информации вытекает, что государство-участник по</w:t>
      </w:r>
      <w:r>
        <w:noBreakHyphen/>
        <w:t>прежнему считается страной отправления, транзита и назначения в случае трансграничной торговли женщинами и детьми для целей сексуальной эксплуатации и принудительного труда.  Просьба представить обновленную информацию о любых новых законодательных актах и/или мерах, принятых в целях предупреждения и пресечения сексуальной торговли, а также соответствующие статистические данные по этой проблеме, в первую очередь о количестве жалоб, расследований, обвинений и осуждений за деяния, связанные с торговлей людьми.  Какие меры принимаются для оказания помощи жертвам, включая организацию учитывающей гендерные аспекты подготовки для сотрудников правоохранительных органов, контактирующих с жертвами таких деяний?</w:t>
      </w:r>
    </w:p>
    <w:p w:rsidR="00000000" w:rsidRDefault="00000000"/>
    <w:p w:rsidR="00000000" w:rsidRDefault="00000000">
      <w:r>
        <w:t>7.</w:t>
      </w:r>
      <w:r>
        <w:tab/>
        <w:t>Просьба прокомментировать сообщения о том, что число зарегистрированных в полиции случаев применения насилия в отношении женщин возросло в шесть раз за период с 1996 по 2005 год.  Просьба представить информацию о законодательных и иных мерах, принимаемых для предупреждения насилия в семье и для квалификации актов насилия в семье в качестве уголовно наказуемых правонарушений.  Просьба представить статистические данные о жалобах, преследованиях и осуждениях по делам, касающимся насилия в семье.  Просьба сообщить, какие принимаются меры для информирования и подготовки сотрудников правоохранительных органов и другого соответствующего персонала, с тем чтобы они выявляли акты насилия в семье и, в надлежащих случаях, принимали превентивные меры, а также для преследования виновных лиц</w:t>
      </w:r>
    </w:p>
    <w:p w:rsidR="00000000" w:rsidRDefault="00000000"/>
    <w:p w:rsidR="00000000" w:rsidRDefault="00000000">
      <w:r>
        <w:t>8.</w:t>
      </w:r>
      <w:r>
        <w:tab/>
        <w:t>Просьба представить более подробную информацию о мандате и деятельности Президентского комитета по правам человека (ПКПЧ), а также о выделяемых ему людских и финансовых ресурсах.  Согласно докладу президент издал Административное постановление № 163 об укреплении и увеличении членского состава ПКПЧ и расширении его функций, в соответствии с которым министерству внутренних дел и местного самоуправления (МВДМС) поручено руководить деятельностью межведомственной рабочей группы и координировать усилия по соблюдению и осуществлению Конвенции.  Просьба подробнее рассказать об этом и пояснить, каким образом изменение состава и укрепление ПКПЧ может обеспечить "более полное соблюдение и осуществление положений" Конвенции (пункты 7 и 122).</w:t>
      </w:r>
    </w:p>
    <w:p w:rsidR="00000000" w:rsidRDefault="00000000"/>
    <w:p w:rsidR="00000000" w:rsidRDefault="00000000">
      <w:pPr>
        <w:jc w:val="center"/>
        <w:rPr>
          <w:b/>
        </w:rPr>
      </w:pPr>
      <w:r>
        <w:rPr>
          <w:b/>
        </w:rPr>
        <w:t>Статья 3</w:t>
      </w:r>
    </w:p>
    <w:p w:rsidR="00000000" w:rsidRDefault="00000000">
      <w:pPr>
        <w:jc w:val="center"/>
        <w:rPr>
          <w:b/>
        </w:rPr>
      </w:pPr>
    </w:p>
    <w:p w:rsidR="00000000" w:rsidRDefault="00000000">
      <w:r>
        <w:t>9.</w:t>
      </w:r>
      <w:r>
        <w:tab/>
        <w:t>В связи с положениями, касающимися осуществления статьи 3 Конвенции во внутригосударственном праве просьба разъяснить, какие компетентные органы занимаются этим вопросом, каковы правовые гарантии и процедуры обжалования и имеют ли они приостанавливающее действие в отношении высылки, возвращения и выдачи лиц в другое государство.  Просьба представить подробную информацию о всех принятых в этой связи решениях и о других случаях возвращения, имеющих отношение к статье 3 Конвенции, а также о критериях, на основании которых выносятся такие решения;  просьба, в частности, указать число случаев и страны, в которые осуществлялось возвращение, и сообщить, имели ли место случаи отказа в возвращении/выдаче лиц из-за угрозы пыток и, если такие случаи имели место, о каких странах идет речь.</w:t>
      </w:r>
    </w:p>
    <w:p w:rsidR="00000000" w:rsidRDefault="00000000"/>
    <w:p w:rsidR="00000000" w:rsidRDefault="00000000">
      <w:r>
        <w:t>10.</w:t>
      </w:r>
      <w:r>
        <w:tab/>
        <w:t>Просьба представить подробную информацию о том, осуществляло ли государство-участник так называемые "чрезвычайные" выдачи или участвовало в них в какой-либо форме;  укажите в ответе, проводились ли в этой связи какие-либо расследования правительственными органами или государственными учреждениями.  Есть ли такие дела, рассмотрение которых продолжается?  Если это так, просьба ответить подробно.</w:t>
      </w:r>
    </w:p>
    <w:p w:rsidR="00000000" w:rsidRDefault="00000000"/>
    <w:p w:rsidR="00000000" w:rsidRDefault="00000000">
      <w:r>
        <w:t>11.</w:t>
      </w:r>
      <w:r>
        <w:tab/>
        <w:t>Просьба пояснить, какие меры планировало принять государство-участник для определения своих вытекающих из статьи 3 Конвенции обязательств по недопущению принудительного возвращения лиц с учетом подписанных Филиппинами двусторонних договоров о выдаче.  Имели ли место случаи, когда в соответствии с этими договорами было отказано в выдаче на том основании, что соответствующее лицо может быть подвергнуто пыткам в случае его выдачи запрашивающему государству?  Если это так, просьба ответить подробно.  Какие предусмотрены механизмы контроля после возвращения запрошенного лица (пункты 43</w:t>
      </w:r>
      <w:r>
        <w:noBreakHyphen/>
        <w:t>47)?</w:t>
      </w:r>
    </w:p>
    <w:p w:rsidR="00000000" w:rsidRDefault="00000000"/>
    <w:p w:rsidR="00000000" w:rsidRDefault="00000000">
      <w:pPr>
        <w:jc w:val="center"/>
        <w:rPr>
          <w:b/>
        </w:rPr>
      </w:pPr>
      <w:r>
        <w:rPr>
          <w:b/>
        </w:rPr>
        <w:t>Статья 4</w:t>
      </w:r>
    </w:p>
    <w:p w:rsidR="00000000" w:rsidRDefault="00000000">
      <w:pPr>
        <w:jc w:val="center"/>
        <w:rPr>
          <w:b/>
        </w:rPr>
      </w:pPr>
    </w:p>
    <w:p w:rsidR="00000000" w:rsidRDefault="00000000">
      <w:r>
        <w:t>12.</w:t>
      </w:r>
      <w:r>
        <w:tab/>
        <w:t>Просьба представить подробную информацию о действующих в настоящее время положениях уголовного законодательства, касающихся таких преступлений, как покушение на совершение актов пытки, подстрекательство к применению пыток или согласие с их применением либо отдание вышестоящим начальником приказа применить пытки, а также о конкретных наказаниях, выносимых за любое из этих правонарушений.  Просьба представить информацию о количестве и характере дел, в рамках которых применялись эти положения законодательства, а также о назначенных наказаниях или основаниях для вынесения оправдательного приговора.</w:t>
      </w:r>
    </w:p>
    <w:p w:rsidR="00000000" w:rsidRDefault="00000000"/>
    <w:p w:rsidR="00000000" w:rsidRDefault="00000000">
      <w:pPr>
        <w:keepNext/>
        <w:jc w:val="center"/>
        <w:rPr>
          <w:b/>
        </w:rPr>
      </w:pPr>
      <w:r>
        <w:rPr>
          <w:b/>
        </w:rPr>
        <w:t>Статьи 5, 7 и 8</w:t>
      </w:r>
    </w:p>
    <w:p w:rsidR="00000000" w:rsidRDefault="00000000">
      <w:pPr>
        <w:keepNext/>
        <w:jc w:val="center"/>
        <w:rPr>
          <w:b/>
        </w:rPr>
      </w:pPr>
    </w:p>
    <w:p w:rsidR="00000000" w:rsidRDefault="00000000">
      <w:pPr>
        <w:keepNext/>
      </w:pPr>
      <w:r>
        <w:t>13.</w:t>
      </w:r>
      <w:r>
        <w:tab/>
        <w:t>Просьба сообщить о любых законодательных или иных мерах, принятых для выполнения каждого из положений статьи 5 Конвенции.  Согласно действующему законодательству считается ли акт пытки универсальным преступлением по внутригосударственному праву независимо от того, где он совершен и гражданином какой страны является преступник или потерпевший?  Просьба привести соответствующие примеры каких-либо случаев такого преследования.  Считает ли государство-участник, что Конвенция действует в отношении лиц, находящихся под его юрисдикцией, в тех случаях когда войска или полицейские силы Филиппин расквартированы за границей?  Если это так, просьба привести соответствующую подробную информацию.</w:t>
      </w:r>
    </w:p>
    <w:p w:rsidR="00000000" w:rsidRDefault="00000000"/>
    <w:p w:rsidR="00000000" w:rsidRDefault="00000000">
      <w:r>
        <w:t>14.</w:t>
      </w:r>
      <w:r>
        <w:tab/>
        <w:t>Просьба сообщить, отклоняло ли государство-участник по тем или иным причинам какое-либо ходатайство третьего государства о выдаче лица, подозреваемого в совершении преступления пытки, и как следствие этого возбуждало ли оно собственную процедуру преследования.  Каковы результаты и итоги таких разбирательств?  Какие статьи Уголовного кодекса Филиппин были нарушены в подобных случаях?</w:t>
      </w:r>
    </w:p>
    <w:p w:rsidR="00000000" w:rsidRDefault="00000000"/>
    <w:p w:rsidR="00000000" w:rsidRDefault="00000000">
      <w:pPr>
        <w:jc w:val="center"/>
        <w:rPr>
          <w:b/>
        </w:rPr>
      </w:pPr>
      <w:r>
        <w:rPr>
          <w:b/>
        </w:rPr>
        <w:t>Статья 10</w:t>
      </w:r>
    </w:p>
    <w:p w:rsidR="00000000" w:rsidRDefault="00000000">
      <w:pPr>
        <w:jc w:val="center"/>
        <w:rPr>
          <w:b/>
        </w:rPr>
      </w:pPr>
    </w:p>
    <w:p w:rsidR="00000000" w:rsidRDefault="00000000">
      <w:r>
        <w:t>15.</w:t>
      </w:r>
      <w:r>
        <w:tab/>
        <w:t>В докладе сообщается о том, что в тесном сотрудничестве с Филиппинской комиссией по правам человека (ФКПЧ) в программы подготовки всех военнослужащих и сотрудников правоохранительных органов государства включаются разделы, касающиеся прав человека (пункты 49 и 50).  Просьба представить дополнительную информацию о подготовке и обучении сотрудников правоохранительных органов и других государственных служащих по вопросам прав человека, в частности о количестве и содержании программ подготовки по вопросам, касающимся обращения с задержанными лицами и уязвимыми группами, а также о мерах по предупреждению пыток и жестоких, бесчеловечных или унижающих достоинство видов обращения и наказания.  Учитываются ли в рамках такой подготовки гендерные аспекты?  Просьба уточнить, кто проводит и кто проходит эту подготовку и изучаются ли в рамках таких программ положения Конвенции.</w:t>
      </w:r>
    </w:p>
    <w:p w:rsidR="00000000" w:rsidRDefault="00000000">
      <w:r>
        <w:t>Каким образом и кем контролируются и оцениваются такие программы подготовки и обучения?</w:t>
      </w:r>
    </w:p>
    <w:p w:rsidR="00000000" w:rsidRDefault="00000000"/>
    <w:p w:rsidR="00000000" w:rsidRDefault="00000000">
      <w:r>
        <w:t>16.</w:t>
      </w:r>
      <w:r>
        <w:tab/>
        <w:t>Просьба представить подробную информацию о программах подготовки вступающих в контакт с задержанными лицами судей, прокуроров, судмедэкспертов и медперсонала для выявления и документирования физических и психологических последствий применения пыток.  Предусматривают ли такие программы специальный курс по изучению Руководства по эффективному расследованию и документированию пыток и других жестоких, бесчеловечных или унижающих достоинство видов обращения и наказания, известного под названием "Стамбульский протокол"?</w:t>
      </w:r>
    </w:p>
    <w:p w:rsidR="00000000" w:rsidRDefault="00000000"/>
    <w:p w:rsidR="00000000" w:rsidRDefault="00000000">
      <w:pPr>
        <w:jc w:val="center"/>
        <w:rPr>
          <w:b/>
        </w:rPr>
      </w:pPr>
      <w:r>
        <w:rPr>
          <w:b/>
        </w:rPr>
        <w:t>Статья 11</w:t>
      </w:r>
    </w:p>
    <w:p w:rsidR="00000000" w:rsidRDefault="00000000">
      <w:pPr>
        <w:jc w:val="center"/>
        <w:rPr>
          <w:b/>
        </w:rPr>
      </w:pPr>
    </w:p>
    <w:p w:rsidR="00000000" w:rsidRDefault="00000000">
      <w:r>
        <w:t>17.</w:t>
      </w:r>
      <w:r>
        <w:tab/>
        <w:t>Просьба рассказать о действующих процедурах по обеспечению соблюдения статьи 11 Конвенции и представить информацию о каких-либо новых правилах, инструкциях, методах, практике и процедурах, касающихся содержания под стражей, которые могли быть введены.  Просьба также указать, как часто они рассматриваются.  Существуют ли какие-либо правила, налагающие запрет на расследования, посещения представителями международных органов или механизмов или другие формы надзора за соблюдением прав человека?</w:t>
      </w:r>
    </w:p>
    <w:p w:rsidR="00000000" w:rsidRDefault="00000000"/>
    <w:p w:rsidR="00000000" w:rsidRDefault="00000000">
      <w:r>
        <w:t>18.</w:t>
      </w:r>
      <w:r>
        <w:tab/>
        <w:t>Просьба представить обновленную информацию, включая статистические данные, в разбивке по признакам пола, возраста и этнического происхождения, о количестве тюремных заключенных и об уровнях заполняемости мест содержания под стражей за период 2000-2008 годов.</w:t>
      </w:r>
    </w:p>
    <w:p w:rsidR="00000000" w:rsidRDefault="00000000"/>
    <w:p w:rsidR="00000000" w:rsidRDefault="00000000">
      <w:pPr>
        <w:keepLines/>
      </w:pPr>
      <w:r>
        <w:t>19.</w:t>
      </w:r>
      <w:r>
        <w:tab/>
        <w:t xml:space="preserve">Просьба прокомментировать сообщения о случаях жестокого обращения в пенитенциарных центрах, в том числе о серьезной переполненности этих центров, неудовлетворительных условиях содержания и отсутствии базовых условий.  Просьба привести конкретные примеры.  Согласно докладу правительство в лице министра бюджета и управления пообещало выделять больше средств Бюро управления тюрьмами и пенологии для создания более справедливой пенитенциарной системы, обеспечивающей более эффективное перевоспитание заключенных (пункт 93).  Просьба проинформировать Комитет о мерах, принимаемых государством-участником для улучшения этих условий содержания заключенных, а также о любых конкретных законодательных планах и бюджетных ассигнованиях, имеющих отношение к решению этой проблемы в будущем.  </w:t>
      </w:r>
    </w:p>
    <w:p w:rsidR="00000000" w:rsidRDefault="00000000"/>
    <w:p w:rsidR="00000000" w:rsidRDefault="00000000">
      <w:pPr>
        <w:tabs>
          <w:tab w:val="left" w:pos="0"/>
        </w:tabs>
        <w:suppressAutoHyphens/>
      </w:pPr>
      <w:r>
        <w:t>20.</w:t>
      </w:r>
      <w:r>
        <w:tab/>
        <w:t>Просьба представить статистические данные о количестве заключенных детей в разбивке по полу, возрасту и этническому происхождению.  Просьба представить информацию о мерах, принимаемых государством-участником для учета серьезных озабоченностей, которые высказал Комитет по правам ребенка (CRC/C/15/Add.259, пункты 89-91) в связи с большим числом заключенных в возрасте до 18 лет, систематическими нарушениями прав детей, вступивших в конфликт с законом, предполагаемыми случаями применения пыток, насилия, включая сексуальные домогательства, и других видов унижающего достоинство обращения с заключенными моложе 18 лет, а также общими недостатками в управлении системой отправления правосудия в отношении несовершеннолетних.  В пункте 87 доклада говорится о том, что недавно Президент подписал Директивное постановление № 633 о незамедлительном освобождении содержащихся под стражей детей, находящихся в конфликте с законом, на основании РЗ № 9344 - Закона об отправлении правосудия в отношении несовершеннолетних и их благосостоянии 2006 года.  Просьба представить информацию о выполнении этого постановления, в том числе о количестве выпущенных на свободу детей.  Просьба сообщить, как в настоящее время обстоит дело с обеспечением в местах лишения свободы строго раздельного содержания взрослых и лиц, не достигших 18-летнего возраста.</w:t>
      </w:r>
    </w:p>
    <w:p w:rsidR="00000000" w:rsidRDefault="00000000">
      <w:pPr>
        <w:tabs>
          <w:tab w:val="left" w:pos="0"/>
        </w:tabs>
        <w:suppressAutoHyphens/>
      </w:pPr>
    </w:p>
    <w:p w:rsidR="00000000" w:rsidRDefault="00000000">
      <w:pPr>
        <w:tabs>
          <w:tab w:val="left" w:pos="0"/>
        </w:tabs>
        <w:suppressAutoHyphens/>
      </w:pPr>
      <w:r>
        <w:t>21.</w:t>
      </w:r>
      <w:r>
        <w:tab/>
        <w:t>Каково в настоящее время положение с раздельным содержанием заключенных женского и мужского пола?  Какие шаги предприняты государством-участником для обеспечения того, чтобы охраной заключенных-женщин занимался исключительно тюремный персонал женского пола?</w:t>
      </w:r>
    </w:p>
    <w:p w:rsidR="00000000" w:rsidRDefault="00000000">
      <w:pPr>
        <w:tabs>
          <w:tab w:val="left" w:pos="0"/>
        </w:tabs>
        <w:suppressAutoHyphens/>
      </w:pPr>
    </w:p>
    <w:p w:rsidR="00000000" w:rsidRDefault="00000000">
      <w:pPr>
        <w:keepNext/>
        <w:jc w:val="center"/>
        <w:rPr>
          <w:b/>
        </w:rPr>
      </w:pPr>
      <w:r>
        <w:rPr>
          <w:b/>
        </w:rPr>
        <w:t>Статьи 12 и 13</w:t>
      </w:r>
    </w:p>
    <w:p w:rsidR="00000000" w:rsidRDefault="00000000">
      <w:pPr>
        <w:keepNext/>
        <w:jc w:val="center"/>
        <w:rPr>
          <w:b/>
        </w:rPr>
      </w:pPr>
    </w:p>
    <w:p w:rsidR="00000000" w:rsidRDefault="00000000">
      <w:r>
        <w:t>22.</w:t>
      </w:r>
      <w:r>
        <w:tab/>
        <w:t>Согласно докладу, правом расследовать жалобы на нарушения прав человека, совершенные государственными служащими, включая заявления о применении пыток, наделены различные органы власти, например Управление омбудсмена, Служба внутреннего контроля Филиппинской национальной полиции (СВК), ФКПЧ, подразделения по правам человека в ФНП и ВСФ, а также группа по правам человека Национального бюро расследований (пункты 61-65 и 76</w:t>
      </w:r>
      <w:r>
        <w:noBreakHyphen/>
        <w:t>77).  Просьба подробно рассказать о соответствующих мандатах этих механизмов и о том, как они координируют свою деятельность во избежание ее дублирования и каким образом обращающимся с жалобами лицам помогают разобраться в их мандатах.</w:t>
      </w:r>
    </w:p>
    <w:p w:rsidR="00000000" w:rsidRDefault="00000000"/>
    <w:p w:rsidR="00000000" w:rsidRDefault="00000000">
      <w:r>
        <w:t>23.</w:t>
      </w:r>
      <w:r>
        <w:tab/>
        <w:t>Просьба описать процедуру, которой следует придерживаться при направлении жалоб на неправомерные действия сотрудников полиции и военнослужащих.  Просьба, в частности, рассказать о мерах, принимаемых государством-участником для обеспечения того, чтобы расследование жалоб было независимым, оперативным и эффективным.  Рассматривает ли государство-участник вопрос о создании независимого органа по рассмотрению жалоб на сотрудников полиции и вопросам их подотчетности?  Просьба представить информацию, в том числе статистические данные, о количестве жалоб на применение пыток и жестокое обращение, а также о результатах всех расследований в рамках как уголовного, так и дисциплинарного производства.  Следует дезагрегировать эту информацию по признакам пола, возраста и этнического происхождения лиц, обращающихся с жалобами, и указать, какой орган проводил расследование.</w:t>
      </w:r>
    </w:p>
    <w:p w:rsidR="00000000" w:rsidRDefault="00000000"/>
    <w:p w:rsidR="00000000" w:rsidRDefault="00000000">
      <w:r>
        <w:rPr>
          <w:szCs w:val="24"/>
        </w:rPr>
        <w:t>24.</w:t>
      </w:r>
      <w:r>
        <w:rPr>
          <w:szCs w:val="24"/>
        </w:rPr>
        <w:tab/>
        <w:t xml:space="preserve">Просьба представить информацию о мерах, принятых государством-участником для учета озабоченности, которую высказал Комитет по правам человека в связи с сообщениями о неоднократном и широко распространенном применении пыток, а также жестокого, бесчеловечного или унижающего достоинство обращения и наказания в отношении содержащихся под стражей лиц со стороны сотрудников правоохранительных органов </w:t>
      </w:r>
      <w:r>
        <w:t>(</w:t>
      </w:r>
      <w:r>
        <w:rPr>
          <w:lang w:val="en-US"/>
        </w:rPr>
        <w:t>CCPR</w:t>
      </w:r>
      <w:r>
        <w:t>/</w:t>
      </w:r>
      <w:r>
        <w:rPr>
          <w:lang w:val="en-US"/>
        </w:rPr>
        <w:t>CO</w:t>
      </w:r>
      <w:r>
        <w:t>/79/</w:t>
      </w:r>
      <w:r>
        <w:rPr>
          <w:lang w:val="en-US"/>
        </w:rPr>
        <w:t>PHL</w:t>
      </w:r>
      <w:r>
        <w:t xml:space="preserve">, пункт 12). </w:t>
      </w:r>
    </w:p>
    <w:p w:rsidR="00000000" w:rsidRDefault="00000000"/>
    <w:p w:rsidR="00000000" w:rsidRDefault="00000000">
      <w:r>
        <w:t>25.</w:t>
      </w:r>
      <w:r>
        <w:tab/>
        <w:t>По имеющейся у Комитета информации, в 2006 году неизвестные вооруженные люди увели из дома братьев Раймонда и Рейнальдо Манало, которые затем содержались в различных военных лагерях заключения в течение 18 месяцев, где их, как они утверждают, пытали военнослужащие при попустительстве должностного лица в высоком воинском звании.  Просьба представить Комитету информацию, если таковая имеется, о расследовании, судебном преследовании и вынесении приговоров в связи с имевшими, как утверждается, место фактами пыток Раймонда и Рейнальдо Манало военнослужащими ВСФ.</w:t>
      </w:r>
    </w:p>
    <w:p w:rsidR="00000000" w:rsidRDefault="00000000"/>
    <w:p w:rsidR="00000000" w:rsidRDefault="00000000">
      <w:r>
        <w:t>26.</w:t>
      </w:r>
      <w:r>
        <w:tab/>
        <w:t xml:space="preserve">Согласно докладу, Республиканский закон № 6981 предусматривает введение Программы защиты, обеспечения безопасности и материальной поддержки свидетелей (пункты 6 </w:t>
      </w:r>
      <w:r>
        <w:rPr>
          <w:lang w:val="en-US"/>
        </w:rPr>
        <w:t>b</w:t>
      </w:r>
      <w:r>
        <w:t>) и 73).  В этой связи просьба прокомментировать сообщения о систематических запугиваниях и преследованиях свидетелей, а также о том, что Программа защиты свидетелей осуществляется ограниченно и недостаточно активно.  В полученной Комитетом информации говорится также о серьезных судебных задержках и отмечается, что несмотря на сохраняющиеся угрозы, меры защиты отменяются в случае закрытия дел.  Просьба представить подробную информацию о мерах, принимаемых государством-участником для укрепления Программы защиты свидетелей и обеспечения ее эффективного осуществления.</w:t>
      </w:r>
    </w:p>
    <w:p w:rsidR="00000000" w:rsidRDefault="00000000">
      <w:pPr>
        <w:spacing w:line="240" w:lineRule="auto"/>
      </w:pPr>
    </w:p>
    <w:p w:rsidR="00000000" w:rsidRDefault="00000000">
      <w:pPr>
        <w:keepNext/>
        <w:spacing w:line="240" w:lineRule="auto"/>
        <w:jc w:val="center"/>
        <w:rPr>
          <w:b/>
        </w:rPr>
      </w:pPr>
      <w:r>
        <w:rPr>
          <w:b/>
        </w:rPr>
        <w:t>Статья 14</w:t>
      </w:r>
    </w:p>
    <w:p w:rsidR="00000000" w:rsidRDefault="00000000">
      <w:pPr>
        <w:keepNext/>
        <w:spacing w:line="240" w:lineRule="auto"/>
        <w:jc w:val="center"/>
        <w:rPr>
          <w:b/>
        </w:rPr>
      </w:pPr>
    </w:p>
    <w:p w:rsidR="00000000" w:rsidRDefault="00000000">
      <w:pPr>
        <w:rPr>
          <w:szCs w:val="24"/>
        </w:rPr>
      </w:pPr>
      <w:r>
        <w:rPr>
          <w:szCs w:val="24"/>
        </w:rPr>
        <w:t>27.</w:t>
      </w:r>
      <w:r>
        <w:rPr>
          <w:szCs w:val="24"/>
        </w:rPr>
        <w:tab/>
        <w:t>Согласно докладу, Республиканский закон № 7309 предусматривает предоставление Советом по рассмотрению жалоб компенсаций жертвам преступлений, связанных с применением насилия, и в период с 1992 года по июнь 2006 года Советом были удовлетворены в совокупности 22 469 ходатайств о компенсации (пункт 78).  Просьба подробно рассказать о составе Совета по рассмотрению жалоб и пояснить, каким образом члены Совета назначаются или избираются.  Просьба пояснить, вправе ли национальные суды также принимать решения о восстановлении прав и предоставлении компенсации, и</w:t>
      </w:r>
      <w:r>
        <w:rPr>
          <w:szCs w:val="24"/>
          <w:lang w:val="en-US"/>
        </w:rPr>
        <w:t> </w:t>
      </w:r>
      <w:r>
        <w:rPr>
          <w:szCs w:val="24"/>
        </w:rPr>
        <w:t>представить дополнительную информацию о восстановлении прав и предоставлении компенсации по решению судов и/или Совета по рассмотрению жалоб для жертв пыток и их семей за период после рассмотрения последнего периодического доклада в 1989 году.  В эту информацию следует включить данные о количестве полученных и удовлетворенных ходатайств, а также о назначенных размерах и фактически выплаченных компенсациях по каждому случаю.  Просьба сообщить, сколько жертв получили компенсацию, несмотря на то, что личность виновных установлена не была.  Продолжаются ли в подобных случаях расследования до тех пор, пока не будет установлено и привлечено к ответственности виновное лицо?</w:t>
      </w:r>
    </w:p>
    <w:p w:rsidR="00000000" w:rsidRDefault="00000000">
      <w:pPr>
        <w:spacing w:line="240" w:lineRule="auto"/>
        <w:rPr>
          <w:sz w:val="20"/>
        </w:rPr>
      </w:pPr>
    </w:p>
    <w:p w:rsidR="00000000" w:rsidRDefault="00000000">
      <w:pPr>
        <w:rPr>
          <w:szCs w:val="24"/>
        </w:rPr>
      </w:pPr>
      <w:r>
        <w:rPr>
          <w:szCs w:val="24"/>
        </w:rPr>
        <w:t>28.</w:t>
      </w:r>
      <w:r>
        <w:rPr>
          <w:szCs w:val="24"/>
        </w:rPr>
        <w:tab/>
        <w:t>В докладе сообщается о том, что такие неправительственные организации, как Реабилитационный центр "Балай", осуществляют программы реабилитации жертв пыток (пункт 80).  Просьба представить дополнительную информацию об этих программах, в том числе о том, оказывает ли правительство финансовую и/или иную поддержку в целях их эффективного функционирования.  Просьба предоставить также информацию о дополнительных мерах, принимаемых государством-участником для обеспечения медицинской и психосоциальной реабилитации жертв.</w:t>
      </w:r>
    </w:p>
    <w:p w:rsidR="00000000" w:rsidRDefault="00000000">
      <w:pPr>
        <w:spacing w:line="240" w:lineRule="auto"/>
        <w:rPr>
          <w:sz w:val="20"/>
        </w:rPr>
      </w:pPr>
    </w:p>
    <w:p w:rsidR="00000000" w:rsidRDefault="00000000">
      <w:pPr>
        <w:keepNext/>
        <w:spacing w:line="240" w:lineRule="auto"/>
        <w:jc w:val="center"/>
        <w:rPr>
          <w:b/>
          <w:szCs w:val="24"/>
        </w:rPr>
      </w:pPr>
      <w:r>
        <w:rPr>
          <w:b/>
          <w:szCs w:val="24"/>
        </w:rPr>
        <w:t>Статья 15</w:t>
      </w:r>
    </w:p>
    <w:p w:rsidR="00000000" w:rsidRDefault="00000000">
      <w:pPr>
        <w:keepNext/>
        <w:spacing w:line="240" w:lineRule="auto"/>
        <w:jc w:val="center"/>
        <w:rPr>
          <w:b/>
          <w:szCs w:val="24"/>
        </w:rPr>
      </w:pPr>
    </w:p>
    <w:p w:rsidR="00000000" w:rsidRDefault="00000000">
      <w:pPr>
        <w:rPr>
          <w:szCs w:val="24"/>
        </w:rPr>
      </w:pPr>
      <w:r>
        <w:rPr>
          <w:szCs w:val="24"/>
        </w:rPr>
        <w:t>29.</w:t>
      </w:r>
      <w:r>
        <w:rPr>
          <w:szCs w:val="24"/>
        </w:rPr>
        <w:tab/>
        <w:t>В пункте 15 доклада государства-участника говорится о том, что в пункте 12 (3) статьи III Конституции Филиппин провозглашается, что "… любые признания, полученные в нарушение настоящего пункта или предшествующего пункта, не принимаются судом в качестве доказательства против обвиняемого" [лица, находящегося под следствием за совершение какого-либо правонарушения].  Просьба привести примеры каких-либо случаев, когда делались заявления о признаниях, полученных с помощью пыток, и проинформировать Комитет о всех мерах, которые принимает государство-участник для обеспечения того, чтобы бремя доказывания возлагалось на обвинение.</w:t>
      </w:r>
    </w:p>
    <w:p w:rsidR="00000000" w:rsidRDefault="00000000">
      <w:pPr>
        <w:spacing w:line="240" w:lineRule="auto"/>
        <w:rPr>
          <w:sz w:val="20"/>
        </w:rPr>
      </w:pPr>
    </w:p>
    <w:p w:rsidR="00000000" w:rsidRDefault="00000000">
      <w:pPr>
        <w:keepNext/>
        <w:spacing w:line="240" w:lineRule="auto"/>
        <w:jc w:val="center"/>
        <w:rPr>
          <w:b/>
        </w:rPr>
      </w:pPr>
      <w:r>
        <w:rPr>
          <w:b/>
        </w:rPr>
        <w:t>Статья 16</w:t>
      </w:r>
    </w:p>
    <w:p w:rsidR="00000000" w:rsidRDefault="00000000">
      <w:pPr>
        <w:keepNext/>
        <w:spacing w:line="240" w:lineRule="auto"/>
        <w:jc w:val="center"/>
        <w:rPr>
          <w:b/>
        </w:rPr>
      </w:pPr>
    </w:p>
    <w:p w:rsidR="00000000" w:rsidRDefault="00000000">
      <w:r>
        <w:t>30.</w:t>
      </w:r>
      <w:r>
        <w:tab/>
        <w:t>Просьба представить информацию о мерах, принимаемых государством-участником для учета озабоченностей, которые высказал Специальный докладчик по вопросу о внесудебных казнях, казнях без надлежащего судебного разбирательства или произвольных казнях в связи с совершением сотрудниками государственных учреждений, особенно военнослужащими, систематических убийств без суда (</w:t>
      </w:r>
      <w:r>
        <w:rPr>
          <w:lang w:val="en-US"/>
        </w:rPr>
        <w:t>A</w:t>
      </w:r>
      <w:r>
        <w:t>/</w:t>
      </w:r>
      <w:r>
        <w:rPr>
          <w:lang w:val="en-US"/>
        </w:rPr>
        <w:t>HRC</w:t>
      </w:r>
      <w:r>
        <w:t>/4/20/</w:t>
      </w:r>
      <w:r>
        <w:rPr>
          <w:lang w:val="en-US"/>
        </w:rPr>
        <w:t>Add</w:t>
      </w:r>
      <w:r>
        <w:t>.3), а также для учета озабоченностей, высказанных Комитетом по правам человека в связи с сообщениями о случаях внесудебных казней, произвольных задержаний, преследований, запугивания и жестокого обращения, в том числе в отношении заключенных, преимущественно женщин и детей, по которым не проводились расследования и не возбуждалось судебное преследование (</w:t>
      </w:r>
      <w:r>
        <w:rPr>
          <w:lang w:val="en-US"/>
        </w:rPr>
        <w:t>CCPR</w:t>
      </w:r>
      <w:r>
        <w:t>/</w:t>
      </w:r>
      <w:r>
        <w:rPr>
          <w:lang w:val="en-US"/>
        </w:rPr>
        <w:t>CO</w:t>
      </w:r>
      <w:r>
        <w:t>/79/</w:t>
      </w:r>
      <w:r>
        <w:rPr>
          <w:lang w:val="en-US"/>
        </w:rPr>
        <w:t>PHL</w:t>
      </w:r>
      <w:r>
        <w:t>, пункт 11).</w:t>
      </w:r>
    </w:p>
    <w:p w:rsidR="00000000" w:rsidRDefault="00000000">
      <w:r>
        <w:t>31.</w:t>
      </w:r>
      <w:r>
        <w:tab/>
        <w:t>Просьба прокомментировать выводы учрежденной президентом Комиссии по расследованию, которая работала под руководством бывшего судьи Верховного суда Хосе Мело (Комиссия Мело) и заявляла следующее:  "… Все жертвы, о которых говорит данная Комиссия, не были участниками боевых действий…", "… активистов и сотрудников средств массовой информации убивают согласно срежиссированному плану члены группы или сектора, которые заинтересованы в ликвидации жертв, причем последними неизменно оказываются активисты и сотрудники средств массовой информации…", "… несомненно, существуют свидетельства, бросающие тень подозрения на некоторые круги в вооруженных силах и на их некоторых видных представителей, в частности на генерала Палпарана как лицо, несущее ответственность за неустановленное число убийств, вследствие того, что он разрешал, допускал и даже поощрял такие убийства".</w:t>
      </w:r>
    </w:p>
    <w:p w:rsidR="00000000" w:rsidRDefault="00000000"/>
    <w:p w:rsidR="00000000" w:rsidRDefault="00000000">
      <w:r>
        <w:t>32.</w:t>
      </w:r>
      <w:r>
        <w:tab/>
        <w:t>Просьба прокомментировать сообщения о том, что правозащитники, в том числе лица, отстаивающие права таких коренных народностей, как лумады из Минданао и игороты из Кордильер, чаще других являются объектом преследований и что профсоюзные и крестьянские активисты, журналисты и репортеры нередко также становятся жертвами серьезных нарушений прав человека.  В этой связи просьба объяснить, каким образом недавно изданное Президентом Административное постановление № 181 о сотрудничестве и координации усилий между национальными органами преследования и другими соответствующими государственными учреждениями в целях эффективного расследования убийств политических деятелей и журналистов и привлечения к ответственности виновных будет содействовать более активному расследованию случаев применения пыток и преследованию виновных (пункт 66).</w:t>
      </w:r>
    </w:p>
    <w:p w:rsidR="00000000" w:rsidRDefault="00000000"/>
    <w:p w:rsidR="00000000" w:rsidRDefault="00000000">
      <w:r>
        <w:t>33.</w:t>
      </w:r>
      <w:r>
        <w:tab/>
        <w:t>Согласно полученной Комитетом информации, на Филиппинах коренные народы относятся к наиболее маргинализированным группам и зачастую становятся жертвами различных форм злоупотреблений, насилия и эксплуатации.  Источники сообщают также о том, что вследствие тяжелых условий жизни и социального отчуждения дети из числа коренных жителей могут быть вовлечены в вооруженный конфликт и завербованы в вооруженные группы и что вооруженный конфликт также делает женщин и девочек из числа коренных жителей более уязвимыми по отношению к физическому и сексуальному насилию.  Просьба рассказать о мерах, принимаемых правительством для защиты гражданских лиц в районах, затронутых вооруженным конфликтом, а также для решения проблемы насилия в отношении коренных жителей, включая женщин и детей.  Следует, в</w:t>
      </w:r>
      <w:r>
        <w:rPr>
          <w:lang w:val="en-US"/>
        </w:rPr>
        <w:t> </w:t>
      </w:r>
      <w:r>
        <w:t>частности, представить информацию о расследованиях, которые проводятся по заявлениям о совершении правонарушений, упоминаемых в статьях 1 и 16 Конвенции.</w:t>
      </w:r>
    </w:p>
    <w:p w:rsidR="00000000" w:rsidRDefault="00000000"/>
    <w:p w:rsidR="00000000" w:rsidRDefault="00000000">
      <w:pPr>
        <w:keepNext/>
        <w:jc w:val="center"/>
        <w:rPr>
          <w:b/>
        </w:rPr>
      </w:pPr>
      <w:r>
        <w:rPr>
          <w:b/>
        </w:rPr>
        <w:t>Прочие вопросы</w:t>
      </w:r>
    </w:p>
    <w:p w:rsidR="00000000" w:rsidRDefault="00000000">
      <w:pPr>
        <w:keepNext/>
        <w:jc w:val="center"/>
        <w:rPr>
          <w:b/>
        </w:rPr>
      </w:pPr>
    </w:p>
    <w:p w:rsidR="00000000" w:rsidRDefault="00000000">
      <w:r>
        <w:t>34.</w:t>
      </w:r>
      <w:r>
        <w:tab/>
        <w:t>Просьба представить информацию о законодательных, административных и иных мерах, которые принимает государство-участник в ответ на угрозу террористических актов, и сообщить, затрагивают ли каким-либо образом эти меры гарантии прав человека в законодательстве и на практике.  В этой связи Комитет хотел бы напомнить о резолюциях 1456 (2003), 1535 (2004), 1566 (2004) и 1624 (2005) Совета Безопасности, в которых Совет подтверждает, что государства "должны обеспечить, чтобы любые меры, принимаемые в целях борьбы с терроризмом, соответствовали всем их обязательствам по  международному праву, и им следует принять такие меры в соответствии с международным правом, в частности в области прав человека, беженского права и гуманитарного права".  Просьба рассказать, какая соответствующая профессиональная подготовка организована для сотрудников правоохранительных органов, указать количество и виды осуждений на основании такого законодательства, средства правовой защиты, имеющиеся в распоряжении лиц, в отношении которых принимаются антитеррористические меры, и сообщить, имеются ли жалобы на несоблюдение международных стандартов и каковы результаты разбирательства этих жалоб.</w:t>
      </w:r>
    </w:p>
    <w:p w:rsidR="00000000" w:rsidRDefault="00000000"/>
    <w:p w:rsidR="00000000" w:rsidRDefault="00000000">
      <w:r>
        <w:t>35.</w:t>
      </w:r>
      <w:r>
        <w:tab/>
        <w:t>В докладе отмечается, что государство-участник ратифицирует в ближайшее время Факультативный протокол к Конвенции против пыток и других жестоких, бесчеловечных или унижающих достоинство видов обращения и наказания.  Просьба представить обновленную информацию о данном процессе и сообщить, установлен ли какой-либо срок ратификации ФПКПП.  Планирует ли государство-участник учредить или назначить национальный механизм, который будет осуществлять периодические посещения мест лишения свободы в целях предупреждения пыток и других жестоких, бесчеловечных или унижающих достоинство видов обращения и наказания (пункт 29)?</w:t>
      </w:r>
    </w:p>
    <w:p w:rsidR="00000000" w:rsidRDefault="00000000"/>
    <w:p w:rsidR="00000000" w:rsidRDefault="00000000">
      <w:r>
        <w:t>36.</w:t>
      </w:r>
      <w:r>
        <w:tab/>
        <w:t>Рассматривает ли государство-участник вопрос о том, чтобы сделать заявление по статьям 21 и 22 о признании компетенции Комитета получать и рассматривать сообщения?</w:t>
      </w:r>
    </w:p>
    <w:p w:rsidR="00000000" w:rsidRDefault="00000000"/>
    <w:p w:rsidR="00000000" w:rsidRDefault="00000000">
      <w:r>
        <w:t>37.</w:t>
      </w:r>
      <w:r>
        <w:tab/>
        <w:t>Планируют ли Филиппины ратифицировать Римский статут Международного уголовного суда?</w:t>
      </w:r>
    </w:p>
    <w:p w:rsidR="00000000" w:rsidRDefault="00000000"/>
    <w:p w:rsidR="00000000" w:rsidRDefault="00000000">
      <w:pPr>
        <w:jc w:val="center"/>
      </w:pPr>
      <w:r>
        <w:t>-----</w:t>
      </w:r>
    </w:p>
    <w:p w:rsidR="00000000" w:rsidRDefault="00000000">
      <w:pPr>
        <w:tabs>
          <w:tab w:val="left" w:pos="0"/>
        </w:tabs>
        <w:suppressAutoHyphens/>
      </w:pPr>
    </w:p>
    <w:sectPr w:rsidR="00000000">
      <w:headerReference w:type="even" r:id="rId9"/>
      <w:headerReference w:type="default" r:id="rId10"/>
      <w:type w:val="continuous"/>
      <w:pgSz w:w="11906" w:h="16838"/>
      <w:pgMar w:top="851" w:right="851" w:bottom="1701" w:left="1701" w:header="851" w:footer="851" w:gutter="0"/>
      <w:pgNumType w:start="1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r>
        <w:separator/>
      </w:r>
    </w:p>
  </w:endnote>
  <w:endnote w:type="continuationSeparator" w:id="0">
    <w:p w:rsidR="00000000" w:rsidRDefault="000000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r>
        <w:separator/>
      </w:r>
    </w:p>
  </w:footnote>
  <w:footnote w:type="continuationSeparator" w:id="0">
    <w:p w:rsidR="00000000" w:rsidRDefault="000000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rPr>
        <w:lang w:val="en-US"/>
      </w:rPr>
    </w:pPr>
    <w:r>
      <w:rPr>
        <w:lang w:val="en-US"/>
      </w:rPr>
      <w:t>CAT/C/PHL/Q/2</w:t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10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719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CAT/C/PHL/Q/2</w:t>
    </w:r>
  </w:p>
  <w:p w:rsidR="00000000" w:rsidRDefault="00000000">
    <w:pPr>
      <w:pStyle w:val="Header"/>
      <w:tabs>
        <w:tab w:val="left" w:pos="6733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11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775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2E6668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77AEC9F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7"/>
  <w:mirrorMargins/>
  <w:activeWritingStyle w:appName="MSWord" w:lang="ru-RU" w:vendorID="1" w:dllVersion="512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0"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right" w:pos="4740"/>
        <w:tab w:val="left" w:pos="6237"/>
      </w:tabs>
      <w:suppressAutoHyphens/>
      <w:spacing w:line="216" w:lineRule="auto"/>
      <w:jc w:val="right"/>
      <w:outlineLvl w:val="6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customStyle="1" w:styleId="10">
    <w:name w:val="Заголовок 10"/>
    <w:basedOn w:val="Title"/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styleId="ListBullet">
    <w:name w:val="List Bullet"/>
    <w:basedOn w:val="Normal"/>
    <w:autoRedefine/>
    <w:pPr>
      <w:numPr>
        <w:numId w:val="3"/>
      </w:numPr>
    </w:pPr>
  </w:style>
  <w:style w:type="paragraph" w:styleId="Footer">
    <w:name w:val="foot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EndnoteText">
    <w:name w:val="endnote text"/>
    <w:basedOn w:val="Normal"/>
    <w:semiHidden/>
    <w:pPr>
      <w:spacing w:line="240" w:lineRule="auto"/>
    </w:pPr>
  </w:style>
  <w:style w:type="paragraph" w:styleId="FootnoteText">
    <w:name w:val="footnote text"/>
    <w:basedOn w:val="Normal"/>
    <w:semiHidden/>
    <w:pPr>
      <w:spacing w:line="240" w:lineRule="auto"/>
    </w:pPr>
  </w:style>
  <w:style w:type="character" w:styleId="PageNumber">
    <w:name w:val="page number"/>
    <w:basedOn w:val="DefaultParagraphFont"/>
  </w:style>
  <w:style w:type="paragraph" w:customStyle="1" w:styleId="Default">
    <w:name w:val="Default"/>
    <w:pPr>
      <w:autoSpaceDE w:val="0"/>
      <w:autoSpaceDN w:val="0"/>
      <w:adjustRightInd w:val="0"/>
    </w:pPr>
    <w:rPr>
      <w:rFonts w:eastAsia="SimSun"/>
      <w:color w:val="000000"/>
      <w:sz w:val="24"/>
      <w:szCs w:val="24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WORD2003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0</TotalTime>
  <Pages>1</Pages>
  <Words>4034</Words>
  <Characters>23000</Characters>
  <Application>Microsoft Office Word</Application>
  <DocSecurity>4</DocSecurity>
  <Lines>191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0940595</vt:lpstr>
    </vt:vector>
  </TitlesOfParts>
  <Company> </Company>
  <LinksUpToDate>false</LinksUpToDate>
  <CharactersWithSpaces>26981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0940595</dc:title>
  <dc:subject>ЛАВРОВ</dc:subject>
  <dc:creator>Людмила ЦЕПЕЛЕВА</dc:creator>
  <cp:keywords/>
  <dc:description/>
  <cp:lastModifiedBy>Людмила ЦЕПЕЛЕВА</cp:lastModifiedBy>
  <cp:revision>3</cp:revision>
  <cp:lastPrinted>2009-02-27T07:50:00Z</cp:lastPrinted>
  <dcterms:created xsi:type="dcterms:W3CDTF">2009-02-27T07:50:00Z</dcterms:created>
  <dcterms:modified xsi:type="dcterms:W3CDTF">2009-02-27T07:50:00Z</dcterms:modified>
</cp:coreProperties>
</file>