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4DA4354" w14:textId="77777777" w:rsidTr="003349E4">
        <w:trPr>
          <w:trHeight w:hRule="exact" w:val="851"/>
        </w:trPr>
        <w:tc>
          <w:tcPr>
            <w:tcW w:w="142" w:type="dxa"/>
            <w:tcBorders>
              <w:bottom w:val="single" w:sz="4" w:space="0" w:color="auto"/>
            </w:tcBorders>
          </w:tcPr>
          <w:p w14:paraId="3DBF8EEC" w14:textId="77777777" w:rsidR="002D5AAC" w:rsidRDefault="002D5AAC" w:rsidP="00727AF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8DAD52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E2FA502" w14:textId="77777777" w:rsidR="002D5AAC" w:rsidRDefault="00727AF1" w:rsidP="00727AF1">
            <w:pPr>
              <w:jc w:val="right"/>
            </w:pPr>
            <w:r w:rsidRPr="00727AF1">
              <w:rPr>
                <w:sz w:val="40"/>
              </w:rPr>
              <w:t>CRPD</w:t>
            </w:r>
            <w:r>
              <w:t>/C/GBR/FIR/1</w:t>
            </w:r>
          </w:p>
        </w:tc>
      </w:tr>
      <w:tr w:rsidR="002D5AAC" w:rsidRPr="00A76EE1" w14:paraId="1E7AD579" w14:textId="77777777" w:rsidTr="003349E4">
        <w:trPr>
          <w:trHeight w:hRule="exact" w:val="2835"/>
        </w:trPr>
        <w:tc>
          <w:tcPr>
            <w:tcW w:w="1280" w:type="dxa"/>
            <w:gridSpan w:val="2"/>
            <w:tcBorders>
              <w:top w:val="single" w:sz="4" w:space="0" w:color="auto"/>
              <w:bottom w:val="single" w:sz="12" w:space="0" w:color="auto"/>
            </w:tcBorders>
          </w:tcPr>
          <w:p w14:paraId="44559BE5" w14:textId="77777777" w:rsidR="002D5AAC" w:rsidRDefault="002E5067" w:rsidP="003349E4">
            <w:pPr>
              <w:spacing w:before="120"/>
              <w:jc w:val="center"/>
            </w:pPr>
            <w:r>
              <w:rPr>
                <w:noProof/>
                <w:lang w:val="fr-CH" w:eastAsia="fr-CH"/>
              </w:rPr>
              <w:drawing>
                <wp:inline distT="0" distB="0" distL="0" distR="0" wp14:anchorId="483F62DC" wp14:editId="42C06EC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4A8ABE"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DB959BC" w14:textId="77777777" w:rsidR="00727AF1" w:rsidRDefault="00727AF1" w:rsidP="003349E4">
            <w:pPr>
              <w:spacing w:before="240"/>
              <w:rPr>
                <w:lang w:val="en-US"/>
              </w:rPr>
            </w:pPr>
            <w:r>
              <w:rPr>
                <w:lang w:val="en-US"/>
              </w:rPr>
              <w:t>Distr.: General</w:t>
            </w:r>
          </w:p>
          <w:p w14:paraId="4AB482C6" w14:textId="77777777" w:rsidR="00727AF1" w:rsidRDefault="00727AF1" w:rsidP="00727AF1">
            <w:pPr>
              <w:spacing w:line="240" w:lineRule="exact"/>
              <w:rPr>
                <w:lang w:val="en-US"/>
              </w:rPr>
            </w:pPr>
            <w:r>
              <w:rPr>
                <w:lang w:val="en-US"/>
              </w:rPr>
              <w:t>23 June 2020</w:t>
            </w:r>
          </w:p>
          <w:p w14:paraId="0A09BAFA" w14:textId="77777777" w:rsidR="00727AF1" w:rsidRDefault="00727AF1" w:rsidP="00727AF1">
            <w:pPr>
              <w:spacing w:line="240" w:lineRule="exact"/>
              <w:rPr>
                <w:lang w:val="en-US"/>
              </w:rPr>
            </w:pPr>
            <w:r>
              <w:rPr>
                <w:lang w:val="en-US"/>
              </w:rPr>
              <w:t>Russian</w:t>
            </w:r>
          </w:p>
          <w:p w14:paraId="3256C284" w14:textId="77777777" w:rsidR="00727AF1" w:rsidRDefault="00727AF1" w:rsidP="00727AF1">
            <w:pPr>
              <w:spacing w:line="240" w:lineRule="exact"/>
              <w:rPr>
                <w:lang w:val="en-US"/>
              </w:rPr>
            </w:pPr>
            <w:r>
              <w:rPr>
                <w:lang w:val="en-US"/>
              </w:rPr>
              <w:t>Original: English</w:t>
            </w:r>
          </w:p>
          <w:p w14:paraId="4571168C" w14:textId="77777777" w:rsidR="00727AF1" w:rsidRPr="008934D2" w:rsidRDefault="00727AF1" w:rsidP="00727AF1">
            <w:pPr>
              <w:spacing w:line="240" w:lineRule="exact"/>
              <w:rPr>
                <w:lang w:val="en-US"/>
              </w:rPr>
            </w:pPr>
            <w:r>
              <w:rPr>
                <w:lang w:val="en-US"/>
              </w:rPr>
              <w:t>English, Russian and Spanish only</w:t>
            </w:r>
          </w:p>
        </w:tc>
      </w:tr>
    </w:tbl>
    <w:p w14:paraId="695C49E9" w14:textId="77777777" w:rsidR="00210C9E" w:rsidRPr="00921022" w:rsidRDefault="00210C9E" w:rsidP="00210C9E">
      <w:pPr>
        <w:spacing w:before="120"/>
        <w:rPr>
          <w:b/>
          <w:bCs/>
          <w:sz w:val="24"/>
          <w:szCs w:val="24"/>
        </w:rPr>
      </w:pPr>
      <w:r w:rsidRPr="00921022">
        <w:rPr>
          <w:b/>
          <w:bCs/>
          <w:sz w:val="24"/>
          <w:szCs w:val="24"/>
        </w:rPr>
        <w:t>Комитет по правам инвалидов</w:t>
      </w:r>
    </w:p>
    <w:p w14:paraId="148C7060" w14:textId="77777777" w:rsidR="00210C9E" w:rsidRPr="00C3141A" w:rsidRDefault="00210C9E" w:rsidP="00210C9E">
      <w:pPr>
        <w:rPr>
          <w:b/>
          <w:color w:val="000000" w:themeColor="text1"/>
        </w:rPr>
      </w:pPr>
      <w:r>
        <w:rPr>
          <w:b/>
          <w:bCs/>
        </w:rPr>
        <w:t>Двадцать третья сессия</w:t>
      </w:r>
      <w:r>
        <w:t xml:space="preserve"> </w:t>
      </w:r>
    </w:p>
    <w:p w14:paraId="6ABFC899" w14:textId="77777777" w:rsidR="00210C9E" w:rsidRPr="00C3141A" w:rsidRDefault="00210C9E" w:rsidP="00210C9E">
      <w:pPr>
        <w:rPr>
          <w:color w:val="000000" w:themeColor="text1"/>
        </w:rPr>
      </w:pPr>
      <w:r>
        <w:t>17 августа – 11 сентября 2020 года</w:t>
      </w:r>
    </w:p>
    <w:p w14:paraId="5A7F787C" w14:textId="77777777" w:rsidR="00210C9E" w:rsidRPr="00C3141A" w:rsidRDefault="00210C9E" w:rsidP="00210C9E">
      <w:pPr>
        <w:rPr>
          <w:b/>
        </w:rPr>
      </w:pPr>
      <w:r>
        <w:rPr>
          <w:b/>
          <w:bCs/>
        </w:rPr>
        <w:t xml:space="preserve">Деятельность в соответствии </w:t>
      </w:r>
      <w:r w:rsidR="00682558">
        <w:rPr>
          <w:b/>
          <w:bCs/>
        </w:rPr>
        <w:br/>
      </w:r>
      <w:r>
        <w:rPr>
          <w:b/>
          <w:bCs/>
        </w:rPr>
        <w:t>с Факультативным протоколом к Конвенции</w:t>
      </w:r>
    </w:p>
    <w:p w14:paraId="673E2441" w14:textId="050617BE" w:rsidR="00210C9E" w:rsidRPr="00A76EE1" w:rsidRDefault="00210C9E" w:rsidP="00210C9E">
      <w:pPr>
        <w:pStyle w:val="HChG"/>
      </w:pPr>
      <w:r>
        <w:tab/>
      </w:r>
      <w:r>
        <w:tab/>
      </w:r>
      <w:r>
        <w:rPr>
          <w:bCs/>
        </w:rPr>
        <w:t>Расследование в отношении Соединенного Королевства Великобритании и Северной Ирландии в соответствии со</w:t>
      </w:r>
      <w:r w:rsidR="00B16EEC">
        <w:rPr>
          <w:bCs/>
        </w:rPr>
        <w:t> </w:t>
      </w:r>
      <w:r>
        <w:rPr>
          <w:bCs/>
        </w:rPr>
        <w:t>статьей 6 Факультативного протокола</w:t>
      </w:r>
      <w:bookmarkStart w:id="0" w:name="_Toc43805217"/>
      <w:bookmarkEnd w:id="0"/>
      <w:r w:rsidR="00A76EE1" w:rsidRPr="00A76EE1">
        <w:rPr>
          <w:bCs/>
        </w:rPr>
        <w:t xml:space="preserve"> </w:t>
      </w:r>
      <w:r w:rsidR="00A76EE1">
        <w:rPr>
          <w:bCs/>
        </w:rPr>
        <w:t>к Конвенции</w:t>
      </w:r>
      <w:bookmarkStart w:id="1" w:name="_GoBack"/>
      <w:bookmarkEnd w:id="1"/>
    </w:p>
    <w:p w14:paraId="5601D171" w14:textId="77777777" w:rsidR="00210C9E" w:rsidRPr="00C3141A" w:rsidRDefault="00210C9E" w:rsidP="00210C9E">
      <w:pPr>
        <w:pStyle w:val="H1G"/>
        <w:rPr>
          <w:bCs/>
          <w:sz w:val="20"/>
          <w:szCs w:val="14"/>
        </w:rPr>
      </w:pPr>
      <w:r>
        <w:tab/>
      </w:r>
      <w:r>
        <w:tab/>
      </w:r>
      <w:r>
        <w:rPr>
          <w:bCs/>
        </w:rPr>
        <w:t>Доклад о последующей деятельности, представленный Соединенным Королевством Великобритании и Северной Ирландии</w:t>
      </w:r>
      <w:r w:rsidRPr="00AB07AC">
        <w:rPr>
          <w:rStyle w:val="aa"/>
          <w:b w:val="0"/>
          <w:bCs/>
          <w:sz w:val="20"/>
          <w:vertAlign w:val="baseline"/>
        </w:rPr>
        <w:footnoteReference w:customMarkFollows="1" w:id="1"/>
        <w:t>*</w:t>
      </w:r>
      <w:bookmarkStart w:id="2" w:name="_Toc43805218"/>
      <w:bookmarkEnd w:id="2"/>
    </w:p>
    <w:p w14:paraId="1ECCB13F" w14:textId="77777777" w:rsidR="00210C9E" w:rsidRPr="00C3141A" w:rsidRDefault="00210C9E" w:rsidP="00210C9E">
      <w:pPr>
        <w:pStyle w:val="SingleTxtG"/>
        <w:suppressAutoHyphens w:val="0"/>
        <w:jc w:val="right"/>
      </w:pPr>
      <w:r>
        <w:t>[Дата получения: 5 сентября 2018 года]</w:t>
      </w:r>
    </w:p>
    <w:p w14:paraId="2DB88585" w14:textId="77777777" w:rsidR="00210C9E" w:rsidRPr="00C3141A" w:rsidRDefault="00210C9E" w:rsidP="00210C9E">
      <w:pPr>
        <w:suppressAutoHyphens w:val="0"/>
        <w:spacing w:after="200" w:line="276" w:lineRule="auto"/>
      </w:pPr>
      <w:r w:rsidRPr="00C3141A">
        <w:br w:type="page"/>
      </w:r>
    </w:p>
    <w:p w14:paraId="1AE70BAC" w14:textId="77777777" w:rsidR="00210C9E" w:rsidRPr="00C3141A" w:rsidRDefault="00210C9E" w:rsidP="00210C9E">
      <w:pPr>
        <w:pStyle w:val="HChG"/>
      </w:pPr>
      <w:r>
        <w:lastRenderedPageBreak/>
        <w:tab/>
        <w:t>I.</w:t>
      </w:r>
      <w:r>
        <w:tab/>
      </w:r>
      <w:r>
        <w:rPr>
          <w:bCs/>
        </w:rPr>
        <w:t>Введение</w:t>
      </w:r>
      <w:bookmarkStart w:id="3" w:name="_Toc43805219"/>
      <w:bookmarkEnd w:id="3"/>
    </w:p>
    <w:p w14:paraId="2CB77C7C" w14:textId="77777777" w:rsidR="00210C9E" w:rsidRPr="00C3141A" w:rsidRDefault="00210C9E" w:rsidP="00210C9E">
      <w:pPr>
        <w:pStyle w:val="SingleTxtG"/>
      </w:pPr>
      <w:r>
        <w:t>1.</w:t>
      </w:r>
      <w:r>
        <w:tab/>
        <w:t>Настоящая информация представляется в ответ на рекомендации, вынесенные Комитетом в его докладе о расследовании за 2016 год (CRPD/C/15/4), проведенном в соответствии со статьей 6 Факультативного протокола к Конвенции (ФП-КПИ).</w:t>
      </w:r>
    </w:p>
    <w:p w14:paraId="162F60F7" w14:textId="77777777" w:rsidR="00210C9E" w:rsidRPr="00C3141A" w:rsidRDefault="00B16EEC" w:rsidP="00210C9E">
      <w:pPr>
        <w:pStyle w:val="HChG"/>
      </w:pPr>
      <w:r>
        <w:tab/>
      </w:r>
      <w:r w:rsidR="00210C9E">
        <w:t>II.</w:t>
      </w:r>
      <w:r w:rsidR="00210C9E">
        <w:tab/>
      </w:r>
      <w:r w:rsidR="00210C9E">
        <w:rPr>
          <w:bCs/>
        </w:rPr>
        <w:t>Информация о последующей деятельности по</w:t>
      </w:r>
      <w:r>
        <w:rPr>
          <w:bCs/>
        </w:rPr>
        <w:t> </w:t>
      </w:r>
      <w:r w:rsidR="00210C9E">
        <w:rPr>
          <w:bCs/>
        </w:rPr>
        <w:t>выполнению рекомендаций, сформулированных Комитетом в пункте 114 его доклада о расследовании (CRPD/C/15/4)</w:t>
      </w:r>
      <w:bookmarkStart w:id="4" w:name="_Toc43805220"/>
      <w:bookmarkEnd w:id="4"/>
    </w:p>
    <w:p w14:paraId="32A794E2" w14:textId="77777777" w:rsidR="00210C9E" w:rsidRPr="00C3141A" w:rsidRDefault="00210C9E" w:rsidP="00B16EEC">
      <w:pPr>
        <w:pStyle w:val="SingleTxtG"/>
      </w:pPr>
      <w:r>
        <w:t>2.</w:t>
      </w:r>
      <w:r>
        <w:tab/>
        <w:t xml:space="preserve">В настоящем разделе приводится дополнительная информация, представленная после получения ответа </w:t>
      </w:r>
      <w:r w:rsidRPr="00B16EEC">
        <w:t>Соединенного</w:t>
      </w:r>
      <w:r>
        <w:t xml:space="preserve"> Королевства от 3 ноября 2016 года (CRPD/C/17/R.3) в связи с рекомендациями, вынесенными Комитетом по итогам его расследования, проведенного в соответствии со статьей 6 Факультативного протокола к Конвенции. В тех случаях, когда мы уже предоставили соответствующую информацию в настоящем ответе ранее, мы делаем ссылку на предшествующий материал.</w:t>
      </w:r>
    </w:p>
    <w:p w14:paraId="620781EF" w14:textId="77777777" w:rsidR="00210C9E" w:rsidRPr="00C3141A" w:rsidRDefault="00210C9E" w:rsidP="00210C9E">
      <w:pPr>
        <w:pStyle w:val="H1G"/>
        <w:ind w:firstLine="0"/>
      </w:pPr>
      <w:bookmarkStart w:id="5" w:name="_Toc43805221"/>
      <w:r>
        <w:rPr>
          <w:bCs/>
        </w:rPr>
        <w:t>Рекомендация в пункте 114 а)</w:t>
      </w:r>
      <w:bookmarkEnd w:id="5"/>
    </w:p>
    <w:p w14:paraId="551093E0" w14:textId="77777777" w:rsidR="00210C9E" w:rsidRPr="00C3141A" w:rsidRDefault="00210C9E" w:rsidP="00210C9E">
      <w:pPr>
        <w:pStyle w:val="SingleTxtG"/>
      </w:pPr>
      <w:r>
        <w:t>3.</w:t>
      </w:r>
      <w:r>
        <w:tab/>
        <w:t>В предыдущем ответе на рекомендацию 59 b) излагается подход правительства Соединенного Королевства к сводному анализу воздействия на домашние хозяйства проводимой им политики в области налогообложения, социального обеспечения и государственных расходов.</w:t>
      </w:r>
    </w:p>
    <w:p w14:paraId="7805E159" w14:textId="77777777" w:rsidR="00210C9E" w:rsidRPr="00C3141A" w:rsidRDefault="00210C9E" w:rsidP="00210C9E">
      <w:pPr>
        <w:pStyle w:val="H1G"/>
        <w:ind w:firstLine="0"/>
      </w:pPr>
      <w:bookmarkStart w:id="6" w:name="_Toc43805222"/>
      <w:r>
        <w:rPr>
          <w:bCs/>
        </w:rPr>
        <w:t>Рекомендация в пункте 114 b)</w:t>
      </w:r>
      <w:bookmarkEnd w:id="6"/>
    </w:p>
    <w:p w14:paraId="14A2FF88" w14:textId="77777777" w:rsidR="00210C9E" w:rsidRPr="00C3141A" w:rsidRDefault="00210C9E" w:rsidP="00210C9E">
      <w:pPr>
        <w:pStyle w:val="SingleTxtG"/>
      </w:pPr>
      <w:r>
        <w:t>4.</w:t>
      </w:r>
      <w:r>
        <w:tab/>
        <w:t>Правительство Соединенного Королевства считает, что юридические обязательства, налагаемые на государственный сектор в соответствии с обязанностями государственного сектора по обеспечению равноправи</w:t>
      </w:r>
      <w:r w:rsidR="00682558">
        <w:t>я</w:t>
      </w:r>
      <w:r w:rsidR="00682558" w:rsidRPr="009754A9">
        <w:rPr>
          <w:rStyle w:val="aa"/>
        </w:rPr>
        <w:footnoteReference w:id="2"/>
      </w:r>
      <w:r>
        <w:t xml:space="preserve"> (ОГСР), которые изложены в Законе о равенстве 2010 года, обеспечивают механизм выявления непреднамеренных или непропорциональных воздействий политики на лиц с подлежащими защите характеристиками, в том числе на инвалидов или определенные группы инвалидов. </w:t>
      </w:r>
    </w:p>
    <w:p w14:paraId="4C31C2F9" w14:textId="77777777" w:rsidR="00210C9E" w:rsidRPr="00C3141A" w:rsidRDefault="00210C9E" w:rsidP="00210C9E">
      <w:pPr>
        <w:pStyle w:val="SingleTxtG"/>
      </w:pPr>
      <w:r>
        <w:t>5.</w:t>
      </w:r>
      <w:r>
        <w:tab/>
        <w:t>ОГСР вменяют в обязанность государственных органов и лиц, осуществляющих государственные функции, обязанность инициативно обеспечивать равенство в целях учета возможных последствий ключевых решений для групп с подлежащими защите характеристиками. Государственные органы должны быть в состоянии показать, как именно они учитывали вопросы равенства при разработке, осуществлении и пересмотре политики, услуг и процессов. Такой подход также обеспечивает возложение на организации, предоставляющие услуги или выполняющие те или иные функции от имени органов государственного сектора, точно таких же обязанностей по рассмотрению вопросов равенства при принятии ключевых решений в отношении государственных услуг.</w:t>
      </w:r>
    </w:p>
    <w:p w14:paraId="2C1197A2" w14:textId="77777777" w:rsidR="00210C9E" w:rsidRPr="00C3141A" w:rsidRDefault="00210C9E" w:rsidP="00210C9E">
      <w:pPr>
        <w:pStyle w:val="SingleTxtG"/>
      </w:pPr>
      <w:r>
        <w:t>6.</w:t>
      </w:r>
      <w:r>
        <w:tab/>
        <w:t xml:space="preserve">Органам государственного сектора рекомендуется собирать данные о пользователях услуг в целях проведения анализа равенства, который обеспечит информационную основу для решений по вопросам политики и предоставления услуг, в том числе, когда целесообразно, для проведения консультаций с группами инвалидов. В тех случаях, когда анализ равенства выявляет непропорциональные воздействия на инвалидов, организациям следует рассмотреть различные варианты устранения или снижения вероятности отрицательных последствий. Это может </w:t>
      </w:r>
      <w:r>
        <w:lastRenderedPageBreak/>
        <w:t>включать адаптацию общего подхода и принятие мер по смягчению возможных непропорциональных воздействий или по применению переходных механизмов.</w:t>
      </w:r>
    </w:p>
    <w:p w14:paraId="39F2FF23" w14:textId="77777777" w:rsidR="00210C9E" w:rsidRPr="00C3141A" w:rsidRDefault="00210C9E" w:rsidP="00210C9E">
      <w:pPr>
        <w:pStyle w:val="SingleTxtG"/>
      </w:pPr>
      <w:r>
        <w:t>7.</w:t>
      </w:r>
      <w:r>
        <w:tab/>
        <w:t>Соединенное Королевство считает, что ОГСР согласуются с правозащитным подходом. Они возлагают на все государственные органы юридическую обязанность рассматривать влияние политики на инвалидов. Это означает также рассмотрение форм влияния политики на то, как люди могут вести свою жизнь. Кроме того, Закон о правах человека 1998 года, который распространяется на все Соединенное Королевство, усиливает действие Европейской конвенции по правам человека, как предусмотрено в этом законе (права по Конвенции). Закон требует, чтобы все законодательные акты толковались и применялись, насколько это возможно, в соответствии с правами, закрепленными в Конвенции; министр, представляющий в парламент законопроект, выступил с заявлением о совместимости законопроекта с правами по Конвенции; а также запрещает государственным органам принимать меры, несовместимые с правами по Конвенции.</w:t>
      </w:r>
    </w:p>
    <w:p w14:paraId="3A32C106" w14:textId="77777777" w:rsidR="00210C9E" w:rsidRPr="00C3141A" w:rsidRDefault="00210C9E" w:rsidP="00210C9E">
      <w:pPr>
        <w:pStyle w:val="SingleTxtG"/>
      </w:pPr>
      <w:r>
        <w:t>8.</w:t>
      </w:r>
      <w:r>
        <w:tab/>
        <w:t xml:space="preserve">Законом о социальном обеспечении (Шотландия) 2018 года для Шотландии создается новая государственная служба и повышается безопасность и надежность перехода к новой системе в связи с </w:t>
      </w:r>
      <w:r w:rsidR="00682558">
        <w:t>11</w:t>
      </w:r>
      <w:r>
        <w:t xml:space="preserve"> пособиями по социальному обеспечению, включая пособие по инвалидности. Речь идет о самой серьезной передаче полномочий за период с момента создания шотландского парламента в 1999</w:t>
      </w:r>
      <w:r w:rsidR="00682558">
        <w:t xml:space="preserve"> </w:t>
      </w:r>
      <w:r>
        <w:t>году. Информационная основа для этого закона была обеспечена заинтересованными сторонами, в том числе организациями инвалидов. Он создает отдельную основанную на правах систему, центральными элементами которой являются достоинство, справедливость и уважение. Шотландское правительство стремится улучшить формы доведения пособий до инвалидов путем устранения излишних барьеров при подаче ходатайств о поддержке и сокращения числа очных оценок. Закон предусматривает право на независимое лоббирование в интересах тех инвалидов, которые нуждаются в дополнительной поддержке для взаимодействия с системой, включая право иметь поддержку на всех этапах процесса, а также право на обжалование решений без сокращения финансовой поддержки.</w:t>
      </w:r>
    </w:p>
    <w:p w14:paraId="4823DED1" w14:textId="77777777" w:rsidR="00210C9E" w:rsidRPr="00C3141A" w:rsidRDefault="00210C9E" w:rsidP="00210C9E">
      <w:pPr>
        <w:pStyle w:val="SingleTxtG"/>
      </w:pPr>
      <w:r>
        <w:t>9.</w:t>
      </w:r>
      <w:r>
        <w:tab/>
        <w:t>В ответе на рекомендацию 59 b) излагается подход правительства Соединенного Королевства к сводному анализу воздействия на домашние хозяйства проводимой им политики в области налогообложения, социального обеспечения и государственных расходов.</w:t>
      </w:r>
    </w:p>
    <w:p w14:paraId="2327D763" w14:textId="77777777" w:rsidR="00210C9E" w:rsidRPr="00C3141A" w:rsidRDefault="00210C9E" w:rsidP="00210C9E">
      <w:pPr>
        <w:pStyle w:val="H1G"/>
        <w:ind w:firstLine="0"/>
      </w:pPr>
      <w:bookmarkStart w:id="7" w:name="_Toc43805223"/>
      <w:r>
        <w:rPr>
          <w:bCs/>
        </w:rPr>
        <w:t>Рекомендация в пункте 114 с)</w:t>
      </w:r>
      <w:bookmarkEnd w:id="7"/>
    </w:p>
    <w:p w14:paraId="4A7EB42D" w14:textId="77777777" w:rsidR="00210C9E" w:rsidRPr="00C3141A" w:rsidRDefault="00210C9E" w:rsidP="00210C9E">
      <w:pPr>
        <w:pStyle w:val="SingleTxtG"/>
      </w:pPr>
      <w:r>
        <w:t>10.</w:t>
      </w:r>
      <w:r>
        <w:tab/>
        <w:t>Соединенное Королевство привержено курсу на создание для инвалидов возможностей обладать большей автономией, большим выбором и контролем. В</w:t>
      </w:r>
      <w:r w:rsidR="00B16EEC">
        <w:t> </w:t>
      </w:r>
      <w:r>
        <w:t>разделе 1 мы приводили в качестве примера Закон об уходе 2014 года, в котором воплощена концепция самостоятельного образа жизни как основного компонента принципа благополучия. К другим примерам относится программа «Доступ к работе», помогающая людям, которые, чтобы работать, нуждаются в дополнительной поддержке.</w:t>
      </w:r>
    </w:p>
    <w:p w14:paraId="79D2F990" w14:textId="77777777" w:rsidR="00210C9E" w:rsidRPr="00C3141A" w:rsidRDefault="00210C9E" w:rsidP="00210C9E">
      <w:pPr>
        <w:pStyle w:val="SingleTxtG"/>
      </w:pPr>
      <w:r>
        <w:t>11.</w:t>
      </w:r>
      <w:r>
        <w:tab/>
        <w:t>ПМПТ обеспечивает поддержку людям с нарушениями здоровья или инвалидностью, которые сталкиваются с препятствиями в плане работы, и при его предоставлении выясняется, что именно может делать человек, а не то, чего он делать не может. ПМПТ объединяет в себе как в единой структуре, с одной стороны, пособие, предусматривающее уплату взносов, а с другой, пособие, зависящее от уровня дохода. Право на пособие основывается на оценке функциональности лица, и размер получаемого им пособия устанавливается в зависимости от нее.</w:t>
      </w:r>
    </w:p>
    <w:p w14:paraId="2DBCF3A3" w14:textId="77777777" w:rsidR="00210C9E" w:rsidRPr="00C3141A" w:rsidRDefault="00210C9E" w:rsidP="00210C9E">
      <w:pPr>
        <w:pStyle w:val="SingleTxtG"/>
      </w:pPr>
      <w:r>
        <w:t>12.</w:t>
      </w:r>
      <w:r>
        <w:tab/>
        <w:t xml:space="preserve">Лица, имеющие ограниченные способности к работе и деятельности, связанной с работой, зачисляются в группу получателей поддержки. Заявители, имеющие право на зависящее от дохода ПМПТ, будут автоматически иметь право на повышенную надбавку по инвалидности, а если они получают пособия с </w:t>
      </w:r>
      <w:proofErr w:type="spellStart"/>
      <w:r>
        <w:t>правонаделяющим</w:t>
      </w:r>
      <w:proofErr w:type="spellEnd"/>
      <w:r>
        <w:t xml:space="preserve"> статусом, например ППИ по средней или наивысшей ставке, компонент ПДРИ на повседневную жизнь или независимые выплаты военнослужащим (НВВС) и живут в </w:t>
      </w:r>
      <w:r>
        <w:lastRenderedPageBreak/>
        <w:t>одиночку или считаются живущими в одиночку</w:t>
      </w:r>
      <w:r w:rsidR="008465E0">
        <w:t>,</w:t>
      </w:r>
      <w:r>
        <w:t xml:space="preserve"> – на дополнительную надбавку по тяжелой форме инвалидности.</w:t>
      </w:r>
    </w:p>
    <w:p w14:paraId="44DB8477" w14:textId="77777777" w:rsidR="00210C9E" w:rsidRPr="00C3141A" w:rsidRDefault="00210C9E" w:rsidP="00210C9E">
      <w:pPr>
        <w:pStyle w:val="SingleTxtG"/>
      </w:pPr>
      <w:r>
        <w:t>13.</w:t>
      </w:r>
      <w:r>
        <w:tab/>
        <w:t>Людям с ограниченной трудоспособностью оказывается поддержка с целью их подготовки к возобновлению работы в будущем. Эта поддержка включает в себя профессиональную подготовку, финансовую поддержку и предоставление возможностей заняться волонтерской деятельностью с учетом индивидуальных особенностей. В разделе 2 приводится более подробная информация об этой поддержке для лиц с нарушениями здоровья в системе ПМТ и УК, в том числе о персональном пакете поддержки, который был введен в апреле 2017 года.</w:t>
      </w:r>
    </w:p>
    <w:p w14:paraId="34759150" w14:textId="77777777" w:rsidR="00210C9E" w:rsidRPr="00C3141A" w:rsidRDefault="00210C9E" w:rsidP="00210C9E">
      <w:pPr>
        <w:pStyle w:val="SingleTxtG"/>
      </w:pPr>
      <w:r>
        <w:t>14.</w:t>
      </w:r>
      <w:r>
        <w:tab/>
        <w:t>В предшествующих ответах на рекомендацию 45 (a)–e)) изложен ряд подходов к осуществлению поддержки самостоятельного образа жизни посредством существующей политики и законодательства, путем выделения значительных финансовых средств и благодаря будущей реформе и заслушиванию мнений инвалидов.</w:t>
      </w:r>
    </w:p>
    <w:p w14:paraId="1D5479DD" w14:textId="77777777" w:rsidR="00210C9E" w:rsidRPr="00C3141A" w:rsidRDefault="00210C9E" w:rsidP="00210C9E">
      <w:pPr>
        <w:pStyle w:val="SingleTxtG"/>
      </w:pPr>
      <w:r>
        <w:t>15.</w:t>
      </w:r>
      <w:r>
        <w:tab/>
        <w:t>Кроме того, за последние два года на 200% возросло число личных бюджетов на здоровье, при этом в первые девять месяцев 2017/18 года такими бюджетами в Англии располагали 22 895 человек. В 2017/18 году была расширена программа по комплексному персональному уходу</w:t>
      </w:r>
      <w:r w:rsidR="004B5D2E" w:rsidRPr="009754A9">
        <w:rPr>
          <w:rStyle w:val="aa"/>
        </w:rPr>
        <w:footnoteReference w:id="3"/>
      </w:r>
      <w:r>
        <w:t xml:space="preserve"> с расчетом на охват ею 42 групп по размещению заказов на клинические услуги. Она призвана обеспечить людям более широкий выбор в плане персонального ухода за ними, и, согласно отчетности соответствующих центров, со времени начала осуществления программы подготовлено около </w:t>
      </w:r>
      <w:r w:rsidR="00B16EEC">
        <w:br/>
      </w:r>
      <w:r>
        <w:t>48 000 планов по уходу. На 2018/19 год запланировано ее дальнейшее расширение.</w:t>
      </w:r>
    </w:p>
    <w:p w14:paraId="4CD3D7EB" w14:textId="77777777" w:rsidR="00210C9E" w:rsidRPr="00C3141A" w:rsidRDefault="00210C9E" w:rsidP="00210C9E">
      <w:pPr>
        <w:pStyle w:val="SingleTxtG"/>
      </w:pPr>
      <w:r>
        <w:t>16.</w:t>
      </w:r>
      <w:r>
        <w:tab/>
        <w:t>В марте 2018 года государственный секретарь по вопросам здравоохранения и социального обеспечения объявил о начале консультаций по вопросам расширения прав на личные бюджеты на здоровье, что может дать возможность получить доступ к ним большему числу инвалидов. Он также объявил о начале осуществления экспериментального проекта по комплексному медицинскому обслуживанию и социальному уходу, в рамках которого будет произведена оценка последствий введения единой оценки состояния здоровья и потребностей в социальном уходе и всеобъемлющего плана работы для каждого лица, имеющего в настоящее время право на «оценку потребностей» согласно Закону об уходе 2014 года.</w:t>
      </w:r>
    </w:p>
    <w:p w14:paraId="760F3AE5" w14:textId="77777777" w:rsidR="00210C9E" w:rsidRPr="00C3141A" w:rsidRDefault="00210C9E" w:rsidP="00210C9E">
      <w:pPr>
        <w:pStyle w:val="H1G"/>
        <w:ind w:firstLine="0"/>
      </w:pPr>
      <w:bookmarkStart w:id="8" w:name="_Toc43805224"/>
      <w:r>
        <w:rPr>
          <w:bCs/>
        </w:rPr>
        <w:t>Рекомендация в пункте 114 d)</w:t>
      </w:r>
      <w:bookmarkEnd w:id="8"/>
    </w:p>
    <w:p w14:paraId="41534BF1" w14:textId="77777777" w:rsidR="00210C9E" w:rsidRPr="001050BE" w:rsidRDefault="00210C9E" w:rsidP="00210C9E">
      <w:pPr>
        <w:pStyle w:val="SingleTxtG"/>
      </w:pPr>
      <w:r>
        <w:t>17.</w:t>
      </w:r>
      <w:r>
        <w:tab/>
        <w:t xml:space="preserve">Правительство Соединенного Королевства безоговорочно привержено делу оказания финансовой поддержки тем, кто в ней нуждается. Мы предоставляем широкий круг пособий, в том числе с элементами дополнительной поддержки, с тем чтобы они лучше отражали финансовые потребности людей с хроническими заболеваниями или инвалидностью, а также их возможные дополнительные расходы, как указано в нашем ответе на рекомендацию 59 а). </w:t>
      </w:r>
    </w:p>
    <w:p w14:paraId="339533FE" w14:textId="77777777" w:rsidR="00210C9E" w:rsidRPr="00C3141A" w:rsidRDefault="00210C9E" w:rsidP="00210C9E">
      <w:pPr>
        <w:pStyle w:val="SingleTxtG"/>
      </w:pPr>
      <w:r>
        <w:t>18.</w:t>
      </w:r>
      <w:r>
        <w:tab/>
        <w:t xml:space="preserve">По состоянию на апрель 2018 года доля лиц, получающих пособия по наибольшей ставке сейчас является более высокой, чем ранее: среди нынешних получателей ПДРИ получают поддержку в максимальном объеме 30%, в то время как в тот момент, когда ПДРИ было впервые введено, среди получателей ППИ аналогичная доля была равна 15%. ПДРИ также обеспечивает большее равенство между лицами с нарушениями психического и физического здоровья, чего не было в случае ППИ. Вследствие этого по компоненту мобильности повышенная ставка установлена для 32% получателей ПДРИ с хроническими нарушениями психического здоровья против 10% в случае ППИ, а по компоненту, связанному с финансированием повседневной жизни, выплаты производятся по повышенной ставке 66% получателей ПДРИ с такими нарушениями, тогда как в системе ППИ доля получателей эквивалентного компонента пособия составляла 22%. </w:t>
      </w:r>
    </w:p>
    <w:p w14:paraId="7DF87023" w14:textId="77777777" w:rsidR="00210C9E" w:rsidRPr="00C3141A" w:rsidRDefault="00210C9E" w:rsidP="00210C9E">
      <w:pPr>
        <w:pStyle w:val="SingleTxtG"/>
      </w:pPr>
      <w:r>
        <w:lastRenderedPageBreak/>
        <w:t>19.</w:t>
      </w:r>
      <w:r>
        <w:tab/>
        <w:t>Как ППИ, так и ПДРИ увеличиваются в соответствии с инфляцией. Так, например, по сравнению с 2010 годом размер ППИ для большинства детей-инвалидов увеличился более чем на 100 фунтов стерлингов в месяц. Повышенные ставки ПДРИ также увеличились с момента его введения в 2013 году почти на 570 фунтов стерлингов в год.</w:t>
      </w:r>
    </w:p>
    <w:p w14:paraId="3EF2D8E3" w14:textId="77777777" w:rsidR="00210C9E" w:rsidRPr="00C3141A" w:rsidRDefault="00210C9E" w:rsidP="00210C9E">
      <w:pPr>
        <w:pStyle w:val="SingleTxtG"/>
      </w:pPr>
      <w:r>
        <w:t>20.</w:t>
      </w:r>
      <w:r>
        <w:tab/>
        <w:t>Правительство признает важность сохранения мобильности населения, с тем чтобы оно могло в полной мере участвовать в жизни общества. Схема «</w:t>
      </w:r>
      <w:proofErr w:type="spellStart"/>
      <w:r>
        <w:t>Мотабилити</w:t>
      </w:r>
      <w:proofErr w:type="spellEnd"/>
      <w:r>
        <w:t>»</w:t>
      </w:r>
      <w:r w:rsidR="00C65614" w:rsidRPr="009754A9">
        <w:rPr>
          <w:rStyle w:val="aa"/>
        </w:rPr>
        <w:footnoteReference w:id="4"/>
      </w:r>
      <w:r>
        <w:t xml:space="preserve"> позволяет инвалидам менять компонент мобильности ППИ с более высокой ставкой, компонент мобильности ПДРИ с повышенной ставкой, доплату на мобильность к военным пенсиям или НВВС на аренду нового автомобиля, скутера или моторизированной инвалидной коляски, и данной схемой сейчас пользуется больше людей, чем в 2010 году. Правительство Соединенного Королевства ведет работу с администрацией «</w:t>
      </w:r>
      <w:proofErr w:type="spellStart"/>
      <w:r>
        <w:t>Мотабилити</w:t>
      </w:r>
      <w:proofErr w:type="spellEnd"/>
      <w:r>
        <w:t>» в целях разработки обширного переходного пакета поддержки на сумму 175 млн фунтов стерлингов для получателей ППИ, которые теряют право на участие в схеме после переоценки ПДРИ, с тем чтобы дать им возможность оставаться мобильными. Эта поддержка включает единовременную выплату определенной суммы в размере до 2</w:t>
      </w:r>
      <w:r w:rsidR="00C65614">
        <w:t> </w:t>
      </w:r>
      <w:r>
        <w:t xml:space="preserve">000 фунтов стерлингов, благодаря которой они имеют возможность продлить на шесть месяцев аренду и право покупки автомобиля. Данная схема пользуется популярностью у заявителей: к ней присоединяются около трети из тех, кто имеет право в ней участвовать, и при этом отмечается высокий уровень удовлетворенности (98%). </w:t>
      </w:r>
    </w:p>
    <w:p w14:paraId="05776525" w14:textId="77777777" w:rsidR="00210C9E" w:rsidRPr="00C3141A" w:rsidRDefault="00210C9E" w:rsidP="00210C9E">
      <w:pPr>
        <w:pStyle w:val="SingleTxtG"/>
      </w:pPr>
      <w:r>
        <w:t>21.</w:t>
      </w:r>
      <w:r>
        <w:tab/>
        <w:t>В ответах на рекомендации 45 c) и 45 e) говорится о значительных инвестициях в систему социального ухода, благодаря которым в период 2017/18–2019/20 годов местным советам предоставляется доступ к более адресному финансированию социального ухода в размере до 9,4 млрд фунтов стерлингов. Это обеспечит им возможности для укрепления потенциала системы социального ухода, включая поддержку на удовлетворение потребностей в нем инвалидов.</w:t>
      </w:r>
    </w:p>
    <w:p w14:paraId="506FE667" w14:textId="77777777" w:rsidR="00210C9E" w:rsidRPr="00C3141A" w:rsidRDefault="00210C9E" w:rsidP="00210C9E">
      <w:pPr>
        <w:pStyle w:val="SingleTxtG"/>
      </w:pPr>
      <w:r>
        <w:t>22.</w:t>
      </w:r>
      <w:r>
        <w:tab/>
        <w:t>В планах обзоров расходов на социальный уход продолжают рассматриваться потребности пользователей услуг по уходу, и мы регулярно отслеживаем риски в системе ухода, в том числе в связи с финансированием.</w:t>
      </w:r>
    </w:p>
    <w:p w14:paraId="6FE6CC77" w14:textId="77777777" w:rsidR="00210C9E" w:rsidRPr="00C3141A" w:rsidRDefault="00210C9E" w:rsidP="00210C9E">
      <w:pPr>
        <w:pStyle w:val="SingleTxtG"/>
      </w:pPr>
      <w:r>
        <w:t>23.</w:t>
      </w:r>
      <w:r>
        <w:tab/>
        <w:t>Правительство Уэльса учредило консультативную бюджетную группу по вопросам равенства</w:t>
      </w:r>
      <w:r w:rsidRPr="009754A9">
        <w:rPr>
          <w:rStyle w:val="aa"/>
        </w:rPr>
        <w:footnoteReference w:id="5"/>
      </w:r>
      <w:r>
        <w:t xml:space="preserve"> для оказания содействия в учете соображений равенства в планах расходования средств. В состав ее членов входят представители организаций, обладающих специальными экспертными знаниями и опытом в вопросах равенства, в том числе организации «Инвалиды Уэльса».</w:t>
      </w:r>
    </w:p>
    <w:p w14:paraId="043EE346" w14:textId="77777777" w:rsidR="00210C9E" w:rsidRPr="00C3141A" w:rsidRDefault="00210C9E" w:rsidP="00210C9E">
      <w:pPr>
        <w:pStyle w:val="SingleTxtG"/>
      </w:pPr>
      <w:r>
        <w:t>24.</w:t>
      </w:r>
      <w:r>
        <w:tab/>
        <w:t>Роль группы включает в себя оказание помощи в анализе фактических данных о равенстве с целью улучшения будущей Оценки воздействия бюджета на равенство (ОВОС), проводимой правительством Уэльса; и повышение приверженности и осведомленности в отношении учета вопросов равенства в будущих бюджетах правительства Уэльса и государственного сектора Уэльса в целом.</w:t>
      </w:r>
    </w:p>
    <w:p w14:paraId="7BA1B996" w14:textId="77777777" w:rsidR="00210C9E" w:rsidRPr="00C3141A" w:rsidRDefault="00210C9E" w:rsidP="00210C9E">
      <w:pPr>
        <w:pStyle w:val="H1G"/>
        <w:ind w:firstLine="0"/>
      </w:pPr>
      <w:bookmarkStart w:id="9" w:name="_Toc43805225"/>
      <w:r>
        <w:rPr>
          <w:bCs/>
        </w:rPr>
        <w:t>Рекомендация в пункте 114 е)</w:t>
      </w:r>
      <w:bookmarkEnd w:id="9"/>
    </w:p>
    <w:p w14:paraId="0659A270" w14:textId="77777777" w:rsidR="00210C9E" w:rsidRPr="00C3141A" w:rsidRDefault="00210C9E" w:rsidP="00210C9E">
      <w:pPr>
        <w:pStyle w:val="SingleTxtG"/>
      </w:pPr>
      <w:r>
        <w:t>25.</w:t>
      </w:r>
      <w:r>
        <w:tab/>
        <w:t>В соответствии с Законом о равенстве 2010 года все государственные органы, работодатели и поставщики услуг должны обеспечить разумные приспособления в связи с любым элементом работы или услуги, из-за которого инвалид оказывается в существенно более неблагоприятном положении по сравнению с его коллегой, не являющимся инвалидом. Это может предусматривать предоставление информации в альтернативных форматах или, когда целесообразно, оказание услуг по переводу.</w:t>
      </w:r>
    </w:p>
    <w:p w14:paraId="37B94861" w14:textId="77777777" w:rsidR="00210C9E" w:rsidRPr="00C3141A" w:rsidRDefault="00210C9E" w:rsidP="00210C9E">
      <w:pPr>
        <w:pStyle w:val="SingleTxtG"/>
      </w:pPr>
      <w:r>
        <w:t>26.</w:t>
      </w:r>
      <w:r>
        <w:tab/>
        <w:t xml:space="preserve">Министр по делам инвалидов, здравоохранения и труда признает важность доступа к информации и созывает совещания </w:t>
      </w:r>
      <w:proofErr w:type="spellStart"/>
      <w:r>
        <w:t>межсекторальной</w:t>
      </w:r>
      <w:proofErr w:type="spellEnd"/>
      <w:r>
        <w:t xml:space="preserve"> целевой группы по </w:t>
      </w:r>
      <w:r>
        <w:lastRenderedPageBreak/>
        <w:t>вопросам доступной коммуникации. Цель состоит в проведении вместе с рядом внешних заинтересованных субъектов из числа инвалидов работы над обеспечением улучшения коммуникации МТПО с инвалидами. Выводы этой целевой группы распространяются в более широкой коммуникационной сети правительства, что обеспечивает более высокий уровень осведомленности о коммуникационных потребностях инвалидов.</w:t>
      </w:r>
    </w:p>
    <w:p w14:paraId="5A1A72B9" w14:textId="77777777" w:rsidR="00210C9E" w:rsidRPr="00C3141A" w:rsidRDefault="00210C9E" w:rsidP="00210C9E">
      <w:pPr>
        <w:pStyle w:val="SingleTxtG"/>
      </w:pPr>
      <w:r>
        <w:t>27.</w:t>
      </w:r>
      <w:r>
        <w:tab/>
        <w:t xml:space="preserve">Что касается услуг, упомянутых в рекомендации, то МТПО обеспечивает подготовку сообщений в альтернативных формах и их легкодоступность, в частности за счет использования азбуки Брайля, крупного шрифта и </w:t>
      </w:r>
      <w:proofErr w:type="spellStart"/>
      <w:r>
        <w:t>аудиокопий</w:t>
      </w:r>
      <w:proofErr w:type="spellEnd"/>
      <w:r>
        <w:t>. МТПО</w:t>
      </w:r>
      <w:r w:rsidR="00C65614">
        <w:t> </w:t>
      </w:r>
      <w:r>
        <w:t xml:space="preserve">продолжает совершенствовать методы общения с заявителями из числа инвалидов, в том числе посредством применения электронной почты, формата текста нового поколения, который помогает людям применять телефонную систему, организации посещений на дому или использования в качестве разумного приспособления для проведения собеседований частных помещений, а также путем задействования системы видеотрансляции, обеспечивающей </w:t>
      </w:r>
      <w:proofErr w:type="spellStart"/>
      <w:r>
        <w:t>видеоперевод</w:t>
      </w:r>
      <w:proofErr w:type="spellEnd"/>
      <w:r>
        <w:t>. МТПО</w:t>
      </w:r>
      <w:r w:rsidR="00C65614">
        <w:t> </w:t>
      </w:r>
      <w:r>
        <w:t>также намерено производить больше продуктов в доступном электронном формате и формате, удобном для чтения, и играет ведущую роль в разработке межведомственных стандартов для облегчения чтения.</w:t>
      </w:r>
    </w:p>
    <w:p w14:paraId="43B019F8" w14:textId="77777777" w:rsidR="00210C9E" w:rsidRPr="001050BE" w:rsidRDefault="00210C9E" w:rsidP="00210C9E">
      <w:pPr>
        <w:pStyle w:val="SingleTxtG"/>
      </w:pPr>
      <w:r>
        <w:t>28.</w:t>
      </w:r>
      <w:r>
        <w:tab/>
        <w:t>В Шотландии действует законодательство, в котором признается британский жестовый язык</w:t>
      </w:r>
      <w:r w:rsidR="00C65614" w:rsidRPr="009754A9">
        <w:rPr>
          <w:rStyle w:val="aa"/>
        </w:rPr>
        <w:footnoteReference w:id="6"/>
      </w:r>
      <w:r>
        <w:t xml:space="preserve"> (БЖЯ). Закон о БЯЖ (Шотландия) 2015 года возлагает на шотландских министров обязанность содействовать использованию и пониманию</w:t>
      </w:r>
      <w:r w:rsidR="00AB07AC">
        <w:rPr>
          <w:lang w:val="en-US"/>
        </w:rPr>
        <w:t> </w:t>
      </w:r>
      <w:r>
        <w:t>БЖЯ.</w:t>
      </w:r>
    </w:p>
    <w:p w14:paraId="55E1151C" w14:textId="77777777" w:rsidR="00210C9E" w:rsidRPr="00C3141A" w:rsidRDefault="00210C9E" w:rsidP="00210C9E">
      <w:pPr>
        <w:pStyle w:val="H1G"/>
        <w:ind w:firstLine="0"/>
      </w:pPr>
      <w:bookmarkStart w:id="10" w:name="_Toc43805226"/>
      <w:r>
        <w:rPr>
          <w:bCs/>
        </w:rPr>
        <w:t>Рекомендация в пункте 114 f)</w:t>
      </w:r>
      <w:bookmarkEnd w:id="10"/>
      <w:r w:rsidR="00C65614">
        <w:rPr>
          <w:bCs/>
        </w:rPr>
        <w:t xml:space="preserve"> </w:t>
      </w:r>
    </w:p>
    <w:p w14:paraId="36F3C118" w14:textId="77777777" w:rsidR="00210C9E" w:rsidRPr="00C3141A" w:rsidRDefault="00210C9E" w:rsidP="00210C9E">
      <w:pPr>
        <w:pStyle w:val="SingleTxtG"/>
      </w:pPr>
      <w:r>
        <w:t>29.</w:t>
      </w:r>
      <w:r>
        <w:tab/>
        <w:t>Требует уточнения вопрос доступа инвалидов к судам в связи с оспариваемыми решениями в отношении пособий по социальному обеспечению, которые были предметом толкования в докладе Комитета о расследовании 2016 года</w:t>
      </w:r>
      <w:r w:rsidRPr="009754A9">
        <w:rPr>
          <w:rStyle w:val="aa"/>
        </w:rPr>
        <w:footnoteReference w:id="7"/>
      </w:r>
      <w:r>
        <w:t>. Для целей представительства по делам в трибуналах первой инстанции правовая помощь была недоступна даже до введения в действие в апреле 2013 года Закона 2012 года</w:t>
      </w:r>
      <w:r w:rsidR="00C65614" w:rsidRPr="009754A9">
        <w:rPr>
          <w:rStyle w:val="aa"/>
        </w:rPr>
        <w:footnoteReference w:id="8"/>
      </w:r>
      <w:r>
        <w:t xml:space="preserve"> о юридической помощи лицам, совершившим преступление, хотя для целей юридических консультаций она была доступна. Это было обусловлено тем, что такой трибунал имеет неформальный и </w:t>
      </w:r>
      <w:proofErr w:type="spellStart"/>
      <w:r>
        <w:t>несостязательный</w:t>
      </w:r>
      <w:proofErr w:type="spellEnd"/>
      <w:r>
        <w:t xml:space="preserve"> характер и необходимость в юридическом представительстве в нем как таковом отсутствует. Система правовой помощи по-прежнему обеспечивает доступ к правосудию для лиц, отвечающих соответствующим критериям, в случае наиболее приоритетных дел, включая дела по спорам с местными органами самоуправления об услугах по уходу за инвалидами на уровне местного сообщества, а также в связи с претензиями относительно дискриминации и пособий по социальному обеспечению, связанными с нарушением Закона о равенстве 2010 года.</w:t>
      </w:r>
    </w:p>
    <w:p w14:paraId="40437B1A" w14:textId="77777777" w:rsidR="00210C9E" w:rsidRPr="00C3141A" w:rsidRDefault="00210C9E" w:rsidP="00210C9E">
      <w:pPr>
        <w:pStyle w:val="SingleTxtG"/>
      </w:pPr>
      <w:r>
        <w:t>30.</w:t>
      </w:r>
      <w:r>
        <w:tab/>
        <w:t>Правовая помощь также доступна при судебных пересмотрах в порядке надзора, в том числе в связи с политикой в отношении пособий по социальному обеспечению. Консультации по вопросам дискриминации предоставляются через сервис юридических консультаций по гражданским делам</w:t>
      </w:r>
      <w:r w:rsidRPr="009754A9">
        <w:rPr>
          <w:rStyle w:val="aa"/>
        </w:rPr>
        <w:footnoteReference w:id="9"/>
      </w:r>
      <w:r>
        <w:t>, представляющий собой доступную горячую линию и онлайновый ресурс, в котором по ряду аспектов были обеспечены адаптация и разумные приспособления. Изменения в правовой помощи не ограничили доступ к процессу апелляций. Не ограничило его и обязательное повторное рассмотрение, введенное в 2013 году для того, чтобы можно было исправлять решения на более раннем этапе, при этом право на обжалование, когда это требуется, по-прежнему доступно.</w:t>
      </w:r>
    </w:p>
    <w:p w14:paraId="77D675ED" w14:textId="77777777" w:rsidR="00210C9E" w:rsidRPr="00C3141A" w:rsidRDefault="00210C9E" w:rsidP="00210C9E">
      <w:pPr>
        <w:pStyle w:val="SingleTxtG"/>
      </w:pPr>
      <w:r>
        <w:lastRenderedPageBreak/>
        <w:t>31.</w:t>
      </w:r>
      <w:r>
        <w:tab/>
        <w:t>Основанная на правах новая система социального обеспечения Шотландии будет разрабатываться на совместной основе с учетом нынешнего опыта отдельных лиц с опорой на принципы достоинства, справедливости, уважения и с той целью, чтобы правильные решения выносились с первого раза, при этом соответствующее лицо будет иметь право обратиться с просьбой о проведении пересмотра в том случае, если, по его мнению, шотландское агентство социального обеспечения приняло неверное решение. Если повторное решение не вынесено в установленные сроки либо если данное лицо не удовлетворено повторным решением, оно буд</w:t>
      </w:r>
      <w:r w:rsidR="00945CA7">
        <w:t>е</w:t>
      </w:r>
      <w:r>
        <w:t>т иметь право обжаловать его в шотландских судах, обратившись в трибунал первой инстанции, причем при соблюдении определенных условий в отсутствие представительства ему может быть оказана юридическая помощь для целей юридических консультаций. При</w:t>
      </w:r>
      <w:r w:rsidR="00945CA7">
        <w:t> </w:t>
      </w:r>
      <w:r>
        <w:t>наличии возможности дальнейшей апелляции в трибунал более высокого уровня правовая помощь будет включать в себя представительство.</w:t>
      </w:r>
    </w:p>
    <w:p w14:paraId="7976EAFF" w14:textId="77777777" w:rsidR="00210C9E" w:rsidRPr="00C3141A" w:rsidRDefault="00210C9E" w:rsidP="00210C9E">
      <w:pPr>
        <w:pStyle w:val="H1G"/>
        <w:ind w:firstLine="0"/>
      </w:pPr>
      <w:bookmarkStart w:id="11" w:name="_Toc43805227"/>
      <w:r>
        <w:rPr>
          <w:bCs/>
        </w:rPr>
        <w:t>Рекомендация в пункте 114 g)</w:t>
      </w:r>
      <w:bookmarkEnd w:id="11"/>
    </w:p>
    <w:p w14:paraId="62223A09" w14:textId="77777777" w:rsidR="00210C9E" w:rsidRPr="00C3141A" w:rsidRDefault="00210C9E" w:rsidP="00210C9E">
      <w:pPr>
        <w:pStyle w:val="SingleTxtG"/>
      </w:pPr>
      <w:r>
        <w:t>32.</w:t>
      </w:r>
      <w:r>
        <w:tab/>
        <w:t xml:space="preserve">В Соединенном Королевстве имеется большой опыт взаимодействия с инвалидами для его использования в качестве информационной основы при выработке политики на всех уровнях правительства. Однако мы постоянно стремимся к улучшению нашей практики, и информационную основу для услуг во все большей степени обеспечивают сами инвалиды: например, мы активизируем взаимодействие Управления по вопросам инвалидности с заинтересованными сторонами в конце этого года для обеспечения взаимодействия с более значительным числом </w:t>
      </w:r>
      <w:r w:rsidR="00945CA7">
        <w:br/>
      </w:r>
      <w:r>
        <w:t>организаций, возглавляемых инвалидами-пользователями, менее крупных местных заинтересованных субъектов и физических лиц.</w:t>
      </w:r>
    </w:p>
    <w:p w14:paraId="56195FC8" w14:textId="77777777" w:rsidR="00210C9E" w:rsidRPr="00C3141A" w:rsidRDefault="00210C9E" w:rsidP="00210C9E">
      <w:pPr>
        <w:pStyle w:val="SingleTxtG"/>
      </w:pPr>
      <w:r>
        <w:t>33.</w:t>
      </w:r>
      <w:r>
        <w:tab/>
        <w:t>В ходе консультаций, состоявшихся после выпуска документа «</w:t>
      </w:r>
      <w:proofErr w:type="spellStart"/>
      <w:r>
        <w:t>Improving</w:t>
      </w:r>
      <w:proofErr w:type="spellEnd"/>
      <w:r>
        <w:t xml:space="preserve"> </w:t>
      </w:r>
      <w:proofErr w:type="spellStart"/>
      <w:r>
        <w:t>Lives</w:t>
      </w:r>
      <w:proofErr w:type="spellEnd"/>
      <w:r>
        <w:t xml:space="preserve">: </w:t>
      </w:r>
      <w:proofErr w:type="spellStart"/>
      <w:r>
        <w:t>the</w:t>
      </w:r>
      <w:proofErr w:type="spellEnd"/>
      <w:r>
        <w:t xml:space="preserve"> </w:t>
      </w:r>
      <w:proofErr w:type="spellStart"/>
      <w:r>
        <w:t>Work</w:t>
      </w:r>
      <w:proofErr w:type="spellEnd"/>
      <w:r>
        <w:t xml:space="preserve">, </w:t>
      </w:r>
      <w:proofErr w:type="spellStart"/>
      <w:r>
        <w:t>Health</w:t>
      </w:r>
      <w:proofErr w:type="spellEnd"/>
      <w:r>
        <w:t xml:space="preserve"> </w:t>
      </w:r>
      <w:proofErr w:type="spellStart"/>
      <w:r>
        <w:t>and</w:t>
      </w:r>
      <w:proofErr w:type="spellEnd"/>
      <w:r>
        <w:t xml:space="preserve"> </w:t>
      </w:r>
      <w:proofErr w:type="spellStart"/>
      <w:r>
        <w:t>Disability</w:t>
      </w:r>
      <w:proofErr w:type="spellEnd"/>
      <w:r>
        <w:t xml:space="preserve"> </w:t>
      </w:r>
      <w:proofErr w:type="spellStart"/>
      <w:r>
        <w:t>Green</w:t>
      </w:r>
      <w:proofErr w:type="spellEnd"/>
      <w:r>
        <w:t xml:space="preserve"> </w:t>
      </w:r>
      <w:proofErr w:type="spellStart"/>
      <w:r>
        <w:t>Paper</w:t>
      </w:r>
      <w:proofErr w:type="spellEnd"/>
      <w:r>
        <w:t>»</w:t>
      </w:r>
      <w:r w:rsidRPr="009754A9">
        <w:rPr>
          <w:rStyle w:val="aa"/>
        </w:rPr>
        <w:footnoteReference w:id="10"/>
      </w:r>
      <w:r>
        <w:t>, было получено около 6</w:t>
      </w:r>
      <w:r w:rsidR="00682650">
        <w:t> </w:t>
      </w:r>
      <w:r>
        <w:t xml:space="preserve">000 ответов, представленных в результате тесного сотрудничества с заинтересованными сторонами, и было проведено 166 доступных мероприятий. Высказанные мнения использовались в качестве источника информации при выработке документа с описанием наших стратегии и видения, в соответствии с которыми количество занятых трудом инвалидов должно к 2027 году возрасти на </w:t>
      </w:r>
      <w:r w:rsidR="00682650">
        <w:t>1</w:t>
      </w:r>
      <w:r>
        <w:t xml:space="preserve"> </w:t>
      </w:r>
      <w:r w:rsidR="00682650">
        <w:t>млн</w:t>
      </w:r>
      <w:r>
        <w:t xml:space="preserve"> человек, и именно эти стратегию и видение мы опубликовали в ноябре 2017 года в документе «</w:t>
      </w:r>
      <w:proofErr w:type="spellStart"/>
      <w:r>
        <w:t>Improving</w:t>
      </w:r>
      <w:proofErr w:type="spellEnd"/>
      <w:r>
        <w:t xml:space="preserve"> </w:t>
      </w:r>
      <w:proofErr w:type="spellStart"/>
      <w:r>
        <w:t>Lives</w:t>
      </w:r>
      <w:proofErr w:type="spellEnd"/>
      <w:r>
        <w:t xml:space="preserve">: </w:t>
      </w:r>
      <w:proofErr w:type="spellStart"/>
      <w:r>
        <w:t>the</w:t>
      </w:r>
      <w:proofErr w:type="spellEnd"/>
      <w:r>
        <w:t xml:space="preserve"> </w:t>
      </w:r>
      <w:proofErr w:type="spellStart"/>
      <w:r>
        <w:t>future</w:t>
      </w:r>
      <w:proofErr w:type="spellEnd"/>
      <w:r>
        <w:t xml:space="preserve"> </w:t>
      </w:r>
      <w:proofErr w:type="spellStart"/>
      <w:r>
        <w:t>of</w:t>
      </w:r>
      <w:proofErr w:type="spellEnd"/>
      <w:r>
        <w:t xml:space="preserve"> </w:t>
      </w:r>
      <w:proofErr w:type="spellStart"/>
      <w:r>
        <w:t>Work</w:t>
      </w:r>
      <w:proofErr w:type="spellEnd"/>
      <w:r>
        <w:t xml:space="preserve">, </w:t>
      </w:r>
      <w:proofErr w:type="spellStart"/>
      <w:r>
        <w:t>Health</w:t>
      </w:r>
      <w:proofErr w:type="spellEnd"/>
      <w:r>
        <w:t xml:space="preserve"> </w:t>
      </w:r>
      <w:proofErr w:type="spellStart"/>
      <w:r>
        <w:t>and</w:t>
      </w:r>
      <w:proofErr w:type="spellEnd"/>
      <w:r>
        <w:t xml:space="preserve"> </w:t>
      </w:r>
      <w:proofErr w:type="spellStart"/>
      <w:r>
        <w:t>Disability</w:t>
      </w:r>
      <w:proofErr w:type="spellEnd"/>
      <w:r>
        <w:t>»</w:t>
      </w:r>
      <w:r w:rsidRPr="009754A9">
        <w:rPr>
          <w:rStyle w:val="aa"/>
        </w:rPr>
        <w:footnoteReference w:id="11"/>
      </w:r>
      <w:r>
        <w:t>.</w:t>
      </w:r>
    </w:p>
    <w:p w14:paraId="267C66CE" w14:textId="77777777" w:rsidR="00210C9E" w:rsidRPr="00C3141A" w:rsidRDefault="00210C9E" w:rsidP="00210C9E">
      <w:pPr>
        <w:pStyle w:val="SingleTxtG"/>
      </w:pPr>
      <w:r>
        <w:t>34.</w:t>
      </w:r>
      <w:r>
        <w:tab/>
        <w:t xml:space="preserve">Мы готовы работать в партнерстве со всеми заинтересованными сторонами, включая инвалидов и лиц с хроническими заболеваниями, с тем чтобы реализовать наше видение и использовать их информацию при конструировании форм поддержки, которые будут наиболее полезными. Мы тесно сотрудничали с благотворительными организациями, представительными организациями и заинтересованными сторонами, а также с людьми, которые сами имеют хронические проблемы со здоровьем. Например, мы опирались на опыт представительных групп заинтересованных сторон при разработке критериев прекращения повторных оценок для клиентов с наиболее тяжелыми заболеваниями. </w:t>
      </w:r>
    </w:p>
    <w:p w14:paraId="0D80BCF0" w14:textId="77777777" w:rsidR="00210C9E" w:rsidRPr="00C3141A" w:rsidRDefault="00210C9E" w:rsidP="00210C9E">
      <w:pPr>
        <w:pStyle w:val="SingleTxtG"/>
      </w:pPr>
      <w:r>
        <w:t>35.</w:t>
      </w:r>
      <w:r>
        <w:tab/>
        <w:t>Мы провели несколько доступных мероприятий с заинтересованными сторонами, включая организации инвалидов, в преддверии двух недавних консультаций по проекту плана действий по обеспечению доступности и по обзору аспектов безопасности Стратегии инвестиций в велосипедное и пешеходное движение</w:t>
      </w:r>
      <w:r w:rsidRPr="009754A9">
        <w:rPr>
          <w:rStyle w:val="aa"/>
        </w:rPr>
        <w:footnoteReference w:id="12"/>
      </w:r>
      <w:r>
        <w:t xml:space="preserve">. </w:t>
      </w:r>
      <w:proofErr w:type="gramStart"/>
      <w:r>
        <w:t>Во время</w:t>
      </w:r>
      <w:proofErr w:type="gramEnd"/>
      <w:r>
        <w:t xml:space="preserve"> еще одной консультации по вопросам расширения права на получение «Голубой карточки»</w:t>
      </w:r>
      <w:r w:rsidRPr="009754A9">
        <w:rPr>
          <w:rStyle w:val="aa"/>
        </w:rPr>
        <w:footnoteReference w:id="13"/>
      </w:r>
      <w:r>
        <w:t xml:space="preserve">, которая позволяет инвалидам с сильными </w:t>
      </w:r>
      <w:r>
        <w:lastRenderedPageBreak/>
        <w:t>ограничениями в мобильности парковаться ближе к их месту назначения, было получено около 6 000 ответов.</w:t>
      </w:r>
    </w:p>
    <w:p w14:paraId="1EDCFD56" w14:textId="77777777" w:rsidR="00210C9E" w:rsidRPr="00C3141A" w:rsidRDefault="00210C9E" w:rsidP="00210C9E">
      <w:pPr>
        <w:pStyle w:val="SingleTxtG"/>
      </w:pPr>
      <w:r>
        <w:t>36.</w:t>
      </w:r>
      <w:r>
        <w:tab/>
        <w:t xml:space="preserve">Под председательством спикера и руководителя правительственной фракции работает Форум по вопросам равенства инвалидов правительства Уэльса, в котором участвуют инвалиды и </w:t>
      </w:r>
      <w:proofErr w:type="spellStart"/>
      <w:r>
        <w:t>неинвалиды</w:t>
      </w:r>
      <w:proofErr w:type="spellEnd"/>
      <w:r>
        <w:t xml:space="preserve"> с широким кругом экспертных знаний. Форум обеспечивает для заинтересованных сторон возможность консультировать правительство Уэльса и более широкий государственный сектор по ключевым вопросам, затрагивающим инвалидов в Уэльсе. Он также является форумом для обмена информацией о передовой практике.</w:t>
      </w:r>
    </w:p>
    <w:p w14:paraId="1EEF7DEC" w14:textId="77777777" w:rsidR="00210C9E" w:rsidRPr="00C3141A" w:rsidRDefault="00210C9E" w:rsidP="00210C9E">
      <w:pPr>
        <w:pStyle w:val="SingleTxtG"/>
      </w:pPr>
      <w:r>
        <w:t>37.</w:t>
      </w:r>
      <w:r>
        <w:tab/>
        <w:t>На период 2017–2020 годов организации «Инвалиды Уэльса» была предоставлена субсидия в размере 500 000 фунтов стерлингов по линии Программы субсидий на равенство и инклюзию, с тем чтобы она выполняла для инвалидов и их организаций в Уэльсе роль представительного органа и работала с правительством и другими государственными органами Уэльса над обеспечением учета мнений инвалидов.</w:t>
      </w:r>
    </w:p>
    <w:p w14:paraId="64BE8A9E" w14:textId="77777777" w:rsidR="00210C9E" w:rsidRPr="00C3141A" w:rsidRDefault="00210C9E" w:rsidP="00210C9E">
      <w:pPr>
        <w:pStyle w:val="SingleTxtG"/>
      </w:pPr>
      <w:r>
        <w:t>38.</w:t>
      </w:r>
      <w:r>
        <w:tab/>
        <w:t>Шотландское правительство готово привлекать людей, имеющих непосредственный опыт получения пособий. Работать с правительством Шотландии в рамках групп изучения опыта согласились более 2</w:t>
      </w:r>
      <w:r w:rsidR="006B0FDF">
        <w:t> </w:t>
      </w:r>
      <w:r>
        <w:t>400 волонтеров со всей Шотландии</w:t>
      </w:r>
      <w:r w:rsidRPr="009754A9">
        <w:rPr>
          <w:rStyle w:val="aa"/>
        </w:rPr>
        <w:footnoteReference w:id="14"/>
      </w:r>
      <w:r>
        <w:t>. Шотландское правительство полно решимости создать новую систему социального обеспечения для поддержки тех, кто в ней больше всего нуждается.</w:t>
      </w:r>
    </w:p>
    <w:p w14:paraId="7CD8BEF7" w14:textId="77777777" w:rsidR="00210C9E" w:rsidRPr="00C3141A" w:rsidRDefault="00210C9E" w:rsidP="00210C9E">
      <w:pPr>
        <w:pStyle w:val="H1G"/>
        <w:ind w:firstLine="0"/>
      </w:pPr>
      <w:bookmarkStart w:id="12" w:name="_Toc43805228"/>
      <w:r>
        <w:rPr>
          <w:bCs/>
        </w:rPr>
        <w:t>Рекомендация в пункте 114 h)</w:t>
      </w:r>
      <w:bookmarkEnd w:id="12"/>
    </w:p>
    <w:p w14:paraId="2222F554" w14:textId="77777777" w:rsidR="00210C9E" w:rsidRPr="00C3141A" w:rsidRDefault="00210C9E" w:rsidP="00210C9E">
      <w:pPr>
        <w:pStyle w:val="SingleTxtG"/>
      </w:pPr>
      <w:r>
        <w:t>39.</w:t>
      </w:r>
      <w:r>
        <w:tab/>
        <w:t>Соединенное Королевство признает права всех инвалидов, в том числе тех, кто находится на попечении государства, жить в условиях достоинства, уважения и физической неприкосновенности. Мы боремся со стереотипами, дискриминацией, притеснениями и преступлениями на почве ненависти посредством реализации широкого круга программ в различных контекстах.</w:t>
      </w:r>
    </w:p>
    <w:p w14:paraId="322A6B10" w14:textId="77777777" w:rsidR="00210C9E" w:rsidRPr="00C3141A" w:rsidRDefault="00210C9E" w:rsidP="00210C9E">
      <w:pPr>
        <w:pStyle w:val="SingleTxtG"/>
      </w:pPr>
      <w:r>
        <w:t>40.</w:t>
      </w:r>
      <w:r>
        <w:tab/>
        <w:t>Мы со всей серьезностью подходим к борьбе с преступлениями на почве ненависти к инвалидам и занимаемся пропагандой позитивного отношения к ним. Для</w:t>
      </w:r>
      <w:r w:rsidR="006B0FDF">
        <w:t> </w:t>
      </w:r>
      <w:r>
        <w:t>борьбы с преступлениями на почве ненависти у нас есть прочная законодательная база, в частности положения, позволяющие суду выносить более строгие приговоры в случаях, когда преступление было мотивировано неприязнью к инвалиду.</w:t>
      </w:r>
    </w:p>
    <w:p w14:paraId="205A0C99" w14:textId="77777777" w:rsidR="00210C9E" w:rsidRPr="00C3141A" w:rsidRDefault="00210C9E" w:rsidP="00210C9E">
      <w:pPr>
        <w:pStyle w:val="SingleTxtG"/>
      </w:pPr>
      <w:r>
        <w:t>41.</w:t>
      </w:r>
      <w:r>
        <w:tab/>
        <w:t>В настоящее время ведется работа по улучшению отношения к инвалидам и повышению осведомленности о преступлениях на почве ненависти к инвалидам на основе Плана действий по борьбе с преступлениями на почве ненависти</w:t>
      </w:r>
      <w:r w:rsidR="006B0FDF" w:rsidRPr="009754A9">
        <w:rPr>
          <w:rStyle w:val="aa"/>
        </w:rPr>
        <w:footnoteReference w:id="15"/>
      </w:r>
      <w:r>
        <w:t>, который был опубликован в июле 2016 года Министерством внутренних дел. В четырехлетнем межведомственном плане действий основное внимание уделяется пяти ключевым областям. Имеются в виду предотвращение преступлений на почве ненависти путем разубеждения и оспаривания соответствующих взглядов, реагирование на такие преступления в местных сообществах, более широкое информирование о преступлениях на почве ненависти, улучшение поддержки жертв этих преступлений и формирование понимания в отношении преступлений на почве ненависти.</w:t>
      </w:r>
      <w:r w:rsidR="006B0FDF">
        <w:t xml:space="preserve"> </w:t>
      </w:r>
    </w:p>
    <w:p w14:paraId="39A1FD82" w14:textId="77777777" w:rsidR="00210C9E" w:rsidRPr="00C3141A" w:rsidRDefault="00210C9E" w:rsidP="00210C9E">
      <w:pPr>
        <w:pStyle w:val="SingleTxtG"/>
      </w:pPr>
      <w:r>
        <w:t>42.</w:t>
      </w:r>
      <w:r>
        <w:tab/>
        <w:t xml:space="preserve">Министерство внутренних дел и Министерство жилья, местных сообществ и местного самоуправления обновят план действий в конце этого года и в настоящее время работают совместно с заинтересованными сторонами над обеспечением того, чтобы он по-прежнему отвечал поставленным целям. План включает конкретные действия по борьбе с преступлениями на почве ненависти к инвалидам, предусматривает проведение работы по выявлению и распространению примеров передовой практики борьбы с ними и содержит рекомендации Королевской прокурорской службы для жертв/свидетелей таких преступлений с нарушениями обучаемости, а также перечень возглавляемых общинами проектов, ориентированных </w:t>
      </w:r>
      <w:r>
        <w:lastRenderedPageBreak/>
        <w:t>на решение проблемы преступлений на почве ненависти к инвалидам. Мы продолжаем вести работу с основными заинтересованными сторонами, чтобы понять, какие механизмы работают хорошо, и определить, что еще можно сделать для защиты жертв преступлений на почве ненависти к инвалидам.</w:t>
      </w:r>
    </w:p>
    <w:p w14:paraId="16873959" w14:textId="77777777" w:rsidR="00210C9E" w:rsidRPr="00C3141A" w:rsidRDefault="00210C9E" w:rsidP="00210C9E">
      <w:pPr>
        <w:pStyle w:val="SingleTxtG"/>
      </w:pPr>
      <w:r>
        <w:t>43.</w:t>
      </w:r>
      <w:r>
        <w:tab/>
        <w:t xml:space="preserve">Все школы по закону обязаны определить правила поведения учащихся, включая меры по предотвращению издевательств среди них. Они могут свободно разрабатывать свои собственные стратегии по борьбе с издевательствами с учетом своих условий, но должны отчитываться через Управление по вопросам стандартов в области образования. </w:t>
      </w:r>
    </w:p>
    <w:p w14:paraId="5CAFCBFE" w14:textId="77777777" w:rsidR="00210C9E" w:rsidRPr="00C3141A" w:rsidRDefault="00210C9E" w:rsidP="00210C9E">
      <w:pPr>
        <w:pStyle w:val="SingleTxtG"/>
      </w:pPr>
      <w:r>
        <w:t>44.</w:t>
      </w:r>
      <w:r>
        <w:tab/>
        <w:t xml:space="preserve">Мы выделяем на два года финансирование в объеме 1,75 млн фунтов стерлингов четырем организациям по борьбе с издевательствами для содействия решению проблемы издевательств в школах. Это финансирование идет на проекты, нацеленные на борьбу с издевательствами над определенными группами, например над лицами с особыми образовательными потребностями и лицами, уже ставшими жертвами издевательств на почве ненависти, а также на проект по представлению информации о случаях издевательств в режиме онлайн. Проект, возглавляемый «Альянсом по борьбе с издевательствами», нацелен на решение проблемы издевательств, связанных с особыми образовательными потребностями и инвалидностью. Он предусматривает очное обучение преподавателей, а также организацию «горячей линии» и онлайновое предоставление информации родителям детей с особыми образовательными потребностями и детей-инвалидов. </w:t>
      </w:r>
    </w:p>
    <w:p w14:paraId="5F31C61C" w14:textId="77777777" w:rsidR="00210C9E" w:rsidRPr="00C3141A" w:rsidRDefault="00210C9E" w:rsidP="00210C9E">
      <w:pPr>
        <w:pStyle w:val="SingleTxtG"/>
      </w:pPr>
      <w:r>
        <w:t>45.</w:t>
      </w:r>
      <w:r>
        <w:tab/>
        <w:t>Наша стратегия обеспечения безопасности в Интернете направлена на то, чтобы превратить Соединенное Королевство в самое безопасное в мире место для онлайнового присутствия в сети в рамках более широкой работы над Цифровой хартией</w:t>
      </w:r>
      <w:r w:rsidRPr="009754A9">
        <w:rPr>
          <w:rStyle w:val="aa"/>
        </w:rPr>
        <w:footnoteReference w:id="16"/>
      </w:r>
      <w:r>
        <w:t>. Мы надеемся, что все социальные медийные платформы подпишутся под нашим кодексом практики и согласятся с нашим онлайновым форматом ежегодной отчетности по транспарентности в обеспечении безопасности для гарантирования безопасности пользователей и обеспечения согласованности стандартов. Кодекс требует от платформ поддержания четкого и транспарентного процесса представления отчетности для пользователей, с тем чтобы они могли сообщать о злоупотреблениях в отношении инвалидов. Мы рекомендуем компаниям конкретно указывать число сообщений о злоупотреблениях в отношении инвалидов в их отчетности по транспарентности. Недавно мы объявили о предстоящем выпуске «Белой книги», в которой будут изложены предложения в отношении будущего законодательства с расчетом на охват всего спектра законного и незаконного онлайнового ущерба.</w:t>
      </w:r>
    </w:p>
    <w:p w14:paraId="1389FD29" w14:textId="77777777" w:rsidR="00210C9E" w:rsidRPr="00C3141A" w:rsidRDefault="00210C9E" w:rsidP="00210C9E">
      <w:pPr>
        <w:pStyle w:val="SingleTxtG"/>
      </w:pPr>
      <w:r>
        <w:t>46.</w:t>
      </w:r>
      <w:r>
        <w:tab/>
        <w:t>Под схемой «Доверие к инвалидам» подписалось более 7 000 предприятий. Она побуждает работодателей к иному восприятию инвалидности и к принятию мер по совершенствованию методов привлечения, найма и удержания на работе работников-инвалидов.</w:t>
      </w:r>
    </w:p>
    <w:p w14:paraId="2FC1D155" w14:textId="77777777" w:rsidR="00210C9E" w:rsidRPr="00C3141A" w:rsidRDefault="00210C9E" w:rsidP="00210C9E">
      <w:pPr>
        <w:pStyle w:val="SingleTxtG"/>
      </w:pPr>
      <w:r>
        <w:t>47.</w:t>
      </w:r>
      <w:r>
        <w:tab/>
        <w:t>Правительство Уэльса продолжает решать проблему преступлений на почве ненависти в партнерстве с членами Совета уголовного правосудия «</w:t>
      </w:r>
      <w:proofErr w:type="spellStart"/>
      <w:r>
        <w:t>Cymru</w:t>
      </w:r>
      <w:proofErr w:type="spellEnd"/>
      <w:r>
        <w:t xml:space="preserve">» по борьбе с преступлениями на почве ненависти (СУПСБПН), в том числе с четырьмя видами сил полиции, уполномоченными по делам полиции и вопросам преступности, Королевской прокурорской службой, другими органами системы уголовного правосудия, центром поддержки жертв и другими представителями третьего сектора. СУПСБПН сотрудничает с созванным правительством Уэльса Форумом по вопросам равенства инвалидов, с тем чтобы изучить вопрос о том, каким образом можно улучшить отчетность по преступлениям на почве ненависти, инвалидности, поддержке жертв и практике привлечения виновных к ответственности. </w:t>
      </w:r>
    </w:p>
    <w:p w14:paraId="39886FA3" w14:textId="77777777" w:rsidR="00210C9E" w:rsidRPr="00C3141A" w:rsidRDefault="00210C9E" w:rsidP="00210C9E">
      <w:pPr>
        <w:pStyle w:val="SingleTxtG"/>
      </w:pPr>
      <w:r>
        <w:t>48.</w:t>
      </w:r>
      <w:r>
        <w:tab/>
        <w:t>В 2016/17 году в полицию Уэльса было сообщено о 338 случаях преступлений на почве ненависти к инвалидам, т.</w:t>
      </w:r>
      <w:r w:rsidR="001472EE">
        <w:t> </w:t>
      </w:r>
      <w:r>
        <w:t xml:space="preserve">е. их число увеличилось по сравнению с предыдущим годом на 39%. Это отчасти свидетельствует о расширении масштабов отчетности, которая отражает работу правительства Уэльса, полиции и третьего сектора, направленную на то, чтобы побудить потерпевших сообщать о преступлениях </w:t>
      </w:r>
      <w:r>
        <w:lastRenderedPageBreak/>
        <w:t xml:space="preserve">и улучшить практику рассмотрения дел. Уровень удовлетворенности тем, как рассматриваются дела после поступления сообщений, является высоким. Например, в 2016/17 году, согласно данным полиции </w:t>
      </w:r>
      <w:proofErr w:type="spellStart"/>
      <w:r>
        <w:t>Гвента</w:t>
      </w:r>
      <w:proofErr w:type="spellEnd"/>
      <w:r>
        <w:t xml:space="preserve">, 90% людей были полностью либо весьма удовлетворены обращением со стороны ее сотрудников, а 74% были полностью или весьма удовлетворены своим общим опытом после направления сообщения. </w:t>
      </w:r>
    </w:p>
    <w:p w14:paraId="422F9E2D" w14:textId="77777777" w:rsidR="00210C9E" w:rsidRPr="00C3141A" w:rsidRDefault="00210C9E" w:rsidP="00210C9E">
      <w:pPr>
        <w:pStyle w:val="SingleTxtG"/>
      </w:pPr>
      <w:r>
        <w:t>49.</w:t>
      </w:r>
      <w:r>
        <w:tab/>
        <w:t xml:space="preserve">В июне 2017 года правительство Шотландии опубликовало амбициозную программу работы по борьбе с преступлениями на почве ненависти и повышению сплоченности общин. В октябре 2017 года правительство Шотландии провело кампанию «Ненависти нет места в Шотландии!» в целях повышения осведомленности о преступлениях на почве ненависти и о том, как сообщать о них. Кампания была оценена положительно, и она показала, что ее признали особенно успешной именно лица, ставшие жертвами преступлений на почве ненависти. 31 мая 2018 года лорд </w:t>
      </w:r>
      <w:proofErr w:type="spellStart"/>
      <w:r>
        <w:t>Бракадейл</w:t>
      </w:r>
      <w:proofErr w:type="spellEnd"/>
      <w:r>
        <w:t xml:space="preserve"> опубликовал свой обзор законодательства о преступлениях на почве ненависти в Шотландии</w:t>
      </w:r>
      <w:r w:rsidRPr="009754A9">
        <w:rPr>
          <w:rStyle w:val="aa"/>
        </w:rPr>
        <w:footnoteReference w:id="17"/>
      </w:r>
      <w:r>
        <w:t>. Шотландское правительство приняло его рекомендацию об объединении всего шотландского законодательства, касающегося преступлений на почве ненависти, в один новый законодательный акт по этому вопросу, и оно будет использовать его доклад и рекомендации в качестве основы для консультаций по определению деталей того, что именно должно быть включено в новый законопроект о преступлениях на почве ненависти.</w:t>
      </w:r>
    </w:p>
    <w:p w14:paraId="37D3F5A5" w14:textId="77777777" w:rsidR="00210C9E" w:rsidRPr="00C3141A" w:rsidRDefault="00210C9E" w:rsidP="00210C9E">
      <w:pPr>
        <w:pStyle w:val="H1G"/>
        <w:ind w:firstLine="0"/>
      </w:pPr>
      <w:bookmarkStart w:id="13" w:name="_Toc43805229"/>
      <w:r>
        <w:rPr>
          <w:bCs/>
        </w:rPr>
        <w:t>Рекомендация в пункте 114 i)</w:t>
      </w:r>
      <w:bookmarkEnd w:id="13"/>
    </w:p>
    <w:p w14:paraId="598397DA" w14:textId="77777777" w:rsidR="00210C9E" w:rsidRPr="00C3141A" w:rsidRDefault="00210C9E" w:rsidP="00210C9E">
      <w:pPr>
        <w:pStyle w:val="SingleTxtG"/>
      </w:pPr>
      <w:r>
        <w:t>50.</w:t>
      </w:r>
      <w:r>
        <w:tab/>
        <w:t>Как разъясняется в ответе на рекомендацию 2, правительство Соединенного Королевства считает, что ОГСР обеспечивает адекватный механизм выявления непреднамеренных или непропорциональных воздействий политики на лиц с подлежащими защите характеристиками, которых охраняет Закон о равенстве 2010</w:t>
      </w:r>
      <w:r w:rsidR="001472EE">
        <w:t> </w:t>
      </w:r>
      <w:r>
        <w:t>года, в том числе на инвалидов.</w:t>
      </w:r>
    </w:p>
    <w:p w14:paraId="28656907" w14:textId="77777777" w:rsidR="00210C9E" w:rsidRPr="00C3141A" w:rsidRDefault="00210C9E" w:rsidP="00210C9E">
      <w:pPr>
        <w:pStyle w:val="SingleTxtG"/>
      </w:pPr>
      <w:r>
        <w:t>51.</w:t>
      </w:r>
      <w:r>
        <w:tab/>
        <w:t xml:space="preserve">Правительство Соединенного Королевства регулярно проводит анализ равенства и уделяет должное внимание потенциальным последствиям ключевых решений для групп лиц с подлежащими защите характеристиками. Все государственные органы должны быть в состоянии показать, как они учитывают проблемы равенства при разработке, осуществлении и обзоре политики, услуг, законодательства и процессов. </w:t>
      </w:r>
    </w:p>
    <w:p w14:paraId="557AFB6C" w14:textId="77777777" w:rsidR="00210C9E" w:rsidRPr="00C3141A" w:rsidRDefault="00210C9E" w:rsidP="00210C9E">
      <w:pPr>
        <w:pStyle w:val="H1G"/>
        <w:ind w:firstLine="0"/>
      </w:pPr>
      <w:bookmarkStart w:id="14" w:name="_Toc43805230"/>
      <w:r>
        <w:rPr>
          <w:bCs/>
        </w:rPr>
        <w:t>Рекомендация в пункте 114 j)</w:t>
      </w:r>
      <w:bookmarkEnd w:id="14"/>
    </w:p>
    <w:p w14:paraId="6A0C3BD1" w14:textId="77777777" w:rsidR="00210C9E" w:rsidRPr="00C3141A" w:rsidRDefault="00210C9E" w:rsidP="00210C9E">
      <w:pPr>
        <w:pStyle w:val="SingleTxtG"/>
      </w:pPr>
      <w:r>
        <w:t>52.</w:t>
      </w:r>
      <w:r>
        <w:tab/>
        <w:t xml:space="preserve">Как уже отмечалось в ответе на рекомендации 2 и 9, ОГСР обеспечивает механизм выявления непреднамеренных или непропорциональных воздействий политики и программ на инвалидов или определенные группы инвалидов. </w:t>
      </w:r>
    </w:p>
    <w:p w14:paraId="725FBC1B" w14:textId="77777777" w:rsidR="00210C9E" w:rsidRPr="00C3141A" w:rsidRDefault="00210C9E" w:rsidP="00210C9E">
      <w:pPr>
        <w:pStyle w:val="SingleTxtG"/>
      </w:pPr>
      <w:r>
        <w:t>53.</w:t>
      </w:r>
      <w:r>
        <w:tab/>
        <w:t>Политика обеспечения равенства, и в частности политика по вопросам инвалидности, уже учитывается в приоритетном порядке во всех министерствах правительства и органах государственного сектора Соединенного Королевства, и каждая организация несет ответственность за мониторинг воздействия ее индивидуальной политики на инвалидов. Это касается всей политики, а не только политики, касающейся исключительно инвалидов.</w:t>
      </w:r>
    </w:p>
    <w:p w14:paraId="5DC04953" w14:textId="77777777" w:rsidR="00210C9E" w:rsidRPr="00C3141A" w:rsidRDefault="00210C9E" w:rsidP="00210C9E">
      <w:pPr>
        <w:pStyle w:val="SingleTxtG"/>
      </w:pPr>
      <w:r>
        <w:t>54.</w:t>
      </w:r>
      <w:r>
        <w:tab/>
        <w:t xml:space="preserve">Для выполнения своих обязательств по ОГСР государственным органам рекомендуется собирать данные о пользователях услуг в целях проведения анализа равенства, который составит информационную основу для решений по вопросам политики и предоставления услуг, в частности, когда целесообразно, для консультаций с группами инвалидов. В тех случаях, когда анализ равенства выявляет непропорциональные воздействия на инвалидов, организациям следует рассмотреть различные варианты устранения или снижения вероятности отрицательных последствий. Это может включать адаптацию общего подхода, принятие мер по </w:t>
      </w:r>
      <w:r>
        <w:lastRenderedPageBreak/>
        <w:t>смягчению возможных непропорциональных воздействий или задействование переходных механизмов.</w:t>
      </w:r>
    </w:p>
    <w:p w14:paraId="34C9D62F" w14:textId="77777777" w:rsidR="00210C9E" w:rsidRPr="00C3141A" w:rsidRDefault="00210C9E" w:rsidP="00210C9E">
      <w:pPr>
        <w:pStyle w:val="SingleTxtG"/>
      </w:pPr>
      <w:r>
        <w:t>55.</w:t>
      </w:r>
      <w:r>
        <w:tab/>
        <w:t>ОГСР и связанная с ними деятельность обеспечивают транспарентный и эффективный механизм для отслеживания воздействия различных направлений политики и программ на инвалидов и согласуются с правозащитной моделью инвалидности, в которой оценке непреднамеренных или непропорциональных воздействий на инвалидов или определенные группы инвалидов уделяется основное внимание.</w:t>
      </w:r>
    </w:p>
    <w:p w14:paraId="3E2AAB88" w14:textId="77777777" w:rsidR="00210C9E" w:rsidRPr="00C3141A" w:rsidRDefault="00210C9E" w:rsidP="00210C9E">
      <w:pPr>
        <w:pStyle w:val="SingleTxtG"/>
      </w:pPr>
      <w:r>
        <w:t>56.</w:t>
      </w:r>
      <w:r>
        <w:tab/>
        <w:t>Как указано в пункте 142 выше, Закон о правах человека 1998 года</w:t>
      </w:r>
      <w:r w:rsidRPr="009754A9">
        <w:rPr>
          <w:rStyle w:val="aa"/>
        </w:rPr>
        <w:footnoteReference w:id="18"/>
      </w:r>
      <w:r>
        <w:t xml:space="preserve"> требует от министра при представлении в парламент законопроекта выступать с заявлением о совместимости законопроекта с правами, предусмотренными в Конвенции.</w:t>
      </w:r>
    </w:p>
    <w:p w14:paraId="06034DD0" w14:textId="77777777" w:rsidR="00210C9E" w:rsidRPr="00C3141A" w:rsidRDefault="00210C9E" w:rsidP="00210C9E">
      <w:pPr>
        <w:pStyle w:val="SingleTxtG"/>
      </w:pPr>
      <w:r>
        <w:t>57.</w:t>
      </w:r>
      <w:r>
        <w:tab/>
        <w:t>За мониторинг соблюдения ОГСР отвечает КРПЧ, которая может принять принудительные меры в том случае, если государственный орган их не соблюдает. Для</w:t>
      </w:r>
      <w:r w:rsidR="001472EE">
        <w:t> </w:t>
      </w:r>
      <w:r>
        <w:t xml:space="preserve">обеспечения соблюдения государственными органами требований, вытекающих из обязанности обеспечивать равноправие, КРПЧ использует ряд рычагов – </w:t>
      </w:r>
      <w:r w:rsidR="001472EE">
        <w:br/>
      </w:r>
      <w:r>
        <w:t>от предоставления руководящих указаний до применения принудительных мер в том случае, если она считает, что это принесет стратегическую выгоду. КРПЧ также выполняет предусмотренную законодательством функцию содействия повышению информированности и побуждения к соблюдению Закона о правах человека 1998 года; она также обладает определенными полномочиями в отношениях с судами: например, ей можно участвовать в рассмотрении дел по делам о правах человека.</w:t>
      </w:r>
    </w:p>
    <w:p w14:paraId="47CCCA07" w14:textId="77777777" w:rsidR="00210C9E" w:rsidRPr="00C3141A" w:rsidRDefault="00210C9E" w:rsidP="00210C9E">
      <w:pPr>
        <w:pStyle w:val="SingleTxtG"/>
      </w:pPr>
      <w:r>
        <w:t>58.</w:t>
      </w:r>
      <w:r>
        <w:tab/>
        <w:t>Законопроекты правительства Соединенного Королевства контролирует на предмет их соответствия правам человека также и Объединенный комитет по правам человека парламента Соединенного Королевства.</w:t>
      </w:r>
    </w:p>
    <w:p w14:paraId="166F417E" w14:textId="77777777" w:rsidR="00210C9E" w:rsidRDefault="00210C9E" w:rsidP="00210C9E">
      <w:pPr>
        <w:pStyle w:val="SingleTxtG"/>
      </w:pPr>
      <w:r>
        <w:t>59.</w:t>
      </w:r>
      <w:r>
        <w:tab/>
        <w:t>Первый министр Шотландии созвал консультативную группу по вопросам лидерства в области прав человека, которая проводит работу независимо от шотландского правительства, с тем чтобы выработать рекомендации относительно того, каким именно образом Шотландия может продолжать подавать пример другим, в том числе в области экономических, социальных, культурных и экологических прав. Консультативная группа будет возглавлять процесс работы, организованный на принципах широкого участия, и представит свой доклад к концу 2018 года. Шотландское правительство принимает конструктивный вызов и с радостью поддерживает действия, побуждающие государственные учреждения к дальнейшей интеграции прав человека во все сферы жизни.</w:t>
      </w:r>
    </w:p>
    <w:p w14:paraId="4530352C" w14:textId="77777777" w:rsidR="00AB07AC" w:rsidRPr="00AB07AC" w:rsidRDefault="00AB07AC" w:rsidP="00AB07AC">
      <w:pPr>
        <w:pStyle w:val="SingleTxtG"/>
        <w:spacing w:before="240" w:after="0"/>
        <w:jc w:val="center"/>
        <w:rPr>
          <w:u w:val="single"/>
        </w:rPr>
      </w:pPr>
      <w:r>
        <w:rPr>
          <w:u w:val="single"/>
        </w:rPr>
        <w:tab/>
      </w:r>
      <w:r>
        <w:rPr>
          <w:u w:val="single"/>
        </w:rPr>
        <w:tab/>
      </w:r>
      <w:r>
        <w:rPr>
          <w:u w:val="single"/>
        </w:rPr>
        <w:tab/>
      </w:r>
      <w:r>
        <w:rPr>
          <w:u w:val="single"/>
        </w:rPr>
        <w:tab/>
      </w:r>
    </w:p>
    <w:p w14:paraId="6574ADE0" w14:textId="77777777" w:rsidR="00381C24" w:rsidRPr="00210C9E" w:rsidRDefault="00381C24" w:rsidP="00983128"/>
    <w:sectPr w:rsidR="00381C24" w:rsidRPr="00210C9E" w:rsidSect="00727AF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E7ABB" w14:textId="77777777" w:rsidR="000215F7" w:rsidRPr="00A312BC" w:rsidRDefault="000215F7" w:rsidP="00A312BC"/>
  </w:endnote>
  <w:endnote w:type="continuationSeparator" w:id="0">
    <w:p w14:paraId="54934ACF" w14:textId="77777777" w:rsidR="000215F7" w:rsidRPr="00A312BC" w:rsidRDefault="000215F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EFB3E" w14:textId="77777777" w:rsidR="00727AF1" w:rsidRPr="00727AF1" w:rsidRDefault="00727AF1">
    <w:pPr>
      <w:pStyle w:val="a8"/>
    </w:pPr>
    <w:r w:rsidRPr="00727AF1">
      <w:rPr>
        <w:b/>
        <w:sz w:val="18"/>
      </w:rPr>
      <w:fldChar w:fldCharType="begin"/>
    </w:r>
    <w:r w:rsidRPr="00727AF1">
      <w:rPr>
        <w:b/>
        <w:sz w:val="18"/>
      </w:rPr>
      <w:instrText xml:space="preserve"> PAGE  \* MERGEFORMAT </w:instrText>
    </w:r>
    <w:r w:rsidRPr="00727AF1">
      <w:rPr>
        <w:b/>
        <w:sz w:val="18"/>
      </w:rPr>
      <w:fldChar w:fldCharType="separate"/>
    </w:r>
    <w:r w:rsidRPr="00727AF1">
      <w:rPr>
        <w:b/>
        <w:noProof/>
        <w:sz w:val="18"/>
      </w:rPr>
      <w:t>2</w:t>
    </w:r>
    <w:r w:rsidRPr="00727AF1">
      <w:rPr>
        <w:b/>
        <w:sz w:val="18"/>
      </w:rPr>
      <w:fldChar w:fldCharType="end"/>
    </w:r>
    <w:r>
      <w:rPr>
        <w:b/>
        <w:sz w:val="18"/>
      </w:rPr>
      <w:tab/>
    </w:r>
    <w:r>
      <w:t>GE.20-08244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FB6CC" w14:textId="77777777" w:rsidR="00727AF1" w:rsidRPr="00727AF1" w:rsidRDefault="00727AF1" w:rsidP="00727AF1">
    <w:pPr>
      <w:pStyle w:val="a8"/>
      <w:tabs>
        <w:tab w:val="clear" w:pos="9639"/>
        <w:tab w:val="right" w:pos="9638"/>
      </w:tabs>
      <w:rPr>
        <w:b/>
        <w:sz w:val="18"/>
      </w:rPr>
    </w:pPr>
    <w:r>
      <w:t>GE.20-08244</w:t>
    </w:r>
    <w:r>
      <w:tab/>
    </w:r>
    <w:r w:rsidRPr="00727AF1">
      <w:rPr>
        <w:b/>
        <w:sz w:val="18"/>
      </w:rPr>
      <w:fldChar w:fldCharType="begin"/>
    </w:r>
    <w:r w:rsidRPr="00727AF1">
      <w:rPr>
        <w:b/>
        <w:sz w:val="18"/>
      </w:rPr>
      <w:instrText xml:space="preserve"> PAGE  \* MERGEFORMAT </w:instrText>
    </w:r>
    <w:r w:rsidRPr="00727AF1">
      <w:rPr>
        <w:b/>
        <w:sz w:val="18"/>
      </w:rPr>
      <w:fldChar w:fldCharType="separate"/>
    </w:r>
    <w:r w:rsidRPr="00727AF1">
      <w:rPr>
        <w:b/>
        <w:noProof/>
        <w:sz w:val="18"/>
      </w:rPr>
      <w:t>3</w:t>
    </w:r>
    <w:r w:rsidRPr="00727A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BD248" w14:textId="0717469F" w:rsidR="00042B72" w:rsidRPr="00727AF1" w:rsidRDefault="00727AF1" w:rsidP="00727AF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5400AFA" wp14:editId="14F205F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20-08244  (R)</w:t>
    </w:r>
    <w:r w:rsidR="00AB07AC">
      <w:rPr>
        <w:lang w:val="en-US"/>
      </w:rPr>
      <w:t xml:space="preserve">  260620  2</w:t>
    </w:r>
    <w:r w:rsidR="00A76EE1">
      <w:rPr>
        <w:lang w:val="en-US"/>
      </w:rPr>
      <w:t>9</w:t>
    </w:r>
    <w:r w:rsidR="00AB07AC">
      <w:rPr>
        <w:lang w:val="en-US"/>
      </w:rPr>
      <w:t>0620</w:t>
    </w:r>
    <w:r>
      <w:br/>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sidRPr="00727AF1">
      <w:rPr>
        <w:rFonts w:ascii="C39T30Lfz" w:hAnsi="C39T30Lfz"/>
        <w:kern w:val="14"/>
        <w:sz w:val="56"/>
      </w:rPr>
      <w:t></w:t>
    </w:r>
    <w:r>
      <w:rPr>
        <w:noProof/>
      </w:rPr>
      <w:drawing>
        <wp:anchor distT="0" distB="0" distL="114300" distR="114300" simplePos="0" relativeHeight="251659264" behindDoc="0" locked="0" layoutInCell="1" allowOverlap="1" wp14:anchorId="3C6C5C48" wp14:editId="241CF7A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B5F34" w14:textId="77777777" w:rsidR="000215F7" w:rsidRPr="001075E9" w:rsidRDefault="000215F7" w:rsidP="001075E9">
      <w:pPr>
        <w:tabs>
          <w:tab w:val="right" w:pos="2155"/>
        </w:tabs>
        <w:spacing w:after="80" w:line="240" w:lineRule="auto"/>
        <w:ind w:left="680"/>
        <w:rPr>
          <w:u w:val="single"/>
        </w:rPr>
      </w:pPr>
      <w:r>
        <w:rPr>
          <w:u w:val="single"/>
        </w:rPr>
        <w:tab/>
      </w:r>
    </w:p>
  </w:footnote>
  <w:footnote w:type="continuationSeparator" w:id="0">
    <w:p w14:paraId="6EE47BB6" w14:textId="77777777" w:rsidR="000215F7" w:rsidRDefault="000215F7" w:rsidP="00407B78">
      <w:pPr>
        <w:tabs>
          <w:tab w:val="right" w:pos="2155"/>
        </w:tabs>
        <w:spacing w:after="80"/>
        <w:ind w:left="680"/>
        <w:rPr>
          <w:u w:val="single"/>
        </w:rPr>
      </w:pPr>
      <w:r>
        <w:rPr>
          <w:u w:val="single"/>
        </w:rPr>
        <w:tab/>
      </w:r>
    </w:p>
  </w:footnote>
  <w:footnote w:id="1">
    <w:p w14:paraId="065550CF" w14:textId="77777777" w:rsidR="00210C9E" w:rsidRPr="00C3141A" w:rsidRDefault="00210C9E" w:rsidP="00210C9E">
      <w:pPr>
        <w:pStyle w:val="ad"/>
      </w:pPr>
      <w:r>
        <w:tab/>
      </w:r>
      <w:r w:rsidRPr="00B16EEC">
        <w:rPr>
          <w:sz w:val="20"/>
        </w:rPr>
        <w:t>*</w:t>
      </w:r>
      <w:r>
        <w:tab/>
        <w:t>Настоящий документ выпускается без официального редактирования.</w:t>
      </w:r>
    </w:p>
  </w:footnote>
  <w:footnote w:id="2">
    <w:p w14:paraId="1209BCD7" w14:textId="77777777" w:rsidR="00682558" w:rsidRPr="00C3141A" w:rsidRDefault="00682558" w:rsidP="00682558">
      <w:pPr>
        <w:pStyle w:val="ad"/>
      </w:pPr>
      <w:r>
        <w:tab/>
      </w:r>
      <w:r w:rsidRPr="009754A9">
        <w:rPr>
          <w:rStyle w:val="aa"/>
        </w:rPr>
        <w:footnoteRef/>
      </w:r>
      <w:r>
        <w:t xml:space="preserve"> </w:t>
      </w:r>
      <w:r>
        <w:tab/>
      </w:r>
      <w:hyperlink r:id="rId1" w:history="1">
        <w:r w:rsidRPr="00B16EEC">
          <w:rPr>
            <w:rStyle w:val="af1"/>
          </w:rPr>
          <w:t>http://www.legislation.gov.uk/uksi/2011/2260/contents/made</w:t>
        </w:r>
      </w:hyperlink>
      <w:r>
        <w:t>.</w:t>
      </w:r>
    </w:p>
  </w:footnote>
  <w:footnote w:id="3">
    <w:p w14:paraId="1A9E3AF5" w14:textId="77777777" w:rsidR="004B5D2E" w:rsidRPr="00C3141A" w:rsidRDefault="004B5D2E" w:rsidP="004B5D2E">
      <w:pPr>
        <w:pStyle w:val="ad"/>
      </w:pPr>
      <w:r>
        <w:tab/>
      </w:r>
      <w:r w:rsidRPr="009754A9">
        <w:rPr>
          <w:rStyle w:val="aa"/>
        </w:rPr>
        <w:footnoteRef/>
      </w:r>
      <w:r>
        <w:t xml:space="preserve"> </w:t>
      </w:r>
      <w:r>
        <w:tab/>
      </w:r>
      <w:hyperlink r:id="rId2" w:history="1">
        <w:r>
          <w:rPr>
            <w:rStyle w:val="af1"/>
            <w:rFonts w:eastAsiaTheme="minorHAnsi"/>
          </w:rPr>
          <w:t>https://www.england.nhs.uk/ipc/</w:t>
        </w:r>
      </w:hyperlink>
      <w:r>
        <w:t>.</w:t>
      </w:r>
    </w:p>
  </w:footnote>
  <w:footnote w:id="4">
    <w:p w14:paraId="43487AFB" w14:textId="77777777" w:rsidR="00C65614" w:rsidRPr="00C3141A" w:rsidRDefault="00C65614" w:rsidP="00C65614">
      <w:pPr>
        <w:pStyle w:val="ad"/>
      </w:pPr>
      <w:r>
        <w:tab/>
      </w:r>
      <w:r w:rsidRPr="009754A9">
        <w:rPr>
          <w:rStyle w:val="aa"/>
        </w:rPr>
        <w:footnoteRef/>
      </w:r>
      <w:r>
        <w:t xml:space="preserve"> </w:t>
      </w:r>
      <w:r>
        <w:tab/>
      </w:r>
      <w:hyperlink r:id="rId3" w:history="1">
        <w:r>
          <w:rPr>
            <w:rStyle w:val="af1"/>
            <w:rFonts w:eastAsiaTheme="minorHAnsi"/>
          </w:rPr>
          <w:t>https://www.motability.co.uk/</w:t>
        </w:r>
      </w:hyperlink>
      <w:r>
        <w:t>.</w:t>
      </w:r>
    </w:p>
  </w:footnote>
  <w:footnote w:id="5">
    <w:p w14:paraId="4EA2CEF1" w14:textId="77777777" w:rsidR="00210C9E" w:rsidRPr="00C3141A" w:rsidRDefault="00210C9E" w:rsidP="00210C9E">
      <w:pPr>
        <w:pStyle w:val="ad"/>
      </w:pPr>
      <w:r>
        <w:tab/>
      </w:r>
      <w:r w:rsidRPr="009754A9">
        <w:rPr>
          <w:rStyle w:val="aa"/>
        </w:rPr>
        <w:footnoteRef/>
      </w:r>
      <w:r>
        <w:t xml:space="preserve"> </w:t>
      </w:r>
      <w:r>
        <w:tab/>
      </w:r>
      <w:hyperlink r:id="rId4" w:history="1">
        <w:r w:rsidRPr="00B16EEC">
          <w:rPr>
            <w:rStyle w:val="af1"/>
          </w:rPr>
          <w:t>https://gov.wales/topics/people-and-communities/equality-diversity/budget-advisory-group-for-equality/?lang=en</w:t>
        </w:r>
      </w:hyperlink>
      <w:r>
        <w:t>.</w:t>
      </w:r>
    </w:p>
  </w:footnote>
  <w:footnote w:id="6">
    <w:p w14:paraId="56E9D2A2" w14:textId="77777777" w:rsidR="00C65614" w:rsidRPr="00C3141A" w:rsidRDefault="00C65614" w:rsidP="00C65614">
      <w:pPr>
        <w:pStyle w:val="ad"/>
      </w:pPr>
      <w:r>
        <w:tab/>
      </w:r>
      <w:r w:rsidRPr="009754A9">
        <w:rPr>
          <w:rStyle w:val="aa"/>
        </w:rPr>
        <w:footnoteRef/>
      </w:r>
      <w:r>
        <w:t xml:space="preserve"> </w:t>
      </w:r>
      <w:r>
        <w:tab/>
      </w:r>
      <w:hyperlink r:id="rId5" w:history="1">
        <w:r>
          <w:rPr>
            <w:rStyle w:val="af1"/>
            <w:rFonts w:eastAsiaTheme="minorHAnsi"/>
          </w:rPr>
          <w:t>http://www.legislation.gov.uk/asp/2015/11/contents/enacted</w:t>
        </w:r>
      </w:hyperlink>
      <w:r>
        <w:t>.</w:t>
      </w:r>
    </w:p>
  </w:footnote>
  <w:footnote w:id="7">
    <w:p w14:paraId="63427DF2" w14:textId="3D13C051" w:rsidR="00210C9E" w:rsidRPr="00C3141A" w:rsidRDefault="00210C9E" w:rsidP="00210C9E">
      <w:pPr>
        <w:pStyle w:val="ad"/>
      </w:pPr>
      <w:r>
        <w:tab/>
      </w:r>
      <w:r w:rsidRPr="009754A9">
        <w:rPr>
          <w:rStyle w:val="aa"/>
        </w:rPr>
        <w:footnoteRef/>
      </w:r>
      <w:r>
        <w:t xml:space="preserve"> </w:t>
      </w:r>
      <w:r>
        <w:tab/>
        <w:t>Доклад о расследовании КПИООН (CRPD/C/17/R.3), пункт 92</w:t>
      </w:r>
      <w:r w:rsidR="0005508C">
        <w:t>,</w:t>
      </w:r>
      <w:r w:rsidR="004A02DD">
        <w:t xml:space="preserve"> </w:t>
      </w:r>
      <w:hyperlink r:id="rId6" w:history="1">
        <w:r w:rsidR="00AB07AC">
          <w:rPr>
            <w:rStyle w:val="af1"/>
            <w:rFonts w:eastAsiaTheme="minorHAnsi"/>
          </w:rPr>
          <w:t>https://tbinternet.ohchr.org/_layouts/15/treatybodyexternal/Download.aspx?symbolno=CRPD%2fC%2f15%2fR.2%2fRev.1&amp;Lang=en</w:t>
        </w:r>
      </w:hyperlink>
      <w:r>
        <w:t>.</w:t>
      </w:r>
    </w:p>
  </w:footnote>
  <w:footnote w:id="8">
    <w:p w14:paraId="08E698BD" w14:textId="77777777" w:rsidR="00C65614" w:rsidRPr="00C3141A" w:rsidRDefault="00C65614" w:rsidP="00C65614">
      <w:pPr>
        <w:pStyle w:val="ad"/>
      </w:pPr>
      <w:r>
        <w:tab/>
      </w:r>
      <w:r w:rsidRPr="009754A9">
        <w:rPr>
          <w:rStyle w:val="aa"/>
        </w:rPr>
        <w:footnoteRef/>
      </w:r>
      <w:r>
        <w:t xml:space="preserve"> </w:t>
      </w:r>
      <w:r>
        <w:tab/>
      </w:r>
      <w:hyperlink r:id="rId7" w:history="1">
        <w:r>
          <w:rPr>
            <w:rStyle w:val="af1"/>
            <w:rFonts w:eastAsiaTheme="minorHAnsi"/>
          </w:rPr>
          <w:t>http://www.legislation.gov.uk/ukpga/2012/10/contents</w:t>
        </w:r>
      </w:hyperlink>
      <w:r>
        <w:t>.</w:t>
      </w:r>
    </w:p>
  </w:footnote>
  <w:footnote w:id="9">
    <w:p w14:paraId="117E4CC0" w14:textId="77777777" w:rsidR="00210C9E" w:rsidRPr="00C3141A" w:rsidRDefault="00210C9E" w:rsidP="00210C9E">
      <w:pPr>
        <w:pStyle w:val="ad"/>
      </w:pPr>
      <w:r>
        <w:tab/>
      </w:r>
      <w:r w:rsidRPr="009754A9">
        <w:rPr>
          <w:rStyle w:val="aa"/>
        </w:rPr>
        <w:footnoteRef/>
      </w:r>
      <w:r>
        <w:t xml:space="preserve"> </w:t>
      </w:r>
      <w:r>
        <w:tab/>
      </w:r>
      <w:hyperlink r:id="rId8" w:history="1">
        <w:r w:rsidR="00AB07AC">
          <w:rPr>
            <w:rStyle w:val="af1"/>
            <w:rFonts w:eastAsiaTheme="minorHAnsi"/>
          </w:rPr>
          <w:t>https://www.gov.uk/civil-legal-advice</w:t>
        </w:r>
      </w:hyperlink>
      <w:r>
        <w:t>.</w:t>
      </w:r>
    </w:p>
  </w:footnote>
  <w:footnote w:id="10">
    <w:p w14:paraId="35531D2B" w14:textId="77777777" w:rsidR="00210C9E" w:rsidRPr="00C3141A" w:rsidRDefault="00210C9E" w:rsidP="00210C9E">
      <w:pPr>
        <w:pStyle w:val="ad"/>
      </w:pPr>
      <w:r>
        <w:tab/>
      </w:r>
      <w:r w:rsidRPr="009754A9">
        <w:rPr>
          <w:rStyle w:val="aa"/>
        </w:rPr>
        <w:footnoteRef/>
      </w:r>
      <w:r>
        <w:t xml:space="preserve"> </w:t>
      </w:r>
      <w:r>
        <w:tab/>
      </w:r>
      <w:hyperlink r:id="rId9" w:history="1">
        <w:r w:rsidR="00AB07AC">
          <w:rPr>
            <w:rStyle w:val="af1"/>
            <w:rFonts w:eastAsiaTheme="minorHAnsi"/>
          </w:rPr>
          <w:t>https://www.gov.uk/government/consultations/work-health-and-disability-improving-lives</w:t>
        </w:r>
      </w:hyperlink>
      <w:r>
        <w:t xml:space="preserve">. </w:t>
      </w:r>
    </w:p>
  </w:footnote>
  <w:footnote w:id="11">
    <w:p w14:paraId="5092D608" w14:textId="77777777" w:rsidR="00210C9E" w:rsidRPr="00C3141A" w:rsidRDefault="00210C9E" w:rsidP="00210C9E">
      <w:pPr>
        <w:pStyle w:val="ad"/>
      </w:pPr>
      <w:r>
        <w:tab/>
      </w:r>
      <w:r w:rsidRPr="009754A9">
        <w:rPr>
          <w:rStyle w:val="aa"/>
        </w:rPr>
        <w:footnoteRef/>
      </w:r>
      <w:r>
        <w:t xml:space="preserve"> </w:t>
      </w:r>
      <w:r>
        <w:tab/>
      </w:r>
      <w:hyperlink r:id="rId10" w:history="1">
        <w:r w:rsidR="00AB07AC">
          <w:rPr>
            <w:rStyle w:val="af1"/>
            <w:rFonts w:eastAsiaTheme="minorHAnsi"/>
          </w:rPr>
          <w:t>https://www.gov.uk/government/publications/improving-lives-the-future-of-work-health-and-disability</w:t>
        </w:r>
      </w:hyperlink>
      <w:r>
        <w:t>.</w:t>
      </w:r>
    </w:p>
  </w:footnote>
  <w:footnote w:id="12">
    <w:p w14:paraId="2C29E1D3" w14:textId="77777777" w:rsidR="00210C9E" w:rsidRPr="00AB07AC" w:rsidRDefault="00210C9E" w:rsidP="00210C9E">
      <w:pPr>
        <w:pStyle w:val="ad"/>
      </w:pPr>
      <w:r>
        <w:tab/>
      </w:r>
      <w:r w:rsidRPr="009754A9">
        <w:rPr>
          <w:rStyle w:val="aa"/>
        </w:rPr>
        <w:footnoteRef/>
      </w:r>
      <w:r w:rsidR="00AB07AC">
        <w:tab/>
      </w:r>
      <w:hyperlink r:id="rId11" w:history="1">
        <w:r w:rsidR="00AB07AC" w:rsidRPr="00350FEC">
          <w:rPr>
            <w:rStyle w:val="af1"/>
          </w:rPr>
          <w:t>https://assets.publishing.service.gov.uk/government/uploads/system/uploads/</w:t>
        </w:r>
        <w:r w:rsidR="00AB07AC" w:rsidRPr="00350FEC">
          <w:rPr>
            <w:rStyle w:val="af1"/>
          </w:rPr>
          <w:br/>
          <w:t>attachment_data/file/512895/cycling-and-walking-investment-strategy.pdf</w:t>
        </w:r>
      </w:hyperlink>
      <w:r w:rsidRPr="00AB07AC">
        <w:t>.</w:t>
      </w:r>
    </w:p>
  </w:footnote>
  <w:footnote w:id="13">
    <w:p w14:paraId="5DC92B3A" w14:textId="77777777" w:rsidR="00210C9E" w:rsidRPr="00AB07AC" w:rsidRDefault="00210C9E" w:rsidP="00210C9E">
      <w:pPr>
        <w:pStyle w:val="ad"/>
      </w:pPr>
      <w:r w:rsidRPr="00AB07AC">
        <w:tab/>
      </w:r>
      <w:r w:rsidRPr="009754A9">
        <w:rPr>
          <w:rStyle w:val="aa"/>
        </w:rPr>
        <w:footnoteRef/>
      </w:r>
      <w:r w:rsidRPr="00AB07AC">
        <w:t xml:space="preserve"> </w:t>
      </w:r>
      <w:r w:rsidRPr="00AB07AC">
        <w:tab/>
      </w:r>
      <w:hyperlink r:id="rId12" w:history="1">
        <w:r w:rsidR="00AB07AC">
          <w:rPr>
            <w:rStyle w:val="af1"/>
            <w:rFonts w:eastAsiaTheme="minorHAnsi"/>
          </w:rPr>
          <w:t>https://www.gov.uk/browse/driving/disability-health-condition</w:t>
        </w:r>
      </w:hyperlink>
      <w:r w:rsidRPr="00AB07AC">
        <w:t>.</w:t>
      </w:r>
    </w:p>
  </w:footnote>
  <w:footnote w:id="14">
    <w:p w14:paraId="098C262B" w14:textId="77777777" w:rsidR="00210C9E" w:rsidRPr="00AB07AC" w:rsidRDefault="00210C9E" w:rsidP="00210C9E">
      <w:pPr>
        <w:pStyle w:val="ad"/>
      </w:pPr>
      <w:r w:rsidRPr="00AB07AC">
        <w:tab/>
      </w:r>
      <w:r w:rsidRPr="009754A9">
        <w:rPr>
          <w:rStyle w:val="aa"/>
        </w:rPr>
        <w:footnoteRef/>
      </w:r>
      <w:r w:rsidRPr="00AB07AC">
        <w:t xml:space="preserve"> </w:t>
      </w:r>
      <w:r w:rsidRPr="00AB07AC">
        <w:tab/>
      </w:r>
      <w:hyperlink r:id="rId13" w:history="1">
        <w:r w:rsidR="00AB07AC" w:rsidRPr="002F7A9B">
          <w:rPr>
            <w:rStyle w:val="af1"/>
          </w:rPr>
          <w:t>https://beta.gov.scot/policies/social-security/engagement-on-social-security/</w:t>
        </w:r>
      </w:hyperlink>
      <w:r w:rsidRPr="00AB07AC">
        <w:t>.</w:t>
      </w:r>
    </w:p>
  </w:footnote>
  <w:footnote w:id="15">
    <w:p w14:paraId="60A0E7C8" w14:textId="77777777" w:rsidR="006B0FDF" w:rsidRPr="00AB07AC" w:rsidRDefault="006B0FDF" w:rsidP="006B0FDF">
      <w:pPr>
        <w:pStyle w:val="ad"/>
      </w:pPr>
      <w:r w:rsidRPr="00AB07AC">
        <w:tab/>
      </w:r>
      <w:r w:rsidRPr="009754A9">
        <w:rPr>
          <w:rStyle w:val="aa"/>
        </w:rPr>
        <w:footnoteRef/>
      </w:r>
      <w:r w:rsidRPr="00AB07AC">
        <w:t xml:space="preserve"> </w:t>
      </w:r>
      <w:r w:rsidRPr="00AB07AC">
        <w:tab/>
      </w:r>
      <w:hyperlink r:id="rId14" w:history="1">
        <w:r>
          <w:rPr>
            <w:rStyle w:val="af1"/>
            <w:rFonts w:eastAsiaTheme="minorHAnsi"/>
          </w:rPr>
          <w:t>https://www.gov.uk/government/publications/hate-crime-action-plan-2016</w:t>
        </w:r>
      </w:hyperlink>
      <w:r w:rsidRPr="00AB07AC">
        <w:t>.</w:t>
      </w:r>
    </w:p>
  </w:footnote>
  <w:footnote w:id="16">
    <w:p w14:paraId="17E8CB49" w14:textId="77777777" w:rsidR="00210C9E" w:rsidRPr="00AB07AC" w:rsidRDefault="00210C9E" w:rsidP="00210C9E">
      <w:pPr>
        <w:pStyle w:val="ad"/>
      </w:pPr>
      <w:r w:rsidRPr="00AB07AC">
        <w:tab/>
      </w:r>
      <w:r w:rsidRPr="009754A9">
        <w:rPr>
          <w:rStyle w:val="aa"/>
        </w:rPr>
        <w:footnoteRef/>
      </w:r>
      <w:r w:rsidRPr="00AB07AC">
        <w:t xml:space="preserve"> </w:t>
      </w:r>
      <w:r w:rsidRPr="00AB07AC">
        <w:tab/>
      </w:r>
      <w:hyperlink r:id="rId15" w:history="1">
        <w:r w:rsidR="00AB07AC">
          <w:rPr>
            <w:rStyle w:val="af1"/>
            <w:rFonts w:eastAsiaTheme="minorHAnsi"/>
          </w:rPr>
          <w:t>https://www.gov.uk/government/publications/digital-charter</w:t>
        </w:r>
      </w:hyperlink>
      <w:r w:rsidRPr="00AB07AC">
        <w:t>.</w:t>
      </w:r>
    </w:p>
  </w:footnote>
  <w:footnote w:id="17">
    <w:p w14:paraId="58CB6B03" w14:textId="77777777" w:rsidR="00210C9E" w:rsidRPr="00AB07AC" w:rsidRDefault="00210C9E" w:rsidP="00210C9E">
      <w:pPr>
        <w:pStyle w:val="ad"/>
      </w:pPr>
      <w:r w:rsidRPr="00AB07AC">
        <w:tab/>
      </w:r>
      <w:r w:rsidRPr="009754A9">
        <w:rPr>
          <w:rStyle w:val="aa"/>
        </w:rPr>
        <w:footnoteRef/>
      </w:r>
      <w:r w:rsidRPr="00AB07AC">
        <w:t xml:space="preserve"> </w:t>
      </w:r>
      <w:r w:rsidRPr="00AB07AC">
        <w:tab/>
      </w:r>
      <w:hyperlink r:id="rId16" w:history="1">
        <w:r w:rsidRPr="00AB07AC">
          <w:rPr>
            <w:rStyle w:val="af1"/>
            <w:lang w:val="en-US"/>
          </w:rPr>
          <w:t>https</w:t>
        </w:r>
        <w:r w:rsidRPr="00AB07AC">
          <w:rPr>
            <w:rStyle w:val="af1"/>
          </w:rPr>
          <w:t>://</w:t>
        </w:r>
        <w:r w:rsidRPr="00AB07AC">
          <w:rPr>
            <w:rStyle w:val="af1"/>
            <w:lang w:val="en-US"/>
          </w:rPr>
          <w:t>www</w:t>
        </w:r>
        <w:r w:rsidRPr="00AB07AC">
          <w:rPr>
            <w:rStyle w:val="af1"/>
          </w:rPr>
          <w:t>.</w:t>
        </w:r>
        <w:r w:rsidRPr="00AB07AC">
          <w:rPr>
            <w:rStyle w:val="af1"/>
            <w:lang w:val="en-US"/>
          </w:rPr>
          <w:t>gov</w:t>
        </w:r>
        <w:r w:rsidRPr="00AB07AC">
          <w:rPr>
            <w:rStyle w:val="af1"/>
          </w:rPr>
          <w:t>.</w:t>
        </w:r>
        <w:r w:rsidRPr="00AB07AC">
          <w:rPr>
            <w:rStyle w:val="af1"/>
            <w:lang w:val="en-US"/>
          </w:rPr>
          <w:t>scot</w:t>
        </w:r>
        <w:r w:rsidRPr="00AB07AC">
          <w:rPr>
            <w:rStyle w:val="af1"/>
          </w:rPr>
          <w:t>/</w:t>
        </w:r>
        <w:r w:rsidRPr="00AB07AC">
          <w:rPr>
            <w:rStyle w:val="af1"/>
            <w:lang w:val="en-US"/>
          </w:rPr>
          <w:t>Publications</w:t>
        </w:r>
        <w:r w:rsidRPr="00AB07AC">
          <w:rPr>
            <w:rStyle w:val="af1"/>
          </w:rPr>
          <w:t>/2018/05/8696</w:t>
        </w:r>
      </w:hyperlink>
      <w:r w:rsidRPr="00AB07AC">
        <w:t>.</w:t>
      </w:r>
    </w:p>
  </w:footnote>
  <w:footnote w:id="18">
    <w:p w14:paraId="0ED53479" w14:textId="77777777" w:rsidR="00210C9E" w:rsidRPr="00AB07AC" w:rsidRDefault="00210C9E" w:rsidP="00210C9E">
      <w:pPr>
        <w:pStyle w:val="ad"/>
      </w:pPr>
      <w:r w:rsidRPr="00AB07AC">
        <w:tab/>
      </w:r>
      <w:r w:rsidRPr="009754A9">
        <w:rPr>
          <w:rStyle w:val="aa"/>
        </w:rPr>
        <w:footnoteRef/>
      </w:r>
      <w:r w:rsidRPr="00AB07AC">
        <w:t xml:space="preserve"> </w:t>
      </w:r>
      <w:r w:rsidRPr="00AB07AC">
        <w:tab/>
      </w:r>
      <w:hyperlink r:id="rId17" w:history="1">
        <w:r w:rsidR="00AB07AC" w:rsidRPr="002F7A9B">
          <w:rPr>
            <w:rStyle w:val="af1"/>
          </w:rPr>
          <w:t>https://www.legislation.gov.uk/ukpga/1998/42/contents</w:t>
        </w:r>
      </w:hyperlink>
      <w:r w:rsidRPr="00AB07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43155" w14:textId="3A5F53CD" w:rsidR="00727AF1" w:rsidRPr="00727AF1" w:rsidRDefault="000373E1">
    <w:pPr>
      <w:pStyle w:val="a5"/>
    </w:pPr>
    <w:fldSimple w:instr=" TITLE  \* MERGEFORMAT ">
      <w:r w:rsidR="00162FB5">
        <w:t>CRPD/C/GBR/FIR/1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3AA60" w14:textId="158F6E87" w:rsidR="00727AF1" w:rsidRPr="00727AF1" w:rsidRDefault="000373E1" w:rsidP="00727AF1">
    <w:pPr>
      <w:pStyle w:val="a5"/>
      <w:jc w:val="right"/>
    </w:pPr>
    <w:fldSimple w:instr=" TITLE  \* MERGEFORMAT ">
      <w:r w:rsidR="00162FB5">
        <w:t>CRPD/C/GBR/FIR/1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5F7"/>
    <w:rsid w:val="00011089"/>
    <w:rsid w:val="000215F7"/>
    <w:rsid w:val="00026643"/>
    <w:rsid w:val="00033EE1"/>
    <w:rsid w:val="000373E1"/>
    <w:rsid w:val="00042B72"/>
    <w:rsid w:val="0005508C"/>
    <w:rsid w:val="000558BD"/>
    <w:rsid w:val="000B57E7"/>
    <w:rsid w:val="000B6373"/>
    <w:rsid w:val="000B732B"/>
    <w:rsid w:val="000F09DF"/>
    <w:rsid w:val="000F61B2"/>
    <w:rsid w:val="001075E9"/>
    <w:rsid w:val="001472EE"/>
    <w:rsid w:val="00162FB5"/>
    <w:rsid w:val="00180183"/>
    <w:rsid w:val="0018024D"/>
    <w:rsid w:val="0018649F"/>
    <w:rsid w:val="00196389"/>
    <w:rsid w:val="001B3EF6"/>
    <w:rsid w:val="001C499F"/>
    <w:rsid w:val="001C7A89"/>
    <w:rsid w:val="001E7B61"/>
    <w:rsid w:val="00210C9E"/>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A02DD"/>
    <w:rsid w:val="004B5D2E"/>
    <w:rsid w:val="0050108D"/>
    <w:rsid w:val="00513081"/>
    <w:rsid w:val="00517901"/>
    <w:rsid w:val="00517A2E"/>
    <w:rsid w:val="00526683"/>
    <w:rsid w:val="005709E0"/>
    <w:rsid w:val="00572E19"/>
    <w:rsid w:val="005961C8"/>
    <w:rsid w:val="005966F1"/>
    <w:rsid w:val="005D7914"/>
    <w:rsid w:val="005E2B41"/>
    <w:rsid w:val="005F0B42"/>
    <w:rsid w:val="00681A10"/>
    <w:rsid w:val="00682558"/>
    <w:rsid w:val="00682650"/>
    <w:rsid w:val="006A1ED8"/>
    <w:rsid w:val="006B0FDF"/>
    <w:rsid w:val="006B5625"/>
    <w:rsid w:val="006C2031"/>
    <w:rsid w:val="006D461A"/>
    <w:rsid w:val="006E7D8C"/>
    <w:rsid w:val="006F35EE"/>
    <w:rsid w:val="007021FF"/>
    <w:rsid w:val="00712895"/>
    <w:rsid w:val="00727AF1"/>
    <w:rsid w:val="00757357"/>
    <w:rsid w:val="007C3F50"/>
    <w:rsid w:val="00806737"/>
    <w:rsid w:val="00825F8D"/>
    <w:rsid w:val="00833758"/>
    <w:rsid w:val="00834B71"/>
    <w:rsid w:val="008465E0"/>
    <w:rsid w:val="0086445C"/>
    <w:rsid w:val="008934D2"/>
    <w:rsid w:val="00894693"/>
    <w:rsid w:val="008A08D7"/>
    <w:rsid w:val="008B6909"/>
    <w:rsid w:val="00903712"/>
    <w:rsid w:val="00906890"/>
    <w:rsid w:val="00906901"/>
    <w:rsid w:val="00911BE4"/>
    <w:rsid w:val="00921022"/>
    <w:rsid w:val="00945CA7"/>
    <w:rsid w:val="00951972"/>
    <w:rsid w:val="009608F3"/>
    <w:rsid w:val="00983128"/>
    <w:rsid w:val="009A24AC"/>
    <w:rsid w:val="00A14DA8"/>
    <w:rsid w:val="00A312BC"/>
    <w:rsid w:val="00A76EE1"/>
    <w:rsid w:val="00A84021"/>
    <w:rsid w:val="00A84D35"/>
    <w:rsid w:val="00A917B3"/>
    <w:rsid w:val="00AB07AC"/>
    <w:rsid w:val="00AB4B51"/>
    <w:rsid w:val="00AC12E8"/>
    <w:rsid w:val="00B10CC7"/>
    <w:rsid w:val="00B16EEC"/>
    <w:rsid w:val="00B36DF7"/>
    <w:rsid w:val="00B539E7"/>
    <w:rsid w:val="00B62458"/>
    <w:rsid w:val="00B739FE"/>
    <w:rsid w:val="00BC18B2"/>
    <w:rsid w:val="00BD33EE"/>
    <w:rsid w:val="00C0419C"/>
    <w:rsid w:val="00C106D6"/>
    <w:rsid w:val="00C60F0C"/>
    <w:rsid w:val="00C65614"/>
    <w:rsid w:val="00C805C9"/>
    <w:rsid w:val="00C92939"/>
    <w:rsid w:val="00CA1679"/>
    <w:rsid w:val="00CB151C"/>
    <w:rsid w:val="00CE5A1A"/>
    <w:rsid w:val="00CF09C7"/>
    <w:rsid w:val="00CF55F6"/>
    <w:rsid w:val="00D33D63"/>
    <w:rsid w:val="00D41D7B"/>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28DDE1"/>
  <w15:docId w15:val="{00EEFC82-0596-42D2-B074-30DF1CDC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210C9E"/>
    <w:rPr>
      <w:lang w:val="ru-RU" w:eastAsia="en-US"/>
    </w:rPr>
  </w:style>
  <w:style w:type="character" w:styleId="af3">
    <w:name w:val="Unresolved Mention"/>
    <w:basedOn w:val="a0"/>
    <w:uiPriority w:val="99"/>
    <w:semiHidden/>
    <w:unhideWhenUsed/>
    <w:rsid w:val="00B16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civil-legal-advice" TargetMode="External"/><Relationship Id="rId13" Type="http://schemas.openxmlformats.org/officeDocument/2006/relationships/hyperlink" Target="https://beta.gov.scot/policies/social-security/engagement-on-social-security/" TargetMode="External"/><Relationship Id="rId3" Type="http://schemas.openxmlformats.org/officeDocument/2006/relationships/hyperlink" Target="https://www.motability.co.uk/" TargetMode="External"/><Relationship Id="rId7" Type="http://schemas.openxmlformats.org/officeDocument/2006/relationships/hyperlink" Target="http://www.legislation.gov.uk/ukpga/2012/10/contents" TargetMode="External"/><Relationship Id="rId12" Type="http://schemas.openxmlformats.org/officeDocument/2006/relationships/hyperlink" Target="https://www.gov.uk/browse/driving/disability-health-condition" TargetMode="External"/><Relationship Id="rId17" Type="http://schemas.openxmlformats.org/officeDocument/2006/relationships/hyperlink" Target="https://www.legislation.gov.uk/ukpga/1998/42/contents" TargetMode="External"/><Relationship Id="rId2" Type="http://schemas.openxmlformats.org/officeDocument/2006/relationships/hyperlink" Target="https://www.england.nhs.uk/ipc/" TargetMode="External"/><Relationship Id="rId16" Type="http://schemas.openxmlformats.org/officeDocument/2006/relationships/hyperlink" Target="https://www.gov.scot/Publications/2018/05/8696" TargetMode="External"/><Relationship Id="rId1" Type="http://schemas.openxmlformats.org/officeDocument/2006/relationships/hyperlink" Target="http://www.legislation.gov.uk/uksi/2011/2260/contents/made" TargetMode="External"/><Relationship Id="rId6" Type="http://schemas.openxmlformats.org/officeDocument/2006/relationships/hyperlink" Target="https://tbinternet.ohchr.org/_layouts/15/treatybodyexternal/Download.aspx?symbolno=CRPD%2fC%2f15%2fR.2%2fRev.1&amp;Lang=en" TargetMode="External"/><Relationship Id="rId11" Type="http://schemas.openxmlformats.org/officeDocument/2006/relationships/hyperlink" Target="https://assets.publishing.service.gov.uk/government/uploads/system/uploads/attachment_data/file/512895/cycling-and-walking-investment-strategy.pdf" TargetMode="External"/><Relationship Id="rId5" Type="http://schemas.openxmlformats.org/officeDocument/2006/relationships/hyperlink" Target="http://www.legislation.gov.uk/asp/2015/11/contents/enacted" TargetMode="External"/><Relationship Id="rId15" Type="http://schemas.openxmlformats.org/officeDocument/2006/relationships/hyperlink" Target="https://www.gov.uk/government/publications/digital-charter" TargetMode="External"/><Relationship Id="rId10" Type="http://schemas.openxmlformats.org/officeDocument/2006/relationships/hyperlink" Target="https://www.gov.uk/government/publications/improving-lives-the-future-of-work-health-and-disability" TargetMode="External"/><Relationship Id="rId4" Type="http://schemas.openxmlformats.org/officeDocument/2006/relationships/hyperlink" Target="https://gov.wales/topics/people-and-communities/equality-diversity/budget-advisory-group-for-equality/?lang=en" TargetMode="External"/><Relationship Id="rId9" Type="http://schemas.openxmlformats.org/officeDocument/2006/relationships/hyperlink" Target="https://www.gov.uk/government/consultations/work-health-and-disability-improving-lives" TargetMode="External"/><Relationship Id="rId14" Type="http://schemas.openxmlformats.org/officeDocument/2006/relationships/hyperlink" Target="https://www.gov.uk/government/publications/hate-crime-action-plan-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3D1E0-78CE-4FD9-A6BE-37093CC4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4454</Words>
  <Characters>29813</Characters>
  <Application>Microsoft Office Word</Application>
  <DocSecurity>0</DocSecurity>
  <Lines>2710</Lines>
  <Paragraphs>1142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CRPD/C/GBR/FIR/1</vt:lpstr>
      <vt:lpstr>A/</vt:lpstr>
      <vt:lpstr>A/</vt:lpstr>
    </vt:vector>
  </TitlesOfParts>
  <Company>DCM</Company>
  <LinksUpToDate>false</LinksUpToDate>
  <CharactersWithSpaces>33125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CRPD/C/GBR/FIR/1</dc:title>
  <dc:subject/>
  <dc:creator>Elena IZOTOVA</dc:creator>
  <cp:keywords/>
  <cp:lastModifiedBy>Elena IZOTOVA</cp:lastModifiedBy>
  <cp:revision>3</cp:revision>
  <cp:lastPrinted>2020-06-29T09:06:00Z</cp:lastPrinted>
  <dcterms:created xsi:type="dcterms:W3CDTF">2020-06-29T09:06:00Z</dcterms:created>
  <dcterms:modified xsi:type="dcterms:W3CDTF">2020-06-29T09:07:00Z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