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E73" w:rsidRDefault="00BA7E73" w:rsidP="00BA7E73">
      <w:pPr>
        <w:spacing w:line="240" w:lineRule="auto"/>
        <w:rPr>
          <w:sz w:val="6"/>
        </w:rPr>
        <w:sectPr w:rsidR="00BA7E73" w:rsidSect="00BA7E7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commentRangeStart w:id="0"/>
      <w:r>
        <w:rPr>
          <w:rStyle w:val="CommentReference"/>
        </w:rPr>
        <w:commentReference w:id="1"/>
      </w:r>
      <w:commentRangeEnd w:id="0"/>
      <w:r w:rsidR="00AC677C">
        <w:rPr>
          <w:rStyle w:val="CommentReference"/>
        </w:rPr>
        <w:commentReference w:id="0"/>
      </w:r>
    </w:p>
    <w:p w:rsidR="00AC677C" w:rsidRDefault="00AC677C" w:rsidP="00AC67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Comité pour l’élimination de la discrimination</w:t>
      </w:r>
      <w:r>
        <w:br/>
        <w:t>à l’égard des femmes</w:t>
      </w:r>
    </w:p>
    <w:p w:rsidR="00AC677C" w:rsidRDefault="00AC677C" w:rsidP="00AC677C">
      <w:pPr>
        <w:pStyle w:val="SingleTxt"/>
        <w:ind w:left="0"/>
      </w:pPr>
      <w:r>
        <w:t>Vingt-sixième session</w:t>
      </w:r>
    </w:p>
    <w:p w:rsidR="00AC677C" w:rsidRDefault="00AC677C" w:rsidP="00AC677C">
      <w:pPr>
        <w:pStyle w:val="SingleTxt"/>
        <w:spacing w:after="0"/>
        <w:ind w:left="0"/>
      </w:pPr>
      <w:r>
        <w:t>Compte rendu analytique de la 534</w:t>
      </w:r>
      <w:r>
        <w:rPr>
          <w:vertAlign w:val="superscript"/>
        </w:rPr>
        <w:t>e</w:t>
      </w:r>
      <w:r>
        <w:t xml:space="preserve"> séance</w:t>
      </w:r>
    </w:p>
    <w:p w:rsidR="00AC677C" w:rsidRDefault="00AC677C" w:rsidP="00AC677C">
      <w:pPr>
        <w:pStyle w:val="SingleTxt"/>
        <w:ind w:left="0"/>
      </w:pPr>
      <w:r>
        <w:t>Tenue au Siège à New York, le vendredi 18 janvier 2002, à 10 heures</w:t>
      </w:r>
    </w:p>
    <w:p w:rsidR="00AC677C" w:rsidRDefault="00AC677C" w:rsidP="00AC677C">
      <w:pPr>
        <w:pStyle w:val="SingleTxt"/>
        <w:ind w:left="0"/>
      </w:pPr>
      <w:r>
        <w:rPr>
          <w:i/>
        </w:rPr>
        <w:t>Présidente :</w:t>
      </w:r>
      <w:r>
        <w:t xml:space="preserve"> M</w:t>
      </w:r>
      <w:r>
        <w:rPr>
          <w:vertAlign w:val="superscript"/>
        </w:rPr>
        <w:t>me</w:t>
      </w:r>
      <w:r>
        <w:t xml:space="preserve"> Abaka</w:t>
      </w:r>
    </w:p>
    <w:p w:rsidR="00AC677C" w:rsidRDefault="00AC677C" w:rsidP="00AC677C">
      <w:pPr>
        <w:pStyle w:val="SingleTxt"/>
        <w:ind w:left="0"/>
      </w:pPr>
    </w:p>
    <w:p w:rsidR="00AC677C" w:rsidRDefault="00AC677C" w:rsidP="00AC67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Sommaire</w:t>
      </w:r>
    </w:p>
    <w:p w:rsidR="00AC677C" w:rsidRDefault="00AC677C" w:rsidP="00AC677C">
      <w:pPr>
        <w:pStyle w:val="SingleTxt"/>
      </w:pPr>
      <w:r>
        <w:t>Examen des rapports présentés par les États parties conformément à l’article 18 de la Convention (</w:t>
      </w:r>
      <w:r>
        <w:rPr>
          <w:i/>
        </w:rPr>
        <w:t>suite</w:t>
      </w:r>
      <w:r>
        <w:t>)</w:t>
      </w:r>
    </w:p>
    <w:p w:rsidR="00AC677C" w:rsidRDefault="00AC677C" w:rsidP="00AC677C">
      <w:pPr>
        <w:pStyle w:val="SingleTxt"/>
      </w:pPr>
      <w:r>
        <w:tab/>
        <w:t xml:space="preserve">Quatrième et cinquième rapports périodiques du Portugal </w:t>
      </w:r>
    </w:p>
    <w:p w:rsidR="00AC677C" w:rsidRDefault="00AC677C" w:rsidP="00AC677C">
      <w:pPr>
        <w:pStyle w:val="H4"/>
        <w:tabs>
          <w:tab w:val="left" w:pos="475"/>
          <w:tab w:val="left" w:pos="965"/>
          <w:tab w:val="left" w:pos="1440"/>
          <w:tab w:val="left" w:pos="1915"/>
          <w:tab w:val="left" w:pos="2405"/>
          <w:tab w:val="left" w:pos="2880"/>
          <w:tab w:val="left" w:pos="3355"/>
        </w:tabs>
        <w:ind w:left="475" w:hanging="475"/>
        <w:sectPr w:rsidR="00AC677C">
          <w:footerReference w:type="even" r:id="rId14"/>
          <w:headerReference w:type="first" r:id="rId15"/>
          <w:footerReference w:type="first" r:id="rId16"/>
          <w:endnotePr>
            <w:numFmt w:val="decimal"/>
          </w:endnotePr>
          <w:type w:val="continuous"/>
          <w:pgSz w:w="12240" w:h="15840" w:code="1"/>
          <w:pgMar w:top="1742" w:right="1195" w:bottom="1901" w:left="1195" w:header="576" w:footer="1037" w:gutter="0"/>
          <w:pgNumType w:start="1"/>
          <w:cols w:space="720"/>
          <w:noEndnote/>
          <w:titlePg/>
        </w:sectPr>
      </w:pPr>
      <w:r>
        <w:br w:type="page"/>
      </w:r>
    </w:p>
    <w:p w:rsidR="00AC677C" w:rsidRDefault="00AC677C" w:rsidP="00AC677C">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20.</w:t>
      </w:r>
    </w:p>
    <w:p w:rsidR="00AC677C" w:rsidRDefault="00AC677C" w:rsidP="00AC677C">
      <w:pPr>
        <w:pStyle w:val="DualTxt"/>
        <w:spacing w:after="0" w:line="120" w:lineRule="exact"/>
        <w:rPr>
          <w:sz w:val="10"/>
        </w:rPr>
      </w:pPr>
    </w:p>
    <w:p w:rsidR="00AC677C" w:rsidRDefault="00AC677C" w:rsidP="00AC677C">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en application de l’article 18 de la Convention </w:t>
      </w:r>
      <w:r>
        <w:rPr>
          <w:b w:val="0"/>
        </w:rPr>
        <w:t>(</w:t>
      </w:r>
      <w:r>
        <w:rPr>
          <w:b w:val="0"/>
          <w:i/>
        </w:rPr>
        <w:t>suite</w:t>
      </w:r>
      <w:r>
        <w:rPr>
          <w:b w:val="0"/>
        </w:rPr>
        <w:t>)</w:t>
      </w:r>
    </w:p>
    <w:p w:rsidR="00AC677C" w:rsidRDefault="00AC677C" w:rsidP="00AC677C">
      <w:pPr>
        <w:pStyle w:val="DualTxt"/>
        <w:spacing w:after="0" w:line="120" w:lineRule="exact"/>
        <w:rPr>
          <w:sz w:val="10"/>
        </w:rPr>
      </w:pPr>
    </w:p>
    <w:p w:rsidR="00AC677C" w:rsidRDefault="00AC677C" w:rsidP="00AC677C">
      <w:pPr>
        <w:pStyle w:val="H4"/>
        <w:tabs>
          <w:tab w:val="right" w:pos="360"/>
          <w:tab w:val="left" w:pos="475"/>
          <w:tab w:val="left" w:pos="965"/>
          <w:tab w:val="left" w:pos="1440"/>
          <w:tab w:val="left" w:pos="1915"/>
          <w:tab w:val="left" w:pos="2405"/>
          <w:tab w:val="left" w:pos="2880"/>
          <w:tab w:val="left" w:pos="3355"/>
        </w:tabs>
        <w:rPr>
          <w:i w:val="0"/>
        </w:rPr>
      </w:pPr>
      <w:r>
        <w:t xml:space="preserve">Quatrième et cinquième rapports périodiques du Portugal : </w:t>
      </w:r>
      <w:r>
        <w:rPr>
          <w:i w:val="0"/>
        </w:rPr>
        <w:t>(CEDAW/C/PRT/4 et 5; CEDAW/PSWG/2002/1/CRP.1/Add.2 et CEDAW/PSWG/2001/1/CRP.2/Add.1)</w:t>
      </w:r>
    </w:p>
    <w:p w:rsidR="00AC677C" w:rsidRDefault="00AC677C" w:rsidP="00AC677C">
      <w:pPr>
        <w:pStyle w:val="DualTxt"/>
        <w:spacing w:after="0" w:line="120" w:lineRule="exact"/>
        <w:rPr>
          <w:sz w:val="10"/>
        </w:rPr>
      </w:pPr>
    </w:p>
    <w:p w:rsidR="00AC677C" w:rsidRDefault="00AC677C" w:rsidP="00AC677C">
      <w:pPr>
        <w:pStyle w:val="DualTxt"/>
        <w:numPr>
          <w:ilvl w:val="0"/>
          <w:numId w:val="1"/>
        </w:numPr>
      </w:pPr>
      <w:r>
        <w:rPr>
          <w:i/>
        </w:rPr>
        <w:t>Sur l’invitation de la Présidente, Mme do Céu da Cunha Rêgo, Mme Leitão, Mme Pinheiro, Mme Braga da Cruz, Mme Rosmaninho et Mme Leite (Portugal) prennent place à la table du Comité.</w:t>
      </w:r>
    </w:p>
    <w:p w:rsidR="00AC677C" w:rsidRDefault="00AC677C" w:rsidP="00AC677C">
      <w:pPr>
        <w:pStyle w:val="DualTxt"/>
        <w:numPr>
          <w:ilvl w:val="0"/>
          <w:numId w:val="1"/>
        </w:numPr>
        <w:rPr>
          <w:b/>
        </w:rPr>
      </w:pPr>
      <w:r>
        <w:rPr>
          <w:b/>
        </w:rPr>
        <w:t xml:space="preserve">Mme do Céu da Cunha Rêgo </w:t>
      </w:r>
      <w:r>
        <w:t>(Portugal) prése</w:t>
      </w:r>
      <w:r>
        <w:t>n</w:t>
      </w:r>
      <w:r>
        <w:t>tant les quatrième et cinquième rapports périodiques du Portugal (CEDAW/C/PRT/4 et 5), dit que le Gouve</w:t>
      </w:r>
      <w:r>
        <w:t>r</w:t>
      </w:r>
      <w:r>
        <w:t>nement portugais accorde une grande importance à la promotion de l’égalité de fait entre les hommes et les femmes. En 2001, il a créé le poste de Secrétaire d’État à l’égalité dont elle est actuellement titulaire pour promouvoir l’égalité de fait entre les sexes en perme</w:t>
      </w:r>
      <w:r>
        <w:t>t</w:t>
      </w:r>
      <w:r>
        <w:t>tant aux hommes et aux femmes de vivre des vies i</w:t>
      </w:r>
      <w:r>
        <w:t>n</w:t>
      </w:r>
      <w:r>
        <w:t>dépendantes et de bénéficier d’un accès égal à l’emploi, aux connaissances, aux loisirs et au pouvoir dans la vie publique et privée. À cet effet, le Gouve</w:t>
      </w:r>
      <w:r>
        <w:t>r</w:t>
      </w:r>
      <w:r>
        <w:t>nement port</w:t>
      </w:r>
      <w:r>
        <w:t>u</w:t>
      </w:r>
      <w:r>
        <w:t>gais a présenté récemment deux projets de lois au parlement : une loi relative à l’égalité, visant à favoriser la participation des femmes à la vie publique et à accro</w:t>
      </w:r>
      <w:r>
        <w:t>î</w:t>
      </w:r>
      <w:r>
        <w:t>tre le nombre de femmes dans les organes élus et une loi v</w:t>
      </w:r>
      <w:r>
        <w:t>i</w:t>
      </w:r>
      <w:r>
        <w:t>sant à favoriser la participation des hommes à la vie privée en leur garantissant le droit à un congé de paternité. Toutefois, étant donné que le Premier Ministre vient de démissionner et qu’une éle</w:t>
      </w:r>
      <w:r>
        <w:t>c</w:t>
      </w:r>
      <w:r>
        <w:t>tion générale doit se tenir prochainement, ces deux pr</w:t>
      </w:r>
      <w:r>
        <w:t>o</w:t>
      </w:r>
      <w:r>
        <w:t>jets ne d</w:t>
      </w:r>
      <w:r>
        <w:t>e</w:t>
      </w:r>
      <w:r>
        <w:t>viendront pas des lois pendant la présente session du parlement.</w:t>
      </w:r>
    </w:p>
    <w:p w:rsidR="00AC677C" w:rsidRDefault="00AC677C" w:rsidP="00AC677C">
      <w:pPr>
        <w:pStyle w:val="DualTxt"/>
        <w:numPr>
          <w:ilvl w:val="0"/>
          <w:numId w:val="1"/>
        </w:numPr>
      </w:pPr>
      <w:r>
        <w:t>Le Gouvernement portugais met également l’accent sur l’importance d’une sensibilisation à l’équité entre les sexes et a conçu des cours à l’intention de divers groupes, dont les employeurs, les juristes, les inspecteurs du travail et le public dans son ensemble. En outre, en mai 2001, le Parlement a adopté une loi visant à améliorer l’aptitude des organes co</w:t>
      </w:r>
      <w:r>
        <w:t>m</w:t>
      </w:r>
      <w:r>
        <w:t>pétents à lutter contre la discrimination raciale dans les domaines de l’emploi et de la formation personnelle et une loi demandant qu’il lui soit fait rapport chaque a</w:t>
      </w:r>
      <w:r>
        <w:t>n</w:t>
      </w:r>
      <w:r>
        <w:t>née sur l’évolution de la situation en la matière. Le deuxième plan national relatif à l’égalité entre les hommes et les femmes en est au stade final de ses pr</w:t>
      </w:r>
      <w:r>
        <w:t>é</w:t>
      </w:r>
      <w:r>
        <w:t>paratifs. Il a déjà été élaboré et a pour conséquence de restructurer les organes compétents en matière d’égalité et d’accroître le rôle des organisations non gouvernementales. Il énonce également des principes directeurs concernant la participation égale des ho</w:t>
      </w:r>
      <w:r>
        <w:t>m</w:t>
      </w:r>
      <w:r>
        <w:t>mes et des femmes dans la prise de décisions, le travail et la vie familiale, l’amélioration du système juridique dans un objectif d’égalité et des politiques plus effic</w:t>
      </w:r>
      <w:r>
        <w:t>a</w:t>
      </w:r>
      <w:r>
        <w:t>ces visant à favoriser l’égalité dans les secteurs public et privé. Il est pr</w:t>
      </w:r>
      <w:r>
        <w:t>é</w:t>
      </w:r>
      <w:r>
        <w:t xml:space="preserve">vu que des crédits concernant l’équité entre les sexes seront introduits dans le budget national de 2002. </w:t>
      </w:r>
    </w:p>
    <w:p w:rsidR="00AC677C" w:rsidRDefault="00AC677C" w:rsidP="00AC677C">
      <w:pPr>
        <w:pStyle w:val="DualTxt"/>
        <w:numPr>
          <w:ilvl w:val="0"/>
          <w:numId w:val="1"/>
        </w:numPr>
      </w:pPr>
      <w:r>
        <w:t>Le Parlement portugais a approuvé aux fins de ratification du Protocole facultatif se rapportant à la Convention sur l'élimination de toutes les formes de discrimination à l'égard des femmes et le Statut de Rome de la Cour pénale internationale ; l’instrument d’acceptation du Portugal concernant l’amendement du paragraphe 1 de l’article 20 de la Convention a réce</w:t>
      </w:r>
      <w:r>
        <w:t>m</w:t>
      </w:r>
      <w:r>
        <w:t>ment été déposé auprès du Secrétaire général. La qu</w:t>
      </w:r>
      <w:r>
        <w:t>a</w:t>
      </w:r>
      <w:r>
        <w:t xml:space="preserve">trième Conférence mondiale sur les femmes, tenue à Beijing en </w:t>
      </w:r>
      <w:smartTag w:uri="urn:schemas-microsoft-com:office:smarttags" w:element="metricconverter">
        <w:smartTagPr>
          <w:attr w:name="ProductID" w:val="1995, a"/>
        </w:smartTagPr>
        <w:r>
          <w:t>1995, a</w:t>
        </w:r>
      </w:smartTag>
      <w:r>
        <w:t xml:space="preserve"> favorisé un certain nombre d’autres initiatives, dont l’inclusion de dispositions plus détai</w:t>
      </w:r>
      <w:r>
        <w:t>l</w:t>
      </w:r>
      <w:r>
        <w:t>lées relatives à l’égalité dans la Constitution port</w:t>
      </w:r>
      <w:r>
        <w:t>u</w:t>
      </w:r>
      <w:r>
        <w:t>gaise, lors de sa révision, en 1997, et la création de l’Observatoire de l’égalité en matière de négociations collectives, dans le cadre du Plan mondial de 1997 pour l’égalité des chances. En 2000, sous la présidence du Portugal, l’Union européenne a également constaté l’adoption de diverses initiatives concernant l’égalité des chances, l’harmonisation du travail et de la vie de famille et la prévention de la violence contre les fe</w:t>
      </w:r>
      <w:r>
        <w:t>m</w:t>
      </w:r>
      <w:r>
        <w:t>mes.</w:t>
      </w:r>
    </w:p>
    <w:p w:rsidR="00AC677C" w:rsidRDefault="00AC677C" w:rsidP="00AC677C">
      <w:pPr>
        <w:pStyle w:val="DualTxt"/>
        <w:numPr>
          <w:ilvl w:val="0"/>
          <w:numId w:val="1"/>
        </w:numPr>
      </w:pPr>
      <w:r>
        <w:t>De nombreuses organisations non gouverneme</w:t>
      </w:r>
      <w:r>
        <w:t>n</w:t>
      </w:r>
      <w:r>
        <w:t>tales portugaises s’emploient à concevoir et à mettre en œuvre des politiques visant à promouvoir l’égalité et font pression auprès des politiciens pour qu’ils les a</w:t>
      </w:r>
      <w:r>
        <w:t>p</w:t>
      </w:r>
      <w:r>
        <w:t>puient sur les plans national et international. Ces org</w:t>
      </w:r>
      <w:r>
        <w:t>a</w:t>
      </w:r>
      <w:r>
        <w:t>nisations ont également pris des mesures directes en matière de formation et de prévention de la violence et bénéficient de l’appui sans réserve des pouvoirs p</w:t>
      </w:r>
      <w:r>
        <w:t>u</w:t>
      </w:r>
      <w:r>
        <w:t>blics. Les pouvoirs publics sont attachés au principe de l’intégration d’une démarche d'équité entre les sexes dans tous les secteurs de la politique publique. En dépit de leurs efforts, des inégalités entre hommes et femmes persistent; toutefois, il convient d’espérer que la situ</w:t>
      </w:r>
      <w:r>
        <w:t>a</w:t>
      </w:r>
      <w:r>
        <w:t>tion s’améliorera régulièrement, grâce à des mesures persistantes visant à lutter contre les causes et les effets des inégalités.</w:t>
      </w:r>
    </w:p>
    <w:p w:rsidR="00AC677C" w:rsidRDefault="00AC677C" w:rsidP="00AC677C">
      <w:pPr>
        <w:pStyle w:val="DualTxt"/>
        <w:numPr>
          <w:ilvl w:val="0"/>
          <w:numId w:val="1"/>
        </w:numPr>
      </w:pPr>
      <w:r>
        <w:rPr>
          <w:b/>
        </w:rPr>
        <w:t>La Présidente</w:t>
      </w:r>
      <w:r>
        <w:t>, remerciant la représentante du Portugal de son exposé, se félicite de ce que le Port</w:t>
      </w:r>
      <w:r>
        <w:t>u</w:t>
      </w:r>
      <w:r>
        <w:t>gal ait accepté la modification du paragraphe 1 de l’Article 20 de la Convention et exprime l’espoir du Comité que le Portugal ratifiera prochainement le Pr</w:t>
      </w:r>
      <w:r>
        <w:t>o</w:t>
      </w:r>
      <w:r>
        <w:t>tocole facultatif.</w:t>
      </w:r>
    </w:p>
    <w:p w:rsidR="00AC677C" w:rsidRDefault="00AC677C" w:rsidP="00AC677C">
      <w:pPr>
        <w:pStyle w:val="DualTxt"/>
        <w:numPr>
          <w:ilvl w:val="0"/>
          <w:numId w:val="1"/>
        </w:numPr>
      </w:pPr>
      <w:r>
        <w:rPr>
          <w:b/>
        </w:rPr>
        <w:t>Mme Goonesekere</w:t>
      </w:r>
      <w:r>
        <w:t xml:space="preserve"> est heureuse d’apprendre que davantage de femmes entrent dans des secteurs d’activité traditionnellement dominés par les hommes; toutefois, il reste à faire davantage de progrès avant d’atteindre l’égalité complète entre hommes et fe</w:t>
      </w:r>
      <w:r>
        <w:t>m</w:t>
      </w:r>
      <w:r>
        <w:t>mes. L’intervenante cherche à savoir comment la Convention est incorporée dans le système juridique national et demande si et comment les droits constit</w:t>
      </w:r>
      <w:r>
        <w:t>u</w:t>
      </w:r>
      <w:r>
        <w:t>tionnels peuvent être invoqués devant les tribunaux dans une affaire de discrimination. S’agissant de la violence contre les fe</w:t>
      </w:r>
      <w:r>
        <w:t>m</w:t>
      </w:r>
      <w:r>
        <w:t>mes, elle se déclare préoccupée par l’emploi de définitions générales et abstraites des délits dans le système pénal portugais. Elle souhaiterait comprendre comment ces définitions générales peuvent être appliquées pour poursuivre en justice et sanctio</w:t>
      </w:r>
      <w:r>
        <w:t>n</w:t>
      </w:r>
      <w:r>
        <w:t>ner les auteurs des délits, compte particulièrement tenu du fait que la charge de la preuve dans des crimes gr</w:t>
      </w:r>
      <w:r>
        <w:t>a</w:t>
      </w:r>
      <w:r>
        <w:t>ves comme le viol et l’inceste est souvent très difficile et qu’ils semblerait nécessaire de disposer de défin</w:t>
      </w:r>
      <w:r>
        <w:t>i</w:t>
      </w:r>
      <w:r>
        <w:t>tions spécifiques sur la base desquelles fonder des poursuites pénales. De même, bien que le rapport ind</w:t>
      </w:r>
      <w:r>
        <w:t>i</w:t>
      </w:r>
      <w:r>
        <w:t>que que la Constitution portugaise et le droit portugais établissent que l’homme et la femme sont égaux, il ne semble pas y avoir de mécanismes efficaces permettant de protéger les femmes contre la violence familiale. L’intervenante demande donc davantage de renseign</w:t>
      </w:r>
      <w:r>
        <w:t>e</w:t>
      </w:r>
      <w:r>
        <w:t>ments sur la manière dont les dispositions y relatives de la législation et de la Constitution sont appliquées dans la pratique.</w:t>
      </w:r>
    </w:p>
    <w:p w:rsidR="00AC677C" w:rsidRDefault="00AC677C" w:rsidP="00AC677C">
      <w:pPr>
        <w:pStyle w:val="DualTxt"/>
        <w:numPr>
          <w:ilvl w:val="0"/>
          <w:numId w:val="1"/>
        </w:numPr>
      </w:pPr>
      <w:r>
        <w:rPr>
          <w:b/>
        </w:rPr>
        <w:t>Mme Livingstone Raday</w:t>
      </w:r>
      <w:r>
        <w:t xml:space="preserve"> est préoccupée par le fait que l’immense majorité des dossiers de police rel</w:t>
      </w:r>
      <w:r>
        <w:t>a</w:t>
      </w:r>
      <w:r>
        <w:t>tifs à la violence familiale concernent des actes de vi</w:t>
      </w:r>
      <w:r>
        <w:t>o</w:t>
      </w:r>
      <w:r>
        <w:t>lence commis par des hommes contre des femmes, que seulement 205 hommes ont été poursuivis pour vi</w:t>
      </w:r>
      <w:r>
        <w:t>o</w:t>
      </w:r>
      <w:r>
        <w:t>lence familiale et que seulement 69 condamnations à des peines de prison ont été prononcées en 2000.   Même s’il est fréquent que les femmes ne portent pas plainte en cas de violence familiale pour des motifs culturels, depuis 1998, le Procureur a le droit d’entamer à sa propre initiative une procédure pénale (p. 4). L’intervenante est préoccupée qu’on ne mette pas pleinement l’accent sur la poursuite et la sanction du délit de violence fam</w:t>
      </w:r>
      <w:r>
        <w:t>i</w:t>
      </w:r>
      <w:r>
        <w:t>liale.</w:t>
      </w:r>
    </w:p>
    <w:p w:rsidR="00AC677C" w:rsidRDefault="00AC677C" w:rsidP="00AC677C">
      <w:pPr>
        <w:pStyle w:val="DualTxt"/>
        <w:numPr>
          <w:ilvl w:val="0"/>
          <w:numId w:val="1"/>
        </w:numPr>
      </w:pPr>
      <w:r>
        <w:t>Mme Livingstone Raday estime également qu’il  existe certaines incohérences concernant les chiffres relatifs aux différences de salaire entre les hommes et les femmes; l’écart de salaire horaire semble s’être creusé e</w:t>
      </w:r>
      <w:r>
        <w:t>n</w:t>
      </w:r>
      <w:r>
        <w:t>tre 1994 et 1998 (p. 11), mais cette tendance ne semble pas se refléter dans les chiffres relatifs aux salaires des hommes et des femmes communiqués p. 12, compte particulièrement tenu du fait que les femmes tendent général</w:t>
      </w:r>
      <w:r>
        <w:t>e</w:t>
      </w:r>
      <w:r>
        <w:t>ment à travailler un plus petit nombre d’heures que les hommes. L’intervenante se demande également pourquoi il n’a pas été fourni de chiffres pour la p</w:t>
      </w:r>
      <w:r>
        <w:t>é</w:t>
      </w:r>
      <w:r>
        <w:t>riode débutant en 1998.</w:t>
      </w:r>
    </w:p>
    <w:p w:rsidR="00AC677C" w:rsidRDefault="00AC677C" w:rsidP="00AC677C">
      <w:pPr>
        <w:pStyle w:val="DualTxt"/>
        <w:numPr>
          <w:ilvl w:val="0"/>
          <w:numId w:val="1"/>
        </w:numPr>
      </w:pPr>
      <w:r>
        <w:t>S’agissant de la Commission pour l’égalité dans le travail et l’emploi (CITE) (p. 13), et de son rôle pour ce qui est de connaître de plaintes concernant la di</w:t>
      </w:r>
      <w:r>
        <w:t>s</w:t>
      </w:r>
      <w:r>
        <w:t>crimination sexuelle, l’intervenante demande dava</w:t>
      </w:r>
      <w:r>
        <w:t>n</w:t>
      </w:r>
      <w:r>
        <w:t>tage de renseignements sur les types de plaintes et la procédure à suivre pour déposer une plainte ainsi que sur les résultats des délibérations de la Commission. Elle se demande aussi pourquoi les plaintes dont la Commission est saisie semblent concerner pre</w:t>
      </w:r>
      <w:r>
        <w:t>s</w:t>
      </w:r>
      <w:r>
        <w:t>qu’exclusivement la maternité et souligne que le Com</w:t>
      </w:r>
      <w:r>
        <w:t>i</w:t>
      </w:r>
      <w:r>
        <w:t>té s’intéresse également à la discrimination en ce qui concerne l’accès à l’emploi, les promotions, les sala</w:t>
      </w:r>
      <w:r>
        <w:t>i</w:t>
      </w:r>
      <w:r>
        <w:t xml:space="preserve">res, etc. </w:t>
      </w:r>
    </w:p>
    <w:p w:rsidR="00AC677C" w:rsidRDefault="00AC677C" w:rsidP="00AC677C">
      <w:pPr>
        <w:pStyle w:val="DualTxt"/>
        <w:numPr>
          <w:ilvl w:val="0"/>
          <w:numId w:val="1"/>
        </w:numPr>
      </w:pPr>
      <w:r>
        <w:rPr>
          <w:b/>
        </w:rPr>
        <w:t>Mme Manalo</w:t>
      </w:r>
      <w:r>
        <w:t xml:space="preserve"> cherche à obtenir des informations sur les raisons pour lesquelles il a été si difficile d’intégrer une démarche d'équité entre les sexes, comme la délégation portugaise l’indique dans ses r</w:t>
      </w:r>
      <w:r>
        <w:t>é</w:t>
      </w:r>
      <w:r>
        <w:t>ponses (par. 4); elle se demande si les obstacles concernent le manque de formation, l’absence de v</w:t>
      </w:r>
      <w:r>
        <w:t>o</w:t>
      </w:r>
      <w:r>
        <w:t>lonté politique, l’opposition bureaucratique, l’incompréhension, etc… L’intervenante met également l’accent sur la nécessité de réformer de manière plus approfondie le Code pénal, pour qu’il contienne des dispositions sp</w:t>
      </w:r>
      <w:r>
        <w:t>é</w:t>
      </w:r>
      <w:r>
        <w:t>cifiques érigeant en délit des actes de violence contre les femmes, tels que les viols, l’inceste, le viol conj</w:t>
      </w:r>
      <w:r>
        <w:t>u</w:t>
      </w:r>
      <w:r>
        <w:t>gal, le harcèlement et le trafic de femmes et d’enfants. Faire fond sur des formulations abstraites ou générales peut aller à l’encontre des intérêts des victimes, en pa</w:t>
      </w:r>
      <w:r>
        <w:t>r</w:t>
      </w:r>
      <w:r>
        <w:t>ticulier s’agissant de délits commis à l’égard des femmes, en laissant aux procureurs, aux juges et aux défendeurs la possibilité de ne pas tenir compte des violations de la dignité et de l’intégrité des femmes. Dans le cas du viol conjugal, par exemple, si des lois vagues ou abstraites autor</w:t>
      </w:r>
      <w:r>
        <w:t>i</w:t>
      </w:r>
      <w:r>
        <w:t>saient le système à tolérer le retrait d’une plainte par la victime, ce qui mettrait fin à la procédure, le système judiciaire n’aurait pas honoré l’obligation qui lui est faite de pr</w:t>
      </w:r>
      <w:r>
        <w:t>o</w:t>
      </w:r>
      <w:r>
        <w:t>téger la victime.</w:t>
      </w:r>
    </w:p>
    <w:p w:rsidR="00AC677C" w:rsidRDefault="00AC677C" w:rsidP="00AC677C">
      <w:pPr>
        <w:pStyle w:val="DualTxt"/>
        <w:numPr>
          <w:ilvl w:val="0"/>
          <w:numId w:val="1"/>
        </w:numPr>
      </w:pPr>
      <w:r>
        <w:rPr>
          <w:b/>
        </w:rPr>
        <w:t>Mme Gabr</w:t>
      </w:r>
      <w:r>
        <w:t xml:space="preserve"> dit que si des progrès ont été enregi</w:t>
      </w:r>
      <w:r>
        <w:t>s</w:t>
      </w:r>
      <w:r>
        <w:t>trés dans la lutte contre les stéréotypes sexuels, elle constate une absence d’application pratique des princ</w:t>
      </w:r>
      <w:r>
        <w:t>i</w:t>
      </w:r>
      <w:r>
        <w:t>pes louables contenus dans la Constitution et dans les textes juridiques. L’intervenante se félicite des efforts déployés par les pouvoirs publics pour promouvoir l’éducation concernant les droits des femmes et pour obtenir le concours des organisations non gouvern</w:t>
      </w:r>
      <w:r>
        <w:t>e</w:t>
      </w:r>
      <w:r>
        <w:t>mentales, mais souligne la nécessité de faire davantage pour améliorer l’image des femmes dans les médias et lutter contre le fait que la violence contre les femmes soit tolérée et de fixer des sanctions concernant des délits spécifiques relatifs à des actes de violence à l’encontre des femmes, par exemple l’inceste. Il faut également faire davantage pour améliorer la situation des femmes rurales, des femmes vivant en-deçà du n</w:t>
      </w:r>
      <w:r>
        <w:t>i</w:t>
      </w:r>
      <w:r>
        <w:t>veau de pa</w:t>
      </w:r>
      <w:r>
        <w:t>u</w:t>
      </w:r>
      <w:r>
        <w:t>vreté et des femmes âgées.</w:t>
      </w:r>
    </w:p>
    <w:p w:rsidR="00AC677C" w:rsidRDefault="00AC677C" w:rsidP="00AC677C">
      <w:pPr>
        <w:pStyle w:val="DualTxt"/>
        <w:numPr>
          <w:ilvl w:val="0"/>
          <w:numId w:val="1"/>
        </w:numPr>
      </w:pPr>
      <w:r>
        <w:rPr>
          <w:b/>
        </w:rPr>
        <w:t>Mme do Céu da Cuna Rêgo</w:t>
      </w:r>
      <w:r>
        <w:t xml:space="preserve"> (Portugal) dit que la stratégie suivie par son gouvernement pour sensibiliser la population aux questions féminines met l’accent sur la formation et l’éducation de groupes stratégiques, comme les dirigeants des organismes professionnels, les juges, les enseignants mais qu’il est difficile de progresser rapidement dans le secteur où les attitudes traditionnelles demeurent ancrées. Depuis l’élaboration du Plan national d’action sur l’emploi en 1998, qui donne la priorité à l’égalité des chances, des efforts ont été réalisés pour éduquer la population et faire évoluer les attitudes. Outre de promouvoir le droit des femmes à l’égalité, le Gouvernement portugais essaie de mettre l’accent sur les avantages et la satisfaction accrue qui seraient le lot des hommes si, par exemple, ils part</w:t>
      </w:r>
      <w:r>
        <w:t>a</w:t>
      </w:r>
      <w:r>
        <w:t>geaient le fardeau des obligations familiales avec les femmes; il signale que les femmes sont injustement dés</w:t>
      </w:r>
      <w:r>
        <w:t>a</w:t>
      </w:r>
      <w:r>
        <w:t>vantagées sur le marché du travail en raison de leurs obligations maternelles et familiales. L’intervenante convient que les médias perpétuent pa</w:t>
      </w:r>
      <w:r>
        <w:t>r</w:t>
      </w:r>
      <w:r>
        <w:t>fois les stéréotypes et indique que les m</w:t>
      </w:r>
      <w:r>
        <w:t>é</w:t>
      </w:r>
      <w:r>
        <w:t>dias ont fait l’objet de programmes spéciaux de sensib</w:t>
      </w:r>
      <w:r>
        <w:t>i</w:t>
      </w:r>
      <w:r>
        <w:t>lisation et qu’il  y a de nombreuses  femmes journalistes. Elle reconnaît toutefois qu’il importe de faire bien dava</w:t>
      </w:r>
      <w:r>
        <w:t>n</w:t>
      </w:r>
      <w:r>
        <w:t>tage pour concevoir une approche équilibrée des fe</w:t>
      </w:r>
      <w:r>
        <w:t>m</w:t>
      </w:r>
      <w:r>
        <w:t>mes et des ho</w:t>
      </w:r>
      <w:r>
        <w:t>m</w:t>
      </w:r>
      <w:r>
        <w:t>mes et de leur rôle dans la société.</w:t>
      </w:r>
    </w:p>
    <w:p w:rsidR="00AC677C" w:rsidRDefault="00AC677C" w:rsidP="00AC677C">
      <w:pPr>
        <w:pStyle w:val="DualTxt"/>
        <w:numPr>
          <w:ilvl w:val="0"/>
          <w:numId w:val="1"/>
        </w:numPr>
      </w:pPr>
      <w:r>
        <w:t>Alors que la Commission pour l’égalité des cha</w:t>
      </w:r>
      <w:r>
        <w:t>n</w:t>
      </w:r>
      <w:r>
        <w:t>ces dans le domaine du travail et de l’emploi (CITE) connaît des plaintes sur la discrimination, aucun re</w:t>
      </w:r>
      <w:r>
        <w:t>n</w:t>
      </w:r>
      <w:r>
        <w:t>seignement n’a été fourni sur les éventuelles plaintes concernant une discrimination fondée sur le sexe portés devant les tribunaux. Le Centre d’études judiciaires du Ministère de la justice tente de déterminer les raisons pour lesquelles les femmes n’utilisent pas ce recours. Les plaintes doivent être formées en personne ou par des syndicats, mais il n’a fait état d’aucune plainte à ce jour. Le Gouvernement portugais est troublé par ce fait et a tenu une audition publique au sujet de ce pr</w:t>
      </w:r>
      <w:r>
        <w:t>o</w:t>
      </w:r>
      <w:r>
        <w:t>blème. Il a même préparé des brochures et de la doc</w:t>
      </w:r>
      <w:r>
        <w:t>u</w:t>
      </w:r>
      <w:r>
        <w:t>mentation pour sensibiliser les femmes à leurs droits et les inciter à porter plainte devant les tribunaux. Bien que la Commission soit chargée de connaître de toutes les plaintes relatives à la discrimination, dans la prat</w:t>
      </w:r>
      <w:r>
        <w:t>i</w:t>
      </w:r>
      <w:r>
        <w:t>que, la quasi-totalité des plaintes concerne certains aspects relatifs aux prestations de maternité, comme par exemple les salaires non payés pendant les abse</w:t>
      </w:r>
      <w:r>
        <w:t>n</w:t>
      </w:r>
      <w:r>
        <w:t>ces, ou l’absence de prestations, ce qui explique que les pouvoirs publics tendent à mettre l’accent en prior</w:t>
      </w:r>
      <w:r>
        <w:t>i</w:t>
      </w:r>
      <w:r>
        <w:t>té sur l’accroissement du rôle des hommes, encour</w:t>
      </w:r>
      <w:r>
        <w:t>a</w:t>
      </w:r>
      <w:r>
        <w:t>gent les congés et les prestations paternelles sur un pied d’égalité avec les prestations de maternité acco</w:t>
      </w:r>
      <w:r>
        <w:t>r</w:t>
      </w:r>
      <w:r>
        <w:t>dées aux femmes, de telle sorte que les deux sexes soient sur le même plan et que la maternité ne puisse servir d’excuse pour ét</w:t>
      </w:r>
      <w:r>
        <w:t>a</w:t>
      </w:r>
      <w:r>
        <w:t>blir une discrimination à l’encontre des femmes.</w:t>
      </w:r>
    </w:p>
    <w:p w:rsidR="00AC677C" w:rsidRDefault="00AC677C" w:rsidP="00AC677C">
      <w:pPr>
        <w:pStyle w:val="DualTxt"/>
        <w:numPr>
          <w:ilvl w:val="0"/>
          <w:numId w:val="1"/>
        </w:numPr>
      </w:pPr>
      <w:r>
        <w:rPr>
          <w:b/>
        </w:rPr>
        <w:t>Mme Leitão</w:t>
      </w:r>
      <w:r>
        <w:t xml:space="preserve"> (Portugal) dit que, puisqu’il est obligatoire pour les employeurs de demander l’approbation de la Commission pour l’égalité des chances avant de renvoyer une employée pour des m</w:t>
      </w:r>
      <w:r>
        <w:t>o</w:t>
      </w:r>
      <w:r>
        <w:t>tifs liés à la maternité, la plupart des affaires dont la Commission est saisie concernent la maternité. La Commission peut également aborder des problèmes tels que l’accès à l’emploi, les conditions de travail, etc. L’intervenante souligne que si la Commission r</w:t>
      </w:r>
      <w:r>
        <w:t>e</w:t>
      </w:r>
      <w:r>
        <w:t>fuse à un employeur le droit de licencier un employé, seul un tribunal peut annuler cette décision. La Co</w:t>
      </w:r>
      <w:r>
        <w:t>m</w:t>
      </w:r>
      <w:r>
        <w:t>mission émet également des avis concernant la discr</w:t>
      </w:r>
      <w:r>
        <w:t>i</w:t>
      </w:r>
      <w:r>
        <w:t>mination dans les offres d’emploi et répond à une m</w:t>
      </w:r>
      <w:r>
        <w:t>y</w:t>
      </w:r>
      <w:r>
        <w:t>riade de demandes d’information faites par téléphone, courrier ou télécopie. La Commission coopère avec l’Observatoire pour l’égalité dans le cadre des négoci</w:t>
      </w:r>
      <w:r>
        <w:t>a</w:t>
      </w:r>
      <w:r>
        <w:t>tions collect</w:t>
      </w:r>
      <w:r>
        <w:t>i</w:t>
      </w:r>
      <w:r>
        <w:t>ves, pour garantir qu’il soit tenu compte des préoccupations des femmes dans les accords pr</w:t>
      </w:r>
      <w:r>
        <w:t>o</w:t>
      </w:r>
      <w:r>
        <w:t>fessionnels. L’intervenante note également que les st</w:t>
      </w:r>
      <w:r>
        <w:t>a</w:t>
      </w:r>
      <w:r>
        <w:t>tistiques fournies par la délégation portugaise conce</w:t>
      </w:r>
      <w:r>
        <w:t>r</w:t>
      </w:r>
      <w:r>
        <w:t>nent uniquement le secteur privé; la situation des fe</w:t>
      </w:r>
      <w:r>
        <w:t>m</w:t>
      </w:r>
      <w:r>
        <w:t>mes est beaucoup plus positive dans le secteur public.</w:t>
      </w:r>
    </w:p>
    <w:p w:rsidR="00AC677C" w:rsidRDefault="00AC677C" w:rsidP="00AC677C">
      <w:pPr>
        <w:pStyle w:val="DualTxt"/>
        <w:numPr>
          <w:ilvl w:val="0"/>
          <w:numId w:val="1"/>
        </w:numPr>
      </w:pPr>
      <w:r>
        <w:rPr>
          <w:b/>
        </w:rPr>
        <w:t>Mme Pinheiro</w:t>
      </w:r>
      <w:r>
        <w:t xml:space="preserve"> (Portugal) dit que les statistiques relatives aux salaires dépendent des sources et des m</w:t>
      </w:r>
      <w:r>
        <w:t>é</w:t>
      </w:r>
      <w:r>
        <w:t>thodes de collecte. D’après une source, les salaires des femmes représentaient en moyenne 60 % de ceux des hommes en 1998. Toutefois, ce chiffre est nettement plus élevé dans le secteur privé. D’après une autre source, le salaire des femmes dans les secteurs public et privé combinés sont inférieurs de 5 % à ceux des hommes. Les femmes occupent des postes élevés dans l’administration publique et certaines d’entre elles ont des salaires supérieurs à ceux des hommes. Le taux d’emploi des femmes au Portugal est le plus élevé de l’Union européenne, Récemment, il a augmenté plus rapidement que le taux d’emploi des hommes et le Po</w:t>
      </w:r>
      <w:r>
        <w:t>r</w:t>
      </w:r>
      <w:r>
        <w:t>tugal espère donc bientôt atteindre la parité.</w:t>
      </w:r>
    </w:p>
    <w:p w:rsidR="00AC677C" w:rsidRDefault="00AC677C" w:rsidP="00AC677C">
      <w:pPr>
        <w:pStyle w:val="DualTxt"/>
        <w:numPr>
          <w:ilvl w:val="0"/>
          <w:numId w:val="1"/>
        </w:numPr>
      </w:pPr>
      <w:r>
        <w:rPr>
          <w:b/>
        </w:rPr>
        <w:t>Mme do Céu da Cunha Rêgo</w:t>
      </w:r>
      <w:r>
        <w:t xml:space="preserve"> (Portugal) dit que le droit national portugais reconnaît tous les droits pr</w:t>
      </w:r>
      <w:r>
        <w:t>o</w:t>
      </w:r>
      <w:r>
        <w:t>tégés par la Convention et qu’aux termes de la Const</w:t>
      </w:r>
      <w:r>
        <w:t>i</w:t>
      </w:r>
      <w:r>
        <w:t>tution portugaise, tout droit protégé par une loi nati</w:t>
      </w:r>
      <w:r>
        <w:t>o</w:t>
      </w:r>
      <w:r>
        <w:t>nale peut être évalué par les tribunaux. En cons</w:t>
      </w:r>
      <w:r>
        <w:t>é</w:t>
      </w:r>
      <w:r>
        <w:t>quence, la Constitution reconnaît à toutes les personnes droit à protection juridique contre toute forme de di</w:t>
      </w:r>
      <w:r>
        <w:t>s</w:t>
      </w:r>
      <w:r>
        <w:t>crimination, même si ce droit n’a jamais été invoqué devant les tribunaux. Étant donné qu’il n’existe pas de jurisprudence en la matière, le Gouvernement portugais peut uniquement se fonder sur les opinions des e</w:t>
      </w:r>
      <w:r>
        <w:t>m</w:t>
      </w:r>
      <w:r>
        <w:t>ployeurs et des employés. En conséquence, le Portugal réalise des études et des séminaires pour encourager les particuliers à faire valoir leurs droits.</w:t>
      </w:r>
    </w:p>
    <w:p w:rsidR="00AC677C" w:rsidRDefault="00AC677C" w:rsidP="00AC677C">
      <w:pPr>
        <w:pStyle w:val="DualTxt"/>
        <w:numPr>
          <w:ilvl w:val="0"/>
          <w:numId w:val="1"/>
        </w:numPr>
      </w:pPr>
      <w:r>
        <w:t>Dans le cadre de son activité, la Commission pour l’égalité et pour les droits des femmes a élaboré un plan de budgétisation tenant compte de l’équité entre les sexes, dont l’intervenante espère qu’il sera mis en œuvre l’année suivante. La budgétisation soucieuse d’équité entre les sexes est un processus compliqué qui doit être introduit graduellement.</w:t>
      </w:r>
    </w:p>
    <w:p w:rsidR="00AC677C" w:rsidRDefault="00AC677C" w:rsidP="00AC677C">
      <w:pPr>
        <w:pStyle w:val="DualTxt"/>
        <w:numPr>
          <w:ilvl w:val="0"/>
          <w:numId w:val="1"/>
        </w:numPr>
      </w:pPr>
      <w:r>
        <w:t>Au Portugal, sept secrétaires d’État ont participé à la Journée internationale pour l’élimination de la vi</w:t>
      </w:r>
      <w:r>
        <w:t>o</w:t>
      </w:r>
      <w:r>
        <w:t>lence à l’encontre des femmes, conjointement avec des organisations non gouvernementales et d’autres org</w:t>
      </w:r>
      <w:r>
        <w:t>a</w:t>
      </w:r>
      <w:r>
        <w:t>nismes. Ils se sont solennellement engagés à lutter contre cette violence et décidé d’ouvrir dix centres de crise supplémentaires à l’intention des victimes.</w:t>
      </w:r>
    </w:p>
    <w:p w:rsidR="00AC677C" w:rsidRDefault="00AC677C" w:rsidP="00AC677C">
      <w:pPr>
        <w:pStyle w:val="DualTxt"/>
        <w:numPr>
          <w:ilvl w:val="0"/>
          <w:numId w:val="1"/>
        </w:numPr>
      </w:pPr>
      <w:r>
        <w:rPr>
          <w:b/>
        </w:rPr>
        <w:t>Mme Braga de Cruz</w:t>
      </w:r>
      <w:r>
        <w:t xml:space="preserve"> (Portugal) dit que toutes les formes de violence familiale et sexuelle, y compris le trafic des femmes et la mutilation génitale féminine sont considérées comme des violations des droits de la pe</w:t>
      </w:r>
      <w:r>
        <w:t>r</w:t>
      </w:r>
      <w:r>
        <w:t>sonne. Le Gouvernement portugais met au point des projets, conjointement avec des organisations non go</w:t>
      </w:r>
      <w:r>
        <w:t>u</w:t>
      </w:r>
      <w:r>
        <w:t>vernementales et avec l’Union européenne, pour fou</w:t>
      </w:r>
      <w:r>
        <w:t>r</w:t>
      </w:r>
      <w:r>
        <w:t>nir des services d’appui, ouvrir des abris  et mener des campagnes de sensibilisation. Au nombre des progrès législatifs importants, on peut citer la promulgation de lois visant à prot</w:t>
      </w:r>
      <w:r>
        <w:t>é</w:t>
      </w:r>
      <w:r>
        <w:t>ger les victimes de la violence, l’élaboration d’un plan national de lutte contre la vi</w:t>
      </w:r>
      <w:r>
        <w:t>o</w:t>
      </w:r>
      <w:r>
        <w:t>lence à l’égard des femmes, la mise en place d’un r</w:t>
      </w:r>
      <w:r>
        <w:t>é</w:t>
      </w:r>
      <w:r>
        <w:t>seau de centres de crise à l’attention des victimes et la fourniture d’une indemnisation aux victimes. Le Code pénal a été modifié pour stipuler que la violence fam</w:t>
      </w:r>
      <w:r>
        <w:t>i</w:t>
      </w:r>
      <w:r>
        <w:t>liale est un crime contre l’ordre public; il interdit ég</w:t>
      </w:r>
      <w:r>
        <w:t>a</w:t>
      </w:r>
      <w:r>
        <w:t>lement aux délinquants de se trouver à proximité des femmes contre lesquelles ils ont commis un acte de violence.</w:t>
      </w:r>
    </w:p>
    <w:p w:rsidR="00AC677C" w:rsidRDefault="00AC677C" w:rsidP="00AC677C">
      <w:pPr>
        <w:pStyle w:val="DualTxt"/>
        <w:numPr>
          <w:ilvl w:val="0"/>
          <w:numId w:val="1"/>
        </w:numPr>
      </w:pPr>
      <w:r>
        <w:t>On réalise des études sur les coûts sociaux de la violence familiale. La Commission pour l’égalité et pour les droits des femmes a mis en place des services d’assistance téléphonique fonctionnant 24 heures sur 24 à l’intention des victimes. Deux bureaux nationaux leur fournissent une assistance judiciaire, psycholog</w:t>
      </w:r>
      <w:r>
        <w:t>i</w:t>
      </w:r>
      <w:r>
        <w:t>que et sociale et des efforts sont effectués pour enco</w:t>
      </w:r>
      <w:r>
        <w:t>u</w:t>
      </w:r>
      <w:r>
        <w:t>rager les villes à créer des bureaux analogues. D’ici la fin 2002, 100 nouvelles places seront ajoutées aux ce</w:t>
      </w:r>
      <w:r>
        <w:t>n</w:t>
      </w:r>
      <w:r>
        <w:t>tres destinés aux victimes femmes, qui comptent 155 lits. En outre, de nombreux abris non spécialisés i</w:t>
      </w:r>
      <w:r>
        <w:t>m</w:t>
      </w:r>
      <w:r>
        <w:t>plantés dans tout le pays peuvent accueillir 800 autres femmes. La Commission pour l’égalité et pour les droits des femmes dispense au personnel de ces entres une formation concernant la violence à l’égard des femmes.</w:t>
      </w:r>
    </w:p>
    <w:p w:rsidR="00AC677C" w:rsidRDefault="00AC677C" w:rsidP="00AC677C">
      <w:pPr>
        <w:pStyle w:val="DualTxt"/>
        <w:numPr>
          <w:ilvl w:val="0"/>
          <w:numId w:val="1"/>
        </w:numPr>
      </w:pPr>
      <w:r>
        <w:t>En 2000, 150 hommes ont été poursuivis en ju</w:t>
      </w:r>
      <w:r>
        <w:t>s</w:t>
      </w:r>
      <w:r>
        <w:t>tice, dont un grand nombre au motif d’actes de vi</w:t>
      </w:r>
      <w:r>
        <w:t>o</w:t>
      </w:r>
      <w:r>
        <w:t>lence familiale à l’égard des femmes. Certaines affaires font encore l’objet d’enquêtes ou attendent d’être j</w:t>
      </w:r>
      <w:r>
        <w:t>u</w:t>
      </w:r>
      <w:r>
        <w:t>gées. En conséquence, il n’existe pas d’anomalie dans les chiffres.</w:t>
      </w:r>
    </w:p>
    <w:p w:rsidR="00AC677C" w:rsidRDefault="00AC677C" w:rsidP="00AC677C">
      <w:pPr>
        <w:pStyle w:val="DualTxt"/>
        <w:numPr>
          <w:ilvl w:val="0"/>
          <w:numId w:val="1"/>
        </w:numPr>
      </w:pPr>
      <w:r>
        <w:t>Aux termes du Code pénal portugais, l’inceste est un crime lorsqu’il est commis sur un enfant et le fait qu’il soit commis par un membre de la famille const</w:t>
      </w:r>
      <w:r>
        <w:t>i</w:t>
      </w:r>
      <w:r>
        <w:t>tue une circonstance aggravante. Tout citoyen peut po</w:t>
      </w:r>
      <w:r>
        <w:t>r</w:t>
      </w:r>
      <w:r>
        <w:t>ter plainte pour abus et la police est tenue d’enregistrer cette plainte.</w:t>
      </w:r>
    </w:p>
    <w:p w:rsidR="00AC677C" w:rsidRDefault="00AC677C" w:rsidP="00AC677C">
      <w:pPr>
        <w:pStyle w:val="DualTxt"/>
        <w:numPr>
          <w:ilvl w:val="0"/>
          <w:numId w:val="1"/>
        </w:numPr>
      </w:pPr>
      <w:r>
        <w:t>La Commission pour l’égalité et pour les droits des femmes ne ménage aucun effort pour régler les problèmes de la prostitution forcée et du trafic de femmes et des projets sont en cours en vue de former le perso</w:t>
      </w:r>
      <w:r>
        <w:t>n</w:t>
      </w:r>
      <w:r>
        <w:t>nel qui a affaire aux victimes et pour réaliser des études sur les prostituées travaillant dans la rue, dans des maisons et dans des restaurants. En outre, un a</w:t>
      </w:r>
      <w:r>
        <w:t>c</w:t>
      </w:r>
      <w:r>
        <w:t>cord sur le trafic transfrontière entre l’Espagne et le Portugal est à l’examen et un groupe de travail formule des sugge</w:t>
      </w:r>
      <w:r>
        <w:t>s</w:t>
      </w:r>
      <w:r>
        <w:t>tions en vue d’initiatives européennes visant à mettre fin au trafic.</w:t>
      </w:r>
    </w:p>
    <w:p w:rsidR="00AC677C" w:rsidRDefault="00AC677C" w:rsidP="00AC677C">
      <w:pPr>
        <w:pStyle w:val="DualTxt"/>
        <w:numPr>
          <w:ilvl w:val="0"/>
          <w:numId w:val="1"/>
        </w:numPr>
      </w:pPr>
      <w:r>
        <w:t>Le Portugal a signé et diffusé les principaux a</w:t>
      </w:r>
      <w:r>
        <w:t>c</w:t>
      </w:r>
      <w:r>
        <w:t>cords internationaux sur le trafic de femmes ainsi que la Convention relative aux droits de l’enfant. Des pr</w:t>
      </w:r>
      <w:r>
        <w:t>o</w:t>
      </w:r>
      <w:r>
        <w:t>jets sont en cours à Lisbonne et dans la région septe</w:t>
      </w:r>
      <w:r>
        <w:t>n</w:t>
      </w:r>
      <w:r>
        <w:t>trionale et une formation est dispensée au personnel. Malheureusement, on ne dispose pas de statistiques sur le trafic de femmes, plusieurs réseaux de trafic ont r</w:t>
      </w:r>
      <w:r>
        <w:t>é</w:t>
      </w:r>
      <w:r>
        <w:t>cemment été démantelés et jugés par les tribunaux.</w:t>
      </w:r>
    </w:p>
    <w:p w:rsidR="00AC677C" w:rsidRDefault="00AC677C" w:rsidP="00AC677C">
      <w:pPr>
        <w:pStyle w:val="DualTxt"/>
        <w:numPr>
          <w:ilvl w:val="0"/>
          <w:numId w:val="1"/>
        </w:numPr>
      </w:pPr>
      <w:r>
        <w:rPr>
          <w:b/>
        </w:rPr>
        <w:t>Mme Romaninho</w:t>
      </w:r>
      <w:r>
        <w:t xml:space="preserve"> dit qu’une nouvelle loi pr</w:t>
      </w:r>
      <w:r>
        <w:t>o</w:t>
      </w:r>
      <w:r>
        <w:t>mulguée au cours des quatre dernières années a déte</w:t>
      </w:r>
      <w:r>
        <w:t>r</w:t>
      </w:r>
      <w:r>
        <w:t>miné que la violence familiale constitue un délit p</w:t>
      </w:r>
      <w:r>
        <w:t>u</w:t>
      </w:r>
      <w:r>
        <w:t>blic. Ceci est un important fait nouveau parce que, comme l’a signalé le Comité dans sa recommandation générale N</w:t>
      </w:r>
      <w:r>
        <w:rPr>
          <w:vertAlign w:val="superscript"/>
        </w:rPr>
        <w:t>o</w:t>
      </w:r>
      <w:r>
        <w:t> 12, il est essentiel de disposer de statist</w:t>
      </w:r>
      <w:r>
        <w:t>i</w:t>
      </w:r>
      <w:r>
        <w:t>ques sur la violence familiale. De nouvelles directives ont été i</w:t>
      </w:r>
      <w:r>
        <w:t>n</w:t>
      </w:r>
      <w:r>
        <w:t>troduites, aux termes desquelles il convient de spécifier la nature de l’arme utilisée.</w:t>
      </w:r>
    </w:p>
    <w:p w:rsidR="00AC677C" w:rsidRDefault="00AC677C" w:rsidP="00AC677C">
      <w:pPr>
        <w:pStyle w:val="DualTxt"/>
        <w:numPr>
          <w:ilvl w:val="0"/>
          <w:numId w:val="1"/>
        </w:numPr>
      </w:pPr>
      <w:r>
        <w:t>La violence familiale constitue un crime grave et représente 23 % de tous les crimes contre l’intégrité physique commis au Portugal. De fait, 11 % des meu</w:t>
      </w:r>
      <w:r>
        <w:t>r</w:t>
      </w:r>
      <w:r>
        <w:t>tres commis en 2000 concernent des affaires de vi</w:t>
      </w:r>
      <w:r>
        <w:t>o</w:t>
      </w:r>
      <w:r>
        <w:t>lence familiale. Il ressort des nouveaux chiffres que 60 % des affaires de violence familiale concernent des partenaires et 31 % des actes de violence à l’égard d’une personne âgée. Les statistiques se sont améli</w:t>
      </w:r>
      <w:r>
        <w:t>o</w:t>
      </w:r>
      <w:r>
        <w:t>rées et vont être affichées sur un site web officiel, mais il reste encore beaucoup plus à faire.</w:t>
      </w:r>
    </w:p>
    <w:p w:rsidR="00AC677C" w:rsidRDefault="00AC677C" w:rsidP="00AC677C">
      <w:pPr>
        <w:pStyle w:val="DualTxt"/>
        <w:numPr>
          <w:ilvl w:val="0"/>
          <w:numId w:val="1"/>
        </w:numPr>
      </w:pPr>
      <w:r>
        <w:t>Un projet pilote a créé deux unités de polie sp</w:t>
      </w:r>
      <w:r>
        <w:t>é</w:t>
      </w:r>
      <w:r>
        <w:t>cialisées pour s’occuper des victimes de la violence familiale. Des salles petites et confortables ont éé in</w:t>
      </w:r>
      <w:r>
        <w:t>s</w:t>
      </w:r>
      <w:r>
        <w:t>tallées dans les commissariats de police à l’intention des victimes femmes. De plus, plus de 3 500 nouvelles recrues de la police travaillant dans les rues ont reçu une formation concernant l’appui aux victimes et les services en matière de violence familiale. Une brochure contenant la liste des numéros de téléphone de tous les services compétents a été publiée.</w:t>
      </w:r>
    </w:p>
    <w:p w:rsidR="00AC677C" w:rsidRDefault="00AC677C" w:rsidP="00AC677C">
      <w:pPr>
        <w:pStyle w:val="DualTxt"/>
        <w:numPr>
          <w:ilvl w:val="0"/>
          <w:numId w:val="1"/>
        </w:numPr>
      </w:pPr>
      <w:r>
        <w:t>Le règlement de la police a été modifié seulement cinq ans auparavant pour permettre aux femmes de faire pa</w:t>
      </w:r>
      <w:r>
        <w:t>r</w:t>
      </w:r>
      <w:r>
        <w:t>tie du personnel de police. Le personnel de police compte déjà près de 1 400 femmes, dont plus de 200 officiers formées pour s’occuper des femmes vi</w:t>
      </w:r>
      <w:r>
        <w:t>c</w:t>
      </w:r>
      <w:r>
        <w:t>times de la vi</w:t>
      </w:r>
      <w:r>
        <w:t>o</w:t>
      </w:r>
      <w:r>
        <w:t>lence.</w:t>
      </w:r>
    </w:p>
    <w:p w:rsidR="00AC677C" w:rsidRDefault="00AC677C" w:rsidP="00AC677C">
      <w:pPr>
        <w:pStyle w:val="DualTxt"/>
        <w:numPr>
          <w:ilvl w:val="0"/>
          <w:numId w:val="1"/>
        </w:numPr>
      </w:pPr>
      <w:r>
        <w:rPr>
          <w:b/>
        </w:rPr>
        <w:t>Mme do Céu da Cunha Rêgo</w:t>
      </w:r>
      <w:r>
        <w:t xml:space="preserve"> (Portugal) dit que la loi relative au salaire minimum garanti, qui prévoit la fourniture de prestations aux ménages dans le besoin et aux parents de moins de 18 ans, dote les pouvoirs publics d’un nouvel instrument pour lutter contre la féminisation de la pauvreté. Soixante-huit pour cent des 691 000 bénéficiaires du revenu minimum garanti sont des femmes.</w:t>
      </w:r>
    </w:p>
    <w:p w:rsidR="00AC677C" w:rsidRDefault="00AC677C" w:rsidP="00AC677C">
      <w:pPr>
        <w:pStyle w:val="DualTxt"/>
        <w:numPr>
          <w:ilvl w:val="0"/>
          <w:numId w:val="1"/>
        </w:numPr>
      </w:pPr>
      <w:r>
        <w:rPr>
          <w:b/>
        </w:rPr>
        <w:t>Mme Leite</w:t>
      </w:r>
      <w:r>
        <w:t xml:space="preserve"> (Portugal) dit que 50 % des travai</w:t>
      </w:r>
      <w:r>
        <w:t>l</w:t>
      </w:r>
      <w:r>
        <w:t>leurs agricoles sont des femmes et que leur contrib</w:t>
      </w:r>
      <w:r>
        <w:t>u</w:t>
      </w:r>
      <w:r>
        <w:t>tion au secteur agricole est vitale pour le développ</w:t>
      </w:r>
      <w:r>
        <w:t>e</w:t>
      </w:r>
      <w:r>
        <w:t>ment rural. Le Ministère de l’agriculture collabore avec 48 associations locales de développement rural pour concevoir des plans de développement rural compo</w:t>
      </w:r>
      <w:r>
        <w:t>r</w:t>
      </w:r>
      <w:r>
        <w:t>tant obligatoirement un élément égalité entre les sexes, donnant la priorité au projets à l’avantage des femmes. Les groupes locaux peuvent bénéficier d’une base de données informatisée ainsi que d’une assistance tec</w:t>
      </w:r>
      <w:r>
        <w:t>h</w:t>
      </w:r>
      <w:r>
        <w:t>nique.</w:t>
      </w:r>
    </w:p>
    <w:p w:rsidR="00AC677C" w:rsidRDefault="00AC677C" w:rsidP="00AC677C">
      <w:pPr>
        <w:pStyle w:val="DualTxt"/>
        <w:numPr>
          <w:ilvl w:val="0"/>
          <w:numId w:val="1"/>
        </w:numPr>
      </w:pPr>
      <w:r>
        <w:rPr>
          <w:b/>
        </w:rPr>
        <w:t>Mme Gaspard</w:t>
      </w:r>
      <w:r>
        <w:t xml:space="preserve"> souhaite obtenir davantage de renseignements sur la situation de la Convention en droit national, portant notamment sur la sensibilisation générale des pouvoirs publics et de la société civile à ses dispositions et sur sa place dans l’enseignement juridique. Elle demande également si le rapport soumis par le Portugal au Comité a fait l’objet de reportages dans les médias et si la délégation portugaise tiendra une conférence de presse concernant les réactions du Comité. Le rapport constate l’égalité des hommes et des femmes sur les plans juridique et constitutionnel mais, dans le prochain rapport, il serait utile d’avoir dava</w:t>
      </w:r>
      <w:r>
        <w:t>n</w:t>
      </w:r>
      <w:r>
        <w:t>tage de précisions au sujet des incidences de la législation et des programmes, en particulier dans des se</w:t>
      </w:r>
      <w:r>
        <w:t>c</w:t>
      </w:r>
      <w:r>
        <w:t>teurs comme la violence conjugale, la prostitution et le trafic des fe</w:t>
      </w:r>
      <w:r>
        <w:t>m</w:t>
      </w:r>
      <w:r>
        <w:t>mes.</w:t>
      </w:r>
    </w:p>
    <w:p w:rsidR="00AC677C" w:rsidRDefault="00AC677C" w:rsidP="00AC677C">
      <w:pPr>
        <w:pStyle w:val="DualTxt"/>
        <w:numPr>
          <w:ilvl w:val="0"/>
          <w:numId w:val="2"/>
        </w:numPr>
      </w:pPr>
      <w:r>
        <w:t>Le rapport établit une distinction entre prostit</w:t>
      </w:r>
      <w:r>
        <w:t>u</w:t>
      </w:r>
      <w:r>
        <w:t>tion forcée et prostitution volontaire; toutefois, on peut prétendre que toute prostitution est forcée en raison de facteurs sociaux, en particulier la pauvreté. Le pou</w:t>
      </w:r>
      <w:r>
        <w:t>r</w:t>
      </w:r>
      <w:r>
        <w:t>centage élevé de grossesses non désirées indique ég</w:t>
      </w:r>
      <w:r>
        <w:t>a</w:t>
      </w:r>
      <w:r>
        <w:t>lement qu’une éducation en matière de santé de la pr</w:t>
      </w:r>
      <w:r>
        <w:t>o</w:t>
      </w:r>
      <w:r>
        <w:t>création et de contraception est nécessaire.</w:t>
      </w:r>
    </w:p>
    <w:p w:rsidR="00AC677C" w:rsidRDefault="00AC677C" w:rsidP="00AC677C">
      <w:pPr>
        <w:pStyle w:val="DualTxt"/>
        <w:numPr>
          <w:ilvl w:val="0"/>
          <w:numId w:val="2"/>
        </w:numPr>
      </w:pPr>
      <w:r>
        <w:rPr>
          <w:b/>
        </w:rPr>
        <w:t>Mme Acar</w:t>
      </w:r>
      <w:r>
        <w:t xml:space="preserve"> dit que le cadre juridique visant à a</w:t>
      </w:r>
      <w:r>
        <w:t>s</w:t>
      </w:r>
      <w:r>
        <w:t>surer l’égalité entre les sexes existe au Portugal, que la Convention est directement applicable en droit national et que la coopération des pouvoirs publics avec les o</w:t>
      </w:r>
      <w:r>
        <w:t>r</w:t>
      </w:r>
      <w:r>
        <w:t>ganisations non gouvernementales est impressionnante. Toutefois, certaines incohérences demeurent dans les mécanismes nationaux visant à assurer l’égalité, ce dont témoigne l’insuffisance des crédits budgétaires alloués à l’équité entre les sexes. Mme Acar aimerait savoir comment la délégation portugaise évalue la p</w:t>
      </w:r>
      <w:r>
        <w:t>o</w:t>
      </w:r>
      <w:r>
        <w:t>sition des preneurs de décisions hommes sur les droits des femmes et souhaiterait savoir si le climat politique est propice à un examen sérieux des questions d’équité entre les sexes. Elle aimerait savoir si les programmes des partis politiques font état des problèmes d’équité entre les sexes, si des mesures temporaires spéciales sont inscrites dans les programmes politiques et si les nouvelles lois adoptées en mai 2001 ont été intégral</w:t>
      </w:r>
      <w:r>
        <w:t>e</w:t>
      </w:r>
      <w:r>
        <w:t>ment appliquées. Il serait également intéressant de connaitre la ventilation par sexe des nominations pol</w:t>
      </w:r>
      <w:r>
        <w:t>i</w:t>
      </w:r>
      <w:r>
        <w:t>tiques à des postes de haut niveau, ce qui refléterait l’attachement de la direction politique à l’égalité entre les sexes.</w:t>
      </w:r>
    </w:p>
    <w:p w:rsidR="00AC677C" w:rsidRDefault="00AC677C" w:rsidP="00AC677C">
      <w:pPr>
        <w:pStyle w:val="DualTxt"/>
        <w:numPr>
          <w:ilvl w:val="0"/>
          <w:numId w:val="2"/>
        </w:numPr>
      </w:pPr>
      <w:r>
        <w:t>La liberté d’expression ne doit pas servir d’excuse à la violation des droits et il est essentiel de continuer  à  surveiller   les  médias  pour  éliminer  les</w:t>
      </w:r>
    </w:p>
    <w:p w:rsidR="00AC677C" w:rsidRDefault="00AC677C" w:rsidP="00AC677C">
      <w:pPr>
        <w:pStyle w:val="DualTxt"/>
        <w:tabs>
          <w:tab w:val="clear" w:pos="480"/>
        </w:tabs>
      </w:pPr>
      <w:r>
        <w:br w:type="column"/>
        <w:t>stéréotypes sexuels. Mme Acar juge surprenant que le taux d’analphabétisme des femmes soit le double de celui des hommes et souhaiterait savoir ce qui est fait pour remédier à cette situation. Elle aimerait également connaitre des précisions quant à la stratégie adoptée pour combler l’écart entre hommes et femmes en m</w:t>
      </w:r>
      <w:r>
        <w:t>a</w:t>
      </w:r>
      <w:r>
        <w:t>tière d’éducation, écart illustré par les tableaux prése</w:t>
      </w:r>
      <w:r>
        <w:t>n</w:t>
      </w:r>
      <w:r>
        <w:t>tés dans les réponses à la liste des problèmes.</w:t>
      </w:r>
    </w:p>
    <w:p w:rsidR="00AC677C" w:rsidRDefault="00AC677C" w:rsidP="00AC677C">
      <w:pPr>
        <w:pStyle w:val="DualTxt"/>
        <w:numPr>
          <w:ilvl w:val="0"/>
          <w:numId w:val="2"/>
        </w:numPr>
      </w:pPr>
      <w:r>
        <w:rPr>
          <w:b/>
        </w:rPr>
        <w:t>Mme González</w:t>
      </w:r>
      <w:r>
        <w:t xml:space="preserve"> demande si le fait que le nombre de cas de violence familiale enregistré en </w:t>
      </w:r>
      <w:smartTag w:uri="urn:schemas-microsoft-com:office:smarttags" w:element="metricconverter">
        <w:smartTagPr>
          <w:attr w:name="ProductID" w:val="2000 a"/>
        </w:smartTagPr>
        <w:r>
          <w:t>2000 a</w:t>
        </w:r>
      </w:smartTag>
      <w:r>
        <w:t xml:space="preserve"> qui</w:t>
      </w:r>
      <w:r>
        <w:t>n</w:t>
      </w:r>
      <w:r>
        <w:t>tuplé peut être attribué au fait que les plaintes sont e</w:t>
      </w:r>
      <w:r>
        <w:t>n</w:t>
      </w:r>
      <w:r>
        <w:t>couragées ou à d’autres causes. Le rapport ne contient pas de renseignements quant au trafic de jeunes filles et l’intervenante se demande si cela aussi peut être a</w:t>
      </w:r>
      <w:r>
        <w:t>t</w:t>
      </w:r>
      <w:r>
        <w:t>tribué au fait qu’il n’est pas établi de rapports officiels concernant les délits de cet ordre. Il est très important d’aborder la question de la prévention de la pédophilie et de la pornographie infantile. Il faut également disp</w:t>
      </w:r>
      <w:r>
        <w:t>o</w:t>
      </w:r>
      <w:r>
        <w:t>ser de d</w:t>
      </w:r>
      <w:r>
        <w:t>a</w:t>
      </w:r>
      <w:r>
        <w:t>vantage de renseignements à propos du crime qu’est l’inceste. Le prochain rapport devrait compre</w:t>
      </w:r>
      <w:r>
        <w:t>n</w:t>
      </w:r>
      <w:r>
        <w:t>dre des statistiques sur l’alcoolisme et la toxicomanie parmi les jeunes et les femmes, ainsi que des rense</w:t>
      </w:r>
      <w:r>
        <w:t>i</w:t>
      </w:r>
      <w:r>
        <w:t>gnements sur les programmes spéciaux concernant la santé des femmes r</w:t>
      </w:r>
      <w:r>
        <w:t>u</w:t>
      </w:r>
      <w:r>
        <w:t>rales.</w:t>
      </w:r>
    </w:p>
    <w:p w:rsidR="00AC677C" w:rsidRDefault="00AC677C" w:rsidP="00AC677C">
      <w:pPr>
        <w:pStyle w:val="DualTxt"/>
        <w:tabs>
          <w:tab w:val="clear" w:pos="480"/>
        </w:tabs>
        <w:rPr>
          <w:i/>
        </w:rPr>
      </w:pPr>
      <w:r>
        <w:rPr>
          <w:i/>
        </w:rPr>
        <w:t>La séance est levée à 13 heures.</w:t>
      </w:r>
    </w:p>
    <w:p w:rsidR="00AC677C" w:rsidRDefault="00AC677C" w:rsidP="00AC677C">
      <w:pPr>
        <w:pStyle w:val="DualTxt"/>
        <w:tabs>
          <w:tab w:val="clear" w:pos="480"/>
        </w:tabs>
      </w:pPr>
    </w:p>
    <w:p w:rsidR="00EA7E4B" w:rsidRPr="00BA7E73" w:rsidRDefault="00EA7E4B" w:rsidP="00BA7E73">
      <w:pPr>
        <w:pStyle w:val="SingleTxt"/>
      </w:pPr>
    </w:p>
    <w:sectPr w:rsidR="00EA7E4B" w:rsidRPr="00BA7E73">
      <w:endnotePr>
        <w:numFmt w:val="decimal"/>
      </w:endnotePr>
      <w:type w:val="continuous"/>
      <w:pgSz w:w="12240" w:h="15840" w:code="1"/>
      <w:pgMar w:top="1742" w:right="1195" w:bottom="1901" w:left="1195" w:header="576" w:footer="1037" w:gutter="0"/>
      <w:cols w:num="2" w:space="240"/>
      <w:noEndnote/>
      <w:titlePg/>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5-26T11:54:00Z" w:initials="Start">
    <w:p w:rsidR="00BA7E73" w:rsidRPr="00AC677C" w:rsidRDefault="00BA7E73">
      <w:pPr>
        <w:pStyle w:val="CommentText"/>
        <w:rPr>
          <w:lang w:val="en-CA"/>
        </w:rPr>
      </w:pPr>
      <w:r>
        <w:fldChar w:fldCharType="begin"/>
      </w:r>
      <w:r w:rsidRPr="00AC677C">
        <w:rPr>
          <w:rStyle w:val="CommentReference"/>
          <w:lang w:val="en-CA"/>
        </w:rPr>
        <w:instrText xml:space="preserve"> </w:instrText>
      </w:r>
      <w:r w:rsidRPr="00AC677C">
        <w:rPr>
          <w:lang w:val="en-CA"/>
        </w:rPr>
        <w:instrText>PAGE \# "'Page: '#'</w:instrText>
      </w:r>
      <w:r w:rsidRPr="00AC677C">
        <w:rPr>
          <w:lang w:val="en-CA"/>
        </w:rPr>
        <w:br/>
        <w:instrText>'"</w:instrText>
      </w:r>
      <w:r w:rsidRPr="00AC677C">
        <w:rPr>
          <w:rStyle w:val="CommentReference"/>
          <w:lang w:val="en-CA"/>
        </w:rPr>
        <w:instrText xml:space="preserve"> </w:instrText>
      </w:r>
      <w:r>
        <w:fldChar w:fldCharType="end"/>
      </w:r>
      <w:r>
        <w:rPr>
          <w:rStyle w:val="CommentReference"/>
        </w:rPr>
        <w:annotationRef/>
      </w:r>
      <w:r w:rsidRPr="00AC677C">
        <w:rPr>
          <w:lang w:val="en-CA"/>
        </w:rPr>
        <w:t>&lt;&lt;ODS JOB NO&gt;&gt;N0221957F&lt;&lt;ODS JOB NO&gt;&gt;</w:t>
      </w:r>
    </w:p>
    <w:p w:rsidR="00BA7E73" w:rsidRDefault="00BA7E73">
      <w:pPr>
        <w:pStyle w:val="CommentText"/>
      </w:pPr>
      <w:r>
        <w:t>&lt;&lt;ODS DOC SYMBOL1&gt;&gt;CEDAW/C/SR.534&lt;&lt;ODS DOC SYMBOL1&gt;&gt;</w:t>
      </w:r>
    </w:p>
    <w:p w:rsidR="00BA7E73" w:rsidRDefault="00BA7E73">
      <w:pPr>
        <w:pStyle w:val="CommentText"/>
      </w:pPr>
      <w:r>
        <w:t>&lt;&lt;ODS DOC SYMBOL2&gt;&gt;&lt;&lt;ODS DOC SYMBOL2&gt;&gt;</w:t>
      </w:r>
    </w:p>
  </w:comment>
  <w:comment w:id="0" w:author="CMS Installer" w:date="2006-05-26T12:16:00Z" w:initials="CI">
    <w:p w:rsidR="00AC677C" w:rsidRDefault="00AC677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478" w:rsidRDefault="006F4478" w:rsidP="00BA7E73">
      <w:r>
        <w:separator/>
      </w:r>
    </w:p>
  </w:endnote>
  <w:endnote w:type="continuationSeparator" w:id="0">
    <w:p w:rsidR="006F4478" w:rsidRDefault="006F4478" w:rsidP="00BA7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A7E73">
      <w:tblPrEx>
        <w:tblCellMar>
          <w:top w:w="0" w:type="dxa"/>
          <w:bottom w:w="0" w:type="dxa"/>
        </w:tblCellMar>
      </w:tblPrEx>
      <w:tc>
        <w:tcPr>
          <w:tcW w:w="4995" w:type="dxa"/>
          <w:shd w:val="clear" w:color="auto" w:fill="auto"/>
          <w:vAlign w:val="bottom"/>
        </w:tcPr>
        <w:p w:rsidR="00BA7E73" w:rsidRPr="00BA7E73" w:rsidRDefault="00BA7E73" w:rsidP="00BA7E73">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BA7E73" w:rsidRPr="00BA7E73" w:rsidRDefault="00BA7E73" w:rsidP="00BA7E7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C677C">
            <w:rPr>
              <w:b w:val="0"/>
              <w:sz w:val="14"/>
            </w:rPr>
            <w:t>02-21957</w:t>
          </w:r>
          <w:r>
            <w:rPr>
              <w:b w:val="0"/>
              <w:sz w:val="14"/>
            </w:rPr>
            <w:fldChar w:fldCharType="end"/>
          </w:r>
        </w:p>
      </w:tc>
    </w:tr>
  </w:tbl>
  <w:p w:rsidR="00BA7E73" w:rsidRPr="00BA7E73" w:rsidRDefault="00BA7E73" w:rsidP="00BA7E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A7E73">
      <w:tblPrEx>
        <w:tblCellMar>
          <w:top w:w="0" w:type="dxa"/>
          <w:bottom w:w="0" w:type="dxa"/>
        </w:tblCellMar>
      </w:tblPrEx>
      <w:tc>
        <w:tcPr>
          <w:tcW w:w="4995" w:type="dxa"/>
          <w:shd w:val="clear" w:color="auto" w:fill="auto"/>
          <w:vAlign w:val="bottom"/>
        </w:tcPr>
        <w:p w:rsidR="00BA7E73" w:rsidRPr="00BA7E73" w:rsidRDefault="00BA7E73" w:rsidP="00BA7E7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C677C">
            <w:rPr>
              <w:b w:val="0"/>
              <w:sz w:val="14"/>
            </w:rPr>
            <w:t>02-21957</w:t>
          </w:r>
          <w:r>
            <w:rPr>
              <w:b w:val="0"/>
              <w:sz w:val="14"/>
            </w:rPr>
            <w:fldChar w:fldCharType="end"/>
          </w:r>
        </w:p>
      </w:tc>
      <w:tc>
        <w:tcPr>
          <w:tcW w:w="4995" w:type="dxa"/>
          <w:shd w:val="clear" w:color="auto" w:fill="auto"/>
          <w:vAlign w:val="bottom"/>
        </w:tcPr>
        <w:p w:rsidR="00BA7E73" w:rsidRPr="00BA7E73" w:rsidRDefault="00BA7E73" w:rsidP="00BA7E73">
          <w:pPr>
            <w:pStyle w:val="Footer"/>
            <w:jc w:val="right"/>
          </w:pPr>
          <w:r>
            <w:fldChar w:fldCharType="begin"/>
          </w:r>
          <w:r>
            <w:instrText xml:space="preserve"> PAGE  \* MERGEFORMAT </w:instrText>
          </w:r>
          <w:r>
            <w:fldChar w:fldCharType="separate"/>
          </w:r>
          <w:r w:rsidR="00AC677C">
            <w:t>7</w:t>
          </w:r>
          <w:r>
            <w:fldChar w:fldCharType="end"/>
          </w:r>
        </w:p>
      </w:tc>
    </w:tr>
  </w:tbl>
  <w:p w:rsidR="00BA7E73" w:rsidRPr="00BA7E73" w:rsidRDefault="00BA7E73" w:rsidP="00BA7E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73" w:rsidRDefault="00BA7E73">
    <w:pPr>
      <w:pStyle w:val="Footer"/>
    </w:pPr>
  </w:p>
  <w:p w:rsidR="00BA7E73" w:rsidRDefault="00BA7E73" w:rsidP="00BA7E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C677C">
      <w:rPr>
        <w:b w:val="0"/>
        <w:sz w:val="20"/>
      </w:rPr>
      <w:t>02-21957 (F)</w:t>
    </w:r>
    <w:r>
      <w:rPr>
        <w:b w:val="0"/>
        <w:sz w:val="20"/>
      </w:rPr>
      <w:fldChar w:fldCharType="end"/>
    </w:r>
  </w:p>
  <w:p w:rsidR="00BA7E73" w:rsidRPr="00BA7E73" w:rsidRDefault="00BA7E73" w:rsidP="00BA7E7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C677C">
      <w:rPr>
        <w:rFonts w:ascii="Barcode 3 of 9 by request" w:hAnsi="Barcode 3 of 9 by request"/>
        <w:b w:val="0"/>
        <w:spacing w:val="0"/>
        <w:w w:val="100"/>
        <w:sz w:val="24"/>
      </w:rPr>
      <w:t>*0221957*</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6" w:type="dxa"/>
      <w:tblBorders>
        <w:insideH w:val="single" w:sz="4" w:space="0" w:color="auto"/>
      </w:tblBorders>
      <w:tblLayout w:type="fixed"/>
      <w:tblLook w:val="0000" w:firstRow="0" w:lastRow="0" w:firstColumn="0" w:lastColumn="0" w:noHBand="0" w:noVBand="0"/>
    </w:tblPr>
    <w:tblGrid>
      <w:gridCol w:w="5033"/>
      <w:gridCol w:w="5033"/>
    </w:tblGrid>
    <w:tr w:rsidR="00AC677C">
      <w:tblPrEx>
        <w:tblCellMar>
          <w:top w:w="0" w:type="dxa"/>
          <w:bottom w:w="0" w:type="dxa"/>
        </w:tblCellMar>
      </w:tblPrEx>
      <w:tc>
        <w:tcPr>
          <w:tcW w:w="5033" w:type="dxa"/>
          <w:vAlign w:val="bottom"/>
        </w:tcPr>
        <w:p w:rsidR="00AC677C" w:rsidRDefault="00AC677C">
          <w:pPr>
            <w:pStyle w:val="Footer"/>
            <w:jc w:val="right"/>
            <w:rPr>
              <w:rFonts w:ascii="Courier New" w:hAnsi="Courier New"/>
              <w:b w:val="0"/>
              <w:sz w:val="20"/>
            </w:rPr>
          </w:pPr>
        </w:p>
      </w:tc>
      <w:tc>
        <w:tcPr>
          <w:tcW w:w="5033" w:type="dxa"/>
          <w:vAlign w:val="bottom"/>
        </w:tcPr>
        <w:p w:rsidR="00AC677C" w:rsidRDefault="00AC677C">
          <w:pPr>
            <w:pStyle w:val="Footer"/>
            <w:jc w:val="right"/>
            <w:rPr>
              <w:rFonts w:ascii="Courier New" w:hAnsi="Courier New"/>
              <w:b w:val="0"/>
              <w:sz w:val="20"/>
            </w:rPr>
          </w:pPr>
        </w:p>
      </w:tc>
    </w:tr>
  </w:tbl>
  <w:p w:rsidR="00AC677C" w:rsidRDefault="00AC677C">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77C" w:rsidRDefault="00AC677C">
    <w:pPr>
      <w:spacing w:before="60" w:line="200" w:lineRule="exact"/>
      <w:rPr>
        <w:rFonts w:ascii="Code 3of9 4.6" w:hAnsi="Code 3of9 4.6"/>
        <w:b/>
        <w:w w:val="100"/>
      </w:rPr>
    </w:pPr>
    <w:r>
      <w:rPr>
        <w:rFonts w:ascii="Code 3of9 4.6" w:hAnsi="Code 3of9 4.6"/>
        <w:b/>
        <w:w w:val="10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478" w:rsidRDefault="006F4478" w:rsidP="00BA7E73">
      <w:r>
        <w:separator/>
      </w:r>
    </w:p>
  </w:footnote>
  <w:footnote w:type="continuationSeparator" w:id="0">
    <w:p w:rsidR="006F4478" w:rsidRDefault="006F4478" w:rsidP="00BA7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A7E73">
      <w:tblPrEx>
        <w:tblCellMar>
          <w:top w:w="0" w:type="dxa"/>
          <w:bottom w:w="0" w:type="dxa"/>
        </w:tblCellMar>
      </w:tblPrEx>
      <w:trPr>
        <w:trHeight w:hRule="exact" w:val="864"/>
      </w:trPr>
      <w:tc>
        <w:tcPr>
          <w:tcW w:w="4838" w:type="dxa"/>
          <w:shd w:val="clear" w:color="auto" w:fill="auto"/>
          <w:vAlign w:val="bottom"/>
        </w:tcPr>
        <w:p w:rsidR="00BA7E73" w:rsidRPr="00BA7E73" w:rsidRDefault="00BA7E73" w:rsidP="00BA7E73">
          <w:pPr>
            <w:pStyle w:val="Header"/>
            <w:spacing w:after="80"/>
            <w:rPr>
              <w:b/>
            </w:rPr>
          </w:pPr>
          <w:r>
            <w:rPr>
              <w:b/>
            </w:rPr>
            <w:fldChar w:fldCharType="begin"/>
          </w:r>
          <w:r>
            <w:rPr>
              <w:b/>
            </w:rPr>
            <w:instrText xml:space="preserve"> DOCVARIABLE "sss1" \* MERGEFORMAT </w:instrText>
          </w:r>
          <w:r>
            <w:rPr>
              <w:b/>
            </w:rPr>
            <w:fldChar w:fldCharType="separate"/>
          </w:r>
          <w:r w:rsidR="00AC677C">
            <w:rPr>
              <w:b/>
            </w:rPr>
            <w:t>CEDAW/C/SR.534</w:t>
          </w:r>
          <w:r>
            <w:rPr>
              <w:b/>
            </w:rPr>
            <w:fldChar w:fldCharType="end"/>
          </w:r>
        </w:p>
      </w:tc>
      <w:tc>
        <w:tcPr>
          <w:tcW w:w="4995" w:type="dxa"/>
          <w:shd w:val="clear" w:color="auto" w:fill="auto"/>
          <w:vAlign w:val="bottom"/>
        </w:tcPr>
        <w:p w:rsidR="00BA7E73" w:rsidRDefault="00BA7E73" w:rsidP="00BA7E73">
          <w:pPr>
            <w:pStyle w:val="Header"/>
          </w:pPr>
        </w:p>
      </w:tc>
    </w:tr>
  </w:tbl>
  <w:p w:rsidR="00BA7E73" w:rsidRPr="00BA7E73" w:rsidRDefault="00BA7E73" w:rsidP="00BA7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A7E73">
      <w:tblPrEx>
        <w:tblCellMar>
          <w:top w:w="0" w:type="dxa"/>
          <w:bottom w:w="0" w:type="dxa"/>
        </w:tblCellMar>
      </w:tblPrEx>
      <w:trPr>
        <w:trHeight w:hRule="exact" w:val="864"/>
      </w:trPr>
      <w:tc>
        <w:tcPr>
          <w:tcW w:w="4838" w:type="dxa"/>
          <w:shd w:val="clear" w:color="auto" w:fill="auto"/>
          <w:vAlign w:val="bottom"/>
        </w:tcPr>
        <w:p w:rsidR="00BA7E73" w:rsidRDefault="00BA7E73" w:rsidP="00BA7E73">
          <w:pPr>
            <w:pStyle w:val="Header"/>
          </w:pPr>
        </w:p>
      </w:tc>
      <w:tc>
        <w:tcPr>
          <w:tcW w:w="4995" w:type="dxa"/>
          <w:shd w:val="clear" w:color="auto" w:fill="auto"/>
          <w:vAlign w:val="bottom"/>
        </w:tcPr>
        <w:p w:rsidR="00BA7E73" w:rsidRPr="00BA7E73" w:rsidRDefault="00BA7E73" w:rsidP="00BA7E73">
          <w:pPr>
            <w:pStyle w:val="Header"/>
            <w:spacing w:after="80"/>
            <w:jc w:val="right"/>
            <w:rPr>
              <w:b/>
            </w:rPr>
          </w:pPr>
          <w:r>
            <w:rPr>
              <w:b/>
            </w:rPr>
            <w:fldChar w:fldCharType="begin"/>
          </w:r>
          <w:r>
            <w:rPr>
              <w:b/>
            </w:rPr>
            <w:instrText xml:space="preserve"> DOCVARIABLE "sss1" \* MERGEFORMAT </w:instrText>
          </w:r>
          <w:r>
            <w:rPr>
              <w:b/>
            </w:rPr>
            <w:fldChar w:fldCharType="separate"/>
          </w:r>
          <w:r w:rsidR="00AC677C">
            <w:rPr>
              <w:b/>
            </w:rPr>
            <w:t>CEDAW/C/SR.534</w:t>
          </w:r>
          <w:r>
            <w:rPr>
              <w:b/>
            </w:rPr>
            <w:fldChar w:fldCharType="end"/>
          </w:r>
        </w:p>
      </w:tc>
    </w:tr>
  </w:tbl>
  <w:p w:rsidR="00BA7E73" w:rsidRPr="00BA7E73" w:rsidRDefault="00BA7E73" w:rsidP="00BA7E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A7E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A7E73" w:rsidRDefault="00BA7E73" w:rsidP="00BA7E73">
          <w:pPr>
            <w:pStyle w:val="Header"/>
            <w:spacing w:after="120"/>
          </w:pPr>
        </w:p>
      </w:tc>
      <w:tc>
        <w:tcPr>
          <w:tcW w:w="1872" w:type="dxa"/>
          <w:tcBorders>
            <w:bottom w:val="single" w:sz="4" w:space="0" w:color="auto"/>
          </w:tcBorders>
          <w:shd w:val="clear" w:color="auto" w:fill="auto"/>
          <w:vAlign w:val="bottom"/>
        </w:tcPr>
        <w:p w:rsidR="00BA7E73" w:rsidRPr="00BA7E73" w:rsidRDefault="00BA7E73" w:rsidP="00BA7E7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A7E73" w:rsidRDefault="00BA7E73" w:rsidP="00BA7E73">
          <w:pPr>
            <w:pStyle w:val="Header"/>
            <w:spacing w:after="120"/>
          </w:pPr>
        </w:p>
      </w:tc>
      <w:tc>
        <w:tcPr>
          <w:tcW w:w="6523" w:type="dxa"/>
          <w:gridSpan w:val="3"/>
          <w:tcBorders>
            <w:bottom w:val="single" w:sz="4" w:space="0" w:color="auto"/>
          </w:tcBorders>
          <w:shd w:val="clear" w:color="auto" w:fill="auto"/>
          <w:vAlign w:val="bottom"/>
        </w:tcPr>
        <w:p w:rsidR="00BA7E73" w:rsidRPr="00BA7E73" w:rsidRDefault="00BA7E73" w:rsidP="00BA7E73">
          <w:pPr>
            <w:spacing w:after="80" w:line="240" w:lineRule="auto"/>
            <w:jc w:val="right"/>
            <w:rPr>
              <w:position w:val="-4"/>
            </w:rPr>
          </w:pPr>
          <w:r>
            <w:rPr>
              <w:position w:val="-4"/>
              <w:sz w:val="40"/>
            </w:rPr>
            <w:t>CEDAW</w:t>
          </w:r>
          <w:r>
            <w:rPr>
              <w:position w:val="-4"/>
            </w:rPr>
            <w:t>/C/SR.534</w:t>
          </w:r>
        </w:p>
      </w:tc>
    </w:tr>
    <w:tr w:rsidR="00BA7E73" w:rsidRPr="00BA7E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A7E73" w:rsidRDefault="00BA7E73" w:rsidP="00BA7E7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A7E73" w:rsidRPr="00BA7E73" w:rsidRDefault="00BA7E73" w:rsidP="00BA7E73">
          <w:pPr>
            <w:pStyle w:val="Header"/>
            <w:spacing w:before="880"/>
            <w:ind w:left="-72"/>
          </w:pPr>
        </w:p>
      </w:tc>
      <w:tc>
        <w:tcPr>
          <w:tcW w:w="5227" w:type="dxa"/>
          <w:gridSpan w:val="3"/>
          <w:tcBorders>
            <w:top w:val="single" w:sz="4" w:space="0" w:color="auto"/>
            <w:bottom w:val="single" w:sz="12" w:space="0" w:color="auto"/>
          </w:tcBorders>
          <w:shd w:val="clear" w:color="auto" w:fill="auto"/>
        </w:tcPr>
        <w:p w:rsidR="00BA7E73" w:rsidRPr="00BA7E73" w:rsidRDefault="00BA7E73" w:rsidP="00BA7E7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A7E73" w:rsidRPr="00AC677C" w:rsidRDefault="00BA7E73" w:rsidP="00BA7E7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A7E73" w:rsidRDefault="00BA7E73" w:rsidP="00BA7E73">
          <w:pPr>
            <w:spacing w:before="240"/>
          </w:pPr>
          <w:r>
            <w:t>Distr. générale</w:t>
          </w:r>
        </w:p>
        <w:p w:rsidR="00BA7E73" w:rsidRDefault="00BA7E73" w:rsidP="00BA7E73">
          <w:r>
            <w:t>30 janvier 2002</w:t>
          </w:r>
        </w:p>
        <w:p w:rsidR="00BA7E73" w:rsidRDefault="00BA7E73" w:rsidP="00BA7E73">
          <w:r>
            <w:t>Français</w:t>
          </w:r>
        </w:p>
        <w:p w:rsidR="00BA7E73" w:rsidRPr="00BA7E73" w:rsidRDefault="00BA7E73" w:rsidP="00BA7E73">
          <w:r>
            <w:t>Original : anglais</w:t>
          </w:r>
        </w:p>
      </w:tc>
    </w:tr>
  </w:tbl>
  <w:p w:rsidR="00BA7E73" w:rsidRPr="00AC677C" w:rsidRDefault="00BA7E73" w:rsidP="00BA7E73">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07"/>
    </w:tblGrid>
    <w:tr w:rsidR="00AC677C">
      <w:tblPrEx>
        <w:tblCellMar>
          <w:top w:w="0" w:type="dxa"/>
          <w:left w:w="0" w:type="dxa"/>
          <w:bottom w:w="0" w:type="dxa"/>
          <w:right w:w="0" w:type="dxa"/>
        </w:tblCellMar>
      </w:tblPrEx>
      <w:trPr>
        <w:trHeight w:hRule="exact" w:val="864"/>
      </w:trPr>
      <w:tc>
        <w:tcPr>
          <w:tcW w:w="9907" w:type="dxa"/>
          <w:tcBorders>
            <w:top w:val="nil"/>
            <w:left w:val="nil"/>
            <w:bottom w:val="nil"/>
            <w:right w:val="nil"/>
          </w:tcBorders>
          <w:vAlign w:val="bottom"/>
        </w:tcPr>
        <w:p w:rsidR="00AC677C" w:rsidRDefault="00AC677C">
          <w:pPr>
            <w:spacing w:after="80" w:line="240" w:lineRule="auto"/>
            <w:jc w:val="right"/>
            <w:rPr>
              <w:position w:val="-4"/>
            </w:rPr>
          </w:pPr>
        </w:p>
      </w:tc>
    </w:tr>
  </w:tbl>
  <w:p w:rsidR="00AC677C" w:rsidRDefault="00AC677C">
    <w:pPr>
      <w:pStyle w:val="Header"/>
      <w:spacing w:line="240" w:lineRule="auto"/>
      <w:rPr>
        <w:sz w:val="2"/>
        <w:lang w:val="fr-FR"/>
      </w:rPr>
    </w:pPr>
    <w:r>
      <w:rPr>
        <w:sz w:val="2"/>
        <w:lang w:val="fr-F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109A"/>
    <w:multiLevelType w:val="singleLevel"/>
    <w:tmpl w:val="0268CDAE"/>
    <w:lvl w:ilvl="0">
      <w:start w:val="32"/>
      <w:numFmt w:val="decimal"/>
      <w:lvlRestart w:val="0"/>
      <w:lvlText w:val="%1."/>
      <w:lvlJc w:val="left"/>
      <w:pPr>
        <w:tabs>
          <w:tab w:val="num" w:pos="475"/>
        </w:tabs>
        <w:ind w:left="0" w:firstLine="0"/>
      </w:pPr>
      <w:rPr>
        <w:w w:val="100"/>
      </w:rPr>
    </w:lvl>
  </w:abstractNum>
  <w:abstractNum w:abstractNumId="1">
    <w:nsid w:val="45324376"/>
    <w:multiLevelType w:val="singleLevel"/>
    <w:tmpl w:val="89EC9450"/>
    <w:lvl w:ilvl="0">
      <w:start w:val="1"/>
      <w:numFmt w:val="decimal"/>
      <w:lvlRestart w:val="0"/>
      <w:lvlText w:val="%1."/>
      <w:lvlJc w:val="left"/>
      <w:pPr>
        <w:tabs>
          <w:tab w:val="num" w:pos="475"/>
        </w:tabs>
        <w:ind w:left="0" w:firstLine="0"/>
      </w:pPr>
      <w:rPr>
        <w:b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1957*"/>
    <w:docVar w:name="CreationDt" w:val="26/05/2006 11:54:39"/>
    <w:docVar w:name="DocCategory" w:val="Doc"/>
    <w:docVar w:name="DocType" w:val="Final"/>
    <w:docVar w:name="FooterJN" w:val="02-21957"/>
    <w:docVar w:name="jobn" w:val="02-21957 (F)"/>
    <w:docVar w:name="jobnDT" w:val="02-21957 (F)   260506"/>
    <w:docVar w:name="jobnDTDT" w:val="02-21957 (F)   260506   260506"/>
    <w:docVar w:name="JobNo" w:val="0221957F"/>
    <w:docVar w:name="OandT" w:val="CL"/>
    <w:docVar w:name="sss1" w:val="CEDAW/C/SR.534"/>
    <w:docVar w:name="sss2" w:val="-"/>
    <w:docVar w:name="Symbol1" w:val="CEDAW/C/SR.534"/>
    <w:docVar w:name="Symbol2" w:val="-"/>
  </w:docVars>
  <w:rsids>
    <w:rsidRoot w:val="00410A80"/>
    <w:rsid w:val="00002445"/>
    <w:rsid w:val="00055923"/>
    <w:rsid w:val="00204E19"/>
    <w:rsid w:val="00227EFF"/>
    <w:rsid w:val="00240AE5"/>
    <w:rsid w:val="00260CFC"/>
    <w:rsid w:val="00284A1E"/>
    <w:rsid w:val="0031111A"/>
    <w:rsid w:val="0032503C"/>
    <w:rsid w:val="003B567E"/>
    <w:rsid w:val="003D4038"/>
    <w:rsid w:val="00410A80"/>
    <w:rsid w:val="00424821"/>
    <w:rsid w:val="00482F1C"/>
    <w:rsid w:val="00556043"/>
    <w:rsid w:val="00585EB4"/>
    <w:rsid w:val="005E1FA2"/>
    <w:rsid w:val="005F3FE9"/>
    <w:rsid w:val="00605D82"/>
    <w:rsid w:val="006F4266"/>
    <w:rsid w:val="006F4478"/>
    <w:rsid w:val="007A10E6"/>
    <w:rsid w:val="009121F6"/>
    <w:rsid w:val="00A47D27"/>
    <w:rsid w:val="00A8254D"/>
    <w:rsid w:val="00AC677C"/>
    <w:rsid w:val="00B3035A"/>
    <w:rsid w:val="00BA7E73"/>
    <w:rsid w:val="00C66C4D"/>
    <w:rsid w:val="00CC43BD"/>
    <w:rsid w:val="00DA09CD"/>
    <w:rsid w:val="00E535AD"/>
    <w:rsid w:val="00EA7E4B"/>
    <w:rsid w:val="00EB37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DA09CD"/>
    <w:pPr>
      <w:widowControl w:val="0"/>
      <w:tabs>
        <w:tab w:val="right" w:pos="418"/>
      </w:tabs>
      <w:suppressAutoHyphens/>
      <w:spacing w:line="240" w:lineRule="auto"/>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A7E73"/>
  </w:style>
  <w:style w:type="paragraph" w:styleId="CommentSubject">
    <w:name w:val="annotation subject"/>
    <w:basedOn w:val="CommentText"/>
    <w:next w:val="CommentText"/>
    <w:semiHidden/>
    <w:rsid w:val="00BA7E73"/>
    <w:rPr>
      <w:b/>
      <w:bCs/>
    </w:rPr>
  </w:style>
  <w:style w:type="paragraph" w:styleId="BalloonText">
    <w:name w:val="Balloon Text"/>
    <w:basedOn w:val="Normal"/>
    <w:semiHidden/>
    <w:rsid w:val="00BA7E73"/>
    <w:rPr>
      <w:rFonts w:ascii="Tahoma" w:hAnsi="Tahoma" w:cs="Tahoma"/>
      <w:sz w:val="16"/>
      <w:szCs w:val="16"/>
    </w:rPr>
  </w:style>
  <w:style w:type="character" w:styleId="PageNumber">
    <w:name w:val="page number"/>
    <w:basedOn w:val="DefaultParagraphFont"/>
    <w:rsid w:val="00AC6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4286</Words>
  <Characters>23189</Characters>
  <Application>Microsoft Office Word</Application>
  <DocSecurity>4</DocSecurity>
  <Lines>565</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cp:lastPrinted>2006-05-26T11:15:00Z</cp:lastPrinted>
  <dcterms:created xsi:type="dcterms:W3CDTF">2006-05-26T10:53:00Z</dcterms:created>
  <dcterms:modified xsi:type="dcterms:W3CDTF">2006-05-26T11:16:00Z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0221957</vt:lpwstr>
  </property>
  <property fmtid="{D5CDD505-2E9C-101B-9397-08002B2CF9AE}" pid="3" name="Symbol1">
    <vt:lpwstr>CEDAW/C/SR.534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vt:lpwstr>
  </property>
</Properties>
</file>