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D84D94">
        <w:trPr>
          <w:trHeight w:hRule="exact" w:val="851"/>
        </w:trPr>
        <w:tc>
          <w:tcPr>
            <w:tcW w:w="1280" w:type="dxa"/>
            <w:tcBorders>
              <w:bottom w:val="single" w:sz="4" w:space="0" w:color="auto"/>
            </w:tcBorders>
          </w:tcPr>
          <w:p w:rsidR="00D84D94" w:rsidRDefault="00D84D94">
            <w:pPr>
              <w:rPr>
                <w:rFonts w:hint="eastAsia"/>
              </w:rPr>
            </w:pPr>
          </w:p>
        </w:tc>
        <w:tc>
          <w:tcPr>
            <w:tcW w:w="2273" w:type="dxa"/>
            <w:tcBorders>
              <w:bottom w:val="single" w:sz="4" w:space="0" w:color="auto"/>
            </w:tcBorders>
            <w:vAlign w:val="bottom"/>
          </w:tcPr>
          <w:p w:rsidR="00D84D94" w:rsidRDefault="00D84D94">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D84D94" w:rsidRDefault="00D84D94">
            <w:pPr>
              <w:spacing w:line="240" w:lineRule="atLeast"/>
              <w:jc w:val="right"/>
              <w:rPr>
                <w:szCs w:val="21"/>
              </w:rPr>
            </w:pPr>
            <w:r>
              <w:rPr>
                <w:sz w:val="40"/>
                <w:szCs w:val="40"/>
              </w:rPr>
              <w:t>CRPD</w:t>
            </w:r>
            <w:r>
              <w:rPr>
                <w:sz w:val="20"/>
              </w:rPr>
              <w:t>/C</w:t>
            </w:r>
            <w:r>
              <w:rPr>
                <w:rFonts w:hint="eastAsia"/>
                <w:sz w:val="20"/>
              </w:rPr>
              <w:t>/</w:t>
            </w:r>
            <w:r>
              <w:rPr>
                <w:sz w:val="20"/>
              </w:rPr>
              <w:t>DNK/1</w:t>
            </w:r>
          </w:p>
        </w:tc>
      </w:tr>
      <w:tr w:rsidR="00D84D94">
        <w:trPr>
          <w:trHeight w:hRule="exact" w:val="2835"/>
        </w:trPr>
        <w:tc>
          <w:tcPr>
            <w:tcW w:w="1280" w:type="dxa"/>
            <w:tcBorders>
              <w:top w:val="single" w:sz="4" w:space="0" w:color="auto"/>
              <w:bottom w:val="single" w:sz="12" w:space="0" w:color="auto"/>
            </w:tcBorders>
          </w:tcPr>
          <w:p w:rsidR="00D84D94" w:rsidRDefault="00D84D94">
            <w:pPr>
              <w:spacing w:line="120" w:lineRule="atLeast"/>
              <w:rPr>
                <w:sz w:val="10"/>
                <w:szCs w:val="10"/>
              </w:rPr>
            </w:pPr>
          </w:p>
          <w:p w:rsidR="00D84D94" w:rsidRDefault="00D84D94">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D84D94" w:rsidRDefault="00D84D94">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D84D94" w:rsidRDefault="00D84D94">
            <w:pPr>
              <w:spacing w:before="240" w:line="240" w:lineRule="atLeast"/>
              <w:rPr>
                <w:sz w:val="20"/>
              </w:rPr>
            </w:pPr>
            <w:r>
              <w:rPr>
                <w:sz w:val="20"/>
              </w:rPr>
              <w:t>Distr.: General</w:t>
            </w:r>
          </w:p>
          <w:p w:rsidR="00D84D94" w:rsidRDefault="00D84D94">
            <w:pPr>
              <w:spacing w:line="240" w:lineRule="atLeast"/>
              <w:rPr>
                <w:sz w:val="20"/>
              </w:rPr>
            </w:pPr>
            <w:r>
              <w:rPr>
                <w:sz w:val="20"/>
              </w:rPr>
              <w:t>7 May 20</w:t>
            </w:r>
            <w:r>
              <w:rPr>
                <w:rFonts w:hint="eastAsia"/>
                <w:sz w:val="20"/>
              </w:rPr>
              <w:t>1</w:t>
            </w:r>
            <w:r>
              <w:rPr>
                <w:sz w:val="20"/>
              </w:rPr>
              <w:t>3</w:t>
            </w:r>
          </w:p>
          <w:p w:rsidR="00D84D94" w:rsidRDefault="00D84D94">
            <w:pPr>
              <w:spacing w:line="240" w:lineRule="atLeast"/>
              <w:rPr>
                <w:sz w:val="20"/>
              </w:rPr>
            </w:pPr>
            <w:r>
              <w:rPr>
                <w:sz w:val="20"/>
              </w:rPr>
              <w:t>Chinese</w:t>
            </w:r>
          </w:p>
          <w:p w:rsidR="00D84D94" w:rsidRDefault="00D84D94">
            <w:pPr>
              <w:spacing w:line="240" w:lineRule="atLeast"/>
              <w:rPr>
                <w:rFonts w:hint="eastAsia"/>
                <w:sz w:val="20"/>
              </w:rPr>
            </w:pPr>
            <w:r>
              <w:rPr>
                <w:sz w:val="20"/>
              </w:rPr>
              <w:t xml:space="preserve">Original: </w:t>
            </w:r>
            <w:r w:rsidR="00CC3894">
              <w:rPr>
                <w:sz w:val="20"/>
              </w:rPr>
              <w:t>English</w:t>
            </w:r>
          </w:p>
        </w:tc>
      </w:tr>
    </w:tbl>
    <w:p w:rsidR="00D84D94" w:rsidRDefault="00D84D94">
      <w:pPr>
        <w:spacing w:before="120"/>
        <w:rPr>
          <w:rFonts w:eastAsia="SimHei" w:hint="eastAsia"/>
          <w:sz w:val="24"/>
          <w:szCs w:val="24"/>
          <w:lang w:val="fr-CH"/>
        </w:rPr>
      </w:pPr>
      <w:r>
        <w:rPr>
          <w:rFonts w:eastAsia="SimHei" w:hint="eastAsia"/>
          <w:sz w:val="24"/>
          <w:szCs w:val="24"/>
          <w:lang w:val="fr-CH"/>
        </w:rPr>
        <w:t>残疾人权利委员会</w:t>
      </w:r>
    </w:p>
    <w:p w:rsidR="00D84D94" w:rsidRDefault="00D84D94">
      <w:pPr>
        <w:pStyle w:val="HMGC"/>
        <w:rPr>
          <w:lang w:val="en-GB"/>
        </w:rPr>
      </w:pPr>
      <w:r>
        <w:rPr>
          <w:rFonts w:hint="eastAsia"/>
          <w:lang w:val="en-GB"/>
        </w:rPr>
        <w:tab/>
      </w:r>
      <w:r>
        <w:rPr>
          <w:rFonts w:hint="eastAsia"/>
          <w:lang w:val="en-GB"/>
        </w:rPr>
        <w:tab/>
      </w:r>
      <w:r>
        <w:rPr>
          <w:rFonts w:hint="eastAsia"/>
          <w:lang w:val="en-GB"/>
        </w:rPr>
        <w:t>审议缔约国按照《公约》第三十五条提交的报告</w:t>
      </w:r>
    </w:p>
    <w:p w:rsidR="00D84D94" w:rsidRDefault="00D84D94">
      <w:pPr>
        <w:pStyle w:val="HChGC"/>
        <w:rPr>
          <w:lang w:val="en-GB"/>
        </w:rPr>
      </w:pPr>
      <w:r>
        <w:rPr>
          <w:rFonts w:hint="eastAsia"/>
          <w:lang w:val="en-GB"/>
        </w:rPr>
        <w:tab/>
      </w:r>
      <w:r>
        <w:rPr>
          <w:rFonts w:hint="eastAsia"/>
          <w:lang w:val="en-GB"/>
        </w:rPr>
        <w:tab/>
      </w:r>
      <w:r>
        <w:rPr>
          <w:rFonts w:hint="eastAsia"/>
          <w:lang w:val="en-GB"/>
        </w:rPr>
        <w:t>缔约国的初次报告</w:t>
      </w:r>
    </w:p>
    <w:p w:rsidR="00D84D94" w:rsidRDefault="00D84D94">
      <w:pPr>
        <w:pStyle w:val="HMGC"/>
        <w:rPr>
          <w:rStyle w:val="FootnoteReference"/>
        </w:rPr>
      </w:pPr>
      <w:r>
        <w:rPr>
          <w:rFonts w:hint="eastAsia"/>
          <w:lang w:val="en-GB"/>
        </w:rPr>
        <w:tab/>
      </w:r>
      <w:r>
        <w:rPr>
          <w:rFonts w:hint="eastAsia"/>
          <w:lang w:val="en-GB"/>
        </w:rPr>
        <w:tab/>
      </w:r>
      <w:r>
        <w:rPr>
          <w:rFonts w:hint="eastAsia"/>
          <w:lang w:val="en-GB"/>
        </w:rPr>
        <w:t>丹麦</w:t>
      </w:r>
      <w:r>
        <w:rPr>
          <w:rStyle w:val="FootnoteReference"/>
          <w:position w:val="6"/>
          <w:sz w:val="34"/>
          <w:szCs w:val="34"/>
          <w:vertAlign w:val="baseline"/>
        </w:rPr>
        <w:footnoteReference w:customMarkFollows="1" w:id="1"/>
        <w:t>*</w:t>
      </w:r>
    </w:p>
    <w:p w:rsidR="00D84D94" w:rsidRDefault="00D84D94">
      <w:pPr>
        <w:wordWrap w:val="0"/>
        <w:jc w:val="right"/>
        <w:rPr>
          <w:rFonts w:hint="eastAsia"/>
        </w:rPr>
      </w:pPr>
      <w:r>
        <w:t>[2011</w:t>
      </w:r>
      <w:r>
        <w:rPr>
          <w:rFonts w:hint="eastAsia"/>
        </w:rPr>
        <w:t>年</w:t>
      </w:r>
      <w:r>
        <w:rPr>
          <w:rFonts w:hint="eastAsia"/>
        </w:rPr>
        <w:t>8</w:t>
      </w:r>
      <w:r>
        <w:rPr>
          <w:rFonts w:hint="eastAsia"/>
        </w:rPr>
        <w:t>月</w:t>
      </w:r>
      <w:r>
        <w:rPr>
          <w:rFonts w:hint="eastAsia"/>
        </w:rPr>
        <w:t>24</w:t>
      </w:r>
      <w:r>
        <w:rPr>
          <w:rFonts w:hint="eastAsia"/>
        </w:rPr>
        <w:t>日</w:t>
      </w:r>
      <w:r>
        <w:t>]</w:t>
      </w:r>
    </w:p>
    <w:p w:rsidR="00D84D94" w:rsidRDefault="00D84D94">
      <w:pPr>
        <w:spacing w:after="120"/>
        <w:rPr>
          <w:sz w:val="28"/>
          <w:szCs w:val="28"/>
        </w:rPr>
      </w:pPr>
      <w:r>
        <w:br w:type="page"/>
      </w:r>
      <w:r>
        <w:rPr>
          <w:rFonts w:hint="eastAsia"/>
          <w:sz w:val="28"/>
          <w:szCs w:val="28"/>
        </w:rPr>
        <w:t>目录</w:t>
      </w:r>
    </w:p>
    <w:p w:rsidR="00D84D94" w:rsidRDefault="00D84D94">
      <w:pPr>
        <w:tabs>
          <w:tab w:val="right" w:pos="8789"/>
          <w:tab w:val="right" w:pos="9639"/>
        </w:tabs>
        <w:spacing w:after="120" w:line="240" w:lineRule="exact"/>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D84D94" w:rsidRDefault="00D84D94">
      <w:pPr>
        <w:pStyle w:val="a1"/>
        <w:tabs>
          <w:tab w:val="clear" w:pos="851"/>
          <w:tab w:val="clear" w:pos="1565"/>
          <w:tab w:val="clear" w:pos="1996"/>
          <w:tab w:val="clear" w:pos="7655"/>
          <w:tab w:val="clear" w:pos="8789"/>
          <w:tab w:val="clear" w:pos="9554"/>
          <w:tab w:val="right" w:pos="850"/>
          <w:tab w:val="left" w:pos="1134"/>
          <w:tab w:val="left" w:pos="1560"/>
          <w:tab w:val="right" w:leader="dot" w:pos="7654"/>
          <w:tab w:val="right" w:pos="8787"/>
          <w:tab w:val="right" w:pos="9553"/>
        </w:tabs>
        <w:spacing w:after="60" w:line="240" w:lineRule="atLeast"/>
        <w:ind w:right="2551"/>
        <w:rPr>
          <w:lang w:val="fr-FR"/>
        </w:rPr>
      </w:pPr>
      <w:r>
        <w:rPr>
          <w:lang w:val="fr-FR"/>
        </w:rPr>
        <w:tab/>
      </w:r>
      <w:r>
        <w:rPr>
          <w:rFonts w:hint="eastAsia"/>
          <w:lang w:val="fr-FR"/>
        </w:rPr>
        <w:t>一</w:t>
      </w:r>
      <w:r>
        <w:t>.</w:t>
      </w:r>
      <w:r>
        <w:tab/>
      </w:r>
      <w:r>
        <w:rPr>
          <w:rFonts w:hint="eastAsia"/>
        </w:rPr>
        <w:t>导言</w:t>
      </w:r>
      <w:r>
        <w:t>.</w:t>
      </w:r>
      <w:r>
        <w:tab/>
      </w:r>
      <w:r>
        <w:rPr>
          <w:lang w:val="fr-FR"/>
        </w:rPr>
        <w:tab/>
        <w:t>1-23</w:t>
      </w:r>
      <w:r>
        <w:rPr>
          <w:lang w:val="fr-FR"/>
        </w:rPr>
        <w:tab/>
        <w:t>4</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rFonts w:hint="eastAsia"/>
          <w:lang w:val="fr-FR"/>
        </w:rPr>
        <w:t>二</w:t>
      </w:r>
      <w:r>
        <w:rPr>
          <w:lang w:val="fr-FR"/>
        </w:rPr>
        <w:t>.</w:t>
      </w:r>
      <w:r>
        <w:rPr>
          <w:lang w:val="fr-FR"/>
        </w:rPr>
        <w:tab/>
      </w:r>
      <w:r>
        <w:rPr>
          <w:rFonts w:hint="eastAsia"/>
          <w:lang w:val="fr-FR"/>
        </w:rPr>
        <w:t>《公约》的一般性规定</w:t>
      </w:r>
      <w:r>
        <w:rPr>
          <w:rFonts w:hint="eastAsia"/>
          <w:lang w:val="fr-FR"/>
        </w:rPr>
        <w:t>(</w:t>
      </w:r>
      <w:r>
        <w:rPr>
          <w:rFonts w:hint="eastAsia"/>
          <w:lang w:val="fr-FR"/>
        </w:rPr>
        <w:t>第一至四条</w:t>
      </w:r>
      <w:r>
        <w:rPr>
          <w:rFonts w:hint="eastAsia"/>
          <w:lang w:val="fr-FR"/>
        </w:rPr>
        <w:t>)</w:t>
      </w:r>
      <w:r>
        <w:rPr>
          <w:rFonts w:hint="eastAsia"/>
          <w:lang w:val="fr-FR"/>
        </w:rPr>
        <w:tab/>
      </w:r>
      <w:r>
        <w:rPr>
          <w:rFonts w:hint="eastAsia"/>
          <w:lang w:val="fr-FR"/>
        </w:rPr>
        <w:tab/>
      </w:r>
      <w:r>
        <w:rPr>
          <w:lang w:val="fr-FR"/>
        </w:rPr>
        <w:t>24</w:t>
      </w:r>
      <w:r>
        <w:rPr>
          <w:rFonts w:hint="eastAsia"/>
          <w:lang w:val="fr-FR"/>
        </w:rPr>
        <w:t>-</w:t>
      </w:r>
      <w:r>
        <w:rPr>
          <w:lang w:val="fr-FR"/>
        </w:rPr>
        <w:t>41</w:t>
      </w:r>
      <w:r>
        <w:rPr>
          <w:rFonts w:hint="eastAsia"/>
          <w:lang w:val="fr-FR"/>
        </w:rPr>
        <w:tab/>
      </w:r>
      <w:r>
        <w:rPr>
          <w:lang w:val="fr-FR"/>
        </w:rPr>
        <w:t>6</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第一和二条</w:t>
      </w:r>
      <w:r>
        <w:rPr>
          <w:rFonts w:hint="eastAsia"/>
          <w:lang w:val="fr-FR"/>
        </w:rPr>
        <w:tab/>
      </w:r>
      <w:r>
        <w:rPr>
          <w:rFonts w:hint="eastAsia"/>
          <w:lang w:val="fr-FR"/>
        </w:rPr>
        <w:tab/>
      </w:r>
      <w:r>
        <w:rPr>
          <w:lang w:val="fr-FR"/>
        </w:rPr>
        <w:t>24</w:t>
      </w:r>
      <w:r>
        <w:rPr>
          <w:rFonts w:hint="eastAsia"/>
          <w:lang w:val="fr-FR"/>
        </w:rPr>
        <w:t>-</w:t>
      </w:r>
      <w:r>
        <w:rPr>
          <w:lang w:val="fr-FR"/>
        </w:rPr>
        <w:t>27</w:t>
      </w:r>
      <w:r>
        <w:rPr>
          <w:rFonts w:hint="eastAsia"/>
          <w:lang w:val="fr-FR"/>
        </w:rPr>
        <w:tab/>
      </w:r>
      <w:r>
        <w:rPr>
          <w:lang w:val="fr-FR"/>
        </w:rPr>
        <w:t>6</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第三条</w:t>
      </w:r>
      <w:r>
        <w:rPr>
          <w:lang w:val="fr-FR"/>
        </w:rPr>
        <w:tab/>
      </w:r>
      <w:r>
        <w:rPr>
          <w:lang w:val="fr-FR"/>
        </w:rPr>
        <w:tab/>
        <w:t>28-31</w:t>
      </w:r>
      <w:r>
        <w:rPr>
          <w:lang w:val="fr-FR"/>
        </w:rPr>
        <w:tab/>
        <w:t>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第四条</w:t>
      </w:r>
      <w:r>
        <w:rPr>
          <w:lang w:val="fr-FR"/>
        </w:rPr>
        <w:tab/>
      </w:r>
      <w:r>
        <w:rPr>
          <w:lang w:val="fr-FR"/>
        </w:rPr>
        <w:tab/>
        <w:t>32-41</w:t>
      </w:r>
      <w:r>
        <w:rPr>
          <w:lang w:val="fr-FR"/>
        </w:rPr>
        <w:tab/>
        <w:t>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rFonts w:hint="eastAsia"/>
          <w:lang w:val="fr-FR"/>
        </w:rPr>
        <w:t>三</w:t>
      </w:r>
      <w:r>
        <w:rPr>
          <w:lang w:val="fr-FR"/>
        </w:rPr>
        <w:t>.</w:t>
      </w:r>
      <w:r>
        <w:rPr>
          <w:lang w:val="fr-FR"/>
        </w:rPr>
        <w:tab/>
      </w:r>
      <w:r>
        <w:rPr>
          <w:rFonts w:hint="eastAsia"/>
          <w:lang w:val="fr-FR"/>
        </w:rPr>
        <w:t>《公约》的具体规定</w:t>
      </w:r>
      <w:r>
        <w:rPr>
          <w:lang w:val="fr-FR"/>
        </w:rPr>
        <w:tab/>
      </w:r>
      <w:r>
        <w:rPr>
          <w:lang w:val="fr-FR"/>
        </w:rPr>
        <w:tab/>
        <w:t>42-351</w:t>
      </w:r>
      <w:r>
        <w:rPr>
          <w:lang w:val="fr-FR"/>
        </w:rPr>
        <w:tab/>
        <w:t>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第五条</w:t>
      </w:r>
      <w:r>
        <w:rPr>
          <w:lang w:val="fr-FR"/>
        </w:rPr>
        <w:tab/>
      </w:r>
      <w:r>
        <w:rPr>
          <w:lang w:val="fr-FR"/>
        </w:rPr>
        <w:tab/>
        <w:t>42-47</w:t>
      </w:r>
      <w:r>
        <w:rPr>
          <w:lang w:val="fr-FR"/>
        </w:rPr>
        <w:tab/>
        <w:t>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第八条</w:t>
      </w:r>
      <w:r>
        <w:rPr>
          <w:lang w:val="fr-FR"/>
        </w:rPr>
        <w:tab/>
      </w:r>
      <w:r>
        <w:rPr>
          <w:lang w:val="fr-FR"/>
        </w:rPr>
        <w:tab/>
        <w:t>48-52</w:t>
      </w:r>
      <w:r>
        <w:rPr>
          <w:lang w:val="fr-FR"/>
        </w:rPr>
        <w:tab/>
        <w:t>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第九条</w:t>
      </w:r>
      <w:r>
        <w:rPr>
          <w:lang w:val="fr-FR"/>
        </w:rPr>
        <w:tab/>
      </w:r>
      <w:r>
        <w:rPr>
          <w:lang w:val="fr-FR"/>
        </w:rPr>
        <w:tab/>
        <w:t>53-117</w:t>
      </w:r>
      <w:r>
        <w:rPr>
          <w:lang w:val="fr-FR"/>
        </w:rPr>
        <w:tab/>
        <w:t>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第十条</w:t>
      </w:r>
      <w:r>
        <w:rPr>
          <w:lang w:val="fr-FR"/>
        </w:rPr>
        <w:tab/>
      </w:r>
      <w:r>
        <w:rPr>
          <w:lang w:val="fr-FR"/>
        </w:rPr>
        <w:tab/>
        <w:t>118-120</w:t>
      </w:r>
      <w:r>
        <w:rPr>
          <w:lang w:val="fr-FR"/>
        </w:rPr>
        <w:tab/>
        <w:t>18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第十一条</w:t>
      </w:r>
      <w:r>
        <w:rPr>
          <w:lang w:val="fr-FR"/>
        </w:rPr>
        <w:tab/>
      </w:r>
      <w:r>
        <w:rPr>
          <w:lang w:val="fr-FR"/>
        </w:rPr>
        <w:tab/>
        <w:t>121-128</w:t>
      </w:r>
      <w:r>
        <w:rPr>
          <w:lang w:val="fr-FR"/>
        </w:rPr>
        <w:tab/>
        <w:t>18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第十二条</w:t>
      </w:r>
      <w:r>
        <w:rPr>
          <w:lang w:val="fr-FR"/>
        </w:rPr>
        <w:tab/>
      </w:r>
      <w:r>
        <w:rPr>
          <w:lang w:val="fr-FR"/>
        </w:rPr>
        <w:tab/>
        <w:t>129-132</w:t>
      </w:r>
      <w:r>
        <w:rPr>
          <w:lang w:val="fr-FR"/>
        </w:rPr>
        <w:tab/>
        <w:t>19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第十三条</w:t>
      </w:r>
      <w:r>
        <w:rPr>
          <w:lang w:val="fr-FR"/>
        </w:rPr>
        <w:tab/>
      </w:r>
      <w:r>
        <w:rPr>
          <w:lang w:val="fr-FR"/>
        </w:rPr>
        <w:tab/>
        <w:t>133-137</w:t>
      </w:r>
      <w:r>
        <w:rPr>
          <w:lang w:val="fr-FR"/>
        </w:rPr>
        <w:tab/>
        <w:t>19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第十四条</w:t>
      </w:r>
      <w:r>
        <w:rPr>
          <w:lang w:val="fr-FR"/>
        </w:rPr>
        <w:tab/>
      </w:r>
      <w:r>
        <w:rPr>
          <w:lang w:val="fr-FR"/>
        </w:rPr>
        <w:tab/>
        <w:t>138-144</w:t>
      </w:r>
      <w:r>
        <w:rPr>
          <w:lang w:val="fr-FR"/>
        </w:rPr>
        <w:tab/>
        <w:t>20</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第十五条</w:t>
      </w:r>
      <w:r>
        <w:rPr>
          <w:lang w:val="fr-FR"/>
        </w:rPr>
        <w:tab/>
      </w:r>
      <w:r>
        <w:rPr>
          <w:lang w:val="fr-FR"/>
        </w:rPr>
        <w:tab/>
        <w:t>145-147</w:t>
      </w:r>
      <w:r>
        <w:rPr>
          <w:lang w:val="fr-FR"/>
        </w:rPr>
        <w:tab/>
        <w:t>21</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第十六条</w:t>
      </w:r>
      <w:r>
        <w:rPr>
          <w:lang w:val="fr-FR"/>
        </w:rPr>
        <w:tab/>
      </w:r>
      <w:r>
        <w:rPr>
          <w:lang w:val="fr-FR"/>
        </w:rPr>
        <w:tab/>
        <w:t>148-154</w:t>
      </w:r>
      <w:r>
        <w:rPr>
          <w:lang w:val="fr-FR"/>
        </w:rPr>
        <w:tab/>
        <w:t>21</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第十七条</w:t>
      </w:r>
      <w:r>
        <w:rPr>
          <w:lang w:val="fr-FR"/>
        </w:rPr>
        <w:tab/>
      </w:r>
      <w:r>
        <w:rPr>
          <w:lang w:val="fr-FR"/>
        </w:rPr>
        <w:tab/>
        <w:t>155-157</w:t>
      </w:r>
      <w:r>
        <w:rPr>
          <w:lang w:val="fr-FR"/>
        </w:rPr>
        <w:tab/>
        <w:t>22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第十八条</w:t>
      </w:r>
      <w:r>
        <w:rPr>
          <w:lang w:val="fr-FR"/>
        </w:rPr>
        <w:tab/>
      </w:r>
      <w:r>
        <w:rPr>
          <w:lang w:val="fr-FR"/>
        </w:rPr>
        <w:tab/>
        <w:t>158-160</w:t>
      </w:r>
      <w:r>
        <w:rPr>
          <w:lang w:val="fr-FR"/>
        </w:rPr>
        <w:tab/>
        <w:t>22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第十九条</w:t>
      </w:r>
      <w:r>
        <w:rPr>
          <w:lang w:val="fr-FR"/>
        </w:rPr>
        <w:tab/>
      </w:r>
      <w:r>
        <w:rPr>
          <w:lang w:val="fr-FR"/>
        </w:rPr>
        <w:tab/>
        <w:t>161-174</w:t>
      </w:r>
      <w:r>
        <w:rPr>
          <w:lang w:val="fr-FR"/>
        </w:rPr>
        <w:tab/>
        <w:t>23</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第二十条</w:t>
      </w:r>
      <w:r>
        <w:rPr>
          <w:lang w:val="fr-FR"/>
        </w:rPr>
        <w:tab/>
      </w:r>
      <w:r>
        <w:rPr>
          <w:lang w:val="fr-FR"/>
        </w:rPr>
        <w:tab/>
        <w:t>175-176</w:t>
      </w:r>
      <w:r>
        <w:rPr>
          <w:lang w:val="fr-FR"/>
        </w:rPr>
        <w:tab/>
        <w:t>25</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第二十一条</w:t>
      </w:r>
      <w:r>
        <w:rPr>
          <w:lang w:val="fr-FR"/>
        </w:rPr>
        <w:tab/>
      </w:r>
      <w:r>
        <w:rPr>
          <w:lang w:val="fr-FR"/>
        </w:rPr>
        <w:tab/>
        <w:t>177-182</w:t>
      </w:r>
      <w:r>
        <w:rPr>
          <w:lang w:val="fr-FR"/>
        </w:rPr>
        <w:tab/>
        <w:t>25</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第二十二条</w:t>
      </w:r>
      <w:r>
        <w:rPr>
          <w:lang w:val="fr-FR"/>
        </w:rPr>
        <w:tab/>
      </w:r>
      <w:r>
        <w:rPr>
          <w:lang w:val="fr-FR"/>
        </w:rPr>
        <w:tab/>
        <w:t>183-184</w:t>
      </w:r>
      <w:r>
        <w:rPr>
          <w:lang w:val="fr-FR"/>
        </w:rPr>
        <w:tab/>
        <w:t>26</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第二十三条</w:t>
      </w:r>
      <w:r>
        <w:rPr>
          <w:lang w:val="fr-FR"/>
        </w:rPr>
        <w:tab/>
      </w:r>
      <w:r>
        <w:rPr>
          <w:lang w:val="fr-FR"/>
        </w:rPr>
        <w:tab/>
        <w:t>185-198</w:t>
      </w:r>
      <w:r>
        <w:rPr>
          <w:lang w:val="fr-FR"/>
        </w:rPr>
        <w:tab/>
        <w:t>26</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第二十四条</w:t>
      </w:r>
      <w:r>
        <w:rPr>
          <w:lang w:val="fr-FR"/>
        </w:rPr>
        <w:tab/>
      </w:r>
      <w:r>
        <w:rPr>
          <w:lang w:val="fr-FR"/>
        </w:rPr>
        <w:tab/>
        <w:t>199-252</w:t>
      </w:r>
      <w:r>
        <w:rPr>
          <w:lang w:val="fr-FR"/>
        </w:rPr>
        <w:tab/>
        <w:t>28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第二十五条</w:t>
      </w:r>
      <w:r>
        <w:rPr>
          <w:lang w:val="fr-FR"/>
        </w:rPr>
        <w:tab/>
      </w:r>
      <w:r>
        <w:rPr>
          <w:lang w:val="fr-FR"/>
        </w:rPr>
        <w:tab/>
        <w:t>253-267</w:t>
      </w:r>
      <w:r>
        <w:rPr>
          <w:lang w:val="fr-FR"/>
        </w:rPr>
        <w:tab/>
        <w:t>35</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第二十六条</w:t>
      </w:r>
      <w:r>
        <w:rPr>
          <w:lang w:val="fr-FR"/>
        </w:rPr>
        <w:tab/>
      </w:r>
      <w:r>
        <w:rPr>
          <w:lang w:val="fr-FR"/>
        </w:rPr>
        <w:tab/>
        <w:t>268-277</w:t>
      </w:r>
      <w:r>
        <w:rPr>
          <w:lang w:val="fr-FR"/>
        </w:rPr>
        <w:tab/>
        <w:t>37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第二十七条</w:t>
      </w:r>
      <w:r>
        <w:rPr>
          <w:lang w:val="fr-FR"/>
        </w:rPr>
        <w:tab/>
      </w:r>
      <w:r>
        <w:rPr>
          <w:lang w:val="fr-FR"/>
        </w:rPr>
        <w:tab/>
        <w:t>278-314</w:t>
      </w:r>
      <w:r>
        <w:rPr>
          <w:lang w:val="fr-FR"/>
        </w:rPr>
        <w:tab/>
        <w:t>39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第二十八条</w:t>
      </w:r>
      <w:r>
        <w:rPr>
          <w:lang w:val="fr-FR"/>
        </w:rPr>
        <w:tab/>
      </w:r>
      <w:r>
        <w:rPr>
          <w:lang w:val="fr-FR"/>
        </w:rPr>
        <w:tab/>
        <w:t>315-324</w:t>
      </w:r>
      <w:r>
        <w:rPr>
          <w:lang w:val="fr-FR"/>
        </w:rPr>
        <w:tab/>
        <w:t>43</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rPr>
        <w:t>第二十九条</w:t>
      </w:r>
      <w:r>
        <w:rPr>
          <w:lang w:val="fr-FR"/>
        </w:rPr>
        <w:tab/>
      </w:r>
      <w:r>
        <w:rPr>
          <w:lang w:val="fr-FR"/>
        </w:rPr>
        <w:tab/>
        <w:t>325-333</w:t>
      </w:r>
      <w:r>
        <w:rPr>
          <w:lang w:val="fr-FR"/>
        </w:rPr>
        <w:tab/>
        <w:t>44</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rPr>
        <w:t>第三十条</w:t>
      </w:r>
      <w:r>
        <w:rPr>
          <w:lang w:val="fr-FR"/>
        </w:rPr>
        <w:tab/>
      </w:r>
      <w:r>
        <w:rPr>
          <w:lang w:val="fr-FR"/>
        </w:rPr>
        <w:tab/>
        <w:t>334-351</w:t>
      </w:r>
      <w:r>
        <w:rPr>
          <w:lang w:val="fr-FR"/>
        </w:rPr>
        <w:tab/>
        <w:t>45</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rFonts w:hint="eastAsia"/>
        </w:rPr>
        <w:t>四</w:t>
      </w:r>
      <w:r>
        <w:rPr>
          <w:lang w:val="fr-FR"/>
        </w:rPr>
        <w:t>.</w:t>
      </w:r>
      <w:r>
        <w:rPr>
          <w:lang w:val="fr-FR"/>
        </w:rPr>
        <w:tab/>
      </w:r>
      <w:r>
        <w:rPr>
          <w:rFonts w:hint="eastAsia"/>
          <w:lang w:val="fr-FR"/>
        </w:rPr>
        <w:t>《</w:t>
      </w:r>
      <w:r>
        <w:rPr>
          <w:rFonts w:hint="eastAsia"/>
        </w:rPr>
        <w:t>公约》中涉及残疾男童、女童和妇女的具体规定</w:t>
      </w:r>
      <w:r>
        <w:rPr>
          <w:lang w:val="fr-FR"/>
        </w:rPr>
        <w:tab/>
      </w:r>
      <w:r>
        <w:rPr>
          <w:lang w:val="fr-FR"/>
        </w:rPr>
        <w:tab/>
        <w:t>352-364</w:t>
      </w:r>
      <w:r>
        <w:rPr>
          <w:lang w:val="fr-FR"/>
        </w:rPr>
        <w:tab/>
        <w:t>47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第六条</w:t>
      </w:r>
      <w:r>
        <w:rPr>
          <w:lang w:val="fr-FR"/>
        </w:rPr>
        <w:tab/>
      </w:r>
      <w:r>
        <w:rPr>
          <w:lang w:val="fr-FR"/>
        </w:rPr>
        <w:tab/>
        <w:t>352</w:t>
      </w:r>
      <w:r>
        <w:rPr>
          <w:lang w:val="fr-FR"/>
        </w:rPr>
        <w:tab/>
        <w:t>47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第七条</w:t>
      </w:r>
      <w:r>
        <w:rPr>
          <w:lang w:val="fr-FR"/>
        </w:rPr>
        <w:tab/>
      </w:r>
      <w:r>
        <w:rPr>
          <w:lang w:val="fr-FR"/>
        </w:rPr>
        <w:tab/>
        <w:t>353-364</w:t>
      </w:r>
      <w:r>
        <w:rPr>
          <w:lang w:val="fr-FR"/>
        </w:rPr>
        <w:tab/>
        <w:t>47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rFonts w:hint="eastAsia"/>
          <w:lang w:val="fr-FR"/>
        </w:rPr>
        <w:t>五</w:t>
      </w:r>
      <w:r>
        <w:rPr>
          <w:lang w:val="fr-FR"/>
        </w:rPr>
        <w:t>.</w:t>
      </w:r>
      <w:r>
        <w:rPr>
          <w:lang w:val="fr-FR"/>
        </w:rPr>
        <w:tab/>
      </w:r>
      <w:r>
        <w:rPr>
          <w:rFonts w:hint="eastAsia"/>
        </w:rPr>
        <w:t>《公约》规定的具体义务</w:t>
      </w:r>
      <w:r>
        <w:rPr>
          <w:lang w:val="fr-FR"/>
        </w:rPr>
        <w:tab/>
      </w:r>
      <w:r>
        <w:rPr>
          <w:lang w:val="fr-FR"/>
        </w:rPr>
        <w:tab/>
        <w:t>365-386</w:t>
      </w:r>
      <w:r>
        <w:rPr>
          <w:lang w:val="fr-FR"/>
        </w:rPr>
        <w:tab/>
        <w:t>49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第三十一条</w:t>
      </w:r>
      <w:r>
        <w:rPr>
          <w:lang w:val="fr-FR"/>
        </w:rPr>
        <w:tab/>
      </w:r>
      <w:r>
        <w:rPr>
          <w:lang w:val="fr-FR"/>
        </w:rPr>
        <w:tab/>
        <w:t>365-373</w:t>
      </w:r>
      <w:r>
        <w:rPr>
          <w:lang w:val="fr-FR"/>
        </w:rPr>
        <w:tab/>
        <w:t>49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第三十二条</w:t>
      </w:r>
      <w:r>
        <w:rPr>
          <w:lang w:val="fr-FR"/>
        </w:rPr>
        <w:tab/>
      </w:r>
      <w:r>
        <w:rPr>
          <w:lang w:val="fr-FR"/>
        </w:rPr>
        <w:tab/>
        <w:t>374-378</w:t>
      </w:r>
      <w:r>
        <w:rPr>
          <w:lang w:val="fr-FR"/>
        </w:rPr>
        <w:tab/>
        <w:t>50</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第三十三条</w:t>
      </w:r>
      <w:r>
        <w:rPr>
          <w:lang w:val="fr-FR"/>
        </w:rPr>
        <w:tab/>
      </w:r>
      <w:r>
        <w:rPr>
          <w:lang w:val="fr-FR"/>
        </w:rPr>
        <w:tab/>
        <w:t>379-386</w:t>
      </w:r>
      <w:r>
        <w:rPr>
          <w:lang w:val="fr-FR"/>
        </w:rPr>
        <w:tab/>
        <w:t>51</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da-DK"/>
        </w:rPr>
      </w:pPr>
      <w:r>
        <w:rPr>
          <w:lang w:val="fr-FR"/>
        </w:rPr>
        <w:tab/>
      </w:r>
      <w:r>
        <w:rPr>
          <w:rFonts w:hint="eastAsia"/>
          <w:lang w:val="fr-FR"/>
        </w:rPr>
        <w:t>六</w:t>
      </w:r>
      <w:r>
        <w:rPr>
          <w:lang w:val="fr-FR"/>
        </w:rPr>
        <w:t>.</w:t>
      </w:r>
      <w:r>
        <w:rPr>
          <w:lang w:val="fr-FR"/>
        </w:rPr>
        <w:tab/>
      </w:r>
      <w:r>
        <w:rPr>
          <w:rFonts w:hint="eastAsia"/>
          <w:lang w:val="da-DK"/>
        </w:rPr>
        <w:t>格陵兰</w:t>
      </w:r>
      <w:r>
        <w:rPr>
          <w:lang w:val="da-DK"/>
        </w:rPr>
        <w:tab/>
      </w:r>
      <w:r>
        <w:rPr>
          <w:lang w:val="da-DK"/>
        </w:rPr>
        <w:tab/>
        <w:t>387-458</w:t>
      </w:r>
      <w:r>
        <w:rPr>
          <w:lang w:val="da-DK"/>
        </w:rPr>
        <w:tab/>
        <w:t>52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da-DK"/>
        </w:rPr>
      </w:pPr>
      <w:r>
        <w:rPr>
          <w:lang w:val="da-DK"/>
        </w:rPr>
        <w:tab/>
      </w:r>
      <w:r>
        <w:rPr>
          <w:lang w:val="da-DK"/>
        </w:rPr>
        <w:tab/>
      </w:r>
      <w:r>
        <w:rPr>
          <w:rFonts w:hint="eastAsia"/>
          <w:lang w:val="da-DK"/>
        </w:rPr>
        <w:t>第一至四条</w:t>
      </w:r>
      <w:r>
        <w:rPr>
          <w:lang w:val="da-DK"/>
        </w:rPr>
        <w:tab/>
      </w:r>
      <w:r>
        <w:rPr>
          <w:lang w:val="da-DK"/>
        </w:rPr>
        <w:tab/>
        <w:t>388</w:t>
      </w:r>
      <w:r>
        <w:rPr>
          <w:lang w:val="da-DK"/>
        </w:rPr>
        <w:tab/>
        <w:t>52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da-DK"/>
        </w:rPr>
        <w:tab/>
      </w:r>
      <w:r>
        <w:rPr>
          <w:lang w:val="da-DK"/>
        </w:rPr>
        <w:tab/>
      </w:r>
      <w:r>
        <w:rPr>
          <w:rFonts w:hint="eastAsia"/>
          <w:lang w:val="fr-FR"/>
        </w:rPr>
        <w:t>第五条</w:t>
      </w:r>
      <w:r>
        <w:rPr>
          <w:lang w:val="fr-FR"/>
        </w:rPr>
        <w:tab/>
      </w:r>
      <w:r>
        <w:rPr>
          <w:lang w:val="fr-FR"/>
        </w:rPr>
        <w:tab/>
        <w:t>389-391</w:t>
      </w:r>
      <w:r>
        <w:rPr>
          <w:lang w:val="fr-FR"/>
        </w:rPr>
        <w:tab/>
        <w:t>52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第六条</w:t>
      </w:r>
      <w:r>
        <w:rPr>
          <w:lang w:val="fr-FR"/>
        </w:rPr>
        <w:tab/>
      </w:r>
      <w:r>
        <w:rPr>
          <w:lang w:val="fr-FR"/>
        </w:rPr>
        <w:tab/>
        <w:t>392</w:t>
      </w:r>
      <w:r>
        <w:rPr>
          <w:lang w:val="fr-FR"/>
        </w:rPr>
        <w:tab/>
        <w:t>52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第七条</w:t>
      </w:r>
      <w:r>
        <w:rPr>
          <w:lang w:val="fr-FR"/>
        </w:rPr>
        <w:tab/>
      </w:r>
      <w:r>
        <w:rPr>
          <w:lang w:val="fr-FR"/>
        </w:rPr>
        <w:tab/>
        <w:t>393-395</w:t>
      </w:r>
      <w:r>
        <w:rPr>
          <w:lang w:val="fr-FR"/>
        </w:rPr>
        <w:tab/>
        <w:t>52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第八条</w:t>
      </w:r>
      <w:r>
        <w:rPr>
          <w:lang w:val="fr-FR"/>
        </w:rPr>
        <w:tab/>
      </w:r>
      <w:r>
        <w:rPr>
          <w:lang w:val="fr-FR"/>
        </w:rPr>
        <w:tab/>
        <w:t>396</w:t>
      </w:r>
      <w:r>
        <w:rPr>
          <w:lang w:val="fr-FR"/>
        </w:rPr>
        <w:tab/>
        <w:t>53</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第九条</w:t>
      </w:r>
      <w:r>
        <w:rPr>
          <w:lang w:val="fr-FR"/>
        </w:rPr>
        <w:tab/>
      </w:r>
      <w:r>
        <w:rPr>
          <w:lang w:val="fr-FR"/>
        </w:rPr>
        <w:tab/>
        <w:t>397-407</w:t>
      </w:r>
      <w:r>
        <w:rPr>
          <w:lang w:val="fr-FR"/>
        </w:rPr>
        <w:tab/>
        <w:t>53</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第十条</w:t>
      </w:r>
      <w:r>
        <w:rPr>
          <w:lang w:val="fr-FR"/>
        </w:rPr>
        <w:tab/>
      </w:r>
      <w:r>
        <w:rPr>
          <w:lang w:val="fr-FR"/>
        </w:rPr>
        <w:tab/>
        <w:t>408-410</w:t>
      </w:r>
      <w:r>
        <w:rPr>
          <w:lang w:val="fr-FR"/>
        </w:rPr>
        <w:tab/>
        <w:t>54</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第十二条</w:t>
      </w:r>
      <w:r>
        <w:rPr>
          <w:lang w:val="fr-FR"/>
        </w:rPr>
        <w:tab/>
      </w:r>
      <w:r>
        <w:rPr>
          <w:lang w:val="fr-FR"/>
        </w:rPr>
        <w:tab/>
        <w:t>411</w:t>
      </w:r>
      <w:r>
        <w:rPr>
          <w:lang w:val="fr-FR"/>
        </w:rPr>
        <w:tab/>
        <w:t>54</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第十三条</w:t>
      </w:r>
      <w:r>
        <w:rPr>
          <w:lang w:val="fr-FR"/>
        </w:rPr>
        <w:tab/>
      </w:r>
      <w:r>
        <w:rPr>
          <w:lang w:val="fr-FR"/>
        </w:rPr>
        <w:tab/>
        <w:t>412-413</w:t>
      </w:r>
      <w:r>
        <w:rPr>
          <w:lang w:val="fr-FR"/>
        </w:rPr>
        <w:tab/>
        <w:t>54</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第十四条</w:t>
      </w:r>
      <w:r>
        <w:rPr>
          <w:lang w:val="fr-FR"/>
        </w:rPr>
        <w:tab/>
      </w:r>
      <w:r>
        <w:rPr>
          <w:lang w:val="fr-FR"/>
        </w:rPr>
        <w:tab/>
        <w:t>414-416</w:t>
      </w:r>
      <w:r>
        <w:rPr>
          <w:lang w:val="fr-FR"/>
        </w:rPr>
        <w:tab/>
        <w:t>55</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第十六条</w:t>
      </w:r>
      <w:r>
        <w:rPr>
          <w:lang w:val="fr-FR"/>
        </w:rPr>
        <w:tab/>
      </w:r>
      <w:r>
        <w:rPr>
          <w:lang w:val="fr-FR"/>
        </w:rPr>
        <w:tab/>
        <w:t>417-424</w:t>
      </w:r>
      <w:r>
        <w:rPr>
          <w:lang w:val="fr-FR"/>
        </w:rPr>
        <w:tab/>
        <w:t>55</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第十九条</w:t>
      </w:r>
      <w:r>
        <w:rPr>
          <w:lang w:val="fr-FR"/>
        </w:rPr>
        <w:tab/>
      </w:r>
      <w:r>
        <w:rPr>
          <w:lang w:val="fr-FR"/>
        </w:rPr>
        <w:tab/>
        <w:t>425-430</w:t>
      </w:r>
      <w:r>
        <w:rPr>
          <w:lang w:val="fr-FR"/>
        </w:rPr>
        <w:tab/>
        <w:t>56</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第二十条</w:t>
      </w:r>
      <w:r>
        <w:rPr>
          <w:lang w:val="fr-FR"/>
        </w:rPr>
        <w:tab/>
      </w:r>
      <w:r>
        <w:rPr>
          <w:lang w:val="fr-FR"/>
        </w:rPr>
        <w:tab/>
        <w:t>431-432</w:t>
      </w:r>
      <w:r>
        <w:rPr>
          <w:lang w:val="fr-FR"/>
        </w:rPr>
        <w:tab/>
        <w:t>56</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第二十一条</w:t>
      </w:r>
      <w:r>
        <w:rPr>
          <w:lang w:val="fr-FR"/>
        </w:rPr>
        <w:tab/>
      </w:r>
      <w:r>
        <w:rPr>
          <w:lang w:val="fr-FR"/>
        </w:rPr>
        <w:tab/>
        <w:t>433-435</w:t>
      </w:r>
      <w:r>
        <w:rPr>
          <w:lang w:val="fr-FR"/>
        </w:rPr>
        <w:tab/>
        <w:t>57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第二十二条</w:t>
      </w:r>
      <w:r>
        <w:rPr>
          <w:lang w:val="fr-FR"/>
        </w:rPr>
        <w:tab/>
      </w:r>
      <w:r>
        <w:rPr>
          <w:lang w:val="fr-FR"/>
        </w:rPr>
        <w:tab/>
        <w:t>436</w:t>
      </w:r>
      <w:r>
        <w:rPr>
          <w:lang w:val="fr-FR"/>
        </w:rPr>
        <w:tab/>
        <w:t>57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第二十三条</w:t>
      </w:r>
      <w:r>
        <w:rPr>
          <w:lang w:val="fr-FR"/>
        </w:rPr>
        <w:tab/>
      </w:r>
      <w:r>
        <w:rPr>
          <w:lang w:val="fr-FR"/>
        </w:rPr>
        <w:tab/>
        <w:t>437-438</w:t>
      </w:r>
      <w:r>
        <w:rPr>
          <w:lang w:val="fr-FR"/>
        </w:rPr>
        <w:tab/>
        <w:t>57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第二十四条</w:t>
      </w:r>
      <w:r>
        <w:rPr>
          <w:lang w:val="fr-FR"/>
        </w:rPr>
        <w:tab/>
      </w:r>
      <w:r>
        <w:rPr>
          <w:lang w:val="fr-FR"/>
        </w:rPr>
        <w:tab/>
        <w:t>439-441</w:t>
      </w:r>
      <w:r>
        <w:rPr>
          <w:lang w:val="fr-FR"/>
        </w:rPr>
        <w:tab/>
        <w:t>57</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第二十五条</w:t>
      </w:r>
      <w:r>
        <w:rPr>
          <w:lang w:val="fr-FR"/>
        </w:rPr>
        <w:tab/>
      </w:r>
      <w:r>
        <w:rPr>
          <w:lang w:val="fr-FR"/>
        </w:rPr>
        <w:tab/>
        <w:t>442-443</w:t>
      </w:r>
      <w:r>
        <w:rPr>
          <w:lang w:val="fr-FR"/>
        </w:rPr>
        <w:tab/>
        <w:t>58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第二十七条</w:t>
      </w:r>
      <w:r>
        <w:rPr>
          <w:lang w:val="fr-FR"/>
        </w:rPr>
        <w:tab/>
      </w:r>
      <w:r>
        <w:rPr>
          <w:lang w:val="fr-FR"/>
        </w:rPr>
        <w:tab/>
        <w:t>444-447</w:t>
      </w:r>
      <w:r>
        <w:rPr>
          <w:lang w:val="fr-FR"/>
        </w:rPr>
        <w:tab/>
        <w:t>58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第二十八条</w:t>
      </w:r>
      <w:r>
        <w:rPr>
          <w:lang w:val="fr-FR"/>
        </w:rPr>
        <w:tab/>
      </w:r>
      <w:r>
        <w:rPr>
          <w:lang w:val="fr-FR"/>
        </w:rPr>
        <w:tab/>
        <w:t>448-450</w:t>
      </w:r>
      <w:r>
        <w:rPr>
          <w:lang w:val="fr-FR"/>
        </w:rPr>
        <w:tab/>
        <w:t>58</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第二十九条</w:t>
      </w:r>
      <w:r>
        <w:rPr>
          <w:lang w:val="fr-FR"/>
        </w:rPr>
        <w:tab/>
      </w:r>
      <w:r>
        <w:rPr>
          <w:lang w:val="fr-FR"/>
        </w:rPr>
        <w:tab/>
        <w:t>451</w:t>
      </w:r>
      <w:r>
        <w:rPr>
          <w:lang w:val="fr-FR"/>
        </w:rPr>
        <w:tab/>
        <w:t>59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第三十条</w:t>
      </w:r>
      <w:r>
        <w:rPr>
          <w:lang w:val="fr-FR"/>
        </w:rPr>
        <w:tab/>
      </w:r>
      <w:r>
        <w:rPr>
          <w:lang w:val="fr-FR"/>
        </w:rPr>
        <w:tab/>
        <w:t>452-455</w:t>
      </w:r>
      <w:r>
        <w:rPr>
          <w:lang w:val="fr-FR"/>
        </w:rPr>
        <w:tab/>
        <w:t>59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第三十一条</w:t>
      </w:r>
      <w:r>
        <w:rPr>
          <w:lang w:val="fr-FR"/>
        </w:rPr>
        <w:tab/>
      </w:r>
      <w:r>
        <w:rPr>
          <w:lang w:val="fr-FR"/>
        </w:rPr>
        <w:tab/>
        <w:t>456</w:t>
      </w:r>
      <w:r>
        <w:rPr>
          <w:lang w:val="fr-FR"/>
        </w:rPr>
        <w:tab/>
        <w:t>59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第三十二条</w:t>
      </w:r>
      <w:r>
        <w:rPr>
          <w:lang w:val="fr-FR"/>
        </w:rPr>
        <w:tab/>
      </w:r>
      <w:r>
        <w:rPr>
          <w:lang w:val="fr-FR"/>
        </w:rPr>
        <w:tab/>
        <w:t>457</w:t>
      </w:r>
      <w:r>
        <w:rPr>
          <w:lang w:val="fr-FR"/>
        </w:rPr>
        <w:tab/>
        <w:t>59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lang w:val="fr-FR"/>
        </w:rPr>
        <w:tab/>
      </w:r>
      <w:r>
        <w:rPr>
          <w:rFonts w:hint="eastAsia"/>
          <w:lang w:val="fr-FR"/>
        </w:rPr>
        <w:t>第三十三条</w:t>
      </w:r>
      <w:r>
        <w:rPr>
          <w:lang w:val="fr-FR"/>
        </w:rPr>
        <w:tab/>
      </w:r>
      <w:r>
        <w:rPr>
          <w:lang w:val="fr-FR"/>
        </w:rPr>
        <w:tab/>
        <w:t>458</w:t>
      </w:r>
      <w:r>
        <w:rPr>
          <w:lang w:val="fr-FR"/>
        </w:rPr>
        <w:tab/>
        <w:t>59</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rPr>
          <w:lang w:val="fr-FR"/>
        </w:rPr>
      </w:pPr>
      <w:r>
        <w:rPr>
          <w:lang w:val="fr-FR"/>
        </w:rPr>
        <w:tab/>
      </w:r>
      <w:r>
        <w:rPr>
          <w:rFonts w:hint="eastAsia"/>
          <w:lang w:val="fr-FR"/>
        </w:rPr>
        <w:t>七</w:t>
      </w:r>
      <w:r>
        <w:rPr>
          <w:lang w:val="fr-FR"/>
        </w:rPr>
        <w:t>.</w:t>
      </w:r>
      <w:r>
        <w:rPr>
          <w:lang w:val="fr-FR"/>
        </w:rPr>
        <w:tab/>
        <w:t>F</w:t>
      </w:r>
      <w:r>
        <w:rPr>
          <w:rFonts w:hint="eastAsia"/>
          <w:lang w:val="fr-FR"/>
        </w:rPr>
        <w:t>节：法罗群岛</w:t>
      </w:r>
      <w:r>
        <w:rPr>
          <w:lang w:val="fr-FR"/>
        </w:rPr>
        <w:tab/>
      </w:r>
      <w:r>
        <w:rPr>
          <w:lang w:val="fr-FR"/>
        </w:rPr>
        <w:tab/>
        <w:t>459-502</w:t>
      </w:r>
      <w:r>
        <w:rPr>
          <w:lang w:val="fr-FR"/>
        </w:rPr>
        <w:tab/>
        <w:t>60</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left="1560" w:right="3788" w:hanging="1560"/>
      </w:pPr>
      <w:r>
        <w:rPr>
          <w:lang w:val="fr-FR"/>
        </w:rPr>
        <w:tab/>
      </w:r>
      <w:r>
        <w:rPr>
          <w:lang w:val="fr-FR"/>
        </w:rPr>
        <w:tab/>
      </w:r>
      <w:r>
        <w:rPr>
          <w:rFonts w:hint="eastAsia"/>
        </w:rPr>
        <w:t>第一至五、八、十、十二、十四至十七、二十二、三十一和三十三条</w:t>
      </w:r>
      <w:r>
        <w:t>......</w:t>
      </w:r>
      <w:r>
        <w:tab/>
      </w:r>
      <w:r>
        <w:tab/>
        <w:t>460-464</w:t>
      </w:r>
      <w:r>
        <w:tab/>
        <w:t>60</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pPr>
      <w:r>
        <w:tab/>
      </w:r>
      <w:r>
        <w:tab/>
      </w:r>
      <w:r>
        <w:rPr>
          <w:rFonts w:hint="eastAsia"/>
        </w:rPr>
        <w:t>第九和二十九条</w:t>
      </w:r>
      <w:r>
        <w:tab/>
      </w:r>
      <w:r>
        <w:tab/>
        <w:t>465-468</w:t>
      </w:r>
      <w:r>
        <w:tab/>
        <w:t>61</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pPr>
      <w:r>
        <w:tab/>
      </w:r>
      <w:r>
        <w:tab/>
      </w:r>
      <w:r>
        <w:rPr>
          <w:rFonts w:hint="eastAsia"/>
        </w:rPr>
        <w:t>第十三、二十一和三十条</w:t>
      </w:r>
      <w:r>
        <w:tab/>
      </w:r>
      <w:r>
        <w:tab/>
        <w:t>469-474</w:t>
      </w:r>
      <w:r>
        <w:tab/>
        <w:t>61</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pPr>
      <w:r>
        <w:tab/>
      </w:r>
      <w:r>
        <w:tab/>
      </w:r>
      <w:r>
        <w:rPr>
          <w:rFonts w:hint="eastAsia"/>
        </w:rPr>
        <w:t>第二十四条</w:t>
      </w:r>
      <w:r>
        <w:tab/>
      </w:r>
      <w:r>
        <w:tab/>
        <w:t>475-479</w:t>
      </w:r>
      <w:r>
        <w:tab/>
        <w:t>62</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pPr>
      <w:r>
        <w:tab/>
      </w:r>
      <w:r>
        <w:tab/>
      </w:r>
      <w:r>
        <w:rPr>
          <w:rFonts w:hint="eastAsia"/>
        </w:rPr>
        <w:t>第六和二十七条</w:t>
      </w:r>
      <w:r>
        <w:tab/>
      </w:r>
      <w:r>
        <w:tab/>
        <w:t>480-482</w:t>
      </w:r>
      <w:r>
        <w:tab/>
        <w:t>63</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pPr>
      <w:r>
        <w:tab/>
      </w:r>
      <w:r>
        <w:tab/>
      </w:r>
      <w:r>
        <w:rPr>
          <w:rFonts w:hint="eastAsia"/>
        </w:rPr>
        <w:t>第十九和二十条</w:t>
      </w:r>
      <w:r>
        <w:tab/>
      </w:r>
      <w:r>
        <w:tab/>
        <w:t>483-489</w:t>
      </w:r>
      <w:r>
        <w:tab/>
        <w:t>63</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pPr>
      <w:r>
        <w:tab/>
      </w:r>
      <w:r>
        <w:tab/>
      </w:r>
      <w:r>
        <w:rPr>
          <w:rFonts w:hint="eastAsia"/>
        </w:rPr>
        <w:t>第二十三和二十八条</w:t>
      </w:r>
      <w:r>
        <w:tab/>
      </w:r>
      <w:r>
        <w:tab/>
        <w:t>490-498</w:t>
      </w:r>
      <w:r>
        <w:tab/>
        <w:t>64</w:t>
      </w:r>
    </w:p>
    <w:p w:rsidR="00D84D94" w:rsidRDefault="00D84D94">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line="240" w:lineRule="atLeast"/>
        <w:ind w:right="2551"/>
      </w:pPr>
      <w:r>
        <w:tab/>
      </w:r>
      <w:r>
        <w:tab/>
      </w:r>
      <w:r>
        <w:rPr>
          <w:rFonts w:hint="eastAsia"/>
        </w:rPr>
        <w:t>第二十五和二十六条</w:t>
      </w:r>
      <w:r>
        <w:tab/>
      </w:r>
      <w:r>
        <w:tab/>
        <w:t>499-502</w:t>
      </w:r>
      <w:r>
        <w:tab/>
        <w:t>65</w:t>
      </w:r>
    </w:p>
    <w:p w:rsidR="00D84D94" w:rsidRDefault="00D84D94">
      <w:pPr>
        <w:pStyle w:val="HChGC"/>
        <w:rPr>
          <w:rFonts w:hint="eastAsia"/>
          <w:lang w:val="en-GB"/>
        </w:rPr>
      </w:pPr>
      <w:r>
        <w:br w:type="page"/>
      </w:r>
      <w:r>
        <w:tab/>
      </w:r>
      <w:r>
        <w:rPr>
          <w:rFonts w:hint="eastAsia"/>
          <w:lang w:val="en-GB"/>
        </w:rPr>
        <w:t>一</w:t>
      </w:r>
      <w:r>
        <w:rPr>
          <w:rFonts w:hint="eastAsia"/>
          <w:lang w:val="en-GB"/>
        </w:rPr>
        <w:t>.</w:t>
      </w:r>
      <w:r>
        <w:rPr>
          <w:lang w:val="en-GB"/>
        </w:rPr>
        <w:tab/>
      </w:r>
      <w:r>
        <w:rPr>
          <w:rFonts w:hint="eastAsia"/>
          <w:lang w:val="en-GB"/>
        </w:rPr>
        <w:t>导言</w:t>
      </w:r>
    </w:p>
    <w:p w:rsidR="00D84D94" w:rsidRDefault="00D84D94">
      <w:pPr>
        <w:pStyle w:val="SingleTxtGC"/>
        <w:rPr>
          <w:rFonts w:hint="eastAsia"/>
          <w:lang w:val="en-GB"/>
        </w:rPr>
      </w:pPr>
      <w:r>
        <w:rPr>
          <w:lang w:val="en-GB"/>
        </w:rPr>
        <w:t xml:space="preserve">1.  </w:t>
      </w:r>
      <w:r>
        <w:rPr>
          <w:rFonts w:hint="eastAsia"/>
          <w:lang w:val="en-GB"/>
        </w:rPr>
        <w:t>丹麦于</w:t>
      </w:r>
      <w:smartTag w:uri="urn:schemas-microsoft-com:office:smarttags" w:element="chsdate">
        <w:smartTagPr>
          <w:attr w:name="IsROCDate" w:val="False"/>
          <w:attr w:name="IsLunarDate" w:val="False"/>
          <w:attr w:name="Day" w:val="24"/>
          <w:attr w:name="Month" w:val="8"/>
          <w:attr w:name="Year" w:val="2009"/>
        </w:smartTagPr>
        <w:r>
          <w:rPr>
            <w:rFonts w:hint="eastAsia"/>
            <w:lang w:val="en-GB"/>
          </w:rPr>
          <w:t>2009</w:t>
        </w:r>
        <w:r>
          <w:rPr>
            <w:rFonts w:hint="eastAsia"/>
            <w:lang w:val="en-GB"/>
          </w:rPr>
          <w:t>年</w:t>
        </w:r>
        <w:r>
          <w:rPr>
            <w:rFonts w:hint="eastAsia"/>
            <w:lang w:val="en-GB"/>
          </w:rPr>
          <w:t>8</w:t>
        </w:r>
        <w:r>
          <w:rPr>
            <w:rFonts w:hint="eastAsia"/>
            <w:lang w:val="en-GB"/>
          </w:rPr>
          <w:t>月</w:t>
        </w:r>
        <w:r>
          <w:rPr>
            <w:rFonts w:hint="eastAsia"/>
            <w:lang w:val="en-GB"/>
          </w:rPr>
          <w:t>24</w:t>
        </w:r>
        <w:r>
          <w:rPr>
            <w:rFonts w:hint="eastAsia"/>
            <w:lang w:val="en-GB"/>
          </w:rPr>
          <w:t>日</w:t>
        </w:r>
      </w:smartTag>
      <w:r>
        <w:rPr>
          <w:rFonts w:hint="eastAsia"/>
          <w:lang w:val="en-GB"/>
        </w:rPr>
        <w:t>批准</w:t>
      </w:r>
      <w:smartTag w:uri="urn:schemas-microsoft-com:office:smarttags" w:element="chsdate">
        <w:smartTagPr>
          <w:attr w:name="IsROCDate" w:val="False"/>
          <w:attr w:name="IsLunarDate" w:val="False"/>
          <w:attr w:name="Day" w:val="13"/>
          <w:attr w:name="Month" w:val="12"/>
          <w:attr w:name="Year" w:val="2006"/>
        </w:smartTagPr>
        <w:r>
          <w:rPr>
            <w:rFonts w:hint="eastAsia"/>
            <w:lang w:val="en-GB"/>
          </w:rPr>
          <w:t>2006</w:t>
        </w:r>
        <w:r>
          <w:rPr>
            <w:rFonts w:hint="eastAsia"/>
            <w:lang w:val="en-GB"/>
          </w:rPr>
          <w:t>年</w:t>
        </w:r>
        <w:r>
          <w:rPr>
            <w:rFonts w:hint="eastAsia"/>
            <w:lang w:val="en-GB"/>
          </w:rPr>
          <w:t>12</w:t>
        </w:r>
        <w:r>
          <w:rPr>
            <w:rFonts w:hint="eastAsia"/>
            <w:lang w:val="en-GB"/>
          </w:rPr>
          <w:t>月</w:t>
        </w:r>
        <w:r>
          <w:rPr>
            <w:rFonts w:hint="eastAsia"/>
            <w:lang w:val="en-GB"/>
          </w:rPr>
          <w:t>13</w:t>
        </w:r>
        <w:r>
          <w:rPr>
            <w:rFonts w:hint="eastAsia"/>
            <w:lang w:val="en-GB"/>
          </w:rPr>
          <w:t>日</w:t>
        </w:r>
      </w:smartTag>
      <w:r>
        <w:rPr>
          <w:rFonts w:hint="eastAsia"/>
          <w:lang w:val="en-GB"/>
        </w:rPr>
        <w:t>的《残疾人权利公约》。各缔约国批准《公约》即承诺，制定符合《公约》规定的国内立法和行政惯例。丹麦是毫无豁免地批准《公约》的。</w:t>
      </w:r>
    </w:p>
    <w:p w:rsidR="00D84D94" w:rsidRDefault="00D84D94">
      <w:pPr>
        <w:pStyle w:val="SingleTxtGC"/>
        <w:rPr>
          <w:rFonts w:hint="eastAsia"/>
          <w:lang w:val="en-GB"/>
        </w:rPr>
      </w:pPr>
      <w:r>
        <w:rPr>
          <w:lang w:val="en-GB"/>
        </w:rPr>
        <w:t xml:space="preserve">2.  </w:t>
      </w:r>
      <w:r>
        <w:rPr>
          <w:rFonts w:hint="eastAsia"/>
          <w:lang w:val="en-GB"/>
        </w:rPr>
        <w:t>根据《公约》第三十五条，每一个缔约国均必须</w:t>
      </w:r>
      <w:r>
        <w:rPr>
          <w:lang w:val="en-GB"/>
        </w:rPr>
        <w:t>在</w:t>
      </w:r>
      <w:r>
        <w:rPr>
          <w:rFonts w:hint="eastAsia"/>
          <w:lang w:val="en-GB"/>
        </w:rPr>
        <w:t>《</w:t>
      </w:r>
      <w:r>
        <w:rPr>
          <w:lang w:val="en-GB"/>
        </w:rPr>
        <w:t>公约</w:t>
      </w:r>
      <w:r>
        <w:rPr>
          <w:rFonts w:hint="eastAsia"/>
          <w:lang w:val="en-GB"/>
        </w:rPr>
        <w:t>》</w:t>
      </w:r>
      <w:r>
        <w:rPr>
          <w:lang w:val="en-GB"/>
        </w:rPr>
        <w:t>对其生效后两年内</w:t>
      </w:r>
      <w:r>
        <w:rPr>
          <w:rFonts w:hint="eastAsia"/>
          <w:lang w:val="en-GB"/>
        </w:rPr>
        <w:t>，向委员会</w:t>
      </w:r>
      <w:r>
        <w:rPr>
          <w:lang w:val="en-GB"/>
        </w:rPr>
        <w:t>提交</w:t>
      </w:r>
      <w:r>
        <w:rPr>
          <w:rFonts w:hint="eastAsia"/>
          <w:lang w:val="en-GB"/>
        </w:rPr>
        <w:t>初次</w:t>
      </w:r>
      <w:r>
        <w:rPr>
          <w:lang w:val="en-GB"/>
        </w:rPr>
        <w:t>报告，说明为履行</w:t>
      </w:r>
      <w:r>
        <w:rPr>
          <w:rFonts w:hint="eastAsia"/>
          <w:lang w:val="en-GB"/>
        </w:rPr>
        <w:t>《</w:t>
      </w:r>
      <w:r>
        <w:rPr>
          <w:lang w:val="en-GB"/>
        </w:rPr>
        <w:t>公约</w:t>
      </w:r>
      <w:r>
        <w:rPr>
          <w:rFonts w:hint="eastAsia"/>
          <w:lang w:val="en-GB"/>
        </w:rPr>
        <w:t>》</w:t>
      </w:r>
      <w:r>
        <w:rPr>
          <w:lang w:val="en-GB"/>
        </w:rPr>
        <w:t>规定的义务而采取的措施和在这方面取得的进展</w:t>
      </w:r>
      <w:r>
        <w:rPr>
          <w:rFonts w:hint="eastAsia"/>
          <w:lang w:val="en-GB"/>
        </w:rPr>
        <w:t>。</w:t>
      </w:r>
      <w:r>
        <w:rPr>
          <w:lang w:val="en-GB"/>
        </w:rPr>
        <w:t>其后，缔约国至少</w:t>
      </w:r>
      <w:r>
        <w:rPr>
          <w:rFonts w:hint="eastAsia"/>
          <w:lang w:val="en-GB"/>
        </w:rPr>
        <w:t>必须</w:t>
      </w:r>
      <w:r>
        <w:rPr>
          <w:lang w:val="en-GB"/>
        </w:rPr>
        <w:t>每四年提交一次报告。</w:t>
      </w:r>
      <w:r>
        <w:rPr>
          <w:rFonts w:hint="eastAsia"/>
          <w:lang w:val="en-GB"/>
        </w:rPr>
        <w:t>本报告是丹麦依照《公约》第三十五条提交的初次报告。</w:t>
      </w:r>
    </w:p>
    <w:p w:rsidR="00D84D94" w:rsidRDefault="00D84D94">
      <w:pPr>
        <w:pStyle w:val="SingleTxtGC"/>
        <w:rPr>
          <w:rFonts w:hint="eastAsia"/>
          <w:lang w:val="en-GB"/>
        </w:rPr>
      </w:pPr>
      <w:r>
        <w:rPr>
          <w:lang w:val="en-GB"/>
        </w:rPr>
        <w:t xml:space="preserve">3.  </w:t>
      </w:r>
      <w:r>
        <w:rPr>
          <w:rFonts w:hint="eastAsia"/>
          <w:lang w:val="en-GB"/>
        </w:rPr>
        <w:t>关于丹麦的基本信息，包括其保护和促进人权、不歧视和平等待遇的总体框架，将在一份单独的更新文件中提供，该文件目前正在编写之中。</w:t>
      </w:r>
    </w:p>
    <w:p w:rsidR="00D84D94" w:rsidRDefault="00D84D94">
      <w:pPr>
        <w:pStyle w:val="H23GC"/>
        <w:rPr>
          <w:rFonts w:hint="eastAsia"/>
          <w:lang w:val="en-GB"/>
        </w:rPr>
      </w:pPr>
      <w:r>
        <w:rPr>
          <w:lang w:val="en-GB"/>
        </w:rPr>
        <w:tab/>
      </w:r>
      <w:r>
        <w:rPr>
          <w:lang w:val="en-GB"/>
        </w:rPr>
        <w:tab/>
      </w:r>
      <w:r>
        <w:rPr>
          <w:rFonts w:hint="eastAsia"/>
          <w:lang w:val="en-GB"/>
        </w:rPr>
        <w:t>本报告的结构</w:t>
      </w:r>
    </w:p>
    <w:p w:rsidR="00D84D94" w:rsidRDefault="00D84D94">
      <w:pPr>
        <w:pStyle w:val="SingleTxtGC"/>
        <w:rPr>
          <w:rFonts w:hint="eastAsia"/>
          <w:lang w:val="en-GB"/>
        </w:rPr>
      </w:pPr>
      <w:r>
        <w:rPr>
          <w:lang w:val="en-GB"/>
        </w:rPr>
        <w:t xml:space="preserve">4.  </w:t>
      </w:r>
      <w:r>
        <w:rPr>
          <w:rFonts w:hint="eastAsia"/>
          <w:lang w:val="en-GB"/>
        </w:rPr>
        <w:t>在组织编写本报告时，丹麦努力遵循联合国关于定期报告的形式和内容的基本准则和残疾人权利委员会发布的准则</w:t>
      </w:r>
      <w:r>
        <w:rPr>
          <w:rFonts w:hint="eastAsia"/>
          <w:lang w:val="en-GB"/>
        </w:rPr>
        <w:t>(</w:t>
      </w:r>
      <w:r>
        <w:rPr>
          <w:lang w:val="en-GB"/>
        </w:rPr>
        <w:t>CRPD/C/23</w:t>
      </w:r>
      <w:r>
        <w:rPr>
          <w:rFonts w:hint="eastAsia"/>
          <w:lang w:val="en-GB"/>
        </w:rPr>
        <w:t>)</w:t>
      </w:r>
      <w:r>
        <w:rPr>
          <w:rFonts w:hint="eastAsia"/>
          <w:lang w:val="en-GB"/>
        </w:rPr>
        <w:t>。</w:t>
      </w:r>
    </w:p>
    <w:p w:rsidR="00D84D94" w:rsidRDefault="00D84D94">
      <w:pPr>
        <w:pStyle w:val="SingleTxtGC"/>
        <w:rPr>
          <w:rFonts w:hint="eastAsia"/>
          <w:lang w:val="en-GB"/>
        </w:rPr>
      </w:pPr>
      <w:r>
        <w:rPr>
          <w:lang w:val="en-GB"/>
        </w:rPr>
        <w:t xml:space="preserve">5.  </w:t>
      </w:r>
      <w:r>
        <w:rPr>
          <w:rFonts w:hint="eastAsia"/>
          <w:lang w:val="en-GB"/>
        </w:rPr>
        <w:t>一般而言，本报告涵盖</w:t>
      </w:r>
      <w:r>
        <w:rPr>
          <w:lang w:val="en-GB"/>
        </w:rPr>
        <w:t>2009-2011</w:t>
      </w:r>
      <w:r>
        <w:rPr>
          <w:rFonts w:hint="eastAsia"/>
          <w:lang w:val="en-GB"/>
        </w:rPr>
        <w:t>年期间。可能之时，本报告还会介绍此后通过的立法及将来要采取的措施，这些立法和措施的最终结果如何取决于是否通过一项议案，或者完成一项研究或举措，但是我们认为它们对于说明特定领域目前的政治趋势还是有用的。</w:t>
      </w:r>
    </w:p>
    <w:p w:rsidR="00D84D94" w:rsidRDefault="00D84D94">
      <w:pPr>
        <w:pStyle w:val="SingleTxtGC"/>
        <w:rPr>
          <w:rFonts w:hint="eastAsia"/>
          <w:lang w:val="en-GB"/>
        </w:rPr>
      </w:pPr>
      <w:r>
        <w:rPr>
          <w:lang w:val="en-GB"/>
        </w:rPr>
        <w:t xml:space="preserve">6.  </w:t>
      </w:r>
      <w:r>
        <w:rPr>
          <w:rFonts w:hint="eastAsia"/>
          <w:lang w:val="en-GB"/>
        </w:rPr>
        <w:t>在编写本报告期间，与负责监测《公约》实施情况的有关各方，包括丹麦人权研究所</w:t>
      </w:r>
      <w:r>
        <w:rPr>
          <w:rFonts w:hint="eastAsia"/>
          <w:lang w:val="en-GB"/>
        </w:rPr>
        <w:t>(</w:t>
      </w:r>
      <w:r>
        <w:rPr>
          <w:rFonts w:hint="eastAsia"/>
          <w:lang w:val="en-GB"/>
        </w:rPr>
        <w:t>人权所</w:t>
      </w:r>
      <w:r>
        <w:rPr>
          <w:rFonts w:hint="eastAsia"/>
          <w:lang w:val="en-GB"/>
        </w:rPr>
        <w:t>)</w:t>
      </w:r>
      <w:r>
        <w:rPr>
          <w:rFonts w:hint="eastAsia"/>
          <w:lang w:val="en-GB"/>
        </w:rPr>
        <w:t>，以及丹麦的广大残疾组织举行了一次对话会议。会上，社会事务部作为负责协调残疾事务的部委，介绍了政府的报告工作以及教育与无障碍环境问题。人权所、丹麦学习残疾问题全国协会</w:t>
      </w:r>
      <w:r>
        <w:rPr>
          <w:rFonts w:hint="eastAsia"/>
          <w:lang w:val="en-GB"/>
        </w:rPr>
        <w:t>(</w:t>
      </w:r>
      <w:r>
        <w:rPr>
          <w:rFonts w:hint="eastAsia"/>
          <w:lang w:val="en-GB"/>
        </w:rPr>
        <w:t>学习残疾协会</w:t>
      </w:r>
      <w:r>
        <w:rPr>
          <w:rFonts w:hint="eastAsia"/>
          <w:lang w:val="en-GB"/>
        </w:rPr>
        <w:t>)</w:t>
      </w:r>
      <w:r>
        <w:rPr>
          <w:rFonts w:hint="eastAsia"/>
          <w:lang w:val="en-GB"/>
        </w:rPr>
        <w:t>、</w:t>
      </w:r>
      <w:r>
        <w:rPr>
          <w:rFonts w:hint="eastAsia"/>
          <w:lang w:val="en-GB"/>
        </w:rPr>
        <w:t>LAP(</w:t>
      </w:r>
      <w:r>
        <w:rPr>
          <w:rFonts w:hint="eastAsia"/>
          <w:lang w:val="en-GB"/>
        </w:rPr>
        <w:t>精神病学</w:t>
      </w:r>
      <w:r>
        <w:rPr>
          <w:rFonts w:hint="eastAsia"/>
          <w:lang w:val="en-GB"/>
        </w:rPr>
        <w:t>(</w:t>
      </w:r>
      <w:r>
        <w:rPr>
          <w:rFonts w:hint="eastAsia"/>
          <w:lang w:val="en-GB"/>
        </w:rPr>
        <w:t>前</w:t>
      </w:r>
      <w:r>
        <w:rPr>
          <w:rFonts w:hint="eastAsia"/>
          <w:lang w:val="en-GB"/>
        </w:rPr>
        <w:t>)</w:t>
      </w:r>
      <w:r>
        <w:rPr>
          <w:rFonts w:hint="eastAsia"/>
          <w:lang w:val="en-GB"/>
        </w:rPr>
        <w:t>用户组织</w:t>
      </w:r>
      <w:r>
        <w:rPr>
          <w:rFonts w:hint="eastAsia"/>
          <w:lang w:val="en-GB"/>
        </w:rPr>
        <w:t>)</w:t>
      </w:r>
      <w:r>
        <w:rPr>
          <w:rFonts w:hint="eastAsia"/>
          <w:lang w:val="en-GB"/>
        </w:rPr>
        <w:t>以及丹麦</w:t>
      </w:r>
      <w:r>
        <w:rPr>
          <w:lang w:val="en-GB"/>
        </w:rPr>
        <w:t>脊髓灰质炎</w:t>
      </w:r>
      <w:r>
        <w:rPr>
          <w:rFonts w:hint="eastAsia"/>
          <w:lang w:val="en-GB"/>
        </w:rPr>
        <w:t>和事故受害者协会等组织应邀作了发言，介绍它们对于报告工作的看法，以及他们认为实施《公约》有哪些特别挑战。此次对话会议之后，本报告最终定稿。</w:t>
      </w:r>
    </w:p>
    <w:p w:rsidR="00D84D94" w:rsidRDefault="00D84D94">
      <w:pPr>
        <w:pStyle w:val="H23GC"/>
        <w:rPr>
          <w:lang w:val="en-GB"/>
        </w:rPr>
      </w:pPr>
      <w:r>
        <w:rPr>
          <w:lang w:val="en-GB"/>
        </w:rPr>
        <w:tab/>
      </w:r>
      <w:r>
        <w:rPr>
          <w:lang w:val="en-GB"/>
        </w:rPr>
        <w:tab/>
      </w:r>
      <w:r>
        <w:rPr>
          <w:rFonts w:hint="eastAsia"/>
          <w:lang w:val="en-GB"/>
        </w:rPr>
        <w:t>法罗群岛和格陵兰</w:t>
      </w:r>
    </w:p>
    <w:p w:rsidR="00D84D94" w:rsidRDefault="00D84D94">
      <w:pPr>
        <w:pStyle w:val="SingleTxtGC"/>
        <w:rPr>
          <w:rFonts w:hint="eastAsia"/>
        </w:rPr>
      </w:pPr>
      <w:r>
        <w:t xml:space="preserve">7.  </w:t>
      </w:r>
      <w:r>
        <w:rPr>
          <w:rFonts w:hint="eastAsia"/>
        </w:rPr>
        <w:t>《宪法》适用于丹麦王国的每一部分，因此也适用于格陵兰和法罗群岛。格陵兰和法罗群岛已经建立起自治体系。《宪法》规定的公民权和人权在法罗群岛和格陵兰不加限制地适用。</w:t>
      </w:r>
    </w:p>
    <w:p w:rsidR="00D84D94" w:rsidRDefault="00D84D94">
      <w:pPr>
        <w:pStyle w:val="SingleTxtGC"/>
        <w:rPr>
          <w:rFonts w:hint="eastAsia"/>
          <w:lang w:val="en-GB"/>
        </w:rPr>
      </w:pPr>
      <w:r>
        <w:rPr>
          <w:lang w:val="en-GB"/>
        </w:rPr>
        <w:t xml:space="preserve">8.  </w:t>
      </w:r>
      <w:r>
        <w:rPr>
          <w:rFonts w:hint="eastAsia"/>
          <w:lang w:val="en-GB"/>
        </w:rPr>
        <w:t>依照法律，丹麦赋予格陵兰自治政府和法罗政府广泛的政策空间。为确保综合介绍在这一背景下适用于格陵兰或法罗群岛的特别立法、行政和实践等事项，我们在第六和第七章中对他们予以单独说明。</w:t>
      </w:r>
    </w:p>
    <w:p w:rsidR="00D84D94" w:rsidRDefault="00D84D94">
      <w:pPr>
        <w:pStyle w:val="H23GC"/>
        <w:rPr>
          <w:rFonts w:hint="eastAsia"/>
          <w:lang w:val="en-GB"/>
        </w:rPr>
      </w:pPr>
      <w:r>
        <w:rPr>
          <w:lang w:val="en-GB"/>
        </w:rPr>
        <w:tab/>
      </w:r>
      <w:r>
        <w:rPr>
          <w:lang w:val="en-GB"/>
        </w:rPr>
        <w:tab/>
      </w:r>
      <w:r>
        <w:rPr>
          <w:rFonts w:hint="eastAsia"/>
          <w:lang w:val="en-GB"/>
        </w:rPr>
        <w:t>公共部门的分工</w:t>
      </w:r>
    </w:p>
    <w:p w:rsidR="00D84D94" w:rsidRDefault="00D84D94">
      <w:pPr>
        <w:pStyle w:val="SingleTxtGC"/>
        <w:rPr>
          <w:rFonts w:hint="eastAsia"/>
          <w:lang w:val="en-GB"/>
        </w:rPr>
      </w:pPr>
      <w:r>
        <w:rPr>
          <w:lang w:val="en-GB"/>
        </w:rPr>
        <w:t xml:space="preserve">9.  </w:t>
      </w:r>
      <w:r>
        <w:rPr>
          <w:rFonts w:hint="eastAsia"/>
          <w:lang w:val="en-GB"/>
        </w:rPr>
        <w:t>在行政上，丹麦被划分为五个地区和</w:t>
      </w:r>
      <w:r>
        <w:rPr>
          <w:rFonts w:hint="eastAsia"/>
          <w:lang w:val="en-GB"/>
        </w:rPr>
        <w:t>98</w:t>
      </w:r>
      <w:r>
        <w:rPr>
          <w:rFonts w:hint="eastAsia"/>
          <w:lang w:val="en-GB"/>
        </w:rPr>
        <w:t>个市镇。在公共部门，国家规定总体框架并处理不适宜委派给市镇或地区的工作。这类工作包括治安、武装部队、司法系统、对外事务和发展援助、高等教育以及研究。地区负责卫生部门，并负责拟订地区发展计划和代表市镇开展某些业务活动。市镇履行大部分直接针对公民的任务。</w:t>
      </w:r>
    </w:p>
    <w:p w:rsidR="00D84D94" w:rsidRDefault="00D84D94">
      <w:pPr>
        <w:pStyle w:val="H23GC"/>
        <w:rPr>
          <w:rFonts w:hint="eastAsia"/>
          <w:lang w:val="en-GB"/>
        </w:rPr>
      </w:pPr>
      <w:r>
        <w:rPr>
          <w:lang w:val="en-GB"/>
        </w:rPr>
        <w:tab/>
      </w:r>
      <w:r>
        <w:rPr>
          <w:lang w:val="en-GB"/>
        </w:rPr>
        <w:tab/>
      </w:r>
      <w:r>
        <w:rPr>
          <w:rFonts w:hint="eastAsia"/>
          <w:lang w:val="en-GB"/>
        </w:rPr>
        <w:t>部门问责制原则</w:t>
      </w:r>
    </w:p>
    <w:p w:rsidR="00D84D94" w:rsidRDefault="00D84D94">
      <w:pPr>
        <w:pStyle w:val="SingleTxtGC"/>
        <w:rPr>
          <w:rFonts w:hint="eastAsia"/>
          <w:lang w:val="en-GB"/>
        </w:rPr>
      </w:pPr>
      <w:r>
        <w:rPr>
          <w:lang w:val="en-GB"/>
        </w:rPr>
        <w:t xml:space="preserve">10.  </w:t>
      </w:r>
      <w:r>
        <w:rPr>
          <w:rFonts w:hint="eastAsia"/>
          <w:lang w:val="en-GB"/>
        </w:rPr>
        <w:t>残疾领域适用部门问责原则，因此向健全人员提供某种服务或产品的公共机构，也负责向本市镇的残疾人提供该种服务或产品，并负责使其成为无障碍的服务或产品。</w:t>
      </w:r>
    </w:p>
    <w:p w:rsidR="00D84D94" w:rsidRDefault="00D84D94">
      <w:pPr>
        <w:pStyle w:val="SingleTxtGC"/>
        <w:rPr>
          <w:rFonts w:hint="eastAsia"/>
          <w:lang w:val="en-GB"/>
        </w:rPr>
      </w:pPr>
      <w:r>
        <w:rPr>
          <w:lang w:val="en-GB"/>
        </w:rPr>
        <w:t xml:space="preserve">11.  </w:t>
      </w:r>
      <w:r>
        <w:rPr>
          <w:rFonts w:hint="eastAsia"/>
          <w:lang w:val="en-GB"/>
        </w:rPr>
        <w:t>这一模式确保了残疾领域的活动不是社会部门的专有责任，包括住房、卫生、交通、劳动力市场、教育和通信部门在内的所有方面均涉足残疾领域的活动。</w:t>
      </w:r>
    </w:p>
    <w:p w:rsidR="00D84D94" w:rsidRDefault="00D84D94">
      <w:pPr>
        <w:pStyle w:val="SingleTxtGC"/>
        <w:rPr>
          <w:rFonts w:hint="eastAsia"/>
          <w:lang w:val="en-GB"/>
        </w:rPr>
      </w:pPr>
      <w:r>
        <w:rPr>
          <w:lang w:val="en-GB"/>
        </w:rPr>
        <w:t xml:space="preserve">12.  </w:t>
      </w:r>
      <w:r>
        <w:rPr>
          <w:rFonts w:hint="eastAsia"/>
          <w:lang w:val="en-GB"/>
        </w:rPr>
        <w:t>在残疾领域，这项原则意味着各项任务必须在通常履行它们的部门履行，而不是仅仅由于它们所面向的人有功能障碍或工作能力受损，就将其转移给一个专门部门，例如社会部门。</w:t>
      </w:r>
    </w:p>
    <w:p w:rsidR="00D84D94" w:rsidRDefault="00D84D94">
      <w:pPr>
        <w:pStyle w:val="H23GC"/>
        <w:rPr>
          <w:rFonts w:hint="eastAsia"/>
          <w:lang w:val="en-GB"/>
        </w:rPr>
      </w:pPr>
      <w:r>
        <w:rPr>
          <w:lang w:val="en-GB"/>
        </w:rPr>
        <w:tab/>
      </w:r>
      <w:r>
        <w:rPr>
          <w:lang w:val="en-GB"/>
        </w:rPr>
        <w:tab/>
      </w:r>
      <w:r>
        <w:rPr>
          <w:rFonts w:hint="eastAsia"/>
          <w:lang w:val="en-GB"/>
        </w:rPr>
        <w:t>经济和人口挑战</w:t>
      </w:r>
    </w:p>
    <w:p w:rsidR="00D84D94" w:rsidRDefault="00D84D94">
      <w:pPr>
        <w:pStyle w:val="SingleTxtGC"/>
        <w:rPr>
          <w:rFonts w:hint="eastAsia"/>
          <w:lang w:val="en-GB"/>
        </w:rPr>
      </w:pPr>
      <w:r>
        <w:rPr>
          <w:lang w:val="en-GB"/>
        </w:rPr>
        <w:t xml:space="preserve">13.  </w:t>
      </w:r>
      <w:r>
        <w:rPr>
          <w:rFonts w:hint="eastAsia"/>
          <w:lang w:val="en-GB"/>
        </w:rPr>
        <w:t>在编写本报告之时，丹麦的经济面临未来几年的严峻挑战。公共财政从前几年的大量盈余逆转为出现赤字。因此，公债与日俱增，而利息的支出也日益增多。与此同时，丹麦的工作年龄人口和老年人口数量则在减少。</w:t>
      </w:r>
    </w:p>
    <w:p w:rsidR="00D84D94" w:rsidRDefault="00D84D94">
      <w:pPr>
        <w:pStyle w:val="SingleTxtGC"/>
        <w:rPr>
          <w:rFonts w:hint="eastAsia"/>
          <w:lang w:val="en-GB"/>
        </w:rPr>
      </w:pPr>
      <w:r>
        <w:rPr>
          <w:lang w:val="en-GB"/>
        </w:rPr>
        <w:t xml:space="preserve">14.  </w:t>
      </w:r>
      <w:r>
        <w:rPr>
          <w:rFonts w:hint="eastAsia"/>
          <w:lang w:val="en-GB"/>
        </w:rPr>
        <w:t>制定了一个直至</w:t>
      </w:r>
      <w:r>
        <w:rPr>
          <w:rFonts w:hint="eastAsia"/>
          <w:lang w:val="en-GB"/>
        </w:rPr>
        <w:t>2013</w:t>
      </w:r>
      <w:r>
        <w:rPr>
          <w:rFonts w:hint="eastAsia"/>
          <w:lang w:val="en-GB"/>
        </w:rPr>
        <w:t>年的市政服务开支框架</w:t>
      </w:r>
      <w:r>
        <w:rPr>
          <w:rFonts w:hint="eastAsia"/>
          <w:lang w:val="en-GB"/>
        </w:rPr>
        <w:t>(</w:t>
      </w:r>
      <w:r>
        <w:rPr>
          <w:rFonts w:hint="eastAsia"/>
          <w:lang w:val="en-GB"/>
        </w:rPr>
        <w:t>《经济翻身计划》</w:t>
      </w:r>
      <w:r>
        <w:rPr>
          <w:rFonts w:hint="eastAsia"/>
          <w:lang w:val="en-GB"/>
        </w:rPr>
        <w:t>)</w:t>
      </w:r>
      <w:r>
        <w:rPr>
          <w:rFonts w:hint="eastAsia"/>
          <w:lang w:val="en-GB"/>
        </w:rPr>
        <w:t>。据此，市镇公民福利方面的支出在</w:t>
      </w:r>
      <w:r>
        <w:rPr>
          <w:rFonts w:hint="eastAsia"/>
          <w:lang w:val="en-GB"/>
        </w:rPr>
        <w:t>2013</w:t>
      </w:r>
      <w:r>
        <w:rPr>
          <w:rFonts w:hint="eastAsia"/>
          <w:lang w:val="en-GB"/>
        </w:rPr>
        <w:t>年之前将保持不变。该计划使各市镇能够将支出维持在</w:t>
      </w:r>
      <w:r>
        <w:rPr>
          <w:rFonts w:hint="eastAsia"/>
          <w:lang w:val="en-GB"/>
        </w:rPr>
        <w:t>2010</w:t>
      </w:r>
      <w:r>
        <w:rPr>
          <w:rFonts w:hint="eastAsia"/>
          <w:lang w:val="en-GB"/>
        </w:rPr>
        <w:t>年的预算水平上。</w:t>
      </w:r>
    </w:p>
    <w:p w:rsidR="00D84D94" w:rsidRDefault="00D84D94">
      <w:pPr>
        <w:pStyle w:val="SingleTxtGC"/>
        <w:rPr>
          <w:rFonts w:hint="eastAsia"/>
          <w:lang w:val="en-GB"/>
        </w:rPr>
      </w:pPr>
      <w:r>
        <w:rPr>
          <w:lang w:val="en-GB"/>
        </w:rPr>
        <w:t xml:space="preserve">15.  </w:t>
      </w:r>
      <w:r>
        <w:rPr>
          <w:rFonts w:hint="eastAsia"/>
          <w:lang w:val="en-GB"/>
        </w:rPr>
        <w:t>鉴于未来几年的这种财政状况，增加公共支出的可能性不大，因此各市镇与国家政府一致认为，必须立足现有经济基础发展地方服务。</w:t>
      </w:r>
    </w:p>
    <w:p w:rsidR="00D84D94" w:rsidRDefault="00D84D94">
      <w:pPr>
        <w:pStyle w:val="SingleTxtGC"/>
        <w:rPr>
          <w:rFonts w:hint="eastAsia"/>
          <w:lang w:val="en-GB"/>
        </w:rPr>
      </w:pPr>
      <w:r>
        <w:rPr>
          <w:lang w:val="en-GB"/>
        </w:rPr>
        <w:t xml:space="preserve">16.  </w:t>
      </w:r>
      <w:r>
        <w:rPr>
          <w:rFonts w:hint="eastAsia"/>
          <w:lang w:val="en-GB"/>
        </w:rPr>
        <w:t>丹麦面临的挑战是，从劳动力市场退出者多于加入者，这种人口发展趋势将使劳动力供应大幅减少。</w:t>
      </w:r>
    </w:p>
    <w:p w:rsidR="00D84D94" w:rsidRDefault="00D84D94">
      <w:pPr>
        <w:pStyle w:val="SingleTxtGC"/>
        <w:rPr>
          <w:rFonts w:hint="eastAsia"/>
          <w:lang w:val="en-GB"/>
        </w:rPr>
      </w:pPr>
      <w:r>
        <w:rPr>
          <w:lang w:val="en-GB"/>
        </w:rPr>
        <w:t xml:space="preserve">17.  </w:t>
      </w:r>
      <w:r>
        <w:rPr>
          <w:rFonts w:hint="eastAsia"/>
          <w:lang w:val="en-GB"/>
        </w:rPr>
        <w:t>市镇负责履行福利方面的任务，而上述各种挑战共同作用，对履行该任务的组织提出了大量要求。各市镇已经启动调整所有重大任务领域服务的进程。它们目前正在进行结构改革，为公民开创新的服务和解决方案。</w:t>
      </w:r>
    </w:p>
    <w:p w:rsidR="00D84D94" w:rsidRDefault="00D84D94">
      <w:pPr>
        <w:pStyle w:val="SingleTxtGC"/>
        <w:rPr>
          <w:rFonts w:hint="eastAsia"/>
          <w:lang w:val="en-GB"/>
        </w:rPr>
      </w:pPr>
      <w:r>
        <w:rPr>
          <w:lang w:val="en-GB"/>
        </w:rPr>
        <w:t xml:space="preserve">18.  </w:t>
      </w:r>
      <w:r>
        <w:rPr>
          <w:rFonts w:hint="eastAsia"/>
          <w:lang w:val="en-GB"/>
        </w:rPr>
        <w:t>各市镇发现其目前的处境要求它们在支出上必须精打细算，因此地方理事会必须将资金优先用于各个服务领域。</w:t>
      </w:r>
      <w:r>
        <w:rPr>
          <w:rFonts w:hint="eastAsia"/>
          <w:lang w:val="en-GB"/>
        </w:rPr>
        <w:t>2010</w:t>
      </w:r>
      <w:r>
        <w:rPr>
          <w:rFonts w:hint="eastAsia"/>
          <w:lang w:val="en-GB"/>
        </w:rPr>
        <w:t>年的市镇账目显示，残疾领域支出的增长速度放缓了。这种发展趋势应从近年来支出和预算超支明显增长的背景来看。因此，支出下降应被视为调整适应商定的经济框架的一个方面。其实，该经济框架已经处于历史高位了。</w:t>
      </w:r>
    </w:p>
    <w:p w:rsidR="00D84D94" w:rsidRDefault="00D84D94">
      <w:pPr>
        <w:pStyle w:val="SingleTxtGC"/>
        <w:rPr>
          <w:rFonts w:hint="eastAsia"/>
          <w:lang w:val="en-GB"/>
        </w:rPr>
      </w:pPr>
      <w:r>
        <w:rPr>
          <w:lang w:val="en-GB"/>
        </w:rPr>
        <w:t xml:space="preserve">19.  </w:t>
      </w:r>
      <w:r>
        <w:rPr>
          <w:rFonts w:hint="eastAsia"/>
          <w:lang w:val="en-GB"/>
        </w:rPr>
        <w:t>在关于下一年市镇经济的协议中，国家政府和各市镇一致认为，市镇仍需要在履行任务</w:t>
      </w:r>
      <w:r>
        <w:rPr>
          <w:rFonts w:hint="eastAsia"/>
          <w:spacing w:val="-60"/>
          <w:lang w:val="en-GB"/>
        </w:rPr>
        <w:t>―</w:t>
      </w:r>
      <w:r>
        <w:rPr>
          <w:rFonts w:hint="eastAsia"/>
          <w:spacing w:val="10"/>
          <w:lang w:val="en-GB"/>
        </w:rPr>
        <w:t>―</w:t>
      </w:r>
      <w:r>
        <w:rPr>
          <w:rFonts w:hint="eastAsia"/>
          <w:lang w:val="en-GB"/>
        </w:rPr>
        <w:t>公民服务和地方行政管理</w:t>
      </w:r>
      <w:r>
        <w:rPr>
          <w:rFonts w:hint="eastAsia"/>
          <w:spacing w:val="-60"/>
          <w:lang w:val="en-GB"/>
        </w:rPr>
        <w:t>―</w:t>
      </w:r>
      <w:r>
        <w:rPr>
          <w:rFonts w:hint="eastAsia"/>
          <w:spacing w:val="10"/>
          <w:lang w:val="en-GB"/>
        </w:rPr>
        <w:t>―</w:t>
      </w:r>
      <w:r>
        <w:rPr>
          <w:rFonts w:hint="eastAsia"/>
          <w:lang w:val="en-GB"/>
        </w:rPr>
        <w:t>中创新与改革。因此，可以投资于现代福利技术、任务履行数字化和自助解决方案。它们都是更有效地利用人力资源的</w:t>
      </w:r>
      <w:r>
        <w:rPr>
          <w:lang w:val="en-GB"/>
        </w:rPr>
        <w:t>密钥</w:t>
      </w:r>
      <w:r>
        <w:rPr>
          <w:rFonts w:hint="eastAsia"/>
          <w:lang w:val="en-GB"/>
        </w:rPr>
        <w:t>，能为优先提供与公民有关的服务创造空间。国家政府将支持各市镇的活动，特别是努力促成能帮助市镇在个别领域转型的举措。</w:t>
      </w:r>
    </w:p>
    <w:p w:rsidR="00D84D94" w:rsidRDefault="00D84D94">
      <w:pPr>
        <w:pStyle w:val="H23GC"/>
        <w:rPr>
          <w:rFonts w:hint="eastAsia"/>
          <w:lang w:val="en-GB"/>
        </w:rPr>
      </w:pPr>
      <w:r>
        <w:rPr>
          <w:lang w:val="en-GB"/>
        </w:rPr>
        <w:tab/>
      </w:r>
      <w:r>
        <w:rPr>
          <w:lang w:val="en-GB"/>
        </w:rPr>
        <w:tab/>
      </w:r>
      <w:r>
        <w:rPr>
          <w:rFonts w:hint="eastAsia"/>
          <w:lang w:val="en-GB"/>
        </w:rPr>
        <w:t>支持市镇转型</w:t>
      </w:r>
    </w:p>
    <w:p w:rsidR="00D84D94" w:rsidRDefault="00D84D94">
      <w:pPr>
        <w:pStyle w:val="SingleTxtGC"/>
        <w:rPr>
          <w:rFonts w:hint="eastAsia"/>
          <w:lang w:val="en-GB"/>
        </w:rPr>
      </w:pPr>
      <w:r>
        <w:rPr>
          <w:lang w:val="en-GB"/>
        </w:rPr>
        <w:t xml:space="preserve">20.  </w:t>
      </w:r>
      <w:r>
        <w:rPr>
          <w:rFonts w:hint="eastAsia"/>
          <w:lang w:val="en-GB"/>
        </w:rPr>
        <w:t>国家政府通过公共福利技术基金会支持市镇工作。该基金会系根据《</w:t>
      </w:r>
      <w:r>
        <w:rPr>
          <w:rFonts w:hint="eastAsia"/>
          <w:lang w:val="en-GB"/>
        </w:rPr>
        <w:t>2009</w:t>
      </w:r>
      <w:r>
        <w:rPr>
          <w:rFonts w:hint="eastAsia"/>
          <w:lang w:val="en-GB"/>
        </w:rPr>
        <w:t>年财政法案》设立。为投资于直至</w:t>
      </w:r>
      <w:r>
        <w:rPr>
          <w:rFonts w:hint="eastAsia"/>
          <w:lang w:val="en-GB"/>
        </w:rPr>
        <w:t>2016</w:t>
      </w:r>
      <w:r>
        <w:rPr>
          <w:rFonts w:hint="eastAsia"/>
          <w:lang w:val="en-GB"/>
        </w:rPr>
        <w:t>年的革新项目，已拨出</w:t>
      </w:r>
      <w:r>
        <w:rPr>
          <w:rFonts w:hint="eastAsia"/>
          <w:lang w:val="en-GB"/>
        </w:rPr>
        <w:t>30</w:t>
      </w:r>
      <w:r>
        <w:rPr>
          <w:rFonts w:hint="eastAsia"/>
          <w:lang w:val="en-GB"/>
        </w:rPr>
        <w:t>亿丹麦克朗。公共福利技术基金会投资于旨在通过利用节省劳动力的技术以及新的工作和组织形式释放资源用于公民服务的项目。该基金会的目的是在不影响质量的前提下提高公共部门的生产力。</w:t>
      </w:r>
    </w:p>
    <w:p w:rsidR="00D84D94" w:rsidRDefault="00D84D94">
      <w:pPr>
        <w:pStyle w:val="SingleTxtGC"/>
        <w:rPr>
          <w:rFonts w:hint="eastAsia"/>
          <w:lang w:val="en-GB"/>
        </w:rPr>
      </w:pPr>
      <w:r>
        <w:rPr>
          <w:lang w:val="en-GB"/>
        </w:rPr>
        <w:t xml:space="preserve">21.  </w:t>
      </w:r>
      <w:r>
        <w:rPr>
          <w:rFonts w:hint="eastAsia"/>
          <w:lang w:val="en-GB"/>
        </w:rPr>
        <w:t>各种最佳解决方案为用同样多的资源提供更多服务铺平了道路。在公共部门的许多领域，雇员可以利用同样多的工作资源提供更多、更好的服务。一个办法是给予雇员更好的工具，给予公民更加先进的援助，从而增强他们的独立性。</w:t>
      </w:r>
    </w:p>
    <w:p w:rsidR="00D84D94" w:rsidRDefault="00D84D94">
      <w:pPr>
        <w:pStyle w:val="SingleTxtGC"/>
        <w:rPr>
          <w:rFonts w:hint="eastAsia"/>
          <w:lang w:val="en-GB"/>
        </w:rPr>
      </w:pPr>
      <w:r>
        <w:rPr>
          <w:lang w:val="en-GB"/>
        </w:rPr>
        <w:t xml:space="preserve">22.  </w:t>
      </w:r>
      <w:r>
        <w:rPr>
          <w:rFonts w:hint="eastAsia"/>
          <w:lang w:val="en-GB"/>
        </w:rPr>
        <w:t>对于雇员而言，新的技术解决方案意味着工作可以组织得更好，因而往往也更容易做且做得更快。这会使他们的工作更加有趣，而且所造成的功能障碍也会减少。对于公民而言，它们意味着更灵活的服务和更加安全。对于个别市镇或地区的政治家而言，它们会释放出资源用于其他用途。另一个例子是国家政府与地方政府联手致力于残疾人和社会弱势人员案件处理工作的数字化。</w:t>
      </w:r>
    </w:p>
    <w:p w:rsidR="00D84D94" w:rsidRDefault="00D84D94">
      <w:pPr>
        <w:pStyle w:val="SingleTxtGC"/>
        <w:rPr>
          <w:rFonts w:hint="eastAsia"/>
          <w:lang w:val="en-GB"/>
        </w:rPr>
      </w:pPr>
      <w:r>
        <w:rPr>
          <w:lang w:val="en-GB"/>
        </w:rPr>
        <w:t xml:space="preserve">23.  </w:t>
      </w:r>
      <w:r>
        <w:rPr>
          <w:rFonts w:hint="eastAsia"/>
          <w:lang w:val="en-GB"/>
        </w:rPr>
        <w:t>数字化的目标是改进信息技术支持，制订这方面通用方法，创建以公民为重点的、更加综合和多学科的活动。数字化使我们能够更加高瞻远瞩，以更加系统的方法处理案件、订购和供应社会服务，能够根据最新有效数据有的放矢地开展工作，提高检索管理信息和衡量效果的可能性，以便加强专业和财政监控，使有关利益攸关方之间的沟通交流以及行政案件的处理更加容易。</w:t>
      </w:r>
    </w:p>
    <w:p w:rsidR="00D84D94" w:rsidRDefault="00D84D94">
      <w:pPr>
        <w:pStyle w:val="HChGC"/>
        <w:rPr>
          <w:rFonts w:hint="eastAsia"/>
          <w:lang w:val="en-GB"/>
        </w:rPr>
      </w:pPr>
      <w:r>
        <w:rPr>
          <w:lang w:val="en-GB"/>
        </w:rPr>
        <w:tab/>
      </w:r>
      <w:r>
        <w:rPr>
          <w:rFonts w:hint="eastAsia"/>
          <w:lang w:val="en-GB"/>
        </w:rPr>
        <w:t>二</w:t>
      </w:r>
      <w:r>
        <w:rPr>
          <w:rFonts w:hint="eastAsia"/>
          <w:lang w:val="en-GB"/>
        </w:rPr>
        <w:t>.</w:t>
      </w:r>
      <w:r>
        <w:rPr>
          <w:rFonts w:hint="eastAsia"/>
          <w:lang w:val="en-GB"/>
        </w:rPr>
        <w:tab/>
      </w:r>
      <w:r>
        <w:rPr>
          <w:rFonts w:hint="eastAsia"/>
          <w:lang w:val="en-GB"/>
        </w:rPr>
        <w:t>《公约》的一般性规定</w:t>
      </w:r>
      <w:r>
        <w:rPr>
          <w:rFonts w:hint="eastAsia"/>
          <w:lang w:val="en-GB"/>
        </w:rPr>
        <w:t>(</w:t>
      </w:r>
      <w:r>
        <w:rPr>
          <w:rFonts w:hint="eastAsia"/>
          <w:lang w:val="en-GB"/>
        </w:rPr>
        <w:t>第一至四条</w:t>
      </w:r>
      <w:r>
        <w:rPr>
          <w:rFonts w:hint="eastAsia"/>
          <w:lang w:val="en-GB"/>
        </w:rPr>
        <w:t>)</w:t>
      </w:r>
    </w:p>
    <w:p w:rsidR="00D84D94" w:rsidRDefault="00D84D94">
      <w:pPr>
        <w:pStyle w:val="H1GC"/>
        <w:rPr>
          <w:rFonts w:hint="eastAsia"/>
          <w:lang w:val="en-GB"/>
        </w:rPr>
      </w:pPr>
      <w:r>
        <w:rPr>
          <w:lang w:val="en-GB"/>
        </w:rPr>
        <w:tab/>
      </w:r>
      <w:r>
        <w:rPr>
          <w:lang w:val="en-GB"/>
        </w:rPr>
        <w:tab/>
      </w:r>
      <w:r>
        <w:rPr>
          <w:rFonts w:hint="eastAsia"/>
          <w:lang w:val="en-GB"/>
        </w:rPr>
        <w:t>第一和二条</w:t>
      </w:r>
    </w:p>
    <w:p w:rsidR="00D84D94" w:rsidRDefault="00D84D94">
      <w:pPr>
        <w:pStyle w:val="SingleTxtGC"/>
        <w:rPr>
          <w:rFonts w:hint="eastAsia"/>
          <w:lang w:val="en-GB"/>
        </w:rPr>
      </w:pPr>
      <w:r>
        <w:rPr>
          <w:lang w:val="en-GB"/>
        </w:rPr>
        <w:t xml:space="preserve">24.  </w:t>
      </w:r>
      <w:r>
        <w:rPr>
          <w:rFonts w:hint="eastAsia"/>
          <w:lang w:val="en-GB"/>
        </w:rPr>
        <w:t>丹麦采用《联合国关于残疾人机会和待遇平等的标准规则》，其中“残疾”概念</w:t>
      </w:r>
      <w:r>
        <w:rPr>
          <w:lang w:val="en-GB"/>
        </w:rPr>
        <w:t>包括</w:t>
      </w:r>
      <w:r>
        <w:rPr>
          <w:rFonts w:hint="eastAsia"/>
          <w:lang w:val="en-GB"/>
        </w:rPr>
        <w:t>个人</w:t>
      </w:r>
      <w:r>
        <w:rPr>
          <w:lang w:val="en-GB"/>
        </w:rPr>
        <w:t>在与他人平等的基础上充分</w:t>
      </w:r>
      <w:r>
        <w:rPr>
          <w:rFonts w:hint="eastAsia"/>
          <w:lang w:val="en-GB"/>
        </w:rPr>
        <w:t>、</w:t>
      </w:r>
      <w:r>
        <w:rPr>
          <w:lang w:val="en-GB"/>
        </w:rPr>
        <w:t>切实</w:t>
      </w:r>
      <w:r>
        <w:rPr>
          <w:rFonts w:hint="eastAsia"/>
          <w:lang w:val="en-GB"/>
        </w:rPr>
        <w:t>地</w:t>
      </w:r>
      <w:r>
        <w:rPr>
          <w:lang w:val="en-GB"/>
        </w:rPr>
        <w:t>参与社会</w:t>
      </w:r>
      <w:r>
        <w:rPr>
          <w:rFonts w:hint="eastAsia"/>
          <w:lang w:val="en-GB"/>
        </w:rPr>
        <w:t>的能力的丧失或削弱。该定义是要重点关注周围环境中阻碍残疾人在与他人平等的基础上参与的障碍。由于残疾概念涉及环境，无法对其加以更明确的定义。</w:t>
      </w:r>
    </w:p>
    <w:p w:rsidR="00D84D94" w:rsidRDefault="00D84D94">
      <w:pPr>
        <w:pStyle w:val="SingleTxtGC"/>
        <w:rPr>
          <w:rFonts w:hint="eastAsia"/>
          <w:lang w:val="en-GB"/>
        </w:rPr>
      </w:pPr>
      <w:r>
        <w:rPr>
          <w:lang w:val="en-GB"/>
        </w:rPr>
        <w:t xml:space="preserve">25.  </w:t>
      </w:r>
      <w:r>
        <w:rPr>
          <w:rFonts w:hint="eastAsia"/>
          <w:lang w:val="en-GB"/>
        </w:rPr>
        <w:t>“长期”这个概念也没有明确定义。对于“长期”没有加以一般性定义，何谓“长期”要根据个别评估而定，而评估则取决于每一个具体案例中需要的支助类型。</w:t>
      </w:r>
    </w:p>
    <w:p w:rsidR="00D84D94" w:rsidRDefault="00D84D94">
      <w:pPr>
        <w:pStyle w:val="SingleTxtGC"/>
        <w:rPr>
          <w:rFonts w:hint="eastAsia"/>
          <w:lang w:val="en-GB"/>
        </w:rPr>
      </w:pPr>
      <w:r>
        <w:rPr>
          <w:lang w:val="en-GB"/>
        </w:rPr>
        <w:t xml:space="preserve">26.  </w:t>
      </w:r>
      <w:r>
        <w:rPr>
          <w:rFonts w:hint="eastAsia"/>
          <w:lang w:val="en-GB"/>
        </w:rPr>
        <w:t>丹麦社会研究国家中心进行的一项大型调查显示，大约</w:t>
      </w:r>
      <w:r>
        <w:rPr>
          <w:rFonts w:hint="eastAsia"/>
          <w:lang w:val="en-GB"/>
        </w:rPr>
        <w:t>15%</w:t>
      </w:r>
      <w:r>
        <w:rPr>
          <w:rFonts w:hint="eastAsia"/>
          <w:lang w:val="en-GB"/>
        </w:rPr>
        <w:t>的</w:t>
      </w:r>
      <w:r>
        <w:rPr>
          <w:rFonts w:hint="eastAsia"/>
          <w:lang w:val="en-GB"/>
        </w:rPr>
        <w:t>16-64</w:t>
      </w:r>
      <w:r>
        <w:rPr>
          <w:rFonts w:hint="eastAsia"/>
          <w:lang w:val="en-GB"/>
        </w:rPr>
        <w:t>岁人口的腿、臂、手、视力、听力、行为或心智能力有功能缺陷。这项调查还表明，只有</w:t>
      </w:r>
      <w:r>
        <w:rPr>
          <w:rFonts w:hint="eastAsia"/>
          <w:lang w:val="en-GB"/>
        </w:rPr>
        <w:t>10%</w:t>
      </w:r>
      <w:r>
        <w:rPr>
          <w:rFonts w:hint="eastAsia"/>
          <w:lang w:val="en-GB"/>
        </w:rPr>
        <w:t>的残疾受访者是天生有缺陷，大部分残疾是后天造成的。获得残疾的风险随着年龄的增长而陡增，儿童期每年只有</w:t>
      </w:r>
      <w:r>
        <w:rPr>
          <w:rFonts w:hint="eastAsia"/>
          <w:lang w:val="en-GB"/>
        </w:rPr>
        <w:t>1</w:t>
      </w:r>
      <w:r>
        <w:rPr>
          <w:rFonts w:hint="eastAsia"/>
          <w:lang w:val="en-GB"/>
        </w:rPr>
        <w:t>‰，而到了</w:t>
      </w:r>
      <w:r>
        <w:rPr>
          <w:rFonts w:hint="eastAsia"/>
          <w:lang w:val="en-GB"/>
        </w:rPr>
        <w:t>60</w:t>
      </w:r>
      <w:r>
        <w:rPr>
          <w:rFonts w:hint="eastAsia"/>
          <w:lang w:val="en-GB"/>
        </w:rPr>
        <w:t>岁就达到每年</w:t>
      </w:r>
      <w:r>
        <w:rPr>
          <w:rFonts w:hint="eastAsia"/>
          <w:lang w:val="en-GB"/>
        </w:rPr>
        <w:t>2%</w:t>
      </w:r>
      <w:r>
        <w:rPr>
          <w:rFonts w:hint="eastAsia"/>
          <w:lang w:val="en-GB"/>
        </w:rPr>
        <w:t>。</w:t>
      </w:r>
    </w:p>
    <w:p w:rsidR="00D84D94" w:rsidRDefault="00D84D94">
      <w:pPr>
        <w:pStyle w:val="SingleTxtGC"/>
        <w:rPr>
          <w:rFonts w:hint="eastAsia"/>
          <w:lang w:val="en-GB"/>
        </w:rPr>
      </w:pPr>
      <w:r>
        <w:rPr>
          <w:lang w:val="en-GB"/>
        </w:rPr>
        <w:t xml:space="preserve">27.  </w:t>
      </w:r>
      <w:r>
        <w:rPr>
          <w:lang w:val="en-GB"/>
        </w:rPr>
        <w:t>第</w:t>
      </w:r>
      <w:r>
        <w:rPr>
          <w:rFonts w:hint="eastAsia"/>
          <w:lang w:val="en-GB"/>
        </w:rPr>
        <w:t>一和二条中的定义与丹麦的相应概念类似。因此，应该指出，《公约》中的“歧视”概念也应按照法律惯例来解释。法律惯例规定，当出现不相关和不相称的消极区别对待时，便是歧视。</w:t>
      </w:r>
    </w:p>
    <w:p w:rsidR="00D84D94" w:rsidRDefault="00D84D94">
      <w:pPr>
        <w:pStyle w:val="H1GC"/>
        <w:rPr>
          <w:rFonts w:hint="eastAsia"/>
          <w:lang w:val="en-GB"/>
        </w:rPr>
      </w:pPr>
      <w:r>
        <w:rPr>
          <w:lang w:val="en-GB"/>
        </w:rPr>
        <w:tab/>
      </w:r>
      <w:r>
        <w:rPr>
          <w:lang w:val="en-GB"/>
        </w:rPr>
        <w:tab/>
      </w:r>
      <w:r>
        <w:rPr>
          <w:rFonts w:hint="eastAsia"/>
          <w:lang w:val="en-GB"/>
        </w:rPr>
        <w:t>第三条</w:t>
      </w:r>
    </w:p>
    <w:p w:rsidR="00D84D94" w:rsidRDefault="00D84D94">
      <w:pPr>
        <w:pStyle w:val="SingleTxtGC"/>
        <w:rPr>
          <w:rFonts w:hint="eastAsia"/>
          <w:lang w:val="en-GB"/>
        </w:rPr>
      </w:pPr>
      <w:r>
        <w:rPr>
          <w:lang w:val="en-GB"/>
        </w:rPr>
        <w:t xml:space="preserve">28.  </w:t>
      </w:r>
      <w:r>
        <w:rPr>
          <w:rFonts w:hint="eastAsia"/>
          <w:lang w:val="en-GB"/>
        </w:rPr>
        <w:t>《公约》第三条与丹麦残疾政策的基本原则一致。这些基本原则建立在关于残疾人享有平等机会的联合国标准规则之上，包括补偿、部门问责制、声援和平等待遇原则。</w:t>
      </w:r>
    </w:p>
    <w:p w:rsidR="00D84D94" w:rsidRDefault="00D84D94">
      <w:pPr>
        <w:pStyle w:val="H23GC"/>
        <w:rPr>
          <w:rFonts w:hint="eastAsia"/>
          <w:lang w:val="en-GB"/>
        </w:rPr>
      </w:pPr>
      <w:r>
        <w:rPr>
          <w:lang w:val="en-GB"/>
        </w:rPr>
        <w:tab/>
      </w:r>
      <w:r>
        <w:rPr>
          <w:lang w:val="en-GB"/>
        </w:rPr>
        <w:tab/>
      </w:r>
      <w:r>
        <w:rPr>
          <w:rFonts w:hint="eastAsia"/>
          <w:lang w:val="en-GB"/>
        </w:rPr>
        <w:t>丹麦的补偿原则</w:t>
      </w:r>
    </w:p>
    <w:p w:rsidR="00D84D94" w:rsidRDefault="00D84D94">
      <w:pPr>
        <w:pStyle w:val="SingleTxtGC"/>
        <w:rPr>
          <w:rFonts w:hint="eastAsia"/>
          <w:lang w:val="en-GB"/>
        </w:rPr>
      </w:pPr>
      <w:r>
        <w:rPr>
          <w:lang w:val="en-GB"/>
        </w:rPr>
        <w:t xml:space="preserve">29.  </w:t>
      </w:r>
      <w:r>
        <w:rPr>
          <w:rFonts w:hint="eastAsia"/>
          <w:lang w:val="en-GB"/>
        </w:rPr>
        <w:t>丹麦的残疾政策以补偿原则为基础，该原则要求社会为有功能缺陷者提供若干服务和救济措施，尽可能限制或抵消残疾的后果。补偿必须确保残疾人与健全人具有相同起点。</w:t>
      </w:r>
    </w:p>
    <w:p w:rsidR="00D84D94" w:rsidRDefault="00D84D94">
      <w:pPr>
        <w:pStyle w:val="SingleTxtGC"/>
        <w:rPr>
          <w:rFonts w:hint="eastAsia"/>
          <w:lang w:val="en-GB"/>
        </w:rPr>
      </w:pPr>
      <w:r>
        <w:rPr>
          <w:lang w:val="en-GB"/>
        </w:rPr>
        <w:t xml:space="preserve">30.  </w:t>
      </w:r>
      <w:r>
        <w:rPr>
          <w:rFonts w:hint="eastAsia"/>
          <w:lang w:val="en-GB"/>
        </w:rPr>
        <w:t>补偿形式可以是给予个人辅助器具，例如轮椅或助听器；也可以是提供并行服务，例如在专门媒介上出版书面材料的音频或盲文等无障碍版本。补偿还可以包括引导社会尽可能广泛地为残疾人着想的集体措施，即为建筑物建造可供乘坐轮椅者使用的水平出入口。</w:t>
      </w:r>
    </w:p>
    <w:p w:rsidR="00D84D94" w:rsidRDefault="00D84D94">
      <w:pPr>
        <w:pStyle w:val="SingleTxtGC"/>
        <w:rPr>
          <w:rFonts w:hint="eastAsia"/>
          <w:lang w:val="en-GB"/>
        </w:rPr>
      </w:pPr>
      <w:r>
        <w:rPr>
          <w:lang w:val="en-GB"/>
        </w:rPr>
        <w:t xml:space="preserve">31.  </w:t>
      </w:r>
      <w:r>
        <w:rPr>
          <w:rFonts w:hint="eastAsia"/>
          <w:lang w:val="en-GB"/>
        </w:rPr>
        <w:t>总体而言，丹麦不太重视针对残疾人的集体措施。在批准《残疾人权利公约》之后，丹麦在普遍无障碍这一背景下加强了对面向残疾人的措施的重视程度。</w:t>
      </w:r>
    </w:p>
    <w:p w:rsidR="00D84D94" w:rsidRDefault="00D84D94">
      <w:pPr>
        <w:pStyle w:val="H1GC"/>
        <w:rPr>
          <w:rFonts w:hint="eastAsia"/>
          <w:lang w:val="en-GB"/>
        </w:rPr>
      </w:pPr>
      <w:r>
        <w:rPr>
          <w:lang w:val="en-GB"/>
        </w:rPr>
        <w:tab/>
      </w:r>
      <w:r>
        <w:rPr>
          <w:lang w:val="en-GB"/>
        </w:rPr>
        <w:tab/>
      </w:r>
      <w:r>
        <w:rPr>
          <w:rFonts w:hint="eastAsia"/>
          <w:lang w:val="en-GB"/>
        </w:rPr>
        <w:t>第四条</w:t>
      </w:r>
    </w:p>
    <w:p w:rsidR="00D84D94" w:rsidRDefault="00D84D94">
      <w:pPr>
        <w:pStyle w:val="SingleTxtGC"/>
        <w:rPr>
          <w:rFonts w:hint="eastAsia"/>
          <w:lang w:val="en-GB"/>
        </w:rPr>
      </w:pPr>
      <w:r>
        <w:rPr>
          <w:lang w:val="en-GB"/>
        </w:rPr>
        <w:t xml:space="preserve">32.  </w:t>
      </w:r>
      <w:r>
        <w:rPr>
          <w:rFonts w:hint="eastAsia"/>
          <w:lang w:val="en-GB"/>
        </w:rPr>
        <w:t>丹麦在批准《公约》的进程中，详尽分析了批准《公约》的影响与前提条件，包括丹麦的立法是否符合《公约》。</w:t>
      </w:r>
    </w:p>
    <w:p w:rsidR="00D84D94" w:rsidRDefault="00D84D94">
      <w:pPr>
        <w:pStyle w:val="SingleTxtGC"/>
        <w:rPr>
          <w:rFonts w:hint="eastAsia"/>
          <w:lang w:val="en-GB"/>
        </w:rPr>
      </w:pPr>
      <w:r>
        <w:rPr>
          <w:lang w:val="en-GB"/>
        </w:rPr>
        <w:t xml:space="preserve">33.  </w:t>
      </w:r>
      <w:r>
        <w:rPr>
          <w:rFonts w:hint="eastAsia"/>
          <w:lang w:val="en-GB"/>
        </w:rPr>
        <w:t>为达到第二十九条的要求，对《议会选举法》进行了修正。这项工作也揭示出，需要对各项条款的范围以及丹麦是否符合第五、九和二十四条的规定进行更加详细的分析。工作组认定无需进一步修改丹麦立法。</w:t>
      </w:r>
    </w:p>
    <w:p w:rsidR="00D84D94" w:rsidRDefault="00D84D94">
      <w:pPr>
        <w:pStyle w:val="SingleTxtGC"/>
        <w:rPr>
          <w:rFonts w:hint="eastAsia"/>
          <w:iCs/>
          <w:lang w:val="en-GB"/>
        </w:rPr>
      </w:pPr>
      <w:r>
        <w:rPr>
          <w:iCs/>
          <w:lang w:val="en-GB"/>
        </w:rPr>
        <w:t xml:space="preserve">34.  </w:t>
      </w:r>
      <w:r>
        <w:rPr>
          <w:rFonts w:hint="eastAsia"/>
          <w:lang w:val="en-GB"/>
        </w:rPr>
        <w:t>在批准《公约》之前，丹麦确保了其立法符合《公约》规定的义务。各部委、组织和公众参与了批准前的磋商过程，以澄清批准《公约》的法律和财政前提条件及影响。与所有相关各方就决议动议草案进行了外部磋商。各利益群体可以在社会事务部网站上不断监督批准进程。社会事务部定期向残疾组织提供最新信息。此外，还与丹麦残疾人组织举行了四次会议，审查并讨论《公约》和批准进程。</w:t>
      </w:r>
    </w:p>
    <w:p w:rsidR="00D84D94" w:rsidRDefault="00D84D94">
      <w:pPr>
        <w:pStyle w:val="SingleTxtGC"/>
        <w:rPr>
          <w:rFonts w:hint="eastAsia"/>
          <w:iCs/>
          <w:lang w:val="en-GB"/>
        </w:rPr>
      </w:pPr>
      <w:r>
        <w:rPr>
          <w:iCs/>
          <w:lang w:val="en-GB"/>
        </w:rPr>
        <w:t xml:space="preserve">35.  </w:t>
      </w:r>
      <w:r>
        <w:rPr>
          <w:rFonts w:hint="eastAsia"/>
          <w:lang w:val="en-GB"/>
        </w:rPr>
        <w:t>该进程一直是开放的，所有利益攸关方都能够进行监督。丹麦没有按性别和年龄分列的参与该进程的资料，但认为该进程得到了广大利益群体的监督。</w:t>
      </w:r>
    </w:p>
    <w:p w:rsidR="00D84D94" w:rsidRDefault="00D84D94">
      <w:pPr>
        <w:pStyle w:val="SingleTxtGC"/>
        <w:rPr>
          <w:rFonts w:hint="eastAsia"/>
          <w:lang w:val="en-GB"/>
        </w:rPr>
      </w:pPr>
      <w:r>
        <w:rPr>
          <w:lang w:val="en-GB"/>
        </w:rPr>
        <w:t xml:space="preserve">36.  </w:t>
      </w:r>
      <w:r>
        <w:rPr>
          <w:rFonts w:hint="eastAsia"/>
          <w:lang w:val="en-GB"/>
        </w:rPr>
        <w:t>《公约》属于丹麦法律的一部分，因此适用其立法规定的所有当局，包括国家、地区和市镇政府，均必须遵守《公约》。</w:t>
      </w:r>
    </w:p>
    <w:p w:rsidR="00D84D94" w:rsidRDefault="00D84D94">
      <w:pPr>
        <w:pStyle w:val="SingleTxtGC"/>
        <w:rPr>
          <w:rFonts w:hint="eastAsia"/>
          <w:lang w:val="en-GB"/>
        </w:rPr>
      </w:pPr>
      <w:r>
        <w:rPr>
          <w:lang w:val="en-GB"/>
        </w:rPr>
        <w:t xml:space="preserve">37.  </w:t>
      </w:r>
      <w:r>
        <w:rPr>
          <w:rFonts w:hint="eastAsia"/>
          <w:lang w:val="en-GB"/>
        </w:rPr>
        <w:t>目前，正在集中关注新立法遵守《公约》以及地方实施《公约》的问题。</w:t>
      </w:r>
    </w:p>
    <w:p w:rsidR="00D84D94" w:rsidRDefault="00D84D94">
      <w:pPr>
        <w:pStyle w:val="H4GC"/>
        <w:rPr>
          <w:rFonts w:hint="eastAsia"/>
          <w:lang w:val="en-GB"/>
        </w:rPr>
      </w:pPr>
      <w:r>
        <w:rPr>
          <w:lang w:val="en-GB"/>
        </w:rPr>
        <w:tab/>
      </w:r>
      <w:r>
        <w:rPr>
          <w:lang w:val="en-GB"/>
        </w:rPr>
        <w:tab/>
      </w:r>
      <w:r>
        <w:rPr>
          <w:rFonts w:hint="eastAsia"/>
          <w:lang w:val="en-GB"/>
        </w:rPr>
        <w:t>残疾领域的新行动计划</w:t>
      </w:r>
    </w:p>
    <w:p w:rsidR="00D84D94" w:rsidRDefault="00D84D94">
      <w:pPr>
        <w:pStyle w:val="SingleTxtGC"/>
        <w:rPr>
          <w:rFonts w:hint="eastAsia"/>
          <w:lang w:val="en-GB"/>
        </w:rPr>
      </w:pPr>
      <w:r>
        <w:rPr>
          <w:lang w:val="en-GB"/>
        </w:rPr>
        <w:t xml:space="preserve">38.  </w:t>
      </w:r>
      <w:r>
        <w:rPr>
          <w:rFonts w:hint="eastAsia"/>
          <w:lang w:val="en-GB"/>
        </w:rPr>
        <w:t>最近，政府启动了制定一项残疾领域新的长期、多学科行动计划的工作。这项工作分为两个阶段，下文对其加以简要说明。</w:t>
      </w:r>
    </w:p>
    <w:p w:rsidR="00D84D94" w:rsidRDefault="00D84D94">
      <w:pPr>
        <w:pStyle w:val="SingleTxtGC"/>
        <w:rPr>
          <w:rFonts w:hint="eastAsia"/>
          <w:lang w:val="en-GB"/>
        </w:rPr>
      </w:pPr>
      <w:r>
        <w:rPr>
          <w:lang w:val="en-GB"/>
        </w:rPr>
        <w:t xml:space="preserve">39.  </w:t>
      </w:r>
      <w:r>
        <w:rPr>
          <w:lang w:val="en-GB"/>
        </w:rPr>
        <w:t>第</w:t>
      </w:r>
      <w:r>
        <w:rPr>
          <w:rFonts w:hint="eastAsia"/>
          <w:lang w:val="en-GB"/>
        </w:rPr>
        <w:t>一阶段包括一项分析，以查明残疾领域的各种趋势与挑战，其目的是确定主要挑战和优先行动领域。这项分析将在主要的相关利益攸关方参与下进行。</w:t>
      </w:r>
    </w:p>
    <w:p w:rsidR="00D84D94" w:rsidRDefault="00D84D94">
      <w:pPr>
        <w:pStyle w:val="SingleTxtGC"/>
        <w:rPr>
          <w:rFonts w:hint="eastAsia"/>
          <w:lang w:val="en-GB"/>
        </w:rPr>
      </w:pPr>
      <w:r>
        <w:rPr>
          <w:lang w:val="en-GB"/>
        </w:rPr>
        <w:t xml:space="preserve">40.  </w:t>
      </w:r>
      <w:r>
        <w:rPr>
          <w:lang w:val="en-GB"/>
        </w:rPr>
        <w:t>第</w:t>
      </w:r>
      <w:r>
        <w:rPr>
          <w:rFonts w:hint="eastAsia"/>
          <w:lang w:val="en-GB"/>
        </w:rPr>
        <w:t>二阶段将利用上述分析拟订未来</w:t>
      </w:r>
      <w:r>
        <w:rPr>
          <w:rFonts w:hint="eastAsia"/>
          <w:lang w:val="en-GB"/>
        </w:rPr>
        <w:t>5-10</w:t>
      </w:r>
      <w:r>
        <w:rPr>
          <w:rFonts w:hint="eastAsia"/>
          <w:lang w:val="en-GB"/>
        </w:rPr>
        <w:t>年残疾领域的新行动计划。</w:t>
      </w:r>
    </w:p>
    <w:p w:rsidR="00D84D94" w:rsidRDefault="00D84D94">
      <w:pPr>
        <w:pStyle w:val="SingleTxtGC"/>
        <w:rPr>
          <w:rFonts w:hint="eastAsia"/>
          <w:lang w:val="en-GB"/>
        </w:rPr>
      </w:pPr>
      <w:r>
        <w:rPr>
          <w:lang w:val="en-GB"/>
        </w:rPr>
        <w:t xml:space="preserve">41.  </w:t>
      </w:r>
      <w:r>
        <w:rPr>
          <w:rFonts w:hint="eastAsia"/>
          <w:lang w:val="en-GB"/>
        </w:rPr>
        <w:t>该行动计划必须推动将残疾政策举措列为政策领域明确的政治和经济优先事项。它必须作为实施《公约》这一持续工作的框架。</w:t>
      </w:r>
    </w:p>
    <w:p w:rsidR="00D84D94" w:rsidRDefault="00D84D94">
      <w:pPr>
        <w:pStyle w:val="HChGC"/>
        <w:rPr>
          <w:rFonts w:hint="eastAsia"/>
          <w:lang w:val="en-GB"/>
        </w:rPr>
      </w:pPr>
      <w:r>
        <w:rPr>
          <w:lang w:val="en-GB"/>
        </w:rPr>
        <w:tab/>
      </w:r>
      <w:r>
        <w:rPr>
          <w:rFonts w:hint="eastAsia"/>
          <w:lang w:val="en-GB"/>
        </w:rPr>
        <w:t>三</w:t>
      </w:r>
      <w:r>
        <w:rPr>
          <w:lang w:val="en-GB"/>
        </w:rPr>
        <w:t>.</w:t>
      </w:r>
      <w:r>
        <w:rPr>
          <w:lang w:val="en-GB"/>
        </w:rPr>
        <w:tab/>
      </w:r>
      <w:r>
        <w:rPr>
          <w:rFonts w:hint="eastAsia"/>
          <w:lang w:val="en-GB"/>
        </w:rPr>
        <w:t>《公约》的具体规定</w:t>
      </w:r>
    </w:p>
    <w:p w:rsidR="00D84D94" w:rsidRDefault="00D84D94">
      <w:pPr>
        <w:pStyle w:val="H1GC"/>
        <w:rPr>
          <w:rFonts w:hint="eastAsia"/>
          <w:lang w:val="en-GB"/>
        </w:rPr>
      </w:pPr>
      <w:r>
        <w:rPr>
          <w:lang w:val="en-GB"/>
        </w:rPr>
        <w:tab/>
      </w:r>
      <w:r>
        <w:rPr>
          <w:lang w:val="en-GB"/>
        </w:rPr>
        <w:tab/>
      </w:r>
      <w:r>
        <w:rPr>
          <w:rFonts w:hint="eastAsia"/>
          <w:lang w:val="en-GB"/>
        </w:rPr>
        <w:t>第五条</w:t>
      </w:r>
    </w:p>
    <w:p w:rsidR="00D84D94" w:rsidRDefault="00D84D94">
      <w:pPr>
        <w:pStyle w:val="SingleTxtGC"/>
        <w:rPr>
          <w:rFonts w:hint="eastAsia"/>
          <w:lang w:val="en-GB"/>
        </w:rPr>
      </w:pPr>
      <w:r>
        <w:rPr>
          <w:lang w:val="en-GB"/>
        </w:rPr>
        <w:t xml:space="preserve">42.  </w:t>
      </w:r>
      <w:r>
        <w:rPr>
          <w:rFonts w:hint="eastAsia"/>
          <w:lang w:val="en-GB"/>
        </w:rPr>
        <w:t>丹麦立法的一项基本原则指出，法律面前人人平等。残疾人与所有其他公民一样，享有法律规定的相同权利和保护。</w:t>
      </w:r>
    </w:p>
    <w:p w:rsidR="00D84D94" w:rsidRDefault="00D84D94">
      <w:pPr>
        <w:pStyle w:val="SingleTxtGC"/>
        <w:rPr>
          <w:rFonts w:hint="eastAsia"/>
          <w:lang w:val="en-GB"/>
        </w:rPr>
      </w:pPr>
      <w:r>
        <w:rPr>
          <w:lang w:val="en-GB"/>
        </w:rPr>
        <w:t xml:space="preserve">43.  </w:t>
      </w:r>
      <w:r>
        <w:rPr>
          <w:rFonts w:hint="eastAsia"/>
          <w:lang w:val="en-GB"/>
        </w:rPr>
        <w:t>公共当局受到行政法的一般性基本原则的约束，该法规定在司法中必须平等处理平等机会问题。因此，公共当局不得以残疾或性别等理由，对任何人予以消极歧视。</w:t>
      </w:r>
    </w:p>
    <w:p w:rsidR="00D84D94" w:rsidRDefault="00D84D94">
      <w:pPr>
        <w:pStyle w:val="SingleTxtGC"/>
        <w:rPr>
          <w:rFonts w:hint="eastAsia"/>
          <w:lang w:val="en-GB"/>
        </w:rPr>
      </w:pPr>
      <w:r>
        <w:rPr>
          <w:lang w:val="en-GB"/>
        </w:rPr>
        <w:t xml:space="preserve">44.  </w:t>
      </w:r>
      <w:r>
        <w:rPr>
          <w:rFonts w:hint="eastAsia"/>
          <w:lang w:val="en-GB"/>
        </w:rPr>
        <w:t>丹麦立法载有一系列旨在防止歧视残疾人的专门规定。通过了一项关于禁止在劳动力市场上歧视残疾人的明确禁令，该禁令还规定雇主有义务在就业和培训或教育方面为残疾人做出合理调整。另外，应该说明，丹麦议会于</w:t>
      </w:r>
      <w:r>
        <w:rPr>
          <w:rFonts w:hint="eastAsia"/>
          <w:lang w:val="en-GB"/>
        </w:rPr>
        <w:t>1993</w:t>
      </w:r>
      <w:r>
        <w:rPr>
          <w:rFonts w:hint="eastAsia"/>
          <w:lang w:val="en-GB"/>
        </w:rPr>
        <w:t>年通过了关于残疾人与健全人之间平等待遇和平等的</w:t>
      </w:r>
      <w:r>
        <w:rPr>
          <w:rFonts w:hint="eastAsia"/>
          <w:lang w:val="en-GB"/>
        </w:rPr>
        <w:t>B 43</w:t>
      </w:r>
      <w:r>
        <w:rPr>
          <w:rFonts w:hint="eastAsia"/>
          <w:lang w:val="en-GB"/>
        </w:rPr>
        <w:t>号动议。在这项动议中，丹麦议会建议所有中央和地方政府部门及私营公司遵守残疾人与其他公民平等和平等待遇原则。</w:t>
      </w:r>
    </w:p>
    <w:p w:rsidR="00D84D94" w:rsidRDefault="00D84D94">
      <w:pPr>
        <w:pStyle w:val="SingleTxtGC"/>
        <w:rPr>
          <w:rFonts w:hint="eastAsia"/>
          <w:lang w:val="en-GB"/>
        </w:rPr>
      </w:pPr>
      <w:r>
        <w:rPr>
          <w:lang w:val="en-GB"/>
        </w:rPr>
        <w:t xml:space="preserve">45.  </w:t>
      </w:r>
      <w:r>
        <w:rPr>
          <w:rFonts w:hint="eastAsia"/>
          <w:lang w:val="en-GB"/>
        </w:rPr>
        <w:t>丹麦设立了一个平等待遇委员会，负责就在劳动力市场中基于残疾的歧视投诉等事项作出裁决。</w:t>
      </w:r>
    </w:p>
    <w:p w:rsidR="00D84D94" w:rsidRDefault="00D84D94">
      <w:pPr>
        <w:pStyle w:val="SingleTxtGC"/>
        <w:rPr>
          <w:rFonts w:hint="eastAsia"/>
          <w:lang w:val="en-GB"/>
        </w:rPr>
      </w:pPr>
      <w:r>
        <w:rPr>
          <w:lang w:val="en-GB"/>
        </w:rPr>
        <w:t xml:space="preserve">46.  </w:t>
      </w:r>
      <w:r>
        <w:rPr>
          <w:rFonts w:hint="eastAsia"/>
          <w:lang w:val="en-GB"/>
        </w:rPr>
        <w:t>丹麦立法载有一系列旨在确保残疾人在就业、教育和社会领域享有平等待遇的优惠待遇措施。其中一些措施在相关条款下说明。</w:t>
      </w:r>
    </w:p>
    <w:p w:rsidR="00D84D94" w:rsidRDefault="00D84D94">
      <w:pPr>
        <w:pStyle w:val="SingleTxtGC"/>
        <w:rPr>
          <w:rFonts w:hint="eastAsia"/>
          <w:lang w:val="en-GB"/>
        </w:rPr>
      </w:pPr>
      <w:r>
        <w:rPr>
          <w:lang w:val="en-GB"/>
        </w:rPr>
        <w:t xml:space="preserve">47.  </w:t>
      </w:r>
      <w:r>
        <w:rPr>
          <w:rFonts w:hint="eastAsia"/>
          <w:lang w:val="en-GB"/>
        </w:rPr>
        <w:t>丹麦还有义务遵守《欧洲人权公约》第</w:t>
      </w:r>
      <w:r>
        <w:rPr>
          <w:rFonts w:hint="eastAsia"/>
          <w:lang w:val="en-GB"/>
        </w:rPr>
        <w:t>14</w:t>
      </w:r>
      <w:r>
        <w:rPr>
          <w:rFonts w:hint="eastAsia"/>
          <w:lang w:val="en-GB"/>
        </w:rPr>
        <w:t>条中的禁止歧视规定，该规定防止以残疾等理由进行歧视。</w:t>
      </w:r>
    </w:p>
    <w:p w:rsidR="00D84D94" w:rsidRDefault="00D84D94">
      <w:pPr>
        <w:pStyle w:val="H1GC"/>
        <w:rPr>
          <w:rFonts w:hint="eastAsia"/>
          <w:lang w:val="en-GB"/>
        </w:rPr>
      </w:pPr>
      <w:r>
        <w:rPr>
          <w:lang w:val="en-GB"/>
        </w:rPr>
        <w:tab/>
      </w:r>
      <w:r>
        <w:rPr>
          <w:lang w:val="en-GB"/>
        </w:rPr>
        <w:tab/>
      </w:r>
      <w:r>
        <w:rPr>
          <w:rFonts w:hint="eastAsia"/>
          <w:lang w:val="en-GB"/>
        </w:rPr>
        <w:t>第八条</w:t>
      </w:r>
    </w:p>
    <w:p w:rsidR="00D84D94" w:rsidRDefault="00D84D94">
      <w:pPr>
        <w:pStyle w:val="SingleTxtGC"/>
        <w:rPr>
          <w:rFonts w:hint="eastAsia"/>
          <w:lang w:val="en-GB"/>
        </w:rPr>
      </w:pPr>
      <w:r>
        <w:rPr>
          <w:lang w:val="en-GB"/>
        </w:rPr>
        <w:t xml:space="preserve">48.  </w:t>
      </w:r>
      <w:r>
        <w:rPr>
          <w:rFonts w:hint="eastAsia"/>
          <w:lang w:val="en-GB"/>
        </w:rPr>
        <w:t>政府发动了全国范围的宣传活动，以使残疾人了解《公约》和个人权利。《公约》的宣传采取了轻松读物、手语和音像等形式。为全国有精神障碍者举行了专题会议。还编制了材料提供信息，鼓励就个人权利展开讨论。这些材料面向残疾人设施的使用者和工作人员。</w:t>
      </w:r>
    </w:p>
    <w:p w:rsidR="00D84D94" w:rsidRDefault="00D84D94">
      <w:pPr>
        <w:pStyle w:val="SingleTxtGC"/>
        <w:rPr>
          <w:rFonts w:hint="eastAsia"/>
          <w:lang w:val="en-GB"/>
        </w:rPr>
      </w:pPr>
      <w:r>
        <w:rPr>
          <w:lang w:val="en-GB"/>
        </w:rPr>
        <w:t xml:space="preserve">49.  </w:t>
      </w:r>
      <w:r>
        <w:rPr>
          <w:rFonts w:hint="eastAsia"/>
          <w:lang w:val="en-GB"/>
        </w:rPr>
        <w:t>政府确保加强丹麦残疾理事会。该理事会有了一位新主席，其构成也更加广泛了，它将在工作中更多地利用辩论，由此产生有利于残疾人的成果。该理事会负责为打击涉及残疾人的陈规定型观念、偏见和有害做法提供信息，并提高人们对于残疾人的能力和贡献的认识。该理事会还将探讨和评估有关残疾人的社会趋势并致力于促进社会的广泛包容。对于残疾与社会问题，它将继续努力提升人们的认识，拓宽人们的视野。该理事会的工作基于下述假设，即残疾问题应被视为社会问题，这样通过综合社会政策最容易解决。其目的是建设一个所有残疾人均享有平等机会的社会。</w:t>
      </w:r>
    </w:p>
    <w:p w:rsidR="00D84D94" w:rsidRDefault="00D84D94">
      <w:pPr>
        <w:pStyle w:val="SingleTxtGC"/>
        <w:rPr>
          <w:rFonts w:hint="eastAsia"/>
          <w:lang w:val="en-GB"/>
        </w:rPr>
      </w:pPr>
      <w:bookmarkStart w:id="0" w:name="hovedopgaver"/>
      <w:bookmarkEnd w:id="0"/>
      <w:r>
        <w:rPr>
          <w:lang w:val="en-GB"/>
        </w:rPr>
        <w:t xml:space="preserve">50.  </w:t>
      </w:r>
      <w:r>
        <w:rPr>
          <w:rFonts w:hint="eastAsia"/>
          <w:lang w:val="en-GB"/>
        </w:rPr>
        <w:t>小学和初中的科目目标并未提出教授《公约》的要求，但是中小学可以</w:t>
      </w:r>
      <w:r>
        <w:rPr>
          <w:rFonts w:hint="eastAsia"/>
          <w:lang w:val="en-GB"/>
        </w:rPr>
        <w:t>(</w:t>
      </w:r>
      <w:r>
        <w:rPr>
          <w:rFonts w:hint="eastAsia"/>
          <w:lang w:val="en-GB"/>
        </w:rPr>
        <w:t>例如</w:t>
      </w:r>
      <w:r>
        <w:rPr>
          <w:rFonts w:hint="eastAsia"/>
          <w:lang w:val="en-GB"/>
        </w:rPr>
        <w:t>)</w:t>
      </w:r>
      <w:r>
        <w:rPr>
          <w:rFonts w:hint="eastAsia"/>
          <w:lang w:val="en-GB"/>
        </w:rPr>
        <w:t>选择将《公约》或其主题作为课程内容。为使小学生和初中学生知道并理解残疾儿童在成长过程中可能遇到的情况，从而加强学校和休闲活动对残疾儿童的包容，为他们编制了教学材料。</w:t>
      </w:r>
    </w:p>
    <w:p w:rsidR="00D84D94" w:rsidRDefault="00D84D94">
      <w:pPr>
        <w:pStyle w:val="SingleTxtGC"/>
        <w:rPr>
          <w:rFonts w:hint="eastAsia"/>
          <w:lang w:val="en-GB"/>
        </w:rPr>
      </w:pPr>
      <w:r>
        <w:rPr>
          <w:lang w:val="en-GB"/>
        </w:rPr>
        <w:t xml:space="preserve">51.  </w:t>
      </w:r>
      <w:r>
        <w:rPr>
          <w:rFonts w:hint="eastAsia"/>
          <w:lang w:val="en-GB"/>
        </w:rPr>
        <w:t>教育部每年都举办残疾问题会议，邀请所有残疾组织参加，就教学和教育专题展开辩论。在</w:t>
      </w:r>
      <w:r>
        <w:rPr>
          <w:rFonts w:hint="eastAsia"/>
          <w:lang w:val="en-GB"/>
        </w:rPr>
        <w:t>2009</w:t>
      </w:r>
      <w:r>
        <w:rPr>
          <w:rFonts w:hint="eastAsia"/>
          <w:lang w:val="en-GB"/>
        </w:rPr>
        <w:t>年的残疾问题会议上，一个主题就是《残疾人权利公约》。</w:t>
      </w:r>
    </w:p>
    <w:p w:rsidR="00D84D94" w:rsidRDefault="00D84D94">
      <w:pPr>
        <w:pStyle w:val="SingleTxtGC"/>
        <w:rPr>
          <w:rFonts w:hint="eastAsia"/>
          <w:lang w:val="en-GB"/>
        </w:rPr>
      </w:pPr>
      <w:r>
        <w:rPr>
          <w:lang w:val="en-GB"/>
        </w:rPr>
        <w:t xml:space="preserve">52.  </w:t>
      </w:r>
      <w:r>
        <w:rPr>
          <w:rFonts w:hint="eastAsia"/>
          <w:lang w:val="en-GB"/>
        </w:rPr>
        <w:t>2011</w:t>
      </w:r>
      <w:r>
        <w:rPr>
          <w:rFonts w:hint="eastAsia"/>
          <w:lang w:val="en-GB"/>
        </w:rPr>
        <w:t>年</w:t>
      </w:r>
      <w:r>
        <w:rPr>
          <w:rFonts w:hint="eastAsia"/>
          <w:lang w:val="en-GB"/>
        </w:rPr>
        <w:t>5</w:t>
      </w:r>
      <w:r>
        <w:rPr>
          <w:rFonts w:hint="eastAsia"/>
          <w:lang w:val="en-GB"/>
        </w:rPr>
        <w:t>月</w:t>
      </w:r>
      <w:r>
        <w:rPr>
          <w:rFonts w:hint="eastAsia"/>
          <w:lang w:val="en-GB"/>
        </w:rPr>
        <w:t>1</w:t>
      </w:r>
      <w:r>
        <w:rPr>
          <w:rFonts w:hint="eastAsia"/>
          <w:lang w:val="en-GB"/>
        </w:rPr>
        <w:t>日，就业部与丹麦残疾人组织和企业社会责任论坛联手启动了一个旨在确保尽可能多的残疾人，包括精神失常者，找到或保有工作的项目。该项目侧重于激励残疾人寻找工作、协助各公司雇用或留用残疾人、装备职介中心以向目标群体提供由公司直接发出的邀约等措施。</w:t>
      </w:r>
    </w:p>
    <w:p w:rsidR="00D84D94" w:rsidRDefault="00D84D94">
      <w:pPr>
        <w:pStyle w:val="H1GC"/>
        <w:rPr>
          <w:rFonts w:hint="eastAsia"/>
          <w:lang w:val="en-GB"/>
        </w:rPr>
      </w:pPr>
      <w:r>
        <w:rPr>
          <w:lang w:val="en-GB"/>
        </w:rPr>
        <w:tab/>
      </w:r>
      <w:r>
        <w:rPr>
          <w:lang w:val="en-GB"/>
        </w:rPr>
        <w:tab/>
      </w:r>
      <w:r>
        <w:rPr>
          <w:rFonts w:hint="eastAsia"/>
          <w:lang w:val="en-GB"/>
        </w:rPr>
        <w:t>第九条</w:t>
      </w:r>
    </w:p>
    <w:p w:rsidR="00D84D94" w:rsidRDefault="00D84D94">
      <w:pPr>
        <w:pStyle w:val="H23GC"/>
        <w:rPr>
          <w:rFonts w:hint="eastAsia"/>
          <w:lang w:val="en-GB"/>
        </w:rPr>
      </w:pPr>
      <w:r>
        <w:rPr>
          <w:lang w:val="en-GB"/>
        </w:rPr>
        <w:tab/>
      </w:r>
      <w:r>
        <w:rPr>
          <w:lang w:val="en-GB"/>
        </w:rPr>
        <w:tab/>
      </w:r>
      <w:r>
        <w:rPr>
          <w:rFonts w:hint="eastAsia"/>
          <w:lang w:val="en-GB"/>
        </w:rPr>
        <w:t>建筑开发项目中的无障碍</w:t>
      </w:r>
    </w:p>
    <w:p w:rsidR="00D84D94" w:rsidRDefault="00D84D94">
      <w:pPr>
        <w:pStyle w:val="SingleTxtGC"/>
        <w:rPr>
          <w:rFonts w:hint="eastAsia"/>
          <w:lang w:val="en-GB"/>
        </w:rPr>
      </w:pPr>
      <w:r>
        <w:rPr>
          <w:lang w:val="en-GB"/>
        </w:rPr>
        <w:t xml:space="preserve">53.  </w:t>
      </w:r>
      <w:r>
        <w:rPr>
          <w:rFonts w:hint="eastAsia"/>
          <w:lang w:val="en-GB"/>
        </w:rPr>
        <w:t>在丹麦，建筑物的出入无障碍通过建筑立法</w:t>
      </w:r>
      <w:r>
        <w:rPr>
          <w:rFonts w:hint="eastAsia"/>
          <w:lang w:val="en-GB"/>
        </w:rPr>
        <w:t>(</w:t>
      </w:r>
      <w:r>
        <w:rPr>
          <w:rFonts w:hint="eastAsia"/>
          <w:lang w:val="en-GB"/>
        </w:rPr>
        <w:t>《建筑法》和《丹麦建筑条例》予以规定。建筑立法涵盖新建筑物、现有建筑物的翻新改造。《丹麦建筑条例》定期更新。</w:t>
      </w:r>
    </w:p>
    <w:p w:rsidR="00D84D94" w:rsidRDefault="00D84D94">
      <w:pPr>
        <w:pStyle w:val="SingleTxtGC"/>
        <w:rPr>
          <w:rFonts w:hint="eastAsia"/>
          <w:lang w:val="en-GB"/>
        </w:rPr>
      </w:pPr>
      <w:r>
        <w:rPr>
          <w:lang w:val="en-GB"/>
        </w:rPr>
        <w:t xml:space="preserve">54.  </w:t>
      </w:r>
      <w:r>
        <w:rPr>
          <w:rFonts w:hint="eastAsia"/>
          <w:lang w:val="en-GB"/>
        </w:rPr>
        <w:t>2008</w:t>
      </w:r>
      <w:r>
        <w:rPr>
          <w:rFonts w:hint="eastAsia"/>
          <w:lang w:val="en-GB"/>
        </w:rPr>
        <w:t>年，对于现有建筑物的改建出台了更为严格的无障碍要求，这种建筑物必须遵守齐平出入口等要求。</w:t>
      </w:r>
    </w:p>
    <w:p w:rsidR="00D84D94" w:rsidRDefault="00D84D94">
      <w:pPr>
        <w:pStyle w:val="SingleTxtGC"/>
        <w:rPr>
          <w:rFonts w:hint="eastAsia"/>
          <w:lang w:val="en-GB"/>
        </w:rPr>
      </w:pPr>
      <w:r>
        <w:rPr>
          <w:lang w:val="en-GB"/>
        </w:rPr>
        <w:t xml:space="preserve">55.  </w:t>
      </w:r>
      <w:r>
        <w:rPr>
          <w:rFonts w:hint="eastAsia"/>
          <w:lang w:val="en-GB"/>
        </w:rPr>
        <w:t>自</w:t>
      </w:r>
      <w:r>
        <w:rPr>
          <w:rFonts w:hint="eastAsia"/>
          <w:lang w:val="en-GB"/>
        </w:rPr>
        <w:t>2008</w:t>
      </w:r>
      <w:r>
        <w:rPr>
          <w:rFonts w:hint="eastAsia"/>
          <w:lang w:val="en-GB"/>
        </w:rPr>
        <w:t>年</w:t>
      </w:r>
      <w:r>
        <w:rPr>
          <w:rFonts w:hint="eastAsia"/>
          <w:lang w:val="en-GB"/>
        </w:rPr>
        <w:t>2</w:t>
      </w:r>
      <w:r>
        <w:rPr>
          <w:rFonts w:hint="eastAsia"/>
          <w:lang w:val="en-GB"/>
        </w:rPr>
        <w:t>月</w:t>
      </w:r>
      <w:r>
        <w:rPr>
          <w:rFonts w:hint="eastAsia"/>
          <w:lang w:val="en-GB"/>
        </w:rPr>
        <w:t>2</w:t>
      </w:r>
      <w:r>
        <w:rPr>
          <w:rFonts w:hint="eastAsia"/>
          <w:lang w:val="en-GB"/>
        </w:rPr>
        <w:t>日起，</w:t>
      </w:r>
      <w:r>
        <w:rPr>
          <w:rFonts w:hint="eastAsia"/>
          <w:lang w:val="en-GB"/>
        </w:rPr>
        <w:t>2008</w:t>
      </w:r>
      <w:r>
        <w:rPr>
          <w:rFonts w:hint="eastAsia"/>
          <w:lang w:val="en-GB"/>
        </w:rPr>
        <w:t>年的《丹麦建筑条例》引入了大量关于残疾人无障碍环境的新要求，并大大收紧了现有无障碍要求。</w:t>
      </w:r>
    </w:p>
    <w:p w:rsidR="00D84D94" w:rsidRDefault="00D84D94">
      <w:pPr>
        <w:pStyle w:val="SingleTxtGC"/>
        <w:rPr>
          <w:rFonts w:hint="eastAsia"/>
          <w:lang w:val="en-GB"/>
        </w:rPr>
      </w:pPr>
      <w:r>
        <w:rPr>
          <w:lang w:val="en-GB"/>
        </w:rPr>
        <w:t xml:space="preserve">56.  </w:t>
      </w:r>
      <w:r>
        <w:rPr>
          <w:rFonts w:hint="eastAsia"/>
          <w:lang w:val="en-GB"/>
        </w:rPr>
        <w:t>《建筑条例》规定了下列要求：</w:t>
      </w:r>
    </w:p>
    <w:p w:rsidR="00D84D94" w:rsidRDefault="00D84D94">
      <w:pPr>
        <w:pStyle w:val="Bullet1GC"/>
        <w:rPr>
          <w:rFonts w:hint="eastAsia"/>
          <w:lang w:val="en-GB"/>
        </w:rPr>
      </w:pPr>
      <w:r>
        <w:rPr>
          <w:rFonts w:hint="eastAsia"/>
          <w:lang w:val="en-GB"/>
        </w:rPr>
        <w:t>楼房入口层所有单元的入口均为齐平的</w:t>
      </w:r>
    </w:p>
    <w:p w:rsidR="00D84D94" w:rsidRDefault="00D84D94">
      <w:pPr>
        <w:pStyle w:val="Bullet1GC"/>
        <w:rPr>
          <w:lang w:val="en-GB"/>
        </w:rPr>
      </w:pPr>
      <w:r>
        <w:rPr>
          <w:rFonts w:hint="eastAsia"/>
          <w:lang w:val="en-GB"/>
        </w:rPr>
        <w:t>楼房各层所有单元的入口均为齐平的，有残疾人停车位、从停车场到楼内的无障碍通道</w:t>
      </w:r>
    </w:p>
    <w:p w:rsidR="00D84D94" w:rsidRDefault="00D84D94">
      <w:pPr>
        <w:pStyle w:val="Bullet1GC"/>
        <w:rPr>
          <w:rFonts w:hint="eastAsia"/>
          <w:lang w:val="en-GB"/>
        </w:rPr>
      </w:pPr>
      <w:r>
        <w:rPr>
          <w:rFonts w:hint="eastAsia"/>
          <w:lang w:val="en-GB"/>
        </w:rPr>
        <w:t>残疾人卫生间</w:t>
      </w:r>
      <w:r>
        <w:rPr>
          <w:rFonts w:hint="eastAsia"/>
          <w:lang w:val="en-GB"/>
        </w:rPr>
        <w:t>(</w:t>
      </w:r>
      <w:r>
        <w:rPr>
          <w:rFonts w:hint="eastAsia"/>
          <w:lang w:val="en-GB"/>
        </w:rPr>
        <w:t>向公众开放</w:t>
      </w:r>
      <w:r>
        <w:rPr>
          <w:rFonts w:hint="eastAsia"/>
          <w:lang w:val="en-GB"/>
        </w:rPr>
        <w:t>)</w:t>
      </w:r>
    </w:p>
    <w:p w:rsidR="00D84D94" w:rsidRDefault="00D84D94">
      <w:pPr>
        <w:pStyle w:val="Bullet1GC"/>
        <w:rPr>
          <w:rFonts w:hint="eastAsia"/>
          <w:lang w:val="en-GB"/>
        </w:rPr>
      </w:pPr>
      <w:r>
        <w:rPr>
          <w:rFonts w:hint="eastAsia"/>
          <w:lang w:val="en-GB"/>
        </w:rPr>
        <w:t>可以由乘坐轮椅者操作的直升电梯</w:t>
      </w:r>
    </w:p>
    <w:p w:rsidR="00D84D94" w:rsidRDefault="00D84D94">
      <w:pPr>
        <w:pStyle w:val="Bullet1GC"/>
        <w:rPr>
          <w:rFonts w:hint="eastAsia"/>
          <w:lang w:val="en-GB"/>
        </w:rPr>
      </w:pPr>
      <w:r>
        <w:rPr>
          <w:rFonts w:hint="eastAsia"/>
          <w:lang w:val="en-GB"/>
        </w:rPr>
        <w:t>在公共活动室内安装</w:t>
      </w:r>
      <w:r>
        <w:rPr>
          <w:lang w:val="en-GB"/>
        </w:rPr>
        <w:t>环听式感应系统</w:t>
      </w:r>
      <w:r>
        <w:rPr>
          <w:rFonts w:hint="eastAsia"/>
          <w:lang w:val="en-GB"/>
        </w:rPr>
        <w:t>、移动</w:t>
      </w:r>
      <w:r>
        <w:rPr>
          <w:rFonts w:hint="eastAsia"/>
          <w:lang w:val="en-GB"/>
        </w:rPr>
        <w:t>/</w:t>
      </w:r>
      <w:r>
        <w:rPr>
          <w:rFonts w:hint="eastAsia"/>
          <w:lang w:val="en-GB"/>
        </w:rPr>
        <w:t>无线</w:t>
      </w:r>
      <w:r>
        <w:rPr>
          <w:lang w:val="en-GB"/>
        </w:rPr>
        <w:t>环听式感应</w:t>
      </w:r>
      <w:r>
        <w:rPr>
          <w:rFonts w:hint="eastAsia"/>
          <w:lang w:val="en-GB"/>
        </w:rPr>
        <w:t>或其他形式装置</w:t>
      </w:r>
      <w:r>
        <w:rPr>
          <w:rFonts w:hint="eastAsia"/>
          <w:lang w:val="en-GB"/>
        </w:rPr>
        <w:t>(</w:t>
      </w:r>
      <w:r>
        <w:rPr>
          <w:rFonts w:hint="eastAsia"/>
          <w:lang w:val="en-GB"/>
        </w:rPr>
        <w:t>例如在会议室里和办公桌上</w:t>
      </w:r>
      <w:r>
        <w:rPr>
          <w:rFonts w:hint="eastAsia"/>
          <w:lang w:val="en-GB"/>
        </w:rPr>
        <w:t>)</w:t>
      </w:r>
    </w:p>
    <w:p w:rsidR="00D84D94" w:rsidRDefault="00D84D94">
      <w:pPr>
        <w:pStyle w:val="Bullet1GC"/>
        <w:rPr>
          <w:rFonts w:hint="eastAsia"/>
          <w:lang w:val="en-GB"/>
        </w:rPr>
      </w:pPr>
      <w:r>
        <w:rPr>
          <w:rFonts w:hint="eastAsia"/>
          <w:lang w:val="en-GB"/>
        </w:rPr>
        <w:t>在永久性安装空间辟出轮椅区</w:t>
      </w:r>
    </w:p>
    <w:p w:rsidR="00D84D94" w:rsidRDefault="00D84D94">
      <w:pPr>
        <w:pStyle w:val="Bullet1GC"/>
        <w:rPr>
          <w:rFonts w:hint="eastAsia"/>
          <w:lang w:val="en-GB"/>
        </w:rPr>
      </w:pPr>
      <w:r>
        <w:rPr>
          <w:rFonts w:hint="eastAsia"/>
          <w:lang w:val="en-GB"/>
        </w:rPr>
        <w:t>建筑物内的可用标识和信息</w:t>
      </w:r>
    </w:p>
    <w:p w:rsidR="00D84D94" w:rsidRDefault="00D84D94">
      <w:pPr>
        <w:pStyle w:val="SingleTxtGC"/>
        <w:rPr>
          <w:rFonts w:hint="eastAsia"/>
          <w:lang w:val="en-GB"/>
        </w:rPr>
      </w:pPr>
      <w:r>
        <w:rPr>
          <w:lang w:val="en-GB"/>
        </w:rPr>
        <w:t xml:space="preserve">57.  </w:t>
      </w:r>
      <w:r>
        <w:rPr>
          <w:rFonts w:hint="eastAsia"/>
          <w:lang w:val="en-GB"/>
        </w:rPr>
        <w:t>2010</w:t>
      </w:r>
      <w:r>
        <w:rPr>
          <w:rFonts w:hint="eastAsia"/>
          <w:lang w:val="en-GB"/>
        </w:rPr>
        <w:t>年，引入了无障碍标识和信息的要求。</w:t>
      </w:r>
    </w:p>
    <w:p w:rsidR="00D84D94" w:rsidRDefault="00D84D94">
      <w:pPr>
        <w:pStyle w:val="SingleTxtGC"/>
        <w:rPr>
          <w:rFonts w:hint="eastAsia"/>
          <w:lang w:val="en-GB"/>
        </w:rPr>
      </w:pPr>
      <w:r>
        <w:rPr>
          <w:lang w:val="en-GB"/>
        </w:rPr>
        <w:t xml:space="preserve">58.  </w:t>
      </w:r>
      <w:r>
        <w:rPr>
          <w:rFonts w:hint="eastAsia"/>
          <w:lang w:val="en-GB"/>
        </w:rPr>
        <w:t>丹麦建筑研究所代表丹麦企业和建筑局开展了大量的建筑立法宣传工作，即咨询服务、知识传播以及指南、指示和清单的起草。</w:t>
      </w:r>
    </w:p>
    <w:p w:rsidR="00D84D94" w:rsidRDefault="00D84D94">
      <w:pPr>
        <w:pStyle w:val="SingleTxtGC"/>
        <w:rPr>
          <w:rFonts w:hint="eastAsia"/>
          <w:lang w:val="en-GB"/>
        </w:rPr>
      </w:pPr>
      <w:r>
        <w:rPr>
          <w:lang w:val="en-GB"/>
        </w:rPr>
        <w:t xml:space="preserve">59.  </w:t>
      </w:r>
      <w:r>
        <w:rPr>
          <w:rFonts w:hint="eastAsia"/>
          <w:lang w:val="en-GB"/>
        </w:rPr>
        <w:t>在丹麦建筑研究所启动了几个项目，基本上是为了协助确定可以在多大程度上确保现有的无障碍规定得到遵守，以便提升和改善无障碍环境。这些项目属于一项总体评估的一部分。这项总体评估旨在评估，为遵守无障碍规定提供的额外工具是否能改善残疾人进出建筑物的无障碍条件。</w:t>
      </w:r>
    </w:p>
    <w:p w:rsidR="00D84D94" w:rsidRDefault="00D84D94">
      <w:pPr>
        <w:pStyle w:val="H23GC"/>
        <w:rPr>
          <w:rFonts w:hint="eastAsia"/>
          <w:lang w:val="en-GB"/>
        </w:rPr>
      </w:pPr>
      <w:r>
        <w:rPr>
          <w:lang w:val="en-GB"/>
        </w:rPr>
        <w:tab/>
      </w:r>
      <w:r>
        <w:rPr>
          <w:lang w:val="en-GB"/>
        </w:rPr>
        <w:tab/>
      </w:r>
      <w:r>
        <w:rPr>
          <w:rFonts w:hint="eastAsia"/>
          <w:lang w:val="en-GB"/>
        </w:rPr>
        <w:t>非营利住房中的无障碍</w:t>
      </w:r>
    </w:p>
    <w:p w:rsidR="00D84D94" w:rsidRDefault="00D84D94">
      <w:pPr>
        <w:pStyle w:val="SingleTxtGC"/>
        <w:rPr>
          <w:rFonts w:hint="eastAsia"/>
          <w:lang w:val="en-GB"/>
        </w:rPr>
      </w:pPr>
      <w:r>
        <w:rPr>
          <w:lang w:val="en-GB"/>
        </w:rPr>
        <w:t xml:space="preserve">60.  </w:t>
      </w:r>
      <w:r>
        <w:rPr>
          <w:rFonts w:hint="eastAsia"/>
          <w:lang w:val="en-GB"/>
        </w:rPr>
        <w:t>《建筑条例》的无障碍要求也适用于《丹麦社会住房法》规定的政府补贴住房。该法对住房的无障碍环境提出了特别要求，并且每年拨出专款整修现有住房，一个基本目的就是增加该部门住房的无障碍设施。为查明社会住房部门的</w:t>
      </w:r>
      <w:r>
        <w:rPr>
          <w:rFonts w:hint="eastAsia"/>
          <w:lang w:val="en-GB"/>
        </w:rPr>
        <w:t>55</w:t>
      </w:r>
      <w:r>
        <w:rPr>
          <w:rFonts w:hint="eastAsia"/>
          <w:lang w:val="en-GB"/>
        </w:rPr>
        <w:t>万多所住宅中的无障碍情况，启动了一个项目。在互联网门户网站</w:t>
      </w:r>
      <w:r>
        <w:rPr>
          <w:rFonts w:hint="eastAsia"/>
          <w:lang w:val="en-GB"/>
        </w:rPr>
        <w:t>(</w:t>
      </w:r>
      <w:r>
        <w:rPr>
          <w:lang w:val="en-GB"/>
        </w:rPr>
        <w:t>www. danmarkbolig.dk</w:t>
      </w:r>
      <w:r>
        <w:rPr>
          <w:rFonts w:hint="eastAsia"/>
          <w:lang w:val="en-GB"/>
        </w:rPr>
        <w:t>)</w:t>
      </w:r>
      <w:r>
        <w:rPr>
          <w:rFonts w:hint="eastAsia"/>
          <w:lang w:val="en-GB"/>
        </w:rPr>
        <w:t>上对该项目进行了介绍。残疾人在这个门户网站上可以找到各个住宅的无障碍信息，因而有助于找到最适于其所患残疾的住宅。</w:t>
      </w:r>
    </w:p>
    <w:p w:rsidR="00D84D94" w:rsidRDefault="00D84D94">
      <w:pPr>
        <w:pStyle w:val="SingleTxtGC"/>
        <w:rPr>
          <w:rFonts w:hint="eastAsia"/>
          <w:lang w:val="en-GB"/>
        </w:rPr>
      </w:pPr>
      <w:r>
        <w:rPr>
          <w:lang w:val="en-GB"/>
        </w:rPr>
        <w:t xml:space="preserve">61.  </w:t>
      </w:r>
      <w:r>
        <w:rPr>
          <w:rFonts w:hint="eastAsia"/>
          <w:lang w:val="en-GB"/>
        </w:rPr>
        <w:t>《社会住房法》载有关于供残疾人使用的社会住房的布局和设计的具体规定。</w:t>
      </w:r>
    </w:p>
    <w:p w:rsidR="00D84D94" w:rsidRDefault="00D84D94">
      <w:pPr>
        <w:pStyle w:val="H23GC"/>
        <w:rPr>
          <w:rFonts w:hint="eastAsia"/>
          <w:lang w:val="en-GB"/>
        </w:rPr>
      </w:pPr>
      <w:r>
        <w:rPr>
          <w:lang w:val="en-GB"/>
        </w:rPr>
        <w:tab/>
      </w:r>
      <w:r>
        <w:rPr>
          <w:lang w:val="en-GB"/>
        </w:rPr>
        <w:tab/>
      </w:r>
      <w:r>
        <w:rPr>
          <w:rFonts w:hint="eastAsia"/>
          <w:lang w:val="en-GB"/>
        </w:rPr>
        <w:t>未来教育建筑的无障碍物质环境</w:t>
      </w:r>
    </w:p>
    <w:p w:rsidR="00D84D94" w:rsidRDefault="00D84D94">
      <w:pPr>
        <w:pStyle w:val="SingleTxtGC"/>
        <w:rPr>
          <w:rFonts w:hint="eastAsia"/>
          <w:lang w:val="en-GB"/>
        </w:rPr>
      </w:pPr>
      <w:r>
        <w:rPr>
          <w:lang w:val="en-GB"/>
        </w:rPr>
        <w:t xml:space="preserve">62.  </w:t>
      </w:r>
      <w:r>
        <w:rPr>
          <w:rFonts w:hint="eastAsia"/>
          <w:lang w:val="en-GB"/>
        </w:rPr>
        <w:t>2011</w:t>
      </w:r>
      <w:r>
        <w:rPr>
          <w:rFonts w:hint="eastAsia"/>
          <w:lang w:val="en-GB"/>
        </w:rPr>
        <w:t>年，根据</w:t>
      </w:r>
      <w:r>
        <w:rPr>
          <w:rFonts w:hint="eastAsia"/>
          <w:lang w:val="en-GB"/>
        </w:rPr>
        <w:t>(</w:t>
      </w:r>
      <w:r>
        <w:rPr>
          <w:rFonts w:hint="eastAsia"/>
          <w:lang w:val="en-GB"/>
        </w:rPr>
        <w:t>《建筑条例》中</w:t>
      </w:r>
      <w:r>
        <w:rPr>
          <w:rFonts w:hint="eastAsia"/>
          <w:lang w:val="en-GB"/>
        </w:rPr>
        <w:t>)</w:t>
      </w:r>
      <w:r>
        <w:rPr>
          <w:rFonts w:hint="eastAsia"/>
          <w:lang w:val="en-GB"/>
        </w:rPr>
        <w:t>修改后的规则，对教育建筑</w:t>
      </w:r>
      <w:r>
        <w:rPr>
          <w:rFonts w:hint="eastAsia"/>
          <w:lang w:val="en-GB"/>
        </w:rPr>
        <w:t>(</w:t>
      </w:r>
      <w:r>
        <w:rPr>
          <w:rFonts w:hint="eastAsia"/>
          <w:lang w:val="en-GB"/>
        </w:rPr>
        <w:t>国立大学建筑</w:t>
      </w:r>
      <w:r>
        <w:rPr>
          <w:rFonts w:hint="eastAsia"/>
          <w:lang w:val="en-GB"/>
        </w:rPr>
        <w:t>)</w:t>
      </w:r>
      <w:r>
        <w:rPr>
          <w:rFonts w:hint="eastAsia"/>
          <w:lang w:val="en-GB"/>
        </w:rPr>
        <w:t>的无障碍标准进行了修订，补充了新的关于研究和实验场所的布局规定。在适用无障碍标准时，我们努力确保由私营供应商建设的大学建筑进出无障碍。</w:t>
      </w:r>
    </w:p>
    <w:p w:rsidR="00D84D94" w:rsidRDefault="00D84D94">
      <w:pPr>
        <w:pStyle w:val="SingleTxtGC"/>
        <w:rPr>
          <w:rFonts w:hint="eastAsia"/>
          <w:lang w:val="en-GB"/>
        </w:rPr>
      </w:pPr>
      <w:r>
        <w:rPr>
          <w:lang w:val="en-GB"/>
        </w:rPr>
        <w:t xml:space="preserve">63.  </w:t>
      </w:r>
      <w:r>
        <w:rPr>
          <w:rFonts w:hint="eastAsia"/>
          <w:lang w:val="en-GB"/>
        </w:rPr>
        <w:t>目前正在努力扩大无障碍标准要求的适用范围，从包括大学所有新建建筑或扩展部分，扩大到包括所有改建部分和改变建筑用途部分。</w:t>
      </w:r>
    </w:p>
    <w:p w:rsidR="00D84D94" w:rsidRDefault="00D84D94">
      <w:pPr>
        <w:pStyle w:val="SingleTxtGC"/>
        <w:rPr>
          <w:rFonts w:hint="eastAsia"/>
          <w:lang w:val="en-GB"/>
        </w:rPr>
      </w:pPr>
      <w:r>
        <w:rPr>
          <w:lang w:val="en-GB"/>
        </w:rPr>
        <w:t xml:space="preserve">64.  </w:t>
      </w:r>
      <w:r>
        <w:rPr>
          <w:rFonts w:hint="eastAsia"/>
          <w:lang w:val="en-GB"/>
        </w:rPr>
        <w:t>科学、技术和创新部将维持对于有关专业群体、负责大学经营者和建筑顾问的内部教学标准。</w:t>
      </w:r>
    </w:p>
    <w:p w:rsidR="00D84D94" w:rsidRDefault="00D84D94">
      <w:pPr>
        <w:pStyle w:val="SingleTxtGC"/>
        <w:rPr>
          <w:rFonts w:hint="eastAsia"/>
          <w:lang w:val="en-GB"/>
        </w:rPr>
      </w:pPr>
      <w:r>
        <w:rPr>
          <w:lang w:val="en-GB"/>
        </w:rPr>
        <w:t xml:space="preserve">65.  </w:t>
      </w:r>
      <w:r>
        <w:rPr>
          <w:rFonts w:hint="eastAsia"/>
          <w:lang w:val="en-GB"/>
        </w:rPr>
        <w:t>科学、技术和创新部还将通过公共开发者委员会，探索扩展无障碍标准区的可能性，以纳入由其他部门负责的其他教学区。</w:t>
      </w:r>
    </w:p>
    <w:p w:rsidR="00D84D94" w:rsidRDefault="00D84D94">
      <w:pPr>
        <w:pStyle w:val="H23GC"/>
        <w:rPr>
          <w:rFonts w:hint="eastAsia"/>
          <w:lang w:val="en-GB"/>
        </w:rPr>
      </w:pPr>
      <w:r>
        <w:rPr>
          <w:lang w:val="en-GB"/>
        </w:rPr>
        <w:tab/>
      </w:r>
      <w:r>
        <w:rPr>
          <w:lang w:val="en-GB"/>
        </w:rPr>
        <w:tab/>
      </w:r>
      <w:r>
        <w:rPr>
          <w:rFonts w:hint="eastAsia"/>
          <w:lang w:val="en-GB"/>
        </w:rPr>
        <w:t>改善现有教育建筑</w:t>
      </w:r>
      <w:r>
        <w:rPr>
          <w:rFonts w:hint="eastAsia"/>
          <w:lang w:val="en-GB"/>
        </w:rPr>
        <w:t>/</w:t>
      </w:r>
      <w:r>
        <w:rPr>
          <w:rFonts w:hint="eastAsia"/>
          <w:lang w:val="en-GB"/>
        </w:rPr>
        <w:t>大学的无障碍物质环境</w:t>
      </w:r>
    </w:p>
    <w:p w:rsidR="00D84D94" w:rsidRDefault="00D84D94">
      <w:pPr>
        <w:pStyle w:val="SingleTxtGC"/>
        <w:rPr>
          <w:rFonts w:hint="eastAsia"/>
          <w:lang w:val="en-GB"/>
        </w:rPr>
      </w:pPr>
      <w:r>
        <w:rPr>
          <w:lang w:val="en-GB"/>
        </w:rPr>
        <w:t xml:space="preserve">66.  </w:t>
      </w:r>
      <w:r>
        <w:rPr>
          <w:rFonts w:hint="eastAsia"/>
          <w:lang w:val="en-GB"/>
        </w:rPr>
        <w:t>在以前登记并估价的现有教育建筑中，可能仍然有妨碍出入的障碍。未来的改造和适应改变后用途的调整将会考虑到这些信息。</w:t>
      </w:r>
    </w:p>
    <w:p w:rsidR="00D84D94" w:rsidRDefault="00D84D94">
      <w:pPr>
        <w:pStyle w:val="SingleTxtGC"/>
        <w:rPr>
          <w:rFonts w:hint="eastAsia"/>
          <w:lang w:val="en-GB"/>
        </w:rPr>
      </w:pPr>
      <w:r>
        <w:rPr>
          <w:lang w:val="en-GB"/>
        </w:rPr>
        <w:t xml:space="preserve">67.  </w:t>
      </w:r>
      <w:r>
        <w:rPr>
          <w:rFonts w:hint="eastAsia"/>
          <w:lang w:val="en-GB"/>
        </w:rPr>
        <w:t>来年会对实验楼投以重资，大大改善大学和行业研究院的无障碍环境。</w:t>
      </w:r>
    </w:p>
    <w:p w:rsidR="00D84D94" w:rsidRDefault="00D84D94">
      <w:pPr>
        <w:pStyle w:val="SingleTxtGC"/>
        <w:rPr>
          <w:rFonts w:hint="eastAsia"/>
          <w:lang w:val="en-GB"/>
        </w:rPr>
      </w:pPr>
      <w:r>
        <w:rPr>
          <w:lang w:val="en-GB"/>
        </w:rPr>
        <w:t xml:space="preserve">68.  </w:t>
      </w:r>
      <w:r>
        <w:rPr>
          <w:rFonts w:hint="eastAsia"/>
          <w:lang w:val="en-GB"/>
        </w:rPr>
        <w:t>为便于残疾人在大学里活动，将借助数字辅助手段开发有关建筑物和校园内无障碍情况的信息。其目的是使所有大学都能展示出标明乘坐轮椅者通行路线的地图。</w:t>
      </w:r>
    </w:p>
    <w:p w:rsidR="00D84D94" w:rsidRDefault="00D84D94">
      <w:pPr>
        <w:pStyle w:val="SingleTxtGC"/>
        <w:rPr>
          <w:rFonts w:hint="eastAsia"/>
          <w:lang w:val="en-GB"/>
        </w:rPr>
      </w:pPr>
      <w:r>
        <w:rPr>
          <w:lang w:val="en-GB"/>
        </w:rPr>
        <w:t xml:space="preserve">69.  </w:t>
      </w:r>
      <w:r>
        <w:rPr>
          <w:rFonts w:hint="eastAsia"/>
          <w:lang w:val="en-GB"/>
        </w:rPr>
        <w:t>作为开发大学网站的一个方面，无障碍信息</w:t>
      </w:r>
      <w:r>
        <w:rPr>
          <w:rFonts w:hint="eastAsia"/>
          <w:spacing w:val="-60"/>
          <w:lang w:val="en-GB"/>
        </w:rPr>
        <w:t>―</w:t>
      </w:r>
      <w:r>
        <w:rPr>
          <w:rFonts w:hint="eastAsia"/>
          <w:spacing w:val="10"/>
          <w:lang w:val="en-GB"/>
        </w:rPr>
        <w:t>―</w:t>
      </w:r>
      <w:r>
        <w:rPr>
          <w:rFonts w:hint="eastAsia"/>
          <w:lang w:val="en-GB"/>
        </w:rPr>
        <w:t>包括地图</w:t>
      </w:r>
      <w:r>
        <w:rPr>
          <w:rFonts w:hint="eastAsia"/>
          <w:spacing w:val="-60"/>
          <w:lang w:val="en-GB"/>
        </w:rPr>
        <w:t>―</w:t>
      </w:r>
      <w:r>
        <w:rPr>
          <w:rFonts w:hint="eastAsia"/>
          <w:spacing w:val="10"/>
          <w:lang w:val="en-GB"/>
        </w:rPr>
        <w:t>―</w:t>
      </w:r>
      <w:r>
        <w:rPr>
          <w:rFonts w:hint="eastAsia"/>
          <w:lang w:val="en-GB"/>
        </w:rPr>
        <w:t>可以改进面向残疾人的信息以及与他们的交流。</w:t>
      </w:r>
    </w:p>
    <w:p w:rsidR="00D84D94" w:rsidRDefault="00D84D94">
      <w:pPr>
        <w:pStyle w:val="H23GC"/>
        <w:rPr>
          <w:rFonts w:hint="eastAsia"/>
          <w:lang w:val="en-GB"/>
        </w:rPr>
      </w:pPr>
      <w:r>
        <w:rPr>
          <w:lang w:val="en-GB"/>
        </w:rPr>
        <w:tab/>
      </w:r>
      <w:r>
        <w:rPr>
          <w:lang w:val="en-GB"/>
        </w:rPr>
        <w:tab/>
      </w:r>
      <w:r>
        <w:rPr>
          <w:rFonts w:hint="eastAsia"/>
          <w:lang w:val="en-GB"/>
        </w:rPr>
        <w:t>法院中的无障碍物质环境</w:t>
      </w:r>
    </w:p>
    <w:p w:rsidR="00D84D94" w:rsidRDefault="00D84D94">
      <w:pPr>
        <w:pStyle w:val="SingleTxtGC"/>
        <w:rPr>
          <w:rFonts w:hint="eastAsia"/>
          <w:lang w:val="en-GB"/>
        </w:rPr>
      </w:pPr>
      <w:r>
        <w:rPr>
          <w:lang w:val="en-GB"/>
        </w:rPr>
        <w:t xml:space="preserve">70.  </w:t>
      </w:r>
      <w:r>
        <w:rPr>
          <w:rFonts w:hint="eastAsia"/>
          <w:lang w:val="en-GB"/>
        </w:rPr>
        <w:t>由于历史原因，法院都设在老建筑中，这些建筑的原始设计中并没有残疾人无障碍设施。只有可能为残疾人，对这些法院建筑做一点点无障碍改进，例如安装可拆卸的坡道。</w:t>
      </w:r>
    </w:p>
    <w:p w:rsidR="00D84D94" w:rsidRDefault="00D84D94">
      <w:pPr>
        <w:pStyle w:val="SingleTxtGC"/>
        <w:rPr>
          <w:rFonts w:hint="eastAsia"/>
          <w:lang w:val="en-GB"/>
        </w:rPr>
      </w:pPr>
      <w:r>
        <w:rPr>
          <w:lang w:val="en-GB"/>
        </w:rPr>
        <w:t xml:space="preserve">71.  </w:t>
      </w:r>
      <w:r>
        <w:rPr>
          <w:rFonts w:hint="eastAsia"/>
          <w:lang w:val="en-GB"/>
        </w:rPr>
        <w:t>若某个案件的当事方或证人是乘坐轮椅者并且无法通过可拆卸坡道等设施进入法院厅室，个别法院通常会请人来为其提供必要援助</w:t>
      </w:r>
      <w:r>
        <w:rPr>
          <w:rFonts w:hint="eastAsia"/>
          <w:spacing w:val="-60"/>
          <w:lang w:val="en-GB"/>
        </w:rPr>
        <w:t>―</w:t>
      </w:r>
      <w:r>
        <w:rPr>
          <w:rFonts w:hint="eastAsia"/>
          <w:spacing w:val="10"/>
          <w:lang w:val="en-GB"/>
        </w:rPr>
        <w:t>―</w:t>
      </w:r>
      <w:r>
        <w:rPr>
          <w:rFonts w:hint="eastAsia"/>
          <w:lang w:val="en-GB"/>
        </w:rPr>
        <w:t>而且不向个人收取费用。</w:t>
      </w:r>
    </w:p>
    <w:p w:rsidR="00D84D94" w:rsidRDefault="00D84D94">
      <w:pPr>
        <w:pStyle w:val="SingleTxtGC"/>
        <w:rPr>
          <w:rFonts w:hint="eastAsia"/>
          <w:lang w:val="en-GB"/>
        </w:rPr>
      </w:pPr>
      <w:r>
        <w:rPr>
          <w:lang w:val="en-GB"/>
        </w:rPr>
        <w:t xml:space="preserve">72.  </w:t>
      </w:r>
      <w:r>
        <w:rPr>
          <w:rFonts w:hint="eastAsia"/>
          <w:lang w:val="en-GB"/>
        </w:rPr>
        <w:t>在</w:t>
      </w:r>
      <w:r>
        <w:rPr>
          <w:rFonts w:hint="eastAsia"/>
          <w:lang w:val="en-GB"/>
        </w:rPr>
        <w:t>2006</w:t>
      </w:r>
      <w:r>
        <w:rPr>
          <w:rFonts w:hint="eastAsia"/>
          <w:lang w:val="en-GB"/>
        </w:rPr>
        <w:t>年丹麦法院改革之初设立的</w:t>
      </w:r>
      <w:r>
        <w:rPr>
          <w:rFonts w:hint="eastAsia"/>
          <w:lang w:val="en-GB"/>
        </w:rPr>
        <w:t>24</w:t>
      </w:r>
      <w:r>
        <w:rPr>
          <w:rFonts w:hint="eastAsia"/>
          <w:lang w:val="en-GB"/>
        </w:rPr>
        <w:t>个司法区中，有</w:t>
      </w:r>
      <w:r>
        <w:rPr>
          <w:rFonts w:hint="eastAsia"/>
          <w:lang w:val="en-GB"/>
        </w:rPr>
        <w:t>12</w:t>
      </w:r>
      <w:r>
        <w:rPr>
          <w:rFonts w:hint="eastAsia"/>
          <w:lang w:val="en-GB"/>
        </w:rPr>
        <w:t>个司法区的法院迁入新建筑。新建筑符合关于残疾人无障碍的所有现行要求。</w:t>
      </w:r>
    </w:p>
    <w:p w:rsidR="00D84D94" w:rsidRDefault="00D84D94">
      <w:pPr>
        <w:pStyle w:val="SingleTxtGC"/>
        <w:rPr>
          <w:rFonts w:hint="eastAsia"/>
          <w:lang w:val="en-GB"/>
        </w:rPr>
      </w:pPr>
      <w:r>
        <w:rPr>
          <w:lang w:val="en-GB"/>
        </w:rPr>
        <w:t xml:space="preserve">73.  </w:t>
      </w:r>
      <w:r>
        <w:rPr>
          <w:rFonts w:hint="eastAsia"/>
          <w:lang w:val="en-GB"/>
        </w:rPr>
        <w:t>在其余</w:t>
      </w:r>
      <w:r>
        <w:rPr>
          <w:rFonts w:hint="eastAsia"/>
          <w:lang w:val="en-GB"/>
        </w:rPr>
        <w:t>12</w:t>
      </w:r>
      <w:r>
        <w:rPr>
          <w:rFonts w:hint="eastAsia"/>
          <w:lang w:val="en-GB"/>
        </w:rPr>
        <w:t>个司法区中，有</w:t>
      </w:r>
      <w:r>
        <w:rPr>
          <w:rFonts w:hint="eastAsia"/>
          <w:lang w:val="en-GB"/>
        </w:rPr>
        <w:t>5</w:t>
      </w:r>
      <w:r>
        <w:rPr>
          <w:rFonts w:hint="eastAsia"/>
          <w:lang w:val="en-GB"/>
        </w:rPr>
        <w:t>个正在建设新楼房。另外</w:t>
      </w:r>
      <w:r>
        <w:rPr>
          <w:rFonts w:hint="eastAsia"/>
          <w:lang w:val="en-GB"/>
        </w:rPr>
        <w:t>7</w:t>
      </w:r>
      <w:r>
        <w:rPr>
          <w:rFonts w:hint="eastAsia"/>
          <w:lang w:val="en-GB"/>
        </w:rPr>
        <w:t>家法院很可能在对现有法院大楼进行改造或增加有关设施之后，再搬进去。对于新建楼房、大型改造或新址租用，也将着眼于确保残疾人的无障碍问题。整个改革发展项目预计于</w:t>
      </w:r>
      <w:r>
        <w:rPr>
          <w:rFonts w:hint="eastAsia"/>
          <w:lang w:val="en-GB"/>
        </w:rPr>
        <w:t>2013</w:t>
      </w:r>
      <w:r>
        <w:rPr>
          <w:rFonts w:hint="eastAsia"/>
          <w:lang w:val="en-GB"/>
        </w:rPr>
        <w:t>年完成。</w:t>
      </w:r>
    </w:p>
    <w:p w:rsidR="00D84D94" w:rsidRDefault="00D84D94">
      <w:pPr>
        <w:pStyle w:val="SingleTxtGC"/>
        <w:rPr>
          <w:rFonts w:hint="eastAsia"/>
          <w:lang w:val="en-GB"/>
        </w:rPr>
      </w:pPr>
      <w:r>
        <w:rPr>
          <w:lang w:val="en-GB"/>
        </w:rPr>
        <w:t xml:space="preserve">74.  </w:t>
      </w:r>
      <w:r>
        <w:rPr>
          <w:rFonts w:hint="eastAsia"/>
          <w:lang w:val="en-GB"/>
        </w:rPr>
        <w:t>出于公民义务偶尔前来法院的陪审员、委员会成员或其他人若有肢体缺陷，在法院楼内走动时总会得到所需的必要帮助。</w:t>
      </w:r>
    </w:p>
    <w:p w:rsidR="00D84D94" w:rsidRDefault="00D84D94">
      <w:pPr>
        <w:pStyle w:val="H23GC"/>
        <w:rPr>
          <w:rFonts w:hint="eastAsia"/>
          <w:lang w:val="en-GB"/>
        </w:rPr>
      </w:pPr>
      <w:r>
        <w:rPr>
          <w:lang w:val="en-GB"/>
        </w:rPr>
        <w:tab/>
      </w:r>
      <w:r>
        <w:rPr>
          <w:lang w:val="en-GB"/>
        </w:rPr>
        <w:tab/>
      </w:r>
      <w:r>
        <w:rPr>
          <w:rFonts w:hint="eastAsia"/>
          <w:lang w:val="en-GB"/>
        </w:rPr>
        <w:t>监狱的无障碍物质环境</w:t>
      </w:r>
    </w:p>
    <w:p w:rsidR="00D84D94" w:rsidRDefault="00D84D94">
      <w:pPr>
        <w:pStyle w:val="SingleTxtGC"/>
        <w:rPr>
          <w:rFonts w:hint="eastAsia"/>
          <w:lang w:val="en-GB"/>
        </w:rPr>
      </w:pPr>
      <w:r>
        <w:rPr>
          <w:lang w:val="en-GB"/>
        </w:rPr>
        <w:t xml:space="preserve">75.  </w:t>
      </w:r>
      <w:r>
        <w:rPr>
          <w:rFonts w:hint="eastAsia"/>
          <w:lang w:val="en-GB"/>
        </w:rPr>
        <w:t>由于丹麦国有监狱和地方监狱基本上都设在老建筑群中，那里通常不符合如今的残疾人无障碍要求，因此在现有监狱中装备了一些供残疾人使用的专门监室。</w:t>
      </w:r>
    </w:p>
    <w:p w:rsidR="00D84D94" w:rsidRDefault="00D84D94">
      <w:pPr>
        <w:pStyle w:val="SingleTxtGC"/>
        <w:rPr>
          <w:rFonts w:hint="eastAsia"/>
          <w:lang w:val="en-GB"/>
        </w:rPr>
      </w:pPr>
      <w:r>
        <w:rPr>
          <w:lang w:val="en-GB"/>
        </w:rPr>
        <w:t xml:space="preserve">76.  </w:t>
      </w:r>
      <w:r>
        <w:rPr>
          <w:rFonts w:hint="eastAsia"/>
          <w:lang w:val="en-GB"/>
        </w:rPr>
        <w:t>在建设新监狱时，监狱和缓刑局谨遵守关于残疾人无障碍的所有现行建筑标准。</w:t>
      </w:r>
    </w:p>
    <w:p w:rsidR="00D84D94" w:rsidRDefault="00D84D94">
      <w:pPr>
        <w:pStyle w:val="H23GC"/>
        <w:rPr>
          <w:rFonts w:hint="eastAsia"/>
          <w:lang w:val="en-GB"/>
        </w:rPr>
      </w:pPr>
      <w:r>
        <w:rPr>
          <w:lang w:val="en-GB"/>
        </w:rPr>
        <w:tab/>
      </w:r>
      <w:r>
        <w:rPr>
          <w:lang w:val="en-GB"/>
        </w:rPr>
        <w:tab/>
      </w:r>
      <w:r>
        <w:rPr>
          <w:rFonts w:hint="eastAsia"/>
          <w:lang w:val="en-GB"/>
        </w:rPr>
        <w:t>观众设施中的无障碍物质环境</w:t>
      </w:r>
    </w:p>
    <w:p w:rsidR="00D84D94" w:rsidRDefault="00D84D94">
      <w:pPr>
        <w:pStyle w:val="SingleTxtGC"/>
        <w:rPr>
          <w:rFonts w:hint="eastAsia"/>
          <w:lang w:val="en-GB"/>
        </w:rPr>
      </w:pPr>
      <w:r>
        <w:rPr>
          <w:lang w:val="en-GB"/>
        </w:rPr>
        <w:t xml:space="preserve">77.  </w:t>
      </w:r>
      <w:r>
        <w:rPr>
          <w:rFonts w:hint="eastAsia"/>
          <w:lang w:val="en-GB"/>
        </w:rPr>
        <w:t>国家建设的室外观众设施不属于《丹麦建筑条例》的范围之内，但是当要建设此类设施时，重点注意了如何使设施成为对残疾用户友好型。</w:t>
      </w:r>
    </w:p>
    <w:p w:rsidR="00D84D94" w:rsidRDefault="00D84D94">
      <w:pPr>
        <w:pStyle w:val="H23GC"/>
        <w:rPr>
          <w:rFonts w:hint="eastAsia"/>
          <w:lang w:val="en-GB"/>
        </w:rPr>
      </w:pPr>
      <w:r>
        <w:rPr>
          <w:lang w:val="en-GB"/>
        </w:rPr>
        <w:tab/>
      </w:r>
      <w:r>
        <w:rPr>
          <w:lang w:val="en-GB"/>
        </w:rPr>
        <w:tab/>
      </w:r>
      <w:r>
        <w:rPr>
          <w:rFonts w:hint="eastAsia"/>
          <w:lang w:val="en-GB"/>
        </w:rPr>
        <w:t>导盲犬出入饭店</w:t>
      </w:r>
      <w:r>
        <w:rPr>
          <w:rFonts w:hint="eastAsia"/>
          <w:lang w:val="en-GB"/>
        </w:rPr>
        <w:t>/</w:t>
      </w:r>
      <w:r>
        <w:rPr>
          <w:rFonts w:hint="eastAsia"/>
          <w:lang w:val="en-GB"/>
        </w:rPr>
        <w:t>超市</w:t>
      </w:r>
    </w:p>
    <w:p w:rsidR="00D84D94" w:rsidRDefault="00D84D94">
      <w:pPr>
        <w:pStyle w:val="SingleTxtGC"/>
        <w:rPr>
          <w:rFonts w:hint="eastAsia"/>
          <w:lang w:val="en-GB"/>
        </w:rPr>
      </w:pPr>
      <w:r>
        <w:rPr>
          <w:lang w:val="en-GB"/>
        </w:rPr>
        <w:t xml:space="preserve">78.  </w:t>
      </w:r>
      <w:r>
        <w:rPr>
          <w:rFonts w:hint="eastAsia"/>
          <w:lang w:val="en-GB"/>
        </w:rPr>
        <w:t>出于卫生原因，一般禁止动物进入食品公司。不过，丹麦食品立法允许视障或有类似缺陷者牵着导盲犬进入商店和饭店的顾客区。商店</w:t>
      </w:r>
      <w:r>
        <w:rPr>
          <w:rFonts w:hint="eastAsia"/>
          <w:lang w:val="en-GB"/>
        </w:rPr>
        <w:t>/</w:t>
      </w:r>
      <w:r>
        <w:rPr>
          <w:rFonts w:hint="eastAsia"/>
          <w:lang w:val="en-GB"/>
        </w:rPr>
        <w:t>饭店负责确保导盲犬不破坏食品卫生，而且食品公司必须有处理受损食品的常规程序。</w:t>
      </w:r>
    </w:p>
    <w:p w:rsidR="00D84D94" w:rsidRDefault="00D84D94">
      <w:pPr>
        <w:pStyle w:val="H23GC"/>
        <w:rPr>
          <w:rFonts w:hint="eastAsia"/>
          <w:lang w:val="en-GB"/>
        </w:rPr>
      </w:pPr>
      <w:r>
        <w:rPr>
          <w:lang w:val="en-GB"/>
        </w:rPr>
        <w:tab/>
      </w:r>
      <w:r>
        <w:rPr>
          <w:lang w:val="en-GB"/>
        </w:rPr>
        <w:tab/>
      </w:r>
      <w:r>
        <w:rPr>
          <w:rFonts w:hint="eastAsia"/>
          <w:lang w:val="en-GB"/>
        </w:rPr>
        <w:t>交通中的无障碍</w:t>
      </w:r>
    </w:p>
    <w:p w:rsidR="00D84D94" w:rsidRDefault="00D84D94">
      <w:pPr>
        <w:pStyle w:val="SingleTxtGC"/>
        <w:rPr>
          <w:rFonts w:hint="eastAsia"/>
          <w:lang w:val="en-GB"/>
        </w:rPr>
      </w:pPr>
      <w:r>
        <w:rPr>
          <w:lang w:val="en-GB"/>
        </w:rPr>
        <w:t xml:space="preserve">79.  </w:t>
      </w:r>
      <w:r>
        <w:rPr>
          <w:rFonts w:hint="eastAsia"/>
          <w:lang w:val="en-GB"/>
        </w:rPr>
        <w:t>交通领域制定了一系列条例，以确保有供残疾人选择的交通运输方式。人们自</w:t>
      </w:r>
      <w:r>
        <w:rPr>
          <w:rFonts w:hint="eastAsia"/>
          <w:lang w:val="en-GB"/>
        </w:rPr>
        <w:t>15</w:t>
      </w:r>
      <w:r>
        <w:rPr>
          <w:rFonts w:hint="eastAsia"/>
          <w:lang w:val="en-GB"/>
        </w:rPr>
        <w:t>岁起就可以申领低速残疾车辆驾驶执照</w:t>
      </w:r>
      <w:r>
        <w:rPr>
          <w:rFonts w:hint="eastAsia"/>
          <w:lang w:val="en-GB"/>
        </w:rPr>
        <w:t>(</w:t>
      </w:r>
      <w:r>
        <w:rPr>
          <w:rFonts w:hint="eastAsia"/>
          <w:lang w:val="en-GB"/>
        </w:rPr>
        <w:t>通常申领驾照的年龄要求是</w:t>
      </w:r>
      <w:r>
        <w:rPr>
          <w:rFonts w:hint="eastAsia"/>
          <w:lang w:val="en-GB"/>
        </w:rPr>
        <w:t>18</w:t>
      </w:r>
      <w:r>
        <w:rPr>
          <w:rFonts w:hint="eastAsia"/>
          <w:lang w:val="en-GB"/>
        </w:rPr>
        <w:t>岁</w:t>
      </w:r>
      <w:r>
        <w:rPr>
          <w:rFonts w:hint="eastAsia"/>
          <w:lang w:val="en-GB"/>
        </w:rPr>
        <w:t>)</w:t>
      </w:r>
      <w:r>
        <w:rPr>
          <w:rFonts w:hint="eastAsia"/>
          <w:lang w:val="en-GB"/>
        </w:rPr>
        <w:t>，可以用专门装配的车辆，例如残疾车，练习驾驶，进行取得车辆驾驶执照所需的实驾考试。</w:t>
      </w:r>
    </w:p>
    <w:p w:rsidR="00D84D94" w:rsidRDefault="00D84D94">
      <w:pPr>
        <w:pStyle w:val="SingleTxtGC"/>
        <w:rPr>
          <w:rFonts w:hint="eastAsia"/>
          <w:lang w:val="en-GB"/>
        </w:rPr>
      </w:pPr>
      <w:r>
        <w:rPr>
          <w:lang w:val="en-GB"/>
        </w:rPr>
        <w:t xml:space="preserve">80.  </w:t>
      </w:r>
      <w:r>
        <w:rPr>
          <w:rFonts w:hint="eastAsia"/>
          <w:lang w:val="en-GB"/>
        </w:rPr>
        <w:t>为适应残疾人的特殊需要，司法大臣和运输大臣在认为从道路交通安全方面看适宜时，通常可准予豁免《丹麦道路交通法》中的某些规定。已经给予的豁免使残疾人能够取得特别停车证，从而可以进出专门为其预留的停车位。</w:t>
      </w:r>
    </w:p>
    <w:p w:rsidR="00D84D94" w:rsidRDefault="00D84D94">
      <w:pPr>
        <w:pStyle w:val="H23GC"/>
        <w:rPr>
          <w:rFonts w:hint="eastAsia"/>
          <w:lang w:val="en-GB"/>
        </w:rPr>
      </w:pPr>
      <w:r>
        <w:rPr>
          <w:lang w:val="en-GB"/>
        </w:rPr>
        <w:tab/>
      </w:r>
      <w:r>
        <w:rPr>
          <w:lang w:val="en-GB"/>
        </w:rPr>
        <w:tab/>
      </w:r>
      <w:r>
        <w:rPr>
          <w:rFonts w:hint="eastAsia"/>
          <w:lang w:val="en-GB"/>
        </w:rPr>
        <w:t>交通区域的无障碍物质环境</w:t>
      </w:r>
    </w:p>
    <w:p w:rsidR="00D84D94" w:rsidRDefault="00D84D94">
      <w:pPr>
        <w:pStyle w:val="SingleTxtGC"/>
        <w:rPr>
          <w:rFonts w:hint="eastAsia"/>
          <w:lang w:val="en-GB"/>
        </w:rPr>
      </w:pPr>
      <w:r>
        <w:rPr>
          <w:lang w:val="en-GB"/>
        </w:rPr>
        <w:t xml:space="preserve">81.  </w:t>
      </w:r>
      <w:r>
        <w:rPr>
          <w:rFonts w:hint="eastAsia"/>
          <w:lang w:val="en-GB"/>
        </w:rPr>
        <w:t>政府通过了适用于运输部整个领域的无障碍政策，该政策要求当通过并设立新的基础设施项目时，所有各阶段</w:t>
      </w:r>
      <w:r>
        <w:rPr>
          <w:rFonts w:hint="eastAsia"/>
          <w:lang w:val="en-GB"/>
        </w:rPr>
        <w:t>(</w:t>
      </w:r>
      <w:r>
        <w:rPr>
          <w:rFonts w:hint="eastAsia"/>
          <w:lang w:val="en-GB"/>
        </w:rPr>
        <w:t>规划、实施和运作</w:t>
      </w:r>
      <w:r>
        <w:rPr>
          <w:rFonts w:hint="eastAsia"/>
          <w:lang w:val="en-GB"/>
        </w:rPr>
        <w:t>)</w:t>
      </w:r>
      <w:r>
        <w:rPr>
          <w:rFonts w:hint="eastAsia"/>
          <w:lang w:val="en-GB"/>
        </w:rPr>
        <w:t>均应考虑到无障碍问题。</w:t>
      </w:r>
    </w:p>
    <w:p w:rsidR="00D84D94" w:rsidRDefault="00D84D94">
      <w:pPr>
        <w:pStyle w:val="SingleTxtGC"/>
        <w:rPr>
          <w:rFonts w:hint="eastAsia"/>
          <w:lang w:val="en-GB"/>
        </w:rPr>
      </w:pPr>
      <w:r>
        <w:rPr>
          <w:lang w:val="en-GB"/>
        </w:rPr>
        <w:t xml:space="preserve">82.  </w:t>
      </w:r>
      <w:r>
        <w:rPr>
          <w:rFonts w:hint="eastAsia"/>
          <w:lang w:val="en-GB"/>
        </w:rPr>
        <w:t>在可能的情况下，新设施和大型改造项目的设计必须使尽量多的各类残疾人能够利用这些基础设施。这一无障碍政策的核心思想是，努力使最大数量的人口可以利用公共交通运输，或者提供补充和补偿性交通运输解决办法。</w:t>
      </w:r>
    </w:p>
    <w:p w:rsidR="00D84D94" w:rsidRDefault="00D84D94">
      <w:pPr>
        <w:pStyle w:val="SingleTxtGC"/>
        <w:rPr>
          <w:rFonts w:hint="eastAsia"/>
          <w:lang w:val="en-GB"/>
        </w:rPr>
      </w:pPr>
      <w:r>
        <w:rPr>
          <w:lang w:val="en-GB"/>
        </w:rPr>
        <w:t xml:space="preserve">83.  </w:t>
      </w:r>
      <w:r>
        <w:rPr>
          <w:rFonts w:hint="eastAsia"/>
          <w:lang w:val="en-GB"/>
        </w:rPr>
        <w:t>哥本哈根的地铁项目就是一例，该项目从一开始就谨遵无障碍政策。该地铁项目是与丹麦残疾人组织密切磋商制订的，他们是共同找到最佳和最无障碍的解决方案的促进因素。因此，从硬件上看，该地铁是完全无障碍的。</w:t>
      </w:r>
    </w:p>
    <w:p w:rsidR="00D84D94" w:rsidRDefault="00D84D94">
      <w:pPr>
        <w:pStyle w:val="SingleTxtGC"/>
        <w:rPr>
          <w:rFonts w:hint="eastAsia"/>
          <w:lang w:val="en-GB"/>
        </w:rPr>
      </w:pPr>
      <w:r>
        <w:rPr>
          <w:lang w:val="en-GB"/>
        </w:rPr>
        <w:t xml:space="preserve">84.  </w:t>
      </w:r>
      <w:r>
        <w:rPr>
          <w:rFonts w:hint="eastAsia"/>
          <w:lang w:val="en-GB"/>
        </w:rPr>
        <w:t>关于无障碍问题的对话论坛已经设立并于</w:t>
      </w:r>
      <w:r>
        <w:rPr>
          <w:rFonts w:hint="eastAsia"/>
          <w:lang w:val="en-GB"/>
        </w:rPr>
        <w:t>2011</w:t>
      </w:r>
      <w:r>
        <w:rPr>
          <w:rFonts w:hint="eastAsia"/>
          <w:lang w:val="en-GB"/>
        </w:rPr>
        <w:t>年</w:t>
      </w:r>
      <w:r>
        <w:rPr>
          <w:rFonts w:hint="eastAsia"/>
          <w:lang w:val="en-GB"/>
        </w:rPr>
        <w:t>1</w:t>
      </w:r>
      <w:r>
        <w:rPr>
          <w:rFonts w:hint="eastAsia"/>
          <w:lang w:val="en-GB"/>
        </w:rPr>
        <w:t>月举行了首次会议。该论坛中有各有关当局、运输供应商和残疾组织的代表。其目标是进行促进合作的对话，交流关于无障碍，尤其是公共运输中无障碍的知识。</w:t>
      </w:r>
    </w:p>
    <w:p w:rsidR="00D84D94" w:rsidRDefault="00D84D94">
      <w:pPr>
        <w:pStyle w:val="SingleTxtGC"/>
        <w:rPr>
          <w:rFonts w:hint="eastAsia"/>
          <w:lang w:val="en-GB"/>
        </w:rPr>
      </w:pPr>
      <w:r>
        <w:rPr>
          <w:lang w:val="en-GB"/>
        </w:rPr>
        <w:t xml:space="preserve">85.  </w:t>
      </w:r>
      <w:r>
        <w:rPr>
          <w:rFonts w:hint="eastAsia"/>
          <w:lang w:val="en-GB"/>
        </w:rPr>
        <w:t>在欧盟无障碍领域的活动中，运输部也是一个积极主动的参与者。它努力宣传根据欧盟立法</w:t>
      </w:r>
      <w:r>
        <w:rPr>
          <w:rFonts w:hint="eastAsia"/>
          <w:lang w:val="en-GB"/>
        </w:rPr>
        <w:t>(</w:t>
      </w:r>
      <w:r>
        <w:rPr>
          <w:rFonts w:hint="eastAsia"/>
          <w:lang w:val="en-GB"/>
        </w:rPr>
        <w:t>例如</w:t>
      </w:r>
      <w:r>
        <w:rPr>
          <w:lang w:val="en-GB"/>
        </w:rPr>
        <w:t>TSI PRM</w:t>
      </w:r>
      <w:r>
        <w:rPr>
          <w:rFonts w:hint="eastAsia"/>
          <w:lang w:val="en-GB"/>
        </w:rPr>
        <w:t>和公交车指令</w:t>
      </w:r>
      <w:r>
        <w:rPr>
          <w:rFonts w:hint="eastAsia"/>
          <w:lang w:val="en-GB"/>
        </w:rPr>
        <w:t>)</w:t>
      </w:r>
      <w:r>
        <w:rPr>
          <w:rFonts w:hint="eastAsia"/>
          <w:lang w:val="en-GB"/>
        </w:rPr>
        <w:t>制定的基础设施和物质要求，特别是在建设新建筑和进行大型改造项目时。</w:t>
      </w:r>
    </w:p>
    <w:p w:rsidR="00D84D94" w:rsidRDefault="00D84D94">
      <w:pPr>
        <w:pStyle w:val="SingleTxtGC"/>
        <w:rPr>
          <w:rFonts w:hint="eastAsia"/>
          <w:lang w:val="en-GB"/>
        </w:rPr>
      </w:pPr>
      <w:r>
        <w:rPr>
          <w:lang w:val="en-GB"/>
        </w:rPr>
        <w:t xml:space="preserve">86.  </w:t>
      </w:r>
      <w:r>
        <w:rPr>
          <w:rFonts w:hint="eastAsia"/>
          <w:lang w:val="en-GB"/>
        </w:rPr>
        <w:t>运输部还参与了北欧残疾政策理事会所属的运输网。多年来，该论坛一直在研究一个设立运输领域</w:t>
      </w:r>
      <w:r>
        <w:rPr>
          <w:rFonts w:hint="eastAsia"/>
          <w:lang w:val="en-GB"/>
        </w:rPr>
        <w:t>(</w:t>
      </w:r>
      <w:r>
        <w:rPr>
          <w:rFonts w:hint="eastAsia"/>
          <w:lang w:val="en-GB"/>
        </w:rPr>
        <w:t>公路和铁路</w:t>
      </w:r>
      <w:r>
        <w:rPr>
          <w:rFonts w:hint="eastAsia"/>
          <w:lang w:val="en-GB"/>
        </w:rPr>
        <w:t>)</w:t>
      </w:r>
      <w:r>
        <w:rPr>
          <w:rFonts w:hint="eastAsia"/>
          <w:lang w:val="en-GB"/>
        </w:rPr>
        <w:t>无障碍指标的北欧联合项目。其意图是有关当局可以利用这些指标收集关于公共运输无障碍情况的数据，衡量并评估诸如丹麦火车站等地点的无障碍情况。</w:t>
      </w:r>
    </w:p>
    <w:p w:rsidR="00D84D94" w:rsidRDefault="00D84D94">
      <w:pPr>
        <w:pStyle w:val="H4GC"/>
        <w:rPr>
          <w:rFonts w:hint="eastAsia"/>
          <w:lang w:val="en-GB"/>
        </w:rPr>
      </w:pPr>
      <w:r>
        <w:rPr>
          <w:lang w:val="en-GB"/>
        </w:rPr>
        <w:tab/>
      </w:r>
      <w:r>
        <w:rPr>
          <w:lang w:val="en-GB"/>
        </w:rPr>
        <w:tab/>
      </w:r>
      <w:r>
        <w:rPr>
          <w:rFonts w:hint="eastAsia"/>
          <w:lang w:val="en-GB"/>
        </w:rPr>
        <w:t>利用残疾人个别运输</w:t>
      </w:r>
    </w:p>
    <w:p w:rsidR="00D84D94" w:rsidRDefault="00D84D94">
      <w:pPr>
        <w:pStyle w:val="SingleTxtGC"/>
        <w:rPr>
          <w:rFonts w:hint="eastAsia"/>
          <w:lang w:val="en-GB"/>
        </w:rPr>
      </w:pPr>
      <w:r>
        <w:rPr>
          <w:lang w:val="en-GB"/>
        </w:rPr>
        <w:t xml:space="preserve">87.  </w:t>
      </w:r>
      <w:r>
        <w:rPr>
          <w:rFonts w:hint="eastAsia"/>
          <w:lang w:val="en-GB"/>
        </w:rPr>
        <w:t>《公共运输运营商法》规定的残疾人个别运输是替代公共运输的一种方法，它适用于有严重运动障碍者，即需要助行器者。该计划涵盖的人员每年有权为参加社会活动和休闲娱乐，利用至少</w:t>
      </w:r>
      <w:r>
        <w:rPr>
          <w:rFonts w:hint="eastAsia"/>
          <w:lang w:val="en-GB"/>
        </w:rPr>
        <w:t>104</w:t>
      </w:r>
      <w:r>
        <w:rPr>
          <w:rFonts w:hint="eastAsia"/>
          <w:lang w:val="en-GB"/>
        </w:rPr>
        <w:t>趟这种运输，但其他计划涵盖的治疗或类似活动不在此列。旅行时乘坐的车辆必须适宜且是门对门服务，即尽可能靠近入口。应在出发前的合理时间内</w:t>
      </w:r>
      <w:r>
        <w:rPr>
          <w:rFonts w:hint="eastAsia"/>
          <w:lang w:val="en-GB"/>
        </w:rPr>
        <w:t>(</w:t>
      </w:r>
      <w:r>
        <w:rPr>
          <w:rFonts w:hint="eastAsia"/>
          <w:lang w:val="en-GB"/>
        </w:rPr>
        <w:t>实际上是大约</w:t>
      </w:r>
      <w:r>
        <w:rPr>
          <w:rFonts w:hint="eastAsia"/>
          <w:lang w:val="en-GB"/>
        </w:rPr>
        <w:t>2</w:t>
      </w:r>
      <w:r>
        <w:rPr>
          <w:rFonts w:hint="eastAsia"/>
          <w:lang w:val="en-GB"/>
        </w:rPr>
        <w:t>小时前</w:t>
      </w:r>
      <w:r>
        <w:rPr>
          <w:rFonts w:hint="eastAsia"/>
          <w:lang w:val="en-GB"/>
        </w:rPr>
        <w:t>)</w:t>
      </w:r>
      <w:r>
        <w:rPr>
          <w:rFonts w:hint="eastAsia"/>
          <w:lang w:val="en-GB"/>
        </w:rPr>
        <w:t>预订车辆。该计划的资金部分来自用户支付的票款，部分来自市政府的补贴。残疾人个别运输的票价必须与其他类型公共运输的票价一致。</w:t>
      </w:r>
    </w:p>
    <w:p w:rsidR="00D84D94" w:rsidRDefault="00D84D94">
      <w:pPr>
        <w:pStyle w:val="H4GC"/>
        <w:rPr>
          <w:rFonts w:hint="eastAsia"/>
          <w:lang w:val="en-GB"/>
        </w:rPr>
      </w:pPr>
      <w:r>
        <w:rPr>
          <w:lang w:val="en-GB"/>
        </w:rPr>
        <w:tab/>
      </w:r>
      <w:r>
        <w:rPr>
          <w:lang w:val="en-GB"/>
        </w:rPr>
        <w:tab/>
      </w:r>
      <w:r>
        <w:rPr>
          <w:rFonts w:hint="eastAsia"/>
          <w:lang w:val="en-GB"/>
        </w:rPr>
        <w:t>购车补贴</w:t>
      </w:r>
    </w:p>
    <w:p w:rsidR="00D84D94" w:rsidRDefault="00D84D94">
      <w:pPr>
        <w:pStyle w:val="SingleTxtGC"/>
        <w:rPr>
          <w:rFonts w:hint="eastAsia"/>
          <w:lang w:val="en-GB"/>
        </w:rPr>
      </w:pPr>
      <w:r>
        <w:rPr>
          <w:lang w:val="en-GB"/>
        </w:rPr>
        <w:t xml:space="preserve">88.  </w:t>
      </w:r>
      <w:r>
        <w:rPr>
          <w:rFonts w:hint="eastAsia"/>
          <w:lang w:val="en-GB"/>
        </w:rPr>
        <w:t>具有严重的永久性功能缺陷者在为获得和保有一份工作或者为完成学业而购车时，也可以得到财政补助。当某人的机体功能永久减退，严重损害其行走能力并且估计车辆可极大地便利其日常生活时，他或她就有可能得到购车补助。</w:t>
      </w:r>
    </w:p>
    <w:p w:rsidR="00D84D94" w:rsidRDefault="00D84D94">
      <w:pPr>
        <w:pStyle w:val="SingleTxtGC"/>
        <w:rPr>
          <w:rFonts w:hint="eastAsia"/>
          <w:lang w:val="en-GB"/>
        </w:rPr>
      </w:pPr>
      <w:r>
        <w:rPr>
          <w:lang w:val="en-GB"/>
        </w:rPr>
        <w:t xml:space="preserve">89.  </w:t>
      </w:r>
      <w:r>
        <w:rPr>
          <w:rFonts w:hint="eastAsia"/>
          <w:lang w:val="en-GB"/>
        </w:rPr>
        <w:t>这种交通运输需求必须大到一定程度，并且应是通过其他运输安排，例如公共运输办法中的残疾人个别运输计划，无法适当满足的。如果有身体或心智缺陷者是儿童，其父母或养父母可代表该儿童申请车补。该儿童的机能能力和运输需求决定着是否给予补贴。</w:t>
      </w:r>
    </w:p>
    <w:p w:rsidR="00D84D94" w:rsidRDefault="00D84D94">
      <w:pPr>
        <w:pStyle w:val="H23GC"/>
        <w:rPr>
          <w:rFonts w:hint="eastAsia"/>
          <w:lang w:val="en-GB"/>
        </w:rPr>
      </w:pPr>
      <w:r>
        <w:rPr>
          <w:lang w:val="en-GB"/>
        </w:rPr>
        <w:tab/>
      </w:r>
      <w:r>
        <w:rPr>
          <w:lang w:val="en-GB"/>
        </w:rPr>
        <w:tab/>
      </w:r>
      <w:r>
        <w:rPr>
          <w:rFonts w:hint="eastAsia"/>
          <w:lang w:val="en-GB"/>
        </w:rPr>
        <w:t>公共卫生服务机构的无障碍物质环境</w:t>
      </w:r>
    </w:p>
    <w:p w:rsidR="00D84D94" w:rsidRDefault="00D84D94">
      <w:pPr>
        <w:pStyle w:val="SingleTxtGC"/>
        <w:rPr>
          <w:rFonts w:hint="eastAsia"/>
          <w:lang w:val="en-GB"/>
        </w:rPr>
      </w:pPr>
      <w:r>
        <w:rPr>
          <w:lang w:val="en-GB"/>
        </w:rPr>
        <w:t xml:space="preserve">90.  </w:t>
      </w:r>
      <w:r>
        <w:rPr>
          <w:rFonts w:hint="eastAsia"/>
          <w:lang w:val="en-GB"/>
        </w:rPr>
        <w:t>根据公共部门与各个保健专业人员团体</w:t>
      </w:r>
      <w:r>
        <w:rPr>
          <w:rFonts w:hint="eastAsia"/>
          <w:lang w:val="en-GB"/>
        </w:rPr>
        <w:t>(</w:t>
      </w:r>
      <w:r>
        <w:rPr>
          <w:rFonts w:hint="eastAsia"/>
          <w:lang w:val="en-GB"/>
        </w:rPr>
        <w:t>全科医生、专科医生、牙医、</w:t>
      </w:r>
      <w:r>
        <w:rPr>
          <w:lang w:val="en-GB"/>
        </w:rPr>
        <w:t>理疗师</w:t>
      </w:r>
      <w:r>
        <w:rPr>
          <w:rFonts w:hint="eastAsia"/>
          <w:lang w:val="en-GB"/>
        </w:rPr>
        <w:t>，等等</w:t>
      </w:r>
      <w:r>
        <w:rPr>
          <w:rFonts w:hint="eastAsia"/>
          <w:lang w:val="en-GB"/>
        </w:rPr>
        <w:t>)</w:t>
      </w:r>
      <w:r>
        <w:rPr>
          <w:rFonts w:hint="eastAsia"/>
          <w:lang w:val="en-GB"/>
        </w:rPr>
        <w:t>缔结的协定，在卫生专业人员私人开办的诊所中，供应由私人执业保健专业人员提供的服务。</w:t>
      </w:r>
    </w:p>
    <w:p w:rsidR="00D84D94" w:rsidRDefault="00D84D94">
      <w:pPr>
        <w:pStyle w:val="SingleTxtGC"/>
        <w:rPr>
          <w:rFonts w:hint="eastAsia"/>
          <w:lang w:val="en-GB"/>
        </w:rPr>
      </w:pPr>
      <w:r>
        <w:rPr>
          <w:lang w:val="en-GB"/>
        </w:rPr>
        <w:t xml:space="preserve">91.  </w:t>
      </w:r>
      <w:r>
        <w:rPr>
          <w:rFonts w:hint="eastAsia"/>
          <w:lang w:val="en-GB"/>
        </w:rPr>
        <w:t>为提供相关信息供病人在选择卫生专业人员</w:t>
      </w:r>
      <w:r>
        <w:rPr>
          <w:rFonts w:hint="eastAsia"/>
          <w:lang w:val="en-GB"/>
        </w:rPr>
        <w:t>/</w:t>
      </w:r>
      <w:r>
        <w:rPr>
          <w:rFonts w:hint="eastAsia"/>
          <w:lang w:val="en-GB"/>
        </w:rPr>
        <w:t>诊所时使用，协定泛泛地要求卫生专业人员撰写行医公告，其中应载有诊所的各种信息，包括诊所的无障碍环境和布局在多大程度上便利于有运动障碍的病人。这些信息应发布在公用的公共卫生门户网站</w:t>
      </w:r>
      <w:r>
        <w:rPr>
          <w:rFonts w:hint="eastAsia"/>
          <w:lang w:val="en-GB"/>
        </w:rPr>
        <w:t>(</w:t>
      </w:r>
      <w:r>
        <w:rPr>
          <w:lang w:val="en-GB"/>
        </w:rPr>
        <w:t>www.sundhed.dk</w:t>
      </w:r>
      <w:r>
        <w:rPr>
          <w:rFonts w:hint="eastAsia"/>
          <w:lang w:val="en-GB"/>
        </w:rPr>
        <w:t>)</w:t>
      </w:r>
      <w:r>
        <w:rPr>
          <w:rFonts w:hint="eastAsia"/>
          <w:lang w:val="en-GB"/>
        </w:rPr>
        <w:t>上。</w:t>
      </w:r>
    </w:p>
    <w:p w:rsidR="00D84D94" w:rsidRDefault="00D84D94">
      <w:pPr>
        <w:pStyle w:val="SingleTxtGC"/>
        <w:rPr>
          <w:rFonts w:hint="eastAsia"/>
          <w:lang w:val="en-GB"/>
        </w:rPr>
      </w:pPr>
      <w:r>
        <w:rPr>
          <w:lang w:val="en-GB"/>
        </w:rPr>
        <w:t xml:space="preserve">92.  </w:t>
      </w:r>
      <w:r>
        <w:rPr>
          <w:lang w:val="en-GB"/>
        </w:rPr>
        <w:t>至</w:t>
      </w:r>
      <w:r>
        <w:rPr>
          <w:rFonts w:hint="eastAsia"/>
          <w:lang w:val="en-GB"/>
        </w:rPr>
        <w:t>于全科医生，国家医疗保险计划中的第</w:t>
      </w:r>
      <w:r>
        <w:rPr>
          <w:rFonts w:hint="eastAsia"/>
          <w:lang w:val="en-GB"/>
        </w:rPr>
        <w:t>1</w:t>
      </w:r>
      <w:r>
        <w:rPr>
          <w:rFonts w:hint="eastAsia"/>
          <w:lang w:val="en-GB"/>
        </w:rPr>
        <w:t>组人员可登记一名特定医生。全科医生协定规定，已获得地方当局提供的助行器补贴的有运动障碍者，有权在至少两家位置和布局合适的行医诊所中进行选择。</w:t>
      </w:r>
    </w:p>
    <w:p w:rsidR="00D84D94" w:rsidRDefault="00D84D94">
      <w:pPr>
        <w:pStyle w:val="SingleTxtGC"/>
        <w:rPr>
          <w:rFonts w:hint="eastAsia"/>
          <w:lang w:val="en-GB"/>
        </w:rPr>
      </w:pPr>
      <w:r>
        <w:rPr>
          <w:lang w:val="en-GB"/>
        </w:rPr>
        <w:t xml:space="preserve">93.  </w:t>
      </w:r>
      <w:r>
        <w:rPr>
          <w:rFonts w:hint="eastAsia"/>
          <w:lang w:val="en-GB"/>
        </w:rPr>
        <w:t>根据《丹麦卫生法》，在某些情况下，残疾人有权得到运输或运输补贴。</w:t>
      </w:r>
    </w:p>
    <w:p w:rsidR="00D84D94" w:rsidRDefault="00D84D94">
      <w:pPr>
        <w:pStyle w:val="SingleTxtGC"/>
        <w:rPr>
          <w:rFonts w:hint="eastAsia"/>
          <w:lang w:val="en-GB"/>
        </w:rPr>
      </w:pPr>
      <w:r>
        <w:rPr>
          <w:lang w:val="en-GB"/>
        </w:rPr>
        <w:t xml:space="preserve">94.  </w:t>
      </w:r>
      <w:r>
        <w:rPr>
          <w:rFonts w:hint="eastAsia"/>
          <w:lang w:val="en-GB"/>
        </w:rPr>
        <w:t>因此，一个人有权为以下目的获得运输或运输补贴：</w:t>
      </w:r>
    </w:p>
    <w:p w:rsidR="00D84D94" w:rsidRDefault="00D84D94">
      <w:pPr>
        <w:pStyle w:val="Bullet1GC"/>
        <w:rPr>
          <w:rFonts w:hint="eastAsia"/>
          <w:lang w:val="en-GB"/>
        </w:rPr>
      </w:pPr>
      <w:r>
        <w:rPr>
          <w:rFonts w:hint="eastAsia"/>
          <w:iCs/>
          <w:lang w:val="en-GB"/>
        </w:rPr>
        <w:t>到全科医生或专科医生处进行紧急创伤治疗，前提是他需要病人专用车辆。</w:t>
      </w:r>
    </w:p>
    <w:p w:rsidR="00D84D94" w:rsidRDefault="00D84D94">
      <w:pPr>
        <w:pStyle w:val="Bullet1GC"/>
        <w:rPr>
          <w:rFonts w:hint="eastAsia"/>
          <w:lang w:val="en-GB"/>
        </w:rPr>
      </w:pPr>
      <w:r>
        <w:rPr>
          <w:rFonts w:hint="eastAsia"/>
          <w:iCs/>
          <w:lang w:val="en-GB"/>
        </w:rPr>
        <w:t>到医院检查治疗，前提是他需要病人专用车辆。</w:t>
      </w:r>
    </w:p>
    <w:p w:rsidR="00D84D94" w:rsidRDefault="00D84D94">
      <w:pPr>
        <w:pStyle w:val="Bullet1GC"/>
        <w:rPr>
          <w:rFonts w:hint="eastAsia"/>
          <w:lang w:val="en-GB"/>
        </w:rPr>
      </w:pPr>
      <w:r>
        <w:rPr>
          <w:rFonts w:hint="eastAsia"/>
          <w:iCs/>
          <w:lang w:val="en-GB"/>
        </w:rPr>
        <w:t>作为继续进行门诊治疗的一部分，到医院检查治疗，前提是他的状况不能利用公共交通运输。</w:t>
      </w:r>
    </w:p>
    <w:p w:rsidR="00D84D94" w:rsidRDefault="00D84D94">
      <w:pPr>
        <w:pStyle w:val="Bullet1GC"/>
        <w:rPr>
          <w:rFonts w:hint="eastAsia"/>
          <w:lang w:val="en-GB"/>
        </w:rPr>
      </w:pPr>
      <w:r>
        <w:rPr>
          <w:rFonts w:hint="eastAsia"/>
          <w:iCs/>
          <w:lang w:val="en-GB"/>
        </w:rPr>
        <w:t>康复，前提是他的状况不能利用公共运输。</w:t>
      </w:r>
    </w:p>
    <w:p w:rsidR="00D84D94" w:rsidRDefault="00D84D94">
      <w:pPr>
        <w:pStyle w:val="Bullet1GC"/>
        <w:rPr>
          <w:rFonts w:hint="eastAsia"/>
          <w:lang w:val="en-GB"/>
        </w:rPr>
      </w:pPr>
      <w:r>
        <w:rPr>
          <w:rFonts w:hint="eastAsia"/>
          <w:iCs/>
          <w:lang w:val="en-GB"/>
        </w:rPr>
        <w:t>如果一个人有资格得到运输或运输补贴并且需要陪护，陪护者也将有资格得到运输或运输补贴。</w:t>
      </w:r>
    </w:p>
    <w:p w:rsidR="00D84D94" w:rsidRDefault="00D84D94">
      <w:pPr>
        <w:pStyle w:val="H23GC"/>
        <w:rPr>
          <w:rFonts w:hint="eastAsia"/>
          <w:lang w:val="en-GB"/>
        </w:rPr>
      </w:pPr>
      <w:r>
        <w:rPr>
          <w:lang w:val="en-GB"/>
        </w:rPr>
        <w:tab/>
      </w:r>
      <w:r>
        <w:rPr>
          <w:lang w:val="en-GB"/>
        </w:rPr>
        <w:tab/>
      </w:r>
      <w:r>
        <w:rPr>
          <w:rFonts w:hint="eastAsia"/>
          <w:lang w:val="en-GB"/>
        </w:rPr>
        <w:t>教学材料的无障碍</w:t>
      </w:r>
    </w:p>
    <w:p w:rsidR="00D84D94" w:rsidRDefault="00D84D94">
      <w:pPr>
        <w:pStyle w:val="H4GC"/>
        <w:rPr>
          <w:rFonts w:hint="eastAsia"/>
          <w:lang w:val="en-GB"/>
        </w:rPr>
      </w:pPr>
      <w:r>
        <w:rPr>
          <w:lang w:val="en-GB"/>
        </w:rPr>
        <w:tab/>
      </w:r>
      <w:r>
        <w:rPr>
          <w:lang w:val="en-GB"/>
        </w:rPr>
        <w:tab/>
      </w:r>
      <w:r>
        <w:rPr>
          <w:rFonts w:hint="eastAsia"/>
          <w:lang w:val="en-GB"/>
        </w:rPr>
        <w:t>学校考试</w:t>
      </w:r>
    </w:p>
    <w:p w:rsidR="00D84D94" w:rsidRDefault="00D84D94">
      <w:pPr>
        <w:pStyle w:val="SingleTxtGC"/>
        <w:rPr>
          <w:rFonts w:hint="eastAsia"/>
          <w:lang w:val="en-GB"/>
        </w:rPr>
      </w:pPr>
      <w:r>
        <w:rPr>
          <w:lang w:val="en-GB"/>
        </w:rPr>
        <w:t xml:space="preserve">95.  </w:t>
      </w:r>
      <w:r>
        <w:rPr>
          <w:rFonts w:hint="eastAsia"/>
          <w:lang w:val="en-GB"/>
        </w:rPr>
        <w:t>关于小学和初中的结业考试，为有特殊需要的学生在与其他学生平等基础上参加考试提供了几种选择方案。当为有心智或肢体功能障碍或其他特定困难的学生提供特殊考试条件是确保这类学生与其他学生平等参加考试所必要时，校长必须提供这种服务。提供这种服务不得改变考试的严格程度。</w:t>
      </w:r>
    </w:p>
    <w:p w:rsidR="00D84D94" w:rsidRDefault="00D84D94">
      <w:pPr>
        <w:pStyle w:val="SingleTxtGC"/>
        <w:rPr>
          <w:rFonts w:hint="eastAsia"/>
          <w:lang w:val="en-GB"/>
        </w:rPr>
      </w:pPr>
      <w:r>
        <w:rPr>
          <w:lang w:val="en-GB"/>
        </w:rPr>
        <w:t xml:space="preserve">96.  </w:t>
      </w:r>
      <w:r>
        <w:rPr>
          <w:rFonts w:hint="eastAsia"/>
          <w:lang w:val="en-GB"/>
        </w:rPr>
        <w:t>为在书面考试中使用，教育部每年都分发载有音频和文本文件的光盘，发给盲人学生的是盲文的，发给视障学生的是</w:t>
      </w:r>
      <w:r>
        <w:rPr>
          <w:lang w:val="en-GB"/>
        </w:rPr>
        <w:t>DAISY</w:t>
      </w:r>
      <w:r>
        <w:rPr>
          <w:rFonts w:hint="eastAsia"/>
          <w:lang w:val="en-GB"/>
        </w:rPr>
        <w:t>格式的文本和音频试题。为视障学生改编了带插图的试题。教育部始终紧跟这一领域的发展趋势，并与那些专门满足这个学生群体的特殊需要和提供这个学生群体可以从中受益的辅助器具的相关协会保持联系。作为其活动的一个方面，教育部于</w:t>
      </w:r>
      <w:r>
        <w:rPr>
          <w:rFonts w:hint="eastAsia"/>
          <w:lang w:val="en-GB"/>
        </w:rPr>
        <w:t>2010</w:t>
      </w:r>
      <w:r>
        <w:rPr>
          <w:rFonts w:hint="eastAsia"/>
          <w:lang w:val="en-GB"/>
        </w:rPr>
        <w:t>年</w:t>
      </w:r>
      <w:r>
        <w:rPr>
          <w:rFonts w:hint="eastAsia"/>
          <w:lang w:val="en-GB"/>
        </w:rPr>
        <w:t>8</w:t>
      </w:r>
      <w:r>
        <w:rPr>
          <w:rFonts w:hint="eastAsia"/>
          <w:lang w:val="en-GB"/>
        </w:rPr>
        <w:t>月主办了小学和初中科目顾问研讨会。会上，来自外部的人员介绍了面向有特殊需要学生的、基于信息技术的新型辅助器具。</w:t>
      </w:r>
    </w:p>
    <w:p w:rsidR="00D84D94" w:rsidRDefault="00D84D94">
      <w:pPr>
        <w:pStyle w:val="SingleTxtGC"/>
        <w:rPr>
          <w:rFonts w:hint="eastAsia"/>
          <w:lang w:val="en-GB"/>
        </w:rPr>
      </w:pPr>
      <w:r>
        <w:rPr>
          <w:lang w:val="en-GB"/>
        </w:rPr>
        <w:t xml:space="preserve">97.  </w:t>
      </w:r>
      <w:r>
        <w:rPr>
          <w:rFonts w:hint="eastAsia"/>
          <w:lang w:val="en-GB"/>
        </w:rPr>
        <w:t>为便于学校为有特殊需要的学生编制试题，教育部已发布导则说明偏离考试条例的程序和可能性。偏离方式包括改变考试条件，如考试时间延长、实际援助、手语和解说，以及利用预报程序、数字</w:t>
      </w:r>
      <w:r>
        <w:rPr>
          <w:rFonts w:hint="eastAsia"/>
          <w:lang w:val="en-GB"/>
        </w:rPr>
        <w:t>/</w:t>
      </w:r>
      <w:r>
        <w:rPr>
          <w:rFonts w:hint="eastAsia"/>
          <w:lang w:val="en-GB"/>
        </w:rPr>
        <w:t>合成语音和发声计算器等辅助器具。具体操作指南发表在教育部的网站上。</w:t>
      </w:r>
    </w:p>
    <w:p w:rsidR="00D84D94" w:rsidRDefault="00D84D94">
      <w:pPr>
        <w:pStyle w:val="H4GC"/>
        <w:rPr>
          <w:rFonts w:hint="eastAsia"/>
          <w:lang w:val="en-GB"/>
        </w:rPr>
      </w:pPr>
      <w:r>
        <w:rPr>
          <w:lang w:val="en-GB"/>
        </w:rPr>
        <w:tab/>
      </w:r>
      <w:r>
        <w:rPr>
          <w:lang w:val="en-GB"/>
        </w:rPr>
        <w:tab/>
      </w:r>
      <w:r>
        <w:rPr>
          <w:rFonts w:hint="eastAsia"/>
          <w:lang w:val="en-GB"/>
        </w:rPr>
        <w:t>全国统考</w:t>
      </w:r>
    </w:p>
    <w:p w:rsidR="00D84D94" w:rsidRDefault="00D84D94">
      <w:pPr>
        <w:pStyle w:val="SingleTxtGC"/>
        <w:rPr>
          <w:rFonts w:hint="eastAsia"/>
          <w:lang w:val="en-GB"/>
        </w:rPr>
      </w:pPr>
      <w:r>
        <w:rPr>
          <w:lang w:val="en-GB"/>
        </w:rPr>
        <w:t xml:space="preserve">98.  </w:t>
      </w:r>
      <w:r>
        <w:rPr>
          <w:rFonts w:hint="eastAsia"/>
          <w:lang w:val="en-GB"/>
        </w:rPr>
        <w:t>有关全国统考的行政令十分重视确保有肢体和心理功能障碍的学生能在与其他学生平等的基础上参加全国统考。全国统考遵循现行对于有功能障碍的学生</w:t>
      </w:r>
      <w:r>
        <w:rPr>
          <w:rFonts w:hint="eastAsia"/>
          <w:lang w:val="en-GB"/>
        </w:rPr>
        <w:t>A</w:t>
      </w:r>
      <w:r>
        <w:rPr>
          <w:rFonts w:hint="eastAsia"/>
          <w:lang w:val="en-GB"/>
        </w:rPr>
        <w:t>级无障碍的国际导则</w:t>
      </w:r>
      <w:r>
        <w:rPr>
          <w:rFonts w:hint="eastAsia"/>
          <w:lang w:val="en-GB"/>
        </w:rPr>
        <w:t>(</w:t>
      </w:r>
      <w:r>
        <w:rPr>
          <w:lang w:val="en-GB"/>
        </w:rPr>
        <w:t>WCAG 2.0</w:t>
      </w:r>
      <w:r>
        <w:rPr>
          <w:rFonts w:hint="eastAsia"/>
          <w:lang w:val="en-GB"/>
        </w:rPr>
        <w:t>)</w:t>
      </w:r>
      <w:r>
        <w:rPr>
          <w:rFonts w:hint="eastAsia"/>
          <w:lang w:val="en-GB"/>
        </w:rPr>
        <w:t>，在制订和实施全国统考时，公共机构应达到这一级别。</w:t>
      </w:r>
    </w:p>
    <w:p w:rsidR="00D84D94" w:rsidRDefault="00D84D94">
      <w:pPr>
        <w:pStyle w:val="SingleTxtGC"/>
        <w:rPr>
          <w:rFonts w:hint="eastAsia"/>
          <w:lang w:val="en-GB"/>
        </w:rPr>
      </w:pPr>
      <w:r>
        <w:rPr>
          <w:lang w:val="en-GB"/>
        </w:rPr>
        <w:t xml:space="preserve">99.  </w:t>
      </w:r>
      <w:r>
        <w:rPr>
          <w:rFonts w:hint="eastAsia"/>
          <w:lang w:val="en-GB"/>
        </w:rPr>
        <w:t>自</w:t>
      </w:r>
      <w:r>
        <w:rPr>
          <w:rFonts w:hint="eastAsia"/>
          <w:lang w:val="en-GB"/>
        </w:rPr>
        <w:t>2010</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日起，教育部开始有重点和持续地重振关于教育方案无障碍的电子信息门户网站：</w:t>
      </w:r>
      <w:r>
        <w:rPr>
          <w:lang w:val="en-GB"/>
        </w:rPr>
        <w:t>http://tilgaengelighed.emu.dk/</w:t>
      </w:r>
      <w:r>
        <w:rPr>
          <w:rFonts w:hint="eastAsia"/>
          <w:lang w:val="en-GB"/>
        </w:rPr>
        <w:t>。</w:t>
      </w:r>
    </w:p>
    <w:p w:rsidR="00D84D94" w:rsidRDefault="00D84D94">
      <w:pPr>
        <w:pStyle w:val="SingleTxtGC"/>
        <w:rPr>
          <w:rFonts w:hint="eastAsia"/>
          <w:lang w:val="en-GB"/>
        </w:rPr>
      </w:pPr>
      <w:r>
        <w:rPr>
          <w:lang w:val="en-GB"/>
        </w:rPr>
        <w:t xml:space="preserve">100.  </w:t>
      </w:r>
      <w:r>
        <w:rPr>
          <w:rFonts w:hint="eastAsia"/>
          <w:lang w:val="en-GB"/>
        </w:rPr>
        <w:t>教育部为教有功能障碍学生的教师编写了考试实施说明书。这些说明书提供了考试制度中已有的选择方案，例如利用辅助器具和中间休息，它们将确保有功能障碍的学生能在与其他学生平等的基础上进行考试。这些说明书发表在教育部的网站上。</w:t>
      </w:r>
    </w:p>
    <w:p w:rsidR="00D84D94" w:rsidRDefault="00D84D94">
      <w:pPr>
        <w:pStyle w:val="H4GC"/>
        <w:rPr>
          <w:rFonts w:hint="eastAsia"/>
          <w:lang w:val="en-GB"/>
        </w:rPr>
      </w:pPr>
      <w:r>
        <w:rPr>
          <w:lang w:val="en-GB"/>
        </w:rPr>
        <w:tab/>
      </w:r>
      <w:r>
        <w:rPr>
          <w:lang w:val="en-GB"/>
        </w:rPr>
        <w:tab/>
      </w:r>
      <w:r>
        <w:rPr>
          <w:rFonts w:hint="eastAsia"/>
          <w:lang w:val="en-GB"/>
        </w:rPr>
        <w:t>普遍服务义务与用户权利</w:t>
      </w:r>
    </w:p>
    <w:p w:rsidR="00D84D94" w:rsidRDefault="00D84D94">
      <w:pPr>
        <w:pStyle w:val="SingleTxtGC"/>
        <w:rPr>
          <w:rFonts w:hint="eastAsia"/>
          <w:lang w:val="en-GB"/>
        </w:rPr>
      </w:pPr>
      <w:r>
        <w:rPr>
          <w:lang w:val="en-GB"/>
        </w:rPr>
        <w:t xml:space="preserve">101.  </w:t>
      </w:r>
      <w:r>
        <w:rPr>
          <w:rFonts w:hint="eastAsia"/>
          <w:lang w:val="en-GB"/>
        </w:rPr>
        <w:t>关于普遍服务义务与用户权利，根据关于具有普遍服务义务的服务部门的行政令，</w:t>
      </w:r>
      <w:r>
        <w:rPr>
          <w:rFonts w:hint="eastAsia"/>
          <w:lang w:val="en-GB"/>
        </w:rPr>
        <w:t>2008</w:t>
      </w:r>
      <w:r>
        <w:rPr>
          <w:rFonts w:hint="eastAsia"/>
          <w:lang w:val="en-GB"/>
        </w:rPr>
        <w:t>年指定了一个具有普遍服务义务的供应商，这一指定自</w:t>
      </w:r>
      <w:r>
        <w:rPr>
          <w:rFonts w:hint="eastAsia"/>
          <w:lang w:val="en-GB"/>
        </w:rPr>
        <w:t>2009</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日起生效</w:t>
      </w:r>
      <w:r>
        <w:rPr>
          <w:rFonts w:hint="eastAsia"/>
          <w:lang w:val="en-GB"/>
        </w:rPr>
        <w:t>(</w:t>
      </w:r>
      <w:r>
        <w:rPr>
          <w:lang w:val="en-GB"/>
        </w:rPr>
        <w:t>TDC A/S</w:t>
      </w:r>
      <w:r>
        <w:rPr>
          <w:rFonts w:hint="eastAsia"/>
          <w:lang w:val="en-GB"/>
        </w:rPr>
        <w:t>)</w:t>
      </w:r>
      <w:r>
        <w:rPr>
          <w:rFonts w:hint="eastAsia"/>
          <w:lang w:val="en-GB"/>
        </w:rPr>
        <w:t>，使残疾领域的服务义务有了不少改进。对下列领域进行了改进：</w:t>
      </w:r>
    </w:p>
    <w:p w:rsidR="00D84D94" w:rsidRDefault="00D84D94">
      <w:pPr>
        <w:pStyle w:val="Bullet1GC"/>
        <w:rPr>
          <w:rFonts w:hint="eastAsia"/>
          <w:lang w:val="en-GB"/>
        </w:rPr>
      </w:pPr>
      <w:r>
        <w:rPr>
          <w:rFonts w:hint="eastAsia"/>
          <w:lang w:val="en-GB"/>
        </w:rPr>
        <w:t>文本电话服务：文本电话如今基于的是互联网，而非个人计算机。提供文本电话服务的服务义务适用于聋者、</w:t>
      </w:r>
      <w:r>
        <w:rPr>
          <w:lang w:val="en-GB"/>
        </w:rPr>
        <w:t>语后聋</w:t>
      </w:r>
      <w:r>
        <w:rPr>
          <w:rFonts w:hint="eastAsia"/>
          <w:lang w:val="en-GB"/>
        </w:rPr>
        <w:t>者、又聋又盲者及有语言和听力障碍者，通过这种服务可以极大地弥补他们的缺陷。文本电话使用户可以给文本电话及其他电话用户</w:t>
      </w:r>
      <w:r>
        <w:rPr>
          <w:rFonts w:hint="eastAsia"/>
          <w:lang w:val="en-GB"/>
        </w:rPr>
        <w:t>(</w:t>
      </w:r>
      <w:r>
        <w:rPr>
          <w:rFonts w:hint="eastAsia"/>
          <w:lang w:val="en-GB"/>
        </w:rPr>
        <w:t>通过口译员服务</w:t>
      </w:r>
      <w:r>
        <w:rPr>
          <w:rFonts w:hint="eastAsia"/>
          <w:lang w:val="en-GB"/>
        </w:rPr>
        <w:t>)</w:t>
      </w:r>
      <w:r>
        <w:rPr>
          <w:rFonts w:hint="eastAsia"/>
          <w:lang w:val="en-GB"/>
        </w:rPr>
        <w:t>打电话。</w:t>
      </w:r>
    </w:p>
    <w:p w:rsidR="00D84D94" w:rsidRDefault="00D84D94">
      <w:pPr>
        <w:pStyle w:val="Bullet1GC"/>
        <w:rPr>
          <w:rFonts w:hint="eastAsia"/>
          <w:lang w:val="en-GB"/>
        </w:rPr>
      </w:pPr>
      <w:r>
        <w:rPr>
          <w:rFonts w:hint="eastAsia"/>
          <w:lang w:val="en-GB"/>
        </w:rPr>
        <w:t>与特定残疾人团体的宽带连接：预计将来视频电话多半会取代文本电话。因此，服务义务扩展到包括对聋者、</w:t>
      </w:r>
      <w:r>
        <w:rPr>
          <w:lang w:val="en-GB"/>
        </w:rPr>
        <w:t>语后聋</w:t>
      </w:r>
      <w:r>
        <w:rPr>
          <w:rFonts w:hint="eastAsia"/>
          <w:lang w:val="en-GB"/>
        </w:rPr>
        <w:t>者、又聋又盲者及有语言和听力障碍人群至少</w:t>
      </w:r>
      <w:r>
        <w:rPr>
          <w:lang w:val="en-GB"/>
        </w:rPr>
        <w:t>512/512 kbit/s</w:t>
      </w:r>
      <w:r>
        <w:rPr>
          <w:rFonts w:hint="eastAsia"/>
          <w:lang w:val="en-GB"/>
        </w:rPr>
        <w:t>的宽带连接，通过这种服务可以极大地弥补他们的缺陷。至少，网速必须达到支持视频电话软件的系统要求。</w:t>
      </w:r>
    </w:p>
    <w:p w:rsidR="00D84D94" w:rsidRDefault="00D84D94">
      <w:pPr>
        <w:pStyle w:val="Bullet1GC"/>
        <w:rPr>
          <w:rFonts w:hint="eastAsia"/>
          <w:lang w:val="en-GB"/>
        </w:rPr>
      </w:pPr>
      <w:r>
        <w:rPr>
          <w:rFonts w:hint="eastAsia"/>
          <w:lang w:val="en-GB"/>
        </w:rPr>
        <w:t>使用残疾人号码服务</w:t>
      </w:r>
      <w:r>
        <w:rPr>
          <w:rFonts w:hint="eastAsia"/>
          <w:lang w:val="en-GB"/>
        </w:rPr>
        <w:t>(</w:t>
      </w:r>
      <w:r>
        <w:rPr>
          <w:rFonts w:hint="eastAsia"/>
          <w:lang w:val="en-GB"/>
        </w:rPr>
        <w:t>残疾人电话簿</w:t>
      </w:r>
      <w:r>
        <w:rPr>
          <w:rFonts w:hint="eastAsia"/>
          <w:lang w:val="en-GB"/>
        </w:rPr>
        <w:t>)</w:t>
      </w:r>
      <w:r>
        <w:rPr>
          <w:rFonts w:hint="eastAsia"/>
          <w:lang w:val="en-GB"/>
        </w:rPr>
        <w:t>打折：该电话簿的所有用户都可按折扣价格利用自动接转机接入所述号码，而无论利用的是哪个电信提供商。不过，残疾人的电信提供商必须就使用该服务，与拥有普遍服务义务的电话簿服务提供商达成协议。</w:t>
      </w:r>
    </w:p>
    <w:p w:rsidR="00D84D94" w:rsidRDefault="00D84D94">
      <w:pPr>
        <w:pStyle w:val="H4GC"/>
        <w:rPr>
          <w:rFonts w:hint="eastAsia"/>
          <w:lang w:val="en-GB"/>
        </w:rPr>
      </w:pPr>
      <w:r>
        <w:rPr>
          <w:lang w:val="en-GB"/>
        </w:rPr>
        <w:tab/>
      </w:r>
      <w:r>
        <w:rPr>
          <w:lang w:val="en-GB"/>
        </w:rPr>
        <w:tab/>
      </w:r>
      <w:r>
        <w:rPr>
          <w:rFonts w:hint="eastAsia"/>
          <w:lang w:val="en-GB"/>
        </w:rPr>
        <w:t>丹麦的结业考试、入籍考试和公民身份考试</w:t>
      </w:r>
    </w:p>
    <w:p w:rsidR="00D84D94" w:rsidRDefault="00D84D94">
      <w:pPr>
        <w:pStyle w:val="SingleTxtGC"/>
        <w:rPr>
          <w:rFonts w:hint="eastAsia"/>
          <w:lang w:val="en-GB"/>
        </w:rPr>
      </w:pPr>
      <w:r>
        <w:rPr>
          <w:lang w:val="en-GB"/>
        </w:rPr>
        <w:t xml:space="preserve">102.  </w:t>
      </w:r>
      <w:r>
        <w:rPr>
          <w:rFonts w:hint="eastAsia"/>
          <w:lang w:val="en-GB"/>
        </w:rPr>
        <w:t>在丹麦的结业考试、入籍考试和公民考试中，外国国民可申请准予使用辅助器具。个别考试根据应试者的申请，若应试者没有明显残疾，则根据医生、心理学家、眼科顾问医生或其他专家的证明，准予使用辅助器具。语言中心主任可准予采取实用措施、使用技术辅助器具，准予助理人员到场以及延长考试时间。</w:t>
      </w:r>
    </w:p>
    <w:p w:rsidR="00D84D94" w:rsidRDefault="00D84D94">
      <w:pPr>
        <w:pStyle w:val="SingleTxtGC"/>
        <w:rPr>
          <w:rFonts w:hint="eastAsia"/>
          <w:lang w:val="en-GB"/>
        </w:rPr>
      </w:pPr>
      <w:r>
        <w:rPr>
          <w:lang w:val="en-GB"/>
        </w:rPr>
        <w:t xml:space="preserve">103.  </w:t>
      </w:r>
      <w:r>
        <w:rPr>
          <w:rFonts w:hint="eastAsia"/>
          <w:lang w:val="en-GB"/>
        </w:rPr>
        <w:t>就丹麦语考试而言，难民、移徙和融入事务部在有专家证明的情况下，可根据残疾人的申请，允许改变考试内容和形式。这种改变可包括为视障者放大试卷，为盲人录制特别说明，以及为有读写困难者使用信息技术程序。此外，对入籍考试和公民身份考试的准备材料进行了录制并出版成为有声读物，以使视障者能够准备考试。</w:t>
      </w:r>
    </w:p>
    <w:p w:rsidR="00D84D94" w:rsidRDefault="00D84D94">
      <w:pPr>
        <w:pStyle w:val="H23GC"/>
        <w:rPr>
          <w:rFonts w:hint="eastAsia"/>
          <w:lang w:val="en-GB"/>
        </w:rPr>
      </w:pPr>
      <w:r>
        <w:rPr>
          <w:lang w:val="en-GB"/>
        </w:rPr>
        <w:tab/>
      </w:r>
      <w:r>
        <w:rPr>
          <w:lang w:val="en-GB"/>
        </w:rPr>
        <w:tab/>
      </w:r>
      <w:r>
        <w:rPr>
          <w:rFonts w:hint="eastAsia"/>
          <w:lang w:val="en-GB"/>
        </w:rPr>
        <w:t>电信立法</w:t>
      </w:r>
    </w:p>
    <w:p w:rsidR="00D84D94" w:rsidRDefault="00D84D94">
      <w:pPr>
        <w:pStyle w:val="SingleTxtGC"/>
        <w:rPr>
          <w:rFonts w:hint="eastAsia"/>
          <w:lang w:val="en-GB"/>
        </w:rPr>
      </w:pPr>
      <w:r>
        <w:rPr>
          <w:lang w:val="en-GB"/>
        </w:rPr>
        <w:t xml:space="preserve">104.  </w:t>
      </w:r>
      <w:r>
        <w:rPr>
          <w:rFonts w:hint="eastAsia"/>
          <w:lang w:val="en-GB"/>
        </w:rPr>
        <w:t>以</w:t>
      </w:r>
      <w:r>
        <w:rPr>
          <w:rFonts w:hint="eastAsia"/>
          <w:lang w:val="en-GB"/>
        </w:rPr>
        <w:t>2009</w:t>
      </w:r>
      <w:r>
        <w:rPr>
          <w:rFonts w:hint="eastAsia"/>
          <w:lang w:val="en-GB"/>
        </w:rPr>
        <w:t>年</w:t>
      </w:r>
      <w:r>
        <w:rPr>
          <w:rFonts w:hint="eastAsia"/>
          <w:lang w:val="en-GB"/>
        </w:rPr>
        <w:t>11</w:t>
      </w:r>
      <w:r>
        <w:rPr>
          <w:rFonts w:hint="eastAsia"/>
          <w:lang w:val="en-GB"/>
        </w:rPr>
        <w:t>月通过最新《电信管理包》为起点，丹麦于</w:t>
      </w:r>
      <w:r>
        <w:rPr>
          <w:rFonts w:hint="eastAsia"/>
          <w:lang w:val="en-GB"/>
        </w:rPr>
        <w:t>2011</w:t>
      </w:r>
      <w:r>
        <w:rPr>
          <w:rFonts w:hint="eastAsia"/>
          <w:lang w:val="en-GB"/>
        </w:rPr>
        <w:t>年</w:t>
      </w:r>
      <w:r>
        <w:rPr>
          <w:rFonts w:hint="eastAsia"/>
          <w:lang w:val="en-GB"/>
        </w:rPr>
        <w:t>2</w:t>
      </w:r>
      <w:r>
        <w:rPr>
          <w:rFonts w:hint="eastAsia"/>
          <w:lang w:val="en-GB"/>
        </w:rPr>
        <w:t>月又通过一项议案，修正丹麦电信立法，以执行《普遍服务指令》</w:t>
      </w:r>
      <w:r>
        <w:rPr>
          <w:rFonts w:hint="eastAsia"/>
          <w:lang w:val="en-GB"/>
        </w:rPr>
        <w:t>(</w:t>
      </w:r>
      <w:r>
        <w:rPr>
          <w:rFonts w:hint="eastAsia"/>
          <w:lang w:val="en-GB"/>
        </w:rPr>
        <w:t>经第</w:t>
      </w:r>
      <w:r>
        <w:rPr>
          <w:lang w:val="en-GB"/>
        </w:rPr>
        <w:t>2009/136/EEC</w:t>
      </w:r>
      <w:r>
        <w:rPr>
          <w:rFonts w:hint="eastAsia"/>
          <w:lang w:val="en-GB"/>
        </w:rPr>
        <w:t>号指令修正的第</w:t>
      </w:r>
      <w:r>
        <w:rPr>
          <w:lang w:val="en-GB"/>
        </w:rPr>
        <w:t>2002/22/EEC</w:t>
      </w:r>
      <w:r>
        <w:rPr>
          <w:rFonts w:hint="eastAsia"/>
          <w:lang w:val="en-GB"/>
        </w:rPr>
        <w:t>号指令</w:t>
      </w:r>
      <w:r>
        <w:rPr>
          <w:rFonts w:hint="eastAsia"/>
          <w:lang w:val="en-GB"/>
        </w:rPr>
        <w:t>)</w:t>
      </w:r>
      <w:r>
        <w:rPr>
          <w:rFonts w:hint="eastAsia"/>
          <w:lang w:val="en-GB"/>
        </w:rPr>
        <w:t>经调整的、关于残疾人取得普遍服务的条件和一般终端用户的权利的规定。普遍服务义务仍然包括在普遍服务提供商的全国电话号码簿服务中设立文本电话服务和特别功能。</w:t>
      </w:r>
    </w:p>
    <w:p w:rsidR="00D84D94" w:rsidRDefault="00D84D94">
      <w:pPr>
        <w:pStyle w:val="H23GC"/>
        <w:rPr>
          <w:rFonts w:hint="eastAsia"/>
          <w:lang w:val="en-GB"/>
        </w:rPr>
      </w:pPr>
      <w:r>
        <w:rPr>
          <w:lang w:val="en-GB"/>
        </w:rPr>
        <w:tab/>
      </w:r>
      <w:r>
        <w:rPr>
          <w:lang w:val="en-GB"/>
        </w:rPr>
        <w:tab/>
      </w:r>
      <w:r>
        <w:rPr>
          <w:rFonts w:hint="eastAsia"/>
          <w:lang w:val="en-GB"/>
        </w:rPr>
        <w:t>信息技术</w:t>
      </w:r>
      <w:r>
        <w:rPr>
          <w:rFonts w:eastAsia="SimSun" w:hint="eastAsia"/>
          <w:spacing w:val="-60"/>
          <w:lang w:val="en-GB"/>
        </w:rPr>
        <w:t>―</w:t>
      </w:r>
      <w:r>
        <w:rPr>
          <w:rFonts w:eastAsia="SimSun" w:hint="eastAsia"/>
          <w:spacing w:val="10"/>
          <w:lang w:val="en-GB"/>
        </w:rPr>
        <w:t>―</w:t>
      </w:r>
      <w:r>
        <w:rPr>
          <w:rFonts w:hint="eastAsia"/>
          <w:lang w:val="en-GB"/>
        </w:rPr>
        <w:t>网站及其他信息技术解决方案的无障碍</w:t>
      </w:r>
    </w:p>
    <w:p w:rsidR="00D84D94" w:rsidRDefault="00D84D94">
      <w:pPr>
        <w:pStyle w:val="SingleTxtGC"/>
        <w:rPr>
          <w:rFonts w:hint="eastAsia"/>
          <w:lang w:val="en-GB"/>
        </w:rPr>
      </w:pPr>
      <w:r>
        <w:rPr>
          <w:lang w:val="en-GB"/>
        </w:rPr>
        <w:t xml:space="preserve">105.  </w:t>
      </w:r>
      <w:r>
        <w:rPr>
          <w:rFonts w:hint="eastAsia"/>
          <w:lang w:val="en-GB"/>
        </w:rPr>
        <w:t>2002</w:t>
      </w:r>
      <w:r>
        <w:rPr>
          <w:rFonts w:hint="eastAsia"/>
          <w:lang w:val="en-GB"/>
        </w:rPr>
        <w:t>年，政府通过一项“残疾人无障碍”行动计划，其目的是加强政府在残疾领域的信息技术和电信活动。该行动计划规定了一系列新举措，包括设立：</w:t>
      </w:r>
      <w:r>
        <w:rPr>
          <w:lang w:val="en-GB"/>
        </w:rPr>
        <w:t xml:space="preserve">(1) </w:t>
      </w:r>
      <w:r>
        <w:rPr>
          <w:rFonts w:hint="eastAsia"/>
          <w:lang w:val="en-GB"/>
        </w:rPr>
        <w:t>“信息技术服务全民”技能中心，</w:t>
      </w:r>
      <w:r>
        <w:rPr>
          <w:lang w:val="en-GB"/>
        </w:rPr>
        <w:t xml:space="preserve">(2) </w:t>
      </w:r>
      <w:r>
        <w:rPr>
          <w:rFonts w:hint="eastAsia"/>
          <w:lang w:val="en-GB"/>
        </w:rPr>
        <w:t>一个投资基金，为开发语言发声程序和朗读服务“人人无障碍”提供资金，</w:t>
      </w:r>
      <w:r>
        <w:rPr>
          <w:lang w:val="en-GB"/>
        </w:rPr>
        <w:t xml:space="preserve">(3) </w:t>
      </w:r>
      <w:r>
        <w:rPr>
          <w:rFonts w:hint="eastAsia"/>
          <w:lang w:val="en-GB"/>
        </w:rPr>
        <w:t>一个指导委员会，负责推动该行动计划各项举措的有效落实。</w:t>
      </w:r>
    </w:p>
    <w:p w:rsidR="00D84D94" w:rsidRDefault="00D84D94">
      <w:pPr>
        <w:pStyle w:val="SingleTxtGC"/>
        <w:rPr>
          <w:rFonts w:hint="eastAsia"/>
          <w:lang w:val="en-GB"/>
        </w:rPr>
      </w:pPr>
      <w:r>
        <w:rPr>
          <w:lang w:val="en-GB"/>
        </w:rPr>
        <w:t xml:space="preserve">106.  </w:t>
      </w:r>
      <w:r>
        <w:rPr>
          <w:rFonts w:hint="eastAsia"/>
          <w:lang w:val="en-GB"/>
        </w:rPr>
        <w:t>国家信息技术和电信署努力确保残疾人利用信息技术无障碍仍然是“信息技术服务全民”技能中心的基本任务。技能中心必须保证提供无障碍信息，保证通过信息技术可以访问公共部门的工作场所，以便尽可能多的人能够利用公共部门的网站和信息技术系统。技能中心与各残疾协会、信息技术和电信部门以及其他公共部门机构密切协作。另外，技能中心还承担宣传标准的重要任务。因此，技能中心号召各方执行信息技术无障碍政策及相关行动计划，就遵守和执行国际无障碍导则</w:t>
      </w:r>
      <w:r>
        <w:rPr>
          <w:rFonts w:hint="eastAsia"/>
          <w:spacing w:val="-60"/>
          <w:lang w:val="en-GB"/>
        </w:rPr>
        <w:t>―</w:t>
      </w:r>
      <w:r>
        <w:rPr>
          <w:rFonts w:hint="eastAsia"/>
          <w:spacing w:val="10"/>
          <w:lang w:val="en-GB"/>
        </w:rPr>
        <w:t>―</w:t>
      </w:r>
      <w:r>
        <w:rPr>
          <w:rFonts w:hint="eastAsia"/>
          <w:lang w:val="en-GB"/>
        </w:rPr>
        <w:t>《网页内容无障碍导则》</w:t>
      </w:r>
      <w:r>
        <w:rPr>
          <w:rFonts w:hint="eastAsia"/>
          <w:spacing w:val="-60"/>
          <w:lang w:val="en-GB"/>
        </w:rPr>
        <w:t>―</w:t>
      </w:r>
      <w:r>
        <w:rPr>
          <w:rFonts w:hint="eastAsia"/>
          <w:spacing w:val="10"/>
          <w:lang w:val="en-GB"/>
        </w:rPr>
        <w:t>―</w:t>
      </w:r>
      <w:r>
        <w:rPr>
          <w:rFonts w:hint="eastAsia"/>
          <w:lang w:val="en-GB"/>
        </w:rPr>
        <w:t>向公共当局和供应商提供咨询意见。国家信息技术和电信署定期出版简报，就如何执行无障碍要求，为网络编辑提供实用招数和诀窍。</w:t>
      </w:r>
    </w:p>
    <w:p w:rsidR="00D84D94" w:rsidRDefault="00D84D94">
      <w:pPr>
        <w:pStyle w:val="SingleTxtGC"/>
        <w:rPr>
          <w:rFonts w:hint="eastAsia"/>
          <w:lang w:val="en-GB"/>
        </w:rPr>
      </w:pPr>
      <w:r>
        <w:rPr>
          <w:lang w:val="en-GB"/>
        </w:rPr>
        <w:t xml:space="preserve">107.  </w:t>
      </w:r>
      <w:r>
        <w:rPr>
          <w:rFonts w:hint="eastAsia"/>
          <w:lang w:val="en-GB"/>
        </w:rPr>
        <w:t>“残疾人无障碍”行动计划设立了一个指导委员会，该委员会后来作为电子无障碍咨商小组继续开展工作。它就启动促进公共部门信息技术无障碍的活动及将其列为重点，展开了磋商。丹麦残疾人组织及其他有关方面的代表参加了该咨商小组。</w:t>
      </w:r>
      <w:r>
        <w:rPr>
          <w:rFonts w:hint="eastAsia"/>
          <w:lang w:val="en-GB"/>
        </w:rPr>
        <w:t>2011</w:t>
      </w:r>
      <w:r>
        <w:rPr>
          <w:rFonts w:hint="eastAsia"/>
          <w:lang w:val="en-GB"/>
        </w:rPr>
        <w:t>年，该咨商小组被分别属于公共和私营部门的另外两个基础更加广泛的信息技术无障碍咨商小组取代。这一改革将加强强化公共和私营部门无障碍环境的活动。公共部门咨商小组致力于促进将来的公共网站、电子表和基于信息技术的工具等无障碍，而私营部门无障碍咨商小组则着重加强电子贸易解决方案、网银设施和电子新闻媒体的无障碍以及其他目标。</w:t>
      </w:r>
    </w:p>
    <w:p w:rsidR="00D84D94" w:rsidRDefault="00D84D94">
      <w:pPr>
        <w:pStyle w:val="SingleTxtGC"/>
        <w:rPr>
          <w:rFonts w:hint="eastAsia"/>
          <w:lang w:val="en-GB"/>
        </w:rPr>
      </w:pPr>
      <w:r>
        <w:rPr>
          <w:lang w:val="en-GB"/>
        </w:rPr>
        <w:t xml:space="preserve">108.  </w:t>
      </w:r>
      <w:r>
        <w:rPr>
          <w:rFonts w:hint="eastAsia"/>
          <w:lang w:val="en-GB"/>
        </w:rPr>
        <w:t>2008</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日，关于无障碍网页内容的国际导则《网页内容无障碍导则》</w:t>
      </w:r>
      <w:r>
        <w:rPr>
          <w:rFonts w:hint="eastAsia"/>
          <w:lang w:val="en-GB"/>
        </w:rPr>
        <w:t>AA</w:t>
      </w:r>
      <w:r>
        <w:rPr>
          <w:rFonts w:hint="eastAsia"/>
          <w:lang w:val="en-GB"/>
        </w:rPr>
        <w:t>级成为公共当局将来必须遵守的强制性开放标准之一。科学、技术和创新部通过</w:t>
      </w:r>
      <w:r>
        <w:rPr>
          <w:rFonts w:hint="eastAsia"/>
          <w:lang w:val="en-GB"/>
        </w:rPr>
        <w:t>2008</w:t>
      </w:r>
      <w:r>
        <w:rPr>
          <w:rFonts w:hint="eastAsia"/>
          <w:lang w:val="en-GB"/>
        </w:rPr>
        <w:t>年和</w:t>
      </w:r>
      <w:r>
        <w:rPr>
          <w:rFonts w:hint="eastAsia"/>
          <w:lang w:val="en-GB"/>
        </w:rPr>
        <w:t>2010</w:t>
      </w:r>
      <w:r>
        <w:rPr>
          <w:rFonts w:hint="eastAsia"/>
          <w:lang w:val="en-GB"/>
        </w:rPr>
        <w:t>年的两个绘制公共网站无障碍地图项目，贯彻落实了关于开放标准的协议。</w:t>
      </w:r>
    </w:p>
    <w:p w:rsidR="00D84D94" w:rsidRDefault="00D84D94">
      <w:pPr>
        <w:pStyle w:val="SingleTxtGC"/>
        <w:rPr>
          <w:rFonts w:hint="eastAsia"/>
          <w:lang w:val="en-GB"/>
        </w:rPr>
      </w:pPr>
      <w:r>
        <w:rPr>
          <w:lang w:val="en-GB"/>
        </w:rPr>
        <w:t xml:space="preserve">109.  </w:t>
      </w:r>
      <w:r>
        <w:rPr>
          <w:rFonts w:hint="eastAsia"/>
          <w:lang w:val="en-GB"/>
        </w:rPr>
        <w:t>2010</w:t>
      </w:r>
      <w:r>
        <w:rPr>
          <w:rFonts w:hint="eastAsia"/>
          <w:lang w:val="en-GB"/>
        </w:rPr>
        <w:t>年地图标出了属于国家、地区和市镇的</w:t>
      </w:r>
      <w:r>
        <w:rPr>
          <w:rFonts w:hint="eastAsia"/>
          <w:lang w:val="en-GB"/>
        </w:rPr>
        <w:t>226</w:t>
      </w:r>
      <w:r>
        <w:rPr>
          <w:rFonts w:hint="eastAsia"/>
          <w:lang w:val="en-GB"/>
        </w:rPr>
        <w:t>个网站以及某些其他公共网站的无障碍情况。结果表明，</w:t>
      </w:r>
      <w:r>
        <w:rPr>
          <w:rFonts w:hint="eastAsia"/>
          <w:lang w:val="en-GB"/>
        </w:rPr>
        <w:t>6%</w:t>
      </w:r>
      <w:r>
        <w:rPr>
          <w:rFonts w:hint="eastAsia"/>
          <w:lang w:val="en-GB"/>
        </w:rPr>
        <w:t>网站的无障碍环境为普遍，</w:t>
      </w:r>
      <w:r>
        <w:rPr>
          <w:rFonts w:hint="eastAsia"/>
          <w:lang w:val="en-GB"/>
        </w:rPr>
        <w:t>42%</w:t>
      </w:r>
      <w:r>
        <w:rPr>
          <w:rFonts w:hint="eastAsia"/>
          <w:lang w:val="en-GB"/>
        </w:rPr>
        <w:t>为一般，</w:t>
      </w:r>
      <w:r>
        <w:rPr>
          <w:rFonts w:hint="eastAsia"/>
          <w:lang w:val="en-GB"/>
        </w:rPr>
        <w:t>44%</w:t>
      </w:r>
      <w:r>
        <w:rPr>
          <w:rFonts w:hint="eastAsia"/>
          <w:lang w:val="en-GB"/>
        </w:rPr>
        <w:t>为不够，</w:t>
      </w:r>
      <w:r>
        <w:rPr>
          <w:rFonts w:hint="eastAsia"/>
          <w:lang w:val="en-GB"/>
        </w:rPr>
        <w:t>8%</w:t>
      </w:r>
      <w:r>
        <w:rPr>
          <w:rFonts w:hint="eastAsia"/>
          <w:lang w:val="en-GB"/>
        </w:rPr>
        <w:t>为差。</w:t>
      </w:r>
      <w:r>
        <w:rPr>
          <w:rFonts w:hint="eastAsia"/>
          <w:lang w:val="en-GB"/>
        </w:rPr>
        <w:t>2008</w:t>
      </w:r>
      <w:r>
        <w:rPr>
          <w:rFonts w:hint="eastAsia"/>
          <w:lang w:val="en-GB"/>
        </w:rPr>
        <w:t>年至</w:t>
      </w:r>
      <w:r>
        <w:rPr>
          <w:rFonts w:hint="eastAsia"/>
          <w:lang w:val="en-GB"/>
        </w:rPr>
        <w:t>2010</w:t>
      </w:r>
      <w:r>
        <w:rPr>
          <w:rFonts w:hint="eastAsia"/>
          <w:lang w:val="en-GB"/>
        </w:rPr>
        <w:t>年，无障碍环境只是略有改善，改善速度比</w:t>
      </w:r>
      <w:r>
        <w:rPr>
          <w:rFonts w:hint="eastAsia"/>
          <w:lang w:val="en-GB"/>
        </w:rPr>
        <w:t>2008</w:t>
      </w:r>
      <w:r>
        <w:rPr>
          <w:rFonts w:hint="eastAsia"/>
          <w:lang w:val="en-GB"/>
        </w:rPr>
        <w:t>年达成开放标准之初预期的慢。可以认为这不能令人满意。</w:t>
      </w:r>
    </w:p>
    <w:p w:rsidR="00D84D94" w:rsidRDefault="00D84D94">
      <w:pPr>
        <w:pStyle w:val="SingleTxtGC"/>
        <w:rPr>
          <w:rFonts w:hint="eastAsia"/>
          <w:lang w:val="en-GB"/>
        </w:rPr>
      </w:pPr>
      <w:r>
        <w:rPr>
          <w:lang w:val="en-GB"/>
        </w:rPr>
        <w:t xml:space="preserve">110.  </w:t>
      </w:r>
      <w:r>
        <w:rPr>
          <w:rFonts w:hint="eastAsia"/>
          <w:lang w:val="en-GB"/>
        </w:rPr>
        <w:t>绘图成果发表在</w:t>
      </w:r>
      <w:r>
        <w:rPr>
          <w:lang w:val="en-GB"/>
        </w:rPr>
        <w:t>webtjek.itst.dk</w:t>
      </w:r>
      <w:r>
        <w:rPr>
          <w:rFonts w:hint="eastAsia"/>
          <w:lang w:val="en-GB"/>
        </w:rPr>
        <w:t>上，可以积极利用这些成果引起人们对公共网页无障碍状况的重视，同时也可以使政府这方面的举措更加有的放矢。下一个绘图项目计划于</w:t>
      </w:r>
      <w:r>
        <w:rPr>
          <w:rFonts w:hint="eastAsia"/>
          <w:lang w:val="en-GB"/>
        </w:rPr>
        <w:t>2012</w:t>
      </w:r>
      <w:r>
        <w:rPr>
          <w:rFonts w:hint="eastAsia"/>
          <w:lang w:val="en-GB"/>
        </w:rPr>
        <w:t>年实施。</w:t>
      </w:r>
    </w:p>
    <w:p w:rsidR="00D84D94" w:rsidRDefault="00D84D94">
      <w:pPr>
        <w:pStyle w:val="SingleTxtGC"/>
        <w:rPr>
          <w:rFonts w:hint="eastAsia"/>
          <w:lang w:val="en-GB"/>
        </w:rPr>
      </w:pPr>
      <w:r>
        <w:rPr>
          <w:lang w:val="en-GB"/>
        </w:rPr>
        <w:t xml:space="preserve">111.  </w:t>
      </w:r>
      <w:r>
        <w:rPr>
          <w:rFonts w:hint="eastAsia"/>
          <w:lang w:val="en-GB"/>
        </w:rPr>
        <w:t>为支持遵守无障碍标准，科学、技术和创新部开发了一个招标工具包，它有助于公共当局在招标、采购和开发新数字解决方案时提出具体的无障碍要求。</w:t>
      </w:r>
      <w:r>
        <w:rPr>
          <w:rFonts w:hint="eastAsia"/>
          <w:lang w:val="en-GB"/>
        </w:rPr>
        <w:t>2009</w:t>
      </w:r>
      <w:r>
        <w:rPr>
          <w:rFonts w:hint="eastAsia"/>
          <w:lang w:val="en-GB"/>
        </w:rPr>
        <w:t>年，对该工具包进行了修订，以纳入第</w:t>
      </w:r>
      <w:r>
        <w:rPr>
          <w:rFonts w:hint="eastAsia"/>
          <w:lang w:val="en-GB"/>
        </w:rPr>
        <w:t>`2</w:t>
      </w:r>
      <w:r>
        <w:rPr>
          <w:rFonts w:hint="eastAsia"/>
          <w:lang w:val="en-GB"/>
        </w:rPr>
        <w:t>版《网页内容无障碍导则》标准的要求。</w:t>
      </w:r>
    </w:p>
    <w:p w:rsidR="00D84D94" w:rsidRDefault="00D84D94">
      <w:pPr>
        <w:pStyle w:val="SingleTxtGC"/>
        <w:rPr>
          <w:rFonts w:hint="eastAsia"/>
          <w:lang w:val="en-GB"/>
        </w:rPr>
      </w:pPr>
      <w:r>
        <w:rPr>
          <w:lang w:val="en-GB"/>
        </w:rPr>
        <w:t xml:space="preserve">112.  </w:t>
      </w:r>
      <w:r>
        <w:rPr>
          <w:rFonts w:hint="eastAsia"/>
          <w:lang w:val="en-GB"/>
        </w:rPr>
        <w:t>2010</w:t>
      </w:r>
      <w:r>
        <w:rPr>
          <w:rFonts w:hint="eastAsia"/>
          <w:lang w:val="en-GB"/>
        </w:rPr>
        <w:t>年</w:t>
      </w:r>
      <w:r>
        <w:rPr>
          <w:rFonts w:hint="eastAsia"/>
          <w:lang w:val="en-GB"/>
        </w:rPr>
        <w:t>12</w:t>
      </w:r>
      <w:r>
        <w:rPr>
          <w:rFonts w:hint="eastAsia"/>
          <w:lang w:val="en-GB"/>
        </w:rPr>
        <w:t>月，科学、技术和创新部推出了以公共部门雇员为对象的电子学习工具，它将培训并指导他们制作无障碍文件、录像等。该工具是国家雇员的数字学习平台“校园”的一部分，不过人人都可以在</w:t>
      </w:r>
      <w:r>
        <w:rPr>
          <w:lang w:val="en-GB"/>
        </w:rPr>
        <w:t>itst.dk/elt</w:t>
      </w:r>
      <w:r>
        <w:rPr>
          <w:rFonts w:hint="eastAsia"/>
          <w:lang w:val="en-GB"/>
        </w:rPr>
        <w:t>上自由进入。</w:t>
      </w:r>
    </w:p>
    <w:p w:rsidR="00D84D94" w:rsidRDefault="00D84D94">
      <w:pPr>
        <w:pStyle w:val="SingleTxtGC"/>
        <w:rPr>
          <w:rFonts w:hint="eastAsia"/>
          <w:lang w:val="en-GB"/>
        </w:rPr>
      </w:pPr>
      <w:r>
        <w:rPr>
          <w:lang w:val="en-GB"/>
        </w:rPr>
        <w:t xml:space="preserve">113.  </w:t>
      </w:r>
      <w:r>
        <w:rPr>
          <w:rFonts w:hint="eastAsia"/>
          <w:lang w:val="en-GB"/>
        </w:rPr>
        <w:t>2011</w:t>
      </w:r>
      <w:r>
        <w:rPr>
          <w:rFonts w:hint="eastAsia"/>
          <w:lang w:val="en-GB"/>
        </w:rPr>
        <w:t>年初，对公共当局网页无障碍工作进行了一次定性调查，结果证实出台的措施普遍适宜，但也揭示出需要加强对它们的宣传力度以及向目标群体，通常是公共当局的网页编辑、负责传播的人员和社会福利工作人员的传播。</w:t>
      </w:r>
    </w:p>
    <w:p w:rsidR="00D84D94" w:rsidRDefault="00D84D94">
      <w:pPr>
        <w:pStyle w:val="H4GC"/>
        <w:rPr>
          <w:i/>
          <w:lang w:val="en-GB"/>
        </w:rPr>
      </w:pPr>
      <w:r>
        <w:rPr>
          <w:i/>
          <w:lang w:val="en-GB"/>
        </w:rPr>
        <w:tab/>
      </w:r>
      <w:r>
        <w:rPr>
          <w:i/>
          <w:lang w:val="en-GB"/>
        </w:rPr>
        <w:tab/>
        <w:t>NemID</w:t>
      </w:r>
    </w:p>
    <w:p w:rsidR="00D84D94" w:rsidRDefault="00D84D94">
      <w:pPr>
        <w:pStyle w:val="SingleTxtGC"/>
        <w:rPr>
          <w:rFonts w:hint="eastAsia"/>
          <w:lang w:val="en-GB"/>
        </w:rPr>
      </w:pPr>
      <w:r>
        <w:rPr>
          <w:lang w:val="en-GB"/>
        </w:rPr>
        <w:t xml:space="preserve">114.  </w:t>
      </w:r>
      <w:r>
        <w:rPr>
          <w:rFonts w:hint="eastAsia"/>
          <w:lang w:val="en-GB"/>
        </w:rPr>
        <w:t>2010</w:t>
      </w:r>
      <w:r>
        <w:rPr>
          <w:rFonts w:hint="eastAsia"/>
          <w:lang w:val="en-GB"/>
        </w:rPr>
        <w:t>年</w:t>
      </w:r>
      <w:r>
        <w:rPr>
          <w:rFonts w:hint="eastAsia"/>
          <w:lang w:val="en-GB"/>
        </w:rPr>
        <w:t>7</w:t>
      </w:r>
      <w:r>
        <w:rPr>
          <w:rFonts w:hint="eastAsia"/>
          <w:lang w:val="en-GB"/>
        </w:rPr>
        <w:t>月</w:t>
      </w:r>
      <w:r>
        <w:rPr>
          <w:rFonts w:hint="eastAsia"/>
          <w:lang w:val="en-GB"/>
        </w:rPr>
        <w:t>1</w:t>
      </w:r>
      <w:r>
        <w:rPr>
          <w:rFonts w:hint="eastAsia"/>
          <w:lang w:val="en-GB"/>
        </w:rPr>
        <w:t>日，推出了新的数字签名系统</w:t>
      </w:r>
      <w:r>
        <w:rPr>
          <w:lang w:val="en-GB"/>
        </w:rPr>
        <w:t>NemID</w:t>
      </w:r>
      <w:r>
        <w:rPr>
          <w:rFonts w:hint="eastAsia"/>
          <w:lang w:val="en-GB"/>
        </w:rPr>
        <w:t>。它是公私密切合作的结果。</w:t>
      </w:r>
      <w:r>
        <w:rPr>
          <w:lang w:val="en-GB"/>
        </w:rPr>
        <w:t>NemID</w:t>
      </w:r>
      <w:r>
        <w:rPr>
          <w:rFonts w:hint="eastAsia"/>
          <w:lang w:val="en-GB"/>
        </w:rPr>
        <w:t>为公民提供了进入公共网站、网银设施及其他私营数字自助解决方案的安全通道。</w:t>
      </w:r>
      <w:r>
        <w:rPr>
          <w:lang w:val="en-GB"/>
        </w:rPr>
        <w:t>NemID</w:t>
      </w:r>
      <w:r>
        <w:rPr>
          <w:rFonts w:hint="eastAsia"/>
          <w:lang w:val="en-GB"/>
        </w:rPr>
        <w:t>使网上银行或公共当局能够核实公民的身份，从而公民可以安全地查询个人数据和进入自助平台。截至</w:t>
      </w:r>
      <w:r>
        <w:rPr>
          <w:rFonts w:hint="eastAsia"/>
          <w:lang w:val="en-GB"/>
        </w:rPr>
        <w:t>2011</w:t>
      </w:r>
      <w:r>
        <w:rPr>
          <w:rFonts w:hint="eastAsia"/>
          <w:lang w:val="en-GB"/>
        </w:rPr>
        <w:t>年</w:t>
      </w:r>
      <w:r>
        <w:rPr>
          <w:rFonts w:hint="eastAsia"/>
          <w:lang w:val="en-GB"/>
        </w:rPr>
        <w:t>4</w:t>
      </w:r>
      <w:r>
        <w:rPr>
          <w:rFonts w:hint="eastAsia"/>
          <w:lang w:val="en-GB"/>
        </w:rPr>
        <w:t>月初，该系统有大约</w:t>
      </w:r>
      <w:r>
        <w:rPr>
          <w:rFonts w:hint="eastAsia"/>
          <w:lang w:val="en-GB"/>
        </w:rPr>
        <w:t>300</w:t>
      </w:r>
      <w:r>
        <w:rPr>
          <w:rFonts w:hint="eastAsia"/>
          <w:lang w:val="en-GB"/>
        </w:rPr>
        <w:t>万个活跃用户。在开发</w:t>
      </w:r>
      <w:r>
        <w:rPr>
          <w:lang w:val="en-GB"/>
        </w:rPr>
        <w:t>NemID</w:t>
      </w:r>
      <w:r>
        <w:rPr>
          <w:rFonts w:hint="eastAsia"/>
          <w:lang w:val="en-GB"/>
        </w:rPr>
        <w:t>时，对功能减退者的无障碍支持是一个重要考虑因素。于是，与丹麦盲人协会及其他方面合作，为视障者、盲人或又聋又盲者制定了特别解决方案。在开发</w:t>
      </w:r>
      <w:r>
        <w:rPr>
          <w:lang w:val="en-GB"/>
        </w:rPr>
        <w:t>NemID</w:t>
      </w:r>
      <w:r>
        <w:rPr>
          <w:rFonts w:hint="eastAsia"/>
          <w:lang w:val="en-GB"/>
        </w:rPr>
        <w:t>的网站</w:t>
      </w:r>
      <w:r>
        <w:rPr>
          <w:lang w:val="en-GB"/>
        </w:rPr>
        <w:t>www.nemid.nu</w:t>
      </w:r>
      <w:r>
        <w:rPr>
          <w:rFonts w:hint="eastAsia"/>
          <w:lang w:val="en-GB"/>
        </w:rPr>
        <w:t>时，也考虑到了无障碍问题，因此遵守了关于公共网站的强制性标准，包括《网页内容无障碍导则》的</w:t>
      </w:r>
      <w:r>
        <w:rPr>
          <w:rFonts w:hint="eastAsia"/>
          <w:lang w:val="en-GB"/>
        </w:rPr>
        <w:t>AA</w:t>
      </w:r>
      <w:r>
        <w:rPr>
          <w:rFonts w:hint="eastAsia"/>
          <w:lang w:val="en-GB"/>
        </w:rPr>
        <w:t>级标准。</w:t>
      </w:r>
    </w:p>
    <w:p w:rsidR="00D84D94" w:rsidRDefault="00D84D94">
      <w:pPr>
        <w:pStyle w:val="SingleTxtGC"/>
        <w:rPr>
          <w:rFonts w:hint="eastAsia"/>
          <w:lang w:val="en-GB"/>
        </w:rPr>
      </w:pPr>
      <w:r>
        <w:rPr>
          <w:lang w:val="en-GB"/>
        </w:rPr>
        <w:t>115.  NemID</w:t>
      </w:r>
      <w:r>
        <w:rPr>
          <w:rFonts w:hint="eastAsia"/>
          <w:lang w:val="en-GB"/>
        </w:rPr>
        <w:t>网站上的电子学习录像已被翻译为手语，确保失聪和听力受损的手语用户能够充分受益于</w:t>
      </w:r>
      <w:r>
        <w:rPr>
          <w:lang w:val="en-GB"/>
        </w:rPr>
        <w:t>NemID</w:t>
      </w:r>
      <w:r>
        <w:rPr>
          <w:rFonts w:hint="eastAsia"/>
          <w:lang w:val="en-GB"/>
        </w:rPr>
        <w:t>解决方案。这些录像可从</w:t>
      </w:r>
      <w:r>
        <w:rPr>
          <w:lang w:val="en-GB"/>
        </w:rPr>
        <w:t>www.nemid.nu/support/ film_om_nemid/film_paa_tegnsprog/</w:t>
      </w:r>
      <w:r>
        <w:rPr>
          <w:rFonts w:hint="eastAsia"/>
          <w:lang w:val="en-GB"/>
        </w:rPr>
        <w:t>获取。</w:t>
      </w:r>
    </w:p>
    <w:p w:rsidR="00D84D94" w:rsidRDefault="00D84D94">
      <w:pPr>
        <w:pStyle w:val="SingleTxtGC"/>
        <w:rPr>
          <w:rFonts w:hint="eastAsia"/>
          <w:lang w:val="en-GB"/>
        </w:rPr>
      </w:pPr>
      <w:r>
        <w:rPr>
          <w:lang w:val="en-GB"/>
        </w:rPr>
        <w:t xml:space="preserve">116.  </w:t>
      </w:r>
      <w:r>
        <w:rPr>
          <w:rFonts w:hint="eastAsia"/>
          <w:lang w:val="en-GB"/>
        </w:rPr>
        <w:t>作为与丹麦残疾人组织合作的一个方面，设立了一个特别工作组，其任务是研究并挑选对</w:t>
      </w:r>
      <w:r>
        <w:rPr>
          <w:lang w:val="en-GB"/>
        </w:rPr>
        <w:t>NemID</w:t>
      </w:r>
      <w:r>
        <w:rPr>
          <w:rFonts w:hint="eastAsia"/>
          <w:lang w:val="en-GB"/>
        </w:rPr>
        <w:t>解决方案的调整，使</w:t>
      </w:r>
      <w:r>
        <w:rPr>
          <w:lang w:val="en-GB"/>
        </w:rPr>
        <w:t>NemID</w:t>
      </w:r>
      <w:r>
        <w:rPr>
          <w:rFonts w:hint="eastAsia"/>
          <w:lang w:val="en-GB"/>
        </w:rPr>
        <w:t>成为对于尽可能多的人无障碍的备选方案。查明了个别残疾人群体所特有的挑战，目前正在寻找应对这些挑战的具体解决办法。已决定推出一个具体解决方案，解决利用</w:t>
      </w:r>
      <w:r>
        <w:rPr>
          <w:lang w:val="en-GB"/>
        </w:rPr>
        <w:t>NemID</w:t>
      </w:r>
      <w:r>
        <w:rPr>
          <w:rFonts w:hint="eastAsia"/>
          <w:lang w:val="en-GB"/>
        </w:rPr>
        <w:t>登录公共解决方案的特有挑战，同时将继续寻找最终解决方案，使个别残疾人群体能够利用</w:t>
      </w:r>
      <w:r>
        <w:rPr>
          <w:lang w:val="en-GB"/>
        </w:rPr>
        <w:t>NemID</w:t>
      </w:r>
      <w:r>
        <w:rPr>
          <w:rFonts w:hint="eastAsia"/>
          <w:lang w:val="en-GB"/>
        </w:rPr>
        <w:t>登录网上银行。</w:t>
      </w:r>
    </w:p>
    <w:p w:rsidR="00D84D94" w:rsidRDefault="00D84D94">
      <w:pPr>
        <w:pStyle w:val="H4GC"/>
        <w:rPr>
          <w:rFonts w:hint="eastAsia"/>
          <w:lang w:val="en-GB"/>
        </w:rPr>
      </w:pPr>
      <w:r>
        <w:rPr>
          <w:lang w:val="en-GB"/>
        </w:rPr>
        <w:tab/>
      </w:r>
      <w:r>
        <w:rPr>
          <w:lang w:val="en-GB"/>
        </w:rPr>
        <w:tab/>
      </w:r>
      <w:r>
        <w:rPr>
          <w:rFonts w:hint="eastAsia"/>
          <w:lang w:val="en-GB"/>
        </w:rPr>
        <w:t>丹麦残疾理事会</w:t>
      </w:r>
    </w:p>
    <w:p w:rsidR="00D84D94" w:rsidRDefault="00D84D94">
      <w:pPr>
        <w:pStyle w:val="SingleTxtGC"/>
        <w:rPr>
          <w:rFonts w:hint="eastAsia"/>
          <w:lang w:val="en-GB"/>
        </w:rPr>
      </w:pPr>
      <w:r>
        <w:rPr>
          <w:lang w:val="en-GB"/>
        </w:rPr>
        <w:t xml:space="preserve">117.  </w:t>
      </w:r>
      <w:r>
        <w:rPr>
          <w:rFonts w:hint="eastAsia"/>
          <w:lang w:val="en-GB"/>
        </w:rPr>
        <w:t>应该指出，丹麦残疾理事会致力于促进广泛的社会融入，包括在无障碍方面，以便残疾人能够在与他人平等的基础上参加社会，在做出自己的决定和承担责任拥有尽可能多的自由。</w:t>
      </w:r>
    </w:p>
    <w:p w:rsidR="00D84D94" w:rsidRDefault="00D84D94">
      <w:pPr>
        <w:pStyle w:val="H1GC"/>
        <w:rPr>
          <w:rFonts w:hint="eastAsia"/>
          <w:lang w:val="en-GB"/>
        </w:rPr>
      </w:pPr>
      <w:r>
        <w:rPr>
          <w:lang w:val="en-GB"/>
        </w:rPr>
        <w:tab/>
      </w:r>
      <w:r>
        <w:rPr>
          <w:lang w:val="en-GB"/>
        </w:rPr>
        <w:tab/>
      </w:r>
      <w:r>
        <w:rPr>
          <w:rFonts w:hint="eastAsia"/>
          <w:lang w:val="en-GB"/>
        </w:rPr>
        <w:t>第十条</w:t>
      </w:r>
    </w:p>
    <w:p w:rsidR="00D84D94" w:rsidRDefault="00D84D94">
      <w:pPr>
        <w:pStyle w:val="SingleTxtGC"/>
        <w:rPr>
          <w:rFonts w:hint="eastAsia"/>
          <w:lang w:val="en-GB"/>
        </w:rPr>
      </w:pPr>
      <w:r>
        <w:rPr>
          <w:lang w:val="en-GB"/>
        </w:rPr>
        <w:t xml:space="preserve">118.  </w:t>
      </w:r>
      <w:r>
        <w:rPr>
          <w:rFonts w:hint="eastAsia"/>
          <w:lang w:val="en-GB"/>
        </w:rPr>
        <w:t>根据《欧洲人权公约》第</w:t>
      </w:r>
      <w:r>
        <w:rPr>
          <w:rFonts w:hint="eastAsia"/>
          <w:lang w:val="en-GB"/>
        </w:rPr>
        <w:t>2</w:t>
      </w:r>
      <w:r>
        <w:rPr>
          <w:rFonts w:hint="eastAsia"/>
          <w:lang w:val="en-GB"/>
        </w:rPr>
        <w:t>条，每一个人，包括残疾人，均享有生命权。</w:t>
      </w:r>
    </w:p>
    <w:p w:rsidR="00D84D94" w:rsidRDefault="00D84D94">
      <w:pPr>
        <w:pStyle w:val="SingleTxtGC"/>
        <w:rPr>
          <w:rFonts w:hint="eastAsia"/>
          <w:lang w:val="en-GB"/>
        </w:rPr>
      </w:pPr>
      <w:r>
        <w:rPr>
          <w:lang w:val="en-GB"/>
        </w:rPr>
        <w:t xml:space="preserve">119.  </w:t>
      </w:r>
      <w:r>
        <w:rPr>
          <w:rFonts w:hint="eastAsia"/>
          <w:lang w:val="en-GB"/>
        </w:rPr>
        <w:t>根据</w:t>
      </w:r>
      <w:r>
        <w:rPr>
          <w:lang w:val="en-GB"/>
        </w:rPr>
        <w:t>《丹麦卫生法》</w:t>
      </w:r>
      <w:r>
        <w:rPr>
          <w:rFonts w:hint="eastAsia"/>
          <w:lang w:val="en-GB"/>
        </w:rPr>
        <w:t>，妇女在妊娠满</w:t>
      </w:r>
      <w:r>
        <w:rPr>
          <w:rFonts w:hint="eastAsia"/>
          <w:lang w:val="en-GB"/>
        </w:rPr>
        <w:t>12</w:t>
      </w:r>
      <w:r>
        <w:rPr>
          <w:rFonts w:hint="eastAsia"/>
          <w:lang w:val="en-GB"/>
        </w:rPr>
        <w:t>周之前可以堕胎，而无需获得准许。正是由于按照</w:t>
      </w:r>
      <w:r>
        <w:rPr>
          <w:lang w:val="en-GB"/>
        </w:rPr>
        <w:t>《丹麦卫生法》</w:t>
      </w:r>
      <w:r>
        <w:rPr>
          <w:rFonts w:hint="eastAsia"/>
          <w:lang w:val="en-GB"/>
        </w:rPr>
        <w:t>的规定，妇女有权在手术前后进行一次咨询，该法的规定确保她在手术之前被告知其在怀孕期间和生产之后有哪些支助选择。</w:t>
      </w:r>
    </w:p>
    <w:p w:rsidR="00D84D94" w:rsidRDefault="00D84D94">
      <w:pPr>
        <w:pStyle w:val="SingleTxtGC"/>
        <w:rPr>
          <w:rFonts w:hint="eastAsia"/>
          <w:lang w:val="en-GB"/>
        </w:rPr>
      </w:pPr>
      <w:r>
        <w:rPr>
          <w:lang w:val="en-GB"/>
        </w:rPr>
        <w:t xml:space="preserve">120.  </w:t>
      </w:r>
      <w:r>
        <w:rPr>
          <w:rFonts w:hint="eastAsia"/>
          <w:lang w:val="en-GB"/>
        </w:rPr>
        <w:t>按照《丹麦卫生法》的规定，对于在妊娠满</w:t>
      </w:r>
      <w:r>
        <w:rPr>
          <w:rFonts w:hint="eastAsia"/>
          <w:lang w:val="en-GB"/>
        </w:rPr>
        <w:t>12</w:t>
      </w:r>
      <w:r>
        <w:rPr>
          <w:rFonts w:hint="eastAsia"/>
          <w:lang w:val="en-GB"/>
        </w:rPr>
        <w:t>周之后由于胎儿有严重异常而申请终止妊娠的妇女，必须告知其从有关残疾协会等获取补充信息和咨询的选择。还实施了旨在预防意外怀孕以及减少在可自由堕胎的时限内施行的堕胎数量的若干举措。</w:t>
      </w:r>
    </w:p>
    <w:p w:rsidR="00D84D94" w:rsidRDefault="00D84D94">
      <w:pPr>
        <w:pStyle w:val="H1GC"/>
        <w:rPr>
          <w:rFonts w:hint="eastAsia"/>
          <w:lang w:val="en-GB"/>
        </w:rPr>
      </w:pPr>
      <w:r>
        <w:rPr>
          <w:lang w:val="en-GB"/>
        </w:rPr>
        <w:tab/>
      </w:r>
      <w:r>
        <w:rPr>
          <w:lang w:val="en-GB"/>
        </w:rPr>
        <w:tab/>
      </w:r>
      <w:r>
        <w:rPr>
          <w:rFonts w:hint="eastAsia"/>
          <w:lang w:val="en-GB"/>
        </w:rPr>
        <w:t>第十一条</w:t>
      </w:r>
    </w:p>
    <w:p w:rsidR="00D84D94" w:rsidRDefault="00D84D94">
      <w:pPr>
        <w:pStyle w:val="SingleTxtGC"/>
        <w:rPr>
          <w:rFonts w:hint="eastAsia"/>
          <w:lang w:val="en-GB"/>
        </w:rPr>
      </w:pPr>
      <w:r>
        <w:rPr>
          <w:lang w:val="en-GB"/>
        </w:rPr>
        <w:t xml:space="preserve">121.  </w:t>
      </w:r>
      <w:r>
        <w:rPr>
          <w:rFonts w:hint="eastAsia"/>
          <w:lang w:val="en-GB"/>
        </w:rPr>
        <w:t>在丹麦，《丹麦紧急服务法》规定了应对因事故、灾害及其他类似事件而发生的紧急情况的总体准则。该法规定，地方理事会负责组织应对紧急情况的工作，并可为事故和灾害中的受伤人员以及受损财产和环境提供合理援助。地方理事会为受伤人员提供合理援助的义务也涵盖残疾人及其他弱势群体。</w:t>
      </w:r>
    </w:p>
    <w:p w:rsidR="00D84D94" w:rsidRDefault="00D84D94">
      <w:pPr>
        <w:pStyle w:val="SingleTxtGC"/>
        <w:rPr>
          <w:rFonts w:hint="eastAsia"/>
          <w:lang w:val="en-GB"/>
        </w:rPr>
      </w:pPr>
      <w:r>
        <w:rPr>
          <w:lang w:val="en-GB"/>
        </w:rPr>
        <w:t xml:space="preserve">122.  </w:t>
      </w:r>
      <w:r>
        <w:rPr>
          <w:rFonts w:hint="eastAsia"/>
          <w:lang w:val="en-GB"/>
        </w:rPr>
        <w:t>关于援助失聪和听力受损者以及后天失聪者，丹麦紧急情况管理署启动了通过手机短信的警报服务。当利用全国汽笛警报系统中的一个或多个汽笛发出警报时，将向在丹麦紧急情况管理署的这一计划和丹麦警察全国委员会登记的失聪和听力受损者以及后天失聪者发送同步短信。这一程序确保失聪和听力受损者以及后天失聪者与其他公民同时收到警报。该系统每年都测试。</w:t>
      </w:r>
    </w:p>
    <w:p w:rsidR="00D84D94" w:rsidRDefault="00D84D94">
      <w:pPr>
        <w:pStyle w:val="H23GC"/>
        <w:rPr>
          <w:rFonts w:hint="eastAsia"/>
          <w:lang w:val="en-GB"/>
        </w:rPr>
      </w:pPr>
      <w:r>
        <w:rPr>
          <w:lang w:val="en-GB"/>
        </w:rPr>
        <w:tab/>
      </w:r>
      <w:r>
        <w:rPr>
          <w:lang w:val="en-GB"/>
        </w:rPr>
        <w:tab/>
      </w:r>
      <w:r>
        <w:rPr>
          <w:rFonts w:hint="eastAsia"/>
          <w:lang w:val="en-GB"/>
        </w:rPr>
        <w:t>在国际特派团任职期间致残</w:t>
      </w:r>
    </w:p>
    <w:p w:rsidR="00D84D94" w:rsidRDefault="00D84D94">
      <w:pPr>
        <w:pStyle w:val="SingleTxtGC"/>
        <w:rPr>
          <w:rFonts w:hint="eastAsia"/>
          <w:lang w:val="en-GB"/>
        </w:rPr>
      </w:pPr>
      <w:r>
        <w:rPr>
          <w:lang w:val="en-GB"/>
        </w:rPr>
        <w:t xml:space="preserve">123.  </w:t>
      </w:r>
      <w:r>
        <w:rPr>
          <w:rFonts w:hint="eastAsia"/>
          <w:lang w:val="en-GB"/>
        </w:rPr>
        <w:t>每年都有许多就职于国防部治安部门的人被派往国际特派团。即使武装部队努力通过最充分的准备，尽量减少被派往国际特派团人员的创伤，但还是有些人在从特派团归来时带着肉眼看得见或看不见的创伤。有些创作之严重，使他们不能从事以前的工作。</w:t>
      </w:r>
    </w:p>
    <w:p w:rsidR="00D84D94" w:rsidRDefault="00D84D94">
      <w:pPr>
        <w:pStyle w:val="SingleTxtGC"/>
        <w:rPr>
          <w:rFonts w:hint="eastAsia"/>
          <w:lang w:val="en-GB"/>
        </w:rPr>
      </w:pPr>
      <w:r>
        <w:rPr>
          <w:lang w:val="en-GB"/>
        </w:rPr>
        <w:t xml:space="preserve">124.  </w:t>
      </w:r>
      <w:r>
        <w:rPr>
          <w:rFonts w:hint="eastAsia"/>
          <w:lang w:val="en-GB"/>
        </w:rPr>
        <w:t>武装部队的人力资源政策说明，如果一名雇员的肢体和精神所受伤害的程度使其工作能力减损，武装部队将如何设法为该雇员安排一份他或她希望得到并且在正常条件下能够履行的工作。</w:t>
      </w:r>
    </w:p>
    <w:p w:rsidR="00D84D94" w:rsidRDefault="00D84D94">
      <w:pPr>
        <w:pStyle w:val="SingleTxtGC"/>
        <w:rPr>
          <w:rFonts w:hint="eastAsia"/>
          <w:lang w:val="en-GB"/>
        </w:rPr>
      </w:pPr>
      <w:r>
        <w:rPr>
          <w:lang w:val="en-GB"/>
        </w:rPr>
        <w:t xml:space="preserve">125.  </w:t>
      </w:r>
      <w:r>
        <w:rPr>
          <w:rFonts w:hint="eastAsia"/>
          <w:lang w:val="en-GB"/>
        </w:rPr>
        <w:t>如果雇员无法担负以前计划担任的职位，武装部队将竭尽全力找到与该雇员预期的职业发展路线类似的其他工作。</w:t>
      </w:r>
    </w:p>
    <w:p w:rsidR="00D84D94" w:rsidRDefault="00D84D94">
      <w:pPr>
        <w:pStyle w:val="SingleTxtGC"/>
        <w:rPr>
          <w:rFonts w:hint="eastAsia"/>
          <w:lang w:val="en-GB"/>
        </w:rPr>
      </w:pPr>
      <w:r>
        <w:rPr>
          <w:lang w:val="en-GB"/>
        </w:rPr>
        <w:t xml:space="preserve">126.  </w:t>
      </w:r>
      <w:r>
        <w:rPr>
          <w:rFonts w:hint="eastAsia"/>
          <w:lang w:val="en-GB"/>
        </w:rPr>
        <w:t>2010</w:t>
      </w:r>
      <w:r>
        <w:rPr>
          <w:rFonts w:hint="eastAsia"/>
          <w:lang w:val="en-GB"/>
        </w:rPr>
        <w:t>年</w:t>
      </w:r>
      <w:r>
        <w:rPr>
          <w:rFonts w:hint="eastAsia"/>
          <w:lang w:val="en-GB"/>
        </w:rPr>
        <w:t>10</w:t>
      </w:r>
      <w:r>
        <w:rPr>
          <w:rFonts w:hint="eastAsia"/>
          <w:lang w:val="en-GB"/>
        </w:rPr>
        <w:t>月，政府实施了一项退伍军人政策，其中规定了社会如何最有效地组织并在需要时支持退伍军人的框架。该政策以现有措施为坚实基础，确立了</w:t>
      </w:r>
      <w:r>
        <w:rPr>
          <w:rFonts w:hint="eastAsia"/>
          <w:lang w:val="en-GB"/>
        </w:rPr>
        <w:t>19</w:t>
      </w:r>
      <w:r>
        <w:rPr>
          <w:rFonts w:hint="eastAsia"/>
          <w:lang w:val="en-GB"/>
        </w:rPr>
        <w:t>条新举措，包括改进针对有肢体和精神创伤的退伍军人的工作。</w:t>
      </w:r>
    </w:p>
    <w:p w:rsidR="00D84D94" w:rsidRDefault="00D84D94">
      <w:pPr>
        <w:pStyle w:val="H23GC"/>
        <w:rPr>
          <w:rFonts w:hint="eastAsia"/>
          <w:lang w:val="en-GB"/>
        </w:rPr>
      </w:pPr>
      <w:r>
        <w:rPr>
          <w:lang w:val="en-GB"/>
        </w:rPr>
        <w:tab/>
      </w:r>
      <w:r>
        <w:rPr>
          <w:lang w:val="en-GB"/>
        </w:rPr>
        <w:tab/>
      </w:r>
      <w:r>
        <w:rPr>
          <w:rFonts w:hint="eastAsia"/>
          <w:lang w:val="en-GB"/>
        </w:rPr>
        <w:t>丹麦的人道主义行动战略</w:t>
      </w:r>
    </w:p>
    <w:p w:rsidR="00D84D94" w:rsidRDefault="00D84D94">
      <w:pPr>
        <w:pStyle w:val="SingleTxtGC"/>
        <w:rPr>
          <w:rFonts w:hint="eastAsia"/>
          <w:lang w:val="en-GB"/>
        </w:rPr>
      </w:pPr>
      <w:r>
        <w:rPr>
          <w:lang w:val="en-GB"/>
        </w:rPr>
        <w:t xml:space="preserve">127.  </w:t>
      </w:r>
      <w:r>
        <w:rPr>
          <w:rFonts w:hint="eastAsia"/>
          <w:lang w:val="en-GB"/>
        </w:rPr>
        <w:t>在《</w:t>
      </w:r>
      <w:r>
        <w:rPr>
          <w:rFonts w:hint="eastAsia"/>
          <w:lang w:val="en-GB"/>
        </w:rPr>
        <w:t>2010-2015</w:t>
      </w:r>
      <w:r>
        <w:rPr>
          <w:rFonts w:hint="eastAsia"/>
          <w:lang w:val="en-GB"/>
        </w:rPr>
        <w:t>年丹麦人道主义行动战略》中，残疾人被列为特别弱势的群体，而保护最弱势者则是该战略的一个特别突出的重点。该战略还解释说，有心智和</w:t>
      </w:r>
      <w:r>
        <w:rPr>
          <w:rFonts w:hint="eastAsia"/>
          <w:lang w:val="en-GB"/>
        </w:rPr>
        <w:t>/</w:t>
      </w:r>
      <w:r>
        <w:rPr>
          <w:rFonts w:hint="eastAsia"/>
          <w:lang w:val="en-GB"/>
        </w:rPr>
        <w:t>或肢体残疾者不仅在紧急情况下，而且在长期危机中，都是脆弱的受害者。正因为如此，丹麦的对外政策支持在不太安全的地区协助提供更有尊严的生活的活动。</w:t>
      </w:r>
    </w:p>
    <w:p w:rsidR="00D84D94" w:rsidRDefault="00D84D94">
      <w:pPr>
        <w:pStyle w:val="SingleTxtGC"/>
        <w:rPr>
          <w:rFonts w:hint="eastAsia"/>
          <w:lang w:val="en-GB"/>
        </w:rPr>
      </w:pPr>
      <w:r>
        <w:rPr>
          <w:lang w:val="en-GB"/>
        </w:rPr>
        <w:t xml:space="preserve">128.  </w:t>
      </w:r>
      <w:r>
        <w:rPr>
          <w:rFonts w:hint="eastAsia"/>
          <w:lang w:val="en-GB"/>
        </w:rPr>
        <w:t>另外，对于那些返回本国就有可能变得严重残疾</w:t>
      </w:r>
      <w:r>
        <w:rPr>
          <w:rFonts w:hint="eastAsia"/>
          <w:lang w:val="en-GB"/>
        </w:rPr>
        <w:t>(</w:t>
      </w:r>
      <w:r>
        <w:rPr>
          <w:rFonts w:hint="eastAsia"/>
          <w:lang w:val="en-GB"/>
        </w:rPr>
        <w:t>残疾标准</w:t>
      </w:r>
      <w:r>
        <w:rPr>
          <w:rFonts w:hint="eastAsia"/>
          <w:lang w:val="en-GB"/>
        </w:rPr>
        <w:t>)</w:t>
      </w:r>
      <w:r>
        <w:rPr>
          <w:rFonts w:hint="eastAsia"/>
          <w:lang w:val="en-GB"/>
        </w:rPr>
        <w:t>或使本已严重的残疾进一步恶化的外国国民，可以为其签发人道主义居留许可证。留在丹麦可使申请者的残疾好转这一事实，不能作为签发人道主义居留许可证的理由。</w:t>
      </w:r>
    </w:p>
    <w:p w:rsidR="00D84D94" w:rsidRDefault="00D84D94">
      <w:pPr>
        <w:pStyle w:val="H1GC"/>
        <w:rPr>
          <w:lang w:val="en-GB"/>
        </w:rPr>
      </w:pPr>
      <w:r>
        <w:rPr>
          <w:lang w:val="en-GB"/>
        </w:rPr>
        <w:tab/>
      </w:r>
      <w:r>
        <w:rPr>
          <w:lang w:val="en-GB"/>
        </w:rPr>
        <w:tab/>
      </w:r>
      <w:r>
        <w:rPr>
          <w:rFonts w:hint="eastAsia"/>
          <w:lang w:val="en-GB"/>
        </w:rPr>
        <w:t>第十二条</w:t>
      </w:r>
    </w:p>
    <w:p w:rsidR="00D84D94" w:rsidRDefault="00D84D94">
      <w:pPr>
        <w:pStyle w:val="SingleTxtGC"/>
        <w:rPr>
          <w:rFonts w:hint="eastAsia"/>
          <w:lang w:val="en-GB"/>
        </w:rPr>
      </w:pPr>
      <w:r>
        <w:rPr>
          <w:lang w:val="en-GB"/>
        </w:rPr>
        <w:t xml:space="preserve">129.  </w:t>
      </w:r>
      <w:r>
        <w:rPr>
          <w:rFonts w:hint="eastAsia"/>
          <w:lang w:val="en-GB"/>
        </w:rPr>
        <w:t>残疾人有权在与他人平等的基础上，在法律面前获得承认并行使法律权利能力。</w:t>
      </w:r>
    </w:p>
    <w:p w:rsidR="00D84D94" w:rsidRDefault="00D84D94">
      <w:pPr>
        <w:pStyle w:val="SingleTxtGC"/>
        <w:rPr>
          <w:rFonts w:hint="eastAsia"/>
          <w:lang w:val="en-GB"/>
        </w:rPr>
      </w:pPr>
      <w:r>
        <w:rPr>
          <w:lang w:val="en-GB"/>
        </w:rPr>
        <w:t xml:space="preserve">130.  </w:t>
      </w:r>
      <w:r>
        <w:rPr>
          <w:rFonts w:hint="eastAsia"/>
          <w:lang w:val="en-GB"/>
        </w:rPr>
        <w:t>根据《法律上无行为能力和监护法》，如果需要，可以对被认定由于精神疾病，包括痴呆、心智发育不全或其他各类严重健康缺陷，无法管理自己的事务的成年人实行监护。监护可包括财务和个人事务，也可限于某些财务或个人事务。</w:t>
      </w:r>
    </w:p>
    <w:p w:rsidR="00D84D94" w:rsidRDefault="00D84D94">
      <w:pPr>
        <w:pStyle w:val="SingleTxtGC"/>
        <w:rPr>
          <w:rFonts w:hint="eastAsia"/>
          <w:lang w:val="en-GB"/>
        </w:rPr>
      </w:pPr>
      <w:r>
        <w:rPr>
          <w:lang w:val="en-GB"/>
        </w:rPr>
        <w:t xml:space="preserve">131.  </w:t>
      </w:r>
      <w:r>
        <w:rPr>
          <w:rFonts w:hint="eastAsia"/>
          <w:lang w:val="en-GB"/>
        </w:rPr>
        <w:t>对某人实行监护的法律效力，是指定一名监护人在监护权所涵盖的事务上代表该人行事。根据《法律上无行为能力和监护法》，如果为防止一个人将他或她的财产、收入或其他经济利益置于严重贬值的危险之中或者为防止经济剥削而确有必要，涵盖财务事项的监护可剥夺该人的法律权利能力。只有法院才能裁决剥夺一个人的法律权利能力。关于监护权的裁定须遵守相称原则。因此，监护权必须反映该人的需求，不能超过需要的限度。</w:t>
      </w:r>
    </w:p>
    <w:p w:rsidR="00D84D94" w:rsidRDefault="00D84D94">
      <w:pPr>
        <w:pStyle w:val="SingleTxtGC"/>
        <w:rPr>
          <w:rFonts w:hint="eastAsia"/>
          <w:lang w:val="en-GB"/>
        </w:rPr>
      </w:pPr>
      <w:r>
        <w:rPr>
          <w:lang w:val="en-GB"/>
        </w:rPr>
        <w:t xml:space="preserve">132.  </w:t>
      </w:r>
      <w:r>
        <w:rPr>
          <w:rFonts w:hint="eastAsia"/>
          <w:lang w:val="en-GB"/>
        </w:rPr>
        <w:t>此外，社会立法规定，地方理事会必须给予心理功能严重受损且无法保护自身利益者援助。给予这种援助可不经有关人员同意。给予援助时不得采用胁迫方法。地方理事会须根据上述法律审议是否需要指定法定监护人。</w:t>
      </w:r>
    </w:p>
    <w:p w:rsidR="00D84D94" w:rsidRDefault="00D84D94">
      <w:pPr>
        <w:pStyle w:val="H1GC"/>
        <w:rPr>
          <w:lang w:val="en-GB"/>
        </w:rPr>
      </w:pPr>
      <w:r>
        <w:rPr>
          <w:lang w:val="en-GB"/>
        </w:rPr>
        <w:tab/>
      </w:r>
      <w:r>
        <w:rPr>
          <w:lang w:val="en-GB"/>
        </w:rPr>
        <w:tab/>
      </w:r>
      <w:r>
        <w:rPr>
          <w:rFonts w:hint="eastAsia"/>
          <w:lang w:val="en-GB"/>
        </w:rPr>
        <w:t>第十三条</w:t>
      </w:r>
    </w:p>
    <w:p w:rsidR="00D84D94" w:rsidRDefault="00D84D94">
      <w:pPr>
        <w:pStyle w:val="SingleTxtGC"/>
        <w:rPr>
          <w:rFonts w:hint="eastAsia"/>
          <w:lang w:val="en-GB"/>
        </w:rPr>
      </w:pPr>
      <w:r>
        <w:rPr>
          <w:lang w:val="en-GB"/>
        </w:rPr>
        <w:t xml:space="preserve">133.  </w:t>
      </w:r>
      <w:r>
        <w:rPr>
          <w:rFonts w:hint="eastAsia"/>
          <w:lang w:val="en-GB"/>
        </w:rPr>
        <w:t>《司法行政法》中有条款确保残疾人切实在与他人平等的基础上诉诸法律。因此，制定了大意如下的规定，即有听力障碍者在庭审期间可请翻译，而有言语残疾者可通过书面问答或利用翻译来受审。</w:t>
      </w:r>
    </w:p>
    <w:p w:rsidR="00D84D94" w:rsidRDefault="00D84D94">
      <w:pPr>
        <w:pStyle w:val="SingleTxtGC"/>
        <w:rPr>
          <w:rFonts w:hint="eastAsia"/>
          <w:lang w:val="en-GB"/>
        </w:rPr>
      </w:pPr>
      <w:r>
        <w:rPr>
          <w:lang w:val="en-GB"/>
        </w:rPr>
        <w:t xml:space="preserve">134.  </w:t>
      </w:r>
      <w:r>
        <w:rPr>
          <w:rFonts w:hint="eastAsia"/>
          <w:lang w:val="en-GB"/>
        </w:rPr>
        <w:t>为确保在审理刑事案件时为被告和证人提供援助，制定了一些规则。这些规则也适用于残疾人。应该指出，如果具体评估表明证人需要得到特别考虑，警方或检方必须通知法院。同样，某些犯罪的受害人可以得到指定的受害人辩护律师。如果被控罪名可能意味着被控犯罪者将被关进收治有严重精神障碍者的机构或被送入有特别安保措施的医院等机构中，他在某些情况下也可以得到指定的受害人辩护律师。</w:t>
      </w:r>
    </w:p>
    <w:p w:rsidR="00D84D94" w:rsidRDefault="00D84D94">
      <w:pPr>
        <w:pStyle w:val="SingleTxtGC"/>
        <w:rPr>
          <w:rFonts w:hint="eastAsia"/>
          <w:lang w:val="en-GB"/>
        </w:rPr>
      </w:pPr>
      <w:r>
        <w:rPr>
          <w:lang w:val="en-GB"/>
        </w:rPr>
        <w:t xml:space="preserve">135.  </w:t>
      </w:r>
      <w:r>
        <w:rPr>
          <w:rFonts w:hint="eastAsia"/>
          <w:lang w:val="en-GB"/>
        </w:rPr>
        <w:t>实际上，因残疾而特别需要陪伴者有可能在法庭中由一支助人员或类似人员陪伴。需要时，法警或其他法院工作人员也可以协助确保残疾人实际到达法庭。</w:t>
      </w:r>
    </w:p>
    <w:p w:rsidR="00D84D94" w:rsidRDefault="00D84D94">
      <w:pPr>
        <w:pStyle w:val="H23GC"/>
        <w:rPr>
          <w:rFonts w:hint="eastAsia"/>
          <w:lang w:val="en-GB"/>
        </w:rPr>
      </w:pPr>
      <w:r>
        <w:rPr>
          <w:lang w:val="en-GB"/>
        </w:rPr>
        <w:tab/>
      </w:r>
      <w:r>
        <w:rPr>
          <w:lang w:val="en-GB"/>
        </w:rPr>
        <w:tab/>
      </w:r>
      <w:r>
        <w:rPr>
          <w:rFonts w:hint="eastAsia"/>
          <w:lang w:val="en-GB"/>
        </w:rPr>
        <w:t>警务和监狱工作人员培训</w:t>
      </w:r>
    </w:p>
    <w:p w:rsidR="00D84D94" w:rsidRDefault="00D84D94">
      <w:pPr>
        <w:pStyle w:val="SingleTxtGC"/>
        <w:rPr>
          <w:rFonts w:hint="eastAsia"/>
          <w:lang w:val="en-GB"/>
        </w:rPr>
      </w:pPr>
      <w:r>
        <w:rPr>
          <w:lang w:val="en-GB"/>
        </w:rPr>
        <w:t xml:space="preserve">136.  </w:t>
      </w:r>
      <w:r>
        <w:rPr>
          <w:rFonts w:hint="eastAsia"/>
          <w:lang w:val="en-GB"/>
        </w:rPr>
        <w:t>警察培训的一个最重要的、也是很流行的主题是，无论种族、性别、宗教、残疾和或</w:t>
      </w:r>
      <w:r>
        <w:rPr>
          <w:rFonts w:hint="eastAsia"/>
          <w:lang w:val="en-GB"/>
        </w:rPr>
        <w:t>/</w:t>
      </w:r>
      <w:r>
        <w:rPr>
          <w:rFonts w:hint="eastAsia"/>
          <w:lang w:val="en-GB"/>
        </w:rPr>
        <w:t>性取向，所有人均应得到平等对待。因此，组织了警察基本培训，在相关时重点纳入了宽容</w:t>
      </w:r>
      <w:r>
        <w:rPr>
          <w:rFonts w:hint="eastAsia"/>
          <w:lang w:val="en-GB"/>
        </w:rPr>
        <w:t>(</w:t>
      </w:r>
      <w:r>
        <w:rPr>
          <w:rFonts w:hint="eastAsia"/>
          <w:lang w:val="en-GB"/>
        </w:rPr>
        <w:t>不宽容</w:t>
      </w:r>
      <w:r>
        <w:rPr>
          <w:rFonts w:hint="eastAsia"/>
          <w:lang w:val="en-GB"/>
        </w:rPr>
        <w:t>)</w:t>
      </w:r>
      <w:r>
        <w:rPr>
          <w:rFonts w:hint="eastAsia"/>
          <w:lang w:val="en-GB"/>
        </w:rPr>
        <w:t>这个题目。应该指出，人权教学中有几讲重点介绍所有人</w:t>
      </w:r>
      <w:r>
        <w:rPr>
          <w:rFonts w:hint="eastAsia"/>
          <w:spacing w:val="-60"/>
          <w:lang w:val="en-GB"/>
        </w:rPr>
        <w:t>―</w:t>
      </w:r>
      <w:r>
        <w:rPr>
          <w:rFonts w:hint="eastAsia"/>
          <w:spacing w:val="10"/>
          <w:lang w:val="en-GB"/>
        </w:rPr>
        <w:t>―</w:t>
      </w:r>
      <w:r>
        <w:rPr>
          <w:rFonts w:hint="eastAsia"/>
          <w:lang w:val="en-GB"/>
        </w:rPr>
        <w:t>无论</w:t>
      </w:r>
      <w:r>
        <w:rPr>
          <w:rFonts w:hint="eastAsia"/>
          <w:lang w:val="en-GB"/>
        </w:rPr>
        <w:t>(</w:t>
      </w:r>
      <w:r>
        <w:rPr>
          <w:rFonts w:hint="eastAsia"/>
          <w:lang w:val="en-GB"/>
        </w:rPr>
        <w:t>例如</w:t>
      </w:r>
      <w:r>
        <w:rPr>
          <w:rFonts w:hint="eastAsia"/>
          <w:lang w:val="en-GB"/>
        </w:rPr>
        <w:t>)</w:t>
      </w:r>
      <w:r>
        <w:rPr>
          <w:rFonts w:hint="eastAsia"/>
          <w:lang w:val="en-GB"/>
        </w:rPr>
        <w:t>残疾与否</w:t>
      </w:r>
      <w:r>
        <w:rPr>
          <w:rFonts w:hint="eastAsia"/>
          <w:spacing w:val="-60"/>
          <w:lang w:val="en-GB"/>
        </w:rPr>
        <w:t>―</w:t>
      </w:r>
      <w:r>
        <w:rPr>
          <w:rFonts w:hint="eastAsia"/>
          <w:spacing w:val="10"/>
          <w:lang w:val="en-GB"/>
        </w:rPr>
        <w:t>―</w:t>
      </w:r>
      <w:r>
        <w:rPr>
          <w:rFonts w:hint="eastAsia"/>
          <w:lang w:val="en-GB"/>
        </w:rPr>
        <w:t>均应得到平等待遇。</w:t>
      </w:r>
    </w:p>
    <w:p w:rsidR="00D84D94" w:rsidRDefault="00D84D94">
      <w:pPr>
        <w:pStyle w:val="SingleTxtGC"/>
        <w:rPr>
          <w:rFonts w:hint="eastAsia"/>
          <w:lang w:val="en-GB"/>
        </w:rPr>
      </w:pPr>
      <w:r>
        <w:rPr>
          <w:lang w:val="en-GB"/>
        </w:rPr>
        <w:t xml:space="preserve">137.  </w:t>
      </w:r>
      <w:r>
        <w:rPr>
          <w:rFonts w:hint="eastAsia"/>
          <w:lang w:val="en-GB"/>
        </w:rPr>
        <w:t>对监狱工作人员的基本培训和继续培训主要旨在提高参训者处理和理解囚犯的问题的能力。囚犯的问题主要是精神性和社会性的，因为有些人濒临真正残疾。</w:t>
      </w:r>
    </w:p>
    <w:p w:rsidR="00D84D94" w:rsidRDefault="00D84D94">
      <w:pPr>
        <w:pStyle w:val="H1GC"/>
        <w:rPr>
          <w:lang w:val="en-GB"/>
        </w:rPr>
      </w:pPr>
      <w:r>
        <w:rPr>
          <w:lang w:val="en-GB"/>
        </w:rPr>
        <w:tab/>
      </w:r>
      <w:r>
        <w:rPr>
          <w:lang w:val="en-GB"/>
        </w:rPr>
        <w:tab/>
      </w:r>
      <w:r>
        <w:rPr>
          <w:rFonts w:hint="eastAsia"/>
          <w:lang w:val="en-GB"/>
        </w:rPr>
        <w:t>第十四条</w:t>
      </w:r>
    </w:p>
    <w:p w:rsidR="00D84D94" w:rsidRDefault="00D84D94">
      <w:pPr>
        <w:pStyle w:val="SingleTxtGC"/>
        <w:rPr>
          <w:rFonts w:hint="eastAsia"/>
          <w:lang w:val="en-GB"/>
        </w:rPr>
      </w:pPr>
      <w:r>
        <w:rPr>
          <w:lang w:val="en-GB"/>
        </w:rPr>
        <w:t xml:space="preserve">138.  </w:t>
      </w:r>
      <w:r>
        <w:rPr>
          <w:rFonts w:hint="eastAsia"/>
          <w:lang w:val="en-GB"/>
        </w:rPr>
        <w:t>根据丹麦法律，残疾人享有与其他人同等的自由和人身安全权利；享有平等保护，不被任意剥夺自由；参见《丹麦王国宪法》、《欧洲人权公约》第</w:t>
      </w:r>
      <w:r>
        <w:rPr>
          <w:rFonts w:hint="eastAsia"/>
          <w:lang w:val="en-GB"/>
        </w:rPr>
        <w:t>5</w:t>
      </w:r>
      <w:r>
        <w:rPr>
          <w:rFonts w:hint="eastAsia"/>
          <w:lang w:val="en-GB"/>
        </w:rPr>
        <w:t>条和《丹麦司法行政法》。</w:t>
      </w:r>
    </w:p>
    <w:p w:rsidR="00D84D94" w:rsidRDefault="00D84D94">
      <w:pPr>
        <w:pStyle w:val="H23GC"/>
        <w:rPr>
          <w:rFonts w:hint="eastAsia"/>
          <w:lang w:val="en-GB"/>
        </w:rPr>
      </w:pPr>
      <w:r>
        <w:rPr>
          <w:lang w:val="en-GB"/>
        </w:rPr>
        <w:tab/>
      </w:r>
      <w:r>
        <w:rPr>
          <w:lang w:val="en-GB"/>
        </w:rPr>
        <w:tab/>
      </w:r>
      <w:r>
        <w:rPr>
          <w:rFonts w:hint="eastAsia"/>
          <w:lang w:val="en-GB"/>
        </w:rPr>
        <w:t>根据丹麦社会立法使用强制措施</w:t>
      </w:r>
    </w:p>
    <w:p w:rsidR="00D84D94" w:rsidRDefault="00D84D94">
      <w:pPr>
        <w:pStyle w:val="SingleTxtGC"/>
        <w:rPr>
          <w:lang w:val="en-GB"/>
        </w:rPr>
      </w:pPr>
      <w:r>
        <w:rPr>
          <w:lang w:val="en-GB"/>
        </w:rPr>
        <w:t xml:space="preserve">139.  </w:t>
      </w:r>
      <w:r>
        <w:rPr>
          <w:rFonts w:hint="eastAsia"/>
          <w:lang w:val="en-GB"/>
        </w:rPr>
        <w:t>侵犯个人自由必须有明确的制定法授权。一般而言，社会立法规定不得使用强制措施。如果有些人的心理功能严重、持久受损，他们得到个人实际援助、社会教育援助、治疗或活化服务，并且对于其心理功能受损有必要的专家证明，那么在某些例外情况下，他们可能被施以强制措施。</w:t>
      </w:r>
    </w:p>
    <w:p w:rsidR="00D84D94" w:rsidRDefault="00D84D94">
      <w:pPr>
        <w:pStyle w:val="SingleTxtGC"/>
        <w:rPr>
          <w:rFonts w:hint="eastAsia"/>
          <w:lang w:val="en-GB"/>
        </w:rPr>
      </w:pPr>
      <w:r>
        <w:rPr>
          <w:lang w:val="en-GB"/>
        </w:rPr>
        <w:t xml:space="preserve">140.  </w:t>
      </w:r>
      <w:r>
        <w:rPr>
          <w:rFonts w:hint="eastAsia"/>
          <w:lang w:val="en-GB"/>
        </w:rPr>
        <w:t>根据《社会服务法》使用强制措施必须向有关地方理事会报告。地方理事会有义务评估使用强制措施是否正当。可将地方理事会关于使用强制措施的决定提交社会投诉委员会审理，关于不经本人同意重新安置的决定可提交国家社会上诉委员会审理。</w:t>
      </w:r>
    </w:p>
    <w:p w:rsidR="00D84D94" w:rsidRDefault="00D84D94">
      <w:pPr>
        <w:pStyle w:val="SingleTxtGC"/>
        <w:rPr>
          <w:rFonts w:hint="eastAsia"/>
          <w:lang w:val="en-GB"/>
        </w:rPr>
      </w:pPr>
      <w:r>
        <w:rPr>
          <w:lang w:val="en-GB"/>
        </w:rPr>
        <w:t xml:space="preserve">141.  </w:t>
      </w:r>
      <w:r>
        <w:rPr>
          <w:rFonts w:hint="eastAsia"/>
          <w:lang w:val="en-GB"/>
        </w:rPr>
        <w:t>必须根据关于个别措施的报告，为地方理事会编写年度强制措施使用情况报告，使其能够监督该领域，包括决定是否应重组这项工作。</w:t>
      </w:r>
    </w:p>
    <w:p w:rsidR="00D84D94" w:rsidRDefault="00D84D94">
      <w:pPr>
        <w:pStyle w:val="H23GC"/>
        <w:rPr>
          <w:rFonts w:hint="eastAsia"/>
          <w:lang w:val="en-GB"/>
        </w:rPr>
      </w:pPr>
      <w:r>
        <w:rPr>
          <w:lang w:val="en-GB"/>
        </w:rPr>
        <w:tab/>
      </w:r>
      <w:r>
        <w:rPr>
          <w:lang w:val="en-GB"/>
        </w:rPr>
        <w:tab/>
      </w:r>
      <w:r>
        <w:rPr>
          <w:rFonts w:hint="eastAsia"/>
          <w:lang w:val="en-GB"/>
        </w:rPr>
        <w:t>根据《精神病法》剥夺自由及强制措施的其他用途</w:t>
      </w:r>
    </w:p>
    <w:p w:rsidR="00D84D94" w:rsidRDefault="00D84D94">
      <w:pPr>
        <w:pStyle w:val="SingleTxtGC"/>
        <w:rPr>
          <w:rFonts w:hint="eastAsia"/>
          <w:lang w:val="en-GB"/>
        </w:rPr>
      </w:pPr>
      <w:r>
        <w:rPr>
          <w:lang w:val="en-GB"/>
        </w:rPr>
        <w:t xml:space="preserve">142.  </w:t>
      </w:r>
      <w:r>
        <w:rPr>
          <w:rFonts w:hint="eastAsia"/>
          <w:lang w:val="en-GB"/>
        </w:rPr>
        <w:t>丹麦立法保证精神病患者不会被任意行政剥夺自由，即被非自愿安置和强行拘留，因为只有根据《精神病法》才能行政剥夺自由和使用其他类型的强制措施，而《精神病法》对使用这些措施规定了严格的标准。该法还保证能就使用强制措施问题，向患者投诉委员会投诉。对于患者投诉委员会关于剥夺自由和强行固定的裁定，可以向正常法院系统提出控告。</w:t>
      </w:r>
    </w:p>
    <w:p w:rsidR="00D84D94" w:rsidRDefault="00D84D94">
      <w:pPr>
        <w:pStyle w:val="SingleTxtGC"/>
        <w:rPr>
          <w:rFonts w:hint="eastAsia"/>
          <w:lang w:val="en-GB"/>
        </w:rPr>
      </w:pPr>
      <w:r>
        <w:rPr>
          <w:lang w:val="en-GB"/>
        </w:rPr>
        <w:t xml:space="preserve">143.  </w:t>
      </w:r>
      <w:r>
        <w:rPr>
          <w:rFonts w:hint="eastAsia"/>
          <w:lang w:val="en-GB"/>
        </w:rPr>
        <w:t>所有依照《精神病法》使用强制措施的情况，均必须报告丹麦国家卫生委员会。该委员会负责监督强制措施的使用并且每年公布精神病房使用强制措施的统计数据。</w:t>
      </w:r>
    </w:p>
    <w:p w:rsidR="00D84D94" w:rsidRDefault="00D84D94">
      <w:pPr>
        <w:pStyle w:val="H23GC"/>
        <w:rPr>
          <w:rFonts w:hint="eastAsia"/>
          <w:lang w:val="en-GB"/>
        </w:rPr>
      </w:pPr>
      <w:r>
        <w:rPr>
          <w:lang w:val="en-GB"/>
        </w:rPr>
        <w:tab/>
      </w:r>
      <w:r>
        <w:rPr>
          <w:lang w:val="en-GB"/>
        </w:rPr>
        <w:tab/>
      </w:r>
      <w:r>
        <w:rPr>
          <w:rFonts w:hint="eastAsia"/>
          <w:lang w:val="en-GB"/>
        </w:rPr>
        <w:t>《丹麦治安法》规定的措施</w:t>
      </w:r>
    </w:p>
    <w:p w:rsidR="00D84D94" w:rsidRDefault="00D84D94">
      <w:pPr>
        <w:pStyle w:val="SingleTxtGC"/>
        <w:rPr>
          <w:rFonts w:hint="eastAsia"/>
          <w:lang w:val="en-GB"/>
        </w:rPr>
      </w:pPr>
      <w:r>
        <w:rPr>
          <w:lang w:val="en-GB"/>
        </w:rPr>
        <w:t xml:space="preserve">144.  </w:t>
      </w:r>
      <w:r>
        <w:rPr>
          <w:rFonts w:hint="eastAsia"/>
          <w:lang w:val="en-GB"/>
        </w:rPr>
        <w:t>根据《丹麦治安法》，警方在某些情况下可对人使用强制措施，以确保社会安全、治安、和平和秩序。《丹麦治安法》规定的强制措施必须始终与目的相称，尽可能温和地实施，考虑到有关人员可能患有的肢体和心智残疾等因素。</w:t>
      </w:r>
    </w:p>
    <w:p w:rsidR="00D84D94" w:rsidRDefault="00D84D94">
      <w:pPr>
        <w:pStyle w:val="H1GC"/>
        <w:rPr>
          <w:rFonts w:hint="eastAsia"/>
          <w:lang w:val="en-GB"/>
        </w:rPr>
      </w:pPr>
      <w:r>
        <w:rPr>
          <w:lang w:val="en-GB"/>
        </w:rPr>
        <w:tab/>
      </w:r>
      <w:r>
        <w:rPr>
          <w:lang w:val="en-GB"/>
        </w:rPr>
        <w:tab/>
      </w:r>
      <w:r>
        <w:rPr>
          <w:rFonts w:hint="eastAsia"/>
          <w:lang w:val="en-GB"/>
        </w:rPr>
        <w:t>第十五条</w:t>
      </w:r>
    </w:p>
    <w:p w:rsidR="00D84D94" w:rsidRDefault="00D84D94">
      <w:pPr>
        <w:pStyle w:val="SingleTxtGC"/>
        <w:rPr>
          <w:rFonts w:hint="eastAsia"/>
          <w:lang w:val="en-GB"/>
        </w:rPr>
      </w:pPr>
      <w:r>
        <w:rPr>
          <w:lang w:val="en-GB"/>
        </w:rPr>
        <w:t xml:space="preserve">145.  </w:t>
      </w:r>
      <w:r>
        <w:rPr>
          <w:rFonts w:hint="eastAsia"/>
          <w:lang w:val="en-GB"/>
        </w:rPr>
        <w:t>残疾人在与他人平等的基础上得到保护，免遭酷刑或残忍、不人道或有辱人格的待遇或处罚。</w:t>
      </w:r>
    </w:p>
    <w:p w:rsidR="00D84D94" w:rsidRDefault="00D84D94">
      <w:pPr>
        <w:pStyle w:val="SingleTxtGC"/>
        <w:rPr>
          <w:rFonts w:hint="eastAsia"/>
          <w:lang w:val="en-GB"/>
        </w:rPr>
      </w:pPr>
      <w:r>
        <w:rPr>
          <w:lang w:val="en-GB"/>
        </w:rPr>
        <w:t xml:space="preserve">146.  </w:t>
      </w:r>
      <w:r>
        <w:rPr>
          <w:rFonts w:hint="eastAsia"/>
          <w:lang w:val="en-GB"/>
        </w:rPr>
        <w:t>应该指出，丹麦已加入禁止酷刑的多项国际公约，包括</w:t>
      </w:r>
      <w:r>
        <w:rPr>
          <w:rFonts w:hint="eastAsia"/>
          <w:lang w:val="en-GB"/>
        </w:rPr>
        <w:t>1984</w:t>
      </w:r>
      <w:r>
        <w:rPr>
          <w:rFonts w:hint="eastAsia"/>
          <w:lang w:val="en-GB"/>
        </w:rPr>
        <w:t>年</w:t>
      </w:r>
      <w:r>
        <w:rPr>
          <w:rFonts w:hint="eastAsia"/>
          <w:lang w:val="en-GB"/>
        </w:rPr>
        <w:t>12</w:t>
      </w:r>
      <w:r>
        <w:rPr>
          <w:rFonts w:hint="eastAsia"/>
          <w:lang w:val="en-GB"/>
        </w:rPr>
        <w:t>月</w:t>
      </w:r>
      <w:r>
        <w:rPr>
          <w:rFonts w:hint="eastAsia"/>
          <w:lang w:val="en-GB"/>
        </w:rPr>
        <w:t>10</w:t>
      </w:r>
      <w:r>
        <w:rPr>
          <w:rFonts w:hint="eastAsia"/>
          <w:lang w:val="en-GB"/>
        </w:rPr>
        <w:t>日《禁止酷刑和其他残忍、不人道或有辱人格的待遇或处罚公约》、联合国的《公民权利和政治权利国际公约》以及《欧洲人权公约》。</w:t>
      </w:r>
    </w:p>
    <w:p w:rsidR="00D84D94" w:rsidRDefault="00D84D94">
      <w:pPr>
        <w:pStyle w:val="SingleTxtGC"/>
        <w:rPr>
          <w:rFonts w:hint="eastAsia"/>
          <w:lang w:val="en-GB"/>
        </w:rPr>
      </w:pPr>
      <w:r>
        <w:rPr>
          <w:lang w:val="en-GB"/>
        </w:rPr>
        <w:t xml:space="preserve">147.  </w:t>
      </w:r>
      <w:r>
        <w:rPr>
          <w:rFonts w:hint="eastAsia"/>
          <w:lang w:val="en-GB"/>
        </w:rPr>
        <w:t>《丹麦精神病法》规定，在通过一切可能途径取得病人的自愿参与之前，不得使用精神病治疗部门可采取的强制措施。当条件允许时，必须给予病人适当时间考虑这一措施。强制措施的使用应与要达到的目的相称。如果较少侵入性的措施足以，那么就应该采取较少侵入性的措施。为避免不必要的侵害或妨害，应尽可能温和地施以强制措施，给予病人最大关注。所使用的强制措施不得超过达到预定目的所必要的程度。正如在第十四条下所述，只有在符合《丹麦精神病法》中关于使用强制措施的严格规定的情况下，才能使用强制措施。该法还保证了上诉权，包括听审的权利。</w:t>
      </w:r>
    </w:p>
    <w:p w:rsidR="00D84D94" w:rsidRDefault="00D84D94">
      <w:pPr>
        <w:pStyle w:val="H1GC"/>
        <w:rPr>
          <w:rFonts w:hint="eastAsia"/>
          <w:lang w:val="en-GB"/>
        </w:rPr>
      </w:pPr>
      <w:r>
        <w:rPr>
          <w:lang w:val="en-GB"/>
        </w:rPr>
        <w:tab/>
      </w:r>
      <w:r>
        <w:rPr>
          <w:lang w:val="en-GB"/>
        </w:rPr>
        <w:tab/>
      </w:r>
      <w:r>
        <w:rPr>
          <w:rFonts w:hint="eastAsia"/>
          <w:lang w:val="en-GB"/>
        </w:rPr>
        <w:t>第十六条</w:t>
      </w:r>
    </w:p>
    <w:p w:rsidR="00D84D94" w:rsidRDefault="00D84D94">
      <w:pPr>
        <w:pStyle w:val="SingleTxtGC"/>
        <w:rPr>
          <w:rFonts w:hint="eastAsia"/>
          <w:lang w:val="en-GB"/>
        </w:rPr>
      </w:pPr>
      <w:r>
        <w:rPr>
          <w:lang w:val="en-GB"/>
        </w:rPr>
        <w:t xml:space="preserve">148.  </w:t>
      </w:r>
      <w:r>
        <w:rPr>
          <w:rFonts w:hint="eastAsia"/>
          <w:lang w:val="en-GB"/>
        </w:rPr>
        <w:t>丹麦残疾政策的一个主要目标是保护残疾人不遭受剥削、暴力和虐待。</w:t>
      </w:r>
    </w:p>
    <w:p w:rsidR="00D84D94" w:rsidRDefault="00D84D94">
      <w:pPr>
        <w:pStyle w:val="H23GC"/>
        <w:rPr>
          <w:rFonts w:hint="eastAsia"/>
          <w:lang w:val="en-GB"/>
        </w:rPr>
      </w:pPr>
      <w:r>
        <w:rPr>
          <w:lang w:val="en-GB"/>
        </w:rPr>
        <w:tab/>
      </w:r>
      <w:r>
        <w:rPr>
          <w:lang w:val="en-GB"/>
        </w:rPr>
        <w:tab/>
      </w:r>
      <w:r>
        <w:rPr>
          <w:rFonts w:hint="eastAsia"/>
          <w:lang w:val="en-GB"/>
        </w:rPr>
        <w:t>丹麦刑法</w:t>
      </w:r>
    </w:p>
    <w:p w:rsidR="00D84D94" w:rsidRDefault="00D84D94">
      <w:pPr>
        <w:pStyle w:val="SingleTxtGC"/>
        <w:rPr>
          <w:rFonts w:hint="eastAsia"/>
          <w:lang w:val="en-GB"/>
        </w:rPr>
      </w:pPr>
      <w:r>
        <w:rPr>
          <w:lang w:val="en-GB"/>
        </w:rPr>
        <w:t xml:space="preserve">149.  </w:t>
      </w:r>
      <w:r>
        <w:rPr>
          <w:rFonts w:hint="eastAsia"/>
          <w:lang w:val="en-GB"/>
        </w:rPr>
        <w:t>《丹麦刑法》在与他人平等的基础上保护残疾人不遭受虐待、暴力和剥削。此外，对于利用某人的精神病或痴呆达到婚外性交，对于</w:t>
      </w:r>
      <w:r>
        <w:rPr>
          <w:lang w:val="en-GB"/>
        </w:rPr>
        <w:t>社会慈善</w:t>
      </w:r>
      <w:r>
        <w:rPr>
          <w:rFonts w:hint="eastAsia"/>
          <w:lang w:val="en-GB"/>
        </w:rPr>
        <w:t>机构雇员或监管人员与住院者性交，以及对于以为自己或他人获取非法收益</w:t>
      </w:r>
      <w:r>
        <w:rPr>
          <w:rFonts w:hint="eastAsia"/>
          <w:lang w:val="en-GB"/>
        </w:rPr>
        <w:t>(</w:t>
      </w:r>
      <w:r>
        <w:rPr>
          <w:lang w:val="en-GB"/>
        </w:rPr>
        <w:t>高利剥削</w:t>
      </w:r>
      <w:r>
        <w:rPr>
          <w:rFonts w:hint="eastAsia"/>
          <w:lang w:val="en-GB"/>
        </w:rPr>
        <w:t>)</w:t>
      </w:r>
      <w:r>
        <w:rPr>
          <w:rFonts w:hint="eastAsia"/>
          <w:lang w:val="en-GB"/>
        </w:rPr>
        <w:t>为目的利用某个人的个人困难、无知或不负责任，《刑法》均有专门规定。</w:t>
      </w:r>
    </w:p>
    <w:p w:rsidR="00D84D94" w:rsidRDefault="00D84D94">
      <w:pPr>
        <w:pStyle w:val="SingleTxtGC"/>
        <w:rPr>
          <w:rFonts w:hint="eastAsia"/>
          <w:lang w:val="en-GB"/>
        </w:rPr>
      </w:pPr>
      <w:r>
        <w:rPr>
          <w:lang w:val="en-GB"/>
        </w:rPr>
        <w:t xml:space="preserve">150.  </w:t>
      </w:r>
      <w:r>
        <w:rPr>
          <w:rFonts w:hint="eastAsia"/>
          <w:lang w:val="en-GB"/>
        </w:rPr>
        <w:t>《刑法》还规定，在确定刑事案件的刑罚时，如果罪犯利用了被害人的无助处境，就存在加重情节。这项规定指向对弱势群体包括残疾人实施的犯罪。</w:t>
      </w:r>
    </w:p>
    <w:p w:rsidR="00D84D94" w:rsidRDefault="00D84D94">
      <w:pPr>
        <w:pStyle w:val="SingleTxtGC"/>
        <w:rPr>
          <w:rFonts w:hint="eastAsia"/>
          <w:lang w:val="en-GB"/>
        </w:rPr>
      </w:pPr>
      <w:r>
        <w:rPr>
          <w:lang w:val="en-GB"/>
        </w:rPr>
        <w:t xml:space="preserve">151.  </w:t>
      </w:r>
      <w:r>
        <w:rPr>
          <w:lang w:val="en-GB"/>
        </w:rPr>
        <w:t>至</w:t>
      </w:r>
      <w:r>
        <w:rPr>
          <w:rFonts w:hint="eastAsia"/>
          <w:lang w:val="en-GB"/>
        </w:rPr>
        <w:t>于对残疾人实施的其他并不涉及罪犯利用被害人处境的犯罪，检方大概多数情况下都有可能将被害人的残疾作为犯罪的加重情节。</w:t>
      </w:r>
    </w:p>
    <w:p w:rsidR="00D84D94" w:rsidRDefault="00D84D94">
      <w:pPr>
        <w:pStyle w:val="H23GC"/>
        <w:rPr>
          <w:rFonts w:hint="eastAsia"/>
          <w:lang w:val="en-GB"/>
        </w:rPr>
      </w:pPr>
      <w:r>
        <w:rPr>
          <w:lang w:val="en-GB"/>
        </w:rPr>
        <w:tab/>
      </w:r>
      <w:r>
        <w:rPr>
          <w:lang w:val="en-GB"/>
        </w:rPr>
        <w:tab/>
      </w:r>
      <w:r>
        <w:rPr>
          <w:rFonts w:hint="eastAsia"/>
          <w:lang w:val="en-GB"/>
        </w:rPr>
        <w:t>打击亲密关切中的暴力行为</w:t>
      </w:r>
    </w:p>
    <w:p w:rsidR="00D84D94" w:rsidRDefault="00D84D94">
      <w:pPr>
        <w:pStyle w:val="SingleTxtGC"/>
        <w:rPr>
          <w:rFonts w:hint="eastAsia"/>
          <w:lang w:val="en-GB"/>
        </w:rPr>
      </w:pPr>
      <w:r>
        <w:rPr>
          <w:lang w:val="en-GB"/>
        </w:rPr>
        <w:t xml:space="preserve">152.  </w:t>
      </w:r>
      <w:r>
        <w:rPr>
          <w:rFonts w:hint="eastAsia"/>
          <w:lang w:val="en-GB"/>
        </w:rPr>
        <w:t>在</w:t>
      </w:r>
      <w:r>
        <w:rPr>
          <w:rFonts w:hint="eastAsia"/>
          <w:lang w:val="en-GB"/>
        </w:rPr>
        <w:t>2010</w:t>
      </w:r>
      <w:r>
        <w:rPr>
          <w:rFonts w:hint="eastAsia"/>
          <w:lang w:val="en-GB"/>
        </w:rPr>
        <w:t>年</w:t>
      </w:r>
      <w:r>
        <w:rPr>
          <w:rFonts w:hint="eastAsia"/>
          <w:lang w:val="en-GB"/>
        </w:rPr>
        <w:t>6</w:t>
      </w:r>
      <w:r>
        <w:rPr>
          <w:rFonts w:hint="eastAsia"/>
          <w:lang w:val="en-GB"/>
        </w:rPr>
        <w:t>月的政府行动计划“打击亲密关系中的暴力行为国家战略”中，有一项倡议呼吁将这种虐待行为通知从事残疾人工作的专业团体，以便它们能够为受到虐待的残疾男女提供支持。</w:t>
      </w:r>
    </w:p>
    <w:p w:rsidR="00D84D94" w:rsidRDefault="00D84D94">
      <w:pPr>
        <w:pStyle w:val="SingleTxtGC"/>
        <w:rPr>
          <w:rFonts w:hint="eastAsia"/>
          <w:lang w:val="en-GB"/>
        </w:rPr>
      </w:pPr>
      <w:r>
        <w:rPr>
          <w:lang w:val="en-GB"/>
        </w:rPr>
        <w:t xml:space="preserve">153.  </w:t>
      </w:r>
      <w:r>
        <w:rPr>
          <w:rFonts w:hint="eastAsia"/>
          <w:lang w:val="en-GB"/>
        </w:rPr>
        <w:t>2004</w:t>
      </w:r>
      <w:r>
        <w:rPr>
          <w:rFonts w:hint="eastAsia"/>
          <w:lang w:val="en-GB"/>
        </w:rPr>
        <w:t>年，为妇女庇护所拨出了专款，目的是对于提升那里的无障碍物质环境给予财政支持，从而使遭受暴力的残疾人能够得到与受到虐待的健全人所得到的一样的服务。这笔资金资助了五个庇护所的改造。</w:t>
      </w:r>
      <w:r>
        <w:rPr>
          <w:rFonts w:hint="eastAsia"/>
          <w:lang w:val="en-GB"/>
        </w:rPr>
        <w:t>2005</w:t>
      </w:r>
      <w:r>
        <w:rPr>
          <w:rFonts w:hint="eastAsia"/>
          <w:lang w:val="en-GB"/>
        </w:rPr>
        <w:t>年至</w:t>
      </w:r>
      <w:r>
        <w:rPr>
          <w:rFonts w:hint="eastAsia"/>
          <w:lang w:val="en-GB"/>
        </w:rPr>
        <w:t>2008</w:t>
      </w:r>
      <w:r>
        <w:rPr>
          <w:rFonts w:hint="eastAsia"/>
          <w:lang w:val="en-GB"/>
        </w:rPr>
        <w:t>年，实施了一个名为“残疾人</w:t>
      </w:r>
      <w:r>
        <w:rPr>
          <w:rFonts w:hint="eastAsia"/>
          <w:spacing w:val="-60"/>
          <w:lang w:val="en-GB"/>
        </w:rPr>
        <w:t>―</w:t>
      </w:r>
      <w:r>
        <w:rPr>
          <w:rFonts w:hint="eastAsia"/>
          <w:spacing w:val="10"/>
          <w:lang w:val="en-GB"/>
        </w:rPr>
        <w:t>―</w:t>
      </w:r>
      <w:r>
        <w:rPr>
          <w:rFonts w:hint="eastAsia"/>
          <w:lang w:val="en-GB"/>
        </w:rPr>
        <w:t>在庇护所中发展”的项目，目的是加强、改进庇护所中面向遭到虐待的残疾妇女和儿童的活动。还为就庇护所的无障碍问题与从事残疾人工作的专业团体沟通拨出了专款。</w:t>
      </w:r>
    </w:p>
    <w:p w:rsidR="00D84D94" w:rsidRDefault="00D84D94">
      <w:pPr>
        <w:pStyle w:val="SingleTxtGC"/>
        <w:rPr>
          <w:rFonts w:hint="eastAsia"/>
          <w:lang w:val="en-GB"/>
        </w:rPr>
      </w:pPr>
      <w:r>
        <w:rPr>
          <w:lang w:val="en-GB"/>
        </w:rPr>
        <w:t xml:space="preserve">154.  </w:t>
      </w:r>
      <w:r>
        <w:rPr>
          <w:rFonts w:hint="eastAsia"/>
          <w:lang w:val="en-GB"/>
        </w:rPr>
        <w:t>实施了一个以警察、医院以及会接触到受虐待者的其他专业人员为重点的发展项目，其目的是交流残疾人特有情况方面的知识。</w:t>
      </w:r>
    </w:p>
    <w:p w:rsidR="00D84D94" w:rsidRDefault="00D84D94">
      <w:pPr>
        <w:pStyle w:val="H1GC"/>
        <w:rPr>
          <w:rFonts w:hint="eastAsia"/>
          <w:lang w:val="en-GB"/>
        </w:rPr>
      </w:pPr>
      <w:r>
        <w:rPr>
          <w:lang w:val="en-GB"/>
        </w:rPr>
        <w:tab/>
      </w:r>
      <w:r>
        <w:rPr>
          <w:lang w:val="en-GB"/>
        </w:rPr>
        <w:tab/>
      </w:r>
      <w:r>
        <w:rPr>
          <w:rFonts w:hint="eastAsia"/>
          <w:lang w:val="en-GB"/>
        </w:rPr>
        <w:t>第十七条</w:t>
      </w:r>
    </w:p>
    <w:p w:rsidR="00D84D94" w:rsidRDefault="00D84D94">
      <w:pPr>
        <w:pStyle w:val="H23GC"/>
        <w:rPr>
          <w:rFonts w:hint="eastAsia"/>
          <w:lang w:val="en-GB"/>
        </w:rPr>
      </w:pPr>
      <w:r>
        <w:rPr>
          <w:lang w:val="en-GB"/>
        </w:rPr>
        <w:tab/>
      </w:r>
      <w:r>
        <w:rPr>
          <w:lang w:val="en-GB"/>
        </w:rPr>
        <w:tab/>
      </w:r>
      <w:r>
        <w:rPr>
          <w:rFonts w:hint="eastAsia"/>
          <w:lang w:val="en-GB"/>
        </w:rPr>
        <w:t>使用强制措施</w:t>
      </w:r>
    </w:p>
    <w:p w:rsidR="00D84D94" w:rsidRDefault="00D84D94">
      <w:pPr>
        <w:pStyle w:val="SingleTxtGC"/>
        <w:rPr>
          <w:rFonts w:hint="eastAsia"/>
          <w:lang w:val="en-GB"/>
        </w:rPr>
      </w:pPr>
      <w:r>
        <w:rPr>
          <w:lang w:val="en-GB"/>
        </w:rPr>
        <w:t xml:space="preserve">155.  </w:t>
      </w:r>
      <w:r>
        <w:rPr>
          <w:rFonts w:hint="eastAsia"/>
          <w:lang w:val="en-GB"/>
        </w:rPr>
        <w:t>根据社会立法，使用武力以及对自决权的其他侵犯应以尊重人格完整为基础。</w:t>
      </w:r>
    </w:p>
    <w:p w:rsidR="00D84D94" w:rsidRDefault="00D84D94">
      <w:pPr>
        <w:pStyle w:val="SingleTxtGC"/>
        <w:rPr>
          <w:lang w:val="en-GB"/>
        </w:rPr>
      </w:pPr>
      <w:r>
        <w:rPr>
          <w:lang w:val="en-GB"/>
        </w:rPr>
        <w:t xml:space="preserve">156.  </w:t>
      </w:r>
      <w:r>
        <w:rPr>
          <w:rFonts w:hint="eastAsia"/>
          <w:lang w:val="en-GB"/>
        </w:rPr>
        <w:t>使用强制措施以及对自决权的其他侵犯往往是要平衡一系列相互矛盾的因素。管理层和工作人员必须周密计划，以能就各种因素和艰难决定进行开诚布公的对话的方式做出相关决定。</w:t>
      </w:r>
    </w:p>
    <w:p w:rsidR="00D84D94" w:rsidRDefault="00D84D94">
      <w:pPr>
        <w:pStyle w:val="H23GC"/>
        <w:rPr>
          <w:rFonts w:hint="eastAsia"/>
          <w:lang w:val="en-GB"/>
        </w:rPr>
      </w:pPr>
      <w:r>
        <w:rPr>
          <w:lang w:val="en-GB"/>
        </w:rPr>
        <w:tab/>
      </w:r>
      <w:r>
        <w:rPr>
          <w:lang w:val="en-GB"/>
        </w:rPr>
        <w:tab/>
      </w:r>
      <w:r>
        <w:rPr>
          <w:rFonts w:hint="eastAsia"/>
          <w:lang w:val="en-GB"/>
        </w:rPr>
        <w:t>由公民管理的个人援助</w:t>
      </w:r>
    </w:p>
    <w:p w:rsidR="00D84D94" w:rsidRDefault="00D84D94">
      <w:pPr>
        <w:pStyle w:val="SingleTxtGC"/>
        <w:rPr>
          <w:rFonts w:hint="eastAsia"/>
          <w:lang w:val="en-GB"/>
        </w:rPr>
      </w:pPr>
      <w:r>
        <w:rPr>
          <w:lang w:val="en-GB"/>
        </w:rPr>
        <w:t xml:space="preserve">157.  </w:t>
      </w:r>
      <w:r>
        <w:rPr>
          <w:rFonts w:hint="eastAsia"/>
          <w:lang w:val="en-GB"/>
        </w:rPr>
        <w:t>由于由公民管理个人援助，现在残疾人能够根据自己的愿望和需要取得更为灵活的帮助。</w:t>
      </w:r>
    </w:p>
    <w:p w:rsidR="00D84D94" w:rsidRDefault="00D84D94">
      <w:pPr>
        <w:pStyle w:val="H1GC"/>
        <w:rPr>
          <w:rFonts w:hint="eastAsia"/>
          <w:lang w:val="en-GB"/>
        </w:rPr>
      </w:pPr>
      <w:r>
        <w:rPr>
          <w:lang w:val="en-GB"/>
        </w:rPr>
        <w:tab/>
      </w:r>
      <w:r>
        <w:rPr>
          <w:lang w:val="en-GB"/>
        </w:rPr>
        <w:tab/>
      </w:r>
      <w:r>
        <w:rPr>
          <w:rFonts w:hint="eastAsia"/>
          <w:lang w:val="en-GB"/>
        </w:rPr>
        <w:t>第十八条</w:t>
      </w:r>
    </w:p>
    <w:p w:rsidR="00D84D94" w:rsidRDefault="00D84D94">
      <w:pPr>
        <w:pStyle w:val="SingleTxtGC"/>
        <w:rPr>
          <w:rFonts w:hint="eastAsia"/>
          <w:lang w:val="en-GB"/>
        </w:rPr>
      </w:pPr>
      <w:r>
        <w:rPr>
          <w:lang w:val="en-GB"/>
        </w:rPr>
        <w:t xml:space="preserve">158.  </w:t>
      </w:r>
      <w:r>
        <w:rPr>
          <w:rFonts w:hint="eastAsia"/>
          <w:lang w:val="en-GB"/>
        </w:rPr>
        <w:t>丹麦境内的残疾人有与其他申请者相同的机会，通常在与其他申请者相同的条件下取得丹麦籍。不过，在语言要求以及通过入籍考试的要求方面，残疾人可以得到有偿补习指导，可豁免考试的某个形式或内容，并且还能获准使用为其提供的辅助器具。患有严重身心疾病者提出的加入丹麦籍的申请应提交丹麦议会的归化委员会，以期确定该人是否可豁免语言要求和通过入籍考试的要求。</w:t>
      </w:r>
    </w:p>
    <w:p w:rsidR="00D84D94" w:rsidRDefault="00D84D94">
      <w:pPr>
        <w:pStyle w:val="SingleTxtGC"/>
        <w:rPr>
          <w:rFonts w:hint="eastAsia"/>
          <w:lang w:val="en-GB"/>
        </w:rPr>
      </w:pPr>
      <w:r>
        <w:rPr>
          <w:lang w:val="en-GB"/>
        </w:rPr>
        <w:t xml:space="preserve">159.  </w:t>
      </w:r>
      <w:r>
        <w:rPr>
          <w:rFonts w:hint="eastAsia"/>
          <w:lang w:val="en-GB"/>
        </w:rPr>
        <w:t>丹麦籍依照《丹麦宪法》授予；因此，关于取得国籍的规则适用于居住在王国各地包括法罗群岛和格陵兰的申请者。</w:t>
      </w:r>
    </w:p>
    <w:p w:rsidR="00D84D94" w:rsidRDefault="00D84D94">
      <w:pPr>
        <w:pStyle w:val="SingleTxtGC"/>
        <w:rPr>
          <w:rFonts w:hint="eastAsia"/>
          <w:lang w:val="en-GB"/>
        </w:rPr>
      </w:pPr>
      <w:r>
        <w:rPr>
          <w:lang w:val="en-GB"/>
        </w:rPr>
        <w:t xml:space="preserve">160.  </w:t>
      </w:r>
      <w:r>
        <w:rPr>
          <w:rFonts w:hint="eastAsia"/>
          <w:lang w:val="en-GB"/>
        </w:rPr>
        <w:t>2010</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残疾人在与健全公民平等的基础上到国外旅行变得更容易了。残疾人无须事先向市镇申请，就可以在最长一个月的国外临时逗留期间利用大量对于他们的弥补残疾服务，包括辅助器具、残疾车辆、额外费用补贴以及由公民管理的个人援助。</w:t>
      </w:r>
    </w:p>
    <w:p w:rsidR="00D84D94" w:rsidRDefault="00D84D94">
      <w:pPr>
        <w:pStyle w:val="H1GC"/>
        <w:rPr>
          <w:lang w:val="en-GB"/>
        </w:rPr>
      </w:pPr>
      <w:r>
        <w:rPr>
          <w:lang w:val="en-GB"/>
        </w:rPr>
        <w:tab/>
      </w:r>
      <w:r>
        <w:rPr>
          <w:lang w:val="en-GB"/>
        </w:rPr>
        <w:tab/>
      </w:r>
      <w:r>
        <w:rPr>
          <w:rFonts w:hint="eastAsia"/>
          <w:lang w:val="en-GB"/>
        </w:rPr>
        <w:t>第十九条</w:t>
      </w:r>
    </w:p>
    <w:p w:rsidR="00D84D94" w:rsidRDefault="00D84D94">
      <w:pPr>
        <w:pStyle w:val="SingleTxtGC"/>
        <w:rPr>
          <w:rFonts w:hint="eastAsia"/>
          <w:lang w:val="en-GB"/>
        </w:rPr>
      </w:pPr>
      <w:r>
        <w:rPr>
          <w:lang w:val="en-GB"/>
        </w:rPr>
        <w:t xml:space="preserve">161.  </w:t>
      </w:r>
      <w:r>
        <w:rPr>
          <w:rFonts w:hint="eastAsia"/>
          <w:lang w:val="en-GB"/>
        </w:rPr>
        <w:t>社会立法中的有些规定旨在使个人更有可能自立，或者使个人的日常生活更加舒适、生活品质得到提高。在对公民的援助需求进行单独的具体评估后，市镇政府根据评估结果提供帮助。这样做是为了统筹兼顾，提供适合个人特殊需要的服务。服务可以是在家中包括在住宿设施中提供的帮助。无论何种帮助，都必须事先计划，以便根据个人的自决、需求和资源来提供。</w:t>
      </w:r>
    </w:p>
    <w:p w:rsidR="00D84D94" w:rsidRDefault="00D84D94">
      <w:pPr>
        <w:pStyle w:val="H23GC"/>
        <w:rPr>
          <w:rFonts w:hint="eastAsia"/>
          <w:lang w:val="en-GB"/>
        </w:rPr>
      </w:pPr>
      <w:r>
        <w:rPr>
          <w:lang w:val="en-GB"/>
        </w:rPr>
        <w:tab/>
      </w:r>
      <w:r>
        <w:rPr>
          <w:lang w:val="en-GB"/>
        </w:rPr>
        <w:tab/>
      </w:r>
      <w:r>
        <w:rPr>
          <w:rFonts w:hint="eastAsia"/>
          <w:lang w:val="en-GB"/>
        </w:rPr>
        <w:t>社会立法规定的服务实例</w:t>
      </w:r>
    </w:p>
    <w:p w:rsidR="00D84D94" w:rsidRDefault="00D84D94">
      <w:pPr>
        <w:pStyle w:val="SingleTxtGC"/>
        <w:rPr>
          <w:rFonts w:hint="eastAsia"/>
          <w:lang w:val="en-GB"/>
        </w:rPr>
      </w:pPr>
      <w:r>
        <w:rPr>
          <w:lang w:val="en-GB"/>
        </w:rPr>
        <w:t xml:space="preserve">162.  </w:t>
      </w:r>
      <w:r>
        <w:rPr>
          <w:rFonts w:hint="eastAsia"/>
          <w:lang w:val="en-GB"/>
        </w:rPr>
        <w:t>有时，辅助器具和交通运输解决方案对于一个人履行某个特定功能和自立就足够了。需要其他帮助者可以得到个人实用帮助</w:t>
      </w:r>
      <w:r>
        <w:rPr>
          <w:rFonts w:hint="eastAsia"/>
          <w:lang w:val="en-GB"/>
        </w:rPr>
        <w:t>(</w:t>
      </w:r>
      <w:r>
        <w:rPr>
          <w:rFonts w:hint="eastAsia"/>
          <w:lang w:val="en-GB"/>
        </w:rPr>
        <w:t>居家帮助</w:t>
      </w:r>
      <w:r>
        <w:rPr>
          <w:rFonts w:hint="eastAsia"/>
          <w:lang w:val="en-GB"/>
        </w:rPr>
        <w:t>)</w:t>
      </w:r>
      <w:r>
        <w:rPr>
          <w:rFonts w:hint="eastAsia"/>
          <w:lang w:val="en-GB"/>
        </w:rPr>
        <w:t>和餐饮安排，这种帮助按需提供，而不论受援人的居住类型。居家帮助可包括个人卫生、清洁、采购等。为那些功能暂时或永久减退者，或者有特殊社会问题导致不能自己干这些活的人，提供这类服务。对残疾人的长期帮助通常是免费的。</w:t>
      </w:r>
    </w:p>
    <w:p w:rsidR="00D84D94" w:rsidRDefault="00D84D94">
      <w:pPr>
        <w:pStyle w:val="SingleTxtGC"/>
        <w:rPr>
          <w:rFonts w:hint="eastAsia"/>
          <w:lang w:val="en-GB"/>
        </w:rPr>
      </w:pPr>
      <w:r>
        <w:rPr>
          <w:lang w:val="en-GB"/>
        </w:rPr>
        <w:t xml:space="preserve">163.  </w:t>
      </w:r>
      <w:r>
        <w:rPr>
          <w:rFonts w:hint="eastAsia"/>
          <w:lang w:val="en-GB"/>
        </w:rPr>
        <w:t>残疾人可以得到训练援助，以保持身心能力。训练可在诊所、日托中心或家里进行。</w:t>
      </w:r>
    </w:p>
    <w:p w:rsidR="00D84D94" w:rsidRDefault="00D84D94">
      <w:pPr>
        <w:pStyle w:val="SingleTxtGC"/>
        <w:rPr>
          <w:rFonts w:hint="eastAsia"/>
          <w:lang w:val="en-GB"/>
        </w:rPr>
      </w:pPr>
      <w:r>
        <w:rPr>
          <w:lang w:val="en-GB"/>
        </w:rPr>
        <w:t xml:space="preserve">164.  </w:t>
      </w:r>
      <w:r>
        <w:rPr>
          <w:rFonts w:hint="eastAsia"/>
          <w:lang w:val="en-GB"/>
        </w:rPr>
        <w:t>对于那些因功能减退而需要援助、照顾、支助和康复以及需要帮助学习掌握技能的人，市镇还必须为其提供社会教育援助。社会教育援助包括许多支助措施，如日常技能的训练与康复。提供这些援助时不论住所安排如何。不过，社会教育援助往往是某些住宿设施的一个组成部分。</w:t>
      </w:r>
    </w:p>
    <w:p w:rsidR="00D84D94" w:rsidRDefault="00D84D94">
      <w:pPr>
        <w:pStyle w:val="SingleTxtGC"/>
        <w:rPr>
          <w:rFonts w:hint="eastAsia"/>
          <w:lang w:val="en-GB"/>
        </w:rPr>
      </w:pPr>
      <w:r>
        <w:rPr>
          <w:lang w:val="en-GB"/>
        </w:rPr>
        <w:t xml:space="preserve">165.  </w:t>
      </w:r>
      <w:r>
        <w:rPr>
          <w:rFonts w:hint="eastAsia"/>
          <w:lang w:val="en-GB"/>
        </w:rPr>
        <w:t>如果某个人由于功能永久性减退而十分需要照顾、监管和陪伴，市镇可为雇用私人助理给予资金援助。市镇必须为那些由于功能永久性严重减退而无法自己出门者提供陪护。</w:t>
      </w:r>
    </w:p>
    <w:p w:rsidR="00D84D94" w:rsidRDefault="00D84D94">
      <w:pPr>
        <w:pStyle w:val="SingleTxtGC"/>
        <w:rPr>
          <w:lang w:val="en-GB"/>
        </w:rPr>
      </w:pPr>
      <w:r>
        <w:rPr>
          <w:lang w:val="en-GB"/>
        </w:rPr>
        <w:t xml:space="preserve">166.  </w:t>
      </w:r>
      <w:r>
        <w:rPr>
          <w:rFonts w:hint="eastAsia"/>
          <w:lang w:val="en-GB"/>
        </w:rPr>
        <w:t>如果某个人由于功能永久性减退而十分需要照顾、监管和陪伴，市镇可为雇用私人助理给予资金援助。</w:t>
      </w:r>
    </w:p>
    <w:p w:rsidR="00D84D94" w:rsidRDefault="00D84D94">
      <w:pPr>
        <w:pStyle w:val="SingleTxtGC"/>
        <w:rPr>
          <w:lang w:val="en-GB"/>
        </w:rPr>
      </w:pPr>
      <w:r>
        <w:rPr>
          <w:lang w:val="en-GB"/>
        </w:rPr>
        <w:t xml:space="preserve">167.  </w:t>
      </w:r>
      <w:r>
        <w:rPr>
          <w:rFonts w:hint="eastAsia"/>
          <w:lang w:val="en-GB"/>
        </w:rPr>
        <w:t>市镇必须为那些功能的永久性严重减退制约了其行动者提供陪护。</w:t>
      </w:r>
    </w:p>
    <w:p w:rsidR="00D84D94" w:rsidRDefault="00D84D94">
      <w:pPr>
        <w:pStyle w:val="SingleTxtGC"/>
        <w:rPr>
          <w:rFonts w:hint="eastAsia"/>
          <w:lang w:val="en-GB"/>
        </w:rPr>
      </w:pPr>
      <w:r>
        <w:rPr>
          <w:lang w:val="en-GB"/>
        </w:rPr>
        <w:t xml:space="preserve">168.  </w:t>
      </w:r>
      <w:r>
        <w:rPr>
          <w:rFonts w:hint="eastAsia"/>
          <w:lang w:val="en-GB"/>
        </w:rPr>
        <w:t>对于具有永久性严重功能障碍者而言，如果功能的减退大大降低了他们的行动能力，或者如果没有汽车，他们获得或保有一个工作或完成教育的可能性就会大幅降低，他们购车也可以得到资金支持。对于交通运输的需求必须大到一定程度，而且是用其他交通运输安排和方案无法满足的。</w:t>
      </w:r>
    </w:p>
    <w:p w:rsidR="00D84D94" w:rsidRDefault="00D84D94">
      <w:pPr>
        <w:pStyle w:val="SingleTxtGC"/>
        <w:rPr>
          <w:rFonts w:hint="eastAsia"/>
          <w:lang w:val="en-GB"/>
        </w:rPr>
      </w:pPr>
      <w:r>
        <w:rPr>
          <w:lang w:val="en-GB"/>
        </w:rPr>
        <w:t xml:space="preserve">169.  </w:t>
      </w:r>
      <w:r>
        <w:rPr>
          <w:rFonts w:hint="eastAsia"/>
          <w:lang w:val="en-GB"/>
        </w:rPr>
        <w:t>在大量活动中，还为听障者提供翻译解说。在为身心功能永久减退者装修住宅时，如果这种改造对于使住宅更适宜残疾人是必要的，市镇必须给予援助。残疾人还可以在网上</w:t>
      </w:r>
      <w:r>
        <w:rPr>
          <w:rFonts w:hint="eastAsia"/>
          <w:lang w:val="en-GB"/>
        </w:rPr>
        <w:t>(</w:t>
      </w:r>
      <w:r>
        <w:rPr>
          <w:lang w:val="en-GB"/>
        </w:rPr>
        <w:t>www.handicapbolig.dk</w:t>
      </w:r>
      <w:r>
        <w:rPr>
          <w:rFonts w:hint="eastAsia"/>
          <w:lang w:val="en-GB"/>
        </w:rPr>
        <w:t>)</w:t>
      </w:r>
      <w:r>
        <w:rPr>
          <w:rFonts w:hint="eastAsia"/>
          <w:lang w:val="en-GB"/>
        </w:rPr>
        <w:t>向丹麦社会住房提供者申请残疾人友好型住宅。</w:t>
      </w:r>
    </w:p>
    <w:p w:rsidR="00D84D94" w:rsidRDefault="00D84D94">
      <w:pPr>
        <w:pStyle w:val="H23GC"/>
        <w:rPr>
          <w:rFonts w:hint="eastAsia"/>
          <w:lang w:val="en-GB"/>
        </w:rPr>
      </w:pPr>
      <w:r>
        <w:rPr>
          <w:lang w:val="en-GB"/>
        </w:rPr>
        <w:tab/>
      </w:r>
      <w:r>
        <w:rPr>
          <w:lang w:val="en-GB"/>
        </w:rPr>
        <w:tab/>
      </w:r>
      <w:r>
        <w:rPr>
          <w:rFonts w:hint="eastAsia"/>
          <w:lang w:val="en-GB"/>
        </w:rPr>
        <w:t>住宿设施</w:t>
      </w:r>
    </w:p>
    <w:p w:rsidR="00D84D94" w:rsidRDefault="00D84D94">
      <w:pPr>
        <w:pStyle w:val="SingleTxtGC"/>
        <w:rPr>
          <w:rFonts w:hint="eastAsia"/>
          <w:lang w:val="en-GB"/>
        </w:rPr>
      </w:pPr>
      <w:r>
        <w:rPr>
          <w:lang w:val="en-GB"/>
        </w:rPr>
        <w:t xml:space="preserve">170.  </w:t>
      </w:r>
      <w:r>
        <w:rPr>
          <w:rFonts w:hint="eastAsia"/>
          <w:lang w:val="en-GB"/>
        </w:rPr>
        <w:t>市镇向特别需要住宿设施和残疾人友好型社会住所的公民提供这种设施。有资格申请《丹麦社会服务法》规定的长期住宿设施或老年人和残疾人的社会住所并符合取得这种社会住宿设施的条件的申请者，有权在这种设施中进行挑选，以及从一个设施迁到另一个设施。无论希望入住的设施是在该公民居住的市镇，还是在其他市镇，该条规定都适用。如果希望入住的设施不在该公民居住的市镇，他通常必须达到两个市镇规定的取得该设施的条件。具体报价则要根据公民个人的需求而定。只能对市镇的控制手段进行自由选择。</w:t>
      </w:r>
    </w:p>
    <w:p w:rsidR="00D84D94" w:rsidRDefault="00D84D94">
      <w:pPr>
        <w:pStyle w:val="SingleTxtGC"/>
        <w:rPr>
          <w:rFonts w:hint="eastAsia"/>
          <w:lang w:val="en-GB"/>
        </w:rPr>
      </w:pPr>
      <w:r>
        <w:rPr>
          <w:lang w:val="en-GB"/>
        </w:rPr>
        <w:t xml:space="preserve">171.  </w:t>
      </w:r>
      <w:r>
        <w:rPr>
          <w:rFonts w:hint="eastAsia"/>
          <w:lang w:val="en-GB"/>
        </w:rPr>
        <w:t>《丹麦社会住房法》等法律允许建设各种各样的住房供残疾人租住。例如，所提供的残疾人友好型社会住房可以是合住的，也可以是有个人厨房、浴室和卫生间的个人独立住房。合住住房可能有个体安排，每个居民都其自己带厨房、浴室和卫生间的住宅并在某种程度上与其他居民共享一个公用区域；也可能是所有居民共用一个厨房。最后，可以将残疾人友好型社会住房建设成为能得到援助的生活住房，有与住宿设施直接相连的、可用于照护和服务功能的相关服务区。</w:t>
      </w:r>
    </w:p>
    <w:p w:rsidR="00D84D94" w:rsidRDefault="00D84D94">
      <w:pPr>
        <w:pStyle w:val="SingleTxtGC"/>
        <w:rPr>
          <w:rFonts w:hint="eastAsia"/>
          <w:lang w:val="en-GB"/>
        </w:rPr>
      </w:pPr>
      <w:r>
        <w:rPr>
          <w:lang w:val="en-GB"/>
        </w:rPr>
        <w:t xml:space="preserve">172.  </w:t>
      </w:r>
      <w:r>
        <w:rPr>
          <w:rFonts w:hint="eastAsia"/>
          <w:lang w:val="en-GB"/>
        </w:rPr>
        <w:t>2010</w:t>
      </w:r>
      <w:r>
        <w:rPr>
          <w:rFonts w:hint="eastAsia"/>
          <w:lang w:val="en-GB"/>
        </w:rPr>
        <w:t>年，丹麦议会授权各大学为那些主要目的是为学生或客座研究员在校园附近建设短租单元住房的基金会提供资金。学生住房必须按照《丹麦社会住房法》等法律建设。科学、技术和创新部将鼓励各大学依照</w:t>
      </w:r>
      <w:r>
        <w:rPr>
          <w:rFonts w:hint="eastAsia"/>
          <w:lang w:val="en-GB"/>
        </w:rPr>
        <w:t>2011</w:t>
      </w:r>
      <w:r>
        <w:rPr>
          <w:rFonts w:hint="eastAsia"/>
          <w:lang w:val="en-GB"/>
        </w:rPr>
        <w:t>年新的无障碍标准建设一批居住单元。</w:t>
      </w:r>
    </w:p>
    <w:p w:rsidR="00D84D94" w:rsidRDefault="00D84D94">
      <w:pPr>
        <w:pStyle w:val="H23GC"/>
        <w:rPr>
          <w:rFonts w:hint="eastAsia"/>
          <w:lang w:val="en-GB"/>
        </w:rPr>
      </w:pPr>
      <w:r>
        <w:rPr>
          <w:lang w:val="en-GB"/>
        </w:rPr>
        <w:tab/>
      </w:r>
      <w:r>
        <w:rPr>
          <w:lang w:val="en-GB"/>
        </w:rPr>
        <w:tab/>
      </w:r>
      <w:r>
        <w:rPr>
          <w:rFonts w:hint="eastAsia"/>
          <w:lang w:val="en-GB"/>
        </w:rPr>
        <w:t>个人援助计划</w:t>
      </w:r>
    </w:p>
    <w:p w:rsidR="00D84D94" w:rsidRDefault="00D84D94">
      <w:pPr>
        <w:pStyle w:val="SingleTxtGC"/>
        <w:rPr>
          <w:rFonts w:hint="eastAsia"/>
          <w:lang w:val="en-GB"/>
        </w:rPr>
      </w:pPr>
      <w:r>
        <w:rPr>
          <w:lang w:val="en-GB"/>
        </w:rPr>
        <w:t xml:space="preserve">173.  </w:t>
      </w:r>
      <w:r>
        <w:rPr>
          <w:rFonts w:hint="eastAsia"/>
          <w:lang w:val="en-GB"/>
        </w:rPr>
        <w:t>由于功能永久性严重减退而需要多方面援助的公民，可根据各种立法得到对于雇用助理的资金支持。关于报酬、资金支持的确定等一些不同要求，适用于各种不同规则。</w:t>
      </w:r>
    </w:p>
    <w:p w:rsidR="00D84D94" w:rsidRDefault="00D84D94">
      <w:pPr>
        <w:pStyle w:val="H23GC"/>
        <w:rPr>
          <w:rFonts w:hint="eastAsia"/>
          <w:lang w:val="en-GB"/>
        </w:rPr>
      </w:pPr>
      <w:r>
        <w:rPr>
          <w:lang w:val="en-GB"/>
        </w:rPr>
        <w:tab/>
      </w:r>
      <w:r>
        <w:rPr>
          <w:lang w:val="en-GB"/>
        </w:rPr>
        <w:tab/>
      </w:r>
      <w:r>
        <w:rPr>
          <w:rFonts w:hint="eastAsia"/>
          <w:lang w:val="en-GB"/>
        </w:rPr>
        <w:t>由公民管理的个人援助</w:t>
      </w:r>
    </w:p>
    <w:p w:rsidR="00D84D94" w:rsidRDefault="00D84D94">
      <w:pPr>
        <w:pStyle w:val="SingleTxtGC"/>
        <w:rPr>
          <w:rFonts w:hint="eastAsia"/>
          <w:lang w:val="en-GB"/>
        </w:rPr>
      </w:pPr>
      <w:r>
        <w:rPr>
          <w:lang w:val="en-GB"/>
        </w:rPr>
        <w:t xml:space="preserve">174.  </w:t>
      </w:r>
      <w:r>
        <w:rPr>
          <w:rFonts w:hint="eastAsia"/>
          <w:lang w:val="en-GB"/>
        </w:rPr>
        <w:t>有由公民管理的个人援助，那些功能永久性严重减退、几乎或根本无力行走并履行日常功能的成年人，就可以雇人在日常生活中给予他们个人实际帮助。这一方案使公民得以保持或获得以其个人愿望或需求为重点的独立生活，从而有更大的灵活性干事并能对其自身生活施加更多影响。</w:t>
      </w:r>
    </w:p>
    <w:p w:rsidR="00D84D94" w:rsidRDefault="00D84D94">
      <w:pPr>
        <w:pStyle w:val="H1GC"/>
        <w:rPr>
          <w:lang w:val="en-GB"/>
        </w:rPr>
      </w:pPr>
      <w:r>
        <w:rPr>
          <w:lang w:val="en-GB"/>
        </w:rPr>
        <w:tab/>
      </w:r>
      <w:r>
        <w:rPr>
          <w:lang w:val="en-GB"/>
        </w:rPr>
        <w:tab/>
      </w:r>
      <w:r>
        <w:rPr>
          <w:rFonts w:hint="eastAsia"/>
          <w:lang w:val="en-GB"/>
        </w:rPr>
        <w:t>第二十条</w:t>
      </w:r>
    </w:p>
    <w:p w:rsidR="00D84D94" w:rsidRDefault="00D84D94">
      <w:pPr>
        <w:pStyle w:val="SingleTxtGC"/>
        <w:rPr>
          <w:rFonts w:hint="eastAsia"/>
          <w:lang w:val="en-GB"/>
        </w:rPr>
      </w:pPr>
      <w:r>
        <w:rPr>
          <w:lang w:val="en-GB"/>
        </w:rPr>
        <w:t xml:space="preserve">175.  </w:t>
      </w:r>
      <w:r>
        <w:rPr>
          <w:rFonts w:hint="eastAsia"/>
          <w:lang w:val="en-GB"/>
        </w:rPr>
        <w:t>丹麦的残疾政策侧重于使残疾人能够获得确保行动能力的帮助，而无论其残疾情况如何。例如，那些因为残疾不使用汽车就难以在与健全人平等基础上保有工作、完成学业或坚持业余活动的人，购车得到了资金支持。如有必要，还可以改装汽车。</w:t>
      </w:r>
    </w:p>
    <w:p w:rsidR="00D84D94" w:rsidRDefault="00D84D94">
      <w:pPr>
        <w:pStyle w:val="SingleTxtGC"/>
        <w:rPr>
          <w:rFonts w:hint="eastAsia"/>
          <w:lang w:val="en-GB"/>
        </w:rPr>
      </w:pPr>
      <w:r>
        <w:rPr>
          <w:lang w:val="en-GB"/>
        </w:rPr>
        <w:t xml:space="preserve">176.  </w:t>
      </w:r>
      <w:r>
        <w:rPr>
          <w:rFonts w:hint="eastAsia"/>
          <w:lang w:val="en-GB"/>
        </w:rPr>
        <w:t>运输部的无障碍政策侧重于建立一个连贯的、对残疾人而言也是非常有效的公路交通系统。这意味着，在规划、设计、建设和运营过程中</w:t>
      </w:r>
      <w:r>
        <w:rPr>
          <w:rFonts w:hint="eastAsia"/>
          <w:spacing w:val="-60"/>
          <w:lang w:val="en-GB"/>
        </w:rPr>
        <w:t>―</w:t>
      </w:r>
      <w:r>
        <w:rPr>
          <w:rFonts w:hint="eastAsia"/>
          <w:spacing w:val="10"/>
          <w:lang w:val="en-GB"/>
        </w:rPr>
        <w:t>―</w:t>
      </w:r>
      <w:r>
        <w:rPr>
          <w:rFonts w:hint="eastAsia"/>
          <w:lang w:val="en-GB"/>
        </w:rPr>
        <w:t>以及在公路部门完成大型和小型建筑工程时，无障碍都必须是关注的焦点。</w:t>
      </w:r>
    </w:p>
    <w:p w:rsidR="00D84D94" w:rsidRDefault="00D84D94">
      <w:pPr>
        <w:pStyle w:val="H1GC"/>
        <w:rPr>
          <w:rFonts w:hint="eastAsia"/>
          <w:lang w:val="en-GB"/>
        </w:rPr>
      </w:pPr>
      <w:r>
        <w:rPr>
          <w:lang w:val="en-GB"/>
        </w:rPr>
        <w:tab/>
      </w:r>
      <w:r>
        <w:rPr>
          <w:lang w:val="en-GB"/>
        </w:rPr>
        <w:tab/>
      </w:r>
      <w:r>
        <w:rPr>
          <w:rFonts w:hint="eastAsia"/>
          <w:lang w:val="en-GB"/>
        </w:rPr>
        <w:t>第二十一条</w:t>
      </w:r>
    </w:p>
    <w:p w:rsidR="00D84D94" w:rsidRDefault="00D84D94">
      <w:pPr>
        <w:pStyle w:val="SingleTxtGC"/>
        <w:rPr>
          <w:rFonts w:hint="eastAsia"/>
          <w:lang w:val="en-GB"/>
        </w:rPr>
      </w:pPr>
      <w:r>
        <w:rPr>
          <w:lang w:val="en-GB"/>
        </w:rPr>
        <w:t xml:space="preserve">177.  </w:t>
      </w:r>
      <w:r>
        <w:rPr>
          <w:rFonts w:hint="eastAsia"/>
          <w:lang w:val="en-GB"/>
        </w:rPr>
        <w:t>残疾人享有和其他人一样的表达和意见自由；见《丹麦王国宪法》和《欧洲人权公约》第</w:t>
      </w:r>
      <w:r>
        <w:rPr>
          <w:rFonts w:hint="eastAsia"/>
          <w:lang w:val="en-GB"/>
        </w:rPr>
        <w:t>10</w:t>
      </w:r>
      <w:r>
        <w:rPr>
          <w:rFonts w:hint="eastAsia"/>
          <w:lang w:val="en-GB"/>
        </w:rPr>
        <w:t>条，等等。</w:t>
      </w:r>
    </w:p>
    <w:p w:rsidR="00D84D94" w:rsidRDefault="00D84D94">
      <w:pPr>
        <w:pStyle w:val="H23GC"/>
        <w:rPr>
          <w:rFonts w:hint="eastAsia"/>
          <w:lang w:val="en-GB"/>
        </w:rPr>
      </w:pPr>
      <w:r>
        <w:rPr>
          <w:lang w:val="en-GB"/>
        </w:rPr>
        <w:tab/>
      </w:r>
      <w:r>
        <w:rPr>
          <w:lang w:val="en-GB"/>
        </w:rPr>
        <w:tab/>
      </w:r>
      <w:r>
        <w:rPr>
          <w:rFonts w:hint="eastAsia"/>
          <w:lang w:val="en-GB"/>
        </w:rPr>
        <w:t>使用手语</w:t>
      </w:r>
    </w:p>
    <w:p w:rsidR="00D84D94" w:rsidRDefault="00D84D94">
      <w:pPr>
        <w:pStyle w:val="SingleTxtGC"/>
        <w:rPr>
          <w:rFonts w:hint="eastAsia"/>
          <w:lang w:val="en-GB"/>
        </w:rPr>
      </w:pPr>
      <w:r>
        <w:rPr>
          <w:lang w:val="en-GB"/>
        </w:rPr>
        <w:t xml:space="preserve">178.  </w:t>
      </w:r>
      <w:r>
        <w:rPr>
          <w:rFonts w:hint="eastAsia"/>
          <w:lang w:val="en-GB"/>
        </w:rPr>
        <w:t>丹麦认可使用手语。在《丹麦公共行政法》和关于行政部门调查义务的一般行政法原则中，当局被认为有义务确保有听障、视障或言语障碍者在与当局交涉时，有机会得到翻译援助。</w:t>
      </w:r>
    </w:p>
    <w:p w:rsidR="00D84D94" w:rsidRDefault="00D84D94">
      <w:pPr>
        <w:pStyle w:val="H23GC"/>
        <w:rPr>
          <w:rFonts w:hint="eastAsia"/>
          <w:lang w:val="en-GB"/>
        </w:rPr>
      </w:pPr>
      <w:r>
        <w:rPr>
          <w:lang w:val="en-GB"/>
        </w:rPr>
        <w:tab/>
      </w:r>
      <w:r>
        <w:rPr>
          <w:lang w:val="en-GB"/>
        </w:rPr>
        <w:tab/>
      </w:r>
      <w:r>
        <w:rPr>
          <w:rFonts w:hint="eastAsia"/>
          <w:lang w:val="en-GB"/>
        </w:rPr>
        <w:t>共用翻译方案</w:t>
      </w:r>
    </w:p>
    <w:p w:rsidR="00D84D94" w:rsidRDefault="00D84D94">
      <w:pPr>
        <w:pStyle w:val="SingleTxtGC"/>
        <w:rPr>
          <w:rFonts w:hint="eastAsia"/>
          <w:lang w:val="en-GB"/>
        </w:rPr>
      </w:pPr>
      <w:r>
        <w:rPr>
          <w:lang w:val="en-GB"/>
        </w:rPr>
        <w:t xml:space="preserve">179.  </w:t>
      </w:r>
      <w:r>
        <w:rPr>
          <w:rFonts w:hint="eastAsia"/>
          <w:lang w:val="en-GB"/>
        </w:rPr>
        <w:t>根据社会立法，对于在与其他每一个人平等的基础上参与社会所必不可少的广泛活动，译员用户还有权无限期地拥有一名译员。此外，共用翻译方案使每个译员用户都有一个时间银行，其中总计有每年七小时的翻译时间，可用于参加私人活动等。但</w:t>
      </w:r>
      <w:r>
        <w:rPr>
          <w:rFonts w:hint="eastAsia"/>
          <w:lang w:val="en-GB"/>
        </w:rPr>
        <w:t>2011</w:t>
      </w:r>
      <w:r>
        <w:rPr>
          <w:rFonts w:hint="eastAsia"/>
          <w:lang w:val="en-GB"/>
        </w:rPr>
        <w:t>年，又聋又盲者的时间银行中总计有</w:t>
      </w:r>
      <w:r>
        <w:rPr>
          <w:rFonts w:hint="eastAsia"/>
          <w:lang w:val="en-GB"/>
        </w:rPr>
        <w:t>20</w:t>
      </w:r>
      <w:r>
        <w:rPr>
          <w:rFonts w:hint="eastAsia"/>
          <w:lang w:val="en-GB"/>
        </w:rPr>
        <w:t>小时。</w:t>
      </w:r>
    </w:p>
    <w:p w:rsidR="00D84D94" w:rsidRDefault="00D84D94">
      <w:pPr>
        <w:pStyle w:val="H23GC"/>
        <w:rPr>
          <w:rFonts w:hint="eastAsia"/>
          <w:lang w:val="en-GB"/>
        </w:rPr>
      </w:pPr>
      <w:r>
        <w:rPr>
          <w:lang w:val="en-GB"/>
        </w:rPr>
        <w:tab/>
      </w:r>
      <w:r>
        <w:rPr>
          <w:lang w:val="en-GB"/>
        </w:rPr>
        <w:tab/>
      </w:r>
      <w:r>
        <w:rPr>
          <w:rFonts w:hint="eastAsia"/>
          <w:lang w:val="en-GB"/>
        </w:rPr>
        <w:t>私营部门的无障碍解决方案</w:t>
      </w:r>
    </w:p>
    <w:p w:rsidR="00D84D94" w:rsidRDefault="00D84D94">
      <w:pPr>
        <w:pStyle w:val="SingleTxtGC"/>
        <w:rPr>
          <w:rFonts w:hint="eastAsia"/>
          <w:lang w:val="en-GB"/>
        </w:rPr>
      </w:pPr>
      <w:r>
        <w:rPr>
          <w:lang w:val="en-GB"/>
        </w:rPr>
        <w:t xml:space="preserve">180.  </w:t>
      </w:r>
      <w:r>
        <w:rPr>
          <w:rFonts w:hint="eastAsia"/>
          <w:lang w:val="en-GB"/>
        </w:rPr>
        <w:t>科学、技术和创新部旨在推动私营部门制定无障碍解决方案，包括电子商务方案、网上银行和电子新闻媒体、博客，等等。具体而言，国家信息技术和电信署汇编了一个倡议包，其中含有大量旨在提升人们对于无障碍重要性的认识的倡议草案。其中一个倡议是指定一个由信息技术行业协会、信息技术开发人员和非政府组织组成的咨商小组，在启动该领域的活动或确定其优先顺序时充当顾问，包括讨论国家信息技术和电信署的倡议包并确定其优先顺序。</w:t>
      </w:r>
    </w:p>
    <w:p w:rsidR="00D84D94" w:rsidRDefault="00D84D94">
      <w:pPr>
        <w:pStyle w:val="SingleTxtGC"/>
        <w:rPr>
          <w:rFonts w:hint="eastAsia"/>
          <w:lang w:val="en-GB"/>
        </w:rPr>
      </w:pPr>
      <w:r>
        <w:rPr>
          <w:lang w:val="en-GB"/>
        </w:rPr>
        <w:t xml:space="preserve">181.  </w:t>
      </w:r>
      <w:r>
        <w:rPr>
          <w:rFonts w:hint="eastAsia"/>
          <w:lang w:val="en-GB"/>
        </w:rPr>
        <w:t>2010</w:t>
      </w:r>
      <w:r>
        <w:rPr>
          <w:rFonts w:hint="eastAsia"/>
          <w:lang w:val="en-GB"/>
        </w:rPr>
        <w:t>年末，残疾人机会均等中心、</w:t>
      </w:r>
      <w:r>
        <w:rPr>
          <w:lang w:val="en-GB"/>
        </w:rPr>
        <w:t>FDIH</w:t>
      </w:r>
      <w:r>
        <w:rPr>
          <w:rFonts w:hint="eastAsia"/>
          <w:lang w:val="en-GB"/>
        </w:rPr>
        <w:t>、电子商务基金会和</w:t>
      </w:r>
      <w:r>
        <w:rPr>
          <w:lang w:val="en-GB"/>
        </w:rPr>
        <w:t>Sensus</w:t>
      </w:r>
      <w:r>
        <w:rPr>
          <w:rFonts w:hint="eastAsia"/>
          <w:lang w:val="en-GB"/>
        </w:rPr>
        <w:t>咨询事务所，就无障碍的私营电子商务解决方案的重要性与优势问题，举行了一次研讨会。此外，科学、技术和创新部安排开发了关于信息技术无障碍的电子学习工具，其对象是私营服务供应商，包括电子商务商店。</w:t>
      </w:r>
    </w:p>
    <w:p w:rsidR="00D84D94" w:rsidRDefault="00D84D94">
      <w:pPr>
        <w:pStyle w:val="SingleTxtGC"/>
        <w:rPr>
          <w:rFonts w:hint="eastAsia"/>
          <w:lang w:val="en-GB"/>
        </w:rPr>
      </w:pPr>
      <w:r>
        <w:rPr>
          <w:lang w:val="en-GB"/>
        </w:rPr>
        <w:t xml:space="preserve">182.  </w:t>
      </w:r>
      <w:r>
        <w:rPr>
          <w:rFonts w:hint="eastAsia"/>
          <w:lang w:val="en-GB"/>
        </w:rPr>
        <w:t>在</w:t>
      </w:r>
      <w:r>
        <w:rPr>
          <w:rFonts w:hint="eastAsia"/>
          <w:lang w:val="en-GB"/>
        </w:rPr>
        <w:t>2009</w:t>
      </w:r>
      <w:r>
        <w:rPr>
          <w:rFonts w:hint="eastAsia"/>
          <w:lang w:val="en-GB"/>
        </w:rPr>
        <w:t>年关于地方经济的协议中，丹麦政府和丹麦地方政府协会一致认为，应在所有地方的质量管理和发展中系统地利用满意度调查。以此为出发点，在儿童、老年人和残疾领域启动了多个用户满意度可比调查试验项目。为在</w:t>
      </w:r>
      <w:r>
        <w:rPr>
          <w:rFonts w:hint="eastAsia"/>
          <w:lang w:val="en-GB"/>
        </w:rPr>
        <w:t>2009</w:t>
      </w:r>
      <w:r>
        <w:rPr>
          <w:rFonts w:hint="eastAsia"/>
          <w:lang w:val="en-GB"/>
        </w:rPr>
        <w:t>年秋至</w:t>
      </w:r>
      <w:r>
        <w:rPr>
          <w:rFonts w:hint="eastAsia"/>
          <w:lang w:val="en-GB"/>
        </w:rPr>
        <w:t>2010</w:t>
      </w:r>
      <w:r>
        <w:rPr>
          <w:rFonts w:hint="eastAsia"/>
          <w:lang w:val="en-GB"/>
        </w:rPr>
        <w:t>年春完成用户满意度可比调查，与</w:t>
      </w:r>
      <w:r>
        <w:rPr>
          <w:rFonts w:hint="eastAsia"/>
          <w:lang w:val="en-GB"/>
        </w:rPr>
        <w:t>10</w:t>
      </w:r>
      <w:r>
        <w:rPr>
          <w:rFonts w:hint="eastAsia"/>
          <w:lang w:val="en-GB"/>
        </w:rPr>
        <w:t>个市镇合作制定并检验了一个概念。以该试验项目为基础，丹麦政府和丹麦地方政府协会在</w:t>
      </w:r>
      <w:r>
        <w:rPr>
          <w:rFonts w:hint="eastAsia"/>
          <w:lang w:val="en-GB"/>
        </w:rPr>
        <w:t>2011</w:t>
      </w:r>
      <w:r>
        <w:rPr>
          <w:rFonts w:hint="eastAsia"/>
          <w:lang w:val="en-GB"/>
        </w:rPr>
        <w:t>年地方经济协议中一致同意，建议各市镇每两年公布一次用户所得到的残疾等方面福利服务的质量情况。为支持利用用户满意度调查，鼓励各个市镇运用这个共同发明的、从</w:t>
      </w:r>
      <w:r>
        <w:rPr>
          <w:rFonts w:hint="eastAsia"/>
          <w:lang w:val="en-GB"/>
        </w:rPr>
        <w:t>2011</w:t>
      </w:r>
      <w:r>
        <w:rPr>
          <w:rFonts w:hint="eastAsia"/>
          <w:lang w:val="en-GB"/>
        </w:rPr>
        <w:t>年起可资利用的概念。通过启发性材料、经验交流和跨学科分析，对利用这一概念给予了支持。</w:t>
      </w:r>
    </w:p>
    <w:p w:rsidR="00D84D94" w:rsidRDefault="00D84D94">
      <w:pPr>
        <w:pStyle w:val="H1GC"/>
        <w:rPr>
          <w:lang w:val="en-GB"/>
        </w:rPr>
      </w:pPr>
      <w:r>
        <w:rPr>
          <w:lang w:val="en-GB"/>
        </w:rPr>
        <w:tab/>
      </w:r>
      <w:r>
        <w:rPr>
          <w:lang w:val="en-GB"/>
        </w:rPr>
        <w:tab/>
      </w:r>
      <w:r>
        <w:rPr>
          <w:rFonts w:hint="eastAsia"/>
          <w:lang w:val="en-GB"/>
        </w:rPr>
        <w:t>第二十二条</w:t>
      </w:r>
    </w:p>
    <w:p w:rsidR="00D84D94" w:rsidRDefault="00D84D94">
      <w:pPr>
        <w:pStyle w:val="SingleTxtGC"/>
        <w:rPr>
          <w:rFonts w:hint="eastAsia"/>
          <w:lang w:val="en-GB"/>
        </w:rPr>
      </w:pPr>
      <w:r>
        <w:rPr>
          <w:lang w:val="en-GB"/>
        </w:rPr>
        <w:t xml:space="preserve">183.  </w:t>
      </w:r>
      <w:r>
        <w:rPr>
          <w:rFonts w:hint="eastAsia"/>
          <w:lang w:val="en-GB"/>
        </w:rPr>
        <w:t>残疾人在私生活和家庭生活方面，享有同其他丹麦公民同等水平的保护；例如见《欧洲人权公约》关于私生活和家庭生活得到尊重的权利的第</w:t>
      </w:r>
      <w:r>
        <w:rPr>
          <w:rFonts w:hint="eastAsia"/>
          <w:lang w:val="en-GB"/>
        </w:rPr>
        <w:t>8</w:t>
      </w:r>
      <w:r>
        <w:rPr>
          <w:rFonts w:hint="eastAsia"/>
          <w:lang w:val="en-GB"/>
        </w:rPr>
        <w:t>条。</w:t>
      </w:r>
    </w:p>
    <w:p w:rsidR="00D84D94" w:rsidRDefault="00D84D94">
      <w:pPr>
        <w:pStyle w:val="SingleTxtGC"/>
        <w:rPr>
          <w:rFonts w:hint="eastAsia"/>
          <w:lang w:val="en-GB"/>
        </w:rPr>
      </w:pPr>
      <w:r>
        <w:rPr>
          <w:lang w:val="en-GB"/>
        </w:rPr>
        <w:t xml:space="preserve">184.  </w:t>
      </w:r>
      <w:r>
        <w:rPr>
          <w:rFonts w:hint="eastAsia"/>
          <w:lang w:val="en-GB"/>
        </w:rPr>
        <w:t>为在与其他公民平等的基础上保护功能永久性减退的公民的私生活，有多种多样的服务可提供给他们，包括住所或住宅布局、雇用私人助理的可能性以及获得轮椅、行走架等大量辅助器具或者助听器等佩戴的辅助器具。</w:t>
      </w:r>
    </w:p>
    <w:p w:rsidR="00D84D94" w:rsidRDefault="00D84D94">
      <w:pPr>
        <w:pStyle w:val="H1GC"/>
        <w:rPr>
          <w:rFonts w:hint="eastAsia"/>
          <w:lang w:val="en-GB"/>
        </w:rPr>
      </w:pPr>
      <w:r>
        <w:rPr>
          <w:lang w:val="en-GB"/>
        </w:rPr>
        <w:tab/>
      </w:r>
      <w:r>
        <w:rPr>
          <w:lang w:val="en-GB"/>
        </w:rPr>
        <w:tab/>
      </w:r>
      <w:r>
        <w:rPr>
          <w:rFonts w:hint="eastAsia"/>
          <w:lang w:val="en-GB"/>
        </w:rPr>
        <w:t>第二十三条</w:t>
      </w:r>
    </w:p>
    <w:p w:rsidR="00D84D94" w:rsidRDefault="00D84D94">
      <w:pPr>
        <w:pStyle w:val="SingleTxtGC"/>
        <w:rPr>
          <w:rFonts w:hint="eastAsia"/>
          <w:lang w:val="en-GB"/>
        </w:rPr>
      </w:pPr>
      <w:r>
        <w:rPr>
          <w:lang w:val="en-GB"/>
        </w:rPr>
        <w:t xml:space="preserve">185.  </w:t>
      </w:r>
      <w:r>
        <w:rPr>
          <w:rFonts w:hint="eastAsia"/>
          <w:lang w:val="en-GB"/>
        </w:rPr>
        <w:t>残疾人在婚姻、家庭生活和育儿等方面，享有与其他每一个人相同的权利。</w:t>
      </w:r>
    </w:p>
    <w:p w:rsidR="00D84D94" w:rsidRDefault="00D84D94">
      <w:pPr>
        <w:pStyle w:val="SingleTxtGC"/>
        <w:rPr>
          <w:rFonts w:hint="eastAsia"/>
          <w:lang w:val="en-GB"/>
        </w:rPr>
      </w:pPr>
      <w:r>
        <w:rPr>
          <w:lang w:val="en-GB"/>
        </w:rPr>
        <w:t xml:space="preserve">186.  </w:t>
      </w:r>
      <w:r>
        <w:rPr>
          <w:rFonts w:hint="eastAsia"/>
          <w:lang w:val="en-GB"/>
        </w:rPr>
        <w:t>根据《丹麦缔约和解除婚姻法》，人们只要符合年龄、</w:t>
      </w:r>
      <w:r>
        <w:rPr>
          <w:lang w:val="en-GB"/>
        </w:rPr>
        <w:t>血缘关系</w:t>
      </w:r>
      <w:r>
        <w:rPr>
          <w:rFonts w:hint="eastAsia"/>
          <w:lang w:val="en-GB"/>
        </w:rPr>
        <w:t>、婚姻状况和居留许可等方面的一些条件，就可以在丹麦结婚。</w:t>
      </w:r>
    </w:p>
    <w:p w:rsidR="00D84D94" w:rsidRDefault="00D84D94">
      <w:pPr>
        <w:pStyle w:val="SingleTxtGC"/>
        <w:rPr>
          <w:rFonts w:hint="eastAsia"/>
          <w:lang w:val="en-GB"/>
        </w:rPr>
      </w:pPr>
      <w:r>
        <w:rPr>
          <w:lang w:val="en-GB"/>
        </w:rPr>
        <w:t xml:space="preserve">187.  </w:t>
      </w:r>
      <w:r>
        <w:rPr>
          <w:rFonts w:hint="eastAsia"/>
          <w:lang w:val="en-GB"/>
        </w:rPr>
        <w:t>不过，没有能力管理自己的事务并因此处于监护之下的人，未经其监护人同意，不得结婚。如果监护人拒绝同意其结婚，地方理事会主席可批准其结婚。</w:t>
      </w:r>
    </w:p>
    <w:p w:rsidR="00D84D94" w:rsidRDefault="00D84D94">
      <w:pPr>
        <w:pStyle w:val="SingleTxtGC"/>
        <w:rPr>
          <w:rFonts w:hint="eastAsia"/>
          <w:lang w:val="en-GB"/>
        </w:rPr>
      </w:pPr>
      <w:r>
        <w:rPr>
          <w:lang w:val="en-GB"/>
        </w:rPr>
        <w:t xml:space="preserve">188.  </w:t>
      </w:r>
      <w:r>
        <w:rPr>
          <w:rFonts w:hint="eastAsia"/>
          <w:lang w:val="en-GB"/>
        </w:rPr>
        <w:t>根据《丹麦收养法》，只有当经过审查可以推定收养有利于想要养的那个人时，才能准予收养。若是收养一名未满</w:t>
      </w:r>
      <w:r>
        <w:rPr>
          <w:rFonts w:hint="eastAsia"/>
          <w:lang w:val="en-GB"/>
        </w:rPr>
        <w:t>18</w:t>
      </w:r>
      <w:r>
        <w:rPr>
          <w:rFonts w:hint="eastAsia"/>
          <w:lang w:val="en-GB"/>
        </w:rPr>
        <w:t>岁的儿童，想要收养该儿童者必须得到批准成为收养人</w:t>
      </w:r>
      <w:r>
        <w:rPr>
          <w:rStyle w:val="FootnoteReference"/>
        </w:rPr>
        <w:footnoteReference w:id="2"/>
      </w:r>
      <w:r>
        <w:rPr>
          <w:rFonts w:hint="eastAsia"/>
          <w:lang w:val="en-GB"/>
        </w:rPr>
        <w:t>。譬如，这要求收养人适于抚养养子女，并且如果收养人有残疾，他尽管残疾，也能在抚养养子女时从后者的最大利益出发。</w:t>
      </w:r>
    </w:p>
    <w:p w:rsidR="00D84D94" w:rsidRDefault="00D84D94">
      <w:pPr>
        <w:pStyle w:val="SingleTxtGC"/>
        <w:rPr>
          <w:rFonts w:hint="eastAsia"/>
          <w:lang w:val="en-GB"/>
        </w:rPr>
      </w:pPr>
      <w:r>
        <w:rPr>
          <w:lang w:val="en-GB"/>
        </w:rPr>
        <w:t xml:space="preserve">189.  </w:t>
      </w:r>
      <w:r>
        <w:rPr>
          <w:rFonts w:hint="eastAsia"/>
          <w:lang w:val="en-GB"/>
        </w:rPr>
        <w:t>根据《丹麦父母责任法》，关于监护、儿童居所、探视等方面的一切裁定，都必须从儿童的最大利益出发。例如，在评估在这种情况下儿童的最大利益时，可考虑到儿童或其父母的残疾情况。</w:t>
      </w:r>
    </w:p>
    <w:p w:rsidR="00D84D94" w:rsidRDefault="00D84D94">
      <w:pPr>
        <w:pStyle w:val="SingleTxtGC"/>
        <w:rPr>
          <w:rFonts w:hint="eastAsia"/>
          <w:lang w:val="en-GB"/>
        </w:rPr>
      </w:pPr>
      <w:r>
        <w:rPr>
          <w:lang w:val="en-GB"/>
        </w:rPr>
        <w:t xml:space="preserve">190.  </w:t>
      </w:r>
      <w:r>
        <w:rPr>
          <w:rFonts w:hint="eastAsia"/>
          <w:lang w:val="en-GB"/>
        </w:rPr>
        <w:t>提供人工生殖治疗的医生在作健康评估并决定是否进行这种治疗时，必须考虑到一位单身妇女或一对夫妇在生育后照顾子女的能力是否有问题。若发现有问题，医生必须经该单身妇女或夫妇同意后，将有关信息提交给国家政府部门，请该部门决定是否能开始人工生殖治疗。为了将诞生子女的最大利益，关于评估人们在多大程度上不适宜作父母的规则</w:t>
      </w:r>
      <w:r>
        <w:rPr>
          <w:rFonts w:hint="eastAsia"/>
          <w:lang w:val="en-GB"/>
        </w:rPr>
        <w:t>(</w:t>
      </w:r>
      <w:r>
        <w:rPr>
          <w:rFonts w:hint="eastAsia"/>
          <w:lang w:val="en-GB"/>
        </w:rPr>
        <w:t>在法令和行政令中规定</w:t>
      </w:r>
      <w:r>
        <w:rPr>
          <w:rFonts w:hint="eastAsia"/>
          <w:lang w:val="en-GB"/>
        </w:rPr>
        <w:t>)</w:t>
      </w:r>
      <w:r>
        <w:rPr>
          <w:rFonts w:hint="eastAsia"/>
          <w:lang w:val="en-GB"/>
        </w:rPr>
        <w:t>确定了一些用来评估的事实标准。</w:t>
      </w:r>
    </w:p>
    <w:p w:rsidR="00D84D94" w:rsidRDefault="00D84D94">
      <w:pPr>
        <w:pStyle w:val="SingleTxtGC"/>
        <w:rPr>
          <w:rFonts w:hint="eastAsia"/>
          <w:lang w:val="en-GB"/>
        </w:rPr>
      </w:pPr>
      <w:r>
        <w:rPr>
          <w:lang w:val="en-GB"/>
        </w:rPr>
        <w:t xml:space="preserve">191.  </w:t>
      </w:r>
      <w:r>
        <w:rPr>
          <w:rFonts w:hint="eastAsia"/>
          <w:lang w:val="en-GB"/>
        </w:rPr>
        <w:t>当对一位妇女或一对夫妇作父母的适宜性存有疑问时，评估可以包括下列方面：</w:t>
      </w:r>
    </w:p>
    <w:p w:rsidR="00D84D94" w:rsidRDefault="00D84D94">
      <w:pPr>
        <w:pStyle w:val="Bullet1GC"/>
        <w:rPr>
          <w:rFonts w:hint="eastAsia"/>
          <w:lang w:val="en-GB"/>
        </w:rPr>
      </w:pPr>
      <w:r>
        <w:rPr>
          <w:rFonts w:hint="eastAsia"/>
          <w:lang w:val="en-GB"/>
        </w:rPr>
        <w:t>该妇女或夫妇是否有滥用任何物质的问题；</w:t>
      </w:r>
    </w:p>
    <w:p w:rsidR="00D84D94" w:rsidRDefault="00D84D94">
      <w:pPr>
        <w:pStyle w:val="Bullet1GC"/>
        <w:rPr>
          <w:lang w:val="en-GB"/>
        </w:rPr>
      </w:pPr>
      <w:r>
        <w:rPr>
          <w:rFonts w:hint="eastAsia"/>
          <w:lang w:val="en-GB"/>
        </w:rPr>
        <w:t>该妇女或夫妇的精神状况是否可能影响其照顾将诞生子女的能力；</w:t>
      </w:r>
    </w:p>
    <w:p w:rsidR="00D84D94" w:rsidRDefault="00D84D94">
      <w:pPr>
        <w:pStyle w:val="Bullet1GC"/>
        <w:rPr>
          <w:rFonts w:hint="eastAsia"/>
          <w:lang w:val="en-GB"/>
        </w:rPr>
      </w:pPr>
      <w:r>
        <w:rPr>
          <w:rFonts w:hint="eastAsia"/>
          <w:lang w:val="en-GB"/>
        </w:rPr>
        <w:t>是否存在可能导致该子女被安置在家外的情况；以及</w:t>
      </w:r>
    </w:p>
    <w:p w:rsidR="00D84D94" w:rsidRDefault="00D84D94">
      <w:pPr>
        <w:pStyle w:val="Bullet1GC"/>
        <w:rPr>
          <w:rFonts w:hint="eastAsia"/>
          <w:lang w:val="en-GB"/>
        </w:rPr>
      </w:pPr>
      <w:r>
        <w:rPr>
          <w:rFonts w:hint="eastAsia"/>
          <w:lang w:val="en-GB"/>
        </w:rPr>
        <w:t>由于家庭环境，父母一方或双方已有一名子女被安置在家外的事实。</w:t>
      </w:r>
    </w:p>
    <w:p w:rsidR="00D84D94" w:rsidRDefault="00D84D94">
      <w:pPr>
        <w:pStyle w:val="SingleTxtGC"/>
        <w:rPr>
          <w:rFonts w:hint="eastAsia"/>
          <w:lang w:val="en-GB"/>
        </w:rPr>
      </w:pPr>
      <w:r>
        <w:rPr>
          <w:lang w:val="en-GB"/>
        </w:rPr>
        <w:t xml:space="preserve">192.  </w:t>
      </w:r>
      <w:r>
        <w:rPr>
          <w:rFonts w:hint="eastAsia"/>
          <w:lang w:val="en-GB"/>
        </w:rPr>
        <w:t>父母照顾子女的能力对于评估人们不适宜做父母的程度有影响。</w:t>
      </w:r>
    </w:p>
    <w:p w:rsidR="00D84D94" w:rsidRDefault="00D84D94">
      <w:pPr>
        <w:pStyle w:val="H23GC"/>
        <w:rPr>
          <w:rFonts w:hint="eastAsia"/>
          <w:lang w:val="en-GB"/>
        </w:rPr>
      </w:pPr>
      <w:r>
        <w:rPr>
          <w:lang w:val="en-GB"/>
        </w:rPr>
        <w:tab/>
      </w:r>
      <w:r>
        <w:rPr>
          <w:lang w:val="en-GB"/>
        </w:rPr>
        <w:tab/>
      </w:r>
      <w:r>
        <w:rPr>
          <w:rFonts w:hint="eastAsia"/>
          <w:lang w:val="en-GB"/>
        </w:rPr>
        <w:t>对有特殊需要的儿童和青年人的支助</w:t>
      </w:r>
    </w:p>
    <w:p w:rsidR="00D84D94" w:rsidRDefault="00D84D94">
      <w:pPr>
        <w:pStyle w:val="SingleTxtGC"/>
        <w:rPr>
          <w:rFonts w:hint="eastAsia"/>
          <w:lang w:val="en-GB"/>
        </w:rPr>
      </w:pPr>
      <w:r>
        <w:rPr>
          <w:lang w:val="en-GB"/>
        </w:rPr>
        <w:t xml:space="preserve">193.  </w:t>
      </w:r>
      <w:r>
        <w:rPr>
          <w:rFonts w:hint="eastAsia"/>
          <w:lang w:val="en-GB"/>
        </w:rPr>
        <w:t>根据社会立法，当一名儿童或青年人特别需要支助时，市镇承担提供支助的责任。无论该儿童或青年人有特殊需要的原因是什么，这一规定都适用并因此也涵盖有肢体或心智缺陷的儿童。根据该儿童或青年人的需要，可按照要求向其，或者向其家庭或父母，直接提供支助。可以采取联系人、居家实用或教育支助、救济等所谓的防范性措施，也可以安排家外安置。支助决定通常需要得到监护父母的同意，但是如果存在由于下列原因一名儿童或青年人的健康会受到严重损害的明显风险，社会立法允许不经</w:t>
      </w:r>
      <w:r>
        <w:rPr>
          <w:rFonts w:hint="eastAsia"/>
          <w:lang w:val="en-GB"/>
        </w:rPr>
        <w:t>15</w:t>
      </w:r>
      <w:r>
        <w:rPr>
          <w:rFonts w:hint="eastAsia"/>
          <w:lang w:val="en-GB"/>
        </w:rPr>
        <w:t>岁以上青年人或监护父母的同意，即对其进行安置：</w:t>
      </w:r>
    </w:p>
    <w:p w:rsidR="00D84D94" w:rsidRDefault="00D84D94">
      <w:pPr>
        <w:pStyle w:val="Bullet1GC"/>
        <w:rPr>
          <w:rFonts w:hint="eastAsia"/>
          <w:lang w:val="en-GB"/>
        </w:rPr>
      </w:pPr>
      <w:r>
        <w:rPr>
          <w:rFonts w:hint="eastAsia"/>
          <w:lang w:val="en-GB"/>
        </w:rPr>
        <w:t>照顾或治疗不够；</w:t>
      </w:r>
    </w:p>
    <w:p w:rsidR="00D84D94" w:rsidRDefault="00D84D94">
      <w:pPr>
        <w:pStyle w:val="Bullet1GC"/>
        <w:rPr>
          <w:rFonts w:hint="eastAsia"/>
          <w:lang w:val="en-GB"/>
        </w:rPr>
      </w:pPr>
      <w:r>
        <w:rPr>
          <w:rFonts w:hint="eastAsia"/>
          <w:lang w:val="en-GB"/>
        </w:rPr>
        <w:t>暴力或其他严重虐待行为；</w:t>
      </w:r>
    </w:p>
    <w:p w:rsidR="00D84D94" w:rsidRDefault="00D84D94">
      <w:pPr>
        <w:pStyle w:val="Bullet1GC"/>
        <w:rPr>
          <w:rFonts w:hint="eastAsia"/>
          <w:lang w:val="en-GB"/>
        </w:rPr>
      </w:pPr>
      <w:r>
        <w:rPr>
          <w:rFonts w:hint="eastAsia"/>
          <w:lang w:val="en-GB"/>
        </w:rPr>
        <w:t>滥用物质问题，犯罪行为，或者影响到该儿童或青年人的其他严重社会困难或调整问题；或</w:t>
      </w:r>
    </w:p>
    <w:p w:rsidR="00D84D94" w:rsidRDefault="00D84D94">
      <w:pPr>
        <w:pStyle w:val="Bullet1GC"/>
        <w:rPr>
          <w:lang w:val="en-GB"/>
        </w:rPr>
      </w:pPr>
      <w:r>
        <w:rPr>
          <w:rFonts w:hint="eastAsia"/>
          <w:lang w:val="en-GB"/>
        </w:rPr>
        <w:t>影响到该儿童或青年人的其他行为或调整问题。</w:t>
      </w:r>
    </w:p>
    <w:p w:rsidR="00D84D94" w:rsidRDefault="00D84D94">
      <w:pPr>
        <w:pStyle w:val="SingleTxtGC"/>
        <w:rPr>
          <w:rFonts w:hint="eastAsia"/>
          <w:lang w:val="en-GB"/>
        </w:rPr>
      </w:pPr>
      <w:r>
        <w:rPr>
          <w:lang w:val="en-GB"/>
        </w:rPr>
        <w:t xml:space="preserve">194.  </w:t>
      </w:r>
      <w:r>
        <w:rPr>
          <w:rFonts w:hint="eastAsia"/>
          <w:lang w:val="en-GB"/>
        </w:rPr>
        <w:t>对于家外安置的决定可上诉至国家社会上诉委员会。</w:t>
      </w:r>
    </w:p>
    <w:p w:rsidR="00D84D94" w:rsidRDefault="00D84D94">
      <w:pPr>
        <w:pStyle w:val="SingleTxtGC"/>
        <w:rPr>
          <w:rFonts w:hint="eastAsia"/>
          <w:lang w:val="en-GB"/>
        </w:rPr>
      </w:pPr>
      <w:r>
        <w:rPr>
          <w:lang w:val="en-GB"/>
        </w:rPr>
        <w:t xml:space="preserve">195.  </w:t>
      </w:r>
      <w:r>
        <w:rPr>
          <w:rFonts w:hint="eastAsia"/>
          <w:lang w:val="en-GB"/>
        </w:rPr>
        <w:t>在安置期间，该儿童或青年人有权见父母、兄弟姐妹及其他人员。不过，出于为该儿童和青年人着想，社会当局可在特殊情况下限制这种会见。</w:t>
      </w:r>
    </w:p>
    <w:p w:rsidR="00D84D94" w:rsidRDefault="00D84D94">
      <w:pPr>
        <w:pStyle w:val="H23GC"/>
        <w:rPr>
          <w:rFonts w:hint="eastAsia"/>
          <w:lang w:val="en-GB"/>
        </w:rPr>
      </w:pPr>
      <w:r>
        <w:rPr>
          <w:lang w:val="en-GB"/>
        </w:rPr>
        <w:tab/>
      </w:r>
      <w:r>
        <w:rPr>
          <w:lang w:val="en-GB"/>
        </w:rPr>
        <w:tab/>
      </w:r>
      <w:r>
        <w:rPr>
          <w:rFonts w:hint="eastAsia"/>
          <w:lang w:val="en-GB"/>
        </w:rPr>
        <w:t>丹麦外侨法</w:t>
      </w:r>
    </w:p>
    <w:p w:rsidR="00D84D94" w:rsidRDefault="00D84D94">
      <w:pPr>
        <w:pStyle w:val="SingleTxtGC"/>
        <w:rPr>
          <w:rFonts w:hint="eastAsia"/>
          <w:lang w:val="en-GB"/>
        </w:rPr>
      </w:pPr>
      <w:r>
        <w:rPr>
          <w:lang w:val="en-GB"/>
        </w:rPr>
        <w:t xml:space="preserve">196.  </w:t>
      </w:r>
      <w:r>
        <w:rPr>
          <w:rFonts w:hint="eastAsia"/>
          <w:lang w:val="en-GB"/>
        </w:rPr>
        <w:t>在外侨法方面，依照《公约》，由于残疾不能满足一项或多项条件者并非必须达到这些要求。他们只豁免由于残疾而无法达到的条件。与残疾无关的其他要求，则必须与其他人一样达到。</w:t>
      </w:r>
    </w:p>
    <w:p w:rsidR="00D84D94" w:rsidRDefault="00D84D94">
      <w:pPr>
        <w:pStyle w:val="SingleTxtGC"/>
        <w:rPr>
          <w:rFonts w:hint="eastAsia"/>
          <w:lang w:val="en-GB"/>
        </w:rPr>
      </w:pPr>
      <w:r>
        <w:rPr>
          <w:lang w:val="en-GB"/>
        </w:rPr>
        <w:t xml:space="preserve">197.  </w:t>
      </w:r>
      <w:r>
        <w:rPr>
          <w:rFonts w:hint="eastAsia"/>
          <w:lang w:val="en-GB"/>
        </w:rPr>
        <w:t>若伴侣中有一方已不在丹麦居住，残疾人与配偶、同居者或未成年子女一起过家庭生活的可能性，在与其他公民同等的基础上得到保护。为此，如果《丹麦外侨法》规定的家庭团聚的条件和残疾构成了阻碍残疾人享有过家庭生活的平等权利，这些条件将被免除。无论该残疾人居住在丹麦还是申请者，也无论该残疾人是儿童还是成年人，都是如此。</w:t>
      </w:r>
    </w:p>
    <w:p w:rsidR="00D84D94" w:rsidRDefault="00D84D94">
      <w:pPr>
        <w:pStyle w:val="SingleTxtGC"/>
        <w:rPr>
          <w:rFonts w:hint="eastAsia"/>
          <w:lang w:val="en-GB"/>
        </w:rPr>
      </w:pPr>
      <w:r>
        <w:rPr>
          <w:lang w:val="en-GB"/>
        </w:rPr>
        <w:t xml:space="preserve">198.  </w:t>
      </w:r>
      <w:r>
        <w:rPr>
          <w:rFonts w:hint="eastAsia"/>
          <w:lang w:val="en-GB"/>
        </w:rPr>
        <w:t>若一名外国国民患有长期的肢体、精神、智力或感官缺陷，而取得无限期</w:t>
      </w:r>
      <w:r>
        <w:rPr>
          <w:rFonts w:hint="eastAsia"/>
          <w:lang w:val="en-GB"/>
        </w:rPr>
        <w:t>(</w:t>
      </w:r>
      <w:r>
        <w:rPr>
          <w:rFonts w:hint="eastAsia"/>
          <w:lang w:val="en-GB"/>
        </w:rPr>
        <w:t>长期</w:t>
      </w:r>
      <w:r>
        <w:rPr>
          <w:rFonts w:hint="eastAsia"/>
          <w:lang w:val="en-GB"/>
        </w:rPr>
        <w:t>)</w:t>
      </w:r>
      <w:r>
        <w:rPr>
          <w:rFonts w:hint="eastAsia"/>
          <w:lang w:val="en-GB"/>
        </w:rPr>
        <w:t>居留许可证的条件以及残疾阻碍该残疾人取得这种许可证以及其他立法规定的利益，那么将免除《丹麦外侨法》规定的取得无限期</w:t>
      </w:r>
      <w:r>
        <w:rPr>
          <w:rFonts w:hint="eastAsia"/>
          <w:lang w:val="en-GB"/>
        </w:rPr>
        <w:t>(</w:t>
      </w:r>
      <w:r>
        <w:rPr>
          <w:rFonts w:hint="eastAsia"/>
          <w:lang w:val="en-GB"/>
        </w:rPr>
        <w:t>长期</w:t>
      </w:r>
      <w:r>
        <w:rPr>
          <w:rFonts w:hint="eastAsia"/>
          <w:lang w:val="en-GB"/>
        </w:rPr>
        <w:t>)</w:t>
      </w:r>
      <w:r>
        <w:rPr>
          <w:rFonts w:hint="eastAsia"/>
          <w:lang w:val="en-GB"/>
        </w:rPr>
        <w:t>居留许可证的条件。</w:t>
      </w:r>
    </w:p>
    <w:p w:rsidR="00D84D94" w:rsidRDefault="00D84D94">
      <w:pPr>
        <w:pStyle w:val="H1GC"/>
        <w:rPr>
          <w:lang w:val="en-GB"/>
        </w:rPr>
      </w:pPr>
      <w:r>
        <w:rPr>
          <w:lang w:val="en-GB"/>
        </w:rPr>
        <w:tab/>
      </w:r>
      <w:r>
        <w:rPr>
          <w:lang w:val="en-GB"/>
        </w:rPr>
        <w:tab/>
      </w:r>
      <w:r>
        <w:rPr>
          <w:rFonts w:hint="eastAsia"/>
          <w:lang w:val="en-GB"/>
        </w:rPr>
        <w:t>第二十四条</w:t>
      </w:r>
    </w:p>
    <w:p w:rsidR="00D84D94" w:rsidRDefault="00D84D94">
      <w:pPr>
        <w:pStyle w:val="H23GC"/>
        <w:rPr>
          <w:rFonts w:hint="eastAsia"/>
          <w:lang w:val="en-GB"/>
        </w:rPr>
      </w:pPr>
      <w:r>
        <w:rPr>
          <w:lang w:val="en-GB"/>
        </w:rPr>
        <w:tab/>
      </w:r>
      <w:r>
        <w:rPr>
          <w:lang w:val="en-GB"/>
        </w:rPr>
        <w:tab/>
      </w:r>
      <w:r>
        <w:rPr>
          <w:rFonts w:hint="eastAsia"/>
          <w:lang w:val="en-GB"/>
        </w:rPr>
        <w:t>日托设施</w:t>
      </w:r>
    </w:p>
    <w:p w:rsidR="00D84D94" w:rsidRDefault="00D84D94">
      <w:pPr>
        <w:pStyle w:val="SingleTxtGC"/>
        <w:rPr>
          <w:rFonts w:hint="eastAsia"/>
          <w:lang w:val="en-GB"/>
        </w:rPr>
      </w:pPr>
      <w:r>
        <w:rPr>
          <w:lang w:val="en-GB"/>
        </w:rPr>
        <w:t xml:space="preserve">199.  </w:t>
      </w:r>
      <w:r>
        <w:rPr>
          <w:rFonts w:hint="eastAsia"/>
          <w:lang w:val="en-GB"/>
        </w:rPr>
        <w:t>正如关于日托设施的立法所指出，这种设施必须帮助促进儿童和青年人的福祉、发育和学习，等等。通过保证日托设施成为市镇为儿童和青年人提供的基本服务的一个组成部分，以及通过针对需要特别措施的儿童和青年人，包括有心智或肢体残疾的儿童和青年人的防范性和支持性举措，日托设施有助于防止贫穷的代代相传和社会排斥。</w:t>
      </w:r>
    </w:p>
    <w:p w:rsidR="00D84D94" w:rsidRDefault="00D84D94">
      <w:pPr>
        <w:pStyle w:val="SingleTxtGC"/>
        <w:rPr>
          <w:rFonts w:hint="eastAsia"/>
          <w:lang w:val="en-GB"/>
        </w:rPr>
      </w:pPr>
      <w:r>
        <w:rPr>
          <w:lang w:val="en-GB"/>
        </w:rPr>
        <w:t xml:space="preserve">200.  </w:t>
      </w:r>
      <w:r>
        <w:rPr>
          <w:rFonts w:hint="eastAsia"/>
          <w:lang w:val="en-GB"/>
        </w:rPr>
        <w:t>是根据《丹麦日托设施法》接纳一名肢体或心智功能减退的、需要支助的儿童进入普通日托设施，还是根据《丹麦社会服务法》的规定建议该儿童进入一个特殊日托设施，应由市镇中的资格评估委员会决定。</w:t>
      </w:r>
    </w:p>
    <w:p w:rsidR="00D84D94" w:rsidRDefault="00D84D94">
      <w:pPr>
        <w:pStyle w:val="SingleTxtGC"/>
        <w:rPr>
          <w:rFonts w:hint="eastAsia"/>
          <w:lang w:val="en-GB"/>
        </w:rPr>
      </w:pPr>
      <w:r>
        <w:rPr>
          <w:lang w:val="en-GB"/>
        </w:rPr>
        <w:t xml:space="preserve">201.  </w:t>
      </w:r>
      <w:r>
        <w:rPr>
          <w:rFonts w:hint="eastAsia"/>
          <w:lang w:val="en-GB"/>
        </w:rPr>
        <w:t>要将这名儿童及其家庭的总体情况，包括功能缺陷的性质与程度、治疗需求、该儿童的智力和社会资源及各种可能性、其年龄以及与患有同样功能缺陷的其他儿童</w:t>
      </w:r>
      <w:r>
        <w:rPr>
          <w:rFonts w:hint="eastAsia"/>
          <w:lang w:val="en-GB"/>
        </w:rPr>
        <w:t>(</w:t>
      </w:r>
      <w:r>
        <w:rPr>
          <w:rFonts w:hint="eastAsia"/>
          <w:lang w:val="en-GB"/>
        </w:rPr>
        <w:t>譬如其他盲童或聋哑儿童</w:t>
      </w:r>
      <w:r>
        <w:rPr>
          <w:rFonts w:hint="eastAsia"/>
          <w:lang w:val="en-GB"/>
        </w:rPr>
        <w:t>)</w:t>
      </w:r>
      <w:r>
        <w:rPr>
          <w:rFonts w:hint="eastAsia"/>
          <w:lang w:val="en-GB"/>
        </w:rPr>
        <w:t>进行社交的需要、与兄弟姐妹等人的关系等等，与机构中的条件相权衡。</w:t>
      </w:r>
    </w:p>
    <w:p w:rsidR="00D84D94" w:rsidRDefault="00D84D94">
      <w:pPr>
        <w:pStyle w:val="SingleTxtGC"/>
        <w:rPr>
          <w:rFonts w:hint="eastAsia"/>
          <w:lang w:val="en-GB"/>
        </w:rPr>
      </w:pPr>
      <w:r>
        <w:rPr>
          <w:lang w:val="en-GB"/>
        </w:rPr>
        <w:t xml:space="preserve">202.  </w:t>
      </w:r>
      <w:r>
        <w:rPr>
          <w:rFonts w:hint="eastAsia"/>
          <w:lang w:val="en-GB"/>
        </w:rPr>
        <w:t>当接收一名儿童进入某个托儿机构时，必须采取步骤满足其治疗需求以及个人发展的可能性。如果一名儿童从身体、心智或社会方面看不能融入普通日托设施中的儿童群体，确保该儿童得到最有利的发展条件的最方便实用的办法，是将其安排在属于普通日托设施一部分的残疾儿童班级中或安排在特别日托设施中。</w:t>
      </w:r>
    </w:p>
    <w:p w:rsidR="00D84D94" w:rsidRDefault="00D84D94">
      <w:pPr>
        <w:pStyle w:val="SingleTxtGC"/>
        <w:rPr>
          <w:rFonts w:hint="eastAsia"/>
          <w:lang w:val="en-GB"/>
        </w:rPr>
      </w:pPr>
      <w:r>
        <w:rPr>
          <w:lang w:val="en-GB"/>
        </w:rPr>
        <w:t xml:space="preserve">203.  </w:t>
      </w:r>
      <w:r>
        <w:rPr>
          <w:rFonts w:hint="eastAsia"/>
          <w:lang w:val="en-GB"/>
        </w:rPr>
        <w:t>接收决定必须与父母密切协商做出。如果该儿童要被纳入普通日托设施，就应依照市镇的一般接收导则接收，除非该儿童进入日托设施的特殊社会或教育需求证明有理由不遵循一般接收原则。</w:t>
      </w:r>
    </w:p>
    <w:p w:rsidR="00D84D94" w:rsidRDefault="00D84D94">
      <w:pPr>
        <w:pStyle w:val="H23GC"/>
        <w:rPr>
          <w:rFonts w:hint="eastAsia"/>
          <w:lang w:val="en-GB"/>
        </w:rPr>
      </w:pPr>
      <w:r>
        <w:rPr>
          <w:lang w:val="en-GB"/>
        </w:rPr>
        <w:tab/>
      </w:r>
      <w:r>
        <w:rPr>
          <w:lang w:val="en-GB"/>
        </w:rPr>
        <w:tab/>
      </w:r>
      <w:r>
        <w:rPr>
          <w:rFonts w:hint="eastAsia"/>
          <w:lang w:val="en-GB"/>
        </w:rPr>
        <w:t>小学和初中</w:t>
      </w:r>
    </w:p>
    <w:p w:rsidR="00D84D94" w:rsidRDefault="00D84D94">
      <w:pPr>
        <w:pStyle w:val="SingleTxtGC"/>
        <w:rPr>
          <w:rFonts w:hint="eastAsia"/>
          <w:lang w:val="en-GB"/>
        </w:rPr>
      </w:pPr>
      <w:r>
        <w:rPr>
          <w:lang w:val="en-GB"/>
        </w:rPr>
        <w:t xml:space="preserve">204.  </w:t>
      </w:r>
      <w:r>
        <w:rPr>
          <w:rFonts w:hint="eastAsia"/>
          <w:lang w:val="en-GB"/>
        </w:rPr>
        <w:t>1960</w:t>
      </w:r>
      <w:r>
        <w:rPr>
          <w:rFonts w:hint="eastAsia"/>
          <w:lang w:val="en-GB"/>
        </w:rPr>
        <w:t>年代以来，特殊教育发展迅猛。特别是自</w:t>
      </w:r>
      <w:r>
        <w:rPr>
          <w:rFonts w:hint="eastAsia"/>
          <w:lang w:val="en-GB"/>
        </w:rPr>
        <w:t>1994</w:t>
      </w:r>
      <w:r>
        <w:rPr>
          <w:rFonts w:hint="eastAsia"/>
          <w:lang w:val="en-GB"/>
        </w:rPr>
        <w:t>年丹麦加入《萨拉曼卡声明》以来，政治目标一直是为更大比例有特殊需要的儿童提供与普通教育相衔接的教育。《萨拉曼卡声明》着重指出了以下义务：无论残疾与否，为每一个人提供在普通班级接受教育的机会；以及在教育策略、教学形式、速度、内容和资源要求方面考虑到个体需求。该声明提出了“全纳学校教育”的理念。</w:t>
      </w:r>
    </w:p>
    <w:p w:rsidR="00D84D94" w:rsidRDefault="00D84D94">
      <w:pPr>
        <w:pStyle w:val="SingleTxtGC"/>
        <w:rPr>
          <w:rFonts w:hint="eastAsia"/>
          <w:lang w:val="en-GB"/>
        </w:rPr>
      </w:pPr>
      <w:r>
        <w:rPr>
          <w:lang w:val="en-GB"/>
        </w:rPr>
        <w:t xml:space="preserve">205.  </w:t>
      </w:r>
      <w:r>
        <w:rPr>
          <w:rFonts w:hint="eastAsia"/>
          <w:lang w:val="en-GB"/>
        </w:rPr>
        <w:t>依照《萨拉曼卡声明》，小学和初中的补习指导规划立足于全纳。</w:t>
      </w:r>
    </w:p>
    <w:p w:rsidR="00D84D94" w:rsidRDefault="00D84D94">
      <w:pPr>
        <w:pStyle w:val="H4GC"/>
        <w:rPr>
          <w:rFonts w:hint="eastAsia"/>
          <w:lang w:val="en-GB"/>
        </w:rPr>
      </w:pPr>
      <w:r>
        <w:rPr>
          <w:lang w:val="en-GB"/>
        </w:rPr>
        <w:tab/>
      </w:r>
      <w:r>
        <w:rPr>
          <w:lang w:val="en-GB"/>
        </w:rPr>
        <w:tab/>
      </w:r>
      <w:r>
        <w:rPr>
          <w:rFonts w:hint="eastAsia"/>
          <w:lang w:val="en-GB"/>
        </w:rPr>
        <w:t>该领域适用的规则</w:t>
      </w:r>
    </w:p>
    <w:p w:rsidR="00D84D94" w:rsidRDefault="00D84D94">
      <w:pPr>
        <w:pStyle w:val="SingleTxtGC"/>
        <w:rPr>
          <w:rFonts w:hint="eastAsia"/>
          <w:lang w:val="en-GB"/>
        </w:rPr>
      </w:pPr>
      <w:r>
        <w:rPr>
          <w:lang w:val="en-GB"/>
        </w:rPr>
        <w:t xml:space="preserve">206.  </w:t>
      </w:r>
      <w:r>
        <w:rPr>
          <w:rFonts w:hint="eastAsia"/>
          <w:lang w:val="en-GB"/>
        </w:rPr>
        <w:t>有些儿童的发展需要在普通教育范围内无法支持的特殊考虑或支助。这类儿童有权得到补习辅导及其他特殊教育援助。</w:t>
      </w:r>
    </w:p>
    <w:p w:rsidR="00D84D94" w:rsidRDefault="00D84D94">
      <w:pPr>
        <w:pStyle w:val="SingleTxtGC"/>
        <w:rPr>
          <w:rFonts w:hint="eastAsia"/>
          <w:lang w:val="en-GB"/>
        </w:rPr>
      </w:pPr>
      <w:r>
        <w:rPr>
          <w:lang w:val="en-GB"/>
        </w:rPr>
        <w:t xml:space="preserve">207.  </w:t>
      </w:r>
      <w:r>
        <w:rPr>
          <w:rFonts w:hint="eastAsia"/>
          <w:lang w:val="en-GB"/>
        </w:rPr>
        <w:t>补习辅导在特设班级</w:t>
      </w:r>
      <w:r>
        <w:rPr>
          <w:rFonts w:hint="eastAsia"/>
          <w:lang w:val="en-GB"/>
        </w:rPr>
        <w:t>(</w:t>
      </w:r>
      <w:r>
        <w:rPr>
          <w:rFonts w:hint="eastAsia"/>
          <w:lang w:val="en-GB"/>
        </w:rPr>
        <w:t>例如有常见发育障碍的儿童的班级</w:t>
      </w:r>
      <w:r>
        <w:rPr>
          <w:rFonts w:hint="eastAsia"/>
          <w:lang w:val="en-GB"/>
        </w:rPr>
        <w:t>)</w:t>
      </w:r>
      <w:r>
        <w:rPr>
          <w:rFonts w:hint="eastAsia"/>
          <w:lang w:val="en-GB"/>
        </w:rPr>
        <w:t>和特设学校</w:t>
      </w:r>
      <w:r>
        <w:rPr>
          <w:rFonts w:hint="eastAsia"/>
          <w:lang w:val="en-GB"/>
        </w:rPr>
        <w:t>(</w:t>
      </w:r>
      <w:r>
        <w:rPr>
          <w:rFonts w:hint="eastAsia"/>
          <w:lang w:val="en-GB"/>
        </w:rPr>
        <w:t>例如为有严重的常见学习困难的儿童设立的、特别擅长于补习辅导的学校</w:t>
      </w:r>
      <w:r>
        <w:rPr>
          <w:rFonts w:hint="eastAsia"/>
          <w:lang w:val="en-GB"/>
        </w:rPr>
        <w:t>)</w:t>
      </w:r>
      <w:r>
        <w:rPr>
          <w:rFonts w:hint="eastAsia"/>
          <w:lang w:val="en-GB"/>
        </w:rPr>
        <w:t>中提供，并与普通教育相衔接。</w:t>
      </w:r>
    </w:p>
    <w:p w:rsidR="00D84D94" w:rsidRDefault="00D84D94">
      <w:pPr>
        <w:pStyle w:val="SingleTxtGC"/>
        <w:rPr>
          <w:rFonts w:hint="eastAsia"/>
          <w:lang w:val="en-GB"/>
        </w:rPr>
      </w:pPr>
      <w:r>
        <w:rPr>
          <w:lang w:val="en-GB"/>
        </w:rPr>
        <w:t xml:space="preserve">208.  </w:t>
      </w:r>
      <w:r>
        <w:rPr>
          <w:rFonts w:hint="eastAsia"/>
          <w:lang w:val="en-GB"/>
        </w:rPr>
        <w:t>补习辅导及其他特别教育援助只能提供给那些其发展需要得到特别考虑或支助并且其需求不能通过利用普通教育范围内有差别的教学和班级构成得到完全满足的学生。如果一名学生的困难可以在普通小学和初中的范围内解决，就不得进行补习辅导。</w:t>
      </w:r>
    </w:p>
    <w:p w:rsidR="00D84D94" w:rsidRDefault="00D84D94">
      <w:pPr>
        <w:pStyle w:val="SingleTxtGC"/>
        <w:rPr>
          <w:rFonts w:hint="eastAsia"/>
          <w:lang w:val="en-GB"/>
        </w:rPr>
      </w:pPr>
      <w:r>
        <w:rPr>
          <w:lang w:val="en-GB"/>
        </w:rPr>
        <w:t xml:space="preserve">209.  </w:t>
      </w:r>
      <w:r>
        <w:rPr>
          <w:rFonts w:hint="eastAsia"/>
          <w:lang w:val="en-GB"/>
        </w:rPr>
        <w:t>补习辅导以减轻或限制心智、肢体、语言或感官功能障碍的影响为目的，包括以实用方法和行之有效的方法提供咨询、教育和训练等活动。可以提供教授一名学生所必需的专门教材和教具。</w:t>
      </w:r>
    </w:p>
    <w:p w:rsidR="00D84D94" w:rsidRDefault="00D84D94">
      <w:pPr>
        <w:pStyle w:val="SingleTxtGC"/>
        <w:rPr>
          <w:rFonts w:hint="eastAsia"/>
          <w:lang w:val="en-GB"/>
        </w:rPr>
      </w:pPr>
      <w:r>
        <w:rPr>
          <w:lang w:val="en-GB"/>
        </w:rPr>
        <w:t xml:space="preserve">210.  </w:t>
      </w:r>
      <w:r>
        <w:rPr>
          <w:rFonts w:hint="eastAsia"/>
          <w:lang w:val="en-GB"/>
        </w:rPr>
        <w:t>安排接受补习辅导，须经过对学生和家长的教育﹣心理学咨询并与之协商。因此，家长必须参与教育﹣心理评估，以及校长和地方理事会关于给予补习辅导及其他特别教育援助的决定。此外，应以书面形式通知家长关于进行补习辅导及其他特别教育援助的一切建议、报告等。若修改或中断此种援助，适用相同的规则。</w:t>
      </w:r>
    </w:p>
    <w:p w:rsidR="00D84D94" w:rsidRDefault="00D84D94">
      <w:pPr>
        <w:pStyle w:val="H4GC"/>
        <w:rPr>
          <w:rFonts w:hint="eastAsia"/>
          <w:bCs/>
          <w:iCs/>
          <w:lang w:val="en-GB"/>
        </w:rPr>
      </w:pPr>
      <w:r>
        <w:rPr>
          <w:lang w:val="en-GB"/>
        </w:rPr>
        <w:tab/>
      </w:r>
      <w:r>
        <w:rPr>
          <w:lang w:val="en-GB"/>
        </w:rPr>
        <w:tab/>
      </w:r>
      <w:r>
        <w:rPr>
          <w:rFonts w:hint="eastAsia"/>
          <w:lang w:val="en-GB"/>
        </w:rPr>
        <w:t>提高包容性的目标</w:t>
      </w:r>
    </w:p>
    <w:p w:rsidR="00D84D94" w:rsidRDefault="00D84D94">
      <w:pPr>
        <w:pStyle w:val="SingleTxtGC"/>
        <w:rPr>
          <w:rFonts w:hint="eastAsia"/>
          <w:lang w:val="en-GB"/>
        </w:rPr>
      </w:pPr>
      <w:r>
        <w:rPr>
          <w:lang w:val="en-GB"/>
        </w:rPr>
        <w:t xml:space="preserve">211.  </w:t>
      </w:r>
      <w:r>
        <w:rPr>
          <w:rFonts w:hint="eastAsia"/>
          <w:lang w:val="en-GB"/>
        </w:rPr>
        <w:t>2009</w:t>
      </w:r>
      <w:r>
        <w:rPr>
          <w:rFonts w:hint="eastAsia"/>
          <w:lang w:val="en-GB"/>
        </w:rPr>
        <w:t>年，丹麦教育部进行了“残疾儿童和青年教育效果和行为模式”调查</w:t>
      </w:r>
      <w:r>
        <w:rPr>
          <w:rFonts w:hint="eastAsia"/>
          <w:spacing w:val="-60"/>
          <w:lang w:val="en-GB"/>
        </w:rPr>
        <w:t>―</w:t>
      </w:r>
      <w:r>
        <w:rPr>
          <w:rFonts w:hint="eastAsia"/>
          <w:spacing w:val="10"/>
          <w:lang w:val="en-GB"/>
        </w:rPr>
        <w:t>―</w:t>
      </w:r>
      <w:r>
        <w:rPr>
          <w:rFonts w:hint="eastAsia"/>
          <w:lang w:val="en-GB"/>
        </w:rPr>
        <w:t>对于残疾</w:t>
      </w:r>
      <w:r>
        <w:rPr>
          <w:rFonts w:hint="eastAsia"/>
          <w:lang w:val="en-GB"/>
        </w:rPr>
        <w:t>(</w:t>
      </w:r>
      <w:r>
        <w:rPr>
          <w:rFonts w:hint="eastAsia"/>
          <w:lang w:val="en-GB"/>
        </w:rPr>
        <w:t>非认知残疾</w:t>
      </w:r>
      <w:r>
        <w:rPr>
          <w:rFonts w:hint="eastAsia"/>
          <w:lang w:val="en-GB"/>
        </w:rPr>
        <w:t>)</w:t>
      </w:r>
      <w:r>
        <w:rPr>
          <w:rFonts w:hint="eastAsia"/>
          <w:lang w:val="en-GB"/>
        </w:rPr>
        <w:t>儿童和青年的教育效果和模式进行的首次全国代表性调查。</w:t>
      </w:r>
    </w:p>
    <w:p w:rsidR="00D84D94" w:rsidRDefault="00D84D94">
      <w:pPr>
        <w:pStyle w:val="SingleTxtGC"/>
        <w:rPr>
          <w:rFonts w:hint="eastAsia"/>
          <w:lang w:val="en-GB"/>
        </w:rPr>
      </w:pPr>
      <w:r>
        <w:rPr>
          <w:lang w:val="en-GB"/>
        </w:rPr>
        <w:t xml:space="preserve">212.  </w:t>
      </w:r>
      <w:r>
        <w:rPr>
          <w:rFonts w:hint="eastAsia"/>
          <w:lang w:val="en-GB"/>
        </w:rPr>
        <w:t>根据此次调查，残疾儿童在教育系统中问题颇多。与健全儿童相比，残疾儿童得分较低，辍学人数较多，申请青年教育方案的残疾青年较少。此外，调查显示学校为那些在学校里问题最大的残疾儿童和青年提供了特定支助，但是调查也表明所提供的支助不足以抵消这些儿童和青年人的残疾。调查得出结论：明确的期望与要求、专门针对残疾人的指导和辅助器具，再加上补习辅导和具体的残疾知识，就可以促使具有非认识残疾的儿童和青年人取得可喜的教育效果。</w:t>
      </w:r>
    </w:p>
    <w:p w:rsidR="00D84D94" w:rsidRDefault="00D84D94">
      <w:pPr>
        <w:pStyle w:val="SingleTxtGC"/>
        <w:rPr>
          <w:rFonts w:hint="eastAsia"/>
          <w:lang w:val="en-GB"/>
        </w:rPr>
      </w:pPr>
      <w:r>
        <w:rPr>
          <w:lang w:val="en-GB"/>
        </w:rPr>
        <w:t xml:space="preserve">213.  </w:t>
      </w:r>
      <w:r>
        <w:rPr>
          <w:rFonts w:hint="eastAsia"/>
          <w:lang w:val="en-GB"/>
        </w:rPr>
        <w:t>2010</w:t>
      </w:r>
      <w:r>
        <w:rPr>
          <w:rFonts w:hint="eastAsia"/>
          <w:lang w:val="en-GB"/>
        </w:rPr>
        <w:t>年，丹麦政府与丹麦地方政府协会合作，对小学和初中的补习辅导进行了一次分析研究。结果表明，补习辅导的费用近年来急剧上涨，占到小学和初中学校费用总额的大约</w:t>
      </w:r>
      <w:r>
        <w:rPr>
          <w:rFonts w:hint="eastAsia"/>
          <w:lang w:val="en-GB"/>
        </w:rPr>
        <w:t>30%</w:t>
      </w:r>
      <w:r>
        <w:rPr>
          <w:rFonts w:hint="eastAsia"/>
          <w:lang w:val="en-GB"/>
        </w:rPr>
        <w:t>。分析还表明，与瑞典和芬兰相比，被选送到补习班和特设学校学习的丹麦中小学生人数相对较多。没有文件证明，像目前这样选送如此高比例的学生必定合适。</w:t>
      </w:r>
    </w:p>
    <w:p w:rsidR="00D84D94" w:rsidRDefault="00D84D94">
      <w:pPr>
        <w:pStyle w:val="SingleTxtGC"/>
        <w:rPr>
          <w:rFonts w:hint="eastAsia"/>
          <w:lang w:val="en-GB"/>
        </w:rPr>
      </w:pPr>
      <w:r>
        <w:rPr>
          <w:lang w:val="en-GB"/>
        </w:rPr>
        <w:t xml:space="preserve">214.  </w:t>
      </w:r>
      <w:r>
        <w:rPr>
          <w:rFonts w:hint="eastAsia"/>
          <w:lang w:val="en-GB"/>
        </w:rPr>
        <w:t>丹麦政府和丹麦地方政府协会追求如下明确目标：丹麦的普通小学和初中必须是全纳的，接收绝大部分有特殊需要的儿童。丹麦有相对较多的儿童被从普通教育分离出去，这与上述全纳目标并不一致。作为</w:t>
      </w:r>
      <w:r>
        <w:rPr>
          <w:rFonts w:hint="eastAsia"/>
          <w:lang w:val="en-GB"/>
        </w:rPr>
        <w:t>2011</w:t>
      </w:r>
      <w:r>
        <w:rPr>
          <w:rFonts w:hint="eastAsia"/>
          <w:lang w:val="en-GB"/>
        </w:rPr>
        <w:t>年和</w:t>
      </w:r>
      <w:r>
        <w:rPr>
          <w:rFonts w:hint="eastAsia"/>
          <w:lang w:val="en-GB"/>
        </w:rPr>
        <w:t>2012</w:t>
      </w:r>
      <w:r>
        <w:rPr>
          <w:rFonts w:hint="eastAsia"/>
          <w:lang w:val="en-GB"/>
        </w:rPr>
        <w:t>年市镇经济的一部分，丹麦政府和丹麦地方政府协会一致同意致力于打造更加包容的普通小学和初中，以便接纳更大比例的学生。全纳性小学和初中学校将会解放资源，所解放的资源可用来进行加强小学和初中学校普通教育等活动。</w:t>
      </w:r>
    </w:p>
    <w:p w:rsidR="00D84D94" w:rsidRDefault="00D84D94">
      <w:pPr>
        <w:pStyle w:val="SingleTxtGC"/>
        <w:rPr>
          <w:rFonts w:hint="eastAsia"/>
          <w:lang w:val="en-GB"/>
        </w:rPr>
      </w:pPr>
      <w:r>
        <w:rPr>
          <w:lang w:val="en-GB"/>
        </w:rPr>
        <w:t xml:space="preserve">215.  </w:t>
      </w:r>
      <w:r>
        <w:rPr>
          <w:rFonts w:hint="eastAsia"/>
          <w:lang w:val="en-GB"/>
        </w:rPr>
        <w:t>政府还提出了一项小学和初中提案，其中包括有助于减少被选送去接受单独补习辅导的学生人数的一系列举措。</w:t>
      </w:r>
    </w:p>
    <w:p w:rsidR="00D84D94" w:rsidRDefault="00D84D94">
      <w:pPr>
        <w:pStyle w:val="SingleTxtGC"/>
        <w:rPr>
          <w:rFonts w:hint="eastAsia"/>
          <w:lang w:val="en-GB"/>
        </w:rPr>
      </w:pPr>
      <w:r>
        <w:rPr>
          <w:lang w:val="en-GB"/>
        </w:rPr>
        <w:t xml:space="preserve">216.  </w:t>
      </w:r>
      <w:r>
        <w:rPr>
          <w:rFonts w:hint="eastAsia"/>
          <w:lang w:val="en-GB"/>
        </w:rPr>
        <w:t>患有多动症、</w:t>
      </w:r>
      <w:r>
        <w:rPr>
          <w:lang w:val="en-GB"/>
        </w:rPr>
        <w:t>亚斯伯格综合症</w:t>
      </w:r>
      <w:r>
        <w:rPr>
          <w:rFonts w:hint="eastAsia"/>
          <w:lang w:val="en-GB"/>
        </w:rPr>
        <w:t>、轻度自闭症和非认知残疾的学生，属于预期被纳入普通教育的学生。</w:t>
      </w:r>
    </w:p>
    <w:p w:rsidR="00D84D94" w:rsidRDefault="00D84D94">
      <w:pPr>
        <w:pStyle w:val="SingleTxtGC"/>
        <w:rPr>
          <w:rFonts w:hint="eastAsia"/>
          <w:lang w:val="en-GB"/>
        </w:rPr>
      </w:pPr>
      <w:r>
        <w:rPr>
          <w:lang w:val="en-GB"/>
        </w:rPr>
        <w:t xml:space="preserve">217.  </w:t>
      </w:r>
      <w:r>
        <w:rPr>
          <w:rFonts w:hint="eastAsia"/>
          <w:lang w:val="en-GB"/>
        </w:rPr>
        <w:t>为确保所有儿童都被纳入小学和初中学校教育，出台了如下一些举措：</w:t>
      </w:r>
    </w:p>
    <w:p w:rsidR="00D84D94" w:rsidRDefault="00D84D94">
      <w:pPr>
        <w:pStyle w:val="H4GC"/>
        <w:rPr>
          <w:rFonts w:hint="eastAsia"/>
          <w:lang w:val="en-GB"/>
        </w:rPr>
      </w:pPr>
      <w:r>
        <w:rPr>
          <w:lang w:val="en-GB"/>
        </w:rPr>
        <w:tab/>
      </w:r>
      <w:r>
        <w:rPr>
          <w:lang w:val="en-GB"/>
        </w:rPr>
        <w:tab/>
      </w:r>
      <w:r>
        <w:rPr>
          <w:rFonts w:hint="eastAsia"/>
          <w:lang w:val="en-GB"/>
        </w:rPr>
        <w:t>为纳入普通教育而发展学校</w:t>
      </w:r>
    </w:p>
    <w:p w:rsidR="00D84D94" w:rsidRDefault="00D84D94">
      <w:pPr>
        <w:pStyle w:val="SingleTxtGC"/>
        <w:rPr>
          <w:rFonts w:hint="eastAsia"/>
          <w:lang w:val="en-GB"/>
        </w:rPr>
      </w:pPr>
      <w:r>
        <w:rPr>
          <w:lang w:val="en-GB"/>
        </w:rPr>
        <w:t xml:space="preserve">218.  </w:t>
      </w:r>
      <w:r>
        <w:rPr>
          <w:rFonts w:hint="eastAsia"/>
          <w:lang w:val="en-GB"/>
        </w:rPr>
        <w:t>已拨出专项资金开展学校发展工作，提升学校的包容性和教育标准，减少被选送去接受补习辅导的学生人数。目前，为补习辅导提供了</w:t>
      </w:r>
      <w:r>
        <w:rPr>
          <w:rFonts w:hint="eastAsia"/>
          <w:lang w:val="en-GB"/>
        </w:rPr>
        <w:t>130</w:t>
      </w:r>
      <w:r>
        <w:rPr>
          <w:rFonts w:hint="eastAsia"/>
          <w:lang w:val="en-GB"/>
        </w:rPr>
        <w:t>亿丹麦克朗，有大约</w:t>
      </w:r>
      <w:r>
        <w:rPr>
          <w:lang w:val="en-GB"/>
        </w:rPr>
        <w:t>33,000</w:t>
      </w:r>
      <w:r>
        <w:rPr>
          <w:rFonts w:hint="eastAsia"/>
          <w:lang w:val="en-GB"/>
        </w:rPr>
        <w:t>名中小学生在特设学校和补习班中接受教育。这个数字太高了，与国家和市镇政府制定的全纳小学和初中目标相悖。为</w:t>
      </w:r>
      <w:r>
        <w:rPr>
          <w:rFonts w:hint="eastAsia"/>
          <w:lang w:val="en-GB"/>
        </w:rPr>
        <w:t>23</w:t>
      </w:r>
      <w:r>
        <w:rPr>
          <w:rFonts w:hint="eastAsia"/>
          <w:lang w:val="en-GB"/>
        </w:rPr>
        <w:t>个市镇标题如下的项目提供了补贴：</w:t>
      </w:r>
      <w:r>
        <w:rPr>
          <w:lang w:val="en-GB"/>
        </w:rPr>
        <w:t xml:space="preserve">(a) </w:t>
      </w:r>
      <w:r>
        <w:rPr>
          <w:rFonts w:hint="eastAsia"/>
          <w:lang w:val="en-GB"/>
        </w:rPr>
        <w:t>地方战略、组织形式和辅助措施；</w:t>
      </w:r>
      <w:r>
        <w:rPr>
          <w:lang w:val="en-GB"/>
        </w:rPr>
        <w:t xml:space="preserve">(b) </w:t>
      </w:r>
      <w:r>
        <w:rPr>
          <w:rFonts w:hint="eastAsia"/>
          <w:lang w:val="en-GB"/>
        </w:rPr>
        <w:t>学校和班级学习框架；</w:t>
      </w:r>
      <w:r>
        <w:rPr>
          <w:rFonts w:hint="eastAsia"/>
          <w:lang w:val="en-GB"/>
        </w:rPr>
        <w:t>(</w:t>
      </w:r>
      <w:r>
        <w:rPr>
          <w:lang w:val="en-GB"/>
        </w:rPr>
        <w:t xml:space="preserve">c) </w:t>
      </w:r>
      <w:r>
        <w:rPr>
          <w:rFonts w:hint="eastAsia"/>
          <w:lang w:val="en-GB"/>
        </w:rPr>
        <w:t>与学生接受的普通教育相衔接的补充或备选学生活动规划。学校发展工作于</w:t>
      </w:r>
      <w:r>
        <w:rPr>
          <w:rFonts w:hint="eastAsia"/>
          <w:lang w:val="en-GB"/>
        </w:rPr>
        <w:t>2010</w:t>
      </w:r>
      <w:r>
        <w:rPr>
          <w:rFonts w:hint="eastAsia"/>
          <w:lang w:val="en-GB"/>
        </w:rPr>
        <w:t>年底完成。</w:t>
      </w:r>
    </w:p>
    <w:p w:rsidR="00D84D94" w:rsidRDefault="00D84D94">
      <w:pPr>
        <w:pStyle w:val="SingleTxtGC"/>
        <w:rPr>
          <w:rFonts w:hint="eastAsia"/>
          <w:lang w:val="en-GB"/>
        </w:rPr>
      </w:pPr>
      <w:r>
        <w:rPr>
          <w:lang w:val="en-GB"/>
        </w:rPr>
        <w:t xml:space="preserve">219.  </w:t>
      </w:r>
      <w:r>
        <w:rPr>
          <w:rFonts w:hint="eastAsia"/>
          <w:lang w:val="en-GB"/>
        </w:rPr>
        <w:t>对发展工作的评价提示，与目前情况相比，有更多学生可以被纳入普通教育。要想成功，就得运用一种为解决目标群体的具体困难而专门、仔细制订的全纳方法。评价还表明，有条不紊的起步、家长参与以及教师在关系工作、评价和差别教学等方面的能力都能促进全纳。然而，评价也表明，学校接收有严重困难的学生确实有问题。</w:t>
      </w:r>
    </w:p>
    <w:p w:rsidR="00D84D94" w:rsidRDefault="00D84D94">
      <w:pPr>
        <w:pStyle w:val="H4GC"/>
        <w:rPr>
          <w:rFonts w:hint="eastAsia"/>
          <w:lang w:val="en-GB"/>
        </w:rPr>
      </w:pPr>
      <w:r>
        <w:rPr>
          <w:lang w:val="en-GB"/>
        </w:rPr>
        <w:tab/>
      </w:r>
      <w:r>
        <w:rPr>
          <w:lang w:val="en-GB"/>
        </w:rPr>
        <w:tab/>
      </w:r>
      <w:r>
        <w:rPr>
          <w:rFonts w:hint="eastAsia"/>
          <w:lang w:val="en-GB"/>
        </w:rPr>
        <w:t>市镇审议补习辅导和特殊教育援助案指南</w:t>
      </w:r>
    </w:p>
    <w:p w:rsidR="00D84D94" w:rsidRDefault="00D84D94">
      <w:pPr>
        <w:pStyle w:val="SingleTxtGC"/>
        <w:rPr>
          <w:rFonts w:hint="eastAsia"/>
          <w:lang w:val="en-GB"/>
        </w:rPr>
      </w:pPr>
      <w:r>
        <w:rPr>
          <w:lang w:val="en-GB"/>
        </w:rPr>
        <w:t xml:space="preserve">220.  </w:t>
      </w:r>
      <w:r>
        <w:rPr>
          <w:rFonts w:hint="eastAsia"/>
          <w:lang w:val="en-GB"/>
        </w:rPr>
        <w:t>教育部编写了一本指南，对于规划和进行尽可能好的案件审议过程给予实用帮助。首先，该指南面向负责就补习辅导</w:t>
      </w:r>
      <w:r>
        <w:rPr>
          <w:rFonts w:hint="eastAsia"/>
          <w:lang w:val="en-GB"/>
        </w:rPr>
        <w:t>/</w:t>
      </w:r>
      <w:r>
        <w:rPr>
          <w:rFonts w:hint="eastAsia"/>
          <w:lang w:val="en-GB"/>
        </w:rPr>
        <w:t>特别教育援助进行决策的行政管理人员，即校长、儿童与文化主任、地方社会工作者和教育﹣心理辅导人员。该指南于</w:t>
      </w:r>
      <w:r>
        <w:rPr>
          <w:rFonts w:hint="eastAsia"/>
          <w:lang w:val="en-GB"/>
        </w:rPr>
        <w:t>2008</w:t>
      </w:r>
      <w:r>
        <w:rPr>
          <w:rFonts w:hint="eastAsia"/>
          <w:lang w:val="en-GB"/>
        </w:rPr>
        <w:t>年</w:t>
      </w:r>
      <w:r>
        <w:rPr>
          <w:rFonts w:hint="eastAsia"/>
          <w:lang w:val="en-GB"/>
        </w:rPr>
        <w:t>12</w:t>
      </w:r>
      <w:r>
        <w:rPr>
          <w:rFonts w:hint="eastAsia"/>
          <w:lang w:val="en-GB"/>
        </w:rPr>
        <w:t>月出版，最近又于</w:t>
      </w:r>
      <w:r>
        <w:rPr>
          <w:rFonts w:hint="eastAsia"/>
          <w:lang w:val="en-GB"/>
        </w:rPr>
        <w:t>2011</w:t>
      </w:r>
      <w:r>
        <w:rPr>
          <w:rFonts w:hint="eastAsia"/>
          <w:lang w:val="en-GB"/>
        </w:rPr>
        <w:t>年</w:t>
      </w:r>
      <w:r>
        <w:rPr>
          <w:rFonts w:hint="eastAsia"/>
          <w:lang w:val="en-GB"/>
        </w:rPr>
        <w:t>2</w:t>
      </w:r>
      <w:r>
        <w:rPr>
          <w:rFonts w:hint="eastAsia"/>
          <w:lang w:val="en-GB"/>
        </w:rPr>
        <w:t>月进行了修订。</w:t>
      </w:r>
    </w:p>
    <w:p w:rsidR="00D84D94" w:rsidRDefault="00D84D94">
      <w:pPr>
        <w:pStyle w:val="H4GC"/>
        <w:rPr>
          <w:rFonts w:hint="eastAsia"/>
          <w:lang w:val="en-GB"/>
        </w:rPr>
      </w:pPr>
      <w:r>
        <w:rPr>
          <w:lang w:val="en-GB"/>
        </w:rPr>
        <w:tab/>
      </w:r>
      <w:r>
        <w:rPr>
          <w:lang w:val="en-GB"/>
        </w:rPr>
        <w:tab/>
      </w:r>
      <w:r>
        <w:rPr>
          <w:rFonts w:hint="eastAsia"/>
          <w:lang w:val="en-GB"/>
        </w:rPr>
        <w:t>其他举措</w:t>
      </w:r>
    </w:p>
    <w:p w:rsidR="00D84D94" w:rsidRDefault="00D84D94">
      <w:pPr>
        <w:pStyle w:val="SingleTxtGC"/>
        <w:rPr>
          <w:rFonts w:hint="eastAsia"/>
          <w:lang w:val="en-GB"/>
        </w:rPr>
      </w:pPr>
      <w:r>
        <w:rPr>
          <w:lang w:val="en-GB"/>
        </w:rPr>
        <w:t xml:space="preserve">221.  </w:t>
      </w:r>
      <w:r>
        <w:rPr>
          <w:rFonts w:hint="eastAsia"/>
          <w:lang w:val="en-GB"/>
        </w:rPr>
        <w:t>政府还采取了各种举措提升补习辅导的质量，其中包括：</w:t>
      </w:r>
    </w:p>
    <w:p w:rsidR="00D84D94" w:rsidRDefault="00D84D94">
      <w:pPr>
        <w:pStyle w:val="Bullet1GC"/>
        <w:rPr>
          <w:rFonts w:hint="eastAsia"/>
          <w:lang w:val="en-GB"/>
        </w:rPr>
      </w:pPr>
      <w:r>
        <w:rPr>
          <w:rFonts w:hint="eastAsia"/>
          <w:lang w:val="en-GB"/>
        </w:rPr>
        <w:t>为有阅读</w:t>
      </w:r>
      <w:r>
        <w:rPr>
          <w:rFonts w:hint="eastAsia"/>
          <w:lang w:val="en-GB"/>
        </w:rPr>
        <w:t>/</w:t>
      </w:r>
      <w:r>
        <w:rPr>
          <w:rFonts w:hint="eastAsia"/>
          <w:lang w:val="en-GB"/>
        </w:rPr>
        <w:t>拼写困难的学生试验性地购置信息技术</w:t>
      </w:r>
      <w:r>
        <w:rPr>
          <w:lang w:val="en-GB"/>
        </w:rPr>
        <w:t>帆布背包</w:t>
      </w:r>
      <w:r>
        <w:rPr>
          <w:rFonts w:hint="eastAsia"/>
          <w:lang w:val="en-GB"/>
        </w:rPr>
        <w:t>。目的是加强他们的学习以及完成青年教育方案的可能性。该项目将于</w:t>
      </w:r>
      <w:r>
        <w:rPr>
          <w:rFonts w:hint="eastAsia"/>
          <w:lang w:val="en-GB"/>
        </w:rPr>
        <w:t>2013</w:t>
      </w:r>
      <w:r>
        <w:rPr>
          <w:rFonts w:hint="eastAsia"/>
          <w:lang w:val="en-GB"/>
        </w:rPr>
        <w:t>年完成。</w:t>
      </w:r>
    </w:p>
    <w:p w:rsidR="00D84D94" w:rsidRDefault="00D84D94">
      <w:pPr>
        <w:pStyle w:val="Bullet1GC"/>
        <w:rPr>
          <w:rFonts w:hint="eastAsia"/>
          <w:lang w:val="en-GB"/>
        </w:rPr>
      </w:pPr>
      <w:r>
        <w:rPr>
          <w:rFonts w:hint="eastAsia"/>
          <w:lang w:val="en-GB"/>
        </w:rPr>
        <w:t>出版一本手册，列出地方监督补习辅导的目标、监督原则、监督者的任务和手段，以及监督的组织。该手册并不是一个具有约束力的文件，只能作为对于地方监督活动的锦囊妙计和支持。</w:t>
      </w:r>
    </w:p>
    <w:p w:rsidR="00D84D94" w:rsidRDefault="00D84D94">
      <w:pPr>
        <w:pStyle w:val="Bullet1GC"/>
        <w:rPr>
          <w:rFonts w:hint="eastAsia"/>
          <w:lang w:val="en-GB"/>
        </w:rPr>
      </w:pPr>
      <w:r>
        <w:rPr>
          <w:rFonts w:hint="eastAsia"/>
          <w:lang w:val="en-GB"/>
        </w:rPr>
        <w:t>编制观察材料，以期更加详细地描述由于环境而非语言问题造成的双语学生特定功能减退情况，并编写方法和材料说明。这项编制工作计划于</w:t>
      </w:r>
      <w:r>
        <w:rPr>
          <w:rFonts w:hint="eastAsia"/>
          <w:lang w:val="en-GB"/>
        </w:rPr>
        <w:t>2011</w:t>
      </w:r>
      <w:r>
        <w:rPr>
          <w:rFonts w:hint="eastAsia"/>
          <w:lang w:val="en-GB"/>
        </w:rPr>
        <w:t>年春启动。</w:t>
      </w:r>
    </w:p>
    <w:p w:rsidR="00D84D94" w:rsidRDefault="00D84D94">
      <w:pPr>
        <w:pStyle w:val="Bullet1GC"/>
        <w:rPr>
          <w:rFonts w:hint="eastAsia"/>
          <w:lang w:val="en-GB"/>
        </w:rPr>
      </w:pPr>
      <w:r>
        <w:rPr>
          <w:rFonts w:hint="eastAsia"/>
          <w:lang w:val="en-GB"/>
        </w:rPr>
        <w:t>教育部已着手研发在各级教育使用的读写困难测验，目的是在教育进程的较早时期查出有读写困难的学生。该测验的研发计划于</w:t>
      </w:r>
      <w:r>
        <w:rPr>
          <w:rFonts w:hint="eastAsia"/>
          <w:lang w:val="en-GB"/>
        </w:rPr>
        <w:t>2013</w:t>
      </w:r>
      <w:r>
        <w:rPr>
          <w:rFonts w:hint="eastAsia"/>
          <w:lang w:val="en-GB"/>
        </w:rPr>
        <w:t>年完成。</w:t>
      </w:r>
    </w:p>
    <w:p w:rsidR="00D84D94" w:rsidRDefault="00D84D94">
      <w:pPr>
        <w:pStyle w:val="H23GC"/>
        <w:rPr>
          <w:rFonts w:hint="eastAsia"/>
          <w:lang w:val="en-GB"/>
        </w:rPr>
      </w:pPr>
      <w:r>
        <w:rPr>
          <w:lang w:val="en-GB"/>
        </w:rPr>
        <w:tab/>
      </w:r>
      <w:r>
        <w:rPr>
          <w:lang w:val="en-GB"/>
        </w:rPr>
        <w:tab/>
      </w:r>
      <w:r>
        <w:rPr>
          <w:rFonts w:hint="eastAsia"/>
          <w:lang w:val="en-GB"/>
        </w:rPr>
        <w:t>青年教育方案</w:t>
      </w:r>
    </w:p>
    <w:p w:rsidR="00D84D94" w:rsidRDefault="00D84D94">
      <w:pPr>
        <w:pStyle w:val="SingleTxtGC"/>
        <w:rPr>
          <w:rFonts w:hint="eastAsia"/>
          <w:lang w:val="en-GB"/>
        </w:rPr>
      </w:pPr>
      <w:r>
        <w:rPr>
          <w:lang w:val="en-GB"/>
        </w:rPr>
        <w:t xml:space="preserve">222.  </w:t>
      </w:r>
      <w:r>
        <w:rPr>
          <w:rFonts w:hint="eastAsia"/>
          <w:lang w:val="en-GB"/>
        </w:rPr>
        <w:t>2006</w:t>
      </w:r>
      <w:r>
        <w:rPr>
          <w:rFonts w:hint="eastAsia"/>
          <w:lang w:val="en-GB"/>
        </w:rPr>
        <w:t>年</w:t>
      </w:r>
      <w:r>
        <w:rPr>
          <w:rFonts w:hint="eastAsia"/>
          <w:lang w:val="en-GB"/>
        </w:rPr>
        <w:t>11</w:t>
      </w:r>
      <w:r>
        <w:rPr>
          <w:rFonts w:hint="eastAsia"/>
          <w:lang w:val="en-GB"/>
        </w:rPr>
        <w:t>月关于建立全球化后备队的协议旨在使丹麦成为走在前列的增长、知识和创业社会。根据该协议，自</w:t>
      </w:r>
      <w:r>
        <w:rPr>
          <w:rFonts w:hint="eastAsia"/>
          <w:lang w:val="en-GB"/>
        </w:rPr>
        <w:t>2015</w:t>
      </w:r>
      <w:r>
        <w:rPr>
          <w:rFonts w:hint="eastAsia"/>
          <w:lang w:val="en-GB"/>
        </w:rPr>
        <w:t>年起，每年均必须有至少</w:t>
      </w:r>
      <w:r>
        <w:rPr>
          <w:rFonts w:hint="eastAsia"/>
          <w:lang w:val="en-GB"/>
        </w:rPr>
        <w:t>95%</w:t>
      </w:r>
      <w:r>
        <w:rPr>
          <w:rFonts w:hint="eastAsia"/>
          <w:lang w:val="en-GB"/>
        </w:rPr>
        <w:t>的青年人读完了青年教育方案。这被称为</w:t>
      </w:r>
      <w:r>
        <w:rPr>
          <w:rFonts w:hint="eastAsia"/>
          <w:lang w:val="en-GB"/>
        </w:rPr>
        <w:t>95%</w:t>
      </w:r>
      <w:r>
        <w:rPr>
          <w:rFonts w:hint="eastAsia"/>
          <w:lang w:val="en-GB"/>
        </w:rPr>
        <w:t>的目标。</w:t>
      </w:r>
    </w:p>
    <w:p w:rsidR="00D84D94" w:rsidRDefault="00D84D94">
      <w:pPr>
        <w:pStyle w:val="SingleTxtGC"/>
        <w:rPr>
          <w:rFonts w:hint="eastAsia"/>
          <w:lang w:val="en-GB"/>
        </w:rPr>
      </w:pPr>
      <w:r>
        <w:rPr>
          <w:lang w:val="en-GB"/>
        </w:rPr>
        <w:t xml:space="preserve">223.  </w:t>
      </w:r>
      <w:r>
        <w:rPr>
          <w:rFonts w:hint="eastAsia"/>
          <w:lang w:val="en-GB"/>
        </w:rPr>
        <w:t>要达到这一雄心勃勃的目标，需要的不仅仅是对青年教育方案另眼相看。小学校和小学咨询是重要的共同促进者。因此，政府推出了有关小学校、咨询和职业培训方案的举措。所有这些举措都是要协助达到</w:t>
      </w:r>
      <w:r>
        <w:rPr>
          <w:rFonts w:hint="eastAsia"/>
          <w:lang w:val="en-GB"/>
        </w:rPr>
        <w:t>95%</w:t>
      </w:r>
      <w:r>
        <w:rPr>
          <w:rFonts w:hint="eastAsia"/>
          <w:lang w:val="en-GB"/>
        </w:rPr>
        <w:t>的目标。</w:t>
      </w:r>
    </w:p>
    <w:p w:rsidR="00D84D94" w:rsidRDefault="00D84D94">
      <w:pPr>
        <w:pStyle w:val="SingleTxtGC"/>
        <w:rPr>
          <w:rFonts w:hint="eastAsia"/>
          <w:lang w:val="en-GB"/>
        </w:rPr>
      </w:pPr>
      <w:r>
        <w:rPr>
          <w:lang w:val="en-GB"/>
        </w:rPr>
        <w:t xml:space="preserve">224.  </w:t>
      </w:r>
      <w:r>
        <w:rPr>
          <w:rFonts w:hint="eastAsia"/>
          <w:lang w:val="en-GB"/>
        </w:rPr>
        <w:t>就青年教育方案而言，提供了特别教育援助，以确保身心功能减退的学生能够完成其学业并获得教育方案规定的教育能力以及可能继续接受教育的能力。因此，功能减退的学生可以在提供青年教育方案的机构接受教育。</w:t>
      </w:r>
    </w:p>
    <w:p w:rsidR="00D84D94" w:rsidRDefault="00D84D94">
      <w:pPr>
        <w:pStyle w:val="SingleTxtGC"/>
        <w:rPr>
          <w:rFonts w:hint="eastAsia"/>
          <w:lang w:val="en-GB"/>
        </w:rPr>
      </w:pPr>
      <w:r>
        <w:rPr>
          <w:lang w:val="en-GB"/>
        </w:rPr>
        <w:t xml:space="preserve">225.  </w:t>
      </w:r>
      <w:r>
        <w:rPr>
          <w:rFonts w:hint="eastAsia"/>
          <w:lang w:val="en-GB"/>
        </w:rPr>
        <w:t>立法涉及到了小学和初中学生以及参加继续教育方案的学生的心智和肢体残疾问题。此外，还有一个试验计划，可使有特殊需要或残疾且正在参加一项劳动力市场教育方案的成年人向学校申请特别教育援助。尤其是对非常庞大的有读写困难的受助者群体而言，这可能造成转型问题</w:t>
      </w:r>
      <w:r>
        <w:rPr>
          <w:rFonts w:hint="eastAsia"/>
          <w:spacing w:val="-60"/>
          <w:lang w:val="en-GB"/>
        </w:rPr>
        <w:t>―</w:t>
      </w:r>
      <w:r>
        <w:rPr>
          <w:rFonts w:hint="eastAsia"/>
          <w:spacing w:val="10"/>
          <w:lang w:val="en-GB"/>
        </w:rPr>
        <w:t>―</w:t>
      </w:r>
      <w:r>
        <w:rPr>
          <w:rFonts w:hint="eastAsia"/>
          <w:lang w:val="en-GB"/>
        </w:rPr>
        <w:t>例如测验和分析方面的问题。</w:t>
      </w:r>
    </w:p>
    <w:p w:rsidR="00D84D94" w:rsidRDefault="00D84D94">
      <w:pPr>
        <w:pStyle w:val="SingleTxtGC"/>
        <w:rPr>
          <w:rFonts w:hint="eastAsia"/>
          <w:lang w:val="en-GB"/>
        </w:rPr>
      </w:pPr>
      <w:r>
        <w:rPr>
          <w:lang w:val="en-GB"/>
        </w:rPr>
        <w:t xml:space="preserve">226.  </w:t>
      </w:r>
      <w:r>
        <w:rPr>
          <w:rFonts w:hint="eastAsia"/>
          <w:lang w:val="en-GB"/>
        </w:rPr>
        <w:t>教育部刚刚出版了一本关于在推出青年教育方案中的特别教育援助时市镇与教育机构合作的指南。丹麦残疾人组织是该指南编写工作组的成员。</w:t>
      </w:r>
    </w:p>
    <w:p w:rsidR="00D84D94" w:rsidRDefault="00D84D94">
      <w:pPr>
        <w:pStyle w:val="H4GC"/>
        <w:rPr>
          <w:rFonts w:hint="eastAsia"/>
          <w:lang w:val="en-GB"/>
        </w:rPr>
      </w:pPr>
      <w:r>
        <w:rPr>
          <w:rFonts w:hint="eastAsia"/>
          <w:lang w:val="en-GB"/>
        </w:rPr>
        <w:tab/>
      </w:r>
      <w:r>
        <w:rPr>
          <w:rFonts w:hint="eastAsia"/>
          <w:lang w:val="en-GB"/>
        </w:rPr>
        <w:tab/>
      </w:r>
      <w:r>
        <w:rPr>
          <w:rFonts w:hint="eastAsia"/>
          <w:lang w:val="en-GB"/>
        </w:rPr>
        <w:t>面向有特殊需要的青年人的教育和职业咨询</w:t>
      </w:r>
    </w:p>
    <w:p w:rsidR="00D84D94" w:rsidRDefault="00D84D94">
      <w:pPr>
        <w:pStyle w:val="SingleTxtGC"/>
        <w:rPr>
          <w:rFonts w:hint="eastAsia"/>
          <w:lang w:val="en-GB"/>
        </w:rPr>
      </w:pPr>
      <w:r>
        <w:rPr>
          <w:lang w:val="en-GB"/>
        </w:rPr>
        <w:t xml:space="preserve">227.  </w:t>
      </w:r>
      <w:r>
        <w:rPr>
          <w:rFonts w:hint="eastAsia"/>
          <w:lang w:val="en-GB"/>
        </w:rPr>
        <w:t>在青年人包括有特殊需要的青年人从初等教育向青年教育方案或就业过渡中，市镇负责为其提供咨询。</w:t>
      </w:r>
      <w:r>
        <w:rPr>
          <w:rFonts w:hint="eastAsia"/>
          <w:lang w:val="en-GB"/>
        </w:rPr>
        <w:t>2004</w:t>
      </w:r>
      <w:r>
        <w:rPr>
          <w:rFonts w:hint="eastAsia"/>
          <w:lang w:val="en-GB"/>
        </w:rPr>
        <w:t>年进行指导改革时，建立了</w:t>
      </w:r>
      <w:r>
        <w:rPr>
          <w:rFonts w:hint="eastAsia"/>
          <w:lang w:val="en-GB"/>
        </w:rPr>
        <w:t>UU</w:t>
      </w:r>
      <w:r>
        <w:rPr>
          <w:rFonts w:hint="eastAsia"/>
          <w:lang w:val="en-GB"/>
        </w:rPr>
        <w:t>及分布在全国各地的</w:t>
      </w:r>
      <w:r>
        <w:rPr>
          <w:rFonts w:hint="eastAsia"/>
          <w:lang w:val="en-GB"/>
        </w:rPr>
        <w:t>46</w:t>
      </w:r>
      <w:r>
        <w:rPr>
          <w:rFonts w:hint="eastAsia"/>
          <w:lang w:val="en-GB"/>
        </w:rPr>
        <w:t>个中心。</w:t>
      </w:r>
      <w:r>
        <w:rPr>
          <w:rFonts w:hint="eastAsia"/>
          <w:lang w:val="en-GB"/>
        </w:rPr>
        <w:t>UU</w:t>
      </w:r>
      <w:r>
        <w:rPr>
          <w:rFonts w:hint="eastAsia"/>
          <w:lang w:val="en-GB"/>
        </w:rPr>
        <w:t>的任务是就从小学向青年教育方案或就业的过渡，为青年人提供咨询。改革的主要理由是要加强对有特殊需要青年人的这方面咨询。</w:t>
      </w:r>
    </w:p>
    <w:p w:rsidR="00D84D94" w:rsidRDefault="00D84D94">
      <w:pPr>
        <w:pStyle w:val="SingleTxtGC"/>
        <w:rPr>
          <w:rFonts w:hint="eastAsia"/>
          <w:lang w:val="en-GB"/>
        </w:rPr>
      </w:pPr>
      <w:r>
        <w:rPr>
          <w:lang w:val="en-GB"/>
        </w:rPr>
        <w:t xml:space="preserve">228.  </w:t>
      </w:r>
      <w:r>
        <w:rPr>
          <w:rFonts w:hint="eastAsia"/>
          <w:lang w:val="en-GB"/>
        </w:rPr>
        <w:t>咨询方面适用的规则也指出，咨询必须由接受过经教育部批准的教育和职业咨询教育的人员，或者由能够以文件证明具有类似咨询能力的人员进行。因此，教育部已安排编制教育和职业咨询的文凭方案。该方案中的一个模块题为：为有特殊需要的儿童、青年和成人提供咨询。这个模块的宗旨是使学生获得为上述其发展需要得到特别照顾或支助的群体提供教育和就业咨询所需的知识和资格。</w:t>
      </w:r>
    </w:p>
    <w:p w:rsidR="00D84D94" w:rsidRDefault="00D84D94">
      <w:pPr>
        <w:pStyle w:val="H4GC"/>
        <w:rPr>
          <w:rFonts w:hint="eastAsia"/>
          <w:iCs/>
          <w:lang w:val="en-GB"/>
        </w:rPr>
      </w:pPr>
      <w:r>
        <w:rPr>
          <w:rFonts w:hint="eastAsia"/>
          <w:lang w:val="en-GB"/>
        </w:rPr>
        <w:tab/>
      </w:r>
      <w:r>
        <w:rPr>
          <w:rFonts w:hint="eastAsia"/>
          <w:lang w:val="en-GB"/>
        </w:rPr>
        <w:tab/>
      </w:r>
      <w:r>
        <w:rPr>
          <w:rFonts w:hint="eastAsia"/>
          <w:lang w:val="en-GB"/>
        </w:rPr>
        <w:t>面向有特殊需要的青年人的青年教育方案</w:t>
      </w:r>
    </w:p>
    <w:p w:rsidR="00D84D94" w:rsidRDefault="00D84D94">
      <w:pPr>
        <w:pStyle w:val="SingleTxtGC"/>
        <w:rPr>
          <w:rFonts w:hint="eastAsia"/>
          <w:lang w:val="en-GB"/>
        </w:rPr>
      </w:pPr>
      <w:r>
        <w:rPr>
          <w:iCs/>
          <w:lang w:val="en-GB"/>
        </w:rPr>
        <w:t xml:space="preserve">229.  </w:t>
      </w:r>
      <w:r>
        <w:rPr>
          <w:rFonts w:hint="eastAsia"/>
          <w:lang w:val="en-GB"/>
        </w:rPr>
        <w:t>2007</w:t>
      </w:r>
      <w:r>
        <w:rPr>
          <w:rFonts w:hint="eastAsia"/>
          <w:lang w:val="en-GB"/>
        </w:rPr>
        <w:t>年，丹麦议会通过了一项关于面向有特殊需要的青年人的青年教育方案的法案，其目标是使智障青年人及其他有特殊需要的青年人获得个人、社会和学术能力，以独立、积极地参与成人生活并且</w:t>
      </w:r>
      <w:r>
        <w:rPr>
          <w:rFonts w:hint="eastAsia"/>
          <w:lang w:val="en-GB"/>
        </w:rPr>
        <w:t>(</w:t>
      </w:r>
      <w:r>
        <w:rPr>
          <w:rFonts w:hint="eastAsia"/>
          <w:lang w:val="en-GB"/>
        </w:rPr>
        <w:t>如果可能</w:t>
      </w:r>
      <w:r>
        <w:rPr>
          <w:rFonts w:hint="eastAsia"/>
          <w:lang w:val="en-GB"/>
        </w:rPr>
        <w:t>)</w:t>
      </w:r>
      <w:r>
        <w:rPr>
          <w:rFonts w:hint="eastAsia"/>
          <w:lang w:val="en-GB"/>
        </w:rPr>
        <w:t>继续接受教育和就业。</w:t>
      </w:r>
    </w:p>
    <w:p w:rsidR="00D84D94" w:rsidRDefault="00D84D94">
      <w:pPr>
        <w:pStyle w:val="SingleTxtGC"/>
        <w:rPr>
          <w:rFonts w:hint="eastAsia"/>
          <w:iCs/>
          <w:lang w:val="en-GB"/>
        </w:rPr>
      </w:pPr>
      <w:r>
        <w:rPr>
          <w:iCs/>
          <w:lang w:val="en-GB"/>
        </w:rPr>
        <w:t xml:space="preserve">230.  </w:t>
      </w:r>
      <w:r>
        <w:rPr>
          <w:rFonts w:hint="eastAsia"/>
          <w:lang w:val="en-GB"/>
        </w:rPr>
        <w:t>智障青年及其他有特殊需要的青年人在读完小学后，若即便有特别教育援助也无法完成另一个青年教育方案，就可以合法要求参加为适应他们的特殊情况和需要而改编的三年期青年教育方案。这样，这类青年人就有了与其他青年人一样的基础。面向有特殊需要的青年人的青年教育方案是教育计划中规定的一种预先计划和协调的方案，其目的是使个别青年人能够发展进步。</w:t>
      </w:r>
    </w:p>
    <w:p w:rsidR="00D84D94" w:rsidRDefault="00D84D94">
      <w:pPr>
        <w:pStyle w:val="SingleTxtGC"/>
        <w:rPr>
          <w:rFonts w:hint="eastAsia"/>
          <w:iCs/>
          <w:lang w:val="en-GB"/>
        </w:rPr>
      </w:pPr>
      <w:r>
        <w:rPr>
          <w:iCs/>
          <w:lang w:val="en-GB"/>
        </w:rPr>
        <w:t xml:space="preserve">231.  </w:t>
      </w:r>
      <w:r>
        <w:rPr>
          <w:rFonts w:hint="eastAsia"/>
          <w:lang w:val="en-GB"/>
        </w:rPr>
        <w:t>地方理事会负责面向有特殊需要的青年人的青年教育方案并为其提供资金。</w:t>
      </w:r>
    </w:p>
    <w:p w:rsidR="00D84D94" w:rsidRDefault="00D84D94">
      <w:pPr>
        <w:pStyle w:val="SingleTxtGC"/>
        <w:rPr>
          <w:rFonts w:hint="eastAsia"/>
          <w:iCs/>
          <w:lang w:val="en-GB"/>
        </w:rPr>
      </w:pPr>
      <w:r>
        <w:rPr>
          <w:iCs/>
          <w:lang w:val="en-GB"/>
        </w:rPr>
        <w:t xml:space="preserve">232.  </w:t>
      </w:r>
      <w:r>
        <w:rPr>
          <w:rFonts w:hint="eastAsia"/>
          <w:lang w:val="en-GB"/>
        </w:rPr>
        <w:t>截至</w:t>
      </w:r>
      <w:r>
        <w:rPr>
          <w:rFonts w:hint="eastAsia"/>
          <w:lang w:val="en-GB"/>
        </w:rPr>
        <w:t>2010</w:t>
      </w:r>
      <w:r>
        <w:rPr>
          <w:rFonts w:hint="eastAsia"/>
          <w:lang w:val="en-GB"/>
        </w:rPr>
        <w:t>年</w:t>
      </w:r>
      <w:r>
        <w:rPr>
          <w:rFonts w:hint="eastAsia"/>
          <w:lang w:val="en-GB"/>
        </w:rPr>
        <w:t>2</w:t>
      </w:r>
      <w:r>
        <w:rPr>
          <w:rFonts w:hint="eastAsia"/>
          <w:lang w:val="en-GB"/>
        </w:rPr>
        <w:t>月</w:t>
      </w:r>
      <w:r>
        <w:rPr>
          <w:rFonts w:hint="eastAsia"/>
          <w:lang w:val="en-GB"/>
        </w:rPr>
        <w:t>28</w:t>
      </w:r>
      <w:r>
        <w:rPr>
          <w:rFonts w:hint="eastAsia"/>
          <w:lang w:val="en-GB"/>
        </w:rPr>
        <w:t>日</w:t>
      </w:r>
      <w:r>
        <w:rPr>
          <w:rFonts w:hint="eastAsia"/>
          <w:lang w:val="en-GB"/>
        </w:rPr>
        <w:t>(</w:t>
      </w:r>
      <w:r>
        <w:rPr>
          <w:rFonts w:hint="eastAsia"/>
          <w:lang w:val="en-GB"/>
        </w:rPr>
        <w:t>最新报表</w:t>
      </w:r>
      <w:r>
        <w:rPr>
          <w:rFonts w:hint="eastAsia"/>
          <w:lang w:val="en-GB"/>
        </w:rPr>
        <w:t>)</w:t>
      </w:r>
      <w:r>
        <w:rPr>
          <w:rFonts w:hint="eastAsia"/>
          <w:lang w:val="en-GB"/>
        </w:rPr>
        <w:t>，青年教育方案共有</w:t>
      </w:r>
      <w:r>
        <w:rPr>
          <w:lang w:val="en-GB"/>
        </w:rPr>
        <w:t>3,418</w:t>
      </w:r>
      <w:r>
        <w:rPr>
          <w:rFonts w:hint="eastAsia"/>
          <w:lang w:val="en-GB"/>
        </w:rPr>
        <w:t>名在读青年人。</w:t>
      </w:r>
    </w:p>
    <w:p w:rsidR="00D84D94" w:rsidRDefault="00D84D94">
      <w:pPr>
        <w:pStyle w:val="SingleTxtGC"/>
        <w:rPr>
          <w:rFonts w:hint="eastAsia"/>
          <w:lang w:val="en-GB"/>
        </w:rPr>
      </w:pPr>
      <w:r>
        <w:rPr>
          <w:lang w:val="en-GB"/>
        </w:rPr>
        <w:t xml:space="preserve">233.  </w:t>
      </w:r>
      <w:r>
        <w:rPr>
          <w:rFonts w:hint="eastAsia"/>
          <w:lang w:val="en-GB"/>
        </w:rPr>
        <w:t>该法案于</w:t>
      </w:r>
      <w:r>
        <w:rPr>
          <w:rFonts w:hint="eastAsia"/>
          <w:lang w:val="en-GB"/>
        </w:rPr>
        <w:t>2007</w:t>
      </w:r>
      <w:r>
        <w:rPr>
          <w:rFonts w:hint="eastAsia"/>
          <w:lang w:val="en-GB"/>
        </w:rPr>
        <w:t>年</w:t>
      </w:r>
      <w:r>
        <w:rPr>
          <w:rFonts w:hint="eastAsia"/>
          <w:lang w:val="en-GB"/>
        </w:rPr>
        <w:t>8</w:t>
      </w:r>
      <w:r>
        <w:rPr>
          <w:rFonts w:hint="eastAsia"/>
          <w:lang w:val="en-GB"/>
        </w:rPr>
        <w:t>月</w:t>
      </w:r>
      <w:r>
        <w:rPr>
          <w:rFonts w:hint="eastAsia"/>
          <w:lang w:val="en-GB"/>
        </w:rPr>
        <w:t>1</w:t>
      </w:r>
      <w:r>
        <w:rPr>
          <w:rFonts w:hint="eastAsia"/>
          <w:lang w:val="en-GB"/>
        </w:rPr>
        <w:t>日生效并应于</w:t>
      </w:r>
      <w:r>
        <w:rPr>
          <w:lang w:val="en-GB"/>
        </w:rPr>
        <w:t>2011-</w:t>
      </w:r>
      <w:r>
        <w:rPr>
          <w:rFonts w:hint="eastAsia"/>
          <w:lang w:val="en-GB"/>
        </w:rPr>
        <w:t>20</w:t>
      </w:r>
      <w:r>
        <w:rPr>
          <w:lang w:val="en-GB"/>
        </w:rPr>
        <w:t>12</w:t>
      </w:r>
      <w:r>
        <w:rPr>
          <w:rFonts w:hint="eastAsia"/>
          <w:lang w:val="en-GB"/>
        </w:rPr>
        <w:t>议会年度修订。</w:t>
      </w:r>
    </w:p>
    <w:p w:rsidR="00D84D94" w:rsidRDefault="00D84D94">
      <w:pPr>
        <w:pStyle w:val="Bullet1GC"/>
        <w:rPr>
          <w:rFonts w:hint="eastAsia"/>
          <w:lang w:val="en-GB"/>
        </w:rPr>
      </w:pPr>
      <w:r>
        <w:rPr>
          <w:rFonts w:hint="eastAsia"/>
          <w:lang w:val="en-GB"/>
        </w:rPr>
        <w:t>2008</w:t>
      </w:r>
      <w:r>
        <w:rPr>
          <w:rFonts w:hint="eastAsia"/>
          <w:lang w:val="en-GB"/>
        </w:rPr>
        <w:t>年、</w:t>
      </w:r>
      <w:r>
        <w:rPr>
          <w:rFonts w:hint="eastAsia"/>
          <w:lang w:val="en-GB"/>
        </w:rPr>
        <w:t>2009</w:t>
      </w:r>
      <w:r>
        <w:rPr>
          <w:rFonts w:hint="eastAsia"/>
          <w:lang w:val="en-GB"/>
        </w:rPr>
        <w:t>年和</w:t>
      </w:r>
      <w:r>
        <w:rPr>
          <w:rFonts w:hint="eastAsia"/>
          <w:lang w:val="en-GB"/>
        </w:rPr>
        <w:t>2010</w:t>
      </w:r>
      <w:r>
        <w:rPr>
          <w:rFonts w:hint="eastAsia"/>
          <w:lang w:val="en-GB"/>
        </w:rPr>
        <w:t>年，教育部提交了</w:t>
      </w:r>
      <w:r>
        <w:rPr>
          <w:i/>
          <w:lang w:val="en-GB"/>
        </w:rPr>
        <w:t>Redegørelse til Folketingets Uddannelsesudvalg om den løbende evaluering af ungdomsuddannelse for unge med særlige behov</w:t>
      </w:r>
      <w:r>
        <w:rPr>
          <w:rFonts w:hint="eastAsia"/>
          <w:lang w:val="en-GB"/>
        </w:rPr>
        <w:t>(</w:t>
      </w:r>
      <w:r>
        <w:rPr>
          <w:rFonts w:hint="eastAsia"/>
          <w:lang w:val="en-GB"/>
        </w:rPr>
        <w:t>给丹麦议会教育委员会的关于对面向有特殊需要青年人的青年教育方案的持续评价的报告</w:t>
      </w:r>
      <w:r>
        <w:rPr>
          <w:rFonts w:hint="eastAsia"/>
          <w:lang w:val="en-GB"/>
        </w:rPr>
        <w:t>)</w:t>
      </w:r>
      <w:r>
        <w:rPr>
          <w:rFonts w:hint="eastAsia"/>
          <w:lang w:val="en-GB"/>
        </w:rPr>
        <w:t>。</w:t>
      </w:r>
    </w:p>
    <w:p w:rsidR="00D84D94" w:rsidRDefault="00D84D94">
      <w:pPr>
        <w:pStyle w:val="Bullet1GC"/>
        <w:rPr>
          <w:rFonts w:hint="eastAsia"/>
          <w:lang w:val="en-GB"/>
        </w:rPr>
      </w:pPr>
      <w:r>
        <w:rPr>
          <w:rFonts w:hint="eastAsia"/>
          <w:lang w:val="en-GB"/>
        </w:rPr>
        <w:t>《面向有特殊需要的青年人的青年教育方案指南》旨在说明、阐释各项规则的依据。该指南现已提交，以征求外部意见，并计划于</w:t>
      </w:r>
      <w:r>
        <w:rPr>
          <w:rFonts w:hint="eastAsia"/>
          <w:lang w:val="en-GB"/>
        </w:rPr>
        <w:t>2011</w:t>
      </w:r>
      <w:r>
        <w:rPr>
          <w:rFonts w:hint="eastAsia"/>
          <w:lang w:val="en-GB"/>
        </w:rPr>
        <w:t>年中出版。</w:t>
      </w:r>
    </w:p>
    <w:p w:rsidR="00D84D94" w:rsidRDefault="00D84D94">
      <w:pPr>
        <w:pStyle w:val="Bullet1GC"/>
        <w:rPr>
          <w:rFonts w:hint="eastAsia"/>
          <w:lang w:val="en-GB"/>
        </w:rPr>
      </w:pPr>
      <w:r>
        <w:rPr>
          <w:rFonts w:hint="eastAsia"/>
          <w:lang w:val="en-GB"/>
        </w:rPr>
        <w:t>作为落实关于《</w:t>
      </w:r>
      <w:r>
        <w:rPr>
          <w:rFonts w:hint="eastAsia"/>
          <w:lang w:val="en-GB"/>
        </w:rPr>
        <w:t>2010</w:t>
      </w:r>
      <w:r>
        <w:rPr>
          <w:rFonts w:hint="eastAsia"/>
          <w:lang w:val="en-GB"/>
        </w:rPr>
        <w:t>年财政法案》的协议的一项行动，指定了一个“面向有特殊需要的青年人的青年教育方案第二部分工作组”，成员包括有关专家和利益攸关方，他们将评估制定该方案第二部分的必要性，并且如有必要，将提交一项有关提案。该工作组定期召集有关专家和利益攸关方开会，并与学校协会、利益攸关方协会、社会伙伴等方面接触。此项工作预期将于</w:t>
      </w:r>
      <w:r>
        <w:rPr>
          <w:rFonts w:hint="eastAsia"/>
          <w:lang w:val="en-GB"/>
        </w:rPr>
        <w:t>2011</w:t>
      </w:r>
      <w:r>
        <w:rPr>
          <w:rFonts w:hint="eastAsia"/>
          <w:lang w:val="en-GB"/>
        </w:rPr>
        <w:t>年中完成。</w:t>
      </w:r>
    </w:p>
    <w:p w:rsidR="00D84D94" w:rsidRDefault="00D84D94">
      <w:pPr>
        <w:pStyle w:val="H23GC"/>
        <w:rPr>
          <w:rFonts w:hint="eastAsia"/>
          <w:lang w:val="en-GB"/>
        </w:rPr>
      </w:pPr>
      <w:r>
        <w:rPr>
          <w:rFonts w:hint="eastAsia"/>
          <w:lang w:val="en-GB"/>
        </w:rPr>
        <w:tab/>
      </w:r>
      <w:r>
        <w:rPr>
          <w:rFonts w:hint="eastAsia"/>
          <w:lang w:val="en-GB"/>
        </w:rPr>
        <w:tab/>
      </w:r>
      <w:r>
        <w:rPr>
          <w:rFonts w:hint="eastAsia"/>
          <w:lang w:val="en-GB"/>
        </w:rPr>
        <w:t>其他举措</w:t>
      </w:r>
    </w:p>
    <w:p w:rsidR="00D84D94" w:rsidRDefault="00D84D94">
      <w:pPr>
        <w:pStyle w:val="H4GC"/>
        <w:rPr>
          <w:rFonts w:hint="eastAsia"/>
          <w:lang w:val="en-GB"/>
        </w:rPr>
      </w:pPr>
      <w:r>
        <w:rPr>
          <w:rFonts w:hint="eastAsia"/>
          <w:lang w:val="en-GB"/>
        </w:rPr>
        <w:tab/>
      </w:r>
      <w:r>
        <w:rPr>
          <w:rFonts w:hint="eastAsia"/>
          <w:lang w:val="en-GB"/>
        </w:rPr>
        <w:tab/>
      </w:r>
      <w:r>
        <w:rPr>
          <w:rFonts w:hint="eastAsia"/>
          <w:lang w:val="en-GB"/>
        </w:rPr>
        <w:t>在高中学校为患有</w:t>
      </w:r>
      <w:r>
        <w:rPr>
          <w:lang w:val="en-GB"/>
        </w:rPr>
        <w:t>亚斯伯格综合症</w:t>
      </w:r>
      <w:r>
        <w:rPr>
          <w:rFonts w:hint="eastAsia"/>
          <w:lang w:val="en-GB"/>
        </w:rPr>
        <w:t>的学生开设特设班的实验</w:t>
      </w:r>
    </w:p>
    <w:p w:rsidR="00D84D94" w:rsidRDefault="00D84D94">
      <w:pPr>
        <w:pStyle w:val="SingleTxtGC"/>
        <w:rPr>
          <w:rFonts w:hint="eastAsia"/>
          <w:lang w:val="en-GB"/>
        </w:rPr>
      </w:pPr>
      <w:r>
        <w:rPr>
          <w:lang w:val="en-GB"/>
        </w:rPr>
        <w:t xml:space="preserve">234.  </w:t>
      </w:r>
      <w:r>
        <w:rPr>
          <w:rFonts w:hint="eastAsia"/>
          <w:lang w:val="en-GB"/>
        </w:rPr>
        <w:t>在</w:t>
      </w:r>
      <w:r>
        <w:rPr>
          <w:lang w:val="en-GB"/>
        </w:rPr>
        <w:t>Høje-Taastrup</w:t>
      </w:r>
      <w:r>
        <w:rPr>
          <w:rFonts w:hint="eastAsia"/>
          <w:lang w:val="en-GB"/>
        </w:rPr>
        <w:t>和</w:t>
      </w:r>
      <w:r>
        <w:rPr>
          <w:lang w:val="en-GB"/>
        </w:rPr>
        <w:t>Paderup</w:t>
      </w:r>
      <w:r>
        <w:rPr>
          <w:rFonts w:hint="eastAsia"/>
          <w:lang w:val="en-GB"/>
        </w:rPr>
        <w:t>的高中学校里，分别从</w:t>
      </w:r>
      <w:r>
        <w:rPr>
          <w:rFonts w:hint="eastAsia"/>
          <w:lang w:val="en-GB"/>
        </w:rPr>
        <w:t>2007</w:t>
      </w:r>
      <w:r>
        <w:rPr>
          <w:rFonts w:hint="eastAsia"/>
          <w:lang w:val="en-GB"/>
        </w:rPr>
        <w:t>年和</w:t>
      </w:r>
      <w:r>
        <w:rPr>
          <w:rFonts w:hint="eastAsia"/>
          <w:lang w:val="en-GB"/>
        </w:rPr>
        <w:t>2008</w:t>
      </w:r>
      <w:r>
        <w:rPr>
          <w:rFonts w:hint="eastAsia"/>
          <w:lang w:val="en-GB"/>
        </w:rPr>
        <w:t>年起进行了为患有</w:t>
      </w:r>
      <w:r>
        <w:rPr>
          <w:lang w:val="en-GB"/>
        </w:rPr>
        <w:t>亚斯伯格综合症</w:t>
      </w:r>
      <w:r>
        <w:rPr>
          <w:rFonts w:hint="eastAsia"/>
          <w:lang w:val="en-GB"/>
        </w:rPr>
        <w:t>的学生开设特设班的实验。实验主要是开设小班，同时增加男教师的课时并对授课日加以合理安排，但是不得豁免教育和考试规定。实验的目标是使这些学生读完普通高中。这些高中学校还必须以使学生参加普通班级的授课和融入学校正常环境为目标。</w:t>
      </w:r>
      <w:r>
        <w:rPr>
          <w:lang w:val="en-GB"/>
        </w:rPr>
        <w:t>2009/2010</w:t>
      </w:r>
      <w:r>
        <w:rPr>
          <w:rFonts w:hint="eastAsia"/>
          <w:lang w:val="en-GB"/>
        </w:rPr>
        <w:t>年，丹麦评价研究所对三所设有面向患有</w:t>
      </w:r>
      <w:r>
        <w:rPr>
          <w:lang w:val="en-GB"/>
        </w:rPr>
        <w:t>亚斯伯格综合症</w:t>
      </w:r>
      <w:r>
        <w:rPr>
          <w:rFonts w:hint="eastAsia"/>
          <w:lang w:val="en-GB"/>
        </w:rPr>
        <w:t>的学生的三年期方案第一学年完成了一次小评。</w:t>
      </w:r>
    </w:p>
    <w:p w:rsidR="00D84D94" w:rsidRDefault="00D84D94">
      <w:pPr>
        <w:pStyle w:val="H23GC"/>
        <w:rPr>
          <w:rFonts w:hint="eastAsia"/>
          <w:lang w:val="en-GB"/>
        </w:rPr>
      </w:pPr>
      <w:r>
        <w:rPr>
          <w:lang w:val="en-GB"/>
        </w:rPr>
        <w:tab/>
      </w:r>
      <w:r>
        <w:rPr>
          <w:lang w:val="en-GB"/>
        </w:rPr>
        <w:tab/>
      </w:r>
      <w:r>
        <w:rPr>
          <w:rFonts w:hint="eastAsia"/>
          <w:lang w:val="en-GB"/>
        </w:rPr>
        <w:t>成人教育</w:t>
      </w:r>
    </w:p>
    <w:p w:rsidR="00D84D94" w:rsidRDefault="00D84D94">
      <w:pPr>
        <w:pStyle w:val="SingleTxtGC"/>
        <w:rPr>
          <w:rFonts w:hint="eastAsia"/>
          <w:lang w:val="en-GB"/>
        </w:rPr>
      </w:pPr>
      <w:r>
        <w:rPr>
          <w:lang w:val="en-GB"/>
        </w:rPr>
        <w:t xml:space="preserve">235.  </w:t>
      </w:r>
      <w:r>
        <w:rPr>
          <w:rFonts w:hint="eastAsia"/>
          <w:lang w:val="en-GB"/>
        </w:rPr>
        <w:t>为提高活动质量而推出的一些举措，以成年残疾人为对象。</w:t>
      </w:r>
    </w:p>
    <w:p w:rsidR="00D84D94" w:rsidRDefault="00D84D94">
      <w:pPr>
        <w:pStyle w:val="H4GC"/>
        <w:rPr>
          <w:rFonts w:hint="eastAsia"/>
          <w:lang w:val="en-GB"/>
        </w:rPr>
      </w:pPr>
      <w:r>
        <w:rPr>
          <w:rFonts w:hint="eastAsia"/>
          <w:lang w:val="en-GB"/>
        </w:rPr>
        <w:tab/>
      </w:r>
      <w:r>
        <w:rPr>
          <w:rFonts w:hint="eastAsia"/>
          <w:lang w:val="en-GB"/>
        </w:rPr>
        <w:tab/>
      </w:r>
      <w:r>
        <w:rPr>
          <w:rFonts w:hint="eastAsia"/>
          <w:lang w:val="en-GB"/>
        </w:rPr>
        <w:t>加强高等教育的灵活性和供应</w:t>
      </w:r>
    </w:p>
    <w:p w:rsidR="00D84D94" w:rsidRDefault="00D84D94">
      <w:pPr>
        <w:pStyle w:val="SingleTxtGC"/>
        <w:rPr>
          <w:rFonts w:hint="eastAsia"/>
          <w:lang w:val="en-GB"/>
        </w:rPr>
      </w:pPr>
      <w:r>
        <w:rPr>
          <w:lang w:val="en-GB"/>
        </w:rPr>
        <w:t xml:space="preserve">236.  </w:t>
      </w:r>
      <w:r>
        <w:rPr>
          <w:rFonts w:hint="eastAsia"/>
          <w:lang w:val="en-GB"/>
        </w:rPr>
        <w:t>2009</w:t>
      </w:r>
      <w:r>
        <w:rPr>
          <w:rFonts w:hint="eastAsia"/>
          <w:lang w:val="en-GB"/>
        </w:rPr>
        <w:t>年，教育部为教学法、学习工具、能力培养、基于信息技术的考试表、差别教学、续读、补充和高等教育、远程教育以及新千年的教育技能方面的九个信息技术项目拨款</w:t>
      </w:r>
      <w:r>
        <w:rPr>
          <w:rFonts w:hint="eastAsia"/>
          <w:lang w:val="en-GB"/>
        </w:rPr>
        <w:t>600</w:t>
      </w:r>
      <w:r>
        <w:rPr>
          <w:rFonts w:hint="eastAsia"/>
          <w:lang w:val="en-GB"/>
        </w:rPr>
        <w:t>万丹麦克朗。</w:t>
      </w:r>
    </w:p>
    <w:p w:rsidR="00D84D94" w:rsidRDefault="00D84D94">
      <w:pPr>
        <w:pStyle w:val="SingleTxtGC"/>
        <w:rPr>
          <w:rFonts w:hint="eastAsia"/>
          <w:lang w:val="en-GB"/>
        </w:rPr>
      </w:pPr>
      <w:r>
        <w:rPr>
          <w:lang w:val="en-GB"/>
        </w:rPr>
        <w:t xml:space="preserve">237.  </w:t>
      </w:r>
      <w:r>
        <w:rPr>
          <w:rFonts w:hint="eastAsia"/>
          <w:lang w:val="en-GB"/>
        </w:rPr>
        <w:t>这些项目的目的是借助信息技术加强教育方案的灵活性和供应，使高等教育方案能够更好地满足各种特殊需要</w:t>
      </w:r>
      <w:r>
        <w:rPr>
          <w:rFonts w:hint="eastAsia"/>
          <w:spacing w:val="-60"/>
          <w:lang w:val="en-GB"/>
        </w:rPr>
        <w:t>―</w:t>
      </w:r>
      <w:r>
        <w:rPr>
          <w:rFonts w:hint="eastAsia"/>
          <w:spacing w:val="10"/>
          <w:lang w:val="en-GB"/>
        </w:rPr>
        <w:t>―</w:t>
      </w:r>
      <w:r>
        <w:rPr>
          <w:rFonts w:hint="eastAsia"/>
          <w:lang w:val="en-GB"/>
        </w:rPr>
        <w:t>无论是地理、学习还是技能方面的需要。这些项目对于形成有的放矢地利用信息技术的最佳做法以宣传和传播在加强灵活性和提高信息技术能力方面取得的有益经验，起到了推动作用。对大学教育方案的支持措施由教育管理。</w:t>
      </w:r>
    </w:p>
    <w:p w:rsidR="00D84D94" w:rsidRDefault="00D84D94">
      <w:pPr>
        <w:pStyle w:val="H4GC"/>
        <w:rPr>
          <w:rFonts w:hint="eastAsia"/>
          <w:lang w:val="en-GB"/>
        </w:rPr>
      </w:pPr>
      <w:r>
        <w:rPr>
          <w:rFonts w:hint="eastAsia"/>
          <w:lang w:val="en-GB"/>
        </w:rPr>
        <w:tab/>
      </w:r>
      <w:r>
        <w:rPr>
          <w:rFonts w:hint="eastAsia"/>
          <w:lang w:val="en-GB"/>
        </w:rPr>
        <w:tab/>
      </w:r>
      <w:r>
        <w:rPr>
          <w:rFonts w:hint="eastAsia"/>
          <w:lang w:val="en-GB"/>
        </w:rPr>
        <w:t>制定手语翻译方案</w:t>
      </w:r>
    </w:p>
    <w:p w:rsidR="00D84D94" w:rsidRDefault="00D84D94">
      <w:pPr>
        <w:pStyle w:val="SingleTxtGC"/>
        <w:rPr>
          <w:rFonts w:hint="eastAsia"/>
          <w:lang w:val="en-GB"/>
        </w:rPr>
      </w:pPr>
      <w:r>
        <w:rPr>
          <w:lang w:val="en-GB"/>
        </w:rPr>
        <w:t xml:space="preserve">238.  </w:t>
      </w:r>
      <w:r>
        <w:rPr>
          <w:rFonts w:hint="eastAsia"/>
          <w:lang w:val="en-GB"/>
        </w:rPr>
        <w:t>2010</w:t>
      </w:r>
      <w:r>
        <w:rPr>
          <w:rFonts w:hint="eastAsia"/>
          <w:lang w:val="en-GB"/>
        </w:rPr>
        <w:t>年，教育部就丹麦手语翻译方案进行了一次调查。此次调查为确保在丹麦两个地方继续提供该方案以及着手制定一个最新学士专业方案铺平了道路。</w:t>
      </w:r>
    </w:p>
    <w:p w:rsidR="00D84D94" w:rsidRDefault="00D84D94">
      <w:pPr>
        <w:pStyle w:val="H23GC"/>
        <w:rPr>
          <w:lang w:val="en-GB"/>
        </w:rPr>
      </w:pPr>
      <w:r>
        <w:rPr>
          <w:lang w:val="en-GB"/>
        </w:rPr>
        <w:tab/>
      </w:r>
      <w:r>
        <w:rPr>
          <w:lang w:val="en-GB"/>
        </w:rPr>
        <w:tab/>
      </w:r>
      <w:r>
        <w:rPr>
          <w:rFonts w:hint="eastAsia"/>
          <w:lang w:val="en-GB"/>
        </w:rPr>
        <w:t>关于教授有读写困难的成年人的教育指南</w:t>
      </w:r>
    </w:p>
    <w:p w:rsidR="00D84D94" w:rsidRDefault="00D84D94">
      <w:pPr>
        <w:pStyle w:val="SingleTxtGC"/>
        <w:rPr>
          <w:rFonts w:hint="eastAsia"/>
          <w:lang w:val="en-GB"/>
        </w:rPr>
      </w:pPr>
      <w:r>
        <w:rPr>
          <w:lang w:val="en-GB"/>
        </w:rPr>
        <w:t xml:space="preserve">239.  </w:t>
      </w:r>
      <w:r>
        <w:rPr>
          <w:rFonts w:hint="eastAsia"/>
          <w:lang w:val="en-GB"/>
        </w:rPr>
        <w:t>丹麦读写困难信息中心代表教育部编写了一本关于教授有读写困难的成年人的教育指南，其目的是指导并鼓励面向有读写困难的成年人的教学和特别教育援助。两个目标群体是以丹麦语为母语和第二语言的教学人员。该指南为规划阅读教育教学，以及为与其他教育方案或公司提供的对有读写困难者的教育进行适当协调，提出了具体建议。该指南登载在教育部的网站上并由丹麦读写困难信息中心出版成书。它的编写工作从</w:t>
      </w:r>
      <w:r>
        <w:rPr>
          <w:rFonts w:hint="eastAsia"/>
          <w:lang w:val="en-GB"/>
        </w:rPr>
        <w:t>2006</w:t>
      </w:r>
      <w:r>
        <w:rPr>
          <w:rFonts w:hint="eastAsia"/>
          <w:lang w:val="en-GB"/>
        </w:rPr>
        <w:t>年开始，于</w:t>
      </w:r>
      <w:r>
        <w:rPr>
          <w:rFonts w:hint="eastAsia"/>
          <w:lang w:val="en-GB"/>
        </w:rPr>
        <w:t>2010</w:t>
      </w:r>
      <w:r>
        <w:rPr>
          <w:rFonts w:hint="eastAsia"/>
          <w:lang w:val="en-GB"/>
        </w:rPr>
        <w:t>年结束。</w:t>
      </w:r>
    </w:p>
    <w:p w:rsidR="00D84D94" w:rsidRDefault="00D84D94">
      <w:pPr>
        <w:pStyle w:val="H23GC"/>
        <w:rPr>
          <w:lang w:val="en-GB"/>
        </w:rPr>
      </w:pPr>
      <w:r>
        <w:rPr>
          <w:lang w:val="en-GB"/>
        </w:rPr>
        <w:tab/>
      </w:r>
      <w:r>
        <w:rPr>
          <w:lang w:val="en-GB"/>
        </w:rPr>
        <w:tab/>
      </w:r>
      <w:r>
        <w:rPr>
          <w:rFonts w:hint="eastAsia"/>
          <w:lang w:val="en-GB"/>
        </w:rPr>
        <w:t>面向以丹麦语作为第二语言的成年人的读写困难测试</w:t>
      </w:r>
    </w:p>
    <w:p w:rsidR="00D84D94" w:rsidRDefault="00D84D94">
      <w:pPr>
        <w:pStyle w:val="SingleTxtGC"/>
        <w:rPr>
          <w:rFonts w:hint="eastAsia"/>
          <w:lang w:val="en-GB"/>
        </w:rPr>
      </w:pPr>
      <w:r>
        <w:rPr>
          <w:lang w:val="en-GB"/>
        </w:rPr>
        <w:t xml:space="preserve">240.  </w:t>
      </w:r>
      <w:r>
        <w:rPr>
          <w:rFonts w:hint="eastAsia"/>
          <w:lang w:val="en-GB"/>
        </w:rPr>
        <w:t>为更加确切查明以丹麦语作为第二语言的成年人中的读写困难，阅读研究中心代表教育部研发并试用了一种测验。试用结果表明，这个新研发的测验材料完全适于查明情况。开展这一研发工作是为了使各机构进行以下评估的现有可能性得到提升：以丹麦语作为第二语言的成年人的阅读困难主要是由于丹麦语通常会有的困难造成的，还是在一定程度上由于读写困难症造成的。</w:t>
      </w:r>
    </w:p>
    <w:p w:rsidR="00D84D94" w:rsidRDefault="00D84D94">
      <w:pPr>
        <w:pStyle w:val="SingleTxtGC"/>
        <w:rPr>
          <w:rFonts w:hint="eastAsia"/>
          <w:lang w:val="en-GB"/>
        </w:rPr>
      </w:pPr>
      <w:r>
        <w:rPr>
          <w:lang w:val="en-GB"/>
        </w:rPr>
        <w:t xml:space="preserve">241.  </w:t>
      </w:r>
      <w:r>
        <w:rPr>
          <w:rFonts w:hint="eastAsia"/>
          <w:lang w:val="en-GB"/>
        </w:rPr>
        <w:t>2011</w:t>
      </w:r>
      <w:r>
        <w:rPr>
          <w:rFonts w:hint="eastAsia"/>
          <w:lang w:val="en-GB"/>
        </w:rPr>
        <w:t>年春，向所有提供成人读写困难症教学的机构分发了该读写困难测验、指南和辅导录像。</w:t>
      </w:r>
    </w:p>
    <w:p w:rsidR="00D84D94" w:rsidRDefault="00D84D94">
      <w:pPr>
        <w:pStyle w:val="H23GC"/>
        <w:rPr>
          <w:rFonts w:hint="eastAsia"/>
          <w:lang w:val="en-GB"/>
        </w:rPr>
      </w:pPr>
      <w:r>
        <w:rPr>
          <w:lang w:val="en-GB"/>
        </w:rPr>
        <w:tab/>
      </w:r>
      <w:r>
        <w:rPr>
          <w:lang w:val="en-GB"/>
        </w:rPr>
        <w:tab/>
      </w:r>
      <w:r>
        <w:rPr>
          <w:rFonts w:hint="eastAsia"/>
          <w:lang w:val="en-GB"/>
        </w:rPr>
        <w:t>面向成年外国国民的丹麦语言课程</w:t>
      </w:r>
    </w:p>
    <w:p w:rsidR="00D84D94" w:rsidRDefault="00D84D94">
      <w:pPr>
        <w:pStyle w:val="SingleTxtGC"/>
        <w:rPr>
          <w:rFonts w:hint="eastAsia"/>
          <w:lang w:val="en-GB"/>
        </w:rPr>
      </w:pPr>
      <w:r>
        <w:rPr>
          <w:lang w:val="en-GB"/>
        </w:rPr>
        <w:t xml:space="preserve">242.  </w:t>
      </w:r>
      <w:r>
        <w:rPr>
          <w:rFonts w:hint="eastAsia"/>
          <w:lang w:val="en-GB"/>
        </w:rPr>
        <w:t>同其他外国国民一样，合法居留丹麦的有残疾和创伤的外国国民有权学习一种为期三年的丹麦语言课程。丹麦语言课程有三种，提供哪一种取决于外国国民在其本国接受的学校教育和预期的学习速度。对于课程的提供，必须根据个人需求和资格事先计划。</w:t>
      </w:r>
    </w:p>
    <w:p w:rsidR="00D84D94" w:rsidRDefault="00D84D94">
      <w:pPr>
        <w:pStyle w:val="SingleTxtGC"/>
        <w:rPr>
          <w:rFonts w:hint="eastAsia"/>
          <w:lang w:val="en-GB"/>
        </w:rPr>
      </w:pPr>
      <w:r>
        <w:rPr>
          <w:lang w:val="en-GB"/>
        </w:rPr>
        <w:t xml:space="preserve">243.  </w:t>
      </w:r>
      <w:r>
        <w:rPr>
          <w:rFonts w:hint="eastAsia"/>
          <w:lang w:val="en-GB"/>
        </w:rPr>
        <w:t>丹麦语言课程提供者可为有残疾的外国国民提供小型小组和单个教学。根据丹麦关于丹麦语言课程的法案，如果一位外国国民由于疾病、创伤或残疾无法上课，地方理事会有义务将三年教育期延长。</w:t>
      </w:r>
    </w:p>
    <w:p w:rsidR="00D84D94" w:rsidRDefault="00D84D94">
      <w:pPr>
        <w:pStyle w:val="SingleTxtGC"/>
        <w:rPr>
          <w:rFonts w:hint="eastAsia"/>
          <w:lang w:val="en-GB"/>
        </w:rPr>
      </w:pPr>
      <w:r>
        <w:rPr>
          <w:lang w:val="en-GB"/>
        </w:rPr>
        <w:t>244</w:t>
      </w:r>
      <w:r>
        <w:t xml:space="preserve">.  </w:t>
      </w:r>
      <w:r>
        <w:rPr>
          <w:rFonts w:hint="eastAsia"/>
          <w:lang w:val="en-GB"/>
        </w:rPr>
        <w:t>为促进面向残疾人以及有创伤的难民和外国国民的办学机构发展，融入部支持了多个发展项目，包括</w:t>
      </w:r>
      <w:r>
        <w:rPr>
          <w:rFonts w:hint="eastAsia"/>
          <w:lang w:val="en-GB"/>
        </w:rPr>
        <w:t>2010</w:t>
      </w:r>
      <w:r>
        <w:rPr>
          <w:rFonts w:hint="eastAsia"/>
          <w:lang w:val="en-GB"/>
        </w:rPr>
        <w:t>年结束的对于在丹麦语言课程中教授残疾人和有创伤者的补充培训和</w:t>
      </w:r>
      <w:r>
        <w:rPr>
          <w:lang w:val="en-GB"/>
        </w:rPr>
        <w:t>TRIB</w:t>
      </w:r>
      <w:r>
        <w:rPr>
          <w:rFonts w:hint="eastAsia"/>
          <w:lang w:val="en-GB"/>
        </w:rPr>
        <w:t>(</w:t>
      </w:r>
      <w:r>
        <w:rPr>
          <w:rFonts w:hint="eastAsia"/>
          <w:lang w:val="en-GB"/>
        </w:rPr>
        <w:t>在职有创伤人员</w:t>
      </w:r>
      <w:r>
        <w:rPr>
          <w:rFonts w:hint="eastAsia"/>
          <w:lang w:val="en-GB"/>
        </w:rPr>
        <w:t>)</w:t>
      </w:r>
      <w:r>
        <w:rPr>
          <w:rFonts w:hint="eastAsia"/>
          <w:lang w:val="en-GB"/>
        </w:rPr>
        <w:t>项目。此外，融入部出版了许多出版物，其中之一是</w:t>
      </w:r>
      <w:r>
        <w:rPr>
          <w:rFonts w:hint="eastAsia"/>
          <w:lang w:val="en-GB"/>
        </w:rPr>
        <w:t>2005</w:t>
      </w:r>
      <w:r>
        <w:rPr>
          <w:rFonts w:hint="eastAsia"/>
          <w:lang w:val="en-GB"/>
        </w:rPr>
        <w:t>年</w:t>
      </w:r>
      <w:r>
        <w:rPr>
          <w:rFonts w:hint="eastAsia"/>
          <w:lang w:val="en-GB"/>
        </w:rPr>
        <w:t>8</w:t>
      </w:r>
      <w:r>
        <w:rPr>
          <w:rFonts w:hint="eastAsia"/>
          <w:lang w:val="en-GB"/>
        </w:rPr>
        <w:t>月的《作为第二语言，教授受到创伤但有康复希望的难民和移民丹麦语》</w:t>
      </w:r>
      <w:r>
        <w:rPr>
          <w:rFonts w:hint="eastAsia"/>
          <w:lang w:val="en-GB"/>
        </w:rPr>
        <w:t>(</w:t>
      </w:r>
      <w:r>
        <w:rPr>
          <w:i/>
          <w:lang w:val="en-GB"/>
        </w:rPr>
        <w:t>Undervisning af traumatiserede flygtninge og indvandrere i dansk som andetsprog med et rehabiliterende perspektiv</w:t>
      </w:r>
      <w:r>
        <w:rPr>
          <w:rFonts w:hint="eastAsia"/>
          <w:lang w:val="en-GB"/>
        </w:rPr>
        <w:t>)</w:t>
      </w:r>
      <w:r>
        <w:rPr>
          <w:rFonts w:hint="eastAsia"/>
          <w:lang w:val="en-GB"/>
        </w:rPr>
        <w:t>，并且为收集经验提供了资金。《这是一个扫清道路的问题</w:t>
      </w:r>
      <w:r>
        <w:rPr>
          <w:rFonts w:hint="eastAsia"/>
          <w:spacing w:val="-60"/>
          <w:lang w:val="en-GB"/>
        </w:rPr>
        <w:t>―</w:t>
      </w:r>
      <w:r>
        <w:rPr>
          <w:rFonts w:hint="eastAsia"/>
          <w:spacing w:val="10"/>
          <w:lang w:val="en-GB"/>
        </w:rPr>
        <w:t>―</w:t>
      </w:r>
      <w:r>
        <w:rPr>
          <w:rFonts w:hint="eastAsia"/>
          <w:lang w:val="en-GB"/>
        </w:rPr>
        <w:t>丹麦语言方案中有特殊教学需求并与补习辅导合作的教学课程参加者</w:t>
      </w:r>
      <w:r>
        <w:rPr>
          <w:rFonts w:hint="eastAsia"/>
          <w:spacing w:val="-60"/>
          <w:lang w:val="en-GB"/>
        </w:rPr>
        <w:t>―</w:t>
      </w:r>
      <w:r>
        <w:rPr>
          <w:rFonts w:hint="eastAsia"/>
          <w:spacing w:val="10"/>
          <w:lang w:val="en-GB"/>
        </w:rPr>
        <w:t>―</w:t>
      </w:r>
      <w:r>
        <w:rPr>
          <w:rFonts w:hint="eastAsia"/>
          <w:lang w:val="en-GB"/>
        </w:rPr>
        <w:t>地位与妙计》</w:t>
      </w:r>
      <w:r>
        <w:rPr>
          <w:rFonts w:hint="eastAsia"/>
          <w:lang w:val="en-GB"/>
        </w:rPr>
        <w:t>(</w:t>
      </w:r>
      <w:r>
        <w:rPr>
          <w:lang w:val="en-GB"/>
        </w:rPr>
        <w:t>UCC 2008</w:t>
      </w:r>
      <w:r>
        <w:rPr>
          <w:rFonts w:hint="eastAsia"/>
          <w:lang w:val="en-GB"/>
        </w:rPr>
        <w:t>)</w:t>
      </w:r>
      <w:r>
        <w:rPr>
          <w:rFonts w:hint="eastAsia"/>
          <w:lang w:val="en-GB"/>
        </w:rPr>
        <w:t>。各种指南和报告可在以下网站查阅：</w:t>
      </w:r>
      <w:r>
        <w:rPr>
          <w:lang w:val="en-GB"/>
        </w:rPr>
        <w:t>www.nyidanmark.dk</w:t>
      </w:r>
      <w:r>
        <w:rPr>
          <w:rFonts w:hint="eastAsia"/>
          <w:lang w:val="en-GB"/>
        </w:rPr>
        <w:t>。</w:t>
      </w:r>
    </w:p>
    <w:p w:rsidR="00D84D94" w:rsidRDefault="00D84D94">
      <w:pPr>
        <w:pStyle w:val="H23GC"/>
        <w:rPr>
          <w:rFonts w:hint="eastAsia"/>
          <w:lang w:val="en-GB"/>
        </w:rPr>
      </w:pPr>
      <w:r>
        <w:rPr>
          <w:lang w:val="en-GB"/>
        </w:rPr>
        <w:tab/>
      </w:r>
      <w:r>
        <w:rPr>
          <w:lang w:val="en-GB"/>
        </w:rPr>
        <w:tab/>
      </w:r>
      <w:r>
        <w:rPr>
          <w:rFonts w:hint="eastAsia"/>
          <w:lang w:val="en-GB"/>
        </w:rPr>
        <w:t>教育作为就业之路</w:t>
      </w:r>
    </w:p>
    <w:p w:rsidR="00D84D94" w:rsidRDefault="00D84D94">
      <w:pPr>
        <w:pStyle w:val="SingleTxtGC"/>
        <w:rPr>
          <w:rFonts w:hint="eastAsia"/>
          <w:lang w:val="en-GB"/>
        </w:rPr>
      </w:pPr>
      <w:r>
        <w:rPr>
          <w:lang w:val="en-GB"/>
        </w:rPr>
        <w:t xml:space="preserve">245.  </w:t>
      </w:r>
      <w:r>
        <w:rPr>
          <w:rFonts w:hint="eastAsia"/>
          <w:lang w:val="en-GB"/>
        </w:rPr>
        <w:t>根据丹麦就业立法，若评估显示教育是失业人员找到工作的最好、最快途径，可为他们提供教育</w:t>
      </w:r>
      <w:r>
        <w:rPr>
          <w:rFonts w:hint="eastAsia"/>
          <w:spacing w:val="-60"/>
          <w:lang w:val="en-GB"/>
        </w:rPr>
        <w:t>―</w:t>
      </w:r>
      <w:r>
        <w:rPr>
          <w:rFonts w:hint="eastAsia"/>
          <w:spacing w:val="10"/>
          <w:lang w:val="en-GB"/>
        </w:rPr>
        <w:t>―</w:t>
      </w:r>
      <w:r>
        <w:rPr>
          <w:rFonts w:hint="eastAsia"/>
          <w:lang w:val="en-GB"/>
        </w:rPr>
        <w:t>包括普通教育。有关人员在参加教育方案时将得到其原有的家庭福利，例如现金补助、失业救济金或疾病救济金。</w:t>
      </w:r>
    </w:p>
    <w:p w:rsidR="00D84D94" w:rsidRDefault="00D84D94">
      <w:pPr>
        <w:pStyle w:val="SingleTxtGC"/>
        <w:rPr>
          <w:rFonts w:hint="eastAsia"/>
          <w:lang w:val="en-GB"/>
        </w:rPr>
      </w:pPr>
      <w:r>
        <w:rPr>
          <w:lang w:val="en-GB"/>
        </w:rPr>
        <w:t xml:space="preserve">246.  </w:t>
      </w:r>
      <w:r>
        <w:rPr>
          <w:rFonts w:hint="eastAsia"/>
          <w:lang w:val="en-GB"/>
        </w:rPr>
        <w:t>为帮助有特殊需要者参加教育方案，在教育期间可提供教材、工具和工作岗位微调等形式的帮助。还可为方案参与者的导师提供补贴。</w:t>
      </w:r>
    </w:p>
    <w:p w:rsidR="00D84D94" w:rsidRDefault="00D84D94">
      <w:pPr>
        <w:pStyle w:val="H23GC"/>
        <w:rPr>
          <w:rFonts w:hint="eastAsia"/>
          <w:lang w:val="en-GB"/>
        </w:rPr>
      </w:pPr>
      <w:r>
        <w:rPr>
          <w:lang w:val="en-GB"/>
        </w:rPr>
        <w:tab/>
      </w:r>
      <w:r>
        <w:rPr>
          <w:lang w:val="en-GB"/>
        </w:rPr>
        <w:tab/>
      </w:r>
      <w:r>
        <w:rPr>
          <w:rFonts w:hint="eastAsia"/>
          <w:lang w:val="en-GB"/>
        </w:rPr>
        <w:t>教育作为康复手段</w:t>
      </w:r>
    </w:p>
    <w:p w:rsidR="00D84D94" w:rsidRDefault="00D84D94">
      <w:pPr>
        <w:pStyle w:val="SingleTxtGC"/>
        <w:rPr>
          <w:rFonts w:hint="eastAsia"/>
          <w:lang w:val="en-GB"/>
        </w:rPr>
      </w:pPr>
      <w:r>
        <w:rPr>
          <w:lang w:val="en-GB"/>
        </w:rPr>
        <w:t xml:space="preserve">247.  </w:t>
      </w:r>
      <w:r>
        <w:rPr>
          <w:rFonts w:hint="eastAsia"/>
          <w:lang w:val="en-GB"/>
        </w:rPr>
        <w:t>可为由于身体、心智或社会原因工作能力减退并有相关证明的人提供康复教育。提供的前提是，康复教育确实有可能使相关人员完全或部分自立，并且实际康复场所没有其他类型职业活动可帮助相关人员实现自立。这种康复活动必须使相关人员具备取得普通工作或者</w:t>
      </w:r>
      <w:r>
        <w:rPr>
          <w:rFonts w:hint="eastAsia"/>
          <w:spacing w:val="-60"/>
          <w:lang w:val="en-GB"/>
        </w:rPr>
        <w:t>―</w:t>
      </w:r>
      <w:r>
        <w:rPr>
          <w:rFonts w:hint="eastAsia"/>
          <w:spacing w:val="10"/>
          <w:lang w:val="en-GB"/>
        </w:rPr>
        <w:t>―</w:t>
      </w:r>
      <w:r>
        <w:rPr>
          <w:rFonts w:hint="eastAsia"/>
          <w:lang w:val="en-GB"/>
        </w:rPr>
        <w:t>如不可能</w:t>
      </w:r>
      <w:r>
        <w:rPr>
          <w:rFonts w:hint="eastAsia"/>
          <w:spacing w:val="-60"/>
          <w:lang w:val="en-GB"/>
        </w:rPr>
        <w:t>―</w:t>
      </w:r>
      <w:r>
        <w:rPr>
          <w:rFonts w:hint="eastAsia"/>
          <w:spacing w:val="10"/>
          <w:lang w:val="en-GB"/>
        </w:rPr>
        <w:t>―</w:t>
      </w:r>
      <w:r>
        <w:rPr>
          <w:rFonts w:hint="eastAsia"/>
          <w:lang w:val="en-GB"/>
        </w:rPr>
        <w:t>取得灵活工作安排的资格。</w:t>
      </w:r>
    </w:p>
    <w:p w:rsidR="00D84D94" w:rsidRDefault="00D84D94">
      <w:pPr>
        <w:pStyle w:val="SingleTxtGC"/>
        <w:rPr>
          <w:rFonts w:hint="eastAsia"/>
          <w:lang w:val="en-GB"/>
        </w:rPr>
      </w:pPr>
      <w:r>
        <w:rPr>
          <w:lang w:val="en-GB"/>
        </w:rPr>
        <w:t xml:space="preserve">248.  </w:t>
      </w:r>
      <w:r>
        <w:rPr>
          <w:rFonts w:hint="eastAsia"/>
          <w:lang w:val="en-GB"/>
        </w:rPr>
        <w:t>康复者在明确职业目标之前完成的活动叫作前康复。这些活动旨在增长工作经验或进一步做好准备，其中包括一个小学和初中或高中学校职业或教育介绍方案，或者其他释</w:t>
      </w:r>
      <w:r>
        <w:rPr>
          <w:lang w:val="en-GB"/>
        </w:rPr>
        <w:t>疑</w:t>
      </w:r>
      <w:r>
        <w:rPr>
          <w:rFonts w:hint="eastAsia"/>
          <w:lang w:val="en-GB"/>
        </w:rPr>
        <w:t>活动。在明确了职业目标之后，市镇将与康复者共同起草一个有就业目标的就业计划。</w:t>
      </w:r>
    </w:p>
    <w:p w:rsidR="00D84D94" w:rsidRDefault="00D84D94">
      <w:pPr>
        <w:pStyle w:val="SingleTxtGC"/>
        <w:rPr>
          <w:rFonts w:hint="eastAsia"/>
          <w:lang w:val="en-GB"/>
        </w:rPr>
      </w:pPr>
      <w:r>
        <w:rPr>
          <w:lang w:val="en-GB"/>
        </w:rPr>
        <w:t xml:space="preserve">249.  </w:t>
      </w:r>
      <w:r>
        <w:rPr>
          <w:rFonts w:hint="eastAsia"/>
          <w:lang w:val="en-GB"/>
        </w:rPr>
        <w:t>在有就业计划的康复期间，相关人员按最高的日现金补助额领取康复补助金。未满</w:t>
      </w:r>
      <w:r>
        <w:rPr>
          <w:rFonts w:hint="eastAsia"/>
          <w:lang w:val="en-GB"/>
        </w:rPr>
        <w:t>25</w:t>
      </w:r>
      <w:r>
        <w:rPr>
          <w:rFonts w:hint="eastAsia"/>
          <w:lang w:val="en-GB"/>
        </w:rPr>
        <w:t>岁的青年人通常得到一半补助金。自</w:t>
      </w:r>
      <w:r>
        <w:rPr>
          <w:rFonts w:hint="eastAsia"/>
          <w:lang w:val="en-GB"/>
        </w:rPr>
        <w:t>2011</w:t>
      </w:r>
      <w:r>
        <w:rPr>
          <w:rFonts w:hint="eastAsia"/>
          <w:lang w:val="en-GB"/>
        </w:rPr>
        <w:t>年</w:t>
      </w:r>
      <w:r>
        <w:rPr>
          <w:rFonts w:hint="eastAsia"/>
          <w:lang w:val="en-GB"/>
        </w:rPr>
        <w:t>4</w:t>
      </w:r>
      <w:r>
        <w:rPr>
          <w:rFonts w:hint="eastAsia"/>
          <w:lang w:val="en-GB"/>
        </w:rPr>
        <w:t>月</w:t>
      </w:r>
      <w:r>
        <w:rPr>
          <w:rFonts w:hint="eastAsia"/>
          <w:lang w:val="en-GB"/>
        </w:rPr>
        <w:t>15</w:t>
      </w:r>
      <w:r>
        <w:rPr>
          <w:rFonts w:hint="eastAsia"/>
          <w:lang w:val="en-GB"/>
        </w:rPr>
        <w:t>日起，可能会改为向</w:t>
      </w:r>
      <w:r>
        <w:rPr>
          <w:rFonts w:hint="eastAsia"/>
          <w:lang w:val="en-GB"/>
        </w:rPr>
        <w:t>30</w:t>
      </w:r>
      <w:r>
        <w:rPr>
          <w:rFonts w:hint="eastAsia"/>
          <w:lang w:val="en-GB"/>
        </w:rPr>
        <w:t>岁以下的青年人提供补助金。以后，这些青年人将按现金补助额领取康复补助金，除非他们是居民儿童的供养者或者在康复前有可观的收入。</w:t>
      </w:r>
    </w:p>
    <w:p w:rsidR="00D84D94" w:rsidRDefault="00D84D94">
      <w:pPr>
        <w:pStyle w:val="SingleTxtGC"/>
        <w:rPr>
          <w:rFonts w:hint="eastAsia"/>
          <w:lang w:val="en-GB"/>
        </w:rPr>
      </w:pPr>
      <w:r>
        <w:rPr>
          <w:lang w:val="en-GB"/>
        </w:rPr>
        <w:t xml:space="preserve">250.  </w:t>
      </w:r>
      <w:r>
        <w:rPr>
          <w:rFonts w:hint="eastAsia"/>
          <w:lang w:val="en-GB"/>
        </w:rPr>
        <w:t>这种康复的时间必须尽可能地短，康复补助金最多只能发放五年。特殊情况下，发放期可以延长。</w:t>
      </w:r>
    </w:p>
    <w:p w:rsidR="00D84D94" w:rsidRDefault="00D84D94">
      <w:pPr>
        <w:pStyle w:val="SingleTxtGC"/>
        <w:rPr>
          <w:rFonts w:hint="eastAsia"/>
          <w:lang w:val="en-GB"/>
        </w:rPr>
      </w:pPr>
      <w:r>
        <w:rPr>
          <w:lang w:val="en-GB"/>
        </w:rPr>
        <w:t xml:space="preserve">251.  </w:t>
      </w:r>
      <w:r>
        <w:rPr>
          <w:rFonts w:hint="eastAsia"/>
          <w:lang w:val="en-GB"/>
        </w:rPr>
        <w:t>在康复期间，可提供教材、工具、工作岗位调整和导师方面的特别支持。此外，如果</w:t>
      </w:r>
      <w:r>
        <w:rPr>
          <w:rFonts w:hint="eastAsia"/>
          <w:lang w:val="en-GB"/>
        </w:rPr>
        <w:t>25</w:t>
      </w:r>
      <w:r>
        <w:rPr>
          <w:rFonts w:hint="eastAsia"/>
          <w:lang w:val="en-GB"/>
        </w:rPr>
        <w:t>岁以下领取一半康复补助金的康复者因肢体或心智功能减退而需要额外住宿费用，可以为其提供特别支助。</w:t>
      </w:r>
    </w:p>
    <w:p w:rsidR="00D84D94" w:rsidRDefault="00D84D94">
      <w:pPr>
        <w:pStyle w:val="SingleTxtGC"/>
        <w:rPr>
          <w:rFonts w:hint="eastAsia"/>
          <w:lang w:val="en-GB"/>
        </w:rPr>
      </w:pPr>
      <w:r>
        <w:rPr>
          <w:lang w:val="en-GB"/>
        </w:rPr>
        <w:t xml:space="preserve">252.  </w:t>
      </w:r>
      <w:r>
        <w:rPr>
          <w:rFonts w:hint="eastAsia"/>
          <w:lang w:val="en-GB"/>
        </w:rPr>
        <w:t>如果相关人员的就业问题可以通过参加其他职业活动直接解决，就不提供康复教育。</w:t>
      </w:r>
    </w:p>
    <w:p w:rsidR="00D84D94" w:rsidRDefault="00D84D94">
      <w:pPr>
        <w:pStyle w:val="H1GC"/>
        <w:rPr>
          <w:lang w:val="en-GB"/>
        </w:rPr>
      </w:pPr>
      <w:r>
        <w:rPr>
          <w:lang w:val="en-GB"/>
        </w:rPr>
        <w:tab/>
      </w:r>
      <w:r>
        <w:rPr>
          <w:lang w:val="en-GB"/>
        </w:rPr>
        <w:tab/>
      </w:r>
      <w:r>
        <w:rPr>
          <w:rFonts w:hint="eastAsia"/>
          <w:lang w:val="en-GB"/>
        </w:rPr>
        <w:t>第二十五条</w:t>
      </w:r>
      <w:r>
        <w:rPr>
          <w:rFonts w:hint="eastAsia"/>
          <w:lang w:val="en-GB"/>
        </w:rPr>
        <w:br/>
      </w:r>
      <w:r>
        <w:rPr>
          <w:rFonts w:hint="eastAsia"/>
          <w:lang w:val="en-GB"/>
        </w:rPr>
        <w:t>健康</w:t>
      </w:r>
    </w:p>
    <w:p w:rsidR="00D84D94" w:rsidRDefault="00D84D94">
      <w:pPr>
        <w:pStyle w:val="SingleTxtGC"/>
        <w:rPr>
          <w:rFonts w:hint="eastAsia"/>
          <w:lang w:val="en-GB"/>
        </w:rPr>
      </w:pPr>
      <w:r>
        <w:rPr>
          <w:lang w:val="en-GB"/>
        </w:rPr>
        <w:t xml:space="preserve">253.  </w:t>
      </w:r>
      <w:r>
        <w:rPr>
          <w:rFonts w:hint="eastAsia"/>
          <w:lang w:val="en-GB"/>
        </w:rPr>
        <w:t>丹麦的保健体系立足于所有公民均能平等、便利地取得保健的原则，丹麦的绝大多数保健服务都是免费向公民提供的。丹麦卫生部门由初级部门</w:t>
      </w:r>
      <w:r>
        <w:rPr>
          <w:rFonts w:hint="eastAsia"/>
          <w:lang w:val="en-GB"/>
        </w:rPr>
        <w:t>(</w:t>
      </w:r>
      <w:r>
        <w:rPr>
          <w:rFonts w:hint="eastAsia"/>
          <w:lang w:val="en-GB"/>
        </w:rPr>
        <w:t>私人行医的保健专业人员和市级保健机构</w:t>
      </w:r>
      <w:r>
        <w:rPr>
          <w:rFonts w:hint="eastAsia"/>
          <w:lang w:val="en-GB"/>
        </w:rPr>
        <w:t>)</w:t>
      </w:r>
      <w:r>
        <w:rPr>
          <w:rFonts w:hint="eastAsia"/>
          <w:lang w:val="en-GB"/>
        </w:rPr>
        <w:t>和二级部门</w:t>
      </w:r>
      <w:r>
        <w:rPr>
          <w:rFonts w:hint="eastAsia"/>
          <w:lang w:val="en-GB"/>
        </w:rPr>
        <w:t>(</w:t>
      </w:r>
      <w:r>
        <w:rPr>
          <w:rFonts w:hint="eastAsia"/>
          <w:lang w:val="en-GB"/>
        </w:rPr>
        <w:t>医院</w:t>
      </w:r>
      <w:r>
        <w:rPr>
          <w:rFonts w:hint="eastAsia"/>
          <w:lang w:val="en-GB"/>
        </w:rPr>
        <w:t>)</w:t>
      </w:r>
      <w:r>
        <w:rPr>
          <w:rFonts w:hint="eastAsia"/>
          <w:lang w:val="en-GB"/>
        </w:rPr>
        <w:t>组成。</w:t>
      </w:r>
    </w:p>
    <w:p w:rsidR="00D84D94" w:rsidRDefault="00D84D94">
      <w:pPr>
        <w:pStyle w:val="SingleTxtGC"/>
        <w:rPr>
          <w:rFonts w:hint="eastAsia"/>
          <w:lang w:val="en-GB"/>
        </w:rPr>
      </w:pPr>
      <w:r>
        <w:rPr>
          <w:lang w:val="en-GB"/>
        </w:rPr>
        <w:t xml:space="preserve">254.  </w:t>
      </w:r>
      <w:r>
        <w:rPr>
          <w:rFonts w:hint="eastAsia"/>
          <w:lang w:val="en-GB"/>
        </w:rPr>
        <w:t>因此，初级部门部分由特许保健专业人员</w:t>
      </w:r>
      <w:r>
        <w:rPr>
          <w:rFonts w:hint="eastAsia"/>
          <w:spacing w:val="-60"/>
          <w:lang w:val="en-GB"/>
        </w:rPr>
        <w:t>―</w:t>
      </w:r>
      <w:r>
        <w:rPr>
          <w:rFonts w:hint="eastAsia"/>
          <w:spacing w:val="10"/>
          <w:lang w:val="en-GB"/>
        </w:rPr>
        <w:t>―</w:t>
      </w:r>
      <w:r>
        <w:rPr>
          <w:rFonts w:hint="eastAsia"/>
          <w:lang w:val="en-GB"/>
        </w:rPr>
        <w:t>全科医生、专科医生、心理治疗师、牙科医生，等等</w:t>
      </w:r>
      <w:r>
        <w:rPr>
          <w:rFonts w:hint="eastAsia"/>
          <w:spacing w:val="-60"/>
          <w:lang w:val="en-GB"/>
        </w:rPr>
        <w:t>―</w:t>
      </w:r>
      <w:r>
        <w:rPr>
          <w:rFonts w:hint="eastAsia"/>
          <w:spacing w:val="10"/>
          <w:lang w:val="en-GB"/>
        </w:rPr>
        <w:t>―</w:t>
      </w:r>
      <w:r>
        <w:rPr>
          <w:rFonts w:hint="eastAsia"/>
          <w:lang w:val="en-GB"/>
        </w:rPr>
        <w:t>构成，他们私人行医，但与公共当局订有协议，公共当局支付患者的全部或部分医疗费。全科医生为患者提供初级保健，并肩负着到卫生保健部门其他医院接受专家治疗等服务的关卡职能。</w:t>
      </w:r>
    </w:p>
    <w:p w:rsidR="00D84D94" w:rsidRDefault="00D84D94">
      <w:pPr>
        <w:pStyle w:val="SingleTxtGC"/>
        <w:rPr>
          <w:rFonts w:hint="eastAsia"/>
          <w:lang w:val="en-GB"/>
        </w:rPr>
      </w:pPr>
      <w:r>
        <w:rPr>
          <w:lang w:val="en-GB"/>
        </w:rPr>
        <w:t xml:space="preserve">255.  </w:t>
      </w:r>
      <w:r>
        <w:rPr>
          <w:rFonts w:hint="eastAsia"/>
          <w:lang w:val="en-GB"/>
        </w:rPr>
        <w:t>市镇负责众多保健服务，例如再培训、上门护理、身体保健和口腔保健，还对预防和促进健康的活动负有首要责任。</w:t>
      </w:r>
    </w:p>
    <w:p w:rsidR="00D84D94" w:rsidRDefault="00D84D94">
      <w:pPr>
        <w:pStyle w:val="SingleTxtGC"/>
        <w:rPr>
          <w:rFonts w:hint="eastAsia"/>
          <w:lang w:val="en-GB"/>
        </w:rPr>
      </w:pPr>
      <w:r>
        <w:rPr>
          <w:lang w:val="en-GB"/>
        </w:rPr>
        <w:t xml:space="preserve">256.  </w:t>
      </w:r>
      <w:r>
        <w:rPr>
          <w:rFonts w:hint="eastAsia"/>
          <w:lang w:val="en-GB"/>
        </w:rPr>
        <w:t>听力受损者在接受全科医生、专科医生或医院治疗时，还可以得到翻译服务。为全科医生和专科医生等提供无限制的翻译服务。</w:t>
      </w:r>
    </w:p>
    <w:p w:rsidR="00D84D94" w:rsidRDefault="00D84D94">
      <w:pPr>
        <w:pStyle w:val="SingleTxtGC"/>
        <w:rPr>
          <w:rFonts w:hint="eastAsia"/>
          <w:lang w:val="en-GB"/>
        </w:rPr>
      </w:pPr>
      <w:r>
        <w:rPr>
          <w:lang w:val="en-GB"/>
        </w:rPr>
        <w:t xml:space="preserve">257.  </w:t>
      </w:r>
      <w:r>
        <w:rPr>
          <w:lang w:val="en-GB"/>
        </w:rPr>
        <w:t>《丹麦卫生法》</w:t>
      </w:r>
      <w:r>
        <w:rPr>
          <w:rFonts w:hint="eastAsia"/>
          <w:lang w:val="en-GB"/>
        </w:rPr>
        <w:t>对于为听力受损者提供翻译的问题没有作出单独规定。不过，如果医院认为有必要提供治疗等服务时，医院有关部门有义务为在医院治疗提供翻译援助。在这种情况下，翻译援助被视为医院治疗的一部分，其费用应由医院有关部门支付。</w:t>
      </w:r>
    </w:p>
    <w:p w:rsidR="00D84D94" w:rsidRDefault="00D84D94">
      <w:pPr>
        <w:pStyle w:val="SingleTxtGC"/>
        <w:rPr>
          <w:rFonts w:hint="eastAsia"/>
          <w:lang w:val="en-GB"/>
        </w:rPr>
      </w:pPr>
      <w:r>
        <w:rPr>
          <w:lang w:val="en-GB"/>
        </w:rPr>
        <w:t xml:space="preserve">258.  </w:t>
      </w:r>
      <w:r>
        <w:rPr>
          <w:rFonts w:hint="eastAsia"/>
          <w:lang w:val="en-GB"/>
        </w:rPr>
        <w:t>对于医院中除治疗以外的其他保健服务的翻译援助，按照国家翻译授权法中关于无限期翻译的规定提供；见第十九和二十一条。</w:t>
      </w:r>
    </w:p>
    <w:p w:rsidR="00D84D94" w:rsidRDefault="00D84D94">
      <w:pPr>
        <w:pStyle w:val="SingleTxtGC"/>
        <w:pageBreakBefore/>
        <w:rPr>
          <w:rFonts w:hint="eastAsia"/>
          <w:lang w:val="en-GB"/>
        </w:rPr>
      </w:pPr>
      <w:r>
        <w:rPr>
          <w:rFonts w:eastAsia="KaiTi_GB2312" w:hint="eastAsia"/>
          <w:lang w:val="en-GB"/>
        </w:rPr>
        <w:t>举措</w:t>
      </w:r>
      <w:r>
        <w:rPr>
          <w:rFonts w:hint="eastAsia"/>
          <w:lang w:val="en-GB"/>
        </w:rPr>
        <w:t>：</w:t>
      </w:r>
    </w:p>
    <w:p w:rsidR="00D84D94" w:rsidRDefault="00D84D94">
      <w:pPr>
        <w:pStyle w:val="Bullet1GC"/>
        <w:rPr>
          <w:rFonts w:hint="eastAsia"/>
          <w:lang w:val="en-GB"/>
        </w:rPr>
      </w:pPr>
      <w:r>
        <w:rPr>
          <w:rFonts w:hint="eastAsia"/>
          <w:lang w:val="en-GB"/>
        </w:rPr>
        <w:t>为加强对医药管理情况</w:t>
      </w:r>
      <w:r>
        <w:rPr>
          <w:rFonts w:hint="eastAsia"/>
          <w:spacing w:val="-60"/>
          <w:lang w:val="en-GB"/>
        </w:rPr>
        <w:t>―</w:t>
      </w:r>
      <w:r>
        <w:rPr>
          <w:rFonts w:hint="eastAsia"/>
          <w:spacing w:val="10"/>
          <w:lang w:val="en-GB"/>
        </w:rPr>
        <w:t>―</w:t>
      </w:r>
      <w:r>
        <w:rPr>
          <w:rFonts w:hint="eastAsia"/>
          <w:lang w:val="en-GB"/>
        </w:rPr>
        <w:t>特别是庇护所内的医药管理情况</w:t>
      </w:r>
      <w:r>
        <w:rPr>
          <w:rFonts w:hint="eastAsia"/>
          <w:spacing w:val="-60"/>
          <w:lang w:val="en-GB"/>
        </w:rPr>
        <w:t>―</w:t>
      </w:r>
      <w:r>
        <w:rPr>
          <w:rFonts w:hint="eastAsia"/>
          <w:spacing w:val="10"/>
          <w:lang w:val="en-GB"/>
        </w:rPr>
        <w:t>―</w:t>
      </w:r>
      <w:r>
        <w:rPr>
          <w:rFonts w:hint="eastAsia"/>
          <w:lang w:val="en-GB"/>
        </w:rPr>
        <w:t>的监控，丹麦国家卫生委员会协同社会事务部、丹麦地方政府协会、丹麦各地区以及内务和卫生部，目前即将完成一个医疗卫生官员利用药品统计数据对用药量特别大的庇护所进行有针对性检查的项目。</w:t>
      </w:r>
    </w:p>
    <w:p w:rsidR="00D84D94" w:rsidRDefault="00D84D94">
      <w:pPr>
        <w:pStyle w:val="Bullet1GC"/>
        <w:rPr>
          <w:rFonts w:hint="eastAsia"/>
          <w:lang w:val="en-GB"/>
        </w:rPr>
      </w:pPr>
      <w:r>
        <w:rPr>
          <w:rFonts w:hint="eastAsia"/>
          <w:lang w:val="en-GB"/>
        </w:rPr>
        <w:t>根据这些统计数据，</w:t>
      </w:r>
      <w:r>
        <w:rPr>
          <w:rFonts w:hint="eastAsia"/>
          <w:lang w:val="en-GB"/>
        </w:rPr>
        <w:t>2010</w:t>
      </w:r>
      <w:r>
        <w:rPr>
          <w:rFonts w:hint="eastAsia"/>
          <w:lang w:val="en-GB"/>
        </w:rPr>
        <w:t>年末</w:t>
      </w:r>
      <w:r>
        <w:rPr>
          <w:rFonts w:hint="eastAsia"/>
          <w:lang w:val="en-GB"/>
        </w:rPr>
        <w:t>/2011</w:t>
      </w:r>
      <w:r>
        <w:rPr>
          <w:rFonts w:hint="eastAsia"/>
          <w:lang w:val="en-GB"/>
        </w:rPr>
        <w:t>年初，医疗卫生官员与总计</w:t>
      </w:r>
      <w:r>
        <w:rPr>
          <w:rFonts w:hint="eastAsia"/>
          <w:lang w:val="en-GB"/>
        </w:rPr>
        <w:t>92</w:t>
      </w:r>
      <w:r>
        <w:rPr>
          <w:rFonts w:hint="eastAsia"/>
          <w:lang w:val="en-GB"/>
        </w:rPr>
        <w:t>家机构进行了接洽，这</w:t>
      </w:r>
      <w:r>
        <w:rPr>
          <w:rFonts w:hint="eastAsia"/>
          <w:lang w:val="en-GB"/>
        </w:rPr>
        <w:t>92</w:t>
      </w:r>
      <w:r>
        <w:rPr>
          <w:rFonts w:hint="eastAsia"/>
          <w:lang w:val="en-GB"/>
        </w:rPr>
        <w:t>家机构随后都编写了提交丹麦国家卫生委员会的报告。根据这些报告，医疗卫生官员对某些庇护所进行了视察并接触了开方医生。不久后，将对该项目进行评价，确定是否存在使这种统计和强化视察常态化的基础。</w:t>
      </w:r>
    </w:p>
    <w:p w:rsidR="00D84D94" w:rsidRDefault="00D84D94">
      <w:pPr>
        <w:pStyle w:val="H23GC"/>
        <w:rPr>
          <w:rFonts w:hint="eastAsia"/>
          <w:lang w:val="en-GB"/>
        </w:rPr>
      </w:pPr>
      <w:r>
        <w:rPr>
          <w:lang w:val="en-GB"/>
        </w:rPr>
        <w:tab/>
      </w:r>
      <w:r>
        <w:rPr>
          <w:lang w:val="en-GB"/>
        </w:rPr>
        <w:tab/>
      </w:r>
      <w:r>
        <w:rPr>
          <w:rFonts w:hint="eastAsia"/>
          <w:lang w:val="en-GB"/>
        </w:rPr>
        <w:t>口腔保健</w:t>
      </w:r>
    </w:p>
    <w:p w:rsidR="00D84D94" w:rsidRDefault="00D84D94">
      <w:pPr>
        <w:pStyle w:val="SingleTxtGC"/>
        <w:rPr>
          <w:rFonts w:hint="eastAsia"/>
          <w:lang w:val="en-GB"/>
        </w:rPr>
      </w:pPr>
      <w:r>
        <w:rPr>
          <w:lang w:val="en-GB"/>
        </w:rPr>
        <w:t xml:space="preserve">259.  </w:t>
      </w:r>
      <w:r>
        <w:rPr>
          <w:rFonts w:hint="eastAsia"/>
          <w:lang w:val="en-GB"/>
        </w:rPr>
        <w:t>在患者支付较少费用的情况下，市镇有义务为由于行动能力减退或有相当严重的肢体或心智残疾、利用正常的口腔保健服务有困难的居民提供口腔保健。丹麦国家卫生委员会有关地方和地区口腔保健范围和要求的指南，就福利和特别口腔保健列出了更加详细的要求。</w:t>
      </w:r>
    </w:p>
    <w:p w:rsidR="00D84D94" w:rsidRDefault="00D84D94">
      <w:pPr>
        <w:pStyle w:val="H23GC"/>
        <w:rPr>
          <w:rFonts w:hint="eastAsia"/>
          <w:lang w:val="en-GB"/>
        </w:rPr>
      </w:pPr>
      <w:r>
        <w:rPr>
          <w:lang w:val="en-GB"/>
        </w:rPr>
        <w:tab/>
      </w:r>
      <w:r>
        <w:rPr>
          <w:lang w:val="en-GB"/>
        </w:rPr>
        <w:tab/>
      </w:r>
      <w:r>
        <w:rPr>
          <w:rFonts w:hint="eastAsia"/>
          <w:lang w:val="en-GB"/>
        </w:rPr>
        <w:t>免费物理治疗</w:t>
      </w:r>
    </w:p>
    <w:p w:rsidR="00D84D94" w:rsidRDefault="00D84D94">
      <w:pPr>
        <w:pStyle w:val="SingleTxtGC"/>
        <w:rPr>
          <w:rFonts w:hint="eastAsia"/>
          <w:lang w:val="en-GB"/>
        </w:rPr>
      </w:pPr>
      <w:r>
        <w:rPr>
          <w:lang w:val="en-GB"/>
        </w:rPr>
        <w:t xml:space="preserve">260.  </w:t>
      </w:r>
      <w:r>
        <w:rPr>
          <w:rFonts w:hint="eastAsia"/>
          <w:lang w:val="en-GB"/>
        </w:rPr>
        <w:t>市镇为有永久性严重肢体残疾者，以及为由于进行性疾病功能减退者提供免费物理治疗。目标群体包括四组诊断疾病：</w:t>
      </w:r>
    </w:p>
    <w:p w:rsidR="00D84D94" w:rsidRDefault="00D84D94">
      <w:pPr>
        <w:pStyle w:val="Bullet1GC"/>
        <w:rPr>
          <w:rFonts w:hint="eastAsia"/>
          <w:lang w:val="en-GB"/>
        </w:rPr>
      </w:pPr>
      <w:r>
        <w:rPr>
          <w:rFonts w:hint="eastAsia"/>
          <w:lang w:val="en-GB"/>
        </w:rPr>
        <w:t>先天性或遗传性疾病</w:t>
      </w:r>
    </w:p>
    <w:p w:rsidR="00D84D94" w:rsidRDefault="00D84D94">
      <w:pPr>
        <w:pStyle w:val="Bullet1GC"/>
        <w:rPr>
          <w:rFonts w:hint="eastAsia"/>
          <w:lang w:val="en-GB"/>
        </w:rPr>
      </w:pPr>
      <w:r>
        <w:rPr>
          <w:rFonts w:hint="eastAsia"/>
          <w:lang w:val="en-GB"/>
        </w:rPr>
        <w:t>获得性神经系统疾病</w:t>
      </w:r>
    </w:p>
    <w:p w:rsidR="00D84D94" w:rsidRDefault="00D84D94">
      <w:pPr>
        <w:pStyle w:val="Bullet1GC"/>
        <w:rPr>
          <w:rFonts w:hint="eastAsia"/>
          <w:lang w:val="en-GB"/>
        </w:rPr>
      </w:pPr>
      <w:r>
        <w:rPr>
          <w:rFonts w:hint="eastAsia"/>
          <w:lang w:val="en-GB"/>
        </w:rPr>
        <w:t>事故造成的肢体残疾</w:t>
      </w:r>
    </w:p>
    <w:p w:rsidR="00D84D94" w:rsidRDefault="00D84D94">
      <w:pPr>
        <w:pStyle w:val="Bullet1GC"/>
        <w:rPr>
          <w:rFonts w:hint="eastAsia"/>
          <w:lang w:val="en-GB"/>
        </w:rPr>
      </w:pPr>
      <w:r>
        <w:rPr>
          <w:rFonts w:hint="eastAsia"/>
          <w:lang w:val="en-GB"/>
        </w:rPr>
        <w:t>炎性疾病造成的关节和</w:t>
      </w:r>
      <w:r>
        <w:rPr>
          <w:rFonts w:hint="eastAsia"/>
          <w:lang w:val="en-GB"/>
        </w:rPr>
        <w:t>/</w:t>
      </w:r>
      <w:r>
        <w:rPr>
          <w:rFonts w:hint="eastAsia"/>
          <w:lang w:val="en-GB"/>
        </w:rPr>
        <w:t>或肌肉功能减退</w:t>
      </w:r>
    </w:p>
    <w:p w:rsidR="00D84D94" w:rsidRDefault="00D84D94">
      <w:pPr>
        <w:pStyle w:val="SingleTxtGC"/>
        <w:rPr>
          <w:rFonts w:hint="eastAsia"/>
          <w:lang w:val="en-GB"/>
        </w:rPr>
      </w:pPr>
      <w:r>
        <w:rPr>
          <w:lang w:val="en-GB"/>
        </w:rPr>
        <w:t xml:space="preserve">261.  </w:t>
      </w:r>
      <w:r>
        <w:rPr>
          <w:rFonts w:hint="eastAsia"/>
          <w:lang w:val="en-GB"/>
        </w:rPr>
        <w:t>丹麦国家卫生委员会编制的指南给出了该目标群体的较为详细的定义。</w:t>
      </w:r>
    </w:p>
    <w:p w:rsidR="00D84D94" w:rsidRDefault="00D84D94">
      <w:pPr>
        <w:pStyle w:val="SingleTxtGC"/>
        <w:rPr>
          <w:rFonts w:hint="eastAsia"/>
          <w:lang w:val="en-GB"/>
        </w:rPr>
      </w:pPr>
      <w:r>
        <w:rPr>
          <w:lang w:val="en-GB"/>
        </w:rPr>
        <w:t xml:space="preserve">262.  </w:t>
      </w:r>
      <w:r>
        <w:rPr>
          <w:rFonts w:hint="eastAsia"/>
          <w:lang w:val="en-GB"/>
        </w:rPr>
        <w:t>免费物理治疗的目的是改善功能、保持功能或延迟功能的衰退。物理治疗可以提供给各种人群，也可以个别提供，其中包括体能训练、瘦身以及手法治疗。</w:t>
      </w:r>
    </w:p>
    <w:p w:rsidR="00D84D94" w:rsidRDefault="00D84D94">
      <w:pPr>
        <w:pStyle w:val="H23GC"/>
        <w:rPr>
          <w:rFonts w:hint="eastAsia"/>
          <w:lang w:val="en-GB"/>
        </w:rPr>
      </w:pPr>
      <w:r>
        <w:rPr>
          <w:lang w:val="en-GB"/>
        </w:rPr>
        <w:tab/>
      </w:r>
      <w:r>
        <w:rPr>
          <w:lang w:val="en-GB"/>
        </w:rPr>
        <w:tab/>
      </w:r>
      <w:r>
        <w:rPr>
          <w:rFonts w:hint="eastAsia"/>
          <w:lang w:val="en-GB"/>
        </w:rPr>
        <w:t>预防性家访</w:t>
      </w:r>
    </w:p>
    <w:p w:rsidR="00D84D94" w:rsidRDefault="00D84D94">
      <w:pPr>
        <w:pStyle w:val="SingleTxtGC"/>
        <w:rPr>
          <w:rFonts w:hint="eastAsia"/>
          <w:lang w:val="en-GB"/>
        </w:rPr>
      </w:pPr>
      <w:r>
        <w:rPr>
          <w:lang w:val="en-GB"/>
        </w:rPr>
        <w:t xml:space="preserve">263.  </w:t>
      </w:r>
      <w:bookmarkStart w:id="1" w:name="OLE_LINK2"/>
      <w:bookmarkStart w:id="2" w:name="OLE_LINK1"/>
      <w:r>
        <w:rPr>
          <w:rFonts w:hint="eastAsia"/>
          <w:lang w:val="en-GB"/>
        </w:rPr>
        <w:t>丹麦社会立法载有促进公民健康等方面的规定。譬如，有进行预防性家访的规定，地方理事会必须为住在自己家里的所有</w:t>
      </w:r>
      <w:r>
        <w:rPr>
          <w:rFonts w:hint="eastAsia"/>
          <w:lang w:val="en-GB"/>
        </w:rPr>
        <w:t>75</w:t>
      </w:r>
      <w:r>
        <w:rPr>
          <w:rFonts w:hint="eastAsia"/>
          <w:lang w:val="en-GB"/>
        </w:rPr>
        <w:t>岁及以上老年人提供预防性家访。不过，地方理事会也可以选择将那些接受私人照护和实际帮助等援助的公民排除在外。其目的是为老年人包括功能减退的老年人提供预防性和促进健康的活动，特别是就各种活动和支助选项提供咨询指导。</w:t>
      </w:r>
    </w:p>
    <w:bookmarkEnd w:id="1"/>
    <w:bookmarkEnd w:id="2"/>
    <w:p w:rsidR="00D84D94" w:rsidRDefault="00D84D94">
      <w:pPr>
        <w:pStyle w:val="H23GC"/>
        <w:rPr>
          <w:lang w:val="en-GB"/>
        </w:rPr>
      </w:pPr>
      <w:r>
        <w:rPr>
          <w:lang w:val="en-GB"/>
        </w:rPr>
        <w:tab/>
      </w:r>
      <w:r>
        <w:rPr>
          <w:lang w:val="en-GB"/>
        </w:rPr>
        <w:tab/>
      </w:r>
      <w:r>
        <w:rPr>
          <w:rFonts w:hint="eastAsia"/>
          <w:lang w:val="en-GB"/>
        </w:rPr>
        <w:t>提供训练与再训练</w:t>
      </w:r>
    </w:p>
    <w:p w:rsidR="00D84D94" w:rsidRDefault="00D84D94">
      <w:pPr>
        <w:pStyle w:val="SingleTxtGC"/>
        <w:rPr>
          <w:rFonts w:hint="eastAsia"/>
          <w:lang w:val="en-GB"/>
        </w:rPr>
      </w:pPr>
      <w:r>
        <w:rPr>
          <w:lang w:val="en-GB"/>
        </w:rPr>
        <w:t xml:space="preserve">264.  </w:t>
      </w:r>
      <w:r>
        <w:rPr>
          <w:rFonts w:hint="eastAsia"/>
          <w:lang w:val="en-GB"/>
        </w:rPr>
        <w:t>地区理事会必须按照</w:t>
      </w:r>
      <w:r>
        <w:rPr>
          <w:lang w:val="en-GB"/>
        </w:rPr>
        <w:t>《丹麦卫生法》</w:t>
      </w:r>
      <w:r>
        <w:rPr>
          <w:rFonts w:hint="eastAsia"/>
          <w:lang w:val="en-GB"/>
        </w:rPr>
        <w:t>的规定，为出院后从医学上看需要再训练的患者提供个别再训练计划。</w:t>
      </w:r>
    </w:p>
    <w:p w:rsidR="00D84D94" w:rsidRDefault="00D84D94">
      <w:pPr>
        <w:pStyle w:val="SingleTxtGC"/>
        <w:rPr>
          <w:rFonts w:hint="eastAsia"/>
          <w:lang w:val="en-GB"/>
        </w:rPr>
      </w:pPr>
      <w:r>
        <w:rPr>
          <w:lang w:val="en-GB"/>
        </w:rPr>
        <w:t xml:space="preserve">265.  </w:t>
      </w:r>
      <w:r>
        <w:rPr>
          <w:rFonts w:hint="eastAsia"/>
          <w:lang w:val="en-GB"/>
        </w:rPr>
        <w:t>还可以按照丹麦社会立法的规定提供再训练，以缓解由疾病或事故造成的、没有住院治疗的肢体功能减退。对于因肢体或心智缺陷或特殊问题在保持肢体或心智功能方面需要得到帮助者，会提供此类帮助。</w:t>
      </w:r>
    </w:p>
    <w:p w:rsidR="00D84D94" w:rsidRDefault="00D84D94">
      <w:pPr>
        <w:pStyle w:val="H23GC"/>
        <w:rPr>
          <w:rFonts w:hint="eastAsia"/>
          <w:lang w:val="en-GB"/>
        </w:rPr>
      </w:pPr>
      <w:r>
        <w:rPr>
          <w:lang w:val="en-GB"/>
        </w:rPr>
        <w:tab/>
      </w:r>
      <w:r>
        <w:rPr>
          <w:lang w:val="en-GB"/>
        </w:rPr>
        <w:tab/>
      </w:r>
      <w:r>
        <w:rPr>
          <w:rFonts w:hint="eastAsia"/>
          <w:lang w:val="en-GB"/>
        </w:rPr>
        <w:t>公共保健运动</w:t>
      </w:r>
    </w:p>
    <w:p w:rsidR="00D84D94" w:rsidRDefault="00D84D94">
      <w:pPr>
        <w:pStyle w:val="SingleTxtGC"/>
        <w:rPr>
          <w:rFonts w:hint="eastAsia"/>
          <w:lang w:val="en-GB"/>
        </w:rPr>
      </w:pPr>
      <w:r>
        <w:rPr>
          <w:lang w:val="en-GB"/>
        </w:rPr>
        <w:t xml:space="preserve">266.  </w:t>
      </w:r>
      <w:r>
        <w:rPr>
          <w:rFonts w:hint="eastAsia"/>
          <w:lang w:val="en-GB"/>
        </w:rPr>
        <w:t>每一年，丹麦国家卫生委员会都开展大量全国性的增进健康和预防运动，其侧重点是生活方式、体育活动、烟草和酒精等。策划运动时，尽量使其口号和标志简单易懂，人人都能看到。作为国家流感免疫运动的一部分，在各种患者协会的期刊内打广告，所针对的群体是一旦感染流感就可能重病不起的病人和残疾人群体。</w:t>
      </w:r>
      <w:r>
        <w:rPr>
          <w:rFonts w:hint="eastAsia"/>
          <w:lang w:val="en-GB"/>
        </w:rPr>
        <w:t>2009</w:t>
      </w:r>
      <w:r>
        <w:rPr>
          <w:rFonts w:hint="eastAsia"/>
          <w:lang w:val="en-GB"/>
        </w:rPr>
        <w:t>年推出了一项针对患有精神病的无家可归者的特别举措，以帮助这个群体戒烟。</w:t>
      </w:r>
    </w:p>
    <w:p w:rsidR="00D84D94" w:rsidRDefault="00D84D94">
      <w:pPr>
        <w:pStyle w:val="H23GC"/>
        <w:rPr>
          <w:rFonts w:hint="eastAsia"/>
          <w:lang w:val="en-GB"/>
        </w:rPr>
      </w:pPr>
      <w:r>
        <w:rPr>
          <w:lang w:val="en-GB"/>
        </w:rPr>
        <w:tab/>
      </w:r>
      <w:r>
        <w:rPr>
          <w:lang w:val="en-GB"/>
        </w:rPr>
        <w:tab/>
      </w:r>
      <w:r>
        <w:rPr>
          <w:rFonts w:hint="eastAsia"/>
          <w:lang w:val="en-GB"/>
        </w:rPr>
        <w:t>关于艾滋病毒和艾滋病的信息</w:t>
      </w:r>
    </w:p>
    <w:p w:rsidR="00D84D94" w:rsidRDefault="00D84D94">
      <w:pPr>
        <w:pStyle w:val="SingleTxtGC"/>
        <w:rPr>
          <w:rFonts w:hint="eastAsia"/>
          <w:lang w:val="en-GB"/>
        </w:rPr>
      </w:pPr>
      <w:r>
        <w:rPr>
          <w:lang w:val="en-GB"/>
        </w:rPr>
        <w:t xml:space="preserve">267.  </w:t>
      </w:r>
      <w:r>
        <w:rPr>
          <w:rFonts w:hint="eastAsia"/>
          <w:lang w:val="en-GB"/>
        </w:rPr>
        <w:t>通常会请残疾人去查看网站、书面信息材料和私人咨询等普通信息渠道。不过，</w:t>
      </w:r>
      <w:r>
        <w:rPr>
          <w:rFonts w:hint="eastAsia"/>
          <w:lang w:val="en-GB"/>
        </w:rPr>
        <w:t>2010</w:t>
      </w:r>
      <w:r>
        <w:rPr>
          <w:rFonts w:hint="eastAsia"/>
          <w:lang w:val="en-GB"/>
        </w:rPr>
        <w:t>年推出了一个面向有学习困难的青年人</w:t>
      </w:r>
      <w:r>
        <w:rPr>
          <w:rFonts w:hint="eastAsia"/>
          <w:spacing w:val="-60"/>
          <w:lang w:val="en-GB"/>
        </w:rPr>
        <w:t>―</w:t>
      </w:r>
      <w:r>
        <w:rPr>
          <w:rFonts w:hint="eastAsia"/>
          <w:spacing w:val="10"/>
          <w:lang w:val="en-GB"/>
        </w:rPr>
        <w:t>―</w:t>
      </w:r>
      <w:r>
        <w:rPr>
          <w:rFonts w:hint="eastAsia"/>
          <w:lang w:val="en-GB"/>
        </w:rPr>
        <w:t>主要是智障人员</w:t>
      </w:r>
      <w:r>
        <w:rPr>
          <w:rFonts w:hint="eastAsia"/>
          <w:spacing w:val="-60"/>
          <w:lang w:val="en-GB"/>
        </w:rPr>
        <w:t>―</w:t>
      </w:r>
      <w:r>
        <w:rPr>
          <w:rFonts w:hint="eastAsia"/>
          <w:spacing w:val="10"/>
          <w:lang w:val="en-GB"/>
        </w:rPr>
        <w:t>―</w:t>
      </w:r>
      <w:r>
        <w:rPr>
          <w:rFonts w:hint="eastAsia"/>
          <w:lang w:val="en-GB"/>
        </w:rPr>
        <w:t>的性别与健康举措。目的是设计向有特殊需要的青年人传播性信息的方法，对他们开展性教育，包括传授艾滋病毒</w:t>
      </w:r>
      <w:r>
        <w:rPr>
          <w:rFonts w:hint="eastAsia"/>
          <w:lang w:val="en-GB"/>
        </w:rPr>
        <w:t>/</w:t>
      </w:r>
      <w:r>
        <w:rPr>
          <w:rFonts w:hint="eastAsia"/>
          <w:lang w:val="en-GB"/>
        </w:rPr>
        <w:t>艾滋病知识。</w:t>
      </w:r>
    </w:p>
    <w:p w:rsidR="00D84D94" w:rsidRDefault="00D84D94">
      <w:pPr>
        <w:pStyle w:val="H1GC"/>
        <w:rPr>
          <w:rFonts w:hint="eastAsia"/>
          <w:lang w:val="en-GB"/>
        </w:rPr>
      </w:pPr>
      <w:r>
        <w:rPr>
          <w:lang w:val="en-GB"/>
        </w:rPr>
        <w:tab/>
      </w:r>
      <w:r>
        <w:rPr>
          <w:lang w:val="en-GB"/>
        </w:rPr>
        <w:tab/>
      </w:r>
      <w:r>
        <w:rPr>
          <w:rFonts w:hint="eastAsia"/>
          <w:lang w:val="en-GB"/>
        </w:rPr>
        <w:t>第二十六条</w:t>
      </w:r>
    </w:p>
    <w:p w:rsidR="00D84D94" w:rsidRDefault="00D84D94">
      <w:pPr>
        <w:pStyle w:val="SingleTxtGC"/>
        <w:rPr>
          <w:rFonts w:hint="eastAsia"/>
          <w:lang w:val="en-GB"/>
        </w:rPr>
      </w:pPr>
      <w:r>
        <w:rPr>
          <w:lang w:val="en-GB"/>
        </w:rPr>
        <w:t xml:space="preserve">268.  </w:t>
      </w:r>
      <w:r>
        <w:rPr>
          <w:rFonts w:hint="eastAsia"/>
          <w:lang w:val="en-GB"/>
        </w:rPr>
        <w:t>丹麦社会立法中有大量条款规定了确保有先天性和</w:t>
      </w:r>
      <w:r>
        <w:rPr>
          <w:rFonts w:hint="eastAsia"/>
          <w:lang w:val="en-GB"/>
        </w:rPr>
        <w:t>/</w:t>
      </w:r>
      <w:r>
        <w:rPr>
          <w:rFonts w:hint="eastAsia"/>
          <w:lang w:val="en-GB"/>
        </w:rPr>
        <w:t>或获得性残疾者得到康复和再康复的各种途径。这些服务是对其他部门所提供康复服务的补充。为弥补公民的功能缺陷，根据社会立法提供的援助包括肢体、心智、认知和社交技能的恢复和</w:t>
      </w:r>
      <w:r>
        <w:rPr>
          <w:rFonts w:hint="eastAsia"/>
          <w:lang w:val="en-GB"/>
        </w:rPr>
        <w:t>/</w:t>
      </w:r>
      <w:r>
        <w:rPr>
          <w:rFonts w:hint="eastAsia"/>
          <w:lang w:val="en-GB"/>
        </w:rPr>
        <w:t>或保持，以及辅助器具、费用报销、个人和实用援助等形式的支助。目的是使公民在行动和活动、认知、情感和社交方面能有尽可能好的功能能力。所有这些形式的帮助都属于对公民的自愿服务，公民有可能对所提供援助的性质和范围提出投诉。</w:t>
      </w:r>
    </w:p>
    <w:p w:rsidR="00D84D94" w:rsidRDefault="00D84D94">
      <w:pPr>
        <w:pStyle w:val="H23GC"/>
        <w:rPr>
          <w:rFonts w:hint="eastAsia"/>
          <w:lang w:val="en-GB"/>
        </w:rPr>
      </w:pPr>
      <w:r>
        <w:rPr>
          <w:lang w:val="en-GB"/>
        </w:rPr>
        <w:tab/>
      </w:r>
      <w:r>
        <w:rPr>
          <w:lang w:val="en-GB"/>
        </w:rPr>
        <w:tab/>
      </w:r>
      <w:r>
        <w:rPr>
          <w:rFonts w:hint="eastAsia"/>
          <w:lang w:val="en-GB"/>
        </w:rPr>
        <w:t>保健领域的康复</w:t>
      </w:r>
    </w:p>
    <w:p w:rsidR="00D84D94" w:rsidRDefault="00D84D94">
      <w:pPr>
        <w:pStyle w:val="SingleTxtGC"/>
        <w:rPr>
          <w:rFonts w:hint="eastAsia"/>
          <w:lang w:val="en-GB"/>
        </w:rPr>
      </w:pPr>
      <w:r>
        <w:rPr>
          <w:lang w:val="en-GB"/>
        </w:rPr>
        <w:t xml:space="preserve">269.  </w:t>
      </w:r>
      <w:r>
        <w:rPr>
          <w:lang w:val="en-GB"/>
        </w:rPr>
        <w:t>《丹麦卫生法》</w:t>
      </w:r>
      <w:r>
        <w:rPr>
          <w:rFonts w:hint="eastAsia"/>
          <w:lang w:val="en-GB"/>
        </w:rPr>
        <w:t>规定了平等、方便地到卫生部门看病的权利。卫生立法没有把康复列为一项单独任务或一个单独的责任领域。“再训练”、“上门护理”和“针对病人的预防”等法定服务都是康复服务的例子，有</w:t>
      </w:r>
      <w:r>
        <w:rPr>
          <w:rFonts w:hint="eastAsia"/>
          <w:lang w:val="en-GB"/>
        </w:rPr>
        <w:t>(</w:t>
      </w:r>
      <w:r>
        <w:rPr>
          <w:rFonts w:hint="eastAsia"/>
          <w:lang w:val="en-GB"/>
        </w:rPr>
        <w:t>医学</w:t>
      </w:r>
      <w:r>
        <w:rPr>
          <w:rFonts w:hint="eastAsia"/>
          <w:lang w:val="en-GB"/>
        </w:rPr>
        <w:t>)</w:t>
      </w:r>
      <w:r>
        <w:rPr>
          <w:rFonts w:hint="eastAsia"/>
          <w:lang w:val="en-GB"/>
        </w:rPr>
        <w:t>技术需求的每一个人都有资格得到这类服务</w:t>
      </w:r>
      <w:r>
        <w:rPr>
          <w:rFonts w:hint="eastAsia"/>
          <w:spacing w:val="-60"/>
          <w:lang w:val="en-GB"/>
        </w:rPr>
        <w:t>―</w:t>
      </w:r>
      <w:r>
        <w:rPr>
          <w:rFonts w:hint="eastAsia"/>
          <w:spacing w:val="10"/>
          <w:lang w:val="en-GB"/>
        </w:rPr>
        <w:t>―</w:t>
      </w:r>
      <w:r>
        <w:rPr>
          <w:rFonts w:hint="eastAsia"/>
          <w:lang w:val="en-GB"/>
        </w:rPr>
        <w:t>但要受到个别条款规定的限制。</w:t>
      </w:r>
    </w:p>
    <w:p w:rsidR="00D84D94" w:rsidRDefault="00D84D94">
      <w:pPr>
        <w:pStyle w:val="SingleTxtGC"/>
        <w:rPr>
          <w:rFonts w:hint="eastAsia"/>
          <w:lang w:val="en-GB"/>
        </w:rPr>
      </w:pPr>
      <w:r>
        <w:rPr>
          <w:lang w:val="en-GB"/>
        </w:rPr>
        <w:t xml:space="preserve">270.  </w:t>
      </w:r>
      <w:r>
        <w:rPr>
          <w:rFonts w:hint="eastAsia"/>
          <w:lang w:val="en-GB"/>
        </w:rPr>
        <w:t>保健领域康复的特点是，其服务由特许保健专业人员提供。康复服务往往是在医院开始的，出院后则由患者自己的全科医生</w:t>
      </w:r>
      <w:r>
        <w:rPr>
          <w:rFonts w:hint="eastAsia"/>
          <w:lang w:val="en-GB"/>
        </w:rPr>
        <w:t>(</w:t>
      </w:r>
      <w:r>
        <w:rPr>
          <w:rFonts w:hint="eastAsia"/>
          <w:lang w:val="en-GB"/>
        </w:rPr>
        <w:t>他可以介绍患者去接受私人理疗师的服务</w:t>
      </w:r>
      <w:r>
        <w:rPr>
          <w:rFonts w:hint="eastAsia"/>
          <w:lang w:val="en-GB"/>
        </w:rPr>
        <w:t>)</w:t>
      </w:r>
      <w:r>
        <w:rPr>
          <w:rFonts w:hint="eastAsia"/>
          <w:lang w:val="en-GB"/>
        </w:rPr>
        <w:t>和市镇提供。</w:t>
      </w:r>
    </w:p>
    <w:p w:rsidR="00D84D94" w:rsidRDefault="00D84D94">
      <w:pPr>
        <w:pStyle w:val="SingleTxtGC"/>
        <w:rPr>
          <w:rFonts w:hint="eastAsia"/>
          <w:lang w:val="en-GB"/>
        </w:rPr>
      </w:pPr>
      <w:r>
        <w:rPr>
          <w:lang w:val="en-GB"/>
        </w:rPr>
        <w:t xml:space="preserve">271.  </w:t>
      </w:r>
      <w:r>
        <w:rPr>
          <w:rFonts w:hint="eastAsia"/>
          <w:lang w:val="en-GB"/>
        </w:rPr>
        <w:t>丹麦国家卫生委员会刚刚完成一项卫生工作，制定出了有脑外伤、类似疾病及中风的儿童和成人的治疗与康复路径方案。这项工作描述了全部跨学科、跨部门和协调活动。分别用于有获得性脑损伤的儿童和青年人以及成年人的治疗和康复路径方案于</w:t>
      </w:r>
      <w:r>
        <w:rPr>
          <w:rFonts w:hint="eastAsia"/>
          <w:lang w:val="en-GB"/>
        </w:rPr>
        <w:t>2011</w:t>
      </w:r>
      <w:r>
        <w:rPr>
          <w:rFonts w:hint="eastAsia"/>
          <w:lang w:val="en-GB"/>
        </w:rPr>
        <w:t>年</w:t>
      </w:r>
      <w:r>
        <w:rPr>
          <w:rFonts w:hint="eastAsia"/>
          <w:lang w:val="en-GB"/>
        </w:rPr>
        <w:t>6</w:t>
      </w:r>
      <w:r>
        <w:rPr>
          <w:rFonts w:hint="eastAsia"/>
          <w:lang w:val="en-GB"/>
        </w:rPr>
        <w:t>月</w:t>
      </w:r>
      <w:r>
        <w:rPr>
          <w:rFonts w:hint="eastAsia"/>
          <w:lang w:val="en-GB"/>
        </w:rPr>
        <w:t>15</w:t>
      </w:r>
      <w:r>
        <w:rPr>
          <w:rFonts w:hint="eastAsia"/>
          <w:lang w:val="en-GB"/>
        </w:rPr>
        <w:t>日公布，它们将成为强化地区和市镇活动的框架。</w:t>
      </w:r>
    </w:p>
    <w:p w:rsidR="00D84D94" w:rsidRDefault="00D84D94">
      <w:pPr>
        <w:pStyle w:val="SingleTxtGC"/>
        <w:rPr>
          <w:rFonts w:hint="eastAsia"/>
          <w:lang w:val="en-GB"/>
        </w:rPr>
      </w:pPr>
      <w:r>
        <w:rPr>
          <w:lang w:val="en-GB"/>
        </w:rPr>
        <w:t xml:space="preserve">272.  </w:t>
      </w:r>
      <w:r>
        <w:rPr>
          <w:rFonts w:hint="eastAsia"/>
          <w:lang w:val="en-GB"/>
        </w:rPr>
        <w:t>《</w:t>
      </w:r>
      <w:r>
        <w:rPr>
          <w:rFonts w:hint="eastAsia"/>
          <w:lang w:val="en-GB"/>
        </w:rPr>
        <w:t>2011</w:t>
      </w:r>
      <w:r>
        <w:rPr>
          <w:rFonts w:hint="eastAsia"/>
          <w:lang w:val="en-GB"/>
        </w:rPr>
        <w:t>年财政法案》在</w:t>
      </w:r>
      <w:r>
        <w:rPr>
          <w:lang w:val="en-GB"/>
        </w:rPr>
        <w:t>2011-2014</w:t>
      </w:r>
      <w:r>
        <w:rPr>
          <w:rFonts w:hint="eastAsia"/>
          <w:lang w:val="en-GB"/>
        </w:rPr>
        <w:t>年内，为有脑损伤的弱势患者拨出</w:t>
      </w:r>
      <w:r>
        <w:rPr>
          <w:rFonts w:hint="eastAsia"/>
          <w:lang w:val="en-GB"/>
        </w:rPr>
        <w:t>1.5</w:t>
      </w:r>
      <w:r>
        <w:rPr>
          <w:rFonts w:hint="eastAsia"/>
          <w:lang w:val="en-GB"/>
        </w:rPr>
        <w:t>亿丹麦克朗。这些资金被用来加强面向病程长且病情严重的患者的再训练和康复活动。此外，作为针对脑损伤者的保健活动的一部分，丹麦政府、丹麦人民党和</w:t>
      </w:r>
      <w:r>
        <w:rPr>
          <w:lang w:val="en-GB"/>
        </w:rPr>
        <w:t>独立议员皮雅</w:t>
      </w:r>
      <w:r>
        <w:rPr>
          <w:rFonts w:hint="eastAsia"/>
          <w:lang w:val="en-GB"/>
        </w:rPr>
        <w:t>·</w:t>
      </w:r>
      <w:r>
        <w:rPr>
          <w:lang w:val="en-GB"/>
        </w:rPr>
        <w:t>科瑞斯姆斯</w:t>
      </w:r>
      <w:r>
        <w:rPr>
          <w:rFonts w:hint="eastAsia"/>
          <w:lang w:val="en-GB"/>
        </w:rPr>
        <w:t>·</w:t>
      </w:r>
      <w:r>
        <w:rPr>
          <w:lang w:val="en-GB"/>
        </w:rPr>
        <w:t>米勒</w:t>
      </w:r>
      <w:r>
        <w:rPr>
          <w:rFonts w:hint="eastAsia"/>
          <w:lang w:val="en-GB"/>
        </w:rPr>
        <w:t>又拿出</w:t>
      </w:r>
      <w:r>
        <w:rPr>
          <w:rFonts w:hint="eastAsia"/>
          <w:lang w:val="en-GB"/>
        </w:rPr>
        <w:t>1</w:t>
      </w:r>
      <w:r>
        <w:rPr>
          <w:rFonts w:hint="eastAsia"/>
          <w:lang w:val="en-GB"/>
        </w:rPr>
        <w:t>亿丹麦克朗用于加速脑损伤青年人的再训练和康复，拿出</w:t>
      </w:r>
      <w:r>
        <w:rPr>
          <w:rFonts w:hint="eastAsia"/>
          <w:lang w:val="en-GB"/>
        </w:rPr>
        <w:t>5000</w:t>
      </w:r>
      <w:r>
        <w:rPr>
          <w:rFonts w:hint="eastAsia"/>
          <w:lang w:val="en-GB"/>
        </w:rPr>
        <w:t>万丹麦克朗用于在</w:t>
      </w:r>
      <w:r>
        <w:rPr>
          <w:lang w:val="en-GB"/>
        </w:rPr>
        <w:t>Glostrup</w:t>
      </w:r>
      <w:r>
        <w:rPr>
          <w:rFonts w:hint="eastAsia"/>
          <w:lang w:val="en-GB"/>
        </w:rPr>
        <w:t>医院建立一个新的脑损伤中心。</w:t>
      </w:r>
    </w:p>
    <w:p w:rsidR="00D84D94" w:rsidRDefault="00D84D94">
      <w:pPr>
        <w:pStyle w:val="SingleTxtGC"/>
        <w:rPr>
          <w:rFonts w:hint="eastAsia"/>
          <w:lang w:val="en-GB"/>
        </w:rPr>
      </w:pPr>
      <w:r>
        <w:rPr>
          <w:lang w:val="en-GB"/>
        </w:rPr>
        <w:t xml:space="preserve">273.  </w:t>
      </w:r>
      <w:r>
        <w:rPr>
          <w:rFonts w:hint="eastAsia"/>
          <w:lang w:val="en-GB"/>
        </w:rPr>
        <w:t>丹麦政府编制了关于市级康复服务的共同导则。这些导则旨在支持市镇打破学科界线，履行康复任务。它们说明了各种立法中现有的规定、康复目标、康复方案中的典型活动以及跨学科合作，例如超越市级政府部门的合作。</w:t>
      </w:r>
    </w:p>
    <w:p w:rsidR="00D84D94" w:rsidRDefault="00D84D94">
      <w:pPr>
        <w:pStyle w:val="H23GC"/>
        <w:rPr>
          <w:rFonts w:hint="eastAsia"/>
          <w:lang w:val="en-GB"/>
        </w:rPr>
      </w:pPr>
      <w:r>
        <w:rPr>
          <w:lang w:val="en-GB"/>
        </w:rPr>
        <w:tab/>
      </w:r>
      <w:r>
        <w:rPr>
          <w:lang w:val="en-GB"/>
        </w:rPr>
        <w:tab/>
      </w:r>
      <w:r>
        <w:rPr>
          <w:rFonts w:hint="eastAsia"/>
          <w:lang w:val="en-GB"/>
        </w:rPr>
        <w:t>为有健康问题的新丹麦人提供康复服务</w:t>
      </w:r>
    </w:p>
    <w:p w:rsidR="00D84D94" w:rsidRDefault="00D84D94">
      <w:pPr>
        <w:pStyle w:val="SingleTxtGC"/>
        <w:rPr>
          <w:rFonts w:hint="eastAsia"/>
          <w:lang w:val="en-GB"/>
        </w:rPr>
      </w:pPr>
      <w:r>
        <w:rPr>
          <w:lang w:val="en-GB"/>
        </w:rPr>
        <w:t xml:space="preserve">274.  </w:t>
      </w:r>
      <w:r>
        <w:rPr>
          <w:rFonts w:hint="eastAsia"/>
          <w:lang w:val="en-GB"/>
        </w:rPr>
        <w:t>疾病和健康问题是难民和移民参加丹麦劳动力市场的一个障碍。于是，难民、移徙和融入事务部在丹麦市镇中开展了一项调查，以分析少数族裔的病程及其对少数族裔就业的影响。调查结果发表在</w:t>
      </w:r>
      <w:r>
        <w:rPr>
          <w:rFonts w:hint="eastAsia"/>
          <w:lang w:val="en-GB"/>
        </w:rPr>
        <w:t>2009</w:t>
      </w:r>
      <w:r>
        <w:rPr>
          <w:rFonts w:hint="eastAsia"/>
          <w:lang w:val="en-GB"/>
        </w:rPr>
        <w:t>年</w:t>
      </w:r>
      <w:r>
        <w:rPr>
          <w:rFonts w:hint="eastAsia"/>
          <w:lang w:val="en-GB"/>
        </w:rPr>
        <w:t>3</w:t>
      </w:r>
      <w:r>
        <w:rPr>
          <w:rFonts w:hint="eastAsia"/>
          <w:lang w:val="en-GB"/>
        </w:rPr>
        <w:t>月出版的“健康与融入”中</w:t>
      </w:r>
    </w:p>
    <w:p w:rsidR="00D84D94" w:rsidRDefault="00D84D94">
      <w:pPr>
        <w:pStyle w:val="SingleTxtGC"/>
        <w:rPr>
          <w:rFonts w:hint="eastAsia"/>
          <w:lang w:val="en-GB"/>
        </w:rPr>
      </w:pPr>
      <w:r>
        <w:rPr>
          <w:lang w:val="en-GB"/>
        </w:rPr>
        <w:t xml:space="preserve">275.  </w:t>
      </w:r>
      <w:r>
        <w:rPr>
          <w:rFonts w:hint="eastAsia"/>
          <w:lang w:val="en-GB"/>
        </w:rPr>
        <w:t>根据此次调查，大约</w:t>
      </w:r>
      <w:r>
        <w:rPr>
          <w:rFonts w:hint="eastAsia"/>
          <w:lang w:val="en-GB"/>
        </w:rPr>
        <w:t>80%</w:t>
      </w:r>
      <w:r>
        <w:rPr>
          <w:rFonts w:hint="eastAsia"/>
          <w:lang w:val="en-GB"/>
        </w:rPr>
        <w:t>领取长期现金补助的新丹麦人由于健康问题，还未准备好加入劳动力市场，其中多数人是健康问题没有得到解决的妇女。从参与此次调查的市镇看，那些拥有丹麦背景的、患病的现金补助申领者，查明其疾病和资源的可能性，往往几乎是患病的新丹麦人的四倍。</w:t>
      </w:r>
    </w:p>
    <w:p w:rsidR="00D84D94" w:rsidRDefault="00D84D94">
      <w:pPr>
        <w:pStyle w:val="SingleTxtGC"/>
        <w:rPr>
          <w:lang w:val="en-GB"/>
        </w:rPr>
      </w:pPr>
      <w:r>
        <w:rPr>
          <w:lang w:val="en-GB"/>
        </w:rPr>
        <w:t xml:space="preserve">276.  </w:t>
      </w:r>
      <w:r>
        <w:rPr>
          <w:rFonts w:hint="eastAsia"/>
          <w:lang w:val="en-GB"/>
        </w:rPr>
        <w:t>2008</w:t>
      </w:r>
      <w:r>
        <w:rPr>
          <w:rFonts w:hint="eastAsia"/>
          <w:lang w:val="en-GB"/>
        </w:rPr>
        <w:t>年秋，为纠正这种局面，难民、移徙和融入事务部利用面向地方社会工作者的一些课程，宣传可以促进新丹麦人进一步参与劳动力市场的、就业与卫生部门之间合作的有效方法和有益形式。此外，该部还支持在奥登塞市建立所谓的健康鉴定小组，后者采用跨学科方法对有患有复杂性疾病或不明疾病的现金补助申领者进行鉴定，另有几个市镇也采取了这一模式。</w:t>
      </w:r>
    </w:p>
    <w:p w:rsidR="00D84D94" w:rsidRDefault="00D84D94">
      <w:pPr>
        <w:pStyle w:val="SingleTxtGC"/>
        <w:rPr>
          <w:rFonts w:hint="eastAsia"/>
          <w:lang w:val="en-GB"/>
        </w:rPr>
      </w:pPr>
      <w:r>
        <w:rPr>
          <w:lang w:val="en-GB"/>
        </w:rPr>
        <w:t xml:space="preserve">277.  </w:t>
      </w:r>
      <w:r>
        <w:rPr>
          <w:rFonts w:hint="eastAsia"/>
          <w:lang w:val="en-GB"/>
        </w:rPr>
        <w:t>在未来几年中，该部将通过支持一些研发项目，使有健康问题的新丹麦人与劳动力市场的联系更紧密。</w:t>
      </w:r>
    </w:p>
    <w:p w:rsidR="00D84D94" w:rsidRDefault="00D84D94">
      <w:pPr>
        <w:pStyle w:val="H1GC"/>
        <w:rPr>
          <w:rFonts w:hint="eastAsia"/>
          <w:lang w:val="en-GB"/>
        </w:rPr>
      </w:pPr>
      <w:r>
        <w:rPr>
          <w:lang w:val="en-GB"/>
        </w:rPr>
        <w:tab/>
      </w:r>
      <w:r>
        <w:rPr>
          <w:lang w:val="en-GB"/>
        </w:rPr>
        <w:tab/>
      </w:r>
      <w:r>
        <w:rPr>
          <w:rFonts w:hint="eastAsia"/>
          <w:lang w:val="en-GB"/>
        </w:rPr>
        <w:t>第二十七条</w:t>
      </w:r>
    </w:p>
    <w:p w:rsidR="00D84D94" w:rsidRDefault="00D84D94">
      <w:pPr>
        <w:pStyle w:val="SingleTxtGC"/>
        <w:rPr>
          <w:rFonts w:hint="eastAsia"/>
          <w:lang w:val="en-GB"/>
        </w:rPr>
      </w:pPr>
      <w:r>
        <w:rPr>
          <w:lang w:val="en-GB"/>
        </w:rPr>
        <w:t xml:space="preserve">278.  </w:t>
      </w:r>
      <w:r>
        <w:rPr>
          <w:rFonts w:hint="eastAsia"/>
          <w:lang w:val="en-GB"/>
        </w:rPr>
        <w:t>2002</w:t>
      </w:r>
      <w:r>
        <w:rPr>
          <w:rFonts w:hint="eastAsia"/>
          <w:lang w:val="en-GB"/>
        </w:rPr>
        <w:t>年，就业的残疾人的比例为</w:t>
      </w:r>
      <w:r>
        <w:rPr>
          <w:rFonts w:hint="eastAsia"/>
          <w:lang w:val="en-GB"/>
        </w:rPr>
        <w:t>51%</w:t>
      </w:r>
      <w:r>
        <w:rPr>
          <w:rFonts w:hint="eastAsia"/>
          <w:lang w:val="en-GB"/>
        </w:rPr>
        <w:t>。</w:t>
      </w:r>
      <w:r>
        <w:rPr>
          <w:rFonts w:hint="eastAsia"/>
          <w:lang w:val="en-GB"/>
        </w:rPr>
        <w:t>2005</w:t>
      </w:r>
      <w:r>
        <w:rPr>
          <w:rFonts w:hint="eastAsia"/>
          <w:lang w:val="en-GB"/>
        </w:rPr>
        <w:t>年、</w:t>
      </w:r>
      <w:r>
        <w:rPr>
          <w:rFonts w:hint="eastAsia"/>
          <w:lang w:val="en-GB"/>
        </w:rPr>
        <w:t>2008</w:t>
      </w:r>
      <w:r>
        <w:rPr>
          <w:rFonts w:hint="eastAsia"/>
          <w:lang w:val="en-GB"/>
        </w:rPr>
        <w:t>年和</w:t>
      </w:r>
      <w:r>
        <w:rPr>
          <w:rFonts w:hint="eastAsia"/>
          <w:lang w:val="en-GB"/>
        </w:rPr>
        <w:t>2010</w:t>
      </w:r>
      <w:r>
        <w:rPr>
          <w:rFonts w:hint="eastAsia"/>
          <w:lang w:val="en-GB"/>
        </w:rPr>
        <w:t>年的这一比例分别为</w:t>
      </w:r>
      <w:r>
        <w:rPr>
          <w:lang w:val="en-GB"/>
        </w:rPr>
        <w:t>53.7</w:t>
      </w:r>
      <w:r>
        <w:rPr>
          <w:rFonts w:hint="eastAsia"/>
          <w:lang w:val="en-GB"/>
        </w:rPr>
        <w:t>%</w:t>
      </w:r>
      <w:r>
        <w:rPr>
          <w:rFonts w:hint="eastAsia"/>
          <w:lang w:val="en-GB"/>
        </w:rPr>
        <w:t>、</w:t>
      </w:r>
      <w:r>
        <w:rPr>
          <w:lang w:val="en-GB"/>
        </w:rPr>
        <w:t>51.2</w:t>
      </w:r>
      <w:r>
        <w:rPr>
          <w:rFonts w:hint="eastAsia"/>
          <w:lang w:val="en-GB"/>
        </w:rPr>
        <w:t>%</w:t>
      </w:r>
      <w:r>
        <w:rPr>
          <w:rFonts w:hint="eastAsia"/>
          <w:lang w:val="en-GB"/>
        </w:rPr>
        <w:t>和</w:t>
      </w:r>
      <w:r>
        <w:rPr>
          <w:lang w:val="en-GB"/>
        </w:rPr>
        <w:t>46.6</w:t>
      </w:r>
      <w:r>
        <w:rPr>
          <w:rFonts w:hint="eastAsia"/>
          <w:lang w:val="en-GB"/>
        </w:rPr>
        <w:t>%</w:t>
      </w:r>
      <w:r>
        <w:rPr>
          <w:rFonts w:hint="eastAsia"/>
          <w:lang w:val="en-GB"/>
        </w:rPr>
        <w:t>。</w:t>
      </w:r>
    </w:p>
    <w:p w:rsidR="00D84D94" w:rsidRDefault="00D84D94">
      <w:pPr>
        <w:pStyle w:val="SingleTxtGC"/>
        <w:rPr>
          <w:rFonts w:hint="eastAsia"/>
          <w:lang w:val="en-GB"/>
        </w:rPr>
      </w:pPr>
      <w:r>
        <w:rPr>
          <w:lang w:val="en-GB"/>
        </w:rPr>
        <w:t xml:space="preserve">279.  </w:t>
      </w:r>
      <w:r>
        <w:rPr>
          <w:rFonts w:hint="eastAsia"/>
          <w:lang w:val="en-GB"/>
        </w:rPr>
        <w:t>健全人的这一比例在</w:t>
      </w:r>
      <w:r>
        <w:rPr>
          <w:rFonts w:hint="eastAsia"/>
          <w:lang w:val="en-GB"/>
        </w:rPr>
        <w:t>2002</w:t>
      </w:r>
      <w:r>
        <w:rPr>
          <w:rFonts w:hint="eastAsia"/>
          <w:lang w:val="en-GB"/>
        </w:rPr>
        <w:t>年至</w:t>
      </w:r>
      <w:r>
        <w:rPr>
          <w:rFonts w:hint="eastAsia"/>
          <w:lang w:val="en-GB"/>
        </w:rPr>
        <w:t>2008</w:t>
      </w:r>
      <w:r>
        <w:rPr>
          <w:rFonts w:hint="eastAsia"/>
          <w:lang w:val="en-GB"/>
        </w:rPr>
        <w:t>年期间没有明显变化，但是在</w:t>
      </w:r>
      <w:r>
        <w:rPr>
          <w:rFonts w:hint="eastAsia"/>
          <w:lang w:val="en-GB"/>
        </w:rPr>
        <w:t>2008</w:t>
      </w:r>
      <w:r>
        <w:rPr>
          <w:rFonts w:hint="eastAsia"/>
          <w:lang w:val="en-GB"/>
        </w:rPr>
        <w:t>年至</w:t>
      </w:r>
      <w:r>
        <w:rPr>
          <w:rFonts w:hint="eastAsia"/>
          <w:lang w:val="en-GB"/>
        </w:rPr>
        <w:t>2010</w:t>
      </w:r>
      <w:r>
        <w:rPr>
          <w:rFonts w:hint="eastAsia"/>
          <w:lang w:val="en-GB"/>
        </w:rPr>
        <w:t>年期间从</w:t>
      </w:r>
      <w:r>
        <w:rPr>
          <w:lang w:val="en-GB"/>
        </w:rPr>
        <w:t>81.9</w:t>
      </w:r>
      <w:r>
        <w:rPr>
          <w:rFonts w:hint="eastAsia"/>
          <w:lang w:val="en-GB"/>
        </w:rPr>
        <w:t>%</w:t>
      </w:r>
      <w:r>
        <w:rPr>
          <w:rFonts w:hint="eastAsia"/>
          <w:lang w:val="en-GB"/>
        </w:rPr>
        <w:t>陡然下降</w:t>
      </w:r>
      <w:r>
        <w:rPr>
          <w:rFonts w:hint="eastAsia"/>
          <w:lang w:val="en-GB"/>
        </w:rPr>
        <w:t>4.6%</w:t>
      </w:r>
      <w:r>
        <w:rPr>
          <w:rFonts w:hint="eastAsia"/>
          <w:lang w:val="en-GB"/>
        </w:rPr>
        <w:t>，跌至</w:t>
      </w:r>
      <w:r>
        <w:rPr>
          <w:rFonts w:hint="eastAsia"/>
          <w:lang w:val="en-GB"/>
        </w:rPr>
        <w:t>77%</w:t>
      </w:r>
      <w:r>
        <w:rPr>
          <w:rFonts w:hint="eastAsia"/>
          <w:lang w:val="en-GB"/>
        </w:rPr>
        <w:t>；残疾人和健全人的就业人数都下降了。尽管为增加残疾人的就业人数做出了种种有针对性的努力，但是相对而言，就业总人数依然停滞不前。</w:t>
      </w:r>
    </w:p>
    <w:p w:rsidR="00D84D94" w:rsidRDefault="00D84D94">
      <w:pPr>
        <w:pStyle w:val="SingleTxtGC"/>
        <w:rPr>
          <w:rFonts w:hint="eastAsia"/>
          <w:lang w:val="en-GB"/>
        </w:rPr>
      </w:pPr>
      <w:r>
        <w:rPr>
          <w:lang w:val="en-GB"/>
        </w:rPr>
        <w:t xml:space="preserve">280.  </w:t>
      </w:r>
      <w:r>
        <w:rPr>
          <w:rFonts w:hint="eastAsia"/>
          <w:lang w:val="en-GB"/>
        </w:rPr>
        <w:t>为确保残疾人能够加入劳动力市场，丹麦政府和丹麦残疾人组织推出了一个四年期的残疾战略，制定该战略的灵感来自于将残疾与就业相结合的可能性。作为该战略的一部分，双方将推出以支持残疾人活动的三个主要参与方</w:t>
      </w:r>
      <w:r>
        <w:rPr>
          <w:rFonts w:hint="eastAsia"/>
          <w:spacing w:val="-60"/>
          <w:lang w:val="en-GB"/>
        </w:rPr>
        <w:t>―</w:t>
      </w:r>
      <w:r>
        <w:rPr>
          <w:rFonts w:hint="eastAsia"/>
          <w:spacing w:val="10"/>
          <w:lang w:val="en-GB"/>
        </w:rPr>
        <w:t>―</w:t>
      </w:r>
      <w:r>
        <w:rPr>
          <w:rFonts w:hint="eastAsia"/>
          <w:lang w:val="en-GB"/>
        </w:rPr>
        <w:t>职介中心、个人和企业</w:t>
      </w:r>
      <w:r>
        <w:rPr>
          <w:rFonts w:hint="eastAsia"/>
          <w:spacing w:val="-60"/>
          <w:lang w:val="en-GB"/>
        </w:rPr>
        <w:t>―</w:t>
      </w:r>
      <w:r>
        <w:rPr>
          <w:rFonts w:hint="eastAsia"/>
          <w:spacing w:val="10"/>
          <w:lang w:val="en-GB"/>
        </w:rPr>
        <w:t>―</w:t>
      </w:r>
      <w:r>
        <w:rPr>
          <w:rFonts w:hint="eastAsia"/>
          <w:lang w:val="en-GB"/>
        </w:rPr>
        <w:t>为重点的九项举措。这些举措涉及下列三个行动领域</w:t>
      </w:r>
      <w:r>
        <w:rPr>
          <w:rFonts w:hint="eastAsia"/>
          <w:lang w:val="en-GB"/>
        </w:rPr>
        <w:t>(</w:t>
      </w:r>
      <w:r>
        <w:rPr>
          <w:rFonts w:hint="eastAsia"/>
          <w:lang w:val="en-GB"/>
        </w:rPr>
        <w:t>包括残疾人被纳入和留在劳动力市场</w:t>
      </w:r>
      <w:r>
        <w:rPr>
          <w:rFonts w:hint="eastAsia"/>
          <w:lang w:val="en-GB"/>
        </w:rPr>
        <w:t>)</w:t>
      </w:r>
      <w:r>
        <w:rPr>
          <w:rFonts w:hint="eastAsia"/>
          <w:lang w:val="en-GB"/>
        </w:rPr>
        <w:t>：</w:t>
      </w:r>
    </w:p>
    <w:p w:rsidR="00D84D94" w:rsidRDefault="00D84D94">
      <w:pPr>
        <w:pStyle w:val="Bullet1GC"/>
        <w:rPr>
          <w:rFonts w:hint="eastAsia"/>
          <w:lang w:val="en-GB"/>
        </w:rPr>
      </w:pPr>
      <w:r>
        <w:rPr>
          <w:rFonts w:hint="eastAsia"/>
          <w:lang w:val="en-GB"/>
        </w:rPr>
        <w:t>促进残疾与工作的结合</w:t>
      </w:r>
    </w:p>
    <w:p w:rsidR="00D84D94" w:rsidRDefault="00D84D94">
      <w:pPr>
        <w:pStyle w:val="Bullet1GC"/>
        <w:rPr>
          <w:rFonts w:hint="eastAsia"/>
          <w:lang w:val="en-GB"/>
        </w:rPr>
      </w:pPr>
      <w:r>
        <w:rPr>
          <w:rFonts w:hint="eastAsia"/>
          <w:lang w:val="en-GB"/>
        </w:rPr>
        <w:t>宣传现有的备选弥补方案</w:t>
      </w:r>
    </w:p>
    <w:p w:rsidR="00D84D94" w:rsidRDefault="00D84D94">
      <w:pPr>
        <w:pStyle w:val="Bullet1GC"/>
        <w:rPr>
          <w:rFonts w:hint="eastAsia"/>
          <w:lang w:val="en-GB"/>
        </w:rPr>
      </w:pPr>
      <w:r>
        <w:rPr>
          <w:rFonts w:hint="eastAsia"/>
          <w:lang w:val="en-GB"/>
        </w:rPr>
        <w:t>进一步了解有哪些切实有效的方法可使更多残疾人就业</w:t>
      </w:r>
    </w:p>
    <w:p w:rsidR="00D84D94" w:rsidRDefault="00D84D94">
      <w:pPr>
        <w:pStyle w:val="SingleTxtGC"/>
        <w:rPr>
          <w:rFonts w:hint="eastAsia"/>
          <w:lang w:val="en-GB"/>
        </w:rPr>
      </w:pPr>
      <w:r>
        <w:rPr>
          <w:lang w:val="en-GB"/>
        </w:rPr>
        <w:t xml:space="preserve">281.  </w:t>
      </w:r>
      <w:r>
        <w:rPr>
          <w:rFonts w:hint="eastAsia"/>
          <w:lang w:val="en-GB"/>
        </w:rPr>
        <w:t>私营和公营企业可以为以各种方式帮助残疾人找到就业岗位的项目，向残疾资金库申请资金。</w:t>
      </w:r>
    </w:p>
    <w:p w:rsidR="00D84D94" w:rsidRDefault="00D84D94">
      <w:pPr>
        <w:pStyle w:val="SingleTxtGC"/>
        <w:rPr>
          <w:rFonts w:hint="eastAsia"/>
          <w:lang w:val="en-GB"/>
        </w:rPr>
      </w:pPr>
      <w:r>
        <w:rPr>
          <w:lang w:val="en-GB"/>
        </w:rPr>
        <w:t xml:space="preserve">282.  </w:t>
      </w:r>
      <w:r>
        <w:rPr>
          <w:rFonts w:hint="eastAsia"/>
          <w:lang w:val="en-GB"/>
        </w:rPr>
        <w:t>市镇政府负责就业活动，国家工伤委员会则协助确定受伤人员的状况并可裁定暂时丧失赚钱能力。这有助于防止受伤人员感到被困住、孤立无援，防止受伤人员与劳动力市场失去联系的风险。</w:t>
      </w:r>
    </w:p>
    <w:p w:rsidR="00D84D94" w:rsidRDefault="00D84D94">
      <w:pPr>
        <w:pStyle w:val="SingleTxtGC"/>
        <w:rPr>
          <w:rFonts w:hint="eastAsia"/>
          <w:lang w:val="en-GB"/>
        </w:rPr>
      </w:pPr>
      <w:r>
        <w:rPr>
          <w:lang w:val="en-GB"/>
        </w:rPr>
        <w:t xml:space="preserve">283.  </w:t>
      </w:r>
      <w:r>
        <w:rPr>
          <w:rFonts w:hint="eastAsia"/>
          <w:lang w:val="en-GB"/>
        </w:rPr>
        <w:t>总体而言，审理工业工伤案所用的时间是关注的焦点。国家工业工伤委员会重点关注那些工业工伤可能致人无法重返劳动力市场的案件。为及时结案，这种案件享有特别高度的优先。</w:t>
      </w:r>
    </w:p>
    <w:p w:rsidR="00D84D94" w:rsidRDefault="00D84D94">
      <w:pPr>
        <w:pStyle w:val="SingleTxtGC"/>
        <w:rPr>
          <w:rFonts w:hint="eastAsia"/>
          <w:lang w:val="en-GB"/>
        </w:rPr>
      </w:pPr>
      <w:r>
        <w:rPr>
          <w:lang w:val="en-GB"/>
        </w:rPr>
        <w:t xml:space="preserve">284.  </w:t>
      </w:r>
      <w:r>
        <w:rPr>
          <w:rFonts w:hint="eastAsia"/>
          <w:lang w:val="en-GB"/>
        </w:rPr>
        <w:t>国家工业工伤委员会还力图让工会等其他有关方面参与支持受伤人员重返劳动力市场的努力。</w:t>
      </w:r>
    </w:p>
    <w:p w:rsidR="00D84D94" w:rsidRDefault="00D84D94">
      <w:pPr>
        <w:pStyle w:val="SingleTxtGC"/>
        <w:rPr>
          <w:rFonts w:hint="eastAsia"/>
          <w:lang w:val="en-GB"/>
        </w:rPr>
      </w:pPr>
      <w:r>
        <w:rPr>
          <w:lang w:val="en-GB"/>
        </w:rPr>
        <w:t xml:space="preserve">285.  </w:t>
      </w:r>
      <w:r>
        <w:rPr>
          <w:rFonts w:hint="eastAsia"/>
          <w:lang w:val="en-GB"/>
        </w:rPr>
        <w:t>一般就业政策措施均涵盖残疾人，无论其患有何种残疾。如果其残疾需要得到特别措施或援助，可以根据《残疾人就业补偿法》等法规给予这种措施或援助。该计划的目标是提升和促进雇用残疾人并将其留在劳动力市场中的可能性，为他们提供同健全人一样的追求职业发展的可能性。</w:t>
      </w:r>
    </w:p>
    <w:p w:rsidR="00D84D94" w:rsidRDefault="00D84D94">
      <w:pPr>
        <w:pStyle w:val="SingleTxtGC"/>
        <w:rPr>
          <w:rFonts w:hint="eastAsia"/>
          <w:lang w:val="en-GB"/>
        </w:rPr>
      </w:pPr>
      <w:r>
        <w:rPr>
          <w:lang w:val="en-GB"/>
        </w:rPr>
        <w:t xml:space="preserve">286.  </w:t>
      </w:r>
      <w:r>
        <w:rPr>
          <w:rFonts w:hint="eastAsia"/>
          <w:lang w:val="en-GB"/>
        </w:rPr>
        <w:t>《丹麦禁止劳动力市场差别待遇法》禁止直接或间接的差别待遇和骚扰，以及教唆以残疾为由进行歧视等行为。残疾作为一种歧视判据被纳入该法，这是为了执行关于建立就业和职业待遇平等总体框架的第</w:t>
      </w:r>
      <w:r>
        <w:rPr>
          <w:lang w:val="en-GB"/>
        </w:rPr>
        <w:t>2000/78</w:t>
      </w:r>
      <w:r>
        <w:rPr>
          <w:rFonts w:hint="eastAsia"/>
          <w:lang w:val="en-GB"/>
        </w:rPr>
        <w:t>号理事会指令的部分规定。</w:t>
      </w:r>
    </w:p>
    <w:p w:rsidR="00D84D94" w:rsidRDefault="00D84D94">
      <w:pPr>
        <w:pStyle w:val="SingleTxtGC"/>
        <w:rPr>
          <w:rFonts w:hint="eastAsia"/>
          <w:lang w:val="en-GB"/>
        </w:rPr>
      </w:pPr>
      <w:r>
        <w:rPr>
          <w:lang w:val="en-GB"/>
        </w:rPr>
        <w:t xml:space="preserve">287.  </w:t>
      </w:r>
      <w:r>
        <w:rPr>
          <w:rFonts w:hint="eastAsia"/>
          <w:lang w:val="en-GB"/>
        </w:rPr>
        <w:t>根据《丹麦禁止劳动力市场差别待遇法》，雇主在雇用、辞退、调动、提升方面，或者在工资和工作条件方面，不得歧视</w:t>
      </w:r>
      <w:r>
        <w:rPr>
          <w:lang w:val="en-GB"/>
        </w:rPr>
        <w:t>工薪人员</w:t>
      </w:r>
      <w:r>
        <w:rPr>
          <w:rFonts w:hint="eastAsia"/>
          <w:lang w:val="en-GB"/>
        </w:rPr>
        <w:t>或空缺岗位的求职者。若不是同工同酬，或者不是同等价值的工作同等报酬，就是工资待遇歧视。</w:t>
      </w:r>
    </w:p>
    <w:p w:rsidR="00D84D94" w:rsidRDefault="00D84D94">
      <w:pPr>
        <w:pStyle w:val="SingleTxtGC"/>
        <w:rPr>
          <w:rFonts w:hint="eastAsia"/>
          <w:lang w:val="en-GB"/>
        </w:rPr>
      </w:pPr>
      <w:r>
        <w:rPr>
          <w:lang w:val="en-GB"/>
        </w:rPr>
        <w:t xml:space="preserve">288.  </w:t>
      </w:r>
      <w:r>
        <w:rPr>
          <w:rFonts w:hint="eastAsia"/>
          <w:lang w:val="en-GB"/>
        </w:rPr>
        <w:t>根据该法，对于残疾人适用调整义务，这意味着雇主必须根据关于给予残疾人就业、工作或事业成功的机会的具体要求，采取</w:t>
      </w:r>
      <w:r>
        <w:rPr>
          <w:lang w:val="en-GB"/>
        </w:rPr>
        <w:t>方便而又实际</w:t>
      </w:r>
      <w:r>
        <w:rPr>
          <w:rFonts w:hint="eastAsia"/>
          <w:lang w:val="en-GB"/>
        </w:rPr>
        <w:t>的措施。然而，如果因此会给雇主造成特别沉重的负担，则不适用调整义务。如果所造成的负担通过公共措施可以充分缓解，就不应认为该负担特别沉重。</w:t>
      </w:r>
    </w:p>
    <w:p w:rsidR="00D84D94" w:rsidRDefault="00D84D94">
      <w:pPr>
        <w:pStyle w:val="SingleTxtGC"/>
        <w:rPr>
          <w:rFonts w:hint="eastAsia"/>
          <w:lang w:val="en-GB"/>
        </w:rPr>
      </w:pPr>
      <w:r>
        <w:rPr>
          <w:lang w:val="en-GB"/>
        </w:rPr>
        <w:t xml:space="preserve">289.  </w:t>
      </w:r>
      <w:r>
        <w:rPr>
          <w:rFonts w:hint="eastAsia"/>
          <w:lang w:val="en-GB"/>
        </w:rPr>
        <w:t>禁止差别待遇的规定也适用于从事咨询和教育活动者、提供就业者、就从事自营职业的途径做出规定和决策者，以及就加入和参与某一雇员或雇主组织以及该组织成员享有的利益做出决定者。</w:t>
      </w:r>
    </w:p>
    <w:p w:rsidR="00D84D94" w:rsidRDefault="00D84D94">
      <w:pPr>
        <w:pStyle w:val="H23GC"/>
        <w:rPr>
          <w:rFonts w:hint="eastAsia"/>
          <w:lang w:val="en-GB"/>
        </w:rPr>
      </w:pPr>
      <w:r>
        <w:rPr>
          <w:lang w:val="en-GB"/>
        </w:rPr>
        <w:tab/>
      </w:r>
      <w:r>
        <w:rPr>
          <w:lang w:val="en-GB"/>
        </w:rPr>
        <w:tab/>
      </w:r>
      <w:r>
        <w:rPr>
          <w:rFonts w:hint="eastAsia"/>
          <w:lang w:val="en-GB"/>
        </w:rPr>
        <w:t>对残疾人就业等方面的补偿</w:t>
      </w:r>
    </w:p>
    <w:p w:rsidR="00D84D94" w:rsidRDefault="00D84D94">
      <w:pPr>
        <w:pStyle w:val="SingleTxtGC"/>
        <w:rPr>
          <w:rFonts w:hint="eastAsia"/>
          <w:lang w:val="en-GB"/>
        </w:rPr>
      </w:pPr>
      <w:r>
        <w:rPr>
          <w:lang w:val="en-GB"/>
        </w:rPr>
        <w:t xml:space="preserve">290.  </w:t>
      </w:r>
      <w:r>
        <w:rPr>
          <w:rFonts w:hint="eastAsia"/>
          <w:lang w:val="en-GB"/>
        </w:rPr>
        <w:t>《丹麦残疾人就业补偿法》的目的是提高并促进雇用残疾人并将他们留在劳动力市场中的可能性，为残疾人提供与健全人相同的从事一个行业或职业的可能性。该法载有四种方案：</w:t>
      </w:r>
    </w:p>
    <w:p w:rsidR="00D84D94" w:rsidRDefault="00D84D94">
      <w:pPr>
        <w:pStyle w:val="H4GC"/>
        <w:rPr>
          <w:rFonts w:hint="eastAsia"/>
          <w:lang w:val="en-GB"/>
        </w:rPr>
      </w:pPr>
      <w:r>
        <w:rPr>
          <w:lang w:val="en-GB"/>
        </w:rPr>
        <w:tab/>
      </w:r>
      <w:r>
        <w:rPr>
          <w:lang w:val="en-GB"/>
        </w:rPr>
        <w:tab/>
      </w:r>
      <w:r>
        <w:rPr>
          <w:rFonts w:hint="eastAsia"/>
          <w:lang w:val="en-GB"/>
        </w:rPr>
        <w:t>对残疾人就业的个人援助</w:t>
      </w:r>
    </w:p>
    <w:p w:rsidR="00D84D94" w:rsidRDefault="00D84D94">
      <w:pPr>
        <w:pStyle w:val="SingleTxtGC"/>
        <w:rPr>
          <w:rFonts w:hint="eastAsia"/>
          <w:lang w:val="en-GB"/>
        </w:rPr>
      </w:pPr>
      <w:r>
        <w:rPr>
          <w:lang w:val="en-GB"/>
        </w:rPr>
        <w:t xml:space="preserve">291.  </w:t>
      </w:r>
      <w:r>
        <w:rPr>
          <w:rFonts w:hint="eastAsia"/>
          <w:lang w:val="en-GB"/>
        </w:rPr>
        <w:t>对于企业聘请一名私人助理的报酬等支出可给予补贴，这种补贴可以提供给因有肢体或心智缺陷而需要专人协助的失业人员、工薪人员和自营职业的商人。该方案的目的是为残疾人提供与健全人同等的从事贸易或职业的可能性。私人助理是为了协助有关人员履行由于有功能缺陷而需要专人协助才能履行的工作职能。</w:t>
      </w:r>
    </w:p>
    <w:p w:rsidR="00D84D94" w:rsidRDefault="00D84D94">
      <w:pPr>
        <w:pStyle w:val="SingleTxtGC"/>
        <w:rPr>
          <w:rFonts w:hint="eastAsia"/>
          <w:lang w:val="en-GB"/>
        </w:rPr>
      </w:pPr>
      <w:r>
        <w:rPr>
          <w:lang w:val="en-GB"/>
        </w:rPr>
        <w:t xml:space="preserve">292.  </w:t>
      </w:r>
      <w:r>
        <w:rPr>
          <w:rFonts w:hint="eastAsia"/>
          <w:lang w:val="en-GB"/>
        </w:rPr>
        <w:t>若雇员由于有严重的永久性肢体或心智缺陷，在正常工作时间以外需要私人助理才能参加有关工作岗位的一般性补充培训和进一步培训，也可给予其支助。</w:t>
      </w:r>
    </w:p>
    <w:p w:rsidR="00D84D94" w:rsidRDefault="00D84D94">
      <w:pPr>
        <w:pStyle w:val="H4GC"/>
        <w:rPr>
          <w:rFonts w:hint="eastAsia"/>
          <w:lang w:val="en-GB"/>
        </w:rPr>
      </w:pPr>
      <w:r>
        <w:rPr>
          <w:lang w:val="en-GB"/>
        </w:rPr>
        <w:tab/>
      </w:r>
      <w:r>
        <w:rPr>
          <w:lang w:val="en-GB"/>
        </w:rPr>
        <w:tab/>
      </w:r>
      <w:r>
        <w:rPr>
          <w:rFonts w:hint="eastAsia"/>
          <w:lang w:val="en-GB"/>
        </w:rPr>
        <w:t>对刚毕业者就业的薪金补贴</w:t>
      </w:r>
    </w:p>
    <w:p w:rsidR="00D84D94" w:rsidRDefault="00D84D94">
      <w:pPr>
        <w:pStyle w:val="SingleTxtGC"/>
        <w:rPr>
          <w:rFonts w:hint="eastAsia"/>
          <w:lang w:val="en-GB"/>
        </w:rPr>
      </w:pPr>
      <w:r>
        <w:rPr>
          <w:lang w:val="en-GB"/>
        </w:rPr>
        <w:t xml:space="preserve">293.  </w:t>
      </w:r>
      <w:r>
        <w:rPr>
          <w:rFonts w:hint="eastAsia"/>
          <w:lang w:val="en-GB"/>
        </w:rPr>
        <w:t>为将已完成至少</w:t>
      </w:r>
      <w:r>
        <w:rPr>
          <w:rFonts w:hint="eastAsia"/>
          <w:lang w:val="en-GB"/>
        </w:rPr>
        <w:t>18</w:t>
      </w:r>
      <w:r>
        <w:rPr>
          <w:rFonts w:hint="eastAsia"/>
          <w:lang w:val="en-GB"/>
        </w:rPr>
        <w:t>个月的教育方案</w:t>
      </w:r>
      <w:r>
        <w:rPr>
          <w:rFonts w:hint="eastAsia"/>
          <w:lang w:val="en-GB"/>
        </w:rPr>
        <w:t>(</w:t>
      </w:r>
      <w:r>
        <w:rPr>
          <w:rFonts w:hint="eastAsia"/>
          <w:lang w:val="en-GB"/>
        </w:rPr>
        <w:t>这使有关人员有资格参加失业保险基金</w:t>
      </w:r>
      <w:r>
        <w:rPr>
          <w:rFonts w:hint="eastAsia"/>
          <w:lang w:val="en-GB"/>
        </w:rPr>
        <w:t>)</w:t>
      </w:r>
      <w:r>
        <w:rPr>
          <w:rFonts w:hint="eastAsia"/>
          <w:lang w:val="en-GB"/>
        </w:rPr>
        <w:t>的残疾人逐步纳入劳动力市场，在完成该方案后的至多两年期内，可为他们在公营或私营单位就业提供支助。只有当残疾人员没有得到教育方案使其有资格涉足的那个领域中的需要有生产经验的工作，才会给予补贴就业。薪金补贴至多发放一年。</w:t>
      </w:r>
    </w:p>
    <w:p w:rsidR="00D84D94" w:rsidRDefault="00D84D94">
      <w:pPr>
        <w:pStyle w:val="H4GC"/>
        <w:rPr>
          <w:rFonts w:hint="eastAsia"/>
          <w:lang w:val="en-GB"/>
        </w:rPr>
      </w:pPr>
      <w:r>
        <w:rPr>
          <w:lang w:val="en-GB"/>
        </w:rPr>
        <w:tab/>
      </w:r>
      <w:r>
        <w:rPr>
          <w:lang w:val="en-GB"/>
        </w:rPr>
        <w:tab/>
      </w:r>
      <w:r>
        <w:rPr>
          <w:rFonts w:hint="eastAsia"/>
          <w:lang w:val="en-GB"/>
        </w:rPr>
        <w:t>优先录用</w:t>
      </w:r>
    </w:p>
    <w:p w:rsidR="00D84D94" w:rsidRDefault="00D84D94">
      <w:pPr>
        <w:pStyle w:val="SingleTxtGC"/>
        <w:rPr>
          <w:rFonts w:hint="eastAsia"/>
          <w:lang w:val="en-GB"/>
        </w:rPr>
      </w:pPr>
      <w:r>
        <w:rPr>
          <w:lang w:val="en-GB"/>
        </w:rPr>
        <w:t xml:space="preserve">294.  </w:t>
      </w:r>
      <w:r>
        <w:rPr>
          <w:rFonts w:hint="eastAsia"/>
          <w:lang w:val="en-GB"/>
        </w:rPr>
        <w:t>在填补空缺职位时，公营雇主若认为难以在劳动力市场找到工作的某个残疾人与其他求职者的资历相当，就有义务让该残疾人优先获得这一空缺职位。</w:t>
      </w:r>
    </w:p>
    <w:p w:rsidR="00D84D94" w:rsidRDefault="00D84D94">
      <w:pPr>
        <w:pStyle w:val="H4GC"/>
        <w:rPr>
          <w:rFonts w:hint="eastAsia"/>
          <w:lang w:val="en-GB"/>
        </w:rPr>
      </w:pPr>
      <w:r>
        <w:rPr>
          <w:lang w:val="en-GB"/>
        </w:rPr>
        <w:tab/>
      </w:r>
      <w:r>
        <w:rPr>
          <w:lang w:val="en-GB"/>
        </w:rPr>
        <w:tab/>
      </w:r>
      <w:r>
        <w:rPr>
          <w:rFonts w:hint="eastAsia"/>
          <w:lang w:val="en-GB"/>
        </w:rPr>
        <w:t>辅助器具等用品以及工作岗位设计和布局补贴</w:t>
      </w:r>
    </w:p>
    <w:p w:rsidR="00D84D94" w:rsidRDefault="00D84D94">
      <w:pPr>
        <w:pStyle w:val="SingleTxtGC"/>
        <w:rPr>
          <w:rFonts w:hint="eastAsia"/>
          <w:lang w:val="en-GB"/>
        </w:rPr>
      </w:pPr>
      <w:r>
        <w:rPr>
          <w:lang w:val="en-GB"/>
        </w:rPr>
        <w:t xml:space="preserve">295.  </w:t>
      </w:r>
      <w:r>
        <w:rPr>
          <w:rFonts w:hint="eastAsia"/>
          <w:lang w:val="en-GB"/>
        </w:rPr>
        <w:t>根据就业立法，对于辅助器具、工具、小型工作站的设计和布局或教学设备可给予补贴。</w:t>
      </w:r>
    </w:p>
    <w:p w:rsidR="00D84D94" w:rsidRDefault="00D84D94">
      <w:pPr>
        <w:pStyle w:val="H23GC"/>
        <w:rPr>
          <w:rFonts w:hint="eastAsia"/>
          <w:lang w:val="en-GB"/>
        </w:rPr>
      </w:pPr>
      <w:r>
        <w:rPr>
          <w:lang w:val="en-GB"/>
        </w:rPr>
        <w:tab/>
      </w:r>
      <w:r>
        <w:rPr>
          <w:lang w:val="en-GB"/>
        </w:rPr>
        <w:tab/>
      </w:r>
      <w:r>
        <w:rPr>
          <w:rFonts w:hint="eastAsia"/>
          <w:lang w:val="en-GB"/>
        </w:rPr>
        <w:t>国防部领域内的就业</w:t>
      </w:r>
    </w:p>
    <w:p w:rsidR="00D84D94" w:rsidRDefault="00D84D94">
      <w:pPr>
        <w:pStyle w:val="SingleTxtGC"/>
        <w:rPr>
          <w:rFonts w:hint="eastAsia"/>
          <w:lang w:val="en-GB"/>
        </w:rPr>
      </w:pPr>
      <w:r>
        <w:rPr>
          <w:lang w:val="en-GB"/>
        </w:rPr>
        <w:t xml:space="preserve">296.  </w:t>
      </w:r>
      <w:r>
        <w:rPr>
          <w:rFonts w:hint="eastAsia"/>
          <w:lang w:val="en-GB"/>
        </w:rPr>
        <w:t>根据国防部领域内的现行立法制定了残疾政策举措。国防部豁免禁止差别待遇的规定。考虑到军事服务对于身体和心智的要求，允许以年龄和残疾为由的差别待遇，因为对于在执行国际任务时的作战安全而言，身体素质好、健康是最基本的要求。</w:t>
      </w:r>
    </w:p>
    <w:p w:rsidR="00D84D94" w:rsidRDefault="00D84D94">
      <w:pPr>
        <w:pStyle w:val="SingleTxtGC"/>
        <w:rPr>
          <w:rFonts w:hint="eastAsia"/>
          <w:lang w:val="en-GB"/>
        </w:rPr>
      </w:pPr>
      <w:r>
        <w:rPr>
          <w:lang w:val="en-GB"/>
        </w:rPr>
        <w:t xml:space="preserve">297.  </w:t>
      </w:r>
      <w:r>
        <w:rPr>
          <w:rFonts w:hint="eastAsia"/>
          <w:lang w:val="en-GB"/>
        </w:rPr>
        <w:t>在执行丹麦国防军的任务时，雇员有可能遭受肢体和精神创伤。如果雇员在服役时受伤，丹麦国防军明示要履行其作为雇主的特有责任。丹麦国防军将尽快为有关人员及其直系亲属提供尽可能好的帮助。</w:t>
      </w:r>
    </w:p>
    <w:p w:rsidR="00D84D94" w:rsidRDefault="00D84D94">
      <w:pPr>
        <w:pStyle w:val="SingleTxtGC"/>
        <w:rPr>
          <w:rFonts w:hint="eastAsia"/>
          <w:lang w:val="en-GB"/>
        </w:rPr>
      </w:pPr>
      <w:r>
        <w:rPr>
          <w:lang w:val="en-GB"/>
        </w:rPr>
        <w:t xml:space="preserve">298.  </w:t>
      </w:r>
      <w:r>
        <w:rPr>
          <w:rFonts w:hint="eastAsia"/>
          <w:lang w:val="en-GB"/>
        </w:rPr>
        <w:t>将采取一系列广泛措施，使再也不能在原岗位工作的受伤雇员过上有意义的工作生活。一般会为功能受到永久性损伤的雇员提供另一岗位上的永久工作，但条件是该雇员已经或能够获得从事该岗位工作所需的能力。</w:t>
      </w:r>
    </w:p>
    <w:p w:rsidR="00D84D94" w:rsidRDefault="00D84D94">
      <w:pPr>
        <w:pStyle w:val="SingleTxtGC"/>
        <w:rPr>
          <w:rFonts w:hint="eastAsia"/>
          <w:lang w:val="en-GB"/>
        </w:rPr>
      </w:pPr>
      <w:r>
        <w:rPr>
          <w:lang w:val="en-GB"/>
        </w:rPr>
        <w:t xml:space="preserve">299.  </w:t>
      </w:r>
      <w:r>
        <w:rPr>
          <w:rFonts w:hint="eastAsia"/>
          <w:lang w:val="en-GB"/>
        </w:rPr>
        <w:t>2010</w:t>
      </w:r>
      <w:r>
        <w:rPr>
          <w:rFonts w:hint="eastAsia"/>
          <w:lang w:val="en-GB"/>
        </w:rPr>
        <w:t>年</w:t>
      </w:r>
      <w:r>
        <w:rPr>
          <w:rFonts w:hint="eastAsia"/>
          <w:lang w:val="en-GB"/>
        </w:rPr>
        <w:t>10</w:t>
      </w:r>
      <w:r>
        <w:rPr>
          <w:rFonts w:hint="eastAsia"/>
          <w:lang w:val="en-GB"/>
        </w:rPr>
        <w:t>月，政府出台了退伍军人政策，其中为社会如何最有效地承认并在需要时支持退伍军人规定了框架。</w:t>
      </w:r>
    </w:p>
    <w:p w:rsidR="00D84D94" w:rsidRDefault="00D84D94">
      <w:pPr>
        <w:pStyle w:val="SingleTxtGC"/>
        <w:rPr>
          <w:rFonts w:hint="eastAsia"/>
          <w:lang w:val="en-GB"/>
        </w:rPr>
      </w:pPr>
      <w:r>
        <w:rPr>
          <w:lang w:val="en-GB"/>
        </w:rPr>
        <w:t xml:space="preserve">300.  </w:t>
      </w:r>
      <w:r>
        <w:rPr>
          <w:rFonts w:hint="eastAsia"/>
          <w:lang w:val="en-GB"/>
        </w:rPr>
        <w:t>该政策的总目标是使退伍军人在部署前做好尽可能充分的准备，并在他们返回时给予其应得的欢迎。</w:t>
      </w:r>
    </w:p>
    <w:p w:rsidR="00D84D94" w:rsidRDefault="00D84D94">
      <w:pPr>
        <w:pStyle w:val="SingleTxtGC"/>
        <w:rPr>
          <w:rFonts w:hint="eastAsia"/>
          <w:lang w:val="en-GB"/>
        </w:rPr>
      </w:pPr>
      <w:r>
        <w:rPr>
          <w:lang w:val="en-GB"/>
        </w:rPr>
        <w:t xml:space="preserve">301.  </w:t>
      </w:r>
      <w:r>
        <w:rPr>
          <w:rFonts w:hint="eastAsia"/>
          <w:lang w:val="en-GB"/>
        </w:rPr>
        <w:t>该政策必然还确保退伍军人家属在其整个部署期间得到帮助，确保退伍军人代表丹麦做出的重要贡献得到承认。</w:t>
      </w:r>
    </w:p>
    <w:p w:rsidR="00D84D94" w:rsidRDefault="00D84D94">
      <w:pPr>
        <w:pStyle w:val="SingleTxtGC"/>
        <w:rPr>
          <w:rFonts w:hint="eastAsia"/>
          <w:lang w:val="en-GB"/>
        </w:rPr>
      </w:pPr>
      <w:r>
        <w:rPr>
          <w:lang w:val="en-GB"/>
        </w:rPr>
        <w:t xml:space="preserve">302.  </w:t>
      </w:r>
      <w:r>
        <w:rPr>
          <w:rFonts w:hint="eastAsia"/>
          <w:lang w:val="en-GB"/>
        </w:rPr>
        <w:t>通过全社会的努力，社会准备为那些在国际服务中肢体或精神受伤的退伍军人提供快速、切合需要、协调和</w:t>
      </w:r>
      <w:r>
        <w:rPr>
          <w:lang w:val="en-GB"/>
        </w:rPr>
        <w:t>恭敬</w:t>
      </w:r>
      <w:r>
        <w:rPr>
          <w:rFonts w:hint="eastAsia"/>
          <w:lang w:val="en-GB"/>
        </w:rPr>
        <w:t>的治疗。该政策属于部门间政策，表明全社会都有责任在退伍军人需要时给予其最适度的帮助。退伍军人政策的一个主要目标是协调国家、地区和市镇的措施。</w:t>
      </w:r>
    </w:p>
    <w:p w:rsidR="00D84D94" w:rsidRDefault="00D84D94">
      <w:pPr>
        <w:pStyle w:val="SingleTxtGC"/>
        <w:rPr>
          <w:rFonts w:hint="eastAsia"/>
          <w:lang w:val="en-GB"/>
        </w:rPr>
      </w:pPr>
      <w:r>
        <w:rPr>
          <w:lang w:val="en-GB"/>
        </w:rPr>
        <w:t xml:space="preserve">303.  </w:t>
      </w:r>
      <w:r>
        <w:rPr>
          <w:rFonts w:hint="eastAsia"/>
          <w:lang w:val="en-GB"/>
        </w:rPr>
        <w:t>退伍军人政策载有</w:t>
      </w:r>
      <w:r>
        <w:rPr>
          <w:rFonts w:hint="eastAsia"/>
          <w:lang w:val="en-GB"/>
        </w:rPr>
        <w:t>19</w:t>
      </w:r>
      <w:r>
        <w:rPr>
          <w:rFonts w:hint="eastAsia"/>
          <w:lang w:val="en-GB"/>
        </w:rPr>
        <w:t>项预先计划的具体举措，它们是在国家、地区和市镇向全体公民提供的现有服务上的补充。这些举措还建立在由丹麦国防军等部门近年来所采取措施构成的现有基础之上。</w:t>
      </w:r>
    </w:p>
    <w:p w:rsidR="00D84D94" w:rsidRDefault="00D84D94">
      <w:pPr>
        <w:pStyle w:val="SingleTxtGC"/>
        <w:rPr>
          <w:rFonts w:hint="eastAsia"/>
          <w:lang w:val="en-GB"/>
        </w:rPr>
      </w:pPr>
      <w:r>
        <w:rPr>
          <w:lang w:val="en-GB"/>
        </w:rPr>
        <w:t xml:space="preserve">304.  </w:t>
      </w:r>
      <w:r>
        <w:rPr>
          <w:rFonts w:hint="eastAsia"/>
          <w:lang w:val="en-GB"/>
        </w:rPr>
        <w:t>新措施的一个例子是，</w:t>
      </w:r>
      <w:r>
        <w:rPr>
          <w:lang w:val="en-GB"/>
        </w:rPr>
        <w:t>截肢</w:t>
      </w:r>
      <w:r>
        <w:rPr>
          <w:rFonts w:hint="eastAsia"/>
          <w:lang w:val="en-GB"/>
        </w:rPr>
        <w:t>的退伍军人若使用运动假肢或运动轮椅，其假肢或轮椅将得到终身维护并可以更换。</w:t>
      </w:r>
    </w:p>
    <w:p w:rsidR="00D84D94" w:rsidRDefault="00D84D94">
      <w:pPr>
        <w:pStyle w:val="SingleTxtGC"/>
        <w:rPr>
          <w:rFonts w:hint="eastAsia"/>
          <w:lang w:val="en-GB"/>
        </w:rPr>
      </w:pPr>
      <w:r>
        <w:rPr>
          <w:lang w:val="en-GB"/>
        </w:rPr>
        <w:t xml:space="preserve">305.  </w:t>
      </w:r>
      <w:r>
        <w:rPr>
          <w:rFonts w:hint="eastAsia"/>
          <w:lang w:val="en-GB"/>
        </w:rPr>
        <w:t>对于身体受伤的雇员，在结束医院治疗后，为其提供住宿服务。丹麦国防军有两个专门设计的临时之家，接收那些运动神经受损、在出院后等待市镇提供或布置永久性适宜住宅的受伤雇员。这两个临时之家离哥本哈根大学医院及其康复中心不远。</w:t>
      </w:r>
    </w:p>
    <w:p w:rsidR="00D84D94" w:rsidRDefault="00D84D94">
      <w:pPr>
        <w:pStyle w:val="SingleTxtGC"/>
        <w:rPr>
          <w:rFonts w:hint="eastAsia"/>
          <w:lang w:val="en-GB"/>
        </w:rPr>
      </w:pPr>
      <w:r>
        <w:rPr>
          <w:lang w:val="en-GB"/>
        </w:rPr>
        <w:t xml:space="preserve">306.  </w:t>
      </w:r>
      <w:r>
        <w:rPr>
          <w:rFonts w:hint="eastAsia"/>
          <w:lang w:val="en-GB"/>
        </w:rPr>
        <w:t>丹麦国防军预计，因在特派任务地区服役而受到永久性精神损伤的雇员人数将会攀升。丹麦国防军也想尽可能扩展并制定对这一群体的支助措施，其目的是防止特派任务的影响发展成为永久性损伤，可能造成以后在工作，也许还有社会方面的边缘化。目前正在采取一些意义重大的预防和支助性措施，可这并非易事。该问题涉及治疗、就业和个人前途。举例而言，创伤的原因、鉴定和诊断，雇员是否属于丹麦国防军，治疗需求与选择方案，预后与劳动力市场的前景，以及国家、地区和市镇的分工，这一切都会成问题。</w:t>
      </w:r>
    </w:p>
    <w:p w:rsidR="00D84D94" w:rsidRDefault="00D84D94">
      <w:pPr>
        <w:pStyle w:val="SingleTxtGC"/>
        <w:rPr>
          <w:rFonts w:hint="eastAsia"/>
          <w:lang w:val="en-GB"/>
        </w:rPr>
      </w:pPr>
      <w:r>
        <w:rPr>
          <w:lang w:val="en-GB"/>
        </w:rPr>
        <w:t xml:space="preserve">307.  </w:t>
      </w:r>
      <w:r>
        <w:rPr>
          <w:rFonts w:hint="eastAsia"/>
          <w:lang w:val="en-GB"/>
        </w:rPr>
        <w:t>由于军事任务的性质特殊，丹麦国防军认为必须为值勤时受伤的雇员创造尽可能好的条件。譬如，国防部与其他部门、民间企业和专业组织合作，努力为功能受损的雇员提供尽可能好的条件，使其过上积极向上的工作生活。措施是全面的，十分重视雇员得到快速、切合需要和</w:t>
      </w:r>
      <w:r>
        <w:rPr>
          <w:lang w:val="en-GB"/>
        </w:rPr>
        <w:t>恭敬</w:t>
      </w:r>
      <w:r>
        <w:rPr>
          <w:rFonts w:hint="eastAsia"/>
          <w:lang w:val="en-GB"/>
        </w:rPr>
        <w:t>的治疗，以及雇员对治疗过程的积极参与。</w:t>
      </w:r>
    </w:p>
    <w:p w:rsidR="00D84D94" w:rsidRDefault="00D84D94">
      <w:pPr>
        <w:pStyle w:val="SingleTxtGC"/>
        <w:rPr>
          <w:rFonts w:hint="eastAsia"/>
          <w:lang w:val="en-GB"/>
        </w:rPr>
      </w:pPr>
      <w:r>
        <w:rPr>
          <w:lang w:val="en-GB"/>
        </w:rPr>
        <w:t xml:space="preserve">308.  </w:t>
      </w:r>
      <w:r>
        <w:rPr>
          <w:rFonts w:hint="eastAsia"/>
          <w:lang w:val="en-GB"/>
        </w:rPr>
        <w:t>如果雇员适于或变得适于从事丹麦国防军中的一项新工作，即一项需要再培训的工作，将提供这种补充培训，例如通过各种课程、在岗培训、再培训，以及作为与住在市镇合作提供的康复。</w:t>
      </w:r>
    </w:p>
    <w:p w:rsidR="00D84D94" w:rsidRDefault="00D84D94">
      <w:pPr>
        <w:pStyle w:val="SingleTxtGC"/>
        <w:rPr>
          <w:rFonts w:hint="eastAsia"/>
          <w:lang w:val="en-GB"/>
        </w:rPr>
      </w:pPr>
      <w:r>
        <w:rPr>
          <w:lang w:val="en-GB"/>
        </w:rPr>
        <w:t xml:space="preserve">309.  </w:t>
      </w:r>
      <w:r>
        <w:rPr>
          <w:rFonts w:hint="eastAsia"/>
          <w:lang w:val="en-GB"/>
        </w:rPr>
        <w:t>如果雇员受到损伤或以任何其他形式发生工作能力减退，而这不是其服役造成的，丹麦国防军也将设法为他或她按正常条件找到一个工作，给予他或她一份利用其才干而且其能够从事的职业。根据雇主的责任，丹麦国防军在考虑时并不局限于关于正常就业的规则要求。</w:t>
      </w:r>
    </w:p>
    <w:p w:rsidR="00D84D94" w:rsidRDefault="00D84D94">
      <w:pPr>
        <w:pStyle w:val="SingleTxtGC"/>
        <w:rPr>
          <w:rFonts w:hint="eastAsia"/>
          <w:lang w:val="en-GB"/>
        </w:rPr>
      </w:pPr>
      <w:r>
        <w:rPr>
          <w:lang w:val="en-GB"/>
        </w:rPr>
        <w:t xml:space="preserve">310.  </w:t>
      </w:r>
      <w:r>
        <w:rPr>
          <w:rFonts w:hint="eastAsia"/>
          <w:lang w:val="en-GB"/>
        </w:rPr>
        <w:t>一般而言，国防部的一个司及下属部门负责对按特殊条件雇用的人数开展有的放矢的工作。</w:t>
      </w:r>
      <w:r>
        <w:rPr>
          <w:rFonts w:hint="eastAsia"/>
          <w:lang w:val="en-GB"/>
        </w:rPr>
        <w:t>2010</w:t>
      </w:r>
      <w:r>
        <w:rPr>
          <w:rFonts w:hint="eastAsia"/>
          <w:lang w:val="en-GB"/>
        </w:rPr>
        <w:t>年，目标是国防军平均有</w:t>
      </w:r>
      <w:r>
        <w:rPr>
          <w:rFonts w:hint="eastAsia"/>
          <w:lang w:val="en-GB"/>
        </w:rPr>
        <w:t>350</w:t>
      </w:r>
      <w:r>
        <w:rPr>
          <w:rFonts w:hint="eastAsia"/>
          <w:lang w:val="en-GB"/>
        </w:rPr>
        <w:t>名这种雇员</w:t>
      </w:r>
      <w:r>
        <w:rPr>
          <w:rFonts w:hint="eastAsia"/>
          <w:spacing w:val="-60"/>
          <w:lang w:val="en-GB"/>
        </w:rPr>
        <w:t>―</w:t>
      </w:r>
      <w:r>
        <w:rPr>
          <w:rFonts w:hint="eastAsia"/>
          <w:spacing w:val="10"/>
          <w:lang w:val="en-GB"/>
        </w:rPr>
        <w:t>―</w:t>
      </w:r>
      <w:r>
        <w:rPr>
          <w:rFonts w:hint="eastAsia"/>
          <w:lang w:val="en-GB"/>
        </w:rPr>
        <w:t>过去是</w:t>
      </w:r>
      <w:r>
        <w:rPr>
          <w:rFonts w:hint="eastAsia"/>
          <w:lang w:val="en-GB"/>
        </w:rPr>
        <w:t>538</w:t>
      </w:r>
      <w:r>
        <w:rPr>
          <w:rFonts w:hint="eastAsia"/>
          <w:lang w:val="en-GB"/>
        </w:rPr>
        <w:t>名。</w:t>
      </w:r>
    </w:p>
    <w:p w:rsidR="00D84D94" w:rsidRDefault="00D84D94">
      <w:pPr>
        <w:pStyle w:val="SingleTxtGC"/>
        <w:rPr>
          <w:rFonts w:hint="eastAsia"/>
          <w:lang w:val="en-GB"/>
        </w:rPr>
      </w:pPr>
      <w:r>
        <w:rPr>
          <w:lang w:val="en-GB"/>
        </w:rPr>
        <w:t xml:space="preserve">311.  </w:t>
      </w:r>
      <w:r>
        <w:rPr>
          <w:rFonts w:hint="eastAsia"/>
          <w:lang w:val="en-GB"/>
        </w:rPr>
        <w:t>雇员因残疾提出的、借助工具、设备等能够满足的任何要求</w:t>
      </w:r>
      <w:r>
        <w:rPr>
          <w:rFonts w:hint="eastAsia"/>
          <w:lang w:val="en-GB"/>
        </w:rPr>
        <w:t>/</w:t>
      </w:r>
      <w:r>
        <w:rPr>
          <w:rFonts w:hint="eastAsia"/>
          <w:lang w:val="en-GB"/>
        </w:rPr>
        <w:t>希望，都将尽量满足。手语翻译与丹麦失聪者协会合作提供。</w:t>
      </w:r>
    </w:p>
    <w:p w:rsidR="00D84D94" w:rsidRDefault="00D84D94">
      <w:pPr>
        <w:pStyle w:val="H23GC"/>
        <w:rPr>
          <w:rFonts w:hint="eastAsia"/>
          <w:lang w:val="en-GB"/>
        </w:rPr>
      </w:pPr>
      <w:r>
        <w:rPr>
          <w:lang w:val="en-GB"/>
        </w:rPr>
        <w:tab/>
      </w:r>
      <w:r>
        <w:rPr>
          <w:lang w:val="en-GB"/>
        </w:rPr>
        <w:tab/>
      </w:r>
      <w:r>
        <w:rPr>
          <w:rFonts w:hint="eastAsia"/>
          <w:lang w:val="en-GB"/>
        </w:rPr>
        <w:t>针对受到心灵创伤的难民和移民的、以就业为目标的举措</w:t>
      </w:r>
    </w:p>
    <w:p w:rsidR="00D84D94" w:rsidRDefault="00D84D94">
      <w:pPr>
        <w:pStyle w:val="SingleTxtGC"/>
        <w:rPr>
          <w:lang w:val="en-GB"/>
        </w:rPr>
      </w:pPr>
      <w:r>
        <w:rPr>
          <w:lang w:val="en-GB"/>
        </w:rPr>
        <w:t xml:space="preserve">312.  </w:t>
      </w:r>
      <w:r>
        <w:rPr>
          <w:rFonts w:hint="eastAsia"/>
          <w:lang w:val="en-GB"/>
        </w:rPr>
        <w:t>我们发现，丹麦的难民约</w:t>
      </w:r>
      <w:r>
        <w:rPr>
          <w:lang w:val="en-GB"/>
        </w:rPr>
        <w:t>25</w:t>
      </w:r>
      <w:r>
        <w:rPr>
          <w:rFonts w:hint="eastAsia"/>
          <w:lang w:val="en-GB"/>
        </w:rPr>
        <w:t>%</w:t>
      </w:r>
      <w:r>
        <w:rPr>
          <w:lang w:val="en-GB"/>
        </w:rPr>
        <w:t>-30</w:t>
      </w:r>
      <w:r>
        <w:rPr>
          <w:rFonts w:hint="eastAsia"/>
          <w:lang w:val="en-GB"/>
        </w:rPr>
        <w:t>%</w:t>
      </w:r>
      <w:r>
        <w:rPr>
          <w:rFonts w:hint="eastAsia"/>
          <w:lang w:val="en-GB"/>
        </w:rPr>
        <w:t>有心灵创伤。心灵创伤往往是在所逃离的国家里经历的战争和受到的酷刑造成的。心灵创伤对难民的影响之大，令其难以融入丹麦社会。在丹麦，有心灵创伤者往往必须等待健康评估和治疗等服务。这就需要有一些特别举措确保有心灵创伤的难民过上运行良好的、有意义的日常生活。因此，难民、移徙和融入事务部采取各种措施支持有心灵创伤的家庭并使针对他们的举措连贯一致。</w:t>
      </w:r>
    </w:p>
    <w:p w:rsidR="00D84D94" w:rsidRDefault="00D84D94">
      <w:pPr>
        <w:pStyle w:val="SingleTxtGC"/>
        <w:rPr>
          <w:rFonts w:hint="eastAsia"/>
          <w:lang w:val="en-GB"/>
        </w:rPr>
      </w:pPr>
      <w:r>
        <w:rPr>
          <w:lang w:val="en-GB"/>
        </w:rPr>
        <w:t xml:space="preserve">313.  </w:t>
      </w:r>
      <w:r>
        <w:rPr>
          <w:rFonts w:hint="eastAsia"/>
          <w:lang w:val="en-GB"/>
        </w:rPr>
        <w:t>在拥有少数族裔背景并申请现金补助的患病失业人员中，大约</w:t>
      </w:r>
      <w:r>
        <w:rPr>
          <w:rFonts w:hint="eastAsia"/>
          <w:lang w:val="en-GB"/>
        </w:rPr>
        <w:t>25%</w:t>
      </w:r>
      <w:r>
        <w:rPr>
          <w:rFonts w:hint="eastAsia"/>
          <w:lang w:val="en-GB"/>
        </w:rPr>
        <w:t>有心灵创伤。许多职介中心都难以处理从健康角度诊断不出来的心灵创伤。</w:t>
      </w:r>
    </w:p>
    <w:p w:rsidR="00D84D94" w:rsidRDefault="00D84D94">
      <w:pPr>
        <w:pStyle w:val="SingleTxtGC"/>
        <w:rPr>
          <w:rFonts w:hint="eastAsia"/>
          <w:lang w:val="en-GB"/>
        </w:rPr>
      </w:pPr>
      <w:r>
        <w:rPr>
          <w:lang w:val="en-GB"/>
        </w:rPr>
        <w:t xml:space="preserve">314.  </w:t>
      </w:r>
      <w:r>
        <w:rPr>
          <w:rFonts w:hint="eastAsia"/>
          <w:lang w:val="en-GB"/>
        </w:rPr>
        <w:t>为改善其融入，难民、移徙和融入事务部集中力量实施针对有心灵创伤的新丹麦人的、以就业为目标的举措，其中包括设法帮助受到过心灵创伤、有工作潜力的人员找到工作并与劳动力市场建立联系。一项为期三年的、关于有心灵创作者就业的发展项目表明，只要人们愿意做出一些改变，调整相关措施并对有心灵创伤的难民有耐心，这个群体就有可能得到雇用。该项目的一个关键点是，职介中心必须为劳动力市场康复铺平道路并确保在康复之后开展技能提升、激励性谈话和工作安置等活动。</w:t>
      </w:r>
    </w:p>
    <w:p w:rsidR="00D84D94" w:rsidRDefault="00D84D94">
      <w:pPr>
        <w:pStyle w:val="H1GC"/>
        <w:rPr>
          <w:rFonts w:hint="eastAsia"/>
          <w:lang w:val="en-GB"/>
        </w:rPr>
      </w:pPr>
      <w:r>
        <w:rPr>
          <w:lang w:val="en-GB"/>
        </w:rPr>
        <w:tab/>
      </w:r>
      <w:r>
        <w:rPr>
          <w:lang w:val="en-GB"/>
        </w:rPr>
        <w:tab/>
      </w:r>
      <w:r>
        <w:rPr>
          <w:rFonts w:hint="eastAsia"/>
          <w:lang w:val="en-GB"/>
        </w:rPr>
        <w:t>第二十八条</w:t>
      </w:r>
    </w:p>
    <w:p w:rsidR="00D84D94" w:rsidRDefault="00D84D94">
      <w:pPr>
        <w:pStyle w:val="H23GC"/>
        <w:rPr>
          <w:rFonts w:hint="eastAsia"/>
          <w:lang w:val="en-GB"/>
        </w:rPr>
      </w:pPr>
      <w:r>
        <w:rPr>
          <w:lang w:val="en-GB"/>
        </w:rPr>
        <w:tab/>
      </w:r>
      <w:r>
        <w:rPr>
          <w:lang w:val="en-GB"/>
        </w:rPr>
        <w:tab/>
      </w:r>
      <w:r>
        <w:rPr>
          <w:rFonts w:hint="eastAsia"/>
          <w:lang w:val="en-GB"/>
        </w:rPr>
        <w:t>社会援助</w:t>
      </w:r>
    </w:p>
    <w:p w:rsidR="00D84D94" w:rsidRDefault="00D84D94">
      <w:pPr>
        <w:pStyle w:val="SingleTxtGC"/>
        <w:rPr>
          <w:rFonts w:hint="eastAsia"/>
          <w:lang w:val="en-GB"/>
        </w:rPr>
      </w:pPr>
      <w:r>
        <w:rPr>
          <w:lang w:val="en-GB"/>
        </w:rPr>
        <w:t xml:space="preserve">315.  </w:t>
      </w:r>
      <w:r>
        <w:rPr>
          <w:rFonts w:hint="eastAsia"/>
          <w:lang w:val="en-GB"/>
        </w:rPr>
        <w:t>对于那些既不能自立也得不到社会保障者给予社会援助，援助数额取决于年龄、支助情况和逗留期。这种援助不论领取人残疾与否。</w:t>
      </w:r>
    </w:p>
    <w:p w:rsidR="00D84D94" w:rsidRDefault="00D84D94">
      <w:pPr>
        <w:pStyle w:val="SingleTxtGC"/>
        <w:rPr>
          <w:rFonts w:hint="eastAsia"/>
          <w:lang w:val="en-GB"/>
        </w:rPr>
      </w:pPr>
      <w:r>
        <w:rPr>
          <w:lang w:val="en-GB"/>
        </w:rPr>
        <w:t xml:space="preserve">316.  </w:t>
      </w:r>
      <w:r>
        <w:rPr>
          <w:rFonts w:hint="eastAsia"/>
          <w:lang w:val="en-GB"/>
        </w:rPr>
        <w:t>在看待个别社会保障数额时应考虑到存在大量各种各样的补充津贴这一事实，那些津贴已经考虑到了住房费用、子女和日托中心支出等方面的费用。</w:t>
      </w:r>
    </w:p>
    <w:p w:rsidR="00D84D94" w:rsidRDefault="00D84D94">
      <w:pPr>
        <w:pStyle w:val="SingleTxtGC"/>
        <w:rPr>
          <w:rFonts w:hint="eastAsia"/>
          <w:lang w:val="en-GB"/>
        </w:rPr>
      </w:pPr>
      <w:r>
        <w:rPr>
          <w:lang w:val="en-GB"/>
        </w:rPr>
        <w:t xml:space="preserve">317.  </w:t>
      </w:r>
      <w:r>
        <w:rPr>
          <w:rFonts w:hint="eastAsia"/>
          <w:lang w:val="en-GB"/>
        </w:rPr>
        <w:t>尤其是在涉及残疾人时，应参考社会立法规定的各种津贴</w:t>
      </w:r>
      <w:r>
        <w:rPr>
          <w:rFonts w:hint="eastAsia"/>
          <w:lang w:val="en-GB"/>
        </w:rPr>
        <w:t>(</w:t>
      </w:r>
      <w:r>
        <w:rPr>
          <w:rFonts w:hint="eastAsia"/>
          <w:lang w:val="en-GB"/>
        </w:rPr>
        <w:t>见下文</w:t>
      </w:r>
      <w:r>
        <w:rPr>
          <w:rFonts w:hint="eastAsia"/>
          <w:lang w:val="en-GB"/>
        </w:rPr>
        <w:t>)</w:t>
      </w:r>
      <w:r>
        <w:rPr>
          <w:rFonts w:hint="eastAsia"/>
          <w:lang w:val="en-GB"/>
        </w:rPr>
        <w:t>。</w:t>
      </w:r>
    </w:p>
    <w:p w:rsidR="00D84D94" w:rsidRDefault="00D84D94">
      <w:pPr>
        <w:pStyle w:val="SingleTxtGC"/>
        <w:rPr>
          <w:rFonts w:hint="eastAsia"/>
          <w:lang w:val="en-GB"/>
        </w:rPr>
      </w:pPr>
      <w:r>
        <w:rPr>
          <w:lang w:val="en-GB"/>
        </w:rPr>
        <w:t xml:space="preserve">318.  </w:t>
      </w:r>
      <w:r>
        <w:rPr>
          <w:rFonts w:hint="eastAsia"/>
          <w:lang w:val="en-GB"/>
        </w:rPr>
        <w:t>为照顾残疾子女得到社会立法规定的支助者，不必利用自己的就业潜能，就能得到社会援助。</w:t>
      </w:r>
    </w:p>
    <w:p w:rsidR="00D84D94" w:rsidRDefault="00D84D94">
      <w:pPr>
        <w:pStyle w:val="SingleTxtGC"/>
        <w:rPr>
          <w:rFonts w:hint="eastAsia"/>
          <w:lang w:val="en-GB"/>
        </w:rPr>
      </w:pPr>
      <w:r>
        <w:rPr>
          <w:lang w:val="en-GB"/>
        </w:rPr>
        <w:t xml:space="preserve">319.  </w:t>
      </w:r>
      <w:r>
        <w:rPr>
          <w:lang w:val="en-GB"/>
        </w:rPr>
        <w:t>至</w:t>
      </w:r>
      <w:r>
        <w:rPr>
          <w:rFonts w:hint="eastAsia"/>
          <w:lang w:val="en-GB"/>
        </w:rPr>
        <w:t>于康复期间的援助，参见关于第二十四条的“康复期间的教育”。</w:t>
      </w:r>
    </w:p>
    <w:p w:rsidR="00D84D94" w:rsidRDefault="00D84D94">
      <w:pPr>
        <w:pStyle w:val="H23GC"/>
        <w:rPr>
          <w:rFonts w:hint="eastAsia"/>
          <w:lang w:val="en-GB"/>
        </w:rPr>
      </w:pPr>
      <w:r>
        <w:rPr>
          <w:lang w:val="en-GB"/>
        </w:rPr>
        <w:tab/>
      </w:r>
      <w:r>
        <w:rPr>
          <w:lang w:val="en-GB"/>
        </w:rPr>
        <w:tab/>
      </w:r>
      <w:r>
        <w:rPr>
          <w:rFonts w:hint="eastAsia"/>
          <w:lang w:val="en-GB"/>
        </w:rPr>
        <w:t>《丹麦国家教育补助金和贷款计划》补充津贴</w:t>
      </w:r>
      <w:r>
        <w:rPr>
          <w:rFonts w:hint="eastAsia"/>
          <w:lang w:val="en-GB"/>
        </w:rPr>
        <w:t>(</w:t>
      </w:r>
      <w:r>
        <w:rPr>
          <w:rFonts w:hint="eastAsia"/>
          <w:lang w:val="en-GB"/>
        </w:rPr>
        <w:t>残疾津贴</w:t>
      </w:r>
      <w:r>
        <w:rPr>
          <w:rFonts w:hint="eastAsia"/>
          <w:lang w:val="en-GB"/>
        </w:rPr>
        <w:t>)</w:t>
      </w:r>
    </w:p>
    <w:p w:rsidR="00D84D94" w:rsidRDefault="00D84D94">
      <w:pPr>
        <w:pStyle w:val="SingleTxtGC"/>
        <w:rPr>
          <w:rFonts w:hint="eastAsia"/>
          <w:lang w:val="en-GB"/>
        </w:rPr>
      </w:pPr>
      <w:r>
        <w:rPr>
          <w:lang w:val="en-GB"/>
        </w:rPr>
        <w:t xml:space="preserve">320.  </w:t>
      </w:r>
      <w:r>
        <w:rPr>
          <w:rFonts w:hint="eastAsia"/>
          <w:lang w:val="en-GB"/>
        </w:rPr>
        <w:t>对于领取根据《丹麦国家教育补助金和贷款计划》提供的补助金并由于永久性肢体和心智缺陷在学习期间不能工作的学生，可给予残疾津贴。该计划旨在确保学生在学习期间得到基本收入支助，使他们能够集中精力学习，从而在学习结束后能够自立。与其他支助计划不同，该项法律有一项教育政策目的，这意味着评估并不会考虑是否认为学生通过有关教育方案会变得自立。学生无论是否有功能缺陷，都为其完成学业提供补助金。</w:t>
      </w:r>
    </w:p>
    <w:p w:rsidR="00D84D94" w:rsidRDefault="00D84D94">
      <w:pPr>
        <w:pStyle w:val="H23GC"/>
        <w:rPr>
          <w:rFonts w:hint="eastAsia"/>
          <w:lang w:val="en-GB"/>
        </w:rPr>
      </w:pPr>
      <w:r>
        <w:rPr>
          <w:lang w:val="en-GB"/>
        </w:rPr>
        <w:tab/>
      </w:r>
      <w:r>
        <w:rPr>
          <w:lang w:val="en-GB"/>
        </w:rPr>
        <w:tab/>
      </w:r>
      <w:r>
        <w:rPr>
          <w:rFonts w:hint="eastAsia"/>
          <w:lang w:val="en-GB"/>
        </w:rPr>
        <w:t>负担抚养</w:t>
      </w:r>
      <w:r>
        <w:rPr>
          <w:rFonts w:hint="eastAsia"/>
          <w:lang w:val="en-GB"/>
        </w:rPr>
        <w:t>18</w:t>
      </w:r>
      <w:r>
        <w:rPr>
          <w:rFonts w:hint="eastAsia"/>
          <w:lang w:val="en-GB"/>
        </w:rPr>
        <w:t>岁以下子女的额外费用</w:t>
      </w:r>
    </w:p>
    <w:p w:rsidR="00D84D94" w:rsidRDefault="00D84D94">
      <w:pPr>
        <w:pStyle w:val="SingleTxtGC"/>
        <w:rPr>
          <w:rFonts w:hint="eastAsia"/>
          <w:lang w:val="en-GB"/>
        </w:rPr>
      </w:pPr>
      <w:r>
        <w:rPr>
          <w:lang w:val="en-GB"/>
        </w:rPr>
        <w:t xml:space="preserve">321.  </w:t>
      </w:r>
      <w:r>
        <w:rPr>
          <w:rFonts w:hint="eastAsia"/>
          <w:lang w:val="en-GB"/>
        </w:rPr>
        <w:t>根据社会立法，若在家中抚养有严重的永久性功能缺陷或患有可造成损害的慢性或长期疾病的</w:t>
      </w:r>
      <w:r>
        <w:rPr>
          <w:rFonts w:hint="eastAsia"/>
          <w:lang w:val="en-GB"/>
        </w:rPr>
        <w:t>18</w:t>
      </w:r>
      <w:r>
        <w:rPr>
          <w:rFonts w:hint="eastAsia"/>
          <w:lang w:val="en-GB"/>
        </w:rPr>
        <w:t>岁以下子女产生了必要的额外费用，而且这种费用是功能缺陷造成的，则地方理事会必须负担这种费用。帮助以额外费用补贴的形式提供。</w:t>
      </w:r>
      <w:r>
        <w:rPr>
          <w:rFonts w:hint="eastAsia"/>
          <w:lang w:val="en-GB"/>
        </w:rPr>
        <w:t>2011</w:t>
      </w:r>
      <w:r>
        <w:rPr>
          <w:rFonts w:hint="eastAsia"/>
          <w:lang w:val="en-GB"/>
        </w:rPr>
        <w:t>年，根据月度标准</w:t>
      </w:r>
      <w:r>
        <w:rPr>
          <w:rFonts w:hint="eastAsia"/>
          <w:lang w:val="en-GB"/>
        </w:rPr>
        <w:t>(</w:t>
      </w:r>
      <w:r>
        <w:rPr>
          <w:rFonts w:hint="eastAsia"/>
          <w:lang w:val="en-GB"/>
        </w:rPr>
        <w:t>即食品、医药、交通运输和针对残疾人的课程等额外费用</w:t>
      </w:r>
      <w:r>
        <w:rPr>
          <w:rFonts w:hint="eastAsia"/>
          <w:lang w:val="en-GB"/>
        </w:rPr>
        <w:t>)</w:t>
      </w:r>
      <w:r>
        <w:rPr>
          <w:rFonts w:hint="eastAsia"/>
          <w:lang w:val="en-GB"/>
        </w:rPr>
        <w:t>，补贴固定为</w:t>
      </w:r>
      <w:r>
        <w:rPr>
          <w:lang w:val="en-GB"/>
        </w:rPr>
        <w:t>2,776</w:t>
      </w:r>
      <w:r>
        <w:rPr>
          <w:rFonts w:hint="eastAsia"/>
          <w:lang w:val="en-GB"/>
        </w:rPr>
        <w:t>丹麦克朗。</w:t>
      </w:r>
    </w:p>
    <w:p w:rsidR="00D84D94" w:rsidRDefault="00D84D94">
      <w:pPr>
        <w:pStyle w:val="H23GC"/>
        <w:rPr>
          <w:rFonts w:hint="eastAsia"/>
          <w:lang w:val="en-GB"/>
        </w:rPr>
      </w:pPr>
      <w:r>
        <w:rPr>
          <w:lang w:val="en-GB"/>
        </w:rPr>
        <w:tab/>
      </w:r>
      <w:r>
        <w:rPr>
          <w:lang w:val="en-GB"/>
        </w:rPr>
        <w:tab/>
      </w:r>
      <w:r>
        <w:rPr>
          <w:rFonts w:hint="eastAsia"/>
          <w:lang w:val="en-GB"/>
        </w:rPr>
        <w:t>弥补薪金损失</w:t>
      </w:r>
    </w:p>
    <w:p w:rsidR="00D84D94" w:rsidRDefault="00D84D94">
      <w:pPr>
        <w:pStyle w:val="SingleTxtGC"/>
        <w:rPr>
          <w:rFonts w:hint="eastAsia"/>
          <w:lang w:val="en-GB"/>
        </w:rPr>
      </w:pPr>
      <w:r>
        <w:rPr>
          <w:lang w:val="en-GB"/>
        </w:rPr>
        <w:t xml:space="preserve">322.  </w:t>
      </w:r>
      <w:r>
        <w:rPr>
          <w:rFonts w:hint="eastAsia"/>
          <w:lang w:val="en-GB"/>
        </w:rPr>
        <w:t>地方理事会还必须协助弥补在家中抚养有严重的永久性功能缺陷或患有可能造成损伤的慢性或长期疾病的</w:t>
      </w:r>
      <w:r>
        <w:rPr>
          <w:rFonts w:hint="eastAsia"/>
          <w:lang w:val="en-GB"/>
        </w:rPr>
        <w:t>18</w:t>
      </w:r>
      <w:r>
        <w:rPr>
          <w:rFonts w:hint="eastAsia"/>
          <w:lang w:val="en-GB"/>
        </w:rPr>
        <w:t>岁以下子女者的薪金损失。在家里照顾子女必须是因该子女有功能缺陷而必需的，而且对于提供这种照护的母亲或父亲而言必须是最方便有效的。可以协助弥补每周从几小时直至全部工时</w:t>
      </w:r>
      <w:r>
        <w:rPr>
          <w:rFonts w:hint="eastAsia"/>
          <w:lang w:val="en-GB"/>
        </w:rPr>
        <w:t>(37</w:t>
      </w:r>
      <w:r>
        <w:rPr>
          <w:rFonts w:hint="eastAsia"/>
          <w:lang w:val="en-GB"/>
        </w:rPr>
        <w:t>小时</w:t>
      </w:r>
      <w:r>
        <w:rPr>
          <w:rFonts w:hint="eastAsia"/>
          <w:lang w:val="en-GB"/>
        </w:rPr>
        <w:t>)</w:t>
      </w:r>
      <w:r>
        <w:rPr>
          <w:rFonts w:hint="eastAsia"/>
          <w:lang w:val="en-GB"/>
        </w:rPr>
        <w:t>的薪金损失，这种补助金逐日计算，例如到医院探望子女的日子。自</w:t>
      </w:r>
      <w:r>
        <w:rPr>
          <w:rFonts w:hint="eastAsia"/>
          <w:lang w:val="en-GB"/>
        </w:rPr>
        <w:t>2011</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日起，对父母薪金损失所能得到的补助金实行最高限额。</w:t>
      </w:r>
    </w:p>
    <w:p w:rsidR="00D84D94" w:rsidRDefault="00D84D94">
      <w:pPr>
        <w:pStyle w:val="H23GC"/>
        <w:rPr>
          <w:rFonts w:hint="eastAsia"/>
          <w:lang w:val="en-GB"/>
        </w:rPr>
      </w:pPr>
      <w:r>
        <w:rPr>
          <w:lang w:val="en-GB"/>
        </w:rPr>
        <w:tab/>
      </w:r>
      <w:r>
        <w:rPr>
          <w:lang w:val="en-GB"/>
        </w:rPr>
        <w:tab/>
      </w:r>
      <w:r>
        <w:rPr>
          <w:rFonts w:hint="eastAsia"/>
          <w:lang w:val="en-GB"/>
        </w:rPr>
        <w:t>负担</w:t>
      </w:r>
      <w:r>
        <w:rPr>
          <w:rFonts w:hint="eastAsia"/>
          <w:lang w:val="en-GB"/>
        </w:rPr>
        <w:t>18</w:t>
      </w:r>
      <w:r>
        <w:rPr>
          <w:rFonts w:hint="eastAsia"/>
          <w:lang w:val="en-GB"/>
        </w:rPr>
        <w:t>岁以上者的额外费用</w:t>
      </w:r>
    </w:p>
    <w:p w:rsidR="00D84D94" w:rsidRDefault="00D84D94">
      <w:pPr>
        <w:pStyle w:val="SingleTxtGC"/>
        <w:rPr>
          <w:rFonts w:hint="eastAsia"/>
          <w:lang w:val="en-GB"/>
        </w:rPr>
      </w:pPr>
      <w:r>
        <w:rPr>
          <w:lang w:val="en-GB"/>
        </w:rPr>
        <w:t xml:space="preserve">323.  </w:t>
      </w:r>
      <w:r>
        <w:rPr>
          <w:rFonts w:hint="eastAsia"/>
          <w:lang w:val="en-GB"/>
        </w:rPr>
        <w:t>对于年龄在</w:t>
      </w:r>
      <w:r>
        <w:rPr>
          <w:rFonts w:hint="eastAsia"/>
          <w:lang w:val="en-GB"/>
        </w:rPr>
        <w:t>18</w:t>
      </w:r>
      <w:r>
        <w:rPr>
          <w:rFonts w:hint="eastAsia"/>
          <w:lang w:val="en-GB"/>
        </w:rPr>
        <w:t>岁至领取养老金的年龄之间、有永久性肢体或心智缺陷者，以及对于推迟支付养老金的、有永久性肢体或心智缺陷者，地方理事会还必须负担其日常生活中必要的额外费用。这种额外费用必需是功能缺陷造成的且不能根据其他立法或《丹麦社会服务法》中的其他规定予以弥补。按</w:t>
      </w:r>
      <w:r>
        <w:rPr>
          <w:rFonts w:hint="eastAsia"/>
          <w:lang w:val="en-GB"/>
        </w:rPr>
        <w:t>2003</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之前适用之规则领取预支养老金者，没有资格得到额外费用补助，除非他们还获准得到《丹麦社会服务法》规定的由公民管理的个人援助。这项福利根据个人可能发生的额外费用确定，对于额外的交通费用、其他援助和休闲活动也可以给予补助。补助在可能发生的额外费用达到每月至少</w:t>
      </w:r>
      <w:r>
        <w:rPr>
          <w:rFonts w:hint="eastAsia"/>
          <w:lang w:val="en-GB"/>
        </w:rPr>
        <w:t>500</w:t>
      </w:r>
      <w:r>
        <w:rPr>
          <w:rFonts w:hint="eastAsia"/>
          <w:lang w:val="en-GB"/>
        </w:rPr>
        <w:t>丹麦克朗时提供，按每月</w:t>
      </w:r>
      <w:r>
        <w:rPr>
          <w:rFonts w:hint="eastAsia"/>
          <w:lang w:val="en-GB"/>
        </w:rPr>
        <w:t>1,500</w:t>
      </w:r>
      <w:r>
        <w:rPr>
          <w:rFonts w:hint="eastAsia"/>
          <w:lang w:val="en-GB"/>
        </w:rPr>
        <w:t>丹麦克朗的基本额计算。当可能发生的额外费用超过每月</w:t>
      </w:r>
      <w:r>
        <w:rPr>
          <w:lang w:val="en-GB"/>
        </w:rPr>
        <w:t>1750</w:t>
      </w:r>
      <w:r>
        <w:rPr>
          <w:rFonts w:hint="eastAsia"/>
          <w:lang w:val="en-GB"/>
        </w:rPr>
        <w:t>丹麦克朗时，每月的基本额增加</w:t>
      </w:r>
      <w:r>
        <w:rPr>
          <w:rFonts w:hint="eastAsia"/>
          <w:lang w:val="en-GB"/>
        </w:rPr>
        <w:t>500</w:t>
      </w:r>
      <w:r>
        <w:rPr>
          <w:rFonts w:hint="eastAsia"/>
          <w:lang w:val="en-GB"/>
        </w:rPr>
        <w:t>丹麦克朗，达到</w:t>
      </w:r>
      <w:r>
        <w:rPr>
          <w:rFonts w:hint="eastAsia"/>
          <w:lang w:val="en-GB"/>
        </w:rPr>
        <w:t>2,000</w:t>
      </w:r>
      <w:r>
        <w:rPr>
          <w:rFonts w:hint="eastAsia"/>
          <w:lang w:val="en-GB"/>
        </w:rPr>
        <w:t>丹麦克朗。随后，每当每月的额外费用增加</w:t>
      </w:r>
      <w:r>
        <w:rPr>
          <w:rFonts w:hint="eastAsia"/>
          <w:lang w:val="en-GB"/>
        </w:rPr>
        <w:t>500</w:t>
      </w:r>
      <w:r>
        <w:rPr>
          <w:rFonts w:hint="eastAsia"/>
          <w:lang w:val="en-GB"/>
        </w:rPr>
        <w:t>丹麦克朗时，每月的基本额也将增加</w:t>
      </w:r>
      <w:r>
        <w:rPr>
          <w:rFonts w:hint="eastAsia"/>
          <w:lang w:val="en-GB"/>
        </w:rPr>
        <w:t>500</w:t>
      </w:r>
      <w:r>
        <w:rPr>
          <w:rFonts w:hint="eastAsia"/>
          <w:lang w:val="en-GB"/>
        </w:rPr>
        <w:t>丹麦克朗。</w:t>
      </w:r>
    </w:p>
    <w:p w:rsidR="00D84D94" w:rsidRDefault="00D84D94">
      <w:pPr>
        <w:pStyle w:val="SingleTxtGC"/>
        <w:rPr>
          <w:rFonts w:hint="eastAsia"/>
          <w:lang w:val="en-GB"/>
        </w:rPr>
      </w:pPr>
      <w:r>
        <w:rPr>
          <w:lang w:val="en-GB"/>
        </w:rPr>
        <w:t xml:space="preserve">324.  </w:t>
      </w:r>
      <w:r>
        <w:rPr>
          <w:rFonts w:hint="eastAsia"/>
          <w:lang w:val="en-GB"/>
        </w:rPr>
        <w:t>社会服务通常是普及的、不收费的，这一基本原则也是确保残疾人有适度生活水准的一个重要因素。各种福利根据对个人需求的逐个具体评估而定，无论其经济状况如何。另请参看第十九条。</w:t>
      </w:r>
    </w:p>
    <w:p w:rsidR="00D84D94" w:rsidRDefault="00D84D94">
      <w:pPr>
        <w:pStyle w:val="H1GC"/>
        <w:rPr>
          <w:lang w:val="en-GB"/>
        </w:rPr>
      </w:pPr>
      <w:r>
        <w:rPr>
          <w:lang w:val="en-GB"/>
        </w:rPr>
        <w:tab/>
      </w:r>
      <w:r>
        <w:rPr>
          <w:lang w:val="en-GB"/>
        </w:rPr>
        <w:tab/>
      </w:r>
      <w:r>
        <w:rPr>
          <w:rFonts w:hint="eastAsia"/>
          <w:lang w:val="en-GB"/>
        </w:rPr>
        <w:t>第二十九条</w:t>
      </w:r>
    </w:p>
    <w:p w:rsidR="00D84D94" w:rsidRDefault="00D84D94">
      <w:pPr>
        <w:pStyle w:val="H23GC"/>
        <w:rPr>
          <w:rFonts w:hint="eastAsia"/>
          <w:lang w:val="en-GB"/>
        </w:rPr>
      </w:pPr>
      <w:r>
        <w:rPr>
          <w:lang w:val="en-GB"/>
        </w:rPr>
        <w:tab/>
      </w:r>
      <w:r>
        <w:rPr>
          <w:lang w:val="en-GB"/>
        </w:rPr>
        <w:tab/>
      </w:r>
      <w:r>
        <w:rPr>
          <w:rFonts w:hint="eastAsia"/>
          <w:lang w:val="en-GB"/>
        </w:rPr>
        <w:t>关于协助投票规则的修正案</w:t>
      </w:r>
    </w:p>
    <w:p w:rsidR="00D84D94" w:rsidRDefault="00D84D94">
      <w:pPr>
        <w:pStyle w:val="SingleTxtGC"/>
        <w:rPr>
          <w:rFonts w:hint="eastAsia"/>
          <w:lang w:val="en-GB"/>
        </w:rPr>
      </w:pPr>
      <w:r>
        <w:rPr>
          <w:lang w:val="en-GB"/>
        </w:rPr>
        <w:t xml:space="preserve">325.  </w:t>
      </w:r>
      <w:r>
        <w:rPr>
          <w:rFonts w:hint="eastAsia"/>
          <w:lang w:val="en-GB"/>
        </w:rPr>
        <w:t>由于残疾、健康状况差或类似原因无法去投票站或者无论如何无法以《丹麦议会选举法》可能规定的方式投票的选民，可要求进行投票所需要的协助。</w:t>
      </w:r>
    </w:p>
    <w:p w:rsidR="00D84D94" w:rsidRDefault="00D84D94">
      <w:pPr>
        <w:pStyle w:val="SingleTxtGC"/>
        <w:rPr>
          <w:rFonts w:hint="eastAsia"/>
          <w:lang w:val="en-GB"/>
        </w:rPr>
      </w:pPr>
      <w:r>
        <w:rPr>
          <w:lang w:val="en-GB"/>
        </w:rPr>
        <w:t xml:space="preserve">326.  </w:t>
      </w:r>
      <w:r>
        <w:rPr>
          <w:rFonts w:hint="eastAsia"/>
          <w:lang w:val="en-GB"/>
        </w:rPr>
        <w:t>在</w:t>
      </w:r>
      <w:r>
        <w:rPr>
          <w:lang w:val="en-GB"/>
        </w:rPr>
        <w:t>2008/09</w:t>
      </w:r>
      <w:r>
        <w:rPr>
          <w:rFonts w:hint="eastAsia"/>
          <w:lang w:val="en-GB"/>
        </w:rPr>
        <w:t>届会年，丹麦议会通过了选举立法，即《议会选举法》《欧洲议会选举法》以及《地方和地区政府选举法》关于在选举日和预先投票时协助投票的新规则。新规则于</w:t>
      </w:r>
      <w:r>
        <w:rPr>
          <w:rFonts w:hint="eastAsia"/>
          <w:lang w:val="en-GB"/>
        </w:rPr>
        <w:t>2009</w:t>
      </w:r>
      <w:r>
        <w:rPr>
          <w:rFonts w:hint="eastAsia"/>
          <w:lang w:val="en-GB"/>
        </w:rPr>
        <w:t>年</w:t>
      </w:r>
      <w:r>
        <w:rPr>
          <w:rFonts w:hint="eastAsia"/>
          <w:lang w:val="en-GB"/>
        </w:rPr>
        <w:t>4</w:t>
      </w:r>
      <w:r>
        <w:rPr>
          <w:rFonts w:hint="eastAsia"/>
          <w:lang w:val="en-GB"/>
        </w:rPr>
        <w:t>月</w:t>
      </w:r>
      <w:r>
        <w:rPr>
          <w:rFonts w:hint="eastAsia"/>
          <w:lang w:val="en-GB"/>
        </w:rPr>
        <w:t>1</w:t>
      </w:r>
      <w:r>
        <w:rPr>
          <w:rFonts w:hint="eastAsia"/>
          <w:lang w:val="en-GB"/>
        </w:rPr>
        <w:t>日生效。这些规则意味着，将来所有需要协助投票的投票者都可要求由其选择之人提供此种协助。</w:t>
      </w:r>
    </w:p>
    <w:p w:rsidR="00D84D94" w:rsidRDefault="00D84D94">
      <w:pPr>
        <w:pStyle w:val="SingleTxtGC"/>
        <w:rPr>
          <w:rFonts w:hint="eastAsia"/>
          <w:lang w:val="en-GB"/>
        </w:rPr>
      </w:pPr>
      <w:r>
        <w:rPr>
          <w:lang w:val="en-GB"/>
        </w:rPr>
        <w:t xml:space="preserve">327.  </w:t>
      </w:r>
      <w:r>
        <w:rPr>
          <w:rFonts w:hint="eastAsia"/>
          <w:lang w:val="en-GB"/>
        </w:rPr>
        <w:t>还对《议会选举法》进行了修正，以为丹麦批准《联合国残疾人权利公约》铺平道路，因为《公约》命令缔约国保证残疾人能够作为选民自由表达自己的意愿，</w:t>
      </w:r>
      <w:r>
        <w:rPr>
          <w:lang w:val="en-GB"/>
        </w:rPr>
        <w:t>并在必要时根据残疾人的要求，为此目的允许残疾人自行选择的人协助</w:t>
      </w:r>
      <w:r>
        <w:rPr>
          <w:rFonts w:hint="eastAsia"/>
          <w:lang w:val="en-GB"/>
        </w:rPr>
        <w:t>其</w:t>
      </w:r>
      <w:r>
        <w:rPr>
          <w:lang w:val="en-GB"/>
        </w:rPr>
        <w:t>投票</w:t>
      </w:r>
      <w:r>
        <w:rPr>
          <w:rFonts w:hint="eastAsia"/>
          <w:lang w:val="en-GB"/>
        </w:rPr>
        <w:t>。以前的规则只赋予盲人和视障者这一选择权，而且仅在选举日赋予。</w:t>
      </w:r>
    </w:p>
    <w:p w:rsidR="00D84D94" w:rsidRDefault="00D84D94">
      <w:pPr>
        <w:pStyle w:val="SingleTxtGC"/>
        <w:rPr>
          <w:rFonts w:hint="eastAsia"/>
          <w:lang w:val="en-GB"/>
        </w:rPr>
      </w:pPr>
      <w:r>
        <w:rPr>
          <w:lang w:val="en-GB"/>
        </w:rPr>
        <w:t xml:space="preserve">328.  </w:t>
      </w:r>
      <w:r>
        <w:rPr>
          <w:rFonts w:hint="eastAsia"/>
          <w:lang w:val="en-GB"/>
        </w:rPr>
        <w:t>根据新规则，必须由一名监票人或指定选民</w:t>
      </w:r>
      <w:r>
        <w:rPr>
          <w:rFonts w:hint="eastAsia"/>
          <w:lang w:val="en-GB"/>
        </w:rPr>
        <w:t>(</w:t>
      </w:r>
      <w:r>
        <w:rPr>
          <w:rFonts w:hint="eastAsia"/>
          <w:lang w:val="en-GB"/>
        </w:rPr>
        <w:t>或者一名预先收票人</w:t>
      </w:r>
      <w:r>
        <w:rPr>
          <w:rFonts w:hint="eastAsia"/>
          <w:lang w:val="en-GB"/>
        </w:rPr>
        <w:t>)</w:t>
      </w:r>
      <w:r>
        <w:rPr>
          <w:rFonts w:hint="eastAsia"/>
          <w:lang w:val="en-GB"/>
        </w:rPr>
        <w:t>提供协助，同时确保该选民不受到不应有的影响，从而保证需要协助投票者能在选举和公投中</w:t>
      </w:r>
      <w:r>
        <w:rPr>
          <w:lang w:val="en-GB"/>
        </w:rPr>
        <w:t>不受威吓地采用无记名方式投票</w:t>
      </w:r>
      <w:r>
        <w:rPr>
          <w:rFonts w:hint="eastAsia"/>
          <w:lang w:val="en-GB"/>
        </w:rPr>
        <w:t>，能作为选民自由表达其意愿。如果某个选民不愿意指定一名私人助理，那么就同该法修正前一样，由两名监票人或指定选民</w:t>
      </w:r>
      <w:r>
        <w:rPr>
          <w:rFonts w:hint="eastAsia"/>
          <w:lang w:val="en-GB"/>
        </w:rPr>
        <w:t>(</w:t>
      </w:r>
      <w:r>
        <w:rPr>
          <w:rFonts w:hint="eastAsia"/>
          <w:lang w:val="en-GB"/>
        </w:rPr>
        <w:t>或者两名预先收票人</w:t>
      </w:r>
      <w:r>
        <w:rPr>
          <w:rFonts w:hint="eastAsia"/>
          <w:lang w:val="en-GB"/>
        </w:rPr>
        <w:t>)</w:t>
      </w:r>
      <w:r>
        <w:rPr>
          <w:rFonts w:hint="eastAsia"/>
          <w:lang w:val="en-GB"/>
        </w:rPr>
        <w:t>提供协助。</w:t>
      </w:r>
    </w:p>
    <w:p w:rsidR="00D84D94" w:rsidRDefault="00D84D94">
      <w:pPr>
        <w:pStyle w:val="SingleTxtGC"/>
        <w:rPr>
          <w:rFonts w:hint="eastAsia"/>
          <w:lang w:val="en-GB"/>
        </w:rPr>
      </w:pPr>
      <w:r>
        <w:rPr>
          <w:lang w:val="en-GB"/>
        </w:rPr>
        <w:t xml:space="preserve">329.  </w:t>
      </w:r>
      <w:r>
        <w:rPr>
          <w:rFonts w:hint="eastAsia"/>
          <w:lang w:val="en-GB"/>
        </w:rPr>
        <w:t>在该部的选举导则中，对选举当局指导如下：组织投票时，所提供的任何投票协助，除向有关选民提供协助的监票人</w:t>
      </w:r>
      <w:r>
        <w:rPr>
          <w:rFonts w:hint="eastAsia"/>
          <w:lang w:val="en-GB"/>
        </w:rPr>
        <w:t>/</w:t>
      </w:r>
      <w:r>
        <w:rPr>
          <w:rFonts w:hint="eastAsia"/>
          <w:lang w:val="en-GB"/>
        </w:rPr>
        <w:t>指定选民和该选民指定的协助人外，不得让任何其他人知晓；见《残疾人权利公约》中规定的无记名投票要求。</w:t>
      </w:r>
    </w:p>
    <w:p w:rsidR="00D84D94" w:rsidRDefault="00D84D94">
      <w:pPr>
        <w:pStyle w:val="SingleTxtGC"/>
        <w:rPr>
          <w:rFonts w:hint="eastAsia"/>
          <w:lang w:val="en-GB"/>
        </w:rPr>
      </w:pPr>
      <w:r>
        <w:rPr>
          <w:lang w:val="en-GB"/>
        </w:rPr>
        <w:t xml:space="preserve">330.  </w:t>
      </w:r>
      <w:r>
        <w:rPr>
          <w:rFonts w:hint="eastAsia"/>
          <w:lang w:val="en-GB"/>
        </w:rPr>
        <w:t>负责投票者不得就一选民在投票时应投票支持哪个党派或候选人向该选民提出咨询意见或建议，协助投票的行政人员有义务对他们所知道的选民投票情况守口如瓶；见《残疾人权利公约》大意如下的要求：残疾选民</w:t>
      </w:r>
      <w:r>
        <w:rPr>
          <w:lang w:val="en-GB"/>
        </w:rPr>
        <w:t>在选举或公投中</w:t>
      </w:r>
      <w:r>
        <w:rPr>
          <w:rFonts w:hint="eastAsia"/>
          <w:lang w:val="en-GB"/>
        </w:rPr>
        <w:t>可以</w:t>
      </w:r>
      <w:r>
        <w:rPr>
          <w:lang w:val="en-GB"/>
        </w:rPr>
        <w:t>不受威吓地采用无记名方式投票</w:t>
      </w:r>
      <w:r>
        <w:rPr>
          <w:rFonts w:hint="eastAsia"/>
          <w:lang w:val="en-GB"/>
        </w:rPr>
        <w:t>。若由行政人员作为协助人，该要求也适用。不遵守这一要求就要负刑事责任，可处以罚款和四个月以下监禁。</w:t>
      </w:r>
    </w:p>
    <w:p w:rsidR="00D84D94" w:rsidRDefault="00D84D94">
      <w:pPr>
        <w:pStyle w:val="SingleTxtGC"/>
        <w:rPr>
          <w:lang w:val="en-GB"/>
        </w:rPr>
      </w:pPr>
      <w:r>
        <w:rPr>
          <w:lang w:val="en-GB"/>
        </w:rPr>
        <w:t xml:space="preserve">331.  </w:t>
      </w:r>
      <w:r>
        <w:rPr>
          <w:rFonts w:hint="eastAsia"/>
          <w:lang w:val="en-GB"/>
        </w:rPr>
        <w:t>《议会选举法》、《地方和地区政府选举法》以及《丹麦欧洲议会选举法》中均载有协助投票的规则。《丹麦欧洲议会选举法》参照了《议会选举法》中的规则。</w:t>
      </w:r>
    </w:p>
    <w:p w:rsidR="00D84D94" w:rsidRDefault="00D84D94">
      <w:pPr>
        <w:pStyle w:val="H23GC"/>
        <w:rPr>
          <w:rFonts w:hint="eastAsia"/>
          <w:lang w:val="en-GB"/>
        </w:rPr>
      </w:pPr>
      <w:r>
        <w:rPr>
          <w:lang w:val="en-GB"/>
        </w:rPr>
        <w:tab/>
      </w:r>
      <w:r>
        <w:rPr>
          <w:lang w:val="en-GB"/>
        </w:rPr>
        <w:tab/>
      </w:r>
      <w:r>
        <w:rPr>
          <w:rFonts w:hint="eastAsia"/>
          <w:lang w:val="en-GB"/>
        </w:rPr>
        <w:t>地方残疾委员会</w:t>
      </w:r>
    </w:p>
    <w:p w:rsidR="00D84D94" w:rsidRDefault="00D84D94">
      <w:pPr>
        <w:pStyle w:val="SingleTxtGC"/>
        <w:rPr>
          <w:rFonts w:hint="eastAsia"/>
          <w:lang w:val="en-GB"/>
        </w:rPr>
      </w:pPr>
      <w:r>
        <w:rPr>
          <w:lang w:val="en-GB"/>
        </w:rPr>
        <w:t xml:space="preserve">332.  </w:t>
      </w:r>
      <w:r>
        <w:rPr>
          <w:rFonts w:hint="eastAsia"/>
          <w:lang w:val="en-GB"/>
        </w:rPr>
        <w:t>丹麦的残疾政策由各市镇普遍执行。</w:t>
      </w:r>
      <w:r>
        <w:rPr>
          <w:rFonts w:hint="eastAsia"/>
          <w:lang w:val="en-GB"/>
        </w:rPr>
        <w:t>2007</w:t>
      </w:r>
      <w:r>
        <w:rPr>
          <w:rFonts w:hint="eastAsia"/>
          <w:lang w:val="en-GB"/>
        </w:rPr>
        <w:t>年，设立残疾委员会成为对每一个市镇的强制规定。地方理事会应指定一个残疾委员会。残疾委员会充当地方理事会的残疾政策事务顾问，在公民与地方理事会之间传递对有关残疾人的地方政策问题的意见。残疾委员会的构成应是，所有成员均代表本市镇辖区内的不同残疾群体和不同部门。</w:t>
      </w:r>
    </w:p>
    <w:p w:rsidR="00D84D94" w:rsidRDefault="00D84D94">
      <w:pPr>
        <w:pStyle w:val="SingleTxtGC"/>
        <w:rPr>
          <w:rFonts w:hint="eastAsia"/>
          <w:lang w:val="en-GB"/>
        </w:rPr>
      </w:pPr>
      <w:r>
        <w:rPr>
          <w:lang w:val="en-GB"/>
        </w:rPr>
        <w:t xml:space="preserve">333.  </w:t>
      </w:r>
      <w:r>
        <w:rPr>
          <w:rFonts w:hint="eastAsia"/>
          <w:lang w:val="en-GB"/>
        </w:rPr>
        <w:t>残疾组织每年从中央金库取得财政援助，用于开办协会。</w:t>
      </w:r>
    </w:p>
    <w:p w:rsidR="00D84D94" w:rsidRDefault="00D84D94">
      <w:pPr>
        <w:pStyle w:val="H1GC"/>
        <w:rPr>
          <w:rFonts w:hint="eastAsia"/>
          <w:lang w:val="en-GB"/>
        </w:rPr>
      </w:pPr>
      <w:r>
        <w:rPr>
          <w:lang w:val="en-GB"/>
        </w:rPr>
        <w:tab/>
      </w:r>
      <w:r>
        <w:rPr>
          <w:lang w:val="en-GB"/>
        </w:rPr>
        <w:tab/>
      </w:r>
      <w:r>
        <w:rPr>
          <w:rFonts w:hint="eastAsia"/>
          <w:lang w:val="en-GB"/>
        </w:rPr>
        <w:t>第三十条</w:t>
      </w:r>
    </w:p>
    <w:p w:rsidR="00D84D94" w:rsidRDefault="00D84D94">
      <w:pPr>
        <w:pStyle w:val="H23GC"/>
        <w:rPr>
          <w:rFonts w:hint="eastAsia"/>
          <w:lang w:val="en-GB"/>
        </w:rPr>
      </w:pPr>
      <w:r>
        <w:rPr>
          <w:lang w:val="en-GB"/>
        </w:rPr>
        <w:tab/>
      </w:r>
      <w:r>
        <w:rPr>
          <w:lang w:val="en-GB"/>
        </w:rPr>
        <w:tab/>
      </w:r>
      <w:r>
        <w:rPr>
          <w:rFonts w:hint="eastAsia"/>
          <w:lang w:val="en-GB"/>
        </w:rPr>
        <w:t>参加文化生活</w:t>
      </w:r>
    </w:p>
    <w:p w:rsidR="00D84D94" w:rsidRDefault="00D84D94">
      <w:pPr>
        <w:pStyle w:val="SingleTxtGC"/>
        <w:rPr>
          <w:rFonts w:hint="eastAsia"/>
          <w:lang w:val="en-GB"/>
        </w:rPr>
      </w:pPr>
      <w:r>
        <w:rPr>
          <w:lang w:val="en-GB"/>
        </w:rPr>
        <w:t xml:space="preserve">334.  </w:t>
      </w:r>
      <w:r>
        <w:rPr>
          <w:rFonts w:hint="eastAsia"/>
          <w:lang w:val="en-GB"/>
        </w:rPr>
        <w:t>政府的全民文化</w:t>
      </w:r>
      <w:r>
        <w:rPr>
          <w:rFonts w:hint="eastAsia"/>
          <w:spacing w:val="-60"/>
          <w:lang w:val="en-GB"/>
        </w:rPr>
        <w:t>―</w:t>
      </w:r>
      <w:r>
        <w:rPr>
          <w:rFonts w:hint="eastAsia"/>
          <w:spacing w:val="10"/>
          <w:lang w:val="en-GB"/>
        </w:rPr>
        <w:t>―</w:t>
      </w:r>
      <w:r>
        <w:rPr>
          <w:rFonts w:hint="eastAsia"/>
          <w:lang w:val="en-GB"/>
        </w:rPr>
        <w:t>全国文化</w:t>
      </w:r>
      <w:r>
        <w:rPr>
          <w:rFonts w:hint="eastAsia"/>
          <w:lang w:val="en-GB"/>
        </w:rPr>
        <w:t>(</w:t>
      </w:r>
      <w:r>
        <w:rPr>
          <w:i/>
          <w:lang w:val="en-GB"/>
        </w:rPr>
        <w:t>Kultur for alle – kultur i hele landet</w:t>
      </w:r>
      <w:r>
        <w:rPr>
          <w:rFonts w:hint="eastAsia"/>
          <w:lang w:val="en-GB"/>
        </w:rPr>
        <w:t>)</w:t>
      </w:r>
      <w:r>
        <w:rPr>
          <w:rFonts w:hint="eastAsia"/>
          <w:lang w:val="en-GB"/>
        </w:rPr>
        <w:t>战略涉及残疾公民的无障碍问题。为支持无障碍化，在</w:t>
      </w:r>
      <w:r>
        <w:rPr>
          <w:rFonts w:hint="eastAsia"/>
          <w:lang w:val="en-GB"/>
        </w:rPr>
        <w:t>700</w:t>
      </w:r>
      <w:r>
        <w:rPr>
          <w:rFonts w:hint="eastAsia"/>
          <w:lang w:val="en-GB"/>
        </w:rPr>
        <w:t>万丹麦克朗的中央资金支持下，文化部正在起草一项残疾人及其文化无障碍行动计划。</w:t>
      </w:r>
    </w:p>
    <w:p w:rsidR="00D84D94" w:rsidRDefault="00D84D94">
      <w:pPr>
        <w:pStyle w:val="SingleTxtGC"/>
        <w:rPr>
          <w:rFonts w:hint="eastAsia"/>
          <w:lang w:val="en-GB"/>
        </w:rPr>
      </w:pPr>
      <w:r>
        <w:rPr>
          <w:lang w:val="en-GB"/>
        </w:rPr>
        <w:t xml:space="preserve">335.  </w:t>
      </w:r>
      <w:r>
        <w:rPr>
          <w:rFonts w:hint="eastAsia"/>
          <w:lang w:val="en-GB"/>
        </w:rPr>
        <w:t>文化部认为，丹麦文化遗产和文化机构的无障碍化是使全体丹麦人民都能体验、了解和参与文化活动的一个重要要素。我们不断研制技术解决方案，视障者等人员可以利用它们。</w:t>
      </w:r>
    </w:p>
    <w:p w:rsidR="00D84D94" w:rsidRDefault="00D84D94">
      <w:pPr>
        <w:pStyle w:val="SingleTxtGC"/>
        <w:rPr>
          <w:rFonts w:hint="eastAsia"/>
          <w:lang w:val="en-GB"/>
        </w:rPr>
      </w:pPr>
      <w:r>
        <w:rPr>
          <w:lang w:val="en-GB"/>
        </w:rPr>
        <w:t xml:space="preserve">336.  </w:t>
      </w:r>
      <w:r>
        <w:rPr>
          <w:rFonts w:hint="eastAsia"/>
          <w:lang w:val="en-GB"/>
        </w:rPr>
        <w:t>文化部所属各机构开展了面向残疾人的持续活动：</w:t>
      </w:r>
    </w:p>
    <w:p w:rsidR="00D84D94" w:rsidRDefault="00D84D94">
      <w:pPr>
        <w:pStyle w:val="SingleTxtGC"/>
        <w:rPr>
          <w:rFonts w:hint="eastAsia"/>
          <w:lang w:val="en-GB"/>
        </w:rPr>
      </w:pPr>
      <w:r>
        <w:rPr>
          <w:lang w:val="en-GB"/>
        </w:rPr>
        <w:t>337.  NOTA</w:t>
      </w:r>
      <w:r>
        <w:rPr>
          <w:rFonts w:hint="eastAsia"/>
          <w:lang w:val="en-GB"/>
        </w:rPr>
        <w:t>是文化部下属的一家国有图书馆，它为视障和有读写困难者制作并提供有声读物、电子书和盲文书，其网址是：</w:t>
      </w:r>
      <w:r>
        <w:rPr>
          <w:lang w:val="en-GB"/>
        </w:rPr>
        <w:t>www.nota.dk</w:t>
      </w:r>
      <w:r>
        <w:rPr>
          <w:rFonts w:hint="eastAsia"/>
          <w:lang w:val="en-GB"/>
        </w:rPr>
        <w:t>。</w:t>
      </w:r>
      <w:r>
        <w:rPr>
          <w:rFonts w:hint="eastAsia"/>
          <w:lang w:val="en-GB"/>
        </w:rPr>
        <w:t>NOTA</w:t>
      </w:r>
      <w:r>
        <w:rPr>
          <w:rFonts w:hint="eastAsia"/>
          <w:lang w:val="en-GB"/>
        </w:rPr>
        <w:t>的主要任务是确保有读写困难者能够以适合其需求的方式获得知识、参与社会和取得经验。</w:t>
      </w:r>
    </w:p>
    <w:p w:rsidR="00D84D94" w:rsidRDefault="00D84D94">
      <w:pPr>
        <w:pStyle w:val="SingleTxtGC"/>
        <w:rPr>
          <w:rFonts w:hint="eastAsia"/>
          <w:lang w:val="en-GB"/>
        </w:rPr>
      </w:pPr>
      <w:r>
        <w:rPr>
          <w:lang w:val="en-GB"/>
        </w:rPr>
        <w:t xml:space="preserve">338.  </w:t>
      </w:r>
      <w:r>
        <w:rPr>
          <w:rFonts w:hint="eastAsia"/>
          <w:lang w:val="en-GB"/>
        </w:rPr>
        <w:t>根据</w:t>
      </w:r>
      <w:r>
        <w:rPr>
          <w:lang w:val="en-GB"/>
        </w:rPr>
        <w:t>2011-2014</w:t>
      </w:r>
      <w:r>
        <w:rPr>
          <w:rFonts w:hint="eastAsia"/>
          <w:lang w:val="en-GB"/>
        </w:rPr>
        <w:t>年公共服务合同，丹麦广播公司必须利用一切技术手段，包括有声解说、字幕和手语翻译，使其提供的公共服务对所有残疾人而言都是无障碍的。丹麦广播公司必须了解新的技术解决方案。</w:t>
      </w:r>
    </w:p>
    <w:p w:rsidR="00D84D94" w:rsidRDefault="00D84D94">
      <w:pPr>
        <w:pStyle w:val="SingleTxtGC"/>
        <w:rPr>
          <w:rFonts w:hint="eastAsia"/>
          <w:lang w:val="en-GB"/>
        </w:rPr>
      </w:pPr>
      <w:r>
        <w:rPr>
          <w:lang w:val="en-GB"/>
        </w:rPr>
        <w:t xml:space="preserve">339.  </w:t>
      </w:r>
      <w:r>
        <w:rPr>
          <w:rFonts w:hint="eastAsia"/>
          <w:lang w:val="en-GB"/>
        </w:rPr>
        <w:t>作为在批准《残疾人权利公约》之后采取的一项新举措，丹麦广播公司根据公共服务合同还必须成立一个面向残疾组织的用户委员会，为用户和公司提供一个探讨公司的残疾服务问题的常设论坛。</w:t>
      </w:r>
    </w:p>
    <w:p w:rsidR="00D84D94" w:rsidRDefault="00D84D94">
      <w:pPr>
        <w:pStyle w:val="SingleTxtGC"/>
        <w:rPr>
          <w:rFonts w:hint="eastAsia"/>
          <w:lang w:val="en-GB"/>
        </w:rPr>
      </w:pPr>
      <w:r>
        <w:rPr>
          <w:lang w:val="en-GB"/>
        </w:rPr>
        <w:t xml:space="preserve">340.  </w:t>
      </w:r>
      <w:r>
        <w:rPr>
          <w:rFonts w:hint="eastAsia"/>
          <w:lang w:val="en-GB"/>
        </w:rPr>
        <w:t>丹麦残疾人体育运动组织以促进残疾人的身体锻炼和竞技体育为目的，其网址是：</w:t>
      </w:r>
      <w:r>
        <w:rPr>
          <w:lang w:val="en-GB"/>
        </w:rPr>
        <w:t>www.dhif.dk</w:t>
      </w:r>
      <w:r>
        <w:rPr>
          <w:rFonts w:hint="eastAsia"/>
          <w:lang w:val="en-GB"/>
        </w:rPr>
        <w:t>。失聪者有其自己的体育运动组织，即丹麦失聪者体育运动协会，该协会是丹麦残疾人体育运动组织的成员。丹麦残疾人体育运动组织组织全国比赛、联赛和锦标赛，并参加国际比赛和锦标赛，例如北欧、欧洲和世界的锦标赛、残奥会和特奥会，后者为发育迟缓者组织和发展体育运动。</w:t>
      </w:r>
    </w:p>
    <w:p w:rsidR="00D84D94" w:rsidRDefault="00D84D94">
      <w:pPr>
        <w:pStyle w:val="SingleTxtGC"/>
        <w:rPr>
          <w:rFonts w:hint="eastAsia"/>
          <w:lang w:val="en-GB"/>
        </w:rPr>
      </w:pPr>
      <w:r>
        <w:rPr>
          <w:lang w:val="en-GB"/>
        </w:rPr>
        <w:t xml:space="preserve">341.  </w:t>
      </w:r>
      <w:r>
        <w:rPr>
          <w:rFonts w:hint="eastAsia"/>
          <w:lang w:val="en-GB"/>
        </w:rPr>
        <w:t>编写了一本体育设施无障碍指南</w:t>
      </w:r>
      <w:r>
        <w:rPr>
          <w:i/>
          <w:lang w:val="en-GB"/>
        </w:rPr>
        <w:t>Idrætsrum for alle</w:t>
      </w:r>
      <w:r>
        <w:rPr>
          <w:lang w:val="en-GB"/>
        </w:rPr>
        <w:t xml:space="preserve"> </w:t>
      </w:r>
      <w:r>
        <w:rPr>
          <w:rFonts w:hint="eastAsia"/>
          <w:lang w:val="en-GB"/>
        </w:rPr>
        <w:t>(</w:t>
      </w:r>
      <w:r>
        <w:rPr>
          <w:rFonts w:hint="eastAsia"/>
          <w:lang w:val="en-GB"/>
        </w:rPr>
        <w:t>《人人都有运动空间》</w:t>
      </w:r>
      <w:r>
        <w:rPr>
          <w:rFonts w:hint="eastAsia"/>
          <w:lang w:val="en-GB"/>
        </w:rPr>
        <w:t>)</w:t>
      </w:r>
      <w:r>
        <w:rPr>
          <w:rFonts w:hint="eastAsia"/>
          <w:lang w:val="en-GB"/>
        </w:rPr>
        <w:t>；见</w:t>
      </w:r>
      <w:r>
        <w:rPr>
          <w:lang w:val="en-GB"/>
        </w:rPr>
        <w:t>http://www.handivid.dk/subpages/Idraet/Idraetsrumforalle.html</w:t>
      </w:r>
      <w:r>
        <w:rPr>
          <w:rFonts w:hint="eastAsia"/>
          <w:lang w:val="en-GB"/>
        </w:rPr>
        <w:t>。此外，编制了一个选集</w:t>
      </w:r>
      <w:r>
        <w:rPr>
          <w:i/>
          <w:lang w:val="en-GB"/>
        </w:rPr>
        <w:t xml:space="preserve">Friluftsliv for mennesker med funktionsnedsættelse </w:t>
      </w:r>
      <w:r>
        <w:rPr>
          <w:rFonts w:hint="eastAsia"/>
          <w:lang w:val="en-GB"/>
        </w:rPr>
        <w:t>(</w:t>
      </w:r>
      <w:r>
        <w:rPr>
          <w:rFonts w:hint="eastAsia"/>
          <w:lang w:val="en-GB"/>
        </w:rPr>
        <w:t>《有功能缺陷者的户外生活》</w:t>
      </w:r>
      <w:r>
        <w:rPr>
          <w:rFonts w:hint="eastAsia"/>
          <w:lang w:val="en-GB"/>
        </w:rPr>
        <w:t>)</w:t>
      </w:r>
      <w:r>
        <w:rPr>
          <w:rFonts w:hint="eastAsia"/>
          <w:lang w:val="en-GB"/>
        </w:rPr>
        <w:t>并建立了一个关于同一主题的网络。</w:t>
      </w:r>
    </w:p>
    <w:p w:rsidR="00D84D94" w:rsidRDefault="00D84D94">
      <w:pPr>
        <w:pStyle w:val="SingleTxtGC"/>
        <w:rPr>
          <w:rFonts w:hint="eastAsia"/>
          <w:lang w:val="en-GB"/>
        </w:rPr>
      </w:pPr>
      <w:r>
        <w:rPr>
          <w:lang w:val="en-GB"/>
        </w:rPr>
        <w:t xml:space="preserve">342.  </w:t>
      </w:r>
      <w:r>
        <w:rPr>
          <w:rFonts w:hint="eastAsia"/>
          <w:lang w:val="en-GB"/>
        </w:rPr>
        <w:t>丹麦残疾人体育运动组织出版的《校内体育运动、比赛、生活和学习》</w:t>
      </w:r>
      <w:r>
        <w:rPr>
          <w:rFonts w:hint="eastAsia"/>
          <w:lang w:val="en-GB"/>
        </w:rPr>
        <w:t>(</w:t>
      </w:r>
      <w:r>
        <w:rPr>
          <w:i/>
          <w:lang w:val="en-GB"/>
        </w:rPr>
        <w:t>Skolesport Leg</w:t>
      </w:r>
      <w:r>
        <w:rPr>
          <w:i/>
          <w:lang w:val="en-GB"/>
        </w:rPr>
        <w:t>，</w:t>
      </w:r>
      <w:r>
        <w:rPr>
          <w:i/>
          <w:lang w:val="en-GB"/>
        </w:rPr>
        <w:t>Liv &amp; Læring</w:t>
      </w:r>
      <w:r>
        <w:rPr>
          <w:rFonts w:hint="eastAsia"/>
          <w:lang w:val="en-GB"/>
        </w:rPr>
        <w:t>)</w:t>
      </w:r>
      <w:r>
        <w:rPr>
          <w:rFonts w:hint="eastAsia"/>
          <w:lang w:val="en-GB"/>
        </w:rPr>
        <w:t>主张儿童在特设学校、校内休闲设施和地方体育协会等多个层面参加体育运动。这一理念需要允许上课时间在本校或在地方体育运动协会开展体育运动。</w:t>
      </w:r>
    </w:p>
    <w:p w:rsidR="00D84D94" w:rsidRDefault="00D84D94">
      <w:pPr>
        <w:pStyle w:val="SingleTxtGC"/>
        <w:rPr>
          <w:rFonts w:hint="eastAsia"/>
          <w:lang w:val="en-GB"/>
        </w:rPr>
      </w:pPr>
      <w:r>
        <w:rPr>
          <w:lang w:val="en-GB"/>
        </w:rPr>
        <w:t xml:space="preserve">343.  </w:t>
      </w:r>
      <w:r>
        <w:rPr>
          <w:rFonts w:hint="eastAsia"/>
          <w:lang w:val="en-GB"/>
        </w:rPr>
        <w:t>该组织还在暑假期间为残疾儿童和青年人组织体育运动营，并参加面向北欧</w:t>
      </w:r>
      <w:r>
        <w:rPr>
          <w:rFonts w:hint="eastAsia"/>
          <w:lang w:val="en-GB"/>
        </w:rPr>
        <w:t>12-16</w:t>
      </w:r>
      <w:r>
        <w:rPr>
          <w:rFonts w:hint="eastAsia"/>
          <w:lang w:val="en-GB"/>
        </w:rPr>
        <w:t>岁残疾儿童和青年人的体育赛事</w:t>
      </w:r>
      <w:r>
        <w:rPr>
          <w:i/>
          <w:lang w:val="en-GB"/>
        </w:rPr>
        <w:t>Nordisk Børne-og Ungdomslejr</w:t>
      </w:r>
      <w:r>
        <w:rPr>
          <w:rFonts w:hint="eastAsia"/>
          <w:lang w:val="en-GB"/>
        </w:rPr>
        <w:t>。</w:t>
      </w:r>
    </w:p>
    <w:p w:rsidR="00D84D94" w:rsidRDefault="00D84D94">
      <w:pPr>
        <w:pStyle w:val="SingleTxtGC"/>
        <w:rPr>
          <w:rFonts w:hint="eastAsia"/>
          <w:lang w:val="en-GB"/>
        </w:rPr>
      </w:pPr>
      <w:r>
        <w:rPr>
          <w:lang w:val="en-GB"/>
        </w:rPr>
        <w:t xml:space="preserve">344.  </w:t>
      </w:r>
      <w:r>
        <w:rPr>
          <w:rFonts w:hint="eastAsia"/>
          <w:lang w:val="en-GB"/>
        </w:rPr>
        <w:t>在批准了《残疾人权利公约》之后，文化部设立了一个</w:t>
      </w:r>
      <w:r>
        <w:rPr>
          <w:rFonts w:hint="eastAsia"/>
          <w:lang w:val="en-GB"/>
        </w:rPr>
        <w:t>75,000</w:t>
      </w:r>
      <w:r>
        <w:rPr>
          <w:rFonts w:hint="eastAsia"/>
          <w:lang w:val="en-GB"/>
        </w:rPr>
        <w:t>丹麦克朗的奖项，即文化部的残疾体育运动奖，将人们的目光引向丹麦残疾运动员。</w:t>
      </w:r>
      <w:r>
        <w:rPr>
          <w:rFonts w:hint="eastAsia"/>
          <w:lang w:val="en-GB"/>
        </w:rPr>
        <w:t>2009</w:t>
      </w:r>
      <w:r>
        <w:rPr>
          <w:rFonts w:hint="eastAsia"/>
          <w:lang w:val="en-GB"/>
        </w:rPr>
        <w:t>年和</w:t>
      </w:r>
      <w:r>
        <w:rPr>
          <w:rFonts w:hint="eastAsia"/>
          <w:lang w:val="en-GB"/>
        </w:rPr>
        <w:t>2010</w:t>
      </w:r>
      <w:r>
        <w:rPr>
          <w:rFonts w:hint="eastAsia"/>
          <w:lang w:val="en-GB"/>
        </w:rPr>
        <w:t>年进行了颁奖。</w:t>
      </w:r>
    </w:p>
    <w:p w:rsidR="00D84D94" w:rsidRDefault="00D84D94">
      <w:pPr>
        <w:pStyle w:val="SingleTxtGC"/>
        <w:rPr>
          <w:rFonts w:hint="eastAsia"/>
          <w:lang w:val="en-GB"/>
        </w:rPr>
      </w:pPr>
      <w:r>
        <w:rPr>
          <w:lang w:val="en-GB"/>
        </w:rPr>
        <w:t xml:space="preserve">345.  </w:t>
      </w:r>
      <w:r>
        <w:rPr>
          <w:rFonts w:hint="eastAsia"/>
          <w:lang w:val="en-GB"/>
        </w:rPr>
        <w:t>丹麦残疾体育运动信息中心以协助提高残疾人工作的质量为目的。它收集各种进程，传播有关残疾人体育运动和有特殊条件的就业岗位的信息，设法将残疾人体育运动中特有的人性方法和观点传向社会其他部门。这包括通过发展从事残疾人工作的新知识和新方法，开展教学、预防、再培训以及按特殊条件提供工作。该信息中心的最新举措是为曾被部署到任务区、有肢体或精神创作的士兵拟订一个发展方案。</w:t>
      </w:r>
    </w:p>
    <w:p w:rsidR="00D84D94" w:rsidRDefault="00D84D94">
      <w:pPr>
        <w:pStyle w:val="H23GC"/>
        <w:rPr>
          <w:rFonts w:hint="eastAsia"/>
          <w:lang w:val="en-GB"/>
        </w:rPr>
      </w:pPr>
      <w:r>
        <w:rPr>
          <w:lang w:val="en-GB"/>
        </w:rPr>
        <w:tab/>
      </w:r>
      <w:r>
        <w:rPr>
          <w:lang w:val="en-GB"/>
        </w:rPr>
        <w:tab/>
      </w:r>
      <w:r>
        <w:rPr>
          <w:rFonts w:hint="eastAsia"/>
          <w:lang w:val="en-GB"/>
        </w:rPr>
        <w:t>参加社团活动</w:t>
      </w:r>
    </w:p>
    <w:p w:rsidR="00D84D94" w:rsidRDefault="00D84D94">
      <w:pPr>
        <w:pStyle w:val="SingleTxtGC"/>
        <w:rPr>
          <w:rFonts w:hint="eastAsia"/>
          <w:lang w:val="en-GB"/>
        </w:rPr>
      </w:pPr>
      <w:r>
        <w:rPr>
          <w:lang w:val="en-GB"/>
        </w:rPr>
        <w:t xml:space="preserve">346.  </w:t>
      </w:r>
      <w:r>
        <w:rPr>
          <w:rFonts w:hint="eastAsia"/>
          <w:lang w:val="en-GB"/>
        </w:rPr>
        <w:t>2009</w:t>
      </w:r>
      <w:r>
        <w:rPr>
          <w:rFonts w:hint="eastAsia"/>
          <w:lang w:val="en-GB"/>
        </w:rPr>
        <w:t>年残疾与社团生活</w:t>
      </w:r>
      <w:r>
        <w:rPr>
          <w:rFonts w:hint="eastAsia"/>
          <w:lang w:val="en-GB"/>
        </w:rPr>
        <w:t>(</w:t>
      </w:r>
      <w:r>
        <w:rPr>
          <w:i/>
          <w:lang w:val="en-GB"/>
        </w:rPr>
        <w:t>Handicap og foreningsliv2009</w:t>
      </w:r>
      <w:r>
        <w:rPr>
          <w:rFonts w:hint="eastAsia"/>
          <w:lang w:val="en-GB"/>
        </w:rPr>
        <w:t>)</w:t>
      </w:r>
      <w:r>
        <w:rPr>
          <w:rFonts w:hint="eastAsia"/>
          <w:lang w:val="en-GB"/>
        </w:rPr>
        <w:t>调查表明，残疾人参加一般社团生活的比例不足。因此，对这一问题给予了重点关注，例如启动了一个休闲指南项目，支持残疾人融入一般社团生活。</w:t>
      </w:r>
    </w:p>
    <w:p w:rsidR="00D84D94" w:rsidRDefault="00D84D94">
      <w:pPr>
        <w:pStyle w:val="SingleTxtGC"/>
        <w:rPr>
          <w:rFonts w:hint="eastAsia"/>
          <w:lang w:val="en-GB"/>
        </w:rPr>
      </w:pPr>
      <w:r>
        <w:rPr>
          <w:lang w:val="en-GB"/>
        </w:rPr>
        <w:t xml:space="preserve">347.  </w:t>
      </w:r>
      <w:r>
        <w:rPr>
          <w:rFonts w:hint="eastAsia"/>
          <w:lang w:val="en-GB"/>
        </w:rPr>
        <w:t>2008</w:t>
      </w:r>
      <w:r>
        <w:rPr>
          <w:rFonts w:hint="eastAsia"/>
          <w:lang w:val="en-GB"/>
        </w:rPr>
        <w:t>年，丹麦工人体育联合会收到了支持题为“体育运动</w:t>
      </w:r>
      <w:r>
        <w:rPr>
          <w:rFonts w:hint="eastAsia"/>
          <w:spacing w:val="-60"/>
          <w:lang w:val="en-GB"/>
        </w:rPr>
        <w:t>―</w:t>
      </w:r>
      <w:r>
        <w:rPr>
          <w:rFonts w:hint="eastAsia"/>
          <w:spacing w:val="10"/>
          <w:lang w:val="en-GB"/>
        </w:rPr>
        <w:t>―</w:t>
      </w:r>
      <w:r>
        <w:rPr>
          <w:rFonts w:hint="eastAsia"/>
          <w:lang w:val="en-GB"/>
        </w:rPr>
        <w:t>也是患有精神疾病者的运动”</w:t>
      </w:r>
      <w:r>
        <w:rPr>
          <w:rFonts w:hint="eastAsia"/>
          <w:lang w:val="en-GB"/>
        </w:rPr>
        <w:t>(</w:t>
      </w:r>
      <w:r>
        <w:rPr>
          <w:i/>
          <w:lang w:val="en-GB"/>
        </w:rPr>
        <w:t>Idræt – også for sindslidende</w:t>
      </w:r>
      <w:r>
        <w:rPr>
          <w:rFonts w:hint="eastAsia"/>
          <w:lang w:val="en-GB"/>
        </w:rPr>
        <w:t>)</w:t>
      </w:r>
      <w:r>
        <w:rPr>
          <w:rFonts w:hint="eastAsia"/>
          <w:lang w:val="en-GB"/>
        </w:rPr>
        <w:t>的项目的多笔资金。</w:t>
      </w:r>
      <w:r>
        <w:rPr>
          <w:rFonts w:hint="eastAsia"/>
          <w:lang w:val="en-GB"/>
        </w:rPr>
        <w:t>2011</w:t>
      </w:r>
      <w:r>
        <w:rPr>
          <w:rFonts w:hint="eastAsia"/>
          <w:lang w:val="en-GB"/>
        </w:rPr>
        <w:t>年，对该项目的财政支持又延长了两年。项目的一个宗旨是，通过开展以公民个人为对象的有组织、有监督的体育活动，以及通过形成精神病机构文化，加强并宣传面向精神病患者的全国性体育活动。</w:t>
      </w:r>
    </w:p>
    <w:p w:rsidR="00D84D94" w:rsidRDefault="00D84D94">
      <w:pPr>
        <w:pStyle w:val="H23GC"/>
        <w:rPr>
          <w:rFonts w:hint="eastAsia"/>
          <w:lang w:val="en-GB"/>
        </w:rPr>
      </w:pPr>
      <w:r>
        <w:rPr>
          <w:lang w:val="en-GB"/>
        </w:rPr>
        <w:tab/>
      </w:r>
      <w:r>
        <w:rPr>
          <w:lang w:val="en-GB"/>
        </w:rPr>
        <w:tab/>
      </w:r>
      <w:r>
        <w:rPr>
          <w:rFonts w:hint="eastAsia"/>
          <w:lang w:val="en-GB"/>
        </w:rPr>
        <w:t>体育教育</w:t>
      </w:r>
    </w:p>
    <w:p w:rsidR="00D84D94" w:rsidRDefault="00D84D94">
      <w:pPr>
        <w:pStyle w:val="SingleTxtGC"/>
        <w:rPr>
          <w:rFonts w:hint="eastAsia"/>
          <w:lang w:val="en-GB"/>
        </w:rPr>
      </w:pPr>
      <w:r>
        <w:rPr>
          <w:lang w:val="en-GB"/>
        </w:rPr>
        <w:t xml:space="preserve">348.  </w:t>
      </w:r>
      <w:r>
        <w:rPr>
          <w:rFonts w:hint="eastAsia"/>
          <w:lang w:val="en-GB"/>
        </w:rPr>
        <w:t>学校的所有班级都必须开设体育教育课，“</w:t>
      </w:r>
      <w:r>
        <w:rPr>
          <w:rFonts w:hint="eastAsia"/>
          <w:lang w:val="en-GB"/>
        </w:rPr>
        <w:t>2009</w:t>
      </w:r>
      <w:r>
        <w:rPr>
          <w:rFonts w:hint="eastAsia"/>
          <w:lang w:val="en-GB"/>
        </w:rPr>
        <w:t>年共同目标”确定并提高了学校体育教育的目标。体育教育的重点是让中小学生能够参加各类体育活动，广泛涉足运动和体育活动，形成运动乐趣。体育教育的目的也是向学生传授运动经验，让他们体验、反思，从中学到身体发育乃至全面发展所需的技能和知识。</w:t>
      </w:r>
    </w:p>
    <w:p w:rsidR="00D84D94" w:rsidRDefault="00D84D94">
      <w:pPr>
        <w:pStyle w:val="SingleTxtGC"/>
        <w:rPr>
          <w:rFonts w:hint="eastAsia"/>
          <w:lang w:val="en-GB"/>
        </w:rPr>
      </w:pPr>
      <w:r>
        <w:rPr>
          <w:lang w:val="en-GB"/>
        </w:rPr>
        <w:t xml:space="preserve">349.  </w:t>
      </w:r>
      <w:r>
        <w:rPr>
          <w:rFonts w:hint="eastAsia"/>
          <w:lang w:val="en-GB"/>
        </w:rPr>
        <w:t>课程规划，包括教学和工作方法的挑选、教学材料和主题的选择，都必须符合小学和初中学校的目标，符合学科和科目目标，并且应该多种多样，以适应个别学生的需要与条件。</w:t>
      </w:r>
    </w:p>
    <w:p w:rsidR="00D84D94" w:rsidRDefault="00D84D94">
      <w:pPr>
        <w:pStyle w:val="H23GC"/>
        <w:rPr>
          <w:rFonts w:hint="eastAsia"/>
          <w:lang w:val="en-GB"/>
        </w:rPr>
      </w:pPr>
      <w:r>
        <w:rPr>
          <w:lang w:val="en-GB"/>
        </w:rPr>
        <w:tab/>
      </w:r>
      <w:r>
        <w:rPr>
          <w:lang w:val="en-GB"/>
        </w:rPr>
        <w:tab/>
      </w:r>
      <w:r>
        <w:rPr>
          <w:rFonts w:hint="eastAsia"/>
          <w:lang w:val="en-GB"/>
        </w:rPr>
        <w:t>普通教育</w:t>
      </w:r>
    </w:p>
    <w:p w:rsidR="00D84D94" w:rsidRDefault="00D84D94">
      <w:pPr>
        <w:pStyle w:val="SingleTxtGC"/>
        <w:rPr>
          <w:rFonts w:hint="eastAsia"/>
          <w:lang w:val="en-GB"/>
        </w:rPr>
      </w:pPr>
      <w:r>
        <w:rPr>
          <w:lang w:val="en-GB"/>
        </w:rPr>
        <w:t xml:space="preserve">350.  </w:t>
      </w:r>
      <w:r>
        <w:rPr>
          <w:rFonts w:hint="eastAsia"/>
          <w:lang w:val="en-GB"/>
        </w:rPr>
        <w:t>根据《普通教育法》，各市镇为本辖区内的普通教育活动提供补贴。各市镇可决定为残疾者参与的活动或课程提供额外补贴，或者给有特殊需要者更多补贴。</w:t>
      </w:r>
    </w:p>
    <w:p w:rsidR="00D84D94" w:rsidRDefault="00D84D94">
      <w:pPr>
        <w:pStyle w:val="SingleTxtGC"/>
        <w:rPr>
          <w:rFonts w:hint="eastAsia"/>
          <w:lang w:val="en-GB"/>
        </w:rPr>
      </w:pPr>
      <w:bookmarkStart w:id="3" w:name="_GoBack"/>
      <w:bookmarkEnd w:id="3"/>
      <w:r>
        <w:rPr>
          <w:lang w:val="en-GB"/>
        </w:rPr>
        <w:t xml:space="preserve">351.  </w:t>
      </w:r>
      <w:r>
        <w:rPr>
          <w:rFonts w:hint="eastAsia"/>
          <w:lang w:val="en-GB"/>
        </w:rPr>
        <w:t>另外，教育部提供特种补贴，以便残疾人能够随意参加社团生活和普通成人教育。为此目的拨出了一笔专款，可用来为交通运输、口译援助等活动提供补贴，提高残疾人参加普通教育活动的可能性。根据现行做法，还可为参加普通教育活动所需的弥补残疾的设备提供补贴。</w:t>
      </w:r>
      <w:r>
        <w:rPr>
          <w:rFonts w:hint="eastAsia"/>
          <w:lang w:val="en-GB"/>
        </w:rPr>
        <w:t>2011</w:t>
      </w:r>
      <w:r>
        <w:rPr>
          <w:rFonts w:hint="eastAsia"/>
          <w:lang w:val="en-GB"/>
        </w:rPr>
        <w:t>年，该项专款为</w:t>
      </w:r>
      <w:r>
        <w:rPr>
          <w:rFonts w:hint="eastAsia"/>
          <w:lang w:val="en-GB"/>
        </w:rPr>
        <w:t>750</w:t>
      </w:r>
      <w:r>
        <w:rPr>
          <w:rFonts w:hint="eastAsia"/>
          <w:lang w:val="en-GB"/>
        </w:rPr>
        <w:t>万丹麦克朗。</w:t>
      </w:r>
    </w:p>
    <w:p w:rsidR="00D84D94" w:rsidRDefault="00D84D94">
      <w:pPr>
        <w:pStyle w:val="HChGC"/>
        <w:rPr>
          <w:rFonts w:hint="eastAsia"/>
          <w:lang w:val="en-GB"/>
        </w:rPr>
      </w:pPr>
      <w:r>
        <w:rPr>
          <w:lang w:val="en-GB"/>
        </w:rPr>
        <w:tab/>
      </w:r>
      <w:r>
        <w:rPr>
          <w:rFonts w:hint="eastAsia"/>
          <w:lang w:val="en-GB"/>
        </w:rPr>
        <w:t>四</w:t>
      </w:r>
      <w:r>
        <w:rPr>
          <w:rFonts w:hint="eastAsia"/>
          <w:lang w:val="en-GB"/>
        </w:rPr>
        <w:t>.</w:t>
      </w:r>
      <w:r>
        <w:rPr>
          <w:rFonts w:hint="eastAsia"/>
          <w:lang w:val="en-GB"/>
        </w:rPr>
        <w:tab/>
      </w:r>
      <w:r>
        <w:rPr>
          <w:rFonts w:hint="eastAsia"/>
          <w:lang w:val="en-GB"/>
        </w:rPr>
        <w:t>《公约》中涉及残疾男童、女童和妇女的具体规定</w:t>
      </w:r>
    </w:p>
    <w:p w:rsidR="00D84D94" w:rsidRDefault="00D84D94">
      <w:pPr>
        <w:pStyle w:val="H1GC"/>
        <w:rPr>
          <w:rFonts w:hint="eastAsia"/>
          <w:lang w:val="en-GB"/>
        </w:rPr>
      </w:pPr>
      <w:r>
        <w:rPr>
          <w:lang w:val="en-GB"/>
        </w:rPr>
        <w:tab/>
      </w:r>
      <w:r>
        <w:rPr>
          <w:lang w:val="en-GB"/>
        </w:rPr>
        <w:tab/>
      </w:r>
      <w:r>
        <w:rPr>
          <w:rFonts w:hint="eastAsia"/>
          <w:lang w:val="en-GB"/>
        </w:rPr>
        <w:t>第六条</w:t>
      </w:r>
    </w:p>
    <w:p w:rsidR="00D84D94" w:rsidRDefault="00D84D94">
      <w:pPr>
        <w:pStyle w:val="SingleTxtGC"/>
        <w:rPr>
          <w:rFonts w:hint="eastAsia"/>
          <w:lang w:val="en-GB"/>
        </w:rPr>
      </w:pPr>
      <w:r>
        <w:rPr>
          <w:lang w:val="en-GB"/>
        </w:rPr>
        <w:t xml:space="preserve">352.  </w:t>
      </w:r>
      <w:r>
        <w:rPr>
          <w:rFonts w:hint="eastAsia"/>
          <w:lang w:val="en-GB"/>
        </w:rPr>
        <w:t>丹麦的残疾政策立足于必须将残疾人纳入现有服务的原则。这意味着，以男女平等为目标的举措必须不仅防止歧视，而且还要防止对残疾妇女的歧视。</w:t>
      </w:r>
    </w:p>
    <w:p w:rsidR="00D84D94" w:rsidRDefault="00D84D94">
      <w:pPr>
        <w:pStyle w:val="H1GC"/>
        <w:rPr>
          <w:rFonts w:hint="eastAsia"/>
          <w:lang w:val="en-GB"/>
        </w:rPr>
      </w:pPr>
      <w:r>
        <w:rPr>
          <w:lang w:val="en-GB"/>
        </w:rPr>
        <w:tab/>
      </w:r>
      <w:r>
        <w:rPr>
          <w:lang w:val="en-GB"/>
        </w:rPr>
        <w:tab/>
      </w:r>
      <w:r>
        <w:rPr>
          <w:rFonts w:hint="eastAsia"/>
          <w:lang w:val="en-GB"/>
        </w:rPr>
        <w:t>第七条</w:t>
      </w:r>
    </w:p>
    <w:p w:rsidR="00D84D94" w:rsidRDefault="00D84D94">
      <w:pPr>
        <w:pStyle w:val="SingleTxtGC"/>
        <w:rPr>
          <w:rFonts w:hint="eastAsia"/>
          <w:lang w:val="en-GB"/>
        </w:rPr>
      </w:pPr>
      <w:r>
        <w:rPr>
          <w:lang w:val="en-GB"/>
        </w:rPr>
        <w:t xml:space="preserve">353.  </w:t>
      </w:r>
      <w:r>
        <w:rPr>
          <w:rFonts w:hint="eastAsia"/>
          <w:lang w:val="en-GB"/>
        </w:rPr>
        <w:t>丹麦立法中有许多专门规定保证残疾儿童的待遇以及给予他们特别支助。拟订了以残疾儿童为重点的各种举措，以便为残疾男女儿童提供最适宜的框架，使他们过上一种积极向上的美好生活，一种尽可能使他们拥有和同龄的健全男女儿童一样多的机会的生活。丹麦立法的基本法律保护原则确保残疾儿童和青年普遍享有与健全的同龄儿童和青年相同的权利，并能够像其他儿童和青年一样左右自己的生活。</w:t>
      </w:r>
    </w:p>
    <w:p w:rsidR="00D84D94" w:rsidRDefault="00D84D94">
      <w:pPr>
        <w:pStyle w:val="SingleTxtGC"/>
        <w:rPr>
          <w:rFonts w:hint="eastAsia"/>
          <w:lang w:val="en-GB"/>
        </w:rPr>
      </w:pPr>
      <w:r>
        <w:rPr>
          <w:lang w:val="en-GB"/>
        </w:rPr>
        <w:t xml:space="preserve">354.  </w:t>
      </w:r>
      <w:r>
        <w:rPr>
          <w:rFonts w:hint="eastAsia"/>
          <w:lang w:val="en-GB"/>
        </w:rPr>
        <w:t>为支持实现残疾儿童和青年平等待遇的目标，拟定并推出了一系列举措，以为更加包容残疾男女儿童铺平道路，帮助消除对残疾儿童和青年的偏见。作为这项努力的一部分，丹麦决定资助一个联合国残疾儿童专家职位。该职位计划于</w:t>
      </w:r>
      <w:r>
        <w:rPr>
          <w:rFonts w:hint="eastAsia"/>
          <w:lang w:val="en-GB"/>
        </w:rPr>
        <w:t>2011</w:t>
      </w:r>
      <w:r>
        <w:rPr>
          <w:rFonts w:hint="eastAsia"/>
          <w:lang w:val="en-GB"/>
        </w:rPr>
        <w:t>年夏季征聘，设在儿基会。</w:t>
      </w:r>
    </w:p>
    <w:p w:rsidR="00D84D94" w:rsidRDefault="00D84D94">
      <w:pPr>
        <w:pStyle w:val="SingleTxtGC"/>
        <w:rPr>
          <w:rFonts w:hint="eastAsia"/>
          <w:lang w:val="en-GB"/>
        </w:rPr>
      </w:pPr>
      <w:r>
        <w:rPr>
          <w:lang w:val="en-GB"/>
        </w:rPr>
        <w:t xml:space="preserve">355.  </w:t>
      </w:r>
      <w:r>
        <w:rPr>
          <w:rFonts w:hint="eastAsia"/>
          <w:lang w:val="en-GB"/>
        </w:rPr>
        <w:t>2009</w:t>
      </w:r>
      <w:r>
        <w:rPr>
          <w:rFonts w:hint="eastAsia"/>
          <w:lang w:val="en-GB"/>
        </w:rPr>
        <w:t>年关于残疾儿童和青年的教育效果与形式的报告，为证明残疾儿童和青年在整个教育系统中的表现，提供了一个具有代表性的依据。该报告属于为残疾群体拨出专项资金的公共专项基金项目“新的、更加便捷的道路”</w:t>
      </w:r>
      <w:r>
        <w:rPr>
          <w:rFonts w:hint="eastAsia"/>
          <w:lang w:val="en-GB"/>
        </w:rPr>
        <w:t>(</w:t>
      </w:r>
      <w:r>
        <w:rPr>
          <w:i/>
          <w:lang w:val="en-GB"/>
        </w:rPr>
        <w:t>Nye og nemmere veje</w:t>
      </w:r>
      <w:r>
        <w:rPr>
          <w:rFonts w:hint="eastAsia"/>
          <w:lang w:val="en-GB"/>
        </w:rPr>
        <w:t>)</w:t>
      </w:r>
      <w:r>
        <w:rPr>
          <w:rFonts w:hint="eastAsia"/>
          <w:lang w:val="en-GB"/>
        </w:rPr>
        <w:t>。</w:t>
      </w:r>
      <w:r>
        <w:rPr>
          <w:rFonts w:hint="eastAsia"/>
          <w:lang w:val="en-GB"/>
        </w:rPr>
        <w:t>2006</w:t>
      </w:r>
      <w:r>
        <w:rPr>
          <w:rFonts w:hint="eastAsia"/>
          <w:lang w:val="en-GB"/>
        </w:rPr>
        <w:t>年至</w:t>
      </w:r>
      <w:r>
        <w:rPr>
          <w:rFonts w:hint="eastAsia"/>
          <w:lang w:val="en-GB"/>
        </w:rPr>
        <w:t>2009</w:t>
      </w:r>
      <w:r>
        <w:rPr>
          <w:rFonts w:hint="eastAsia"/>
          <w:lang w:val="en-GB"/>
        </w:rPr>
        <w:t>年间，在该项目下完成了九个由中央政府启动的项目。“新的、更加便捷的道路”项目的主要意图是，推出一系列以发展残疾领域、使人们带残生活更容易为目的的举措。</w:t>
      </w:r>
    </w:p>
    <w:p w:rsidR="00D84D94" w:rsidRDefault="00D84D94">
      <w:pPr>
        <w:pStyle w:val="SingleTxtGC"/>
        <w:rPr>
          <w:rFonts w:hint="eastAsia"/>
          <w:lang w:val="en-GB"/>
        </w:rPr>
      </w:pPr>
      <w:r>
        <w:rPr>
          <w:lang w:val="en-GB"/>
        </w:rPr>
        <w:t xml:space="preserve">356.  </w:t>
      </w:r>
      <w:r>
        <w:rPr>
          <w:rFonts w:hint="eastAsia"/>
          <w:lang w:val="en-GB"/>
        </w:rPr>
        <w:t>对</w:t>
      </w:r>
      <w:r>
        <w:rPr>
          <w:rFonts w:hint="eastAsia"/>
          <w:lang w:val="en-GB"/>
        </w:rPr>
        <w:t>1990</w:t>
      </w:r>
      <w:r>
        <w:rPr>
          <w:rFonts w:hint="eastAsia"/>
          <w:lang w:val="en-GB"/>
        </w:rPr>
        <w:t>年出生的儿童的调查研究，是对残疾儿童和青年的教育效果进行的首次全国抽样调查。这是首次通过抽样调查确定，与健全儿童和青年相比，残疾儿童和青年学习得怎么样。调查报告的目标是为该领域的各个方面建立一个知识库。调查为旨在查明有哪些因素阻碍和促进残疾儿童和青年取得教育成果的分析活动提供了一个平台。</w:t>
      </w:r>
    </w:p>
    <w:p w:rsidR="00D84D94" w:rsidRDefault="00D84D94">
      <w:pPr>
        <w:pStyle w:val="SingleTxtGC"/>
        <w:rPr>
          <w:rFonts w:hint="eastAsia"/>
          <w:lang w:val="en-GB"/>
        </w:rPr>
      </w:pPr>
      <w:r>
        <w:rPr>
          <w:lang w:val="en-GB"/>
        </w:rPr>
        <w:t xml:space="preserve">357.  </w:t>
      </w:r>
      <w:r>
        <w:rPr>
          <w:rFonts w:hint="eastAsia"/>
          <w:lang w:val="en-GB"/>
        </w:rPr>
        <w:t>例如，报告指出，积极的社会生活对于初等教育的完成率具有重要影响。遭到排斥的经历对成绩具有负面影响。这种做法会放大残疾的程度。报告旨在为限定教育和咨询等方面奠定一个基础。</w:t>
      </w:r>
    </w:p>
    <w:p w:rsidR="00D84D94" w:rsidRDefault="00D84D94">
      <w:pPr>
        <w:pStyle w:val="H23GC"/>
        <w:rPr>
          <w:rFonts w:hint="eastAsia"/>
          <w:lang w:val="en-GB"/>
        </w:rPr>
      </w:pPr>
      <w:r>
        <w:rPr>
          <w:lang w:val="en-GB"/>
        </w:rPr>
        <w:tab/>
      </w:r>
      <w:r>
        <w:rPr>
          <w:lang w:val="en-GB"/>
        </w:rPr>
        <w:tab/>
      </w:r>
      <w:r>
        <w:rPr>
          <w:rFonts w:hint="eastAsia"/>
          <w:lang w:val="en-GB"/>
        </w:rPr>
        <w:t>有特殊需要儿童的保健</w:t>
      </w:r>
    </w:p>
    <w:p w:rsidR="00D84D94" w:rsidRDefault="00D84D94">
      <w:pPr>
        <w:pStyle w:val="SingleTxtGC"/>
        <w:rPr>
          <w:rFonts w:hint="eastAsia"/>
          <w:lang w:val="en-GB"/>
        </w:rPr>
      </w:pPr>
      <w:r>
        <w:rPr>
          <w:lang w:val="en-GB"/>
        </w:rPr>
        <w:t xml:space="preserve">358.  </w:t>
      </w:r>
      <w:r>
        <w:rPr>
          <w:lang w:val="en-GB"/>
        </w:rPr>
        <w:t>《丹麦卫生法》</w:t>
      </w:r>
      <w:r>
        <w:rPr>
          <w:rFonts w:hint="eastAsia"/>
          <w:lang w:val="en-GB"/>
        </w:rPr>
        <w:t>指出，人人都有平等、方便地到卫生部门看病的权利。</w:t>
      </w:r>
    </w:p>
    <w:p w:rsidR="00D84D94" w:rsidRDefault="00D84D94">
      <w:pPr>
        <w:pStyle w:val="SingleTxtGC"/>
        <w:rPr>
          <w:rFonts w:hint="eastAsia"/>
          <w:lang w:val="en-GB"/>
        </w:rPr>
      </w:pPr>
      <w:r>
        <w:rPr>
          <w:lang w:val="en-GB"/>
        </w:rPr>
        <w:t xml:space="preserve">359.  </w:t>
      </w:r>
      <w:r>
        <w:rPr>
          <w:rFonts w:hint="eastAsia"/>
          <w:lang w:val="en-GB"/>
        </w:rPr>
        <w:t>根据</w:t>
      </w:r>
      <w:r>
        <w:rPr>
          <w:lang w:val="en-GB"/>
        </w:rPr>
        <w:t>《丹麦卫生法》</w:t>
      </w:r>
      <w:r>
        <w:rPr>
          <w:rFonts w:hint="eastAsia"/>
          <w:lang w:val="en-GB"/>
        </w:rPr>
        <w:t>，各市镇必须指定一个或多个跨学科小组，负责审议有特殊需要的儿童和青年问题，包括促进其个人发展、健康和福利，并与医学、心理学及其他专业机构建立适当联系。</w:t>
      </w:r>
    </w:p>
    <w:p w:rsidR="00D84D94" w:rsidRDefault="00D84D94">
      <w:pPr>
        <w:pStyle w:val="SingleTxtGC"/>
        <w:rPr>
          <w:rFonts w:hint="eastAsia"/>
          <w:lang w:val="en-GB"/>
        </w:rPr>
      </w:pPr>
      <w:r>
        <w:rPr>
          <w:lang w:val="en-GB"/>
        </w:rPr>
        <w:t xml:space="preserve">360.  </w:t>
      </w:r>
      <w:r>
        <w:rPr>
          <w:rFonts w:hint="eastAsia"/>
          <w:lang w:val="en-GB"/>
        </w:rPr>
        <w:t>自</w:t>
      </w:r>
      <w:r>
        <w:rPr>
          <w:rFonts w:hint="eastAsia"/>
          <w:lang w:val="en-GB"/>
        </w:rPr>
        <w:t>2008</w:t>
      </w:r>
      <w:r>
        <w:rPr>
          <w:rFonts w:hint="eastAsia"/>
          <w:lang w:val="en-GB"/>
        </w:rPr>
        <w:t>年</w:t>
      </w:r>
      <w:r>
        <w:rPr>
          <w:rFonts w:hint="eastAsia"/>
          <w:lang w:val="en-GB"/>
        </w:rPr>
        <w:t>8</w:t>
      </w:r>
      <w:r>
        <w:rPr>
          <w:rFonts w:hint="eastAsia"/>
          <w:lang w:val="en-GB"/>
        </w:rPr>
        <w:t>月</w:t>
      </w:r>
      <w:r>
        <w:rPr>
          <w:rFonts w:hint="eastAsia"/>
          <w:lang w:val="en-GB"/>
        </w:rPr>
        <w:t>/2009</w:t>
      </w:r>
      <w:r>
        <w:rPr>
          <w:rFonts w:hint="eastAsia"/>
          <w:lang w:val="en-GB"/>
        </w:rPr>
        <w:t>年</w:t>
      </w:r>
      <w:r>
        <w:rPr>
          <w:rFonts w:hint="eastAsia"/>
          <w:lang w:val="en-GB"/>
        </w:rPr>
        <w:t>1</w:t>
      </w:r>
      <w:r>
        <w:rPr>
          <w:rFonts w:hint="eastAsia"/>
          <w:lang w:val="en-GB"/>
        </w:rPr>
        <w:t>月起，有精神障碍的儿童和青少年所享有的检查和治疗权利扩大了。这意味着，需要精神病学评估和必要治疗的儿童和青年有权在两个月的期限内得到这种评估和治疗。若病人所住地区无法在这两个月的期限内提供治疗，他可以免费到与本地区订有协议的私立医院或诊所去治疗。</w:t>
      </w:r>
    </w:p>
    <w:p w:rsidR="00D84D94" w:rsidRDefault="00D84D94">
      <w:pPr>
        <w:pStyle w:val="H23GC"/>
        <w:rPr>
          <w:rFonts w:hint="eastAsia"/>
          <w:lang w:val="en-GB"/>
        </w:rPr>
      </w:pPr>
      <w:r>
        <w:rPr>
          <w:lang w:val="en-GB"/>
        </w:rPr>
        <w:tab/>
      </w:r>
      <w:r>
        <w:rPr>
          <w:lang w:val="en-GB"/>
        </w:rPr>
        <w:tab/>
      </w:r>
      <w:r>
        <w:rPr>
          <w:rFonts w:hint="eastAsia"/>
          <w:lang w:val="en-GB"/>
        </w:rPr>
        <w:t>有创伤的难民家庭儿童融入的举措</w:t>
      </w:r>
    </w:p>
    <w:p w:rsidR="00D84D94" w:rsidRDefault="00D84D94">
      <w:pPr>
        <w:pStyle w:val="SingleTxtGC"/>
        <w:rPr>
          <w:lang w:val="en-GB"/>
        </w:rPr>
      </w:pPr>
      <w:r>
        <w:rPr>
          <w:lang w:val="en-GB"/>
        </w:rPr>
        <w:t xml:space="preserve">361.  </w:t>
      </w:r>
      <w:r>
        <w:rPr>
          <w:rFonts w:hint="eastAsia"/>
          <w:lang w:val="en-GB"/>
        </w:rPr>
        <w:t>丹麦认识到，有创伤的难民家庭儿童属于特别脆弱的群体。丹麦对这些儿童</w:t>
      </w:r>
      <w:r>
        <w:rPr>
          <w:rFonts w:hint="eastAsia"/>
          <w:lang w:val="en-GB"/>
        </w:rPr>
        <w:t>(</w:t>
      </w:r>
      <w:r>
        <w:rPr>
          <w:rFonts w:hint="eastAsia"/>
          <w:lang w:val="en-GB"/>
        </w:rPr>
        <w:t>及其家庭</w:t>
      </w:r>
      <w:r>
        <w:rPr>
          <w:rFonts w:hint="eastAsia"/>
          <w:lang w:val="en-GB"/>
        </w:rPr>
        <w:t>)</w:t>
      </w:r>
      <w:r>
        <w:rPr>
          <w:rFonts w:hint="eastAsia"/>
          <w:lang w:val="en-GB"/>
        </w:rPr>
        <w:t>给予了特别支助，包括日常生活支助，目的是确保他们不断发展，融入学校、教育方案、社会网络，等等。这也意味着，有创伤家庭的儿童需要尽快得到照顾。因此，难民、移徙和融入事务部启动了面向家里有儿童的创伤家庭的各种发展项目。该部还与几个组织共同关注父母一方或双方有创伤的难民家庭的儿童和青年。</w:t>
      </w:r>
    </w:p>
    <w:p w:rsidR="00D84D94" w:rsidRDefault="00D84D94">
      <w:pPr>
        <w:pStyle w:val="H23GC"/>
        <w:rPr>
          <w:rFonts w:hint="eastAsia"/>
          <w:lang w:val="en-GB"/>
        </w:rPr>
      </w:pPr>
      <w:r>
        <w:rPr>
          <w:lang w:val="en-GB"/>
        </w:rPr>
        <w:tab/>
      </w:r>
      <w:r>
        <w:rPr>
          <w:lang w:val="en-GB"/>
        </w:rPr>
        <w:tab/>
      </w:r>
      <w:r>
        <w:rPr>
          <w:rFonts w:hint="eastAsia"/>
          <w:lang w:val="en-GB"/>
        </w:rPr>
        <w:t>由于育儿资源减少而颁发的人道主义居留证</w:t>
      </w:r>
    </w:p>
    <w:p w:rsidR="00D84D94" w:rsidRDefault="00D84D94">
      <w:pPr>
        <w:pStyle w:val="SingleTxtGC"/>
        <w:rPr>
          <w:rFonts w:hint="eastAsia"/>
          <w:lang w:val="en-GB"/>
        </w:rPr>
      </w:pPr>
      <w:r>
        <w:rPr>
          <w:lang w:val="en-GB"/>
        </w:rPr>
        <w:t xml:space="preserve">362.  </w:t>
      </w:r>
      <w:r>
        <w:rPr>
          <w:rFonts w:hint="eastAsia"/>
          <w:lang w:val="en-GB"/>
        </w:rPr>
        <w:t>根据现行做法，某些种类的严重身体疾病和残疾本身并不能使相关人员具备取得人道主义居留证的资格，但是如果父母患有的这种疾病或残疾导致他们养育子女的育儿资源十分有限，那么这种疾病或残疾就可以成为为有儿童家庭签发丹麦人道主义居留证的动机。</w:t>
      </w:r>
    </w:p>
    <w:p w:rsidR="00D84D94" w:rsidRDefault="00D84D94">
      <w:pPr>
        <w:pStyle w:val="SingleTxtGC"/>
        <w:rPr>
          <w:rFonts w:hint="eastAsia"/>
          <w:lang w:val="en-GB"/>
        </w:rPr>
      </w:pPr>
      <w:r>
        <w:rPr>
          <w:lang w:val="en-GB"/>
        </w:rPr>
        <w:t xml:space="preserve">363.  </w:t>
      </w:r>
      <w:r>
        <w:rPr>
          <w:rFonts w:hint="eastAsia"/>
          <w:lang w:val="en-GB"/>
        </w:rPr>
        <w:t>如果满足下列所有条件，经过专门评估，就可以签发人道主义居留证：</w:t>
      </w:r>
    </w:p>
    <w:p w:rsidR="00D84D94" w:rsidRDefault="00D84D94">
      <w:pPr>
        <w:pStyle w:val="Bullet1GC"/>
        <w:rPr>
          <w:rFonts w:hint="eastAsia"/>
          <w:lang w:val="en-GB"/>
        </w:rPr>
      </w:pPr>
      <w:r>
        <w:rPr>
          <w:rFonts w:hint="eastAsia"/>
          <w:lang w:val="en-GB"/>
        </w:rPr>
        <w:t>家中有未成年女子；</w:t>
      </w:r>
    </w:p>
    <w:p w:rsidR="00D84D94" w:rsidRDefault="00D84D94">
      <w:pPr>
        <w:pStyle w:val="Bullet1GC"/>
        <w:rPr>
          <w:rFonts w:hint="eastAsia"/>
          <w:lang w:val="en-GB"/>
        </w:rPr>
      </w:pPr>
      <w:r>
        <w:rPr>
          <w:rFonts w:hint="eastAsia"/>
          <w:lang w:val="en-GB"/>
        </w:rPr>
        <w:t>至少一位家庭成员患有重病或残疾，但没有严重到其本身就可以作为签发人道主义居留证的动机；以及</w:t>
      </w:r>
    </w:p>
    <w:p w:rsidR="00D84D94" w:rsidRDefault="00D84D94">
      <w:pPr>
        <w:pStyle w:val="Bullet1GC"/>
        <w:rPr>
          <w:rFonts w:hint="eastAsia"/>
          <w:lang w:val="en-GB"/>
        </w:rPr>
      </w:pPr>
      <w:r>
        <w:rPr>
          <w:rFonts w:hint="eastAsia"/>
          <w:lang w:val="en-GB"/>
        </w:rPr>
        <w:t>父母双方均患有肢体或精神疾病或残疾，以致父母双方只有非常有限的育儿资源养育子女。</w:t>
      </w:r>
    </w:p>
    <w:p w:rsidR="00D84D94" w:rsidRDefault="00D84D94">
      <w:pPr>
        <w:pStyle w:val="SingleTxtGC"/>
        <w:rPr>
          <w:rFonts w:hint="eastAsia"/>
          <w:lang w:val="en-GB"/>
        </w:rPr>
      </w:pPr>
      <w:r>
        <w:rPr>
          <w:lang w:val="en-GB"/>
        </w:rPr>
        <w:t xml:space="preserve">364.  </w:t>
      </w:r>
      <w:r>
        <w:rPr>
          <w:rFonts w:hint="eastAsia"/>
          <w:lang w:val="en-GB"/>
        </w:rPr>
        <w:t>当一名或多名子女也患病或有残疾时，以及当在其本国没有家庭或社会网络，或者现有网络特别薄弱时，这一做法尤其适用。在丹麦有近亲也可能成为评估的一个因素。</w:t>
      </w:r>
    </w:p>
    <w:p w:rsidR="00D84D94" w:rsidRDefault="00D84D94">
      <w:pPr>
        <w:pStyle w:val="HChGC"/>
        <w:rPr>
          <w:rFonts w:hint="eastAsia"/>
          <w:lang w:val="en-GB"/>
        </w:rPr>
      </w:pPr>
      <w:r>
        <w:rPr>
          <w:lang w:val="en-GB"/>
        </w:rPr>
        <w:tab/>
      </w:r>
      <w:r>
        <w:rPr>
          <w:rFonts w:hint="eastAsia"/>
          <w:lang w:val="en-GB"/>
        </w:rPr>
        <w:t>五</w:t>
      </w:r>
      <w:r>
        <w:rPr>
          <w:rFonts w:hint="eastAsia"/>
          <w:lang w:val="en-GB"/>
        </w:rPr>
        <w:t>.</w:t>
      </w:r>
      <w:r>
        <w:rPr>
          <w:rFonts w:hint="eastAsia"/>
          <w:lang w:val="en-GB"/>
        </w:rPr>
        <w:tab/>
      </w:r>
      <w:r>
        <w:rPr>
          <w:rFonts w:hint="eastAsia"/>
          <w:lang w:val="en-GB"/>
        </w:rPr>
        <w:t>《公约》规定的具体义务</w:t>
      </w:r>
    </w:p>
    <w:p w:rsidR="00D84D94" w:rsidRDefault="00D84D94">
      <w:pPr>
        <w:pStyle w:val="H1GC"/>
        <w:rPr>
          <w:rFonts w:hint="eastAsia"/>
          <w:lang w:val="en-GB"/>
        </w:rPr>
      </w:pPr>
      <w:r>
        <w:rPr>
          <w:lang w:val="en-GB"/>
        </w:rPr>
        <w:tab/>
      </w:r>
      <w:r>
        <w:rPr>
          <w:lang w:val="en-GB"/>
        </w:rPr>
        <w:tab/>
      </w:r>
      <w:r>
        <w:rPr>
          <w:rFonts w:hint="eastAsia"/>
          <w:lang w:val="en-GB"/>
        </w:rPr>
        <w:t>第三十一条</w:t>
      </w:r>
    </w:p>
    <w:p w:rsidR="00D84D94" w:rsidRDefault="00D84D94">
      <w:pPr>
        <w:pStyle w:val="SingleTxtGC"/>
        <w:rPr>
          <w:rFonts w:hint="eastAsia"/>
          <w:lang w:val="en-GB"/>
        </w:rPr>
      </w:pPr>
      <w:r>
        <w:rPr>
          <w:lang w:val="en-GB"/>
        </w:rPr>
        <w:t xml:space="preserve">365.  </w:t>
      </w:r>
      <w:r>
        <w:rPr>
          <w:rFonts w:hint="eastAsia"/>
          <w:lang w:val="en-GB"/>
        </w:rPr>
        <w:t>根据部门负责制原则，各个部门的主管部委负责收集本领域的数据。对于残疾领域具体统计数据的处理没有共同准则，而且对于在各个部门的统计中重点关注残疾方面也没有一定之规。</w:t>
      </w:r>
    </w:p>
    <w:p w:rsidR="00D84D94" w:rsidRDefault="00D84D94">
      <w:pPr>
        <w:pStyle w:val="SingleTxtGC"/>
        <w:rPr>
          <w:rFonts w:hint="eastAsia"/>
          <w:lang w:val="en-GB"/>
        </w:rPr>
      </w:pPr>
      <w:r>
        <w:rPr>
          <w:lang w:val="en-GB"/>
        </w:rPr>
        <w:t xml:space="preserve">366.  </w:t>
      </w:r>
      <w:r>
        <w:rPr>
          <w:rFonts w:hint="eastAsia"/>
          <w:lang w:val="en-GB"/>
        </w:rPr>
        <w:t>一般残疾统计数据可通过丹麦统计局和国家社会上诉委员会关于社会福利和服务的报表和报告获取。这类数据按照相关法规进行分类。丹麦并未对个人数据加以集中登记，而是进行全国调查，全国调查数据可以与登记数据合在一起，以着重说明残疾人相对于普通人在就业等方面的趋势。丹麦国家社会研究所负责进行此类调查，它对社会福利领域，包括残疾领域，进行各种调查和分析。调查结果会公之于众并构成关于社会福利总体发展的公开辩论的一个重要内容。</w:t>
      </w:r>
    </w:p>
    <w:p w:rsidR="00D84D94" w:rsidRDefault="00D84D94">
      <w:pPr>
        <w:pStyle w:val="SingleTxtGC"/>
        <w:rPr>
          <w:rFonts w:hint="eastAsia"/>
          <w:lang w:val="en-GB"/>
        </w:rPr>
      </w:pPr>
      <w:r>
        <w:rPr>
          <w:lang w:val="en-GB"/>
        </w:rPr>
        <w:t xml:space="preserve">367.  </w:t>
      </w:r>
      <w:r>
        <w:rPr>
          <w:rFonts w:hint="eastAsia"/>
          <w:lang w:val="en-GB"/>
        </w:rPr>
        <w:t>关于相关残疾的数据和统计，目前没有一个完整清单，不过正在部际残疾事务公务员委员会主持下拟订。</w:t>
      </w:r>
    </w:p>
    <w:p w:rsidR="00D84D94" w:rsidRDefault="00D84D94">
      <w:pPr>
        <w:pStyle w:val="SingleTxtGC"/>
        <w:rPr>
          <w:rFonts w:hint="eastAsia"/>
          <w:lang w:val="en-GB"/>
        </w:rPr>
      </w:pPr>
      <w:r>
        <w:rPr>
          <w:lang w:val="en-GB"/>
        </w:rPr>
        <w:t xml:space="preserve">368.  </w:t>
      </w:r>
      <w:r>
        <w:rPr>
          <w:rFonts w:hint="eastAsia"/>
          <w:lang w:val="en-GB"/>
        </w:rPr>
        <w:t>残疾领域启动了一个改进社会统计的资料收集项目。项目目标是，就改进、更新和简化目前进行中的地方活动及其影响的资料收集工作提出具体建议。项目参与方包括丹麦地方政府协会、丹麦统计局、丹麦各地区、财政部和社会事务部</w:t>
      </w:r>
      <w:r>
        <w:rPr>
          <w:rFonts w:hint="eastAsia"/>
          <w:lang w:val="en-GB"/>
        </w:rPr>
        <w:t>(</w:t>
      </w:r>
      <w:r>
        <w:rPr>
          <w:rFonts w:hint="eastAsia"/>
          <w:lang w:val="en-GB"/>
        </w:rPr>
        <w:t>主席</w:t>
      </w:r>
      <w:r>
        <w:rPr>
          <w:rFonts w:hint="eastAsia"/>
          <w:lang w:val="en-GB"/>
        </w:rPr>
        <w:t>)</w:t>
      </w:r>
      <w:r>
        <w:rPr>
          <w:rFonts w:hint="eastAsia"/>
          <w:lang w:val="en-GB"/>
        </w:rPr>
        <w:t>。项目组计划起草一项包含报告制度引进提案的协议，该报告制度以公民登记号为基础，通过电子方式上交地方社会工作所产生的数据。短期目标是积累该领域更加完善的文献资料，从而能对残疾领域的发展动向加以监测。长期目标则是度量中央政府和地方政府残疾政策的效果。</w:t>
      </w:r>
    </w:p>
    <w:p w:rsidR="00D84D94" w:rsidRDefault="00D84D94">
      <w:pPr>
        <w:pStyle w:val="SingleTxtGC"/>
        <w:rPr>
          <w:rFonts w:hint="eastAsia"/>
          <w:lang w:val="en-GB"/>
        </w:rPr>
      </w:pPr>
      <w:r>
        <w:rPr>
          <w:lang w:val="en-GB"/>
        </w:rPr>
        <w:t xml:space="preserve">369.  </w:t>
      </w:r>
      <w:r>
        <w:rPr>
          <w:rFonts w:hint="eastAsia"/>
          <w:lang w:val="en-GB"/>
        </w:rPr>
        <w:t>其他国家级参与方为收集和传播这方面的信息做出了贡献。</w:t>
      </w:r>
    </w:p>
    <w:p w:rsidR="00D84D94" w:rsidRDefault="00D84D94">
      <w:pPr>
        <w:pStyle w:val="SingleTxtGC"/>
        <w:rPr>
          <w:rFonts w:hint="eastAsia"/>
          <w:lang w:val="en-GB"/>
        </w:rPr>
      </w:pPr>
      <w:r>
        <w:rPr>
          <w:lang w:val="en-GB"/>
        </w:rPr>
        <w:t xml:space="preserve">370.  </w:t>
      </w:r>
      <w:r>
        <w:rPr>
          <w:rFonts w:hint="eastAsia"/>
          <w:lang w:val="en-GB"/>
        </w:rPr>
        <w:t>社会服务门户网站是一个可自由登录的互联网基门户网站，政府部门、社会服务供应商和公民都要以在那里寻找面向残疾人</w:t>
      </w:r>
      <w:r>
        <w:rPr>
          <w:rFonts w:hint="eastAsia"/>
          <w:lang w:val="en-GB"/>
        </w:rPr>
        <w:t>(</w:t>
      </w:r>
      <w:r>
        <w:rPr>
          <w:rFonts w:hint="eastAsia"/>
          <w:lang w:val="en-GB"/>
        </w:rPr>
        <w:t>及其他弱势群体的</w:t>
      </w:r>
      <w:r>
        <w:rPr>
          <w:rFonts w:hint="eastAsia"/>
          <w:lang w:val="en-GB"/>
        </w:rPr>
        <w:t>)</w:t>
      </w:r>
      <w:r>
        <w:rPr>
          <w:rFonts w:hint="eastAsia"/>
          <w:lang w:val="en-GB"/>
        </w:rPr>
        <w:t>地方、地区和私营服务。该门户网站于</w:t>
      </w:r>
      <w:r>
        <w:rPr>
          <w:rFonts w:hint="eastAsia"/>
          <w:lang w:val="en-GB"/>
        </w:rPr>
        <w:t>2007</w:t>
      </w:r>
      <w:r>
        <w:rPr>
          <w:rFonts w:hint="eastAsia"/>
          <w:lang w:val="en-GB"/>
        </w:rPr>
        <w:t>年设立，目的是加强公民个人选择具体服务的基础，使该领域现有服务全部开放、透明。如今，地方和地区理事会向社会服务门户网站报告信息，信息涉及个人服务的众多不同方面，包括目标群体、名额、治疗服务和方法、比率、工作人员、物质条件、条件评价、食品和就餐环境、居民活动，等等。社会服务门户网站由社会事务部所属的国家社会服务委员会管理。</w:t>
      </w:r>
    </w:p>
    <w:p w:rsidR="00D84D94" w:rsidRDefault="00D84D94">
      <w:pPr>
        <w:pStyle w:val="SingleTxtGC"/>
        <w:rPr>
          <w:rFonts w:hint="eastAsia"/>
          <w:lang w:val="en-GB"/>
        </w:rPr>
      </w:pPr>
      <w:r>
        <w:rPr>
          <w:lang w:val="en-GB"/>
        </w:rPr>
        <w:t xml:space="preserve">371.  </w:t>
      </w:r>
      <w:r>
        <w:rPr>
          <w:rFonts w:hint="eastAsia"/>
          <w:lang w:val="en-GB"/>
        </w:rPr>
        <w:t>此外，各种国家级研究评价机构提供了残疾领域新的知识和数据集。</w:t>
      </w:r>
      <w:r>
        <w:rPr>
          <w:rFonts w:hint="eastAsia"/>
          <w:lang w:val="en-GB"/>
        </w:rPr>
        <w:t>2009</w:t>
      </w:r>
      <w:r>
        <w:rPr>
          <w:rFonts w:hint="eastAsia"/>
          <w:lang w:val="en-GB"/>
        </w:rPr>
        <w:t>年至</w:t>
      </w:r>
      <w:r>
        <w:rPr>
          <w:rFonts w:hint="eastAsia"/>
          <w:lang w:val="en-GB"/>
        </w:rPr>
        <w:t>2010</w:t>
      </w:r>
      <w:r>
        <w:rPr>
          <w:rFonts w:hint="eastAsia"/>
          <w:lang w:val="en-GB"/>
        </w:rPr>
        <w:t>年，丹麦社会研究国家中心</w:t>
      </w:r>
      <w:r>
        <w:rPr>
          <w:rFonts w:hint="eastAsia"/>
          <w:spacing w:val="-60"/>
          <w:lang w:val="en-GB"/>
        </w:rPr>
        <w:t>―</w:t>
      </w:r>
      <w:r>
        <w:rPr>
          <w:rFonts w:hint="eastAsia"/>
          <w:spacing w:val="10"/>
          <w:lang w:val="en-GB"/>
        </w:rPr>
        <w:t>―</w:t>
      </w:r>
      <w:r>
        <w:rPr>
          <w:rFonts w:hint="eastAsia"/>
          <w:lang w:val="en-GB"/>
        </w:rPr>
        <w:t>社会事务部所属的一个独立的国家研究中心</w:t>
      </w:r>
      <w:r>
        <w:rPr>
          <w:rFonts w:hint="eastAsia"/>
          <w:spacing w:val="-60"/>
          <w:lang w:val="en-GB"/>
        </w:rPr>
        <w:t>―</w:t>
      </w:r>
      <w:r>
        <w:rPr>
          <w:rFonts w:hint="eastAsia"/>
          <w:spacing w:val="10"/>
          <w:lang w:val="en-GB"/>
        </w:rPr>
        <w:t>―</w:t>
      </w:r>
      <w:r>
        <w:rPr>
          <w:rFonts w:hint="eastAsia"/>
          <w:lang w:val="en-GB"/>
        </w:rPr>
        <w:t>出版了</w:t>
      </w:r>
      <w:r>
        <w:rPr>
          <w:rFonts w:hint="eastAsia"/>
          <w:lang w:val="en-GB"/>
        </w:rPr>
        <w:t>24</w:t>
      </w:r>
      <w:r>
        <w:rPr>
          <w:rFonts w:hint="eastAsia"/>
          <w:lang w:val="en-GB"/>
        </w:rPr>
        <w:t>本有关残疾问题的出版物。同一期间，丹麦地方评价研究所和地方政府研究所各出版两本这方面的出版物。</w:t>
      </w:r>
    </w:p>
    <w:p w:rsidR="00D84D94" w:rsidRDefault="00D84D94">
      <w:pPr>
        <w:pStyle w:val="SingleTxtGC"/>
        <w:rPr>
          <w:rFonts w:hint="eastAsia"/>
          <w:lang w:val="en-GB"/>
        </w:rPr>
      </w:pPr>
      <w:r>
        <w:rPr>
          <w:lang w:val="en-GB"/>
        </w:rPr>
        <w:t xml:space="preserve">372.  </w:t>
      </w:r>
      <w:r>
        <w:rPr>
          <w:rFonts w:hint="eastAsia"/>
          <w:lang w:val="en-GB"/>
        </w:rPr>
        <w:t>2008</w:t>
      </w:r>
      <w:r>
        <w:rPr>
          <w:rFonts w:hint="eastAsia"/>
          <w:lang w:val="en-GB"/>
        </w:rPr>
        <w:t>年和</w:t>
      </w:r>
      <w:r>
        <w:rPr>
          <w:rFonts w:hint="eastAsia"/>
          <w:lang w:val="en-GB"/>
        </w:rPr>
        <w:t>2010</w:t>
      </w:r>
      <w:r>
        <w:rPr>
          <w:rFonts w:hint="eastAsia"/>
          <w:lang w:val="en-GB"/>
        </w:rPr>
        <w:t>年，科学、技术和创新部分别对</w:t>
      </w:r>
      <w:r>
        <w:rPr>
          <w:rFonts w:hint="eastAsia"/>
          <w:lang w:val="en-GB"/>
        </w:rPr>
        <w:t>234</w:t>
      </w:r>
      <w:r>
        <w:rPr>
          <w:rFonts w:hint="eastAsia"/>
          <w:lang w:val="en-GB"/>
        </w:rPr>
        <w:t>家和</w:t>
      </w:r>
      <w:r>
        <w:rPr>
          <w:rFonts w:hint="eastAsia"/>
          <w:lang w:val="en-GB"/>
        </w:rPr>
        <w:t>226</w:t>
      </w:r>
      <w:r>
        <w:rPr>
          <w:rFonts w:hint="eastAsia"/>
          <w:lang w:val="en-GB"/>
        </w:rPr>
        <w:t>家公共网站的无障碍情况进行了调查。调查结果公布在</w:t>
      </w:r>
      <w:r>
        <w:rPr>
          <w:lang w:val="en-GB"/>
        </w:rPr>
        <w:t>webtjek.itst.dk</w:t>
      </w:r>
      <w:r>
        <w:rPr>
          <w:rFonts w:hint="eastAsia"/>
          <w:lang w:val="en-GB"/>
        </w:rPr>
        <w:t>上，可以积极利用这些调查结果将人们的注意力集中到公共网站的无障碍问题上，同时使政府这方面的举措更有针对性。</w:t>
      </w:r>
    </w:p>
    <w:p w:rsidR="00D84D94" w:rsidRDefault="00D84D94">
      <w:pPr>
        <w:pStyle w:val="SingleTxtGC"/>
        <w:rPr>
          <w:rFonts w:hint="eastAsia"/>
          <w:lang w:val="en-GB"/>
        </w:rPr>
      </w:pPr>
      <w:r>
        <w:rPr>
          <w:lang w:val="en-GB"/>
        </w:rPr>
        <w:t xml:space="preserve">373.  </w:t>
      </w:r>
      <w:r>
        <w:rPr>
          <w:rFonts w:hint="eastAsia"/>
          <w:lang w:val="en-GB"/>
        </w:rPr>
        <w:t>教育部参加了经合组织的“残疾学生的高等教育和就业途径”项目。该项目包括在逾</w:t>
      </w:r>
      <w:r>
        <w:rPr>
          <w:rFonts w:hint="eastAsia"/>
          <w:lang w:val="en-GB"/>
        </w:rPr>
        <w:t>400</w:t>
      </w:r>
      <w:r>
        <w:rPr>
          <w:rFonts w:hint="eastAsia"/>
          <w:lang w:val="en-GB"/>
        </w:rPr>
        <w:t>名丹麦青年人当中开展的一项为期三年的纵向研究。</w:t>
      </w:r>
    </w:p>
    <w:p w:rsidR="00D84D94" w:rsidRDefault="00D84D94">
      <w:pPr>
        <w:pStyle w:val="H1GC"/>
        <w:rPr>
          <w:rFonts w:hint="eastAsia"/>
          <w:lang w:val="en-GB"/>
        </w:rPr>
      </w:pPr>
      <w:r>
        <w:rPr>
          <w:lang w:val="en-GB"/>
        </w:rPr>
        <w:tab/>
      </w:r>
      <w:r>
        <w:rPr>
          <w:lang w:val="en-GB"/>
        </w:rPr>
        <w:tab/>
      </w:r>
      <w:r>
        <w:rPr>
          <w:rFonts w:hint="eastAsia"/>
          <w:lang w:val="en-GB"/>
        </w:rPr>
        <w:t>第三十二条</w:t>
      </w:r>
    </w:p>
    <w:p w:rsidR="00D84D94" w:rsidRDefault="00D84D94">
      <w:pPr>
        <w:pStyle w:val="SingleTxtGC"/>
        <w:rPr>
          <w:lang w:val="en-GB"/>
        </w:rPr>
      </w:pPr>
      <w:r>
        <w:rPr>
          <w:lang w:val="en-GB"/>
        </w:rPr>
        <w:t xml:space="preserve">374.  </w:t>
      </w:r>
      <w:r>
        <w:rPr>
          <w:rFonts w:hint="eastAsia"/>
          <w:lang w:val="en-GB"/>
        </w:rPr>
        <w:t>社会事务部是负责协调残疾事务的部委，它与部际残疾事务公务员委员会一道作为《联合国残疾人权利公约》的协调中心</w:t>
      </w:r>
      <w:r>
        <w:rPr>
          <w:rFonts w:hint="eastAsia"/>
          <w:lang w:val="en-GB"/>
        </w:rPr>
        <w:t>(</w:t>
      </w:r>
      <w:r>
        <w:rPr>
          <w:rFonts w:hint="eastAsia"/>
          <w:lang w:val="en-GB"/>
        </w:rPr>
        <w:t>见第三十三第一款</w:t>
      </w:r>
      <w:r>
        <w:rPr>
          <w:rFonts w:hint="eastAsia"/>
          <w:lang w:val="en-GB"/>
        </w:rPr>
        <w:t>)</w:t>
      </w:r>
      <w:r>
        <w:rPr>
          <w:rFonts w:hint="eastAsia"/>
          <w:lang w:val="en-GB"/>
        </w:rPr>
        <w:t>。这有助于确保各部门重视并了解与《公约》有关的国际活动和合作。</w:t>
      </w:r>
    </w:p>
    <w:p w:rsidR="00D84D94" w:rsidRDefault="00D84D94">
      <w:pPr>
        <w:pStyle w:val="SingleTxtGC"/>
        <w:rPr>
          <w:rFonts w:hint="eastAsia"/>
          <w:lang w:val="en-GB"/>
        </w:rPr>
      </w:pPr>
      <w:r>
        <w:rPr>
          <w:lang w:val="en-GB"/>
        </w:rPr>
        <w:t xml:space="preserve">375.  </w:t>
      </w:r>
      <w:r>
        <w:rPr>
          <w:rFonts w:hint="eastAsia"/>
          <w:lang w:val="en-GB"/>
        </w:rPr>
        <w:t>丹麦还积极参加了一系列有关残疾问题的国际论坛，包括欧洲联盟委员会的残疾问题高级别小组。残疾问题高级别小组以《公约》等文书为基础，探讨残疾问题、残疾政策和残疾人的条件。</w:t>
      </w:r>
    </w:p>
    <w:p w:rsidR="00D84D94" w:rsidRDefault="00D84D94">
      <w:pPr>
        <w:pStyle w:val="SingleTxtGC"/>
        <w:rPr>
          <w:rFonts w:hint="eastAsia"/>
          <w:lang w:val="en-GB"/>
        </w:rPr>
      </w:pPr>
      <w:r>
        <w:rPr>
          <w:lang w:val="en-GB"/>
        </w:rPr>
        <w:t xml:space="preserve">376.  </w:t>
      </w:r>
      <w:r>
        <w:rPr>
          <w:rFonts w:hint="eastAsia"/>
          <w:lang w:val="en-GB"/>
        </w:rPr>
        <w:t>丹麦在《欧洲委员会残疾人行动计划》的欧洲协调论坛</w:t>
      </w:r>
      <w:r>
        <w:rPr>
          <w:rFonts w:hint="eastAsia"/>
          <w:lang w:val="en-GB"/>
        </w:rPr>
        <w:t>(</w:t>
      </w:r>
      <w:r>
        <w:rPr>
          <w:lang w:val="en-GB"/>
        </w:rPr>
        <w:t>CAHPAH</w:t>
      </w:r>
      <w:r>
        <w:rPr>
          <w:rFonts w:hint="eastAsia"/>
          <w:lang w:val="en-GB"/>
        </w:rPr>
        <w:t>)</w:t>
      </w:r>
      <w:r>
        <w:rPr>
          <w:rFonts w:hint="eastAsia"/>
          <w:lang w:val="en-GB"/>
        </w:rPr>
        <w:t>中发挥积极作用。最后，丹麦积极参与了北欧部长理事会内的北欧残疾事务合作。</w:t>
      </w:r>
    </w:p>
    <w:p w:rsidR="00D84D94" w:rsidRDefault="00D84D94">
      <w:pPr>
        <w:pStyle w:val="SingleTxtGC"/>
        <w:rPr>
          <w:rFonts w:hint="eastAsia"/>
          <w:lang w:val="en-GB"/>
        </w:rPr>
      </w:pPr>
      <w:r>
        <w:rPr>
          <w:lang w:val="en-GB"/>
        </w:rPr>
        <w:t xml:space="preserve">377.  </w:t>
      </w:r>
      <w:r>
        <w:rPr>
          <w:rFonts w:hint="eastAsia"/>
          <w:lang w:val="en-GB"/>
        </w:rPr>
        <w:t>另外，科学、技术和创新部参加了欧洲和北欧的信息技术无障碍项目，以分享知识，开发工具并达到其他目标。目前，国家信息技术和电信署正在参加欧盟支持的专题网络</w:t>
      </w:r>
      <w:r>
        <w:rPr>
          <w:lang w:val="en-GB"/>
        </w:rPr>
        <w:t xml:space="preserve">ATIS4all </w:t>
      </w:r>
      <w:r>
        <w:rPr>
          <w:rFonts w:hint="eastAsia"/>
          <w:lang w:val="en-GB"/>
        </w:rPr>
        <w:t>(</w:t>
      </w:r>
      <w:r>
        <w:rPr>
          <w:rFonts w:hint="eastAsia"/>
          <w:lang w:val="en-GB"/>
        </w:rPr>
        <w:t>面向全民的协助技术和包容性解决方案</w:t>
      </w:r>
      <w:r>
        <w:rPr>
          <w:rFonts w:hint="eastAsia"/>
          <w:lang w:val="en-GB"/>
        </w:rPr>
        <w:t>)</w:t>
      </w:r>
      <w:r>
        <w:rPr>
          <w:rFonts w:hint="eastAsia"/>
          <w:lang w:val="en-GB"/>
        </w:rPr>
        <w:t>并参与</w:t>
      </w:r>
      <w:r>
        <w:rPr>
          <w:lang w:val="en-GB"/>
        </w:rPr>
        <w:t xml:space="preserve">UWEM 2 </w:t>
      </w:r>
      <w:r>
        <w:rPr>
          <w:rFonts w:hint="eastAsia"/>
          <w:lang w:val="en-GB"/>
        </w:rPr>
        <w:t>(</w:t>
      </w:r>
      <w:r>
        <w:rPr>
          <w:rFonts w:hint="eastAsia"/>
          <w:lang w:val="en-GB"/>
        </w:rPr>
        <w:t>互联网统一评价方法</w:t>
      </w:r>
      <w:r>
        <w:rPr>
          <w:rFonts w:hint="eastAsia"/>
          <w:lang w:val="en-GB"/>
        </w:rPr>
        <w:t>)</w:t>
      </w:r>
      <w:r>
        <w:rPr>
          <w:rFonts w:hint="eastAsia"/>
          <w:lang w:val="en-GB"/>
        </w:rPr>
        <w:t>的开发工作。参加这些活动是因为认识到，所有国家都面临着相同的挑战，与其他国家共同努力就有可能实现诸多方面的协同，想出许多好主意。</w:t>
      </w:r>
    </w:p>
    <w:p w:rsidR="00D84D94" w:rsidRDefault="00D84D94">
      <w:pPr>
        <w:pStyle w:val="H23GC"/>
        <w:rPr>
          <w:rFonts w:hint="eastAsia"/>
          <w:lang w:val="en-GB"/>
        </w:rPr>
      </w:pPr>
      <w:r>
        <w:rPr>
          <w:lang w:val="en-GB"/>
        </w:rPr>
        <w:tab/>
      </w:r>
      <w:r>
        <w:rPr>
          <w:lang w:val="en-GB"/>
        </w:rPr>
        <w:tab/>
      </w:r>
      <w:r>
        <w:rPr>
          <w:rFonts w:hint="eastAsia"/>
          <w:lang w:val="en-GB"/>
        </w:rPr>
        <w:t>涉及丹麦发展政策的国际合作</w:t>
      </w:r>
    </w:p>
    <w:p w:rsidR="00D84D94" w:rsidRDefault="00D84D94">
      <w:pPr>
        <w:pStyle w:val="SingleTxtGC"/>
        <w:rPr>
          <w:rFonts w:hint="eastAsia"/>
          <w:lang w:val="en-GB"/>
        </w:rPr>
      </w:pPr>
      <w:r>
        <w:rPr>
          <w:lang w:val="en-GB"/>
        </w:rPr>
        <w:t xml:space="preserve">378.  </w:t>
      </w:r>
      <w:r>
        <w:rPr>
          <w:rFonts w:hint="eastAsia"/>
          <w:lang w:val="en-GB"/>
        </w:rPr>
        <w:t>如在第十一条项下所指出，根据丹麦</w:t>
      </w:r>
      <w:r>
        <w:rPr>
          <w:lang w:val="en-GB"/>
        </w:rPr>
        <w:t>2010-2015</w:t>
      </w:r>
      <w:r>
        <w:rPr>
          <w:rFonts w:hint="eastAsia"/>
          <w:lang w:val="en-GB"/>
        </w:rPr>
        <w:t>年人道主义工作战略，为作为弱势群体的残疾人提供了津贴。发展政策战略</w:t>
      </w:r>
      <w:r>
        <w:rPr>
          <w:rFonts w:hint="eastAsia"/>
          <w:lang w:val="en-GB"/>
        </w:rPr>
        <w:t>(2010</w:t>
      </w:r>
      <w:r>
        <w:rPr>
          <w:rFonts w:hint="eastAsia"/>
          <w:lang w:val="en-GB"/>
        </w:rPr>
        <w:t>年</w:t>
      </w:r>
      <w:r>
        <w:rPr>
          <w:rFonts w:hint="eastAsia"/>
          <w:lang w:val="en-GB"/>
        </w:rPr>
        <w:t>)</w:t>
      </w:r>
      <w:r>
        <w:rPr>
          <w:rFonts w:hint="eastAsia"/>
          <w:lang w:val="en-GB"/>
        </w:rPr>
        <w:t>强调残疾人是特别弱势的群体。有关丹麦发展政策的章节特别说明残疾人的处境不堪一击。丹麦支持第三世界国家民间社会战略</w:t>
      </w:r>
      <w:r>
        <w:rPr>
          <w:rFonts w:hint="eastAsia"/>
          <w:lang w:val="en-GB"/>
        </w:rPr>
        <w:t>(2008</w:t>
      </w:r>
      <w:r>
        <w:rPr>
          <w:rFonts w:hint="eastAsia"/>
          <w:lang w:val="en-GB"/>
        </w:rPr>
        <w:t>年</w:t>
      </w:r>
      <w:r>
        <w:rPr>
          <w:rFonts w:hint="eastAsia"/>
          <w:lang w:val="en-GB"/>
        </w:rPr>
        <w:t>)</w:t>
      </w:r>
      <w:r>
        <w:rPr>
          <w:rFonts w:hint="eastAsia"/>
          <w:lang w:val="en-GB"/>
        </w:rPr>
        <w:t>强调，必须特别注意执行那些促进包括残疾人在内的特别弱势群体权利的公约。因此，通过为参与第三世界残疾人项目的丹麦非政府组织提供赠款，支持了一些发展项目。</w:t>
      </w:r>
    </w:p>
    <w:p w:rsidR="00D84D94" w:rsidRDefault="00D84D94">
      <w:pPr>
        <w:pStyle w:val="H1GC"/>
        <w:rPr>
          <w:rFonts w:hint="eastAsia"/>
          <w:lang w:val="en-GB"/>
        </w:rPr>
      </w:pPr>
      <w:r>
        <w:rPr>
          <w:lang w:val="en-GB"/>
        </w:rPr>
        <w:tab/>
      </w:r>
      <w:r>
        <w:rPr>
          <w:lang w:val="en-GB"/>
        </w:rPr>
        <w:tab/>
      </w:r>
      <w:r>
        <w:rPr>
          <w:rFonts w:hint="eastAsia"/>
          <w:lang w:val="en-GB"/>
        </w:rPr>
        <w:t>第三十三条</w:t>
      </w:r>
    </w:p>
    <w:p w:rsidR="00D84D94" w:rsidRDefault="00D84D94">
      <w:pPr>
        <w:pStyle w:val="SingleTxtGC"/>
        <w:rPr>
          <w:rFonts w:hint="eastAsia"/>
          <w:lang w:val="en-GB"/>
        </w:rPr>
      </w:pPr>
      <w:r>
        <w:rPr>
          <w:lang w:val="en-GB"/>
        </w:rPr>
        <w:t xml:space="preserve">379.  </w:t>
      </w:r>
      <w:r>
        <w:rPr>
          <w:rFonts w:hint="eastAsia"/>
          <w:lang w:val="en-GB"/>
        </w:rPr>
        <w:t>《残疾人权利公约》第三十三条第一款要求缔约国设立一个机构</w:t>
      </w:r>
      <w:r>
        <w:rPr>
          <w:lang w:val="en-GB"/>
        </w:rPr>
        <w:t>，负责</w:t>
      </w:r>
      <w:r>
        <w:rPr>
          <w:rFonts w:hint="eastAsia"/>
          <w:lang w:val="en-GB"/>
        </w:rPr>
        <w:t>协调本国实</w:t>
      </w:r>
      <w:r>
        <w:rPr>
          <w:lang w:val="en-GB"/>
        </w:rPr>
        <w:t>施</w:t>
      </w:r>
      <w:r>
        <w:rPr>
          <w:rFonts w:hint="eastAsia"/>
          <w:lang w:val="en-GB"/>
        </w:rPr>
        <w:t>《</w:t>
      </w:r>
      <w:r>
        <w:rPr>
          <w:lang w:val="en-GB"/>
        </w:rPr>
        <w:t>公约</w:t>
      </w:r>
      <w:r>
        <w:rPr>
          <w:rFonts w:hint="eastAsia"/>
          <w:lang w:val="en-GB"/>
        </w:rPr>
        <w:t>》</w:t>
      </w:r>
      <w:r>
        <w:rPr>
          <w:lang w:val="en-GB"/>
        </w:rPr>
        <w:t>的事项</w:t>
      </w:r>
      <w:r>
        <w:rPr>
          <w:rFonts w:hint="eastAsia"/>
          <w:lang w:val="en-GB"/>
        </w:rPr>
        <w:t>。</w:t>
      </w:r>
    </w:p>
    <w:p w:rsidR="00D84D94" w:rsidRDefault="00D84D94">
      <w:pPr>
        <w:pStyle w:val="SingleTxtGC"/>
        <w:rPr>
          <w:rFonts w:hint="eastAsia"/>
          <w:lang w:val="en-GB"/>
        </w:rPr>
      </w:pPr>
      <w:r>
        <w:rPr>
          <w:lang w:val="en-GB"/>
        </w:rPr>
        <w:t xml:space="preserve">380.  </w:t>
      </w:r>
      <w:r>
        <w:rPr>
          <w:rFonts w:hint="eastAsia"/>
          <w:lang w:val="en-GB"/>
        </w:rPr>
        <w:t>社会事务部被指定为《公约》实施事务的国家协调中心。指定该部的理由是，它是负责协调残疾事务的部委。该部是由批准《公约》的议会</w:t>
      </w:r>
      <w:r>
        <w:rPr>
          <w:lang w:val="en-GB"/>
        </w:rPr>
        <w:t>B 194</w:t>
      </w:r>
      <w:r>
        <w:rPr>
          <w:rFonts w:hint="eastAsia"/>
          <w:lang w:val="en-GB"/>
        </w:rPr>
        <w:t>号决议指定为国家协调中心的。作为负责协调残疾事务的部委，该部在履行国家协调中心的职能过程中，与政府其他部门和残疾组织密切接触和协调。</w:t>
      </w:r>
    </w:p>
    <w:p w:rsidR="00D84D94" w:rsidRDefault="00D84D94">
      <w:pPr>
        <w:pStyle w:val="SingleTxtGC"/>
        <w:rPr>
          <w:bCs/>
          <w:lang w:val="en-GB"/>
        </w:rPr>
      </w:pPr>
      <w:r>
        <w:rPr>
          <w:bCs/>
          <w:lang w:val="en-GB"/>
        </w:rPr>
        <w:t xml:space="preserve">381.  </w:t>
      </w:r>
      <w:r>
        <w:rPr>
          <w:rFonts w:hint="eastAsia"/>
          <w:lang w:val="en-GB"/>
        </w:rPr>
        <w:t>社会事务大臣领导了一个部际残疾事务公务员委员会。该委员会协助政府协调各个部门的工作。部际残疾事务公务员委员会的职权范围经过修订，现在规定委员会负有中央政府的协调职能，任务是促进</w:t>
      </w:r>
      <w:r>
        <w:rPr>
          <w:lang w:val="en-GB"/>
        </w:rPr>
        <w:t>在不同部门和不同级别</w:t>
      </w:r>
      <w:r>
        <w:rPr>
          <w:rFonts w:hint="eastAsia"/>
          <w:lang w:val="en-GB"/>
        </w:rPr>
        <w:t>开展实施《残疾人权利公约》的部际活动</w:t>
      </w:r>
      <w:r>
        <w:rPr>
          <w:rFonts w:hint="eastAsia"/>
          <w:lang w:val="en-GB"/>
        </w:rPr>
        <w:t>(</w:t>
      </w:r>
      <w:r>
        <w:rPr>
          <w:rFonts w:hint="eastAsia"/>
          <w:lang w:val="en-GB"/>
        </w:rPr>
        <w:t>见《公约》第三十三条第一款</w:t>
      </w:r>
      <w:r>
        <w:rPr>
          <w:rFonts w:hint="eastAsia"/>
          <w:lang w:val="en-GB"/>
        </w:rPr>
        <w:t>)</w:t>
      </w:r>
      <w:r>
        <w:rPr>
          <w:rFonts w:hint="eastAsia"/>
          <w:lang w:val="en-GB"/>
        </w:rPr>
        <w:t>。部际残疾事务公务员委员会由来自各部委的代表组成。残疾组织根据需要参与了委员会的工作。</w:t>
      </w:r>
    </w:p>
    <w:p w:rsidR="00D84D94" w:rsidRDefault="00D84D94">
      <w:pPr>
        <w:pStyle w:val="SingleTxtGC"/>
        <w:rPr>
          <w:rFonts w:hint="eastAsia"/>
          <w:lang w:val="en-GB"/>
        </w:rPr>
      </w:pPr>
      <w:r>
        <w:rPr>
          <w:lang w:val="en-GB"/>
        </w:rPr>
        <w:t>382.  B 15</w:t>
      </w:r>
      <w:r>
        <w:rPr>
          <w:rFonts w:hint="eastAsia"/>
          <w:lang w:val="en-GB"/>
        </w:rPr>
        <w:t>号动议为丹麦遵守《残疾人权利公约》第三十三条第二款关于</w:t>
      </w:r>
      <w:r>
        <w:rPr>
          <w:lang w:val="en-GB"/>
        </w:rPr>
        <w:t>促进、保护和监测</w:t>
      </w:r>
      <w:r>
        <w:rPr>
          <w:rFonts w:hint="eastAsia"/>
          <w:lang w:val="en-GB"/>
        </w:rPr>
        <w:t>《</w:t>
      </w:r>
      <w:r>
        <w:rPr>
          <w:lang w:val="en-GB"/>
        </w:rPr>
        <w:t>公约</w:t>
      </w:r>
      <w:r>
        <w:rPr>
          <w:rFonts w:hint="eastAsia"/>
          <w:lang w:val="en-GB"/>
        </w:rPr>
        <w:t>》</w:t>
      </w:r>
      <w:r>
        <w:rPr>
          <w:lang w:val="en-GB"/>
        </w:rPr>
        <w:t>的实施</w:t>
      </w:r>
      <w:r>
        <w:rPr>
          <w:rFonts w:hint="eastAsia"/>
          <w:lang w:val="en-GB"/>
        </w:rPr>
        <w:t>的规定，制定了一个框架。</w:t>
      </w:r>
    </w:p>
    <w:p w:rsidR="00D84D94" w:rsidRDefault="00D84D94">
      <w:pPr>
        <w:pStyle w:val="SingleTxtGC"/>
        <w:rPr>
          <w:rFonts w:hint="eastAsia"/>
          <w:lang w:val="en-GB"/>
        </w:rPr>
      </w:pPr>
      <w:r>
        <w:rPr>
          <w:lang w:val="en-GB"/>
        </w:rPr>
        <w:t xml:space="preserve">383.  </w:t>
      </w:r>
      <w:r>
        <w:rPr>
          <w:rFonts w:hint="eastAsia"/>
          <w:lang w:val="en-GB"/>
        </w:rPr>
        <w:t>《公约》第三十三条第二款规定的促进、保护和监测任务被赋予丹麦国家人权研究所，该研究所是经过官方认可的国家人权机构，这意味着它肩负着《巴黎原则》规定的任务。</w:t>
      </w:r>
    </w:p>
    <w:p w:rsidR="00D84D94" w:rsidRDefault="00D84D94">
      <w:pPr>
        <w:pStyle w:val="SingleTxtGC"/>
        <w:rPr>
          <w:rFonts w:hint="eastAsia"/>
          <w:lang w:val="en-GB"/>
        </w:rPr>
      </w:pPr>
      <w:r>
        <w:rPr>
          <w:lang w:val="en-GB"/>
        </w:rPr>
        <w:t xml:space="preserve">384.  </w:t>
      </w:r>
      <w:r>
        <w:rPr>
          <w:rFonts w:hint="eastAsia"/>
          <w:lang w:val="en-GB"/>
        </w:rPr>
        <w:t>根据《残疾人权利公约》第三十三条第三款，</w:t>
      </w:r>
      <w:r>
        <w:rPr>
          <w:lang w:val="en-GB"/>
        </w:rPr>
        <w:t>民间社会，特别是残疾人及其代表组织，应当获邀参加并充分参与监测进程。</w:t>
      </w:r>
      <w:r>
        <w:rPr>
          <w:rFonts w:hint="eastAsia"/>
          <w:lang w:val="en-GB"/>
        </w:rPr>
        <w:t>这种参与是通过丹麦残疾理事会实现的，该理事会已被赋予作为丹麦政府残疾问题顾问的任务。由于丹麦加入了《残疾人权利公约》，丹麦残疾理事会被赋予根据《公约》探讨并评估残疾人之社会发展变化的任务。</w:t>
      </w:r>
    </w:p>
    <w:p w:rsidR="00D84D94" w:rsidRDefault="00D84D94">
      <w:pPr>
        <w:pStyle w:val="SingleTxtGC"/>
        <w:rPr>
          <w:rFonts w:hint="eastAsia"/>
          <w:lang w:val="en-GB"/>
        </w:rPr>
      </w:pPr>
      <w:r>
        <w:rPr>
          <w:lang w:val="en-GB"/>
        </w:rPr>
        <w:t xml:space="preserve">385.  </w:t>
      </w:r>
      <w:r>
        <w:rPr>
          <w:rFonts w:hint="eastAsia"/>
          <w:lang w:val="en-GB"/>
        </w:rPr>
        <w:t>按照丹麦议会</w:t>
      </w:r>
      <w:r>
        <w:rPr>
          <w:rFonts w:hint="eastAsia"/>
          <w:lang w:val="en-GB"/>
        </w:rPr>
        <w:t>1993</w:t>
      </w:r>
      <w:r>
        <w:rPr>
          <w:rFonts w:hint="eastAsia"/>
          <w:lang w:val="en-GB"/>
        </w:rPr>
        <w:t>年</w:t>
      </w:r>
      <w:r>
        <w:rPr>
          <w:rFonts w:hint="eastAsia"/>
          <w:lang w:val="en-GB"/>
        </w:rPr>
        <w:t>4</w:t>
      </w:r>
      <w:r>
        <w:rPr>
          <w:rFonts w:hint="eastAsia"/>
          <w:lang w:val="en-GB"/>
        </w:rPr>
        <w:t>月</w:t>
      </w:r>
      <w:r>
        <w:rPr>
          <w:rFonts w:hint="eastAsia"/>
          <w:lang w:val="en-GB"/>
        </w:rPr>
        <w:t>2</w:t>
      </w:r>
      <w:r>
        <w:rPr>
          <w:rFonts w:hint="eastAsia"/>
          <w:lang w:val="en-GB"/>
        </w:rPr>
        <w:t>日</w:t>
      </w:r>
      <w:r>
        <w:rPr>
          <w:lang w:val="en-GB"/>
        </w:rPr>
        <w:t>B 43</w:t>
      </w:r>
      <w:r>
        <w:rPr>
          <w:rFonts w:hint="eastAsia"/>
          <w:lang w:val="en-GB"/>
        </w:rPr>
        <w:t>号议会决议中的要求，议会监察员继续开展监测平等待遇方面发展变化的工作，为残疾领域的监测和保护贡献力量。</w:t>
      </w:r>
    </w:p>
    <w:p w:rsidR="00D84D94" w:rsidRDefault="00D84D94">
      <w:pPr>
        <w:pStyle w:val="SingleTxtGC"/>
        <w:rPr>
          <w:rFonts w:hint="eastAsia"/>
          <w:lang w:val="en-GB"/>
        </w:rPr>
      </w:pPr>
      <w:r>
        <w:rPr>
          <w:lang w:val="en-GB"/>
        </w:rPr>
        <w:t xml:space="preserve">386.  </w:t>
      </w:r>
      <w:r>
        <w:rPr>
          <w:rFonts w:hint="eastAsia"/>
          <w:lang w:val="en-GB"/>
        </w:rPr>
        <w:t>因此，丹麦人权研究所、丹麦残疾理事会和丹麦议会监察员共同构成依照《残疾人权利公约》第三十三条第二款规定的义务促进、保护和监测《公约》的实施的框架。</w:t>
      </w:r>
    </w:p>
    <w:p w:rsidR="00D84D94" w:rsidRDefault="00D84D94">
      <w:pPr>
        <w:pStyle w:val="HChGC"/>
        <w:rPr>
          <w:rFonts w:hint="eastAsia"/>
          <w:lang w:val="en-GB"/>
        </w:rPr>
      </w:pPr>
      <w:r>
        <w:rPr>
          <w:lang w:val="en-GB"/>
        </w:rPr>
        <w:tab/>
      </w:r>
      <w:r>
        <w:rPr>
          <w:rFonts w:hint="eastAsia"/>
          <w:lang w:val="en-GB"/>
        </w:rPr>
        <w:t>六</w:t>
      </w:r>
      <w:r>
        <w:rPr>
          <w:rFonts w:hint="eastAsia"/>
          <w:lang w:val="en-GB"/>
        </w:rPr>
        <w:t>.</w:t>
      </w:r>
      <w:r>
        <w:rPr>
          <w:rFonts w:hint="eastAsia"/>
          <w:lang w:val="en-GB"/>
        </w:rPr>
        <w:tab/>
      </w:r>
      <w:r>
        <w:rPr>
          <w:rFonts w:hint="eastAsia"/>
          <w:lang w:val="en-GB"/>
        </w:rPr>
        <w:t>格陵兰</w:t>
      </w:r>
    </w:p>
    <w:p w:rsidR="00D84D94" w:rsidRDefault="00D84D94">
      <w:pPr>
        <w:pStyle w:val="SingleTxtGC"/>
        <w:rPr>
          <w:rFonts w:hint="eastAsia"/>
        </w:rPr>
      </w:pPr>
      <w:r>
        <w:t xml:space="preserve">387.  </w:t>
      </w:r>
      <w:r>
        <w:rPr>
          <w:rFonts w:hint="eastAsia"/>
          <w:lang w:val="en-GB"/>
        </w:rPr>
        <w:t>关于格陵兰自治安排的概况，请参见丹麦和格陵兰给联合国土著问题常设论坛第八届会议</w:t>
      </w:r>
      <w:r>
        <w:rPr>
          <w:rFonts w:hint="eastAsia"/>
          <w:lang w:val="en-GB"/>
        </w:rPr>
        <w:t>(</w:t>
      </w:r>
      <w:r>
        <w:t>E/C.19/2009/4/Add.4</w:t>
      </w:r>
      <w:r>
        <w:rPr>
          <w:rFonts w:hint="eastAsia"/>
          <w:lang w:val="en-GB"/>
        </w:rPr>
        <w:t>)</w:t>
      </w:r>
      <w:r>
        <w:rPr>
          <w:rFonts w:hint="eastAsia"/>
          <w:lang w:val="en-GB"/>
        </w:rPr>
        <w:t>和大会</w:t>
      </w:r>
      <w:r>
        <w:rPr>
          <w:rFonts w:hint="eastAsia"/>
          <w:lang w:val="en-GB"/>
        </w:rPr>
        <w:t>(</w:t>
      </w:r>
      <w:r>
        <w:t>A/64/676</w:t>
      </w:r>
      <w:r>
        <w:rPr>
          <w:rFonts w:hint="eastAsia"/>
        </w:rPr>
        <w:t>)</w:t>
      </w:r>
      <w:r>
        <w:rPr>
          <w:rFonts w:hint="eastAsia"/>
          <w:lang w:val="en-GB"/>
        </w:rPr>
        <w:t>的报告。</w:t>
      </w:r>
    </w:p>
    <w:p w:rsidR="00D84D94" w:rsidRDefault="00D84D94">
      <w:pPr>
        <w:pStyle w:val="H1GC"/>
        <w:rPr>
          <w:rFonts w:hint="eastAsia"/>
          <w:lang w:val="en-GB"/>
        </w:rPr>
      </w:pPr>
      <w:r>
        <w:rPr>
          <w:lang w:val="en-GB"/>
        </w:rPr>
        <w:tab/>
      </w:r>
      <w:r>
        <w:rPr>
          <w:lang w:val="en-GB"/>
        </w:rPr>
        <w:tab/>
      </w:r>
      <w:r>
        <w:rPr>
          <w:rFonts w:hint="eastAsia"/>
          <w:lang w:val="en-GB"/>
        </w:rPr>
        <w:t>第一至四条</w:t>
      </w:r>
      <w:r>
        <w:rPr>
          <w:rFonts w:hint="eastAsia"/>
          <w:lang w:val="en-GB"/>
        </w:rPr>
        <w:br/>
      </w:r>
      <w:r>
        <w:rPr>
          <w:rFonts w:hint="eastAsia"/>
          <w:lang w:val="en-GB"/>
        </w:rPr>
        <w:t>一般性规定</w:t>
      </w:r>
    </w:p>
    <w:p w:rsidR="00D84D94" w:rsidRDefault="00D84D94">
      <w:pPr>
        <w:pStyle w:val="SingleTxtGC"/>
        <w:rPr>
          <w:rFonts w:hint="eastAsia"/>
          <w:lang w:val="en-GB"/>
        </w:rPr>
      </w:pPr>
      <w:r>
        <w:rPr>
          <w:lang w:val="en-GB"/>
        </w:rPr>
        <w:t xml:space="preserve">388.  </w:t>
      </w:r>
      <w:r>
        <w:rPr>
          <w:rFonts w:hint="eastAsia"/>
          <w:lang w:val="en-GB"/>
        </w:rPr>
        <w:t>见本报告介绍性章节。</w:t>
      </w:r>
    </w:p>
    <w:p w:rsidR="00D84D94" w:rsidRDefault="00D84D94">
      <w:pPr>
        <w:pStyle w:val="H1GC"/>
        <w:rPr>
          <w:rFonts w:hint="eastAsia"/>
          <w:lang w:val="en-GB"/>
        </w:rPr>
      </w:pPr>
      <w:r>
        <w:rPr>
          <w:lang w:val="en-GB"/>
        </w:rPr>
        <w:tab/>
      </w:r>
      <w:r>
        <w:rPr>
          <w:lang w:val="en-GB"/>
        </w:rPr>
        <w:tab/>
      </w:r>
      <w:r>
        <w:rPr>
          <w:rFonts w:hint="eastAsia"/>
          <w:lang w:val="en-GB"/>
        </w:rPr>
        <w:t>第五条</w:t>
      </w:r>
    </w:p>
    <w:p w:rsidR="00D84D94" w:rsidRDefault="00D84D94">
      <w:pPr>
        <w:pStyle w:val="SingleTxtGC"/>
        <w:rPr>
          <w:rFonts w:hint="eastAsia"/>
          <w:lang w:val="en-GB"/>
        </w:rPr>
      </w:pPr>
      <w:r>
        <w:rPr>
          <w:lang w:val="en-GB"/>
        </w:rPr>
        <w:t xml:space="preserve">389.  </w:t>
      </w:r>
      <w:r>
        <w:rPr>
          <w:rFonts w:hint="eastAsia"/>
          <w:lang w:val="en-GB"/>
        </w:rPr>
        <w:t>联合国大会于</w:t>
      </w:r>
      <w:r>
        <w:rPr>
          <w:rFonts w:hint="eastAsia"/>
          <w:lang w:val="en-GB"/>
        </w:rPr>
        <w:t>1993</w:t>
      </w:r>
      <w:r>
        <w:rPr>
          <w:rFonts w:hint="eastAsia"/>
          <w:lang w:val="en-GB"/>
        </w:rPr>
        <w:t>年通过《残疾人机会均等标准规则》。</w:t>
      </w:r>
      <w:r>
        <w:rPr>
          <w:rFonts w:hint="eastAsia"/>
          <w:lang w:val="en-GB"/>
        </w:rPr>
        <w:t>1996</w:t>
      </w:r>
      <w:r>
        <w:rPr>
          <w:rFonts w:hint="eastAsia"/>
          <w:lang w:val="en-GB"/>
        </w:rPr>
        <w:t>年，上议院</w:t>
      </w:r>
      <w:r>
        <w:rPr>
          <w:rFonts w:hint="eastAsia"/>
          <w:lang w:val="en-GB"/>
        </w:rPr>
        <w:t>(</w:t>
      </w:r>
      <w:r>
        <w:rPr>
          <w:lang w:val="en-GB"/>
        </w:rPr>
        <w:t>Inatsisartut</w:t>
      </w:r>
      <w:r>
        <w:rPr>
          <w:rFonts w:hint="eastAsia"/>
          <w:lang w:val="en-GB"/>
        </w:rPr>
        <w:t>)</w:t>
      </w:r>
      <w:r>
        <w:rPr>
          <w:rFonts w:hint="eastAsia"/>
          <w:lang w:val="en-GB"/>
        </w:rPr>
        <w:t>秋季大会一致同意贯彻实施联合国标准规则所含观点。格陵兰还加入了《欧洲人权公约》，因此有义务遵守第</w:t>
      </w:r>
      <w:r>
        <w:rPr>
          <w:rFonts w:hint="eastAsia"/>
          <w:lang w:val="en-GB"/>
        </w:rPr>
        <w:t>14</w:t>
      </w:r>
      <w:r>
        <w:rPr>
          <w:rFonts w:hint="eastAsia"/>
          <w:lang w:val="en-GB"/>
        </w:rPr>
        <w:t>条禁止歧视的规定。该条确保打击基于残疾的歧视。</w:t>
      </w:r>
    </w:p>
    <w:p w:rsidR="00D84D94" w:rsidRDefault="00D84D94">
      <w:pPr>
        <w:pStyle w:val="SingleTxtGC"/>
        <w:rPr>
          <w:rFonts w:hint="eastAsia"/>
          <w:lang w:val="en-GB"/>
        </w:rPr>
      </w:pPr>
      <w:r>
        <w:rPr>
          <w:lang w:val="en-GB"/>
        </w:rPr>
        <w:t xml:space="preserve">390.  </w:t>
      </w:r>
      <w:r>
        <w:rPr>
          <w:rFonts w:hint="eastAsia"/>
          <w:lang w:val="en-GB"/>
        </w:rPr>
        <w:t>格陵兰法律的一条基本原则是，残疾人享有与其他公民同等的法定权利和保护。</w:t>
      </w:r>
    </w:p>
    <w:p w:rsidR="00D84D94" w:rsidRDefault="00D84D94">
      <w:pPr>
        <w:pStyle w:val="SingleTxtGC"/>
        <w:rPr>
          <w:rFonts w:hint="eastAsia"/>
          <w:lang w:val="en-GB"/>
        </w:rPr>
      </w:pPr>
      <w:r>
        <w:rPr>
          <w:lang w:val="en-GB"/>
        </w:rPr>
        <w:t xml:space="preserve">391.  </w:t>
      </w:r>
      <w:r>
        <w:rPr>
          <w:rFonts w:hint="eastAsia"/>
          <w:lang w:val="en-GB"/>
        </w:rPr>
        <w:t>《行政档案公开获取法》和《案件处理法》适用于所有公民。公共当局有义务对所有公民一视同仁，无论其残疾与否。不允许出于残疾等原因，从主观上消极地歧视任何人。</w:t>
      </w:r>
    </w:p>
    <w:p w:rsidR="00D84D94" w:rsidRDefault="00D84D94">
      <w:pPr>
        <w:pStyle w:val="H1GC"/>
        <w:rPr>
          <w:rFonts w:hint="eastAsia"/>
          <w:lang w:val="en-GB"/>
        </w:rPr>
      </w:pPr>
      <w:r>
        <w:rPr>
          <w:lang w:val="en-GB"/>
        </w:rPr>
        <w:tab/>
      </w:r>
      <w:r>
        <w:rPr>
          <w:lang w:val="en-GB"/>
        </w:rPr>
        <w:tab/>
      </w:r>
      <w:r>
        <w:rPr>
          <w:rFonts w:hint="eastAsia"/>
          <w:lang w:val="en-GB"/>
        </w:rPr>
        <w:t>第六条</w:t>
      </w:r>
    </w:p>
    <w:p w:rsidR="00D84D94" w:rsidRDefault="00D84D94">
      <w:pPr>
        <w:pStyle w:val="SingleTxtGC"/>
        <w:rPr>
          <w:rFonts w:hint="eastAsia"/>
          <w:lang w:val="en-GB"/>
        </w:rPr>
      </w:pPr>
      <w:r>
        <w:rPr>
          <w:lang w:val="en-GB"/>
        </w:rPr>
        <w:t xml:space="preserve">392.  </w:t>
      </w:r>
      <w:r>
        <w:rPr>
          <w:rFonts w:hint="eastAsia"/>
          <w:lang w:val="en-GB"/>
        </w:rPr>
        <w:t>见本报告主要章节。</w:t>
      </w:r>
    </w:p>
    <w:p w:rsidR="00D84D94" w:rsidRDefault="00D84D94">
      <w:pPr>
        <w:pStyle w:val="H1GC"/>
        <w:rPr>
          <w:rFonts w:hint="eastAsia"/>
          <w:lang w:val="en-GB"/>
        </w:rPr>
      </w:pPr>
      <w:r>
        <w:rPr>
          <w:lang w:val="en-GB"/>
        </w:rPr>
        <w:tab/>
      </w:r>
      <w:r>
        <w:rPr>
          <w:lang w:val="en-GB"/>
        </w:rPr>
        <w:tab/>
      </w:r>
      <w:r>
        <w:rPr>
          <w:rFonts w:hint="eastAsia"/>
          <w:lang w:val="en-GB"/>
        </w:rPr>
        <w:t>第七条</w:t>
      </w:r>
    </w:p>
    <w:p w:rsidR="00D84D94" w:rsidRDefault="00D84D94">
      <w:pPr>
        <w:pStyle w:val="SingleTxtGC"/>
        <w:rPr>
          <w:rFonts w:hint="eastAsia"/>
          <w:lang w:val="en-GB"/>
        </w:rPr>
      </w:pPr>
      <w:r>
        <w:rPr>
          <w:lang w:val="en-GB"/>
        </w:rPr>
        <w:t xml:space="preserve">393.  </w:t>
      </w:r>
      <w:r>
        <w:rPr>
          <w:rFonts w:hint="eastAsia"/>
          <w:lang w:val="en-GB"/>
        </w:rPr>
        <w:t>儿童权利主要由关于援助儿童和青年人的格陵兰议会令规定。所采取的救济措施应以特定儿童的需求为依据。如果该儿童属于上述议会令的范畴之内，所提供的援助必须把他因残疾而产生的特殊需要作为出发点。</w:t>
      </w:r>
    </w:p>
    <w:p w:rsidR="00D84D94" w:rsidRDefault="00D84D94">
      <w:pPr>
        <w:pStyle w:val="SingleTxtGC"/>
        <w:rPr>
          <w:rFonts w:hint="eastAsia"/>
          <w:lang w:val="en-GB"/>
        </w:rPr>
      </w:pPr>
      <w:r>
        <w:rPr>
          <w:lang w:val="en-GB"/>
        </w:rPr>
        <w:t xml:space="preserve">394.  </w:t>
      </w:r>
      <w:r>
        <w:rPr>
          <w:rFonts w:hint="eastAsia"/>
          <w:lang w:val="en-GB"/>
        </w:rPr>
        <w:t>这项立法接受《联合国儿童权利公约》的原则。因此，对于肢体或心智功能减退的儿童和青年人的工作，力争有的放矢、及早行动。</w:t>
      </w:r>
    </w:p>
    <w:p w:rsidR="00D84D94" w:rsidRDefault="00D84D94">
      <w:pPr>
        <w:pStyle w:val="SingleTxtGC"/>
        <w:rPr>
          <w:rFonts w:hint="eastAsia"/>
          <w:lang w:val="en-GB"/>
        </w:rPr>
      </w:pPr>
      <w:r>
        <w:rPr>
          <w:lang w:val="en-GB"/>
        </w:rPr>
        <w:t xml:space="preserve">395.  </w:t>
      </w:r>
      <w:r>
        <w:rPr>
          <w:rFonts w:hint="eastAsia"/>
          <w:lang w:val="en-GB"/>
        </w:rPr>
        <w:t>若要做出会影响到某一儿童的决定，必须尽量与该儿童面谈。该儿童的意见必须得到考虑并根据其年龄和成熟度得到适当重视。如果该儿童未满</w:t>
      </w:r>
      <w:r>
        <w:rPr>
          <w:rFonts w:hint="eastAsia"/>
          <w:lang w:val="en-GB"/>
        </w:rPr>
        <w:t>10</w:t>
      </w:r>
      <w:r>
        <w:rPr>
          <w:rFonts w:hint="eastAsia"/>
          <w:lang w:val="en-GB"/>
        </w:rPr>
        <w:t>岁，必须在该儿童的成熟度和案件性质所需要的程度上，提供信息说明该儿童对于拟采取的救济措施的反应。如果该儿童属于关于援助重残人员的格陵兰议会令的范畴之内，可以按该立法的规定给予他救济措施。</w:t>
      </w:r>
    </w:p>
    <w:p w:rsidR="00D84D94" w:rsidRDefault="00D84D94">
      <w:pPr>
        <w:pStyle w:val="H1GC"/>
        <w:rPr>
          <w:rFonts w:hint="eastAsia"/>
          <w:lang w:val="en-GB"/>
        </w:rPr>
      </w:pPr>
      <w:r>
        <w:rPr>
          <w:lang w:val="en-GB"/>
        </w:rPr>
        <w:tab/>
      </w:r>
      <w:r>
        <w:rPr>
          <w:lang w:val="en-GB"/>
        </w:rPr>
        <w:tab/>
      </w:r>
      <w:r>
        <w:rPr>
          <w:rFonts w:hint="eastAsia"/>
          <w:lang w:val="en-GB"/>
        </w:rPr>
        <w:t>第八条</w:t>
      </w:r>
    </w:p>
    <w:p w:rsidR="00D84D94" w:rsidRDefault="00D84D94">
      <w:pPr>
        <w:pStyle w:val="SingleTxtGC"/>
        <w:rPr>
          <w:rFonts w:hint="eastAsia"/>
          <w:lang w:val="en-GB"/>
        </w:rPr>
      </w:pPr>
      <w:r>
        <w:rPr>
          <w:lang w:val="en-GB"/>
        </w:rPr>
        <w:t xml:space="preserve">396.  </w:t>
      </w:r>
      <w:r>
        <w:rPr>
          <w:rFonts w:hint="eastAsia"/>
          <w:lang w:val="en-GB"/>
        </w:rPr>
        <w:t>在家庭、文化、教会和平等部内设立了一个专门部门</w:t>
      </w:r>
      <w:r>
        <w:rPr>
          <w:rFonts w:hint="eastAsia"/>
          <w:spacing w:val="-60"/>
          <w:lang w:val="en-GB"/>
        </w:rPr>
        <w:t>―</w:t>
      </w:r>
      <w:r>
        <w:rPr>
          <w:rFonts w:hint="eastAsia"/>
          <w:spacing w:val="10"/>
          <w:lang w:val="en-GB"/>
        </w:rPr>
        <w:t>―</w:t>
      </w:r>
      <w:r>
        <w:rPr>
          <w:rFonts w:hint="eastAsia"/>
          <w:lang w:val="en-GB"/>
        </w:rPr>
        <w:t>IPIS</w:t>
      </w:r>
      <w:r>
        <w:rPr>
          <w:rFonts w:hint="eastAsia"/>
          <w:lang w:val="en-GB"/>
        </w:rPr>
        <w:t>，作为残疾方面的知识和咨询中心。</w:t>
      </w:r>
      <w:r>
        <w:rPr>
          <w:lang w:val="en-GB"/>
        </w:rPr>
        <w:t>IPIS</w:t>
      </w:r>
      <w:r>
        <w:rPr>
          <w:rFonts w:hint="eastAsia"/>
          <w:lang w:val="en-GB"/>
        </w:rPr>
        <w:t>主要面向残疾人、其亲属、专业人员和相关机构。</w:t>
      </w:r>
      <w:r>
        <w:rPr>
          <w:lang w:val="en-GB"/>
        </w:rPr>
        <w:t>IPIS</w:t>
      </w:r>
      <w:r>
        <w:rPr>
          <w:rFonts w:hint="eastAsia"/>
          <w:lang w:val="en-GB"/>
        </w:rPr>
        <w:t>的咨询职能经过调整，以适应格陵兰的具体情况。联系</w:t>
      </w:r>
      <w:r>
        <w:rPr>
          <w:rFonts w:hint="eastAsia"/>
          <w:lang w:val="en-GB"/>
        </w:rPr>
        <w:t>IPIS</w:t>
      </w:r>
      <w:r>
        <w:rPr>
          <w:rFonts w:hint="eastAsia"/>
          <w:lang w:val="en-GB"/>
        </w:rPr>
        <w:t>可通过其网站：</w:t>
      </w:r>
      <w:r>
        <w:rPr>
          <w:lang w:val="en-GB"/>
        </w:rPr>
        <w:t>www.IPIS.gl</w:t>
      </w:r>
      <w:r>
        <w:rPr>
          <w:rFonts w:hint="eastAsia"/>
          <w:lang w:val="en-GB"/>
        </w:rPr>
        <w:t>。</w:t>
      </w:r>
    </w:p>
    <w:p w:rsidR="00D84D94" w:rsidRDefault="00D84D94">
      <w:pPr>
        <w:pStyle w:val="H1GC"/>
        <w:rPr>
          <w:rFonts w:hint="eastAsia"/>
          <w:lang w:val="en-GB"/>
        </w:rPr>
      </w:pPr>
      <w:r>
        <w:rPr>
          <w:lang w:val="en-GB"/>
        </w:rPr>
        <w:tab/>
      </w:r>
      <w:r>
        <w:rPr>
          <w:lang w:val="en-GB"/>
        </w:rPr>
        <w:tab/>
      </w:r>
      <w:r>
        <w:rPr>
          <w:rFonts w:hint="eastAsia"/>
          <w:lang w:val="en-GB"/>
        </w:rPr>
        <w:t>第九条</w:t>
      </w:r>
    </w:p>
    <w:p w:rsidR="00D84D94" w:rsidRDefault="00D84D94">
      <w:pPr>
        <w:pStyle w:val="H23GC"/>
        <w:rPr>
          <w:rFonts w:hint="eastAsia"/>
          <w:lang w:val="en-GB"/>
        </w:rPr>
      </w:pPr>
      <w:r>
        <w:rPr>
          <w:lang w:val="en-GB"/>
        </w:rPr>
        <w:tab/>
      </w:r>
      <w:r>
        <w:rPr>
          <w:lang w:val="en-GB"/>
        </w:rPr>
        <w:tab/>
      </w:r>
      <w:r>
        <w:rPr>
          <w:rFonts w:hint="eastAsia"/>
          <w:lang w:val="en-GB"/>
        </w:rPr>
        <w:t>楼房建筑</w:t>
      </w:r>
    </w:p>
    <w:p w:rsidR="00D84D94" w:rsidRDefault="00D84D94">
      <w:pPr>
        <w:pStyle w:val="SingleTxtGC"/>
        <w:rPr>
          <w:rFonts w:hint="eastAsia"/>
          <w:lang w:val="en-GB"/>
        </w:rPr>
      </w:pPr>
      <w:r>
        <w:rPr>
          <w:lang w:val="en-GB"/>
        </w:rPr>
        <w:t xml:space="preserve">397.  </w:t>
      </w:r>
      <w:r>
        <w:rPr>
          <w:rFonts w:hint="eastAsia"/>
          <w:lang w:val="en-GB"/>
        </w:rPr>
        <w:t>建筑条例可对住房的建设和布局作出规定，以确保其布局以及永久性建筑和设施设计合理，残疾人可以使用。</w:t>
      </w:r>
    </w:p>
    <w:p w:rsidR="00D84D94" w:rsidRDefault="00D84D94">
      <w:pPr>
        <w:pStyle w:val="SingleTxtGC"/>
        <w:rPr>
          <w:rFonts w:hint="eastAsia"/>
          <w:lang w:val="en-GB"/>
        </w:rPr>
      </w:pPr>
      <w:r>
        <w:rPr>
          <w:lang w:val="en-GB"/>
        </w:rPr>
        <w:t xml:space="preserve">398.  </w:t>
      </w:r>
      <w:r>
        <w:rPr>
          <w:rFonts w:hint="eastAsia"/>
          <w:lang w:val="en-GB"/>
        </w:rPr>
        <w:t>建筑条例可规定，若要改造现有建筑或对其进行其他改变，即使计划进行的改造或改变并不影响该建筑的无障碍设施，也必须适用无障碍规则。对于建设规划项目的各种支出之间的财务协调，以及确保这些支出之间不会不成比例的费用，可以作出规定。这种规定可涵盖公众出入的建筑、商业建筑和服务设施。</w:t>
      </w:r>
    </w:p>
    <w:p w:rsidR="00D84D94" w:rsidRDefault="00D84D94">
      <w:pPr>
        <w:pStyle w:val="SingleTxtGC"/>
        <w:rPr>
          <w:rFonts w:hint="eastAsia"/>
          <w:lang w:val="en-GB"/>
        </w:rPr>
      </w:pPr>
      <w:r>
        <w:rPr>
          <w:lang w:val="en-GB"/>
        </w:rPr>
        <w:t xml:space="preserve">399.  </w:t>
      </w:r>
      <w:r>
        <w:rPr>
          <w:rFonts w:hint="eastAsia"/>
          <w:lang w:val="en-GB"/>
        </w:rPr>
        <w:t>上述规定尚未获得批准，但是为即将进行的建筑条例修订工作启动了一项试验研究。</w:t>
      </w:r>
    </w:p>
    <w:p w:rsidR="00D84D94" w:rsidRDefault="00D84D94">
      <w:pPr>
        <w:pStyle w:val="H23GC"/>
        <w:rPr>
          <w:rFonts w:hint="eastAsia"/>
          <w:lang w:val="en-GB"/>
        </w:rPr>
      </w:pPr>
      <w:r>
        <w:rPr>
          <w:lang w:val="en-GB"/>
        </w:rPr>
        <w:tab/>
      </w:r>
      <w:r>
        <w:rPr>
          <w:lang w:val="en-GB"/>
        </w:rPr>
        <w:tab/>
      </w:r>
      <w:r>
        <w:rPr>
          <w:rFonts w:hint="eastAsia"/>
          <w:lang w:val="en-GB"/>
        </w:rPr>
        <w:t>公共建筑</w:t>
      </w:r>
    </w:p>
    <w:p w:rsidR="00D84D94" w:rsidRDefault="00D84D94">
      <w:pPr>
        <w:pStyle w:val="SingleTxtGC"/>
        <w:rPr>
          <w:rFonts w:hint="eastAsia"/>
          <w:lang w:val="en-GB"/>
        </w:rPr>
      </w:pPr>
      <w:r>
        <w:rPr>
          <w:lang w:val="en-GB"/>
        </w:rPr>
        <w:t xml:space="preserve">400.  </w:t>
      </w:r>
      <w:r>
        <w:rPr>
          <w:rFonts w:hint="eastAsia"/>
          <w:lang w:val="en-GB"/>
        </w:rPr>
        <w:t>2006</w:t>
      </w:r>
      <w:r>
        <w:rPr>
          <w:rFonts w:hint="eastAsia"/>
          <w:lang w:val="en-GB"/>
        </w:rPr>
        <w:t>年《丹麦建筑条例》</w:t>
      </w:r>
      <w:r>
        <w:rPr>
          <w:rFonts w:hint="eastAsia"/>
          <w:lang w:val="en-GB"/>
        </w:rPr>
        <w:t>(</w:t>
      </w:r>
      <w:r>
        <w:rPr>
          <w:lang w:val="en-GB"/>
        </w:rPr>
        <w:t>BR06</w:t>
      </w:r>
      <w:r>
        <w:rPr>
          <w:rFonts w:hint="eastAsia"/>
          <w:lang w:val="en-GB"/>
        </w:rPr>
        <w:t>)</w:t>
      </w:r>
      <w:r>
        <w:rPr>
          <w:rFonts w:hint="eastAsia"/>
          <w:lang w:val="en-GB"/>
        </w:rPr>
        <w:t>列出了对建筑的一般性无障碍要求。总体上看，许多公共服务部门都设在较旧的楼房中，这些楼房在建筑时没有考虑到残疾人的无障碍问题。因此，在这些楼房中只能为残疾人进行一些细小的无障碍改造，例如修建坡道。</w:t>
      </w:r>
    </w:p>
    <w:p w:rsidR="00D84D94" w:rsidRDefault="00D84D94">
      <w:pPr>
        <w:pStyle w:val="SingleTxtGC"/>
        <w:rPr>
          <w:rFonts w:hint="eastAsia"/>
          <w:lang w:val="en-GB"/>
        </w:rPr>
      </w:pPr>
      <w:r>
        <w:rPr>
          <w:lang w:val="en-GB"/>
        </w:rPr>
        <w:t xml:space="preserve">401.  </w:t>
      </w:r>
      <w:r>
        <w:rPr>
          <w:rFonts w:hint="eastAsia"/>
          <w:lang w:val="en-GB"/>
        </w:rPr>
        <w:t>2010</w:t>
      </w:r>
      <w:r>
        <w:rPr>
          <w:rFonts w:hint="eastAsia"/>
          <w:lang w:val="en-GB"/>
        </w:rPr>
        <w:t>年和</w:t>
      </w:r>
      <w:r>
        <w:rPr>
          <w:rFonts w:hint="eastAsia"/>
          <w:lang w:val="en-GB"/>
        </w:rPr>
        <w:t>2011</w:t>
      </w:r>
      <w:r>
        <w:rPr>
          <w:rFonts w:hint="eastAsia"/>
          <w:lang w:val="en-GB"/>
        </w:rPr>
        <w:t>年，住房、交通和基础设施部为有关方面</w:t>
      </w:r>
      <w:r>
        <w:rPr>
          <w:rFonts w:hint="eastAsia"/>
          <w:lang w:val="en-GB"/>
        </w:rPr>
        <w:t>(</w:t>
      </w:r>
      <w:r>
        <w:rPr>
          <w:rFonts w:hint="eastAsia"/>
          <w:lang w:val="en-GB"/>
        </w:rPr>
        <w:t>客户、项目经理和建筑商</w:t>
      </w:r>
      <w:r>
        <w:rPr>
          <w:rFonts w:hint="eastAsia"/>
          <w:lang w:val="en-GB"/>
        </w:rPr>
        <w:t>)</w:t>
      </w:r>
      <w:r>
        <w:rPr>
          <w:rFonts w:hint="eastAsia"/>
          <w:lang w:val="en-GB"/>
        </w:rPr>
        <w:t>举办课程，介绍残疾人面临的问题。课程的目的是确保未来建筑更多地考虑到残疾人。</w:t>
      </w:r>
    </w:p>
    <w:p w:rsidR="00D84D94" w:rsidRDefault="00D84D94">
      <w:pPr>
        <w:pStyle w:val="H23GC"/>
        <w:rPr>
          <w:rFonts w:hint="eastAsia"/>
          <w:lang w:val="en-GB"/>
        </w:rPr>
      </w:pPr>
      <w:r>
        <w:rPr>
          <w:lang w:val="en-GB"/>
        </w:rPr>
        <w:tab/>
      </w:r>
      <w:r>
        <w:rPr>
          <w:lang w:val="en-GB"/>
        </w:rPr>
        <w:tab/>
      </w:r>
      <w:r>
        <w:rPr>
          <w:rFonts w:hint="eastAsia"/>
          <w:lang w:val="en-GB"/>
        </w:rPr>
        <w:t>特别减让计划</w:t>
      </w:r>
    </w:p>
    <w:p w:rsidR="00D84D94" w:rsidRDefault="00D84D94">
      <w:pPr>
        <w:pStyle w:val="SingleTxtGC"/>
        <w:rPr>
          <w:rFonts w:hint="eastAsia"/>
          <w:lang w:val="en-GB"/>
        </w:rPr>
      </w:pPr>
      <w:r>
        <w:rPr>
          <w:lang w:val="en-GB"/>
        </w:rPr>
        <w:t xml:space="preserve">402.  </w:t>
      </w:r>
      <w:r>
        <w:rPr>
          <w:rFonts w:hint="eastAsia"/>
          <w:lang w:val="en-GB"/>
        </w:rPr>
        <w:t>在服务合约方面，残疾人没有专门补贴。在这方面，残疾人获得同其他人相同的票价补贴。不过，关于援助残疾人的格陵兰议会令允许公共当局作为一项救济措施，给予残疾人部分或全部交通补贴。</w:t>
      </w:r>
    </w:p>
    <w:p w:rsidR="00D84D94" w:rsidRDefault="00D84D94">
      <w:pPr>
        <w:pStyle w:val="SingleTxtGC"/>
        <w:rPr>
          <w:rFonts w:hint="eastAsia"/>
          <w:lang w:val="en-GB"/>
        </w:rPr>
      </w:pPr>
      <w:r>
        <w:rPr>
          <w:lang w:val="en-GB"/>
        </w:rPr>
        <w:t xml:space="preserve">403.  </w:t>
      </w:r>
      <w:r>
        <w:rPr>
          <w:rFonts w:hint="eastAsia"/>
          <w:lang w:val="en-GB"/>
        </w:rPr>
        <w:t>出示养老金领取证，</w:t>
      </w:r>
      <w:r>
        <w:rPr>
          <w:lang w:val="en-GB"/>
        </w:rPr>
        <w:t>Arctic Umiaq Line</w:t>
      </w:r>
      <w:r>
        <w:rPr>
          <w:rFonts w:hint="eastAsia"/>
          <w:lang w:val="en-GB"/>
        </w:rPr>
        <w:t>可打折。对于陪伴盲人乘坐</w:t>
      </w:r>
      <w:r>
        <w:rPr>
          <w:lang w:val="en-GB"/>
        </w:rPr>
        <w:t>Arctic Umiaq Line</w:t>
      </w:r>
      <w:r>
        <w:rPr>
          <w:rFonts w:hint="eastAsia"/>
          <w:lang w:val="en-GB"/>
        </w:rPr>
        <w:t>的人，也可打折。格陵兰航空公司允许陪伴盲人者免费旅行。</w:t>
      </w:r>
    </w:p>
    <w:p w:rsidR="00D84D94" w:rsidRDefault="00D84D94">
      <w:pPr>
        <w:pStyle w:val="H23GC"/>
        <w:rPr>
          <w:rFonts w:hint="eastAsia"/>
          <w:lang w:val="en-GB"/>
        </w:rPr>
      </w:pPr>
      <w:r>
        <w:rPr>
          <w:lang w:val="en-GB"/>
        </w:rPr>
        <w:tab/>
      </w:r>
      <w:r>
        <w:rPr>
          <w:lang w:val="en-GB"/>
        </w:rPr>
        <w:tab/>
      </w:r>
      <w:r>
        <w:rPr>
          <w:rFonts w:hint="eastAsia"/>
          <w:lang w:val="en-GB"/>
        </w:rPr>
        <w:t>空运和海运</w:t>
      </w:r>
    </w:p>
    <w:p w:rsidR="00D84D94" w:rsidRDefault="00D84D94">
      <w:pPr>
        <w:pStyle w:val="SingleTxtGC"/>
        <w:rPr>
          <w:rFonts w:hint="eastAsia"/>
          <w:lang w:val="en-GB"/>
        </w:rPr>
      </w:pPr>
      <w:r>
        <w:rPr>
          <w:lang w:val="en-GB"/>
        </w:rPr>
        <w:t xml:space="preserve">404.  </w:t>
      </w:r>
      <w:r>
        <w:rPr>
          <w:rFonts w:hint="eastAsia"/>
          <w:lang w:val="en-GB"/>
        </w:rPr>
        <w:t>在空运和海运领域，格陵兰没有专门立法确保有特种肢体残疾或心智障碍者享用这种运输的平等机会。格陵兰没有收回航空权，航空领域由运输部下属的丹麦运输局管理。格陵兰没有收回海运权，海运由丹麦海事局管理。</w:t>
      </w:r>
    </w:p>
    <w:p w:rsidR="00D84D94" w:rsidRDefault="00D84D94">
      <w:pPr>
        <w:pStyle w:val="H23GC"/>
        <w:rPr>
          <w:rFonts w:hint="eastAsia"/>
          <w:lang w:val="en-GB"/>
        </w:rPr>
      </w:pPr>
      <w:r>
        <w:rPr>
          <w:lang w:val="en-GB"/>
        </w:rPr>
        <w:tab/>
      </w:r>
      <w:r>
        <w:rPr>
          <w:lang w:val="en-GB"/>
        </w:rPr>
        <w:tab/>
      </w:r>
      <w:r>
        <w:rPr>
          <w:rFonts w:hint="eastAsia"/>
          <w:lang w:val="en-GB"/>
        </w:rPr>
        <w:t>法院的无障碍物质环境</w:t>
      </w:r>
    </w:p>
    <w:p w:rsidR="00D84D94" w:rsidRDefault="00D84D94">
      <w:pPr>
        <w:pStyle w:val="SingleTxtGC"/>
        <w:rPr>
          <w:rFonts w:hint="eastAsia"/>
          <w:lang w:val="en-GB"/>
        </w:rPr>
      </w:pPr>
      <w:r>
        <w:rPr>
          <w:lang w:val="en-GB"/>
        </w:rPr>
        <w:t xml:space="preserve">405.  </w:t>
      </w:r>
      <w:r>
        <w:rPr>
          <w:rFonts w:hint="eastAsia"/>
          <w:lang w:val="en-GB"/>
        </w:rPr>
        <w:t>由于历史原因，法院都设在老建筑中，那里在建设时并没有考虑到残疾人的无障碍问题。在这些法院建筑中，只可能为残疾人做一点点无障碍改进，例如增设可拆卸的坡道。</w:t>
      </w:r>
    </w:p>
    <w:p w:rsidR="00D84D94" w:rsidRDefault="00D84D94">
      <w:pPr>
        <w:pStyle w:val="SingleTxtGC"/>
        <w:rPr>
          <w:rFonts w:hint="eastAsia"/>
          <w:lang w:val="en-GB"/>
        </w:rPr>
      </w:pPr>
      <w:r>
        <w:rPr>
          <w:lang w:val="en-GB"/>
        </w:rPr>
        <w:t xml:space="preserve">406.  </w:t>
      </w:r>
      <w:r>
        <w:rPr>
          <w:rFonts w:hint="eastAsia"/>
          <w:lang w:val="en-GB"/>
        </w:rPr>
        <w:t>法院建筑近几年没有进行大规模整修。然而多年来，格陵兰司法系统在改换楼房建筑时都力争考虑到残疾人的无障碍问题，包括通过缔结新的租约和对新建活动提出要求，不过财政框架限制了这些活动的范围。法院系统还设法使残疾人能够进入老楼：迄今在锡西米尤特的地方法院以及努克的行政和课程部入口采取了措施。</w:t>
      </w:r>
    </w:p>
    <w:p w:rsidR="00D84D94" w:rsidRDefault="00D84D94">
      <w:pPr>
        <w:pStyle w:val="SingleTxtGC"/>
        <w:rPr>
          <w:rFonts w:hint="eastAsia"/>
          <w:lang w:val="en-GB"/>
        </w:rPr>
      </w:pPr>
      <w:r>
        <w:rPr>
          <w:lang w:val="en-GB"/>
        </w:rPr>
        <w:t xml:space="preserve">407.  </w:t>
      </w:r>
      <w:r>
        <w:rPr>
          <w:rFonts w:hint="eastAsia"/>
          <w:lang w:val="en-GB"/>
        </w:rPr>
        <w:t>若案件的当事方或证人是乘坐轮椅者并且不能通过可拆卸坡道等设施进入法院厅室，法院通常会请人来为其提供必要援助。</w:t>
      </w:r>
    </w:p>
    <w:p w:rsidR="00D84D94" w:rsidRDefault="00D84D94">
      <w:pPr>
        <w:pStyle w:val="H1GC"/>
        <w:rPr>
          <w:rFonts w:hint="eastAsia"/>
          <w:lang w:val="en-GB"/>
        </w:rPr>
      </w:pPr>
      <w:r>
        <w:rPr>
          <w:lang w:val="en-GB"/>
        </w:rPr>
        <w:tab/>
      </w:r>
      <w:r>
        <w:rPr>
          <w:lang w:val="en-GB"/>
        </w:rPr>
        <w:tab/>
      </w:r>
      <w:r>
        <w:rPr>
          <w:rFonts w:hint="eastAsia"/>
          <w:lang w:val="en-GB"/>
        </w:rPr>
        <w:t>第十条</w:t>
      </w:r>
    </w:p>
    <w:p w:rsidR="00D84D94" w:rsidRDefault="00D84D94">
      <w:pPr>
        <w:pStyle w:val="SingleTxtGC"/>
        <w:rPr>
          <w:rFonts w:hint="eastAsia"/>
          <w:lang w:val="en-GB"/>
        </w:rPr>
      </w:pPr>
      <w:r>
        <w:rPr>
          <w:lang w:val="en-GB"/>
        </w:rPr>
        <w:t xml:space="preserve">408.  </w:t>
      </w:r>
      <w:r>
        <w:rPr>
          <w:rFonts w:hint="eastAsia"/>
          <w:lang w:val="en-GB"/>
        </w:rPr>
        <w:t>根据《欧洲人权公约》第</w:t>
      </w:r>
      <w:r>
        <w:rPr>
          <w:rFonts w:hint="eastAsia"/>
          <w:lang w:val="en-GB"/>
        </w:rPr>
        <w:t>2</w:t>
      </w:r>
      <w:r>
        <w:rPr>
          <w:rFonts w:hint="eastAsia"/>
          <w:lang w:val="en-GB"/>
        </w:rPr>
        <w:t>条，人人享有固有的生命权。</w:t>
      </w:r>
    </w:p>
    <w:p w:rsidR="00D84D94" w:rsidRDefault="00D84D94">
      <w:pPr>
        <w:pStyle w:val="SingleTxtGC"/>
        <w:rPr>
          <w:rFonts w:hint="eastAsia"/>
          <w:lang w:val="en-GB"/>
        </w:rPr>
      </w:pPr>
      <w:r>
        <w:rPr>
          <w:lang w:val="en-GB"/>
        </w:rPr>
        <w:t xml:space="preserve">409.  </w:t>
      </w:r>
      <w:r>
        <w:rPr>
          <w:rFonts w:hint="eastAsia"/>
          <w:lang w:val="en-GB"/>
        </w:rPr>
        <w:t>根据堕胎法，居住在格陵兰的妇女有权进行人工流产，但堕胎手术须在怀孕满</w:t>
      </w:r>
      <w:r>
        <w:rPr>
          <w:rFonts w:hint="eastAsia"/>
          <w:lang w:val="en-GB"/>
        </w:rPr>
        <w:t>12</w:t>
      </w:r>
      <w:r>
        <w:rPr>
          <w:rFonts w:hint="eastAsia"/>
          <w:lang w:val="en-GB"/>
        </w:rPr>
        <w:t>周之前施行。在</w:t>
      </w:r>
      <w:r>
        <w:rPr>
          <w:lang w:val="en-GB"/>
        </w:rPr>
        <w:t>情有可原的</w:t>
      </w:r>
      <w:r>
        <w:rPr>
          <w:rFonts w:hint="eastAsia"/>
          <w:lang w:val="en-GB"/>
        </w:rPr>
        <w:t>情况下，该时限可予以延长，例如当由于基因问题或孕妇在孕期患病，胎儿有可能患有严重的身体或精神疾病时。</w:t>
      </w:r>
    </w:p>
    <w:p w:rsidR="00D84D94" w:rsidRDefault="00D84D94">
      <w:pPr>
        <w:pStyle w:val="SingleTxtGC"/>
        <w:rPr>
          <w:rFonts w:hint="eastAsia"/>
          <w:lang w:val="en-GB"/>
        </w:rPr>
      </w:pPr>
      <w:r>
        <w:rPr>
          <w:lang w:val="en-GB"/>
        </w:rPr>
        <w:t xml:space="preserve">410.  </w:t>
      </w:r>
      <w:r>
        <w:rPr>
          <w:rFonts w:hint="eastAsia"/>
          <w:lang w:val="en-GB"/>
        </w:rPr>
        <w:t>在施行堕胎手术之前必须告知孕妇，她可以与地区社会委员会联系，咨询其有哪些选择可在整个怀孕期间和产后得到支助。</w:t>
      </w:r>
    </w:p>
    <w:p w:rsidR="00D84D94" w:rsidRDefault="00D84D94">
      <w:pPr>
        <w:pStyle w:val="H1GC"/>
        <w:rPr>
          <w:rFonts w:hint="eastAsia"/>
          <w:lang w:val="en-GB"/>
        </w:rPr>
      </w:pPr>
      <w:r>
        <w:rPr>
          <w:lang w:val="en-GB"/>
        </w:rPr>
        <w:tab/>
      </w:r>
      <w:r>
        <w:rPr>
          <w:lang w:val="en-GB"/>
        </w:rPr>
        <w:tab/>
      </w:r>
      <w:r>
        <w:rPr>
          <w:rFonts w:hint="eastAsia"/>
          <w:lang w:val="en-GB"/>
        </w:rPr>
        <w:t>第十二条</w:t>
      </w:r>
    </w:p>
    <w:p w:rsidR="00D84D94" w:rsidRDefault="00D84D94">
      <w:pPr>
        <w:pStyle w:val="SingleTxtGC"/>
        <w:rPr>
          <w:rFonts w:hint="eastAsia"/>
          <w:lang w:val="en-GB"/>
        </w:rPr>
      </w:pPr>
      <w:r>
        <w:rPr>
          <w:lang w:val="en-GB"/>
        </w:rPr>
        <w:t xml:space="preserve">411.  </w:t>
      </w:r>
      <w:r>
        <w:rPr>
          <w:rFonts w:hint="eastAsia"/>
          <w:lang w:val="en-GB"/>
        </w:rPr>
        <w:t>根据格陵兰法律，残疾人拥有与其他人相同的在法律面前得到承认的权利和法律权利能力。若某一残疾人没有能力代表自己行事，《法定监护法》规定可以剥夺该人在法律面前得到承认的权利和法律权利能力，并指定一位法定监护人取而代之。在某一成年人由于精神疾病、心智发育不全或其他方面的</w:t>
      </w:r>
      <w:r>
        <w:rPr>
          <w:lang w:val="en-GB"/>
        </w:rPr>
        <w:t>衰弱</w:t>
      </w:r>
      <w:r>
        <w:rPr>
          <w:rFonts w:hint="eastAsia"/>
          <w:lang w:val="en-GB"/>
        </w:rPr>
        <w:t>而无法保护自身利益的情况下，监护可能是适宜的。</w:t>
      </w:r>
    </w:p>
    <w:p w:rsidR="00D84D94" w:rsidRDefault="00D84D94">
      <w:pPr>
        <w:pStyle w:val="H1GC"/>
        <w:rPr>
          <w:rFonts w:hint="eastAsia"/>
          <w:lang w:val="en-GB"/>
        </w:rPr>
      </w:pPr>
      <w:r>
        <w:rPr>
          <w:lang w:val="en-GB"/>
        </w:rPr>
        <w:tab/>
      </w:r>
      <w:r>
        <w:rPr>
          <w:lang w:val="en-GB"/>
        </w:rPr>
        <w:tab/>
      </w:r>
      <w:r>
        <w:rPr>
          <w:rFonts w:hint="eastAsia"/>
          <w:lang w:val="en-GB"/>
        </w:rPr>
        <w:t>第十三条</w:t>
      </w:r>
    </w:p>
    <w:p w:rsidR="00D84D94" w:rsidRDefault="00D84D94">
      <w:pPr>
        <w:pStyle w:val="SingleTxtGC"/>
        <w:rPr>
          <w:rFonts w:hint="eastAsia"/>
          <w:lang w:val="en-GB"/>
        </w:rPr>
      </w:pPr>
      <w:r>
        <w:rPr>
          <w:lang w:val="en-GB"/>
        </w:rPr>
        <w:t xml:space="preserve">412.  </w:t>
      </w:r>
      <w:r>
        <w:rPr>
          <w:rFonts w:hint="eastAsia"/>
          <w:lang w:val="en-GB"/>
        </w:rPr>
        <w:t>《格陵兰司法行政法》规定了</w:t>
      </w:r>
      <w:r>
        <w:rPr>
          <w:lang w:val="en-GB"/>
        </w:rPr>
        <w:t>司法救助</w:t>
      </w:r>
      <w:r>
        <w:rPr>
          <w:rFonts w:hint="eastAsia"/>
          <w:lang w:val="en-GB"/>
        </w:rPr>
        <w:t>的规则。根据该法，残疾人享有与其他人相同的权利。</w:t>
      </w:r>
    </w:p>
    <w:p w:rsidR="00D84D94" w:rsidRDefault="00D84D94">
      <w:pPr>
        <w:pStyle w:val="SingleTxtGC"/>
        <w:rPr>
          <w:rFonts w:hint="eastAsia"/>
          <w:lang w:val="en-GB"/>
        </w:rPr>
      </w:pPr>
      <w:r>
        <w:rPr>
          <w:lang w:val="en-GB"/>
        </w:rPr>
        <w:t xml:space="preserve">413.  </w:t>
      </w:r>
      <w:r>
        <w:rPr>
          <w:rFonts w:hint="eastAsia"/>
          <w:lang w:val="en-GB"/>
        </w:rPr>
        <w:t>对残疾人可酌情给予特别支助。例如，在通常不需要指定法律顾问的情况下，若认为由于被告有心智障碍等原因指定一名法律顾问对他而言是合适的，法院就可以指定。必要时，残疾人可以带着支助人员出席庭审。</w:t>
      </w:r>
    </w:p>
    <w:p w:rsidR="00D84D94" w:rsidRDefault="00D84D94">
      <w:pPr>
        <w:pStyle w:val="H1GC"/>
        <w:rPr>
          <w:rFonts w:hint="eastAsia"/>
          <w:lang w:val="en-GB"/>
        </w:rPr>
      </w:pPr>
      <w:r>
        <w:rPr>
          <w:lang w:val="en-GB"/>
        </w:rPr>
        <w:tab/>
      </w:r>
      <w:r>
        <w:rPr>
          <w:lang w:val="en-GB"/>
        </w:rPr>
        <w:tab/>
      </w:r>
      <w:r>
        <w:rPr>
          <w:rFonts w:hint="eastAsia"/>
          <w:lang w:val="en-GB"/>
        </w:rPr>
        <w:t>第十四条</w:t>
      </w:r>
    </w:p>
    <w:p w:rsidR="00D84D94" w:rsidRDefault="00D84D94">
      <w:pPr>
        <w:pStyle w:val="SingleTxtGC"/>
        <w:rPr>
          <w:rFonts w:hint="eastAsia"/>
          <w:lang w:val="en-GB"/>
        </w:rPr>
      </w:pPr>
      <w:r>
        <w:rPr>
          <w:lang w:val="en-GB"/>
        </w:rPr>
        <w:t xml:space="preserve">414.  </w:t>
      </w:r>
      <w:r>
        <w:rPr>
          <w:rFonts w:hint="eastAsia"/>
          <w:lang w:val="en-GB"/>
        </w:rPr>
        <w:t>根据格陵兰法律，残疾人享有与其他人同等的自由和人身安全权利，享有</w:t>
      </w:r>
      <w:r>
        <w:rPr>
          <w:rFonts w:hint="eastAsia"/>
          <w:spacing w:val="-6"/>
          <w:lang w:val="en-GB"/>
        </w:rPr>
        <w:t>平等保护，不被任意剥夺自由；见《丹麦王国宪法》和《欧洲人权公约》第</w:t>
      </w:r>
      <w:r>
        <w:rPr>
          <w:rFonts w:hint="eastAsia"/>
          <w:spacing w:val="-6"/>
          <w:lang w:val="en-GB"/>
        </w:rPr>
        <w:t>5</w:t>
      </w:r>
      <w:r>
        <w:rPr>
          <w:rFonts w:hint="eastAsia"/>
          <w:spacing w:val="-6"/>
          <w:lang w:val="en-GB"/>
        </w:rPr>
        <w:t>条。</w:t>
      </w:r>
    </w:p>
    <w:p w:rsidR="00D84D94" w:rsidRDefault="00D84D94">
      <w:pPr>
        <w:pStyle w:val="H23GC"/>
        <w:rPr>
          <w:lang w:val="en-GB"/>
        </w:rPr>
      </w:pPr>
      <w:r>
        <w:rPr>
          <w:lang w:val="en-GB"/>
        </w:rPr>
        <w:tab/>
      </w:r>
      <w:r>
        <w:rPr>
          <w:lang w:val="en-GB"/>
        </w:rPr>
        <w:tab/>
      </w:r>
      <w:r>
        <w:rPr>
          <w:rFonts w:hint="eastAsia"/>
          <w:lang w:val="en-GB"/>
        </w:rPr>
        <w:t>根据丹麦社会立法使用武力</w:t>
      </w:r>
    </w:p>
    <w:p w:rsidR="00D84D94" w:rsidRDefault="00D84D94">
      <w:pPr>
        <w:pStyle w:val="SingleTxtGC"/>
        <w:rPr>
          <w:rFonts w:hint="eastAsia"/>
          <w:lang w:val="en-GB"/>
        </w:rPr>
      </w:pPr>
      <w:r>
        <w:rPr>
          <w:lang w:val="en-GB"/>
        </w:rPr>
        <w:t xml:space="preserve">415.  </w:t>
      </w:r>
      <w:r>
        <w:rPr>
          <w:rFonts w:hint="eastAsia"/>
          <w:lang w:val="en-GB"/>
        </w:rPr>
        <w:t>社会立法规定不得使用武力。在某些情况下，为保护某个人免遭其本人或他人伤害，有必要使用武力。在这种情况下，自卫根据《刑法》是正当的。</w:t>
      </w:r>
    </w:p>
    <w:p w:rsidR="00D84D94" w:rsidRDefault="00D84D94">
      <w:pPr>
        <w:pStyle w:val="SingleTxtGC"/>
        <w:rPr>
          <w:rFonts w:hint="eastAsia"/>
          <w:lang w:val="en-GB"/>
        </w:rPr>
      </w:pPr>
      <w:r>
        <w:rPr>
          <w:lang w:val="en-GB"/>
        </w:rPr>
        <w:t xml:space="preserve">416.  </w:t>
      </w:r>
      <w:r>
        <w:rPr>
          <w:rFonts w:hint="eastAsia"/>
          <w:lang w:val="en-GB"/>
        </w:rPr>
        <w:t>当某个残疾人的情况可以算作精神疾病或类似情况时，该人可被强行收入医院、留院、治疗或受到强制。武力只有在用尽了所有其他办法之后才能使用，而且所使用的武力手段必须总是与其目的相称。</w:t>
      </w:r>
    </w:p>
    <w:p w:rsidR="00D84D94" w:rsidRDefault="00D84D94">
      <w:pPr>
        <w:pStyle w:val="H1GC"/>
        <w:rPr>
          <w:rFonts w:hint="eastAsia"/>
          <w:lang w:val="en-GB"/>
        </w:rPr>
      </w:pPr>
      <w:r>
        <w:rPr>
          <w:lang w:val="en-GB"/>
        </w:rPr>
        <w:tab/>
      </w:r>
      <w:r>
        <w:rPr>
          <w:lang w:val="en-GB"/>
        </w:rPr>
        <w:tab/>
      </w:r>
      <w:r>
        <w:rPr>
          <w:rFonts w:hint="eastAsia"/>
          <w:lang w:val="en-GB"/>
        </w:rPr>
        <w:t>第十六条</w:t>
      </w:r>
    </w:p>
    <w:p w:rsidR="00D84D94" w:rsidRDefault="00D84D94">
      <w:pPr>
        <w:pStyle w:val="SingleTxtGC"/>
        <w:rPr>
          <w:rFonts w:hint="eastAsia"/>
          <w:lang w:val="en-GB"/>
        </w:rPr>
      </w:pPr>
      <w:r>
        <w:rPr>
          <w:lang w:val="en-GB"/>
        </w:rPr>
        <w:t xml:space="preserve">417.  </w:t>
      </w:r>
      <w:r>
        <w:rPr>
          <w:rFonts w:hint="eastAsia"/>
          <w:lang w:val="en-GB"/>
        </w:rPr>
        <w:t>令人遗憾的是，现实仍然是残疾人特别容易受到剥削、暴力和虐待。有些虐待残疾人的事情发生在家里</w:t>
      </w:r>
      <w:r>
        <w:rPr>
          <w:rFonts w:hint="eastAsia"/>
          <w:lang w:val="en-GB"/>
        </w:rPr>
        <w:t>/</w:t>
      </w:r>
      <w:r>
        <w:rPr>
          <w:rFonts w:hint="eastAsia"/>
          <w:lang w:val="en-GB"/>
        </w:rPr>
        <w:t>熟人圈子内，因此难以发现。格陵兰各市镇对关于援助残疾人的格陵兰议会令涵盖的所有残疾儿童、青年人和成年人负有基本监察义务。市镇若了解到对儿童或残疾人施暴或进行剥削的情况，必须采取行动。</w:t>
      </w:r>
    </w:p>
    <w:p w:rsidR="00D84D94" w:rsidRDefault="00D84D94">
      <w:pPr>
        <w:pStyle w:val="SingleTxtGC"/>
        <w:rPr>
          <w:lang w:val="en-GB"/>
        </w:rPr>
      </w:pPr>
      <w:r>
        <w:rPr>
          <w:lang w:val="en-GB"/>
        </w:rPr>
        <w:t xml:space="preserve">418.  </w:t>
      </w:r>
      <w:r>
        <w:rPr>
          <w:rFonts w:hint="eastAsia"/>
          <w:lang w:val="en-GB"/>
        </w:rPr>
        <w:t>家庭、文化、教会和平等部负有监督各市镇的义务。监督是为了弄清市镇是否正确执行社会立法，以及是否遵守了案件处理规则。该部还负有对格陵兰所有公寓式旅馆的监督义务。</w:t>
      </w:r>
    </w:p>
    <w:p w:rsidR="00D84D94" w:rsidRDefault="00D84D94">
      <w:pPr>
        <w:pStyle w:val="H23GC"/>
        <w:rPr>
          <w:rFonts w:hint="eastAsia"/>
          <w:lang w:val="en-GB"/>
        </w:rPr>
      </w:pPr>
      <w:r>
        <w:rPr>
          <w:lang w:val="en-GB"/>
        </w:rPr>
        <w:tab/>
      </w:r>
      <w:r>
        <w:rPr>
          <w:lang w:val="en-GB"/>
        </w:rPr>
        <w:tab/>
      </w:r>
      <w:r>
        <w:rPr>
          <w:rFonts w:hint="eastAsia"/>
          <w:lang w:val="en-GB"/>
        </w:rPr>
        <w:t>刑法</w:t>
      </w:r>
    </w:p>
    <w:p w:rsidR="00D84D94" w:rsidRDefault="00D84D94">
      <w:pPr>
        <w:pStyle w:val="SingleTxtGC"/>
        <w:rPr>
          <w:rFonts w:hint="eastAsia"/>
          <w:lang w:val="en-GB"/>
        </w:rPr>
      </w:pPr>
      <w:r>
        <w:rPr>
          <w:lang w:val="en-GB"/>
        </w:rPr>
        <w:t xml:space="preserve">419.  </w:t>
      </w:r>
      <w:r>
        <w:rPr>
          <w:rFonts w:hint="eastAsia"/>
          <w:lang w:val="en-GB"/>
        </w:rPr>
        <w:t>格陵兰刑法保护残疾人免遭剥削、暴力和虐待的方式与保护其他人的方式一样。刑法对于利用某人的精神疾病或智力迟钝取得性交或其他性接触而不与该人结婚问题有专门规定。</w:t>
      </w:r>
    </w:p>
    <w:p w:rsidR="00D84D94" w:rsidRDefault="00D84D94">
      <w:pPr>
        <w:pStyle w:val="SingleTxtGC"/>
        <w:rPr>
          <w:rFonts w:hint="eastAsia"/>
          <w:lang w:val="en-GB"/>
        </w:rPr>
      </w:pPr>
      <w:r>
        <w:rPr>
          <w:lang w:val="en-GB"/>
        </w:rPr>
        <w:t xml:space="preserve">420.  </w:t>
      </w:r>
      <w:r>
        <w:rPr>
          <w:rFonts w:hint="eastAsia"/>
          <w:lang w:val="en-GB"/>
        </w:rPr>
        <w:t>在刑事案件中，犯罪者是否利用了受害者的无助境地可成为加重情节。</w:t>
      </w:r>
    </w:p>
    <w:p w:rsidR="00D84D94" w:rsidRDefault="00D84D94">
      <w:pPr>
        <w:pStyle w:val="H23GC"/>
        <w:rPr>
          <w:rFonts w:hint="eastAsia"/>
          <w:lang w:val="en-GB"/>
        </w:rPr>
      </w:pPr>
      <w:r>
        <w:rPr>
          <w:lang w:val="en-GB"/>
        </w:rPr>
        <w:tab/>
      </w:r>
      <w:r>
        <w:rPr>
          <w:lang w:val="en-GB"/>
        </w:rPr>
        <w:tab/>
      </w:r>
      <w:r>
        <w:rPr>
          <w:rFonts w:hint="eastAsia"/>
          <w:lang w:val="en-GB"/>
        </w:rPr>
        <w:t>儿童之家</w:t>
      </w:r>
    </w:p>
    <w:p w:rsidR="00D84D94" w:rsidRDefault="00D84D94">
      <w:pPr>
        <w:pStyle w:val="SingleTxtGC"/>
        <w:rPr>
          <w:rFonts w:hint="eastAsia"/>
          <w:lang w:val="en-GB"/>
        </w:rPr>
      </w:pPr>
      <w:r>
        <w:rPr>
          <w:lang w:val="en-GB"/>
        </w:rPr>
        <w:t xml:space="preserve">421.  </w:t>
      </w:r>
      <w:r>
        <w:rPr>
          <w:rFonts w:hint="eastAsia"/>
          <w:lang w:val="en-GB"/>
        </w:rPr>
        <w:t>2011</w:t>
      </w:r>
      <w:r>
        <w:rPr>
          <w:rFonts w:hint="eastAsia"/>
          <w:lang w:val="en-GB"/>
        </w:rPr>
        <w:t>年，位于努克的一个儿童之家开张，它面向受到性虐待的儿童和青少年，包括残疾儿童和青少年。</w:t>
      </w:r>
    </w:p>
    <w:p w:rsidR="00D84D94" w:rsidRDefault="00D84D94">
      <w:pPr>
        <w:pStyle w:val="SingleTxtGC"/>
        <w:rPr>
          <w:rFonts w:hint="eastAsia"/>
          <w:lang w:val="en-GB"/>
        </w:rPr>
      </w:pPr>
      <w:r>
        <w:rPr>
          <w:lang w:val="en-GB"/>
        </w:rPr>
        <w:t xml:space="preserve">422.  </w:t>
      </w:r>
      <w:r>
        <w:rPr>
          <w:rFonts w:hint="eastAsia"/>
          <w:lang w:val="en-GB"/>
        </w:rPr>
        <w:t>这个儿童之家的宗旨是提升治疗和预防性侵犯的可能性。对于受到性侵犯的儿童，儿童之家将推动协调的跨学科调查和治疗进程。它也必然要充当市镇以及与受到性侵犯的儿童和青年人接触的其他方面的顾问和知识中心。</w:t>
      </w:r>
    </w:p>
    <w:p w:rsidR="00D84D94" w:rsidRDefault="00D84D94">
      <w:pPr>
        <w:pStyle w:val="SingleTxtGC"/>
        <w:rPr>
          <w:rFonts w:hint="eastAsia"/>
          <w:lang w:val="en-GB"/>
        </w:rPr>
      </w:pPr>
      <w:r>
        <w:rPr>
          <w:lang w:val="en-GB"/>
        </w:rPr>
        <w:t xml:space="preserve">423.  </w:t>
      </w:r>
      <w:r>
        <w:rPr>
          <w:rFonts w:hint="eastAsia"/>
          <w:lang w:val="en-GB"/>
        </w:rPr>
        <w:t>格陵兰自治政府为该儿童之家提供资金并负责它的运作与发展。</w:t>
      </w:r>
    </w:p>
    <w:p w:rsidR="00D84D94" w:rsidRDefault="00D84D94">
      <w:pPr>
        <w:pStyle w:val="H23GC"/>
        <w:rPr>
          <w:b/>
          <w:lang w:val="en-GB"/>
        </w:rPr>
      </w:pPr>
      <w:r>
        <w:rPr>
          <w:lang w:val="en-GB"/>
        </w:rPr>
        <w:tab/>
      </w:r>
      <w:r>
        <w:rPr>
          <w:lang w:val="en-GB"/>
        </w:rPr>
        <w:tab/>
      </w:r>
      <w:r>
        <w:rPr>
          <w:b/>
          <w:lang w:val="en-GB"/>
        </w:rPr>
        <w:t>Tasiorta</w:t>
      </w:r>
    </w:p>
    <w:p w:rsidR="00D84D94" w:rsidRDefault="00D84D94">
      <w:pPr>
        <w:pStyle w:val="SingleTxtGC"/>
        <w:rPr>
          <w:rFonts w:hint="eastAsia"/>
          <w:lang w:val="en-GB"/>
        </w:rPr>
      </w:pPr>
      <w:r>
        <w:rPr>
          <w:lang w:val="en-GB"/>
        </w:rPr>
        <w:t xml:space="preserve">424.  </w:t>
      </w:r>
      <w:r>
        <w:rPr>
          <w:rFonts w:hint="eastAsia"/>
          <w:lang w:val="en-GB"/>
        </w:rPr>
        <w:t>格陵兰开设了一个咨询热线，所有公民，包括残疾儿童和青年人，如若受到性侵犯和暴力，都可以拨打该热线。咨询由专业心理学家提供，并包含治疗方面，例如危机干预和问题处理。咨询还有助于告知个别公民哪种治疗方案最适合于他</w:t>
      </w:r>
      <w:r>
        <w:rPr>
          <w:rFonts w:hint="eastAsia"/>
          <w:lang w:val="en-GB"/>
        </w:rPr>
        <w:t>/</w:t>
      </w:r>
      <w:r>
        <w:rPr>
          <w:rFonts w:hint="eastAsia"/>
          <w:lang w:val="en-GB"/>
        </w:rPr>
        <w:t>她。这种免费咨询向全国提供，自治政府每年为其提供补贴。</w:t>
      </w:r>
    </w:p>
    <w:p w:rsidR="00D84D94" w:rsidRDefault="00D84D94">
      <w:pPr>
        <w:pStyle w:val="H1GC"/>
        <w:rPr>
          <w:rFonts w:hint="eastAsia"/>
          <w:lang w:val="en-GB"/>
        </w:rPr>
      </w:pPr>
      <w:r>
        <w:rPr>
          <w:lang w:val="en-GB"/>
        </w:rPr>
        <w:tab/>
      </w:r>
      <w:r>
        <w:rPr>
          <w:lang w:val="en-GB"/>
        </w:rPr>
        <w:tab/>
      </w:r>
      <w:r>
        <w:rPr>
          <w:rFonts w:hint="eastAsia"/>
          <w:lang w:val="en-GB"/>
        </w:rPr>
        <w:t>第十九条</w:t>
      </w:r>
    </w:p>
    <w:p w:rsidR="00D84D94" w:rsidRDefault="00D84D94">
      <w:pPr>
        <w:pStyle w:val="SingleTxtGC"/>
        <w:rPr>
          <w:rFonts w:hint="eastAsia"/>
          <w:lang w:val="en-GB"/>
        </w:rPr>
      </w:pPr>
      <w:r>
        <w:rPr>
          <w:lang w:val="en-GB"/>
        </w:rPr>
        <w:t xml:space="preserve">425.  </w:t>
      </w:r>
      <w:r>
        <w:rPr>
          <w:rFonts w:hint="eastAsia"/>
          <w:lang w:val="en-GB"/>
        </w:rPr>
        <w:t>社会立法中有一些条款旨在使残疾人过上高质量的独立生活。</w:t>
      </w:r>
    </w:p>
    <w:p w:rsidR="00D84D94" w:rsidRDefault="00D84D94">
      <w:pPr>
        <w:pStyle w:val="SingleTxtGC"/>
        <w:rPr>
          <w:rFonts w:hint="eastAsia"/>
          <w:lang w:val="en-GB"/>
        </w:rPr>
      </w:pPr>
      <w:r>
        <w:rPr>
          <w:lang w:val="en-GB"/>
        </w:rPr>
        <w:t xml:space="preserve">426.  </w:t>
      </w:r>
      <w:r>
        <w:rPr>
          <w:rFonts w:hint="eastAsia"/>
          <w:lang w:val="en-GB"/>
        </w:rPr>
        <w:t>可提供救济措施，对于重残者机能的严重减退予以补偿。可以提供的救济措施包括咨询、顾问服务、支助、护理、赠予辅助器具等。</w:t>
      </w:r>
    </w:p>
    <w:p w:rsidR="00D84D94" w:rsidRDefault="00D84D94">
      <w:pPr>
        <w:pStyle w:val="H23GC"/>
        <w:rPr>
          <w:rFonts w:hint="eastAsia"/>
          <w:lang w:val="en-GB"/>
        </w:rPr>
      </w:pPr>
      <w:r>
        <w:rPr>
          <w:lang w:val="en-GB"/>
        </w:rPr>
        <w:tab/>
      </w:r>
      <w:r>
        <w:rPr>
          <w:lang w:val="en-GB"/>
        </w:rPr>
        <w:tab/>
      </w:r>
      <w:r>
        <w:rPr>
          <w:rFonts w:hint="eastAsia"/>
          <w:lang w:val="en-GB"/>
        </w:rPr>
        <w:t>社会立法规定的服务实例</w:t>
      </w:r>
    </w:p>
    <w:p w:rsidR="00D84D94" w:rsidRDefault="00D84D94">
      <w:pPr>
        <w:pStyle w:val="SingleTxtGC"/>
        <w:rPr>
          <w:rFonts w:hint="eastAsia"/>
          <w:lang w:val="en-GB"/>
        </w:rPr>
      </w:pPr>
      <w:r>
        <w:rPr>
          <w:lang w:val="en-GB"/>
        </w:rPr>
        <w:t xml:space="preserve">427.  </w:t>
      </w:r>
      <w:r>
        <w:rPr>
          <w:rFonts w:hint="eastAsia"/>
          <w:lang w:val="en-GB"/>
        </w:rPr>
        <w:t>对于机能减退者而言，辅助器具和交通解决方案往往就足以使其能够独</w:t>
      </w:r>
      <w:r>
        <w:rPr>
          <w:rFonts w:hint="eastAsia"/>
          <w:spacing w:val="-6"/>
          <w:lang w:val="en-GB"/>
        </w:rPr>
        <w:t>立。如果残疾人有些日常家务没有帮手便做不了，可以给予其必要程度的上门帮助。</w:t>
      </w:r>
    </w:p>
    <w:p w:rsidR="00D84D94" w:rsidRDefault="00D84D94">
      <w:pPr>
        <w:pStyle w:val="SingleTxtGC"/>
        <w:rPr>
          <w:rFonts w:hint="eastAsia"/>
          <w:lang w:val="en-GB"/>
        </w:rPr>
      </w:pPr>
      <w:r>
        <w:rPr>
          <w:lang w:val="en-GB"/>
        </w:rPr>
        <w:t xml:space="preserve">428.  </w:t>
      </w:r>
      <w:r>
        <w:rPr>
          <w:rFonts w:hint="eastAsia"/>
          <w:lang w:val="en-GB"/>
        </w:rPr>
        <w:t>若残疾人需要锻炼以助于保护肢体或心智能力，可准许其采用物理疗法和职业疗法。然而，就此必须强调指出，所能提供的治疗服务可能因残疾人居住的地区不同而相去甚远。如果残疾人居住在没有此类设施的地区，可准许他暂居在可以得到锻炼或进行康复的地方。</w:t>
      </w:r>
    </w:p>
    <w:p w:rsidR="00D84D94" w:rsidRDefault="00D84D94">
      <w:pPr>
        <w:pStyle w:val="SingleTxtGC"/>
        <w:rPr>
          <w:rFonts w:hint="eastAsia"/>
          <w:lang w:val="en-GB"/>
        </w:rPr>
      </w:pPr>
      <w:r>
        <w:rPr>
          <w:lang w:val="en-GB"/>
        </w:rPr>
        <w:t xml:space="preserve">429.  </w:t>
      </w:r>
      <w:r>
        <w:rPr>
          <w:rFonts w:hint="eastAsia"/>
          <w:lang w:val="en-GB"/>
        </w:rPr>
        <w:t>对于没有专门教育支助便无法生活在自己家里的残疾人，每周可给予其若干小时的这种支助金。这种支助金可用来购买食品杂货、日常家务帮工、心理支持，等等。</w:t>
      </w:r>
    </w:p>
    <w:p w:rsidR="00D84D94" w:rsidRDefault="00D84D94">
      <w:pPr>
        <w:pStyle w:val="SingleTxtGC"/>
        <w:rPr>
          <w:rFonts w:hint="eastAsia"/>
          <w:lang w:val="en-GB"/>
        </w:rPr>
      </w:pPr>
      <w:r>
        <w:rPr>
          <w:lang w:val="en-GB"/>
        </w:rPr>
        <w:t xml:space="preserve">430.  </w:t>
      </w:r>
      <w:r>
        <w:rPr>
          <w:rFonts w:hint="eastAsia"/>
          <w:lang w:val="en-GB"/>
        </w:rPr>
        <w:t>对于因残疾无法在自己家里生活的</w:t>
      </w:r>
      <w:r>
        <w:rPr>
          <w:rFonts w:hint="eastAsia"/>
          <w:lang w:val="en-GB"/>
        </w:rPr>
        <w:t>18</w:t>
      </w:r>
      <w:r>
        <w:rPr>
          <w:rFonts w:hint="eastAsia"/>
          <w:lang w:val="en-GB"/>
        </w:rPr>
        <w:t>岁以上重残人员，必须在有人协助的生活区或庇护单位中为其提供住房。这种住房的具体提供视残疾人的独立程度而定。若残疾人的特殊需要在有人协助的生活区或庇护单位中无法满足，则该残疾人有权居住在公寓式旅馆里。如果格陵兰没有一家公寓式旅馆能满足某个残疾人的特殊需要，那么可在丹麦的一家公寓式旅馆中为该残疾人提供一个位置。</w:t>
      </w:r>
    </w:p>
    <w:p w:rsidR="00D84D94" w:rsidRDefault="00D84D94">
      <w:pPr>
        <w:pStyle w:val="H1GC"/>
        <w:rPr>
          <w:rFonts w:hint="eastAsia"/>
          <w:lang w:val="en-GB"/>
        </w:rPr>
      </w:pPr>
      <w:r>
        <w:rPr>
          <w:lang w:val="en-GB"/>
        </w:rPr>
        <w:tab/>
      </w:r>
      <w:r>
        <w:rPr>
          <w:lang w:val="en-GB"/>
        </w:rPr>
        <w:tab/>
      </w:r>
      <w:r>
        <w:rPr>
          <w:rFonts w:hint="eastAsia"/>
          <w:lang w:val="en-GB"/>
        </w:rPr>
        <w:t>第二十条</w:t>
      </w:r>
    </w:p>
    <w:p w:rsidR="00D84D94" w:rsidRDefault="00D84D94">
      <w:pPr>
        <w:pStyle w:val="SingleTxtGC"/>
        <w:rPr>
          <w:rFonts w:hint="eastAsia"/>
          <w:lang w:val="en-GB"/>
        </w:rPr>
      </w:pPr>
      <w:r>
        <w:rPr>
          <w:lang w:val="en-GB"/>
        </w:rPr>
        <w:t xml:space="preserve">431.  </w:t>
      </w:r>
      <w:r>
        <w:rPr>
          <w:rFonts w:hint="eastAsia"/>
          <w:lang w:val="en-GB"/>
        </w:rPr>
        <w:t>格陵兰的性质给人员流动造成特有挑战，使其难以提供平等的无障碍环境。虽然如此，格陵兰还是重点设法让残疾人有可能参与社区的一般活动，包括户外活动。</w:t>
      </w:r>
    </w:p>
    <w:p w:rsidR="00D84D94" w:rsidRDefault="00D84D94">
      <w:pPr>
        <w:pStyle w:val="SingleTxtGC"/>
        <w:rPr>
          <w:rFonts w:hint="eastAsia"/>
          <w:lang w:val="en-GB"/>
        </w:rPr>
      </w:pPr>
      <w:r>
        <w:rPr>
          <w:lang w:val="en-GB"/>
        </w:rPr>
        <w:t xml:space="preserve">432.  </w:t>
      </w:r>
      <w:r>
        <w:rPr>
          <w:rFonts w:hint="eastAsia"/>
          <w:lang w:val="en-GB"/>
        </w:rPr>
        <w:t>如有特别需要，市镇可为残疾人制订专门的交通运输计划。市镇还可为残疾人乘坐出租车给予资金援助。如果某一残疾人居住在或定期前往一个没有公共交通运输的地方，市镇还可提供一辆机动车。</w:t>
      </w:r>
    </w:p>
    <w:p w:rsidR="00D84D94" w:rsidRDefault="00D84D94">
      <w:pPr>
        <w:pStyle w:val="H1GC"/>
        <w:rPr>
          <w:rFonts w:hint="eastAsia"/>
          <w:lang w:val="en-GB"/>
        </w:rPr>
      </w:pPr>
      <w:r>
        <w:rPr>
          <w:lang w:val="en-GB"/>
        </w:rPr>
        <w:tab/>
      </w:r>
      <w:r>
        <w:rPr>
          <w:lang w:val="en-GB"/>
        </w:rPr>
        <w:tab/>
      </w:r>
      <w:r>
        <w:rPr>
          <w:rFonts w:hint="eastAsia"/>
          <w:lang w:val="en-GB"/>
        </w:rPr>
        <w:t>第二十一条</w:t>
      </w:r>
    </w:p>
    <w:p w:rsidR="00D84D94" w:rsidRDefault="00D84D94">
      <w:pPr>
        <w:pStyle w:val="SingleTxtGC"/>
        <w:rPr>
          <w:lang w:val="en-GB"/>
        </w:rPr>
      </w:pPr>
      <w:r>
        <w:rPr>
          <w:lang w:val="en-GB"/>
        </w:rPr>
        <w:t xml:space="preserve">433.  </w:t>
      </w:r>
      <w:r>
        <w:rPr>
          <w:rFonts w:hint="eastAsia"/>
          <w:lang w:val="en-GB"/>
        </w:rPr>
        <w:t>残疾人享有和其他人一样的表达和意见自由；见《丹麦王国宪法》和《欧洲人权公约》。</w:t>
      </w:r>
    </w:p>
    <w:p w:rsidR="00D84D94" w:rsidRDefault="00D84D94">
      <w:pPr>
        <w:pStyle w:val="SingleTxtGC"/>
        <w:rPr>
          <w:rFonts w:hint="eastAsia"/>
          <w:lang w:val="en-GB"/>
        </w:rPr>
      </w:pPr>
      <w:r>
        <w:rPr>
          <w:lang w:val="en-GB"/>
        </w:rPr>
        <w:t xml:space="preserve">434.  </w:t>
      </w:r>
      <w:r>
        <w:rPr>
          <w:rFonts w:hint="eastAsia"/>
          <w:lang w:val="en-GB"/>
        </w:rPr>
        <w:t>根据《案件处理法》和关于政府调查义务的一般原则，当局被认为有义务确保有听障、视障或言语障碍的人员在与当局交涉时能够得到翻译援助。格陵兰目前有一名失聪者顾问，他在失聪者与公共当局接触时充当翻译。</w:t>
      </w:r>
    </w:p>
    <w:p w:rsidR="00D84D94" w:rsidRDefault="00D84D94">
      <w:pPr>
        <w:pStyle w:val="SingleTxtGC"/>
        <w:rPr>
          <w:lang w:val="en-GB"/>
        </w:rPr>
      </w:pPr>
      <w:r>
        <w:rPr>
          <w:lang w:val="en-GB"/>
        </w:rPr>
        <w:t xml:space="preserve">435.  </w:t>
      </w:r>
      <w:r>
        <w:rPr>
          <w:rFonts w:hint="eastAsia"/>
          <w:lang w:val="en-GB"/>
        </w:rPr>
        <w:t>目前，</w:t>
      </w:r>
      <w:r>
        <w:rPr>
          <w:rFonts w:hint="eastAsia"/>
          <w:lang w:val="en-GB"/>
        </w:rPr>
        <w:t>IPIS</w:t>
      </w:r>
      <w:r>
        <w:rPr>
          <w:rFonts w:hint="eastAsia"/>
          <w:lang w:val="en-GB"/>
        </w:rPr>
        <w:t>在与丹麦失聪者协会联系，后者正计划将来试用远程翻译。</w:t>
      </w:r>
    </w:p>
    <w:p w:rsidR="00D84D94" w:rsidRDefault="00D84D94">
      <w:pPr>
        <w:pStyle w:val="H1GC"/>
        <w:rPr>
          <w:rFonts w:hint="eastAsia"/>
          <w:lang w:val="en-GB"/>
        </w:rPr>
      </w:pPr>
      <w:r>
        <w:rPr>
          <w:lang w:val="en-GB"/>
        </w:rPr>
        <w:tab/>
      </w:r>
      <w:r>
        <w:rPr>
          <w:lang w:val="en-GB"/>
        </w:rPr>
        <w:tab/>
      </w:r>
      <w:r>
        <w:rPr>
          <w:rFonts w:hint="eastAsia"/>
          <w:lang w:val="en-GB"/>
        </w:rPr>
        <w:t>第二十二条</w:t>
      </w:r>
    </w:p>
    <w:p w:rsidR="00D84D94" w:rsidRDefault="00D84D94">
      <w:pPr>
        <w:pStyle w:val="SingleTxtGC"/>
        <w:rPr>
          <w:rFonts w:hint="eastAsia"/>
          <w:lang w:val="en-GB"/>
        </w:rPr>
      </w:pPr>
      <w:r>
        <w:rPr>
          <w:lang w:val="en-GB"/>
        </w:rPr>
        <w:t xml:space="preserve">436.  </w:t>
      </w:r>
      <w:r>
        <w:rPr>
          <w:rFonts w:hint="eastAsia"/>
          <w:lang w:val="en-GB"/>
        </w:rPr>
        <w:t>在格陵兰，残疾人同其他公民一样，隐私得到同等保护。残疾人可以得到救济措施，从而确保他们的隐私在与其他公民平等基础上得到保护。这可能包括提供特别的住处或住宅布局、支助人员、救济措施等，以确保残疾人实现更大程度的独立。</w:t>
      </w:r>
    </w:p>
    <w:p w:rsidR="00D84D94" w:rsidRDefault="00D84D94">
      <w:pPr>
        <w:pStyle w:val="H1GC"/>
        <w:rPr>
          <w:rFonts w:hint="eastAsia"/>
          <w:lang w:val="en-GB"/>
        </w:rPr>
      </w:pPr>
      <w:r>
        <w:rPr>
          <w:lang w:val="en-GB"/>
        </w:rPr>
        <w:tab/>
      </w:r>
      <w:r>
        <w:rPr>
          <w:lang w:val="en-GB"/>
        </w:rPr>
        <w:tab/>
      </w:r>
      <w:r>
        <w:rPr>
          <w:rFonts w:hint="eastAsia"/>
          <w:lang w:val="en-GB"/>
        </w:rPr>
        <w:t>第二十三条</w:t>
      </w:r>
    </w:p>
    <w:p w:rsidR="00D84D94" w:rsidRDefault="00D84D94">
      <w:pPr>
        <w:pStyle w:val="SingleTxtGC"/>
        <w:rPr>
          <w:rFonts w:hint="eastAsia"/>
          <w:lang w:val="en-GB"/>
        </w:rPr>
      </w:pPr>
      <w:r>
        <w:rPr>
          <w:lang w:val="en-GB"/>
        </w:rPr>
        <w:t xml:space="preserve">437.  </w:t>
      </w:r>
      <w:r>
        <w:rPr>
          <w:rFonts w:hint="eastAsia"/>
          <w:lang w:val="en-GB"/>
        </w:rPr>
        <w:t>残疾人同其他公民一样有成家和结婚的同等权利。因有心智障碍被宣布为不适于管理自己的事务者，未经监护人同意不得结婚或缔约具有法律约束力的其他交易。</w:t>
      </w:r>
    </w:p>
    <w:p w:rsidR="00D84D94" w:rsidRDefault="00D84D94">
      <w:pPr>
        <w:pStyle w:val="SingleTxtGC"/>
        <w:rPr>
          <w:rFonts w:hint="eastAsia"/>
          <w:lang w:val="en-GB"/>
        </w:rPr>
      </w:pPr>
      <w:r>
        <w:rPr>
          <w:lang w:val="en-GB"/>
        </w:rPr>
        <w:t xml:space="preserve">438.  </w:t>
      </w:r>
      <w:r>
        <w:rPr>
          <w:rFonts w:hint="eastAsia"/>
          <w:lang w:val="en-GB"/>
        </w:rPr>
        <w:t>残疾人同其他公民一样有得到生育治疗的同等权利。对于怀孕是否会危害有关人员的健康，以及有关人员是否拥有抚育子女的必要资源，将逐案确定。</w:t>
      </w:r>
    </w:p>
    <w:p w:rsidR="00D84D94" w:rsidRDefault="00D84D94">
      <w:pPr>
        <w:pStyle w:val="H1GC"/>
        <w:rPr>
          <w:rFonts w:hint="eastAsia"/>
          <w:lang w:val="en-GB"/>
        </w:rPr>
      </w:pPr>
      <w:r>
        <w:rPr>
          <w:lang w:val="en-GB"/>
        </w:rPr>
        <w:tab/>
      </w:r>
      <w:r>
        <w:rPr>
          <w:lang w:val="en-GB"/>
        </w:rPr>
        <w:tab/>
      </w:r>
      <w:r>
        <w:rPr>
          <w:rFonts w:hint="eastAsia"/>
          <w:lang w:val="en-GB"/>
        </w:rPr>
        <w:t>第二十四条</w:t>
      </w:r>
    </w:p>
    <w:p w:rsidR="00D84D94" w:rsidRDefault="00D84D94">
      <w:pPr>
        <w:pStyle w:val="SingleTxtGC"/>
        <w:rPr>
          <w:rFonts w:hint="eastAsia"/>
          <w:lang w:val="en-GB"/>
        </w:rPr>
      </w:pPr>
      <w:r>
        <w:rPr>
          <w:lang w:val="en-GB"/>
        </w:rPr>
        <w:t xml:space="preserve">439.  </w:t>
      </w:r>
      <w:r>
        <w:rPr>
          <w:rFonts w:hint="eastAsia"/>
          <w:lang w:val="en-GB"/>
        </w:rPr>
        <w:t>市镇政府必须确保其雇员拥有向残疾人提供适当援助所需的能力。格陵兰立法允许市镇为这方面活动发生下列费用：活动费、旅费和住宿费、对损失工资的全额或部分补偿。</w:t>
      </w:r>
    </w:p>
    <w:p w:rsidR="00D84D94" w:rsidRDefault="00D84D94">
      <w:pPr>
        <w:pStyle w:val="SingleTxtGC"/>
        <w:rPr>
          <w:rFonts w:hint="eastAsia"/>
          <w:lang w:val="en-GB"/>
        </w:rPr>
      </w:pPr>
      <w:r>
        <w:rPr>
          <w:lang w:val="en-GB"/>
        </w:rPr>
        <w:t xml:space="preserve">440.  </w:t>
      </w:r>
      <w:r>
        <w:rPr>
          <w:rFonts w:hint="eastAsia"/>
          <w:lang w:val="en-GB"/>
        </w:rPr>
        <w:t>在教育领域，为有特殊需要和需要特殊教育的儿童开设了特设班级。较大的市镇有可能开设特设班级，对有相同需要的儿童进行集中教学。</w:t>
      </w:r>
    </w:p>
    <w:p w:rsidR="00D84D94" w:rsidRDefault="00D84D94">
      <w:pPr>
        <w:pStyle w:val="SingleTxtGC"/>
        <w:rPr>
          <w:lang w:val="en-GB"/>
        </w:rPr>
      </w:pPr>
      <w:r>
        <w:rPr>
          <w:lang w:val="en-GB"/>
        </w:rPr>
        <w:t xml:space="preserve">441.  </w:t>
      </w:r>
      <w:r>
        <w:rPr>
          <w:rFonts w:hint="eastAsia"/>
          <w:lang w:val="en-GB"/>
        </w:rPr>
        <w:t>努克有一所面向患有多动症和注意力缺陷过动症的儿童和青年人的特设走读学校。该校设有小学部和初中部，提供包括课上和课后照护在内的全面教育服务。一般而言，为残疾人提供的教育取决于当地社区的资源情况。大市镇与乡村所能提供的教育可能不同。目前开展的工作包括设法确保残疾人在教育系统中得到特别考虑。</w:t>
      </w:r>
    </w:p>
    <w:p w:rsidR="00D84D94" w:rsidRDefault="00D84D94">
      <w:pPr>
        <w:pStyle w:val="H1GC"/>
        <w:rPr>
          <w:rFonts w:hint="eastAsia"/>
          <w:lang w:val="en-GB"/>
        </w:rPr>
      </w:pPr>
      <w:r>
        <w:rPr>
          <w:lang w:val="en-GB"/>
        </w:rPr>
        <w:tab/>
      </w:r>
      <w:r>
        <w:rPr>
          <w:lang w:val="en-GB"/>
        </w:rPr>
        <w:tab/>
      </w:r>
      <w:r>
        <w:rPr>
          <w:rFonts w:hint="eastAsia"/>
          <w:lang w:val="en-GB"/>
        </w:rPr>
        <w:t>第二十五条</w:t>
      </w:r>
    </w:p>
    <w:p w:rsidR="00D84D94" w:rsidRDefault="00D84D94">
      <w:pPr>
        <w:pStyle w:val="SingleTxtGC"/>
        <w:rPr>
          <w:rFonts w:hint="eastAsia"/>
          <w:lang w:val="en-GB"/>
        </w:rPr>
      </w:pPr>
      <w:r>
        <w:rPr>
          <w:lang w:val="en-GB"/>
        </w:rPr>
        <w:t xml:space="preserve">442.  </w:t>
      </w:r>
      <w:r>
        <w:rPr>
          <w:rFonts w:hint="eastAsia"/>
          <w:lang w:val="en-GB"/>
        </w:rPr>
        <w:t>格陵兰的卫生保健系统立足于人人机会平等的原则之上。医疗援助、治疗和口腔保健属于由政府买单的服务。如果由于残疾而需要物理疗法</w:t>
      </w:r>
      <w:r>
        <w:rPr>
          <w:rFonts w:hint="eastAsia"/>
          <w:lang w:val="en-GB"/>
        </w:rPr>
        <w:t>/</w:t>
      </w:r>
      <w:r>
        <w:rPr>
          <w:rFonts w:hint="eastAsia"/>
          <w:lang w:val="en-GB"/>
        </w:rPr>
        <w:t>职业疗法服务，政府可给予全额或部分费用补助。</w:t>
      </w:r>
    </w:p>
    <w:p w:rsidR="00D84D94" w:rsidRDefault="00D84D94">
      <w:pPr>
        <w:pStyle w:val="SingleTxtGC"/>
        <w:rPr>
          <w:rFonts w:hint="eastAsia"/>
          <w:lang w:val="en-GB"/>
        </w:rPr>
      </w:pPr>
      <w:r>
        <w:rPr>
          <w:lang w:val="en-GB"/>
        </w:rPr>
        <w:t xml:space="preserve">443.  </w:t>
      </w:r>
      <w:r>
        <w:rPr>
          <w:rFonts w:hint="eastAsia"/>
          <w:lang w:val="en-GB"/>
        </w:rPr>
        <w:t>根据保健立法，残疾人具有与其他人同等的法律地位。因此，立法给予残疾人与给予其他人的一样的、同等质量的保健服务。实际上，由于格陵兰的条件所限，特别是由于基础设施问题和缺少资源，残疾人并不是总能平等利用保健系统。</w:t>
      </w:r>
    </w:p>
    <w:p w:rsidR="00D84D94" w:rsidRDefault="00D84D94">
      <w:pPr>
        <w:pStyle w:val="H1GC"/>
        <w:rPr>
          <w:rFonts w:hint="eastAsia"/>
          <w:lang w:val="en-GB"/>
        </w:rPr>
      </w:pPr>
      <w:r>
        <w:rPr>
          <w:lang w:val="en-GB"/>
        </w:rPr>
        <w:tab/>
      </w:r>
      <w:r>
        <w:rPr>
          <w:lang w:val="en-GB"/>
        </w:rPr>
        <w:tab/>
      </w:r>
      <w:r>
        <w:rPr>
          <w:rFonts w:hint="eastAsia"/>
          <w:lang w:val="en-GB"/>
        </w:rPr>
        <w:t>第二十七条</w:t>
      </w:r>
    </w:p>
    <w:p w:rsidR="00D84D94" w:rsidRDefault="00D84D94">
      <w:pPr>
        <w:pStyle w:val="SingleTxtGC"/>
        <w:rPr>
          <w:rFonts w:hint="eastAsia"/>
          <w:lang w:val="en-GB"/>
        </w:rPr>
      </w:pPr>
      <w:r>
        <w:rPr>
          <w:lang w:val="en-GB"/>
        </w:rPr>
        <w:t xml:space="preserve">444.  </w:t>
      </w:r>
      <w:r>
        <w:rPr>
          <w:rFonts w:hint="eastAsia"/>
          <w:lang w:val="en-GB"/>
        </w:rPr>
        <w:t>为确保重残青年人在教育和就业方面有尽可能好的条件，在他们完成学业后会制订一个继续教育或就业的行动计划。残疾人有权在与其他人平等的基础上申请参加培训方案或就业。</w:t>
      </w:r>
    </w:p>
    <w:p w:rsidR="00D84D94" w:rsidRDefault="00D84D94">
      <w:pPr>
        <w:pStyle w:val="SingleTxtGC"/>
        <w:rPr>
          <w:rFonts w:hint="eastAsia"/>
          <w:lang w:val="en-GB"/>
        </w:rPr>
      </w:pPr>
      <w:r>
        <w:rPr>
          <w:lang w:val="en-GB"/>
        </w:rPr>
        <w:t xml:space="preserve">445.  </w:t>
      </w:r>
      <w:r>
        <w:rPr>
          <w:rFonts w:hint="eastAsia"/>
          <w:lang w:val="en-GB"/>
        </w:rPr>
        <w:t>如果残疾人的功能缺陷并不影响工作能力，必须在与其他人同等条件下聘用该残疾人。若残疾人只能履行某些任务或从事非全日制工作，可以与雇主达成协议。</w:t>
      </w:r>
    </w:p>
    <w:p w:rsidR="00D84D94" w:rsidRDefault="00D84D94">
      <w:pPr>
        <w:pStyle w:val="SingleTxtGC"/>
        <w:rPr>
          <w:rFonts w:hint="eastAsia"/>
          <w:lang w:val="en-GB"/>
        </w:rPr>
      </w:pPr>
      <w:r>
        <w:rPr>
          <w:lang w:val="en-GB"/>
        </w:rPr>
        <w:t xml:space="preserve">446.  </w:t>
      </w:r>
      <w:r>
        <w:rPr>
          <w:rFonts w:hint="eastAsia"/>
          <w:lang w:val="en-GB"/>
        </w:rPr>
        <w:t>格陵兰立法中有大意如下的规定：应尽可能为无法从事普通工作的残疾人提供下列选择之一：在普通工作场所的</w:t>
      </w:r>
      <w:r>
        <w:rPr>
          <w:lang w:val="en-GB"/>
        </w:rPr>
        <w:t>福利</w:t>
      </w:r>
      <w:r>
        <w:rPr>
          <w:rFonts w:hint="eastAsia"/>
          <w:lang w:val="en-GB"/>
        </w:rPr>
        <w:t>就业、在</w:t>
      </w:r>
      <w:r>
        <w:rPr>
          <w:lang w:val="en-GB"/>
        </w:rPr>
        <w:t>福利</w:t>
      </w:r>
      <w:r>
        <w:rPr>
          <w:rFonts w:hint="eastAsia"/>
          <w:lang w:val="en-GB"/>
        </w:rPr>
        <w:t>工厂工作、检验其工作或职业康复能力、提供日托中心的活动。</w:t>
      </w:r>
    </w:p>
    <w:p w:rsidR="00D84D94" w:rsidRDefault="00D84D94">
      <w:pPr>
        <w:pStyle w:val="SingleTxtGC"/>
        <w:rPr>
          <w:rFonts w:hint="eastAsia"/>
          <w:lang w:val="en-GB"/>
        </w:rPr>
      </w:pPr>
      <w:r>
        <w:rPr>
          <w:lang w:val="en-GB"/>
        </w:rPr>
        <w:t xml:space="preserve">447.  </w:t>
      </w:r>
      <w:r>
        <w:rPr>
          <w:rFonts w:hint="eastAsia"/>
          <w:lang w:val="en-GB"/>
        </w:rPr>
        <w:t>康复立法允许重残人员参加康复计划。根据康复计划，市镇将补偿雇主所支付工资的</w:t>
      </w:r>
      <w:r>
        <w:rPr>
          <w:rFonts w:hint="eastAsia"/>
          <w:lang w:val="en-GB"/>
        </w:rPr>
        <w:t>20%-80%</w:t>
      </w:r>
      <w:r>
        <w:rPr>
          <w:rFonts w:hint="eastAsia"/>
          <w:lang w:val="en-GB"/>
        </w:rPr>
        <w:t>。职业康复的目的是使康复者有可能检验其从事普通工作的能力。《职业康复计划》是为职业康复而拟定的，必须包括康复人的健康、培训、以前从事的职业和社会条件等信息。只有当用尽了所有职业康复办法之后，才能准予领取预支养老金。一旦用尽恢复正常条件下就业的办法，市镇必须帮助没有领取预支养老金、也不能得到或保持正常条件下就业的人员取得灵活的工作安排。</w:t>
      </w:r>
    </w:p>
    <w:p w:rsidR="00D84D94" w:rsidRDefault="00D84D94">
      <w:pPr>
        <w:pStyle w:val="H1GC"/>
        <w:rPr>
          <w:rFonts w:hint="eastAsia"/>
          <w:lang w:val="en-GB"/>
        </w:rPr>
      </w:pPr>
      <w:r>
        <w:rPr>
          <w:lang w:val="en-GB"/>
        </w:rPr>
        <w:tab/>
      </w:r>
      <w:r>
        <w:rPr>
          <w:lang w:val="en-GB"/>
        </w:rPr>
        <w:tab/>
      </w:r>
      <w:r>
        <w:rPr>
          <w:rFonts w:hint="eastAsia"/>
          <w:lang w:val="en-GB"/>
        </w:rPr>
        <w:t>第二十八条</w:t>
      </w:r>
    </w:p>
    <w:p w:rsidR="00D84D94" w:rsidRDefault="00D84D94">
      <w:pPr>
        <w:pStyle w:val="SingleTxtGC"/>
        <w:rPr>
          <w:rFonts w:hint="eastAsia"/>
          <w:lang w:val="en-GB"/>
        </w:rPr>
      </w:pPr>
      <w:r>
        <w:rPr>
          <w:lang w:val="en-GB"/>
        </w:rPr>
        <w:t xml:space="preserve">448.  </w:t>
      </w:r>
      <w:r>
        <w:rPr>
          <w:rFonts w:hint="eastAsia"/>
          <w:lang w:val="en-GB"/>
        </w:rPr>
        <w:t>没用条例为残疾人取得社会服务提供特权。如果由于功能缺陷而无法自立和养家糊口，残疾人可在与其他人平等的基础上申请预支养老金或政府援助。</w:t>
      </w:r>
    </w:p>
    <w:p w:rsidR="00D84D94" w:rsidRDefault="00D84D94">
      <w:pPr>
        <w:pStyle w:val="SingleTxtGC"/>
        <w:rPr>
          <w:rFonts w:hint="eastAsia"/>
          <w:lang w:val="en-GB"/>
        </w:rPr>
      </w:pPr>
      <w:r>
        <w:rPr>
          <w:lang w:val="en-GB"/>
        </w:rPr>
        <w:t xml:space="preserve">449.  </w:t>
      </w:r>
      <w:r>
        <w:rPr>
          <w:rFonts w:hint="eastAsia"/>
          <w:lang w:val="en-GB"/>
        </w:rPr>
        <w:t>目前，大部分由于功能缺陷无法工作的残疾人都已获准领取预支养老金。当残疾人达到</w:t>
      </w:r>
      <w:r>
        <w:rPr>
          <w:rFonts w:hint="eastAsia"/>
          <w:lang w:val="en-GB"/>
        </w:rPr>
        <w:t>65</w:t>
      </w:r>
      <w:r>
        <w:rPr>
          <w:rFonts w:hint="eastAsia"/>
          <w:lang w:val="en-GB"/>
        </w:rPr>
        <w:t>岁时，他们会被转到退休养老金方案。</w:t>
      </w:r>
    </w:p>
    <w:p w:rsidR="00D84D94" w:rsidRDefault="00D84D94">
      <w:pPr>
        <w:pStyle w:val="SingleTxtGC"/>
        <w:rPr>
          <w:rFonts w:hint="eastAsia"/>
          <w:lang w:val="en-GB"/>
        </w:rPr>
      </w:pPr>
      <w:r>
        <w:rPr>
          <w:lang w:val="en-GB"/>
        </w:rPr>
        <w:t xml:space="preserve">450.  </w:t>
      </w:r>
      <w:r>
        <w:rPr>
          <w:rFonts w:hint="eastAsia"/>
          <w:lang w:val="en-GB"/>
        </w:rPr>
        <w:t>重残人员在残疾直接招致的一些额外费用上，有权得到政府的资金援助。</w:t>
      </w:r>
    </w:p>
    <w:p w:rsidR="00D84D94" w:rsidRDefault="00D84D94">
      <w:pPr>
        <w:pStyle w:val="H1GC"/>
        <w:rPr>
          <w:rFonts w:hint="eastAsia"/>
          <w:lang w:val="en-GB"/>
        </w:rPr>
      </w:pPr>
      <w:r>
        <w:rPr>
          <w:lang w:val="en-GB"/>
        </w:rPr>
        <w:tab/>
      </w:r>
      <w:r>
        <w:rPr>
          <w:lang w:val="en-GB"/>
        </w:rPr>
        <w:tab/>
      </w:r>
      <w:r>
        <w:rPr>
          <w:rFonts w:hint="eastAsia"/>
          <w:lang w:val="en-GB"/>
        </w:rPr>
        <w:t>第二十九条</w:t>
      </w:r>
    </w:p>
    <w:p w:rsidR="00D84D94" w:rsidRDefault="00D84D94">
      <w:pPr>
        <w:pStyle w:val="SingleTxtGC"/>
        <w:rPr>
          <w:rFonts w:hint="eastAsia"/>
          <w:lang w:val="en-GB"/>
        </w:rPr>
      </w:pPr>
      <w:r>
        <w:rPr>
          <w:lang w:val="en-GB"/>
        </w:rPr>
        <w:t xml:space="preserve">451.  </w:t>
      </w:r>
      <w:r>
        <w:rPr>
          <w:rFonts w:hint="eastAsia"/>
          <w:lang w:val="en-GB"/>
        </w:rPr>
        <w:t>残疾人员拥有同其他公民一样的参与政治和公共生活的权利。格陵兰有多个积极致力于改善残疾人条件的残疾协会。</w:t>
      </w:r>
    </w:p>
    <w:p w:rsidR="00D84D94" w:rsidRDefault="00D84D94">
      <w:pPr>
        <w:pStyle w:val="H1GC"/>
        <w:rPr>
          <w:rFonts w:hint="eastAsia"/>
          <w:lang w:val="en-GB"/>
        </w:rPr>
      </w:pPr>
      <w:r>
        <w:rPr>
          <w:lang w:val="en-GB"/>
        </w:rPr>
        <w:tab/>
      </w:r>
      <w:r>
        <w:rPr>
          <w:lang w:val="en-GB"/>
        </w:rPr>
        <w:tab/>
      </w:r>
      <w:r>
        <w:rPr>
          <w:rFonts w:hint="eastAsia"/>
          <w:lang w:val="en-GB"/>
        </w:rPr>
        <w:t>第三十条</w:t>
      </w:r>
    </w:p>
    <w:p w:rsidR="00D84D94" w:rsidRDefault="00D84D94">
      <w:pPr>
        <w:pStyle w:val="SingleTxtGC"/>
        <w:rPr>
          <w:rFonts w:hint="eastAsia"/>
          <w:lang w:val="en-GB"/>
        </w:rPr>
      </w:pPr>
      <w:r>
        <w:rPr>
          <w:lang w:val="en-GB"/>
        </w:rPr>
        <w:t xml:space="preserve">452.  </w:t>
      </w:r>
      <w:r>
        <w:rPr>
          <w:rFonts w:hint="eastAsia"/>
          <w:lang w:val="en-GB"/>
        </w:rPr>
        <w:t>为确保残疾人能够在与其他人平等的基础上参加文化生活，出台了专门举措。</w:t>
      </w:r>
    </w:p>
    <w:p w:rsidR="00D84D94" w:rsidRDefault="00D84D94">
      <w:pPr>
        <w:pStyle w:val="SingleTxtGC"/>
        <w:rPr>
          <w:rFonts w:hint="eastAsia"/>
          <w:lang w:val="en-GB"/>
        </w:rPr>
      </w:pPr>
      <w:r>
        <w:rPr>
          <w:lang w:val="en-GB"/>
        </w:rPr>
        <w:t xml:space="preserve">453.  </w:t>
      </w:r>
      <w:r>
        <w:rPr>
          <w:rFonts w:hint="eastAsia"/>
          <w:lang w:val="en-GB"/>
        </w:rPr>
        <w:t>例如，</w:t>
      </w:r>
      <w:r>
        <w:rPr>
          <w:lang w:val="en-GB"/>
        </w:rPr>
        <w:t>KNR</w:t>
      </w:r>
      <w:r>
        <w:rPr>
          <w:rFonts w:hint="eastAsia"/>
          <w:lang w:val="en-GB"/>
        </w:rPr>
        <w:t>利用新技术使残疾人更有可能收看节目并确保有关社会十分关注的事件的报道加有字幕或手语翻译。</w:t>
      </w:r>
    </w:p>
    <w:p w:rsidR="00D84D94" w:rsidRDefault="00D84D94">
      <w:pPr>
        <w:pStyle w:val="SingleTxtGC"/>
        <w:rPr>
          <w:rFonts w:hint="eastAsia"/>
          <w:lang w:val="en-GB"/>
        </w:rPr>
      </w:pPr>
      <w:r>
        <w:rPr>
          <w:lang w:val="en-GB"/>
        </w:rPr>
        <w:t xml:space="preserve">454.  </w:t>
      </w:r>
      <w:r>
        <w:rPr>
          <w:rFonts w:hint="eastAsia"/>
          <w:lang w:val="en-GB"/>
        </w:rPr>
        <w:t>立法还允许作为特殊教育组织课外教学。特殊教育是要对残疾人因人施教。</w:t>
      </w:r>
    </w:p>
    <w:p w:rsidR="00D84D94" w:rsidRDefault="00D84D94">
      <w:pPr>
        <w:pStyle w:val="SingleTxtGC"/>
        <w:rPr>
          <w:rFonts w:hint="eastAsia"/>
          <w:lang w:val="en-GB"/>
        </w:rPr>
      </w:pPr>
      <w:r>
        <w:rPr>
          <w:lang w:val="en-GB"/>
        </w:rPr>
        <w:t xml:space="preserve">455.  </w:t>
      </w:r>
      <w:r>
        <w:rPr>
          <w:rFonts w:hint="eastAsia"/>
          <w:lang w:val="en-GB"/>
        </w:rPr>
        <w:t>目前，格陵兰没有残疾人体育俱乐部，但格陵兰体育协会</w:t>
      </w:r>
      <w:r>
        <w:rPr>
          <w:rFonts w:hint="eastAsia"/>
          <w:lang w:val="en-GB"/>
        </w:rPr>
        <w:t>GIF</w:t>
      </w:r>
      <w:r>
        <w:rPr>
          <w:rFonts w:hint="eastAsia"/>
          <w:lang w:val="en-GB"/>
        </w:rPr>
        <w:t>正致力于发展有组织的残疾人体育运动。</w:t>
      </w:r>
    </w:p>
    <w:p w:rsidR="00D84D94" w:rsidRDefault="00D84D94">
      <w:pPr>
        <w:pStyle w:val="H1GC"/>
        <w:rPr>
          <w:rFonts w:hint="eastAsia"/>
          <w:lang w:val="en-GB"/>
        </w:rPr>
      </w:pPr>
      <w:r>
        <w:rPr>
          <w:lang w:val="en-GB"/>
        </w:rPr>
        <w:tab/>
      </w:r>
      <w:r>
        <w:rPr>
          <w:lang w:val="en-GB"/>
        </w:rPr>
        <w:tab/>
      </w:r>
      <w:r>
        <w:rPr>
          <w:rFonts w:hint="eastAsia"/>
          <w:lang w:val="en-GB"/>
        </w:rPr>
        <w:t>第三十一条</w:t>
      </w:r>
    </w:p>
    <w:p w:rsidR="00D84D94" w:rsidRDefault="00D84D94">
      <w:pPr>
        <w:pStyle w:val="SingleTxtGC"/>
        <w:rPr>
          <w:lang w:val="en-GB"/>
        </w:rPr>
      </w:pPr>
      <w:r>
        <w:rPr>
          <w:lang w:val="en-GB"/>
        </w:rPr>
        <w:t xml:space="preserve">456.  </w:t>
      </w:r>
      <w:r>
        <w:rPr>
          <w:rFonts w:hint="eastAsia"/>
          <w:lang w:val="en-GB"/>
        </w:rPr>
        <w:t>家庭、文化、教会和平等部定期收集残疾方面的数据。收集这种数据是为了更加深入地了解这方面需要采取的措施。这也是为了给家庭、文化、教会和平等部履行其监督残疾领域的基本义务奠定坚实的基础。</w:t>
      </w:r>
    </w:p>
    <w:p w:rsidR="00D84D94" w:rsidRDefault="00D84D94">
      <w:pPr>
        <w:pStyle w:val="H1GC"/>
        <w:rPr>
          <w:rFonts w:hint="eastAsia"/>
          <w:lang w:val="en-GB"/>
        </w:rPr>
      </w:pPr>
      <w:r>
        <w:rPr>
          <w:lang w:val="en-GB"/>
        </w:rPr>
        <w:tab/>
      </w:r>
      <w:r>
        <w:rPr>
          <w:lang w:val="en-GB"/>
        </w:rPr>
        <w:tab/>
      </w:r>
      <w:r>
        <w:rPr>
          <w:rFonts w:hint="eastAsia"/>
          <w:lang w:val="en-GB"/>
        </w:rPr>
        <w:t>第三十二条</w:t>
      </w:r>
    </w:p>
    <w:p w:rsidR="00D84D94" w:rsidRDefault="00D84D94">
      <w:pPr>
        <w:pStyle w:val="SingleTxtGC"/>
        <w:rPr>
          <w:lang w:val="en-GB"/>
        </w:rPr>
      </w:pPr>
      <w:r>
        <w:rPr>
          <w:lang w:val="en-GB"/>
        </w:rPr>
        <w:t xml:space="preserve">457.  </w:t>
      </w:r>
      <w:r>
        <w:rPr>
          <w:rFonts w:hint="eastAsia"/>
          <w:lang w:val="en-GB"/>
        </w:rPr>
        <w:t>家庭、文化、教会和平等部参与了北欧社会和卫生事务部长理事会处理残疾问题的合作。格陵兰还参加了北欧残疾政策理事会。该理事会是北欧部长理事会的一个政策拟定和咨询机构，它将重要的残疾政策问题列入了北欧和各国政治议程。</w:t>
      </w:r>
    </w:p>
    <w:p w:rsidR="00D84D94" w:rsidRDefault="00D84D94">
      <w:pPr>
        <w:pStyle w:val="H1GC"/>
        <w:rPr>
          <w:rFonts w:hint="eastAsia"/>
          <w:lang w:val="en-GB"/>
        </w:rPr>
      </w:pPr>
      <w:r>
        <w:rPr>
          <w:lang w:val="en-GB"/>
        </w:rPr>
        <w:tab/>
      </w:r>
      <w:r>
        <w:rPr>
          <w:lang w:val="en-GB"/>
        </w:rPr>
        <w:tab/>
      </w:r>
      <w:r>
        <w:rPr>
          <w:rFonts w:hint="eastAsia"/>
          <w:lang w:val="en-GB"/>
        </w:rPr>
        <w:t>第三十三条</w:t>
      </w:r>
    </w:p>
    <w:p w:rsidR="00D84D94" w:rsidRDefault="00D84D94">
      <w:pPr>
        <w:pStyle w:val="SingleTxtGC"/>
        <w:rPr>
          <w:lang w:val="en-GB"/>
        </w:rPr>
      </w:pPr>
      <w:r>
        <w:rPr>
          <w:lang w:val="en-GB"/>
        </w:rPr>
        <w:t xml:space="preserve">458.  </w:t>
      </w:r>
      <w:r>
        <w:rPr>
          <w:rFonts w:hint="eastAsia"/>
          <w:lang w:val="en-GB"/>
        </w:rPr>
        <w:t>家庭、文化、教会和平等部是《公约》执行事务的协调中心。这是因为残疾问题属于该部的主管范围之内。由于《公约》涉及多个部委的政策领域，家庭、文化、教会和平等部将与其他部委密切协作，确保《公约》的各项条款得到执行。</w:t>
      </w:r>
    </w:p>
    <w:p w:rsidR="00D84D94" w:rsidRDefault="00D84D94">
      <w:pPr>
        <w:pStyle w:val="HChGC"/>
        <w:rPr>
          <w:rFonts w:hint="eastAsia"/>
          <w:lang w:val="en-GB"/>
        </w:rPr>
      </w:pPr>
      <w:r>
        <w:rPr>
          <w:lang w:val="en-GB"/>
        </w:rPr>
        <w:tab/>
      </w:r>
      <w:r>
        <w:rPr>
          <w:rFonts w:hint="eastAsia"/>
          <w:lang w:val="en-GB"/>
        </w:rPr>
        <w:t>七</w:t>
      </w:r>
      <w:r>
        <w:rPr>
          <w:rFonts w:hint="eastAsia"/>
          <w:lang w:val="en-GB"/>
        </w:rPr>
        <w:t>.</w:t>
      </w:r>
      <w:r>
        <w:rPr>
          <w:rFonts w:hint="eastAsia"/>
          <w:lang w:val="en-GB"/>
        </w:rPr>
        <w:tab/>
        <w:t>F</w:t>
      </w:r>
      <w:r>
        <w:rPr>
          <w:rFonts w:hint="eastAsia"/>
          <w:lang w:val="en-GB"/>
        </w:rPr>
        <w:t>节：法罗群岛</w:t>
      </w:r>
    </w:p>
    <w:p w:rsidR="00D84D94" w:rsidRDefault="00D84D94">
      <w:pPr>
        <w:pStyle w:val="SingleTxtGC"/>
        <w:rPr>
          <w:rFonts w:hint="eastAsia"/>
          <w:lang w:val="en-GB"/>
        </w:rPr>
      </w:pPr>
      <w:r>
        <w:rPr>
          <w:lang w:val="en-GB"/>
        </w:rPr>
        <w:t xml:space="preserve">459.  </w:t>
      </w:r>
      <w:r>
        <w:rPr>
          <w:rFonts w:hint="eastAsia"/>
          <w:lang w:val="en-GB"/>
        </w:rPr>
        <w:t>本报告的编写工作得到了法罗群岛的有关部委以及法罗残疾人协会等其他有关方面的参与。</w:t>
      </w:r>
    </w:p>
    <w:p w:rsidR="00D84D94" w:rsidRDefault="00D84D94">
      <w:pPr>
        <w:pStyle w:val="H1GC"/>
        <w:rPr>
          <w:rFonts w:hint="eastAsia"/>
          <w:lang w:val="en-GB"/>
        </w:rPr>
      </w:pPr>
      <w:r>
        <w:rPr>
          <w:lang w:val="en-GB"/>
        </w:rPr>
        <w:tab/>
      </w:r>
      <w:r>
        <w:rPr>
          <w:lang w:val="en-GB"/>
        </w:rPr>
        <w:tab/>
      </w:r>
      <w:r>
        <w:rPr>
          <w:rFonts w:hint="eastAsia"/>
          <w:lang w:val="en-GB"/>
        </w:rPr>
        <w:t>第一至五、八、十、十二、十四至十七、二十二、三十一和三十三条</w:t>
      </w:r>
    </w:p>
    <w:p w:rsidR="00D84D94" w:rsidRDefault="00D84D94">
      <w:pPr>
        <w:pStyle w:val="H23GC"/>
        <w:rPr>
          <w:rFonts w:hint="eastAsia"/>
          <w:lang w:val="en-GB"/>
        </w:rPr>
      </w:pPr>
      <w:r>
        <w:rPr>
          <w:lang w:val="en-GB"/>
        </w:rPr>
        <w:tab/>
      </w:r>
      <w:r>
        <w:rPr>
          <w:lang w:val="en-GB"/>
        </w:rPr>
        <w:tab/>
      </w:r>
      <w:r>
        <w:rPr>
          <w:rFonts w:hint="eastAsia"/>
          <w:lang w:val="en-GB"/>
        </w:rPr>
        <w:t>关于法罗社会和残疾人的一般性意见</w:t>
      </w:r>
    </w:p>
    <w:p w:rsidR="00D84D94" w:rsidRDefault="00D84D94">
      <w:pPr>
        <w:pStyle w:val="SingleTxtGC"/>
        <w:rPr>
          <w:rFonts w:hint="eastAsia"/>
          <w:lang w:val="en-GB"/>
        </w:rPr>
      </w:pPr>
      <w:r>
        <w:rPr>
          <w:lang w:val="en-GB"/>
        </w:rPr>
        <w:t xml:space="preserve">460.  </w:t>
      </w:r>
      <w:r>
        <w:rPr>
          <w:rFonts w:hint="eastAsia"/>
          <w:lang w:val="en-GB"/>
        </w:rPr>
        <w:t>就法罗当局统治的辖区而言，立法权归法罗群岛议会所有，行政权归法罗群岛政府所有。关于法罗自治安排的概况，请参见根据《公民权利和政治权利国际公约》提交的第五次定期报告</w:t>
      </w:r>
      <w:r>
        <w:rPr>
          <w:rFonts w:hint="eastAsia"/>
          <w:lang w:val="en-GB"/>
        </w:rPr>
        <w:t>(</w:t>
      </w:r>
      <w:r>
        <w:rPr>
          <w:lang w:val="en-GB"/>
        </w:rPr>
        <w:t>CCPR/C/DNK/5</w:t>
      </w:r>
      <w:r>
        <w:rPr>
          <w:rFonts w:hint="eastAsia"/>
          <w:lang w:val="en-GB"/>
        </w:rPr>
        <w:t>，第</w:t>
      </w:r>
      <w:r>
        <w:rPr>
          <w:lang w:val="en-GB"/>
        </w:rPr>
        <w:t>29-55</w:t>
      </w:r>
      <w:r>
        <w:rPr>
          <w:rFonts w:hint="eastAsia"/>
          <w:lang w:val="en-GB"/>
        </w:rPr>
        <w:t>段</w:t>
      </w:r>
      <w:r>
        <w:rPr>
          <w:rFonts w:hint="eastAsia"/>
          <w:lang w:val="en-GB"/>
        </w:rPr>
        <w:t>)</w:t>
      </w:r>
      <w:r>
        <w:rPr>
          <w:rFonts w:hint="eastAsia"/>
          <w:lang w:val="en-GB"/>
        </w:rPr>
        <w:t>。</w:t>
      </w:r>
    </w:p>
    <w:p w:rsidR="00D84D94" w:rsidRDefault="00D84D94">
      <w:pPr>
        <w:pStyle w:val="SingleTxtGC"/>
        <w:rPr>
          <w:rFonts w:hint="eastAsia"/>
          <w:lang w:val="en-GB"/>
        </w:rPr>
      </w:pPr>
      <w:r>
        <w:rPr>
          <w:lang w:val="en-GB"/>
        </w:rPr>
        <w:t xml:space="preserve">461.  </w:t>
      </w:r>
      <w:r>
        <w:rPr>
          <w:rFonts w:hint="eastAsia"/>
          <w:lang w:val="en-GB"/>
        </w:rPr>
        <w:t>尊重人权和民主是法罗社会的根本价值观。一条基本法律原则是法律面前人人平等，因此依法治理社会的基石立于个人享有言论自由以及参与政治和公共生活的权利、尊重私生活不可侵犯性等基本原则之上。这些基本原则是适用于所有公民的宪法权利。因此，残疾人与所有其他公民一样，享有同等的权利和法律保护，不得遭受虐待、暴力、剥削、任意剥夺自由和歧视；请见《丹麦王国宪法》、《欧洲人权公约》和《丹麦司法行政法》。在当局需要进行干预</w:t>
      </w:r>
      <w:r>
        <w:rPr>
          <w:rFonts w:hint="eastAsia"/>
          <w:lang w:val="en-GB"/>
        </w:rPr>
        <w:t>(</w:t>
      </w:r>
      <w:r>
        <w:rPr>
          <w:rFonts w:hint="eastAsia"/>
          <w:lang w:val="en-GB"/>
        </w:rPr>
        <w:t>例如监护形式的干预</w:t>
      </w:r>
      <w:r>
        <w:rPr>
          <w:rFonts w:hint="eastAsia"/>
          <w:lang w:val="en-GB"/>
        </w:rPr>
        <w:t>)</w:t>
      </w:r>
      <w:r>
        <w:rPr>
          <w:rFonts w:hint="eastAsia"/>
          <w:lang w:val="en-GB"/>
        </w:rPr>
        <w:t>的情况下，自</w:t>
      </w:r>
      <w:r>
        <w:rPr>
          <w:rFonts w:hint="eastAsia"/>
          <w:lang w:val="en-GB"/>
        </w:rPr>
        <w:t>2010</w:t>
      </w:r>
      <w:r>
        <w:rPr>
          <w:rFonts w:hint="eastAsia"/>
          <w:lang w:val="en-GB"/>
        </w:rPr>
        <w:t>年</w:t>
      </w:r>
      <w:r>
        <w:rPr>
          <w:rFonts w:hint="eastAsia"/>
          <w:lang w:val="en-GB"/>
        </w:rPr>
        <w:t>5</w:t>
      </w:r>
      <w:r>
        <w:rPr>
          <w:rFonts w:hint="eastAsia"/>
          <w:lang w:val="en-GB"/>
        </w:rPr>
        <w:t>月</w:t>
      </w:r>
      <w:r>
        <w:rPr>
          <w:rFonts w:hint="eastAsia"/>
          <w:lang w:val="en-GB"/>
        </w:rPr>
        <w:t>1</w:t>
      </w:r>
      <w:r>
        <w:rPr>
          <w:rFonts w:hint="eastAsia"/>
          <w:lang w:val="en-GB"/>
        </w:rPr>
        <w:t>日起生效的新监护法确保将监护性干预保持在最低限度，对监护形式进行调整完善，以适应个人的需要与可能性。</w:t>
      </w:r>
    </w:p>
    <w:p w:rsidR="00D84D94" w:rsidRDefault="00D84D94">
      <w:pPr>
        <w:pStyle w:val="SingleTxtGC"/>
        <w:rPr>
          <w:rFonts w:hint="eastAsia"/>
          <w:lang w:val="en-GB"/>
        </w:rPr>
      </w:pPr>
      <w:r>
        <w:rPr>
          <w:lang w:val="en-GB"/>
        </w:rPr>
        <w:t xml:space="preserve">462.  </w:t>
      </w:r>
      <w:r>
        <w:rPr>
          <w:rFonts w:hint="eastAsia"/>
          <w:lang w:val="en-GB"/>
        </w:rPr>
        <w:t>我们不断努力改进福利制度，从而满足所有公民的基本需要，包括残疾人的基本需要。法罗政府负责提供教育、卫生、社会服务、老年人保健和养老金等大部分支出。法罗的残疾政策立足于补偿、部门责任、团结和平等待遇等原则之上。目标是通过立法、宣传和指导，确保残疾人同其他人一样融入整个社会。在拟定新的法案和行政令时，全国性的残疾组织显然参加了立法进程并且是重要的辩论伙伴。</w:t>
      </w:r>
    </w:p>
    <w:p w:rsidR="00D84D94" w:rsidRDefault="00D84D94">
      <w:pPr>
        <w:pStyle w:val="SingleTxtGC"/>
        <w:rPr>
          <w:rFonts w:hint="eastAsia"/>
          <w:lang w:val="en-GB"/>
        </w:rPr>
      </w:pPr>
      <w:r>
        <w:rPr>
          <w:lang w:val="en-GB"/>
        </w:rPr>
        <w:t xml:space="preserve">463.  </w:t>
      </w:r>
      <w:r>
        <w:rPr>
          <w:rFonts w:hint="eastAsia"/>
          <w:lang w:val="en-GB"/>
        </w:rPr>
        <w:t>法罗群岛面积不大，只有大约</w:t>
      </w:r>
      <w:r>
        <w:rPr>
          <w:lang w:val="en-GB"/>
        </w:rPr>
        <w:t>48,000</w:t>
      </w:r>
      <w:r>
        <w:rPr>
          <w:rFonts w:hint="eastAsia"/>
          <w:lang w:val="en-GB"/>
        </w:rPr>
        <w:t>名居民，其可用的经济和行政手段自然不多，因此它所采取的遵守《公约》的方法必然与其他北欧国家略有不同。譬如，公共部门可用来提供社会服务、编撰和制作统计数据、设立新的管控职能的资源有限。就管控职能而言，我们取而代之的是设法利用现有机构，例如监察员、法院、公共行政部门、公共委员会和非政府组织。非政府组织往往派代表参加公共委员会。</w:t>
      </w:r>
    </w:p>
    <w:p w:rsidR="00D84D94" w:rsidRDefault="00D84D94">
      <w:pPr>
        <w:pStyle w:val="SingleTxtGC"/>
        <w:rPr>
          <w:rFonts w:hint="eastAsia"/>
          <w:lang w:val="en-GB"/>
        </w:rPr>
      </w:pPr>
      <w:r>
        <w:rPr>
          <w:lang w:val="en-GB"/>
        </w:rPr>
        <w:t xml:space="preserve">464.  </w:t>
      </w:r>
      <w:r>
        <w:rPr>
          <w:rFonts w:hint="eastAsia"/>
          <w:lang w:val="en-GB"/>
        </w:rPr>
        <w:t>居民人数不多成就了一个透明的社会，政治阶层与公民以及组织与协会近在咫尺。这意味着所有公民都可以轻而易举地涉足媒体和公共领域。近几年，政治家和广大社会都愈发意识到应创造条件，确保残疾人在社会中拥有平等机会。</w:t>
      </w:r>
      <w:r>
        <w:rPr>
          <w:rFonts w:hint="eastAsia"/>
          <w:lang w:val="en-GB"/>
        </w:rPr>
        <w:t>2002</w:t>
      </w:r>
      <w:r>
        <w:rPr>
          <w:rFonts w:hint="eastAsia"/>
          <w:lang w:val="en-GB"/>
        </w:rPr>
        <w:t>年，社会事务部长指定了一个残疾理事会，负责向当局提供咨询意见，通过利用媒体和组织公共活动聚焦残疾政策议题。该理事会得到《财政法案》规定的拨款。另外，根据《财政法案》得到资助的法罗残疾组织竭尽全力使当局和社会其他部门认识到残疾人的状况。</w:t>
      </w:r>
    </w:p>
    <w:p w:rsidR="00D84D94" w:rsidRDefault="00D84D94">
      <w:pPr>
        <w:pStyle w:val="H1GC"/>
        <w:rPr>
          <w:rFonts w:hint="eastAsia"/>
          <w:lang w:val="en-GB"/>
        </w:rPr>
      </w:pPr>
      <w:r>
        <w:rPr>
          <w:lang w:val="en-GB"/>
        </w:rPr>
        <w:tab/>
      </w:r>
      <w:r>
        <w:rPr>
          <w:lang w:val="en-GB"/>
        </w:rPr>
        <w:tab/>
      </w:r>
      <w:r>
        <w:rPr>
          <w:rFonts w:hint="eastAsia"/>
          <w:lang w:val="en-GB"/>
        </w:rPr>
        <w:t>第九和二十九条</w:t>
      </w:r>
    </w:p>
    <w:p w:rsidR="00D84D94" w:rsidRDefault="00D84D94">
      <w:pPr>
        <w:pStyle w:val="SingleTxtGC"/>
        <w:rPr>
          <w:rFonts w:hint="eastAsia"/>
          <w:lang w:val="en-GB"/>
        </w:rPr>
      </w:pPr>
      <w:r>
        <w:rPr>
          <w:lang w:val="en-GB"/>
        </w:rPr>
        <w:t xml:space="preserve">465.  </w:t>
      </w:r>
      <w:r>
        <w:rPr>
          <w:rFonts w:hint="eastAsia"/>
          <w:lang w:val="en-GB"/>
        </w:rPr>
        <w:t>2009</w:t>
      </w:r>
      <w:r>
        <w:rPr>
          <w:rFonts w:hint="eastAsia"/>
          <w:lang w:val="en-GB"/>
        </w:rPr>
        <w:t>年，法罗政府签发了</w:t>
      </w:r>
      <w:r>
        <w:rPr>
          <w:rFonts w:hint="eastAsia"/>
          <w:lang w:val="en-GB"/>
        </w:rPr>
        <w:t>12</w:t>
      </w:r>
      <w:r>
        <w:rPr>
          <w:rFonts w:hint="eastAsia"/>
          <w:lang w:val="en-GB"/>
        </w:rPr>
        <w:t>月</w:t>
      </w:r>
      <w:r>
        <w:rPr>
          <w:rFonts w:hint="eastAsia"/>
          <w:lang w:val="en-GB"/>
        </w:rPr>
        <w:t>3</w:t>
      </w:r>
      <w:r>
        <w:rPr>
          <w:rFonts w:hint="eastAsia"/>
          <w:lang w:val="en-GB"/>
        </w:rPr>
        <w:t>日关于无障碍问题的第</w:t>
      </w:r>
      <w:r>
        <w:rPr>
          <w:rFonts w:hint="eastAsia"/>
          <w:lang w:val="en-GB"/>
        </w:rPr>
        <w:t>149</w:t>
      </w:r>
      <w:r>
        <w:rPr>
          <w:rFonts w:hint="eastAsia"/>
          <w:lang w:val="en-GB"/>
        </w:rPr>
        <w:t>号行政令，其中规定了对于公共服务建筑的要求，以及对于餐馆、商场以及行政管理、特别服务等办公建筑的要求。譬如，对于电梯、门、卫生间、楼梯、坡道、泊车位和人行道等规定了具体要求。此外，该行政令对</w:t>
      </w:r>
      <w:r>
        <w:rPr>
          <w:lang w:val="en-GB"/>
        </w:rPr>
        <w:t>环听式感应系统</w:t>
      </w:r>
      <w:r>
        <w:rPr>
          <w:rFonts w:hint="eastAsia"/>
          <w:lang w:val="en-GB"/>
        </w:rPr>
        <w:t>等必要的辅助设施作出了规定。它还规定了对于新建筑和老房翻修的要求，以及对于出租楼房用作公共服务楼的要求。</w:t>
      </w:r>
    </w:p>
    <w:p w:rsidR="00D84D94" w:rsidRDefault="00D84D94">
      <w:pPr>
        <w:pStyle w:val="SingleTxtGC"/>
        <w:rPr>
          <w:rFonts w:hint="eastAsia"/>
          <w:lang w:val="en-GB"/>
        </w:rPr>
      </w:pPr>
      <w:r>
        <w:rPr>
          <w:lang w:val="en-GB"/>
        </w:rPr>
        <w:t xml:space="preserve">466.  </w:t>
      </w:r>
      <w:r>
        <w:rPr>
          <w:rFonts w:hint="eastAsia"/>
          <w:lang w:val="en-GB"/>
        </w:rPr>
        <w:t>法罗群岛的企业和建筑当局</w:t>
      </w:r>
      <w:r>
        <w:rPr>
          <w:rFonts w:hint="eastAsia"/>
          <w:lang w:val="en-GB"/>
        </w:rPr>
        <w:t>(</w:t>
      </w:r>
      <w:r>
        <w:rPr>
          <w:lang w:val="en-GB"/>
        </w:rPr>
        <w:t>Landsverk</w:t>
      </w:r>
      <w:r>
        <w:rPr>
          <w:rFonts w:hint="eastAsia"/>
          <w:lang w:val="en-GB"/>
        </w:rPr>
        <w:t>)</w:t>
      </w:r>
      <w:r>
        <w:rPr>
          <w:rFonts w:hint="eastAsia"/>
          <w:lang w:val="en-GB"/>
        </w:rPr>
        <w:t>负责所有公共建筑的维护和新建。它遵循丹麦建筑条例，不过一部具有最新无障碍要求的法罗建筑法目前正在拟订之中。所有新建筑都要遵守关于建筑内部和周围安全以及运输和行动无障碍的要求，以及在学校及文化和教育机构中必须有相关设施和辅助器具的要求。</w:t>
      </w:r>
    </w:p>
    <w:p w:rsidR="00D84D94" w:rsidRDefault="00D84D94">
      <w:pPr>
        <w:pStyle w:val="SingleTxtGC"/>
        <w:rPr>
          <w:lang w:val="en-GB"/>
        </w:rPr>
      </w:pPr>
      <w:r>
        <w:rPr>
          <w:lang w:val="en-GB"/>
        </w:rPr>
        <w:t xml:space="preserve">467.  </w:t>
      </w:r>
      <w:r>
        <w:rPr>
          <w:rFonts w:hint="eastAsia"/>
          <w:lang w:val="en-GB"/>
        </w:rPr>
        <w:t>法罗群岛已经完成楼房改造，使乘坐轮椅者可以进入法院、公共行政大楼以及用于各种公共活动的其他建筑和区域。市政当局负责小学和初中学校的建设和维护。</w:t>
      </w:r>
    </w:p>
    <w:p w:rsidR="00D84D94" w:rsidRDefault="00D84D94">
      <w:pPr>
        <w:pStyle w:val="SingleTxtGC"/>
        <w:rPr>
          <w:rFonts w:hint="eastAsia"/>
          <w:lang w:val="en-GB"/>
        </w:rPr>
      </w:pPr>
      <w:r>
        <w:rPr>
          <w:lang w:val="en-GB"/>
        </w:rPr>
        <w:t xml:space="preserve">468.  </w:t>
      </w:r>
      <w:r>
        <w:rPr>
          <w:rFonts w:hint="eastAsia"/>
          <w:lang w:val="en-GB"/>
        </w:rPr>
        <w:t>业经修正的</w:t>
      </w:r>
      <w:r>
        <w:rPr>
          <w:rFonts w:hint="eastAsia"/>
          <w:lang w:val="en-GB"/>
        </w:rPr>
        <w:t>1978</w:t>
      </w:r>
      <w:r>
        <w:rPr>
          <w:rFonts w:hint="eastAsia"/>
          <w:lang w:val="en-GB"/>
        </w:rPr>
        <w:t>年</w:t>
      </w:r>
      <w:r>
        <w:rPr>
          <w:rFonts w:hint="eastAsia"/>
          <w:lang w:val="en-GB"/>
        </w:rPr>
        <w:t>7</w:t>
      </w:r>
      <w:r>
        <w:rPr>
          <w:rFonts w:hint="eastAsia"/>
          <w:lang w:val="en-GB"/>
        </w:rPr>
        <w:t>月</w:t>
      </w:r>
      <w:r>
        <w:rPr>
          <w:rFonts w:hint="eastAsia"/>
          <w:lang w:val="en-GB"/>
        </w:rPr>
        <w:t>20</w:t>
      </w:r>
      <w:r>
        <w:rPr>
          <w:rFonts w:hint="eastAsia"/>
          <w:lang w:val="en-GB"/>
        </w:rPr>
        <w:t>日法罗议会关于议会选举的第</w:t>
      </w:r>
      <w:r>
        <w:rPr>
          <w:rFonts w:hint="eastAsia"/>
          <w:lang w:val="en-GB"/>
        </w:rPr>
        <w:t>49</w:t>
      </w:r>
      <w:r>
        <w:rPr>
          <w:rFonts w:hint="eastAsia"/>
          <w:lang w:val="en-GB"/>
        </w:rPr>
        <w:t>号法第</w:t>
      </w:r>
      <w:r>
        <w:rPr>
          <w:rFonts w:hint="eastAsia"/>
          <w:lang w:val="en-GB"/>
        </w:rPr>
        <w:t>26</w:t>
      </w:r>
      <w:r>
        <w:rPr>
          <w:rFonts w:hint="eastAsia"/>
          <w:lang w:val="en-GB"/>
        </w:rPr>
        <w:t>条，对于残疾人如何能够取得并行使表决权作出了专门规定。规定包括广义上的无障碍。</w:t>
      </w:r>
    </w:p>
    <w:p w:rsidR="00D84D94" w:rsidRDefault="00D84D94">
      <w:pPr>
        <w:pStyle w:val="H1GC"/>
        <w:rPr>
          <w:rFonts w:hint="eastAsia"/>
          <w:lang w:val="en-GB"/>
        </w:rPr>
      </w:pPr>
      <w:r>
        <w:rPr>
          <w:lang w:val="en-GB"/>
        </w:rPr>
        <w:tab/>
      </w:r>
      <w:r>
        <w:rPr>
          <w:lang w:val="en-GB"/>
        </w:rPr>
        <w:tab/>
      </w:r>
      <w:r>
        <w:rPr>
          <w:rFonts w:hint="eastAsia"/>
          <w:lang w:val="en-GB"/>
        </w:rPr>
        <w:t>第十三、二十一和三十条</w:t>
      </w:r>
    </w:p>
    <w:p w:rsidR="00D84D94" w:rsidRDefault="00D84D94">
      <w:pPr>
        <w:pStyle w:val="SingleTxtGC"/>
        <w:rPr>
          <w:rFonts w:hint="eastAsia"/>
          <w:lang w:val="en-GB"/>
        </w:rPr>
      </w:pPr>
      <w:r>
        <w:rPr>
          <w:lang w:val="en-GB"/>
        </w:rPr>
        <w:t xml:space="preserve">469.  </w:t>
      </w:r>
      <w:r>
        <w:rPr>
          <w:rFonts w:hint="eastAsia"/>
          <w:lang w:val="en-GB"/>
        </w:rPr>
        <w:t>根据《公共行政法》以及关于行政部门调查义务的一般行政原则，当局被认为有义务确保有听障、视障或言语障碍者在与当局交涉时，有机会得到翻译援助。法罗的《司法行政法》中有条款确保残疾人能在与他人平等的基础上诉诸法律。因此，已有大意如下的规定：残疾人在审讯中可以得到翻译，有言语障碍者可通过书面问答或借助翻译人员进行审问。此外，为确保被告和证人在刑事案件的审理中得到援助，还确立了一些规则，它们也适用于残疾人。根据《财政法案》得到拨款的口译服务处应要求，以及在紧急情况下，为失聪者提供口译援助。该处每天</w:t>
      </w:r>
      <w:r>
        <w:rPr>
          <w:rFonts w:hint="eastAsia"/>
          <w:lang w:val="en-GB"/>
        </w:rPr>
        <w:t>24</w:t>
      </w:r>
      <w:r>
        <w:rPr>
          <w:rFonts w:hint="eastAsia"/>
          <w:lang w:val="en-GB"/>
        </w:rPr>
        <w:t>小时有人值班。</w:t>
      </w:r>
    </w:p>
    <w:p w:rsidR="00D84D94" w:rsidRDefault="00D84D94">
      <w:pPr>
        <w:pStyle w:val="SingleTxtGC"/>
        <w:rPr>
          <w:rFonts w:hint="eastAsia"/>
          <w:lang w:val="en-GB"/>
        </w:rPr>
      </w:pPr>
      <w:r>
        <w:rPr>
          <w:lang w:val="en-GB"/>
        </w:rPr>
        <w:t xml:space="preserve">470.  </w:t>
      </w:r>
      <w:r>
        <w:rPr>
          <w:rFonts w:hint="eastAsia"/>
          <w:lang w:val="en-GB"/>
        </w:rPr>
        <w:t>每年，法罗文化部和各市镇都为建立和使用信息技术系统和设备拨款。近年来，优先在教育机构建立互动式白板、信息技术包及其他种类信息技术工具。文化部与市政当局联手设计了一个门户网站，网站的用途是传播互动式电子教学材料，为残疾人提供更多、更加灵活的学习机会。特殊教育已经建立，其中包括以实用和有效的方法提供旨在减轻或限制心智、肢体、语言或感知功能障碍的心理咨询、教育和培训。此外，可以提供教学必需的专门教材和技术援助。</w:t>
      </w:r>
    </w:p>
    <w:p w:rsidR="00D84D94" w:rsidRDefault="00D84D94">
      <w:pPr>
        <w:pStyle w:val="SingleTxtGC"/>
        <w:rPr>
          <w:rFonts w:hint="eastAsia"/>
          <w:lang w:val="en-GB"/>
        </w:rPr>
      </w:pPr>
      <w:r>
        <w:rPr>
          <w:lang w:val="en-GB"/>
        </w:rPr>
        <w:t xml:space="preserve">471.  </w:t>
      </w:r>
      <w:r>
        <w:rPr>
          <w:rFonts w:hint="eastAsia"/>
          <w:lang w:val="en-GB"/>
        </w:rPr>
        <w:t>根据《教育法》，所有中小学生和大学生都有权参加专门设计的教育课程和考试，利用符合其个人需要的信息技术及其他辅助器具。文化部在</w:t>
      </w:r>
      <w:r>
        <w:rPr>
          <w:rFonts w:hint="eastAsia"/>
          <w:lang w:val="en-GB"/>
        </w:rPr>
        <w:t>2003</w:t>
      </w:r>
      <w:r>
        <w:rPr>
          <w:rFonts w:hint="eastAsia"/>
          <w:lang w:val="en-GB"/>
        </w:rPr>
        <w:t>年</w:t>
      </w:r>
      <w:r>
        <w:rPr>
          <w:rFonts w:hint="eastAsia"/>
          <w:lang w:val="en-GB"/>
        </w:rPr>
        <w:t>5</w:t>
      </w:r>
      <w:r>
        <w:rPr>
          <w:rFonts w:hint="eastAsia"/>
          <w:lang w:val="en-GB"/>
        </w:rPr>
        <w:t>月</w:t>
      </w:r>
      <w:r>
        <w:rPr>
          <w:rFonts w:hint="eastAsia"/>
          <w:lang w:val="en-GB"/>
        </w:rPr>
        <w:t>7</w:t>
      </w:r>
      <w:r>
        <w:rPr>
          <w:rFonts w:hint="eastAsia"/>
          <w:lang w:val="en-GB"/>
        </w:rPr>
        <w:t>日关于手语教学和使用手语教学的第</w:t>
      </w:r>
      <w:r>
        <w:rPr>
          <w:rFonts w:hint="eastAsia"/>
          <w:lang w:val="en-GB"/>
        </w:rPr>
        <w:t>85</w:t>
      </w:r>
      <w:r>
        <w:rPr>
          <w:rFonts w:hint="eastAsia"/>
          <w:lang w:val="en-GB"/>
        </w:rPr>
        <w:t>号行政令中指出，以手语作为第一语言的儿童和青年人有权在整个课程中得到手语翻译，应为他们及其亲属提供采用手语的课程、咨询等。另外，目前正在修订和改进关于交流与讲话的可能性的法案和规则。</w:t>
      </w:r>
    </w:p>
    <w:p w:rsidR="00D84D94" w:rsidRDefault="00D84D94">
      <w:pPr>
        <w:pStyle w:val="SingleTxtGC"/>
        <w:rPr>
          <w:rFonts w:hint="eastAsia"/>
          <w:lang w:val="en-GB"/>
        </w:rPr>
      </w:pPr>
      <w:r>
        <w:rPr>
          <w:lang w:val="en-GB"/>
        </w:rPr>
        <w:t xml:space="preserve">472.  </w:t>
      </w:r>
      <w:r>
        <w:rPr>
          <w:rFonts w:hint="eastAsia"/>
          <w:lang w:val="en-GB"/>
        </w:rPr>
        <w:t>根据业经修正的</w:t>
      </w:r>
      <w:r>
        <w:rPr>
          <w:rFonts w:hint="eastAsia"/>
          <w:lang w:val="en-GB"/>
        </w:rPr>
        <w:t>2001</w:t>
      </w:r>
      <w:r>
        <w:rPr>
          <w:rFonts w:hint="eastAsia"/>
          <w:lang w:val="en-GB"/>
        </w:rPr>
        <w:t>年</w:t>
      </w:r>
      <w:r>
        <w:rPr>
          <w:rFonts w:hint="eastAsia"/>
          <w:lang w:val="en-GB"/>
        </w:rPr>
        <w:t>5</w:t>
      </w:r>
      <w:r>
        <w:rPr>
          <w:rFonts w:hint="eastAsia"/>
          <w:lang w:val="en-GB"/>
        </w:rPr>
        <w:t>月</w:t>
      </w:r>
      <w:r>
        <w:rPr>
          <w:rFonts w:hint="eastAsia"/>
          <w:lang w:val="en-GB"/>
        </w:rPr>
        <w:t>8</w:t>
      </w:r>
      <w:r>
        <w:rPr>
          <w:rFonts w:hint="eastAsia"/>
          <w:lang w:val="en-GB"/>
        </w:rPr>
        <w:t>日法罗议会关于图书馆活动的第</w:t>
      </w:r>
      <w:r>
        <w:rPr>
          <w:rFonts w:hint="eastAsia"/>
          <w:lang w:val="en-GB"/>
        </w:rPr>
        <w:t>79</w:t>
      </w:r>
      <w:r>
        <w:rPr>
          <w:rFonts w:hint="eastAsia"/>
          <w:lang w:val="en-GB"/>
        </w:rPr>
        <w:t>号法，国家图书馆必须为那些由于某种原因无法阅读普通印刷文本者购置有声读物。根据《财政法案》，每年都为此目的拨出专款。</w:t>
      </w:r>
    </w:p>
    <w:p w:rsidR="00D84D94" w:rsidRDefault="00D84D94">
      <w:pPr>
        <w:pStyle w:val="SingleTxtGC"/>
        <w:rPr>
          <w:rFonts w:hint="eastAsia"/>
          <w:lang w:val="en-GB"/>
        </w:rPr>
      </w:pPr>
      <w:r>
        <w:rPr>
          <w:lang w:val="en-GB"/>
        </w:rPr>
        <w:t xml:space="preserve">473.  </w:t>
      </w:r>
      <w:r>
        <w:rPr>
          <w:rFonts w:hint="eastAsia"/>
          <w:lang w:val="en-GB"/>
        </w:rPr>
        <w:t>法罗广播和电视公司与文化部于</w:t>
      </w:r>
      <w:r>
        <w:rPr>
          <w:rFonts w:hint="eastAsia"/>
          <w:lang w:val="en-GB"/>
        </w:rPr>
        <w:t>2010</w:t>
      </w:r>
      <w:r>
        <w:rPr>
          <w:rFonts w:hint="eastAsia"/>
          <w:lang w:val="en-GB"/>
        </w:rPr>
        <w:t>年订立了适用于</w:t>
      </w:r>
      <w:r>
        <w:rPr>
          <w:lang w:val="en-GB"/>
        </w:rPr>
        <w:t>2011-2013</w:t>
      </w:r>
      <w:r>
        <w:rPr>
          <w:rFonts w:hint="eastAsia"/>
          <w:lang w:val="en-GB"/>
        </w:rPr>
        <w:t>年的公共服务合同。根据该合同，保证为残疾人提供新服务和各种权利。面向失聪和有听力障碍者的公共服务得到加强，另外还规定了大意如下的要求：新闻在初次播放时或至迟在第二天播放时必须由手语译员翻译。对社会而言关系重大和重要的广播，必须加字幕并且</w:t>
      </w:r>
      <w:r>
        <w:rPr>
          <w:rFonts w:hint="eastAsia"/>
          <w:lang w:val="en-GB"/>
        </w:rPr>
        <w:t>/</w:t>
      </w:r>
      <w:r>
        <w:rPr>
          <w:rFonts w:hint="eastAsia"/>
          <w:lang w:val="en-GB"/>
        </w:rPr>
        <w:t>或者由手语译员翻译，例如关于议会选举的选举节目。提供针对视障和</w:t>
      </w:r>
      <w:r>
        <w:rPr>
          <w:rFonts w:hint="eastAsia"/>
          <w:lang w:val="en-GB"/>
        </w:rPr>
        <w:t>/</w:t>
      </w:r>
      <w:r>
        <w:rPr>
          <w:rFonts w:hint="eastAsia"/>
          <w:lang w:val="en-GB"/>
        </w:rPr>
        <w:t>或听障者的简单互联网服务也应成为目标。</w:t>
      </w:r>
    </w:p>
    <w:p w:rsidR="00D84D94" w:rsidRDefault="00D84D94">
      <w:pPr>
        <w:pStyle w:val="SingleTxtGC"/>
        <w:rPr>
          <w:rFonts w:hint="eastAsia"/>
          <w:lang w:val="en-GB"/>
        </w:rPr>
      </w:pPr>
      <w:r>
        <w:rPr>
          <w:lang w:val="en-GB"/>
        </w:rPr>
        <w:t xml:space="preserve">474.  </w:t>
      </w:r>
      <w:r>
        <w:rPr>
          <w:rFonts w:hint="eastAsia"/>
          <w:lang w:val="en-GB"/>
        </w:rPr>
        <w:t>不过，公共和私营部门以无障碍形式向听障和视障者提供信息和知识的情况差强人意。听障者协会呼吁为翻译服务提供更多资金，以便有严重听力障碍者更有可能参加社会生活。没有关于听障和失聪者得到翻译服务的权利的法定规则，而实现网站及其他信息技术解决方案无障碍尚需各方协调努力。</w:t>
      </w:r>
    </w:p>
    <w:p w:rsidR="00D84D94" w:rsidRDefault="00D84D94">
      <w:pPr>
        <w:pStyle w:val="H1GC"/>
        <w:rPr>
          <w:rFonts w:hint="eastAsia"/>
          <w:lang w:val="en-GB"/>
        </w:rPr>
      </w:pPr>
      <w:r>
        <w:rPr>
          <w:lang w:val="en-GB"/>
        </w:rPr>
        <w:tab/>
      </w:r>
      <w:r>
        <w:rPr>
          <w:lang w:val="en-GB"/>
        </w:rPr>
        <w:tab/>
      </w:r>
      <w:r>
        <w:rPr>
          <w:rFonts w:hint="eastAsia"/>
          <w:lang w:val="en-GB"/>
        </w:rPr>
        <w:t>第二十四条</w:t>
      </w:r>
    </w:p>
    <w:p w:rsidR="00D84D94" w:rsidRDefault="00D84D94">
      <w:pPr>
        <w:pStyle w:val="SingleTxtGC"/>
        <w:rPr>
          <w:rFonts w:hint="eastAsia"/>
          <w:lang w:val="en-GB"/>
        </w:rPr>
      </w:pPr>
      <w:r>
        <w:rPr>
          <w:lang w:val="en-GB"/>
        </w:rPr>
        <w:t xml:space="preserve">475.  </w:t>
      </w:r>
      <w:r>
        <w:rPr>
          <w:rFonts w:hint="eastAsia"/>
          <w:lang w:val="en-GB"/>
        </w:rPr>
        <w:t>有特殊需要的人无论长幼，都有权在与其他每一个人平等的基础上接受教育，并且自从发表《萨拉曼卡声明》和“人人有学上”的愿景以来，各级教育也是这样践行的。</w:t>
      </w:r>
    </w:p>
    <w:p w:rsidR="00D84D94" w:rsidRDefault="00D84D94">
      <w:pPr>
        <w:pStyle w:val="SingleTxtGC"/>
        <w:rPr>
          <w:rFonts w:hint="eastAsia"/>
          <w:lang w:val="en-GB"/>
        </w:rPr>
      </w:pPr>
      <w:r>
        <w:rPr>
          <w:lang w:val="en-GB"/>
        </w:rPr>
        <w:t xml:space="preserve">476.  </w:t>
      </w:r>
      <w:r>
        <w:rPr>
          <w:rFonts w:hint="eastAsia"/>
          <w:lang w:val="en-GB"/>
        </w:rPr>
        <w:t>根据《初等和中等教育法》，有特殊需要的儿童有权得到特殊教育和</w:t>
      </w:r>
      <w:r>
        <w:rPr>
          <w:rFonts w:hint="eastAsia"/>
          <w:lang w:val="en-GB"/>
        </w:rPr>
        <w:t>/</w:t>
      </w:r>
      <w:r>
        <w:rPr>
          <w:rFonts w:hint="eastAsia"/>
          <w:lang w:val="en-GB"/>
        </w:rPr>
        <w:t>或其他形式的特别教育援助和辅助器具。这些规定涵盖学前儿童和义务制小学儿童。根据业已修正的</w:t>
      </w:r>
      <w:r w:rsidRPr="00ED57E7">
        <w:rPr>
          <w:rFonts w:eastAsia="KaiTi_GB2312"/>
          <w:lang w:val="en-GB"/>
        </w:rPr>
        <w:t>6</w:t>
      </w:r>
      <w:r w:rsidRPr="00ED57E7">
        <w:rPr>
          <w:rFonts w:eastAsia="KaiTi_GB2312"/>
          <w:lang w:val="en-GB"/>
        </w:rPr>
        <w:t>月</w:t>
      </w:r>
      <w:r w:rsidRPr="00ED57E7">
        <w:rPr>
          <w:rFonts w:eastAsia="KaiTi_GB2312"/>
          <w:lang w:val="en-GB"/>
        </w:rPr>
        <w:t>22</w:t>
      </w:r>
      <w:r w:rsidRPr="00ED57E7">
        <w:rPr>
          <w:rFonts w:eastAsia="KaiTi_GB2312"/>
          <w:lang w:val="en-GB"/>
        </w:rPr>
        <w:t>日关于对有肢体和心智缺陷的中小学生的特别教育援助的第</w:t>
      </w:r>
      <w:r w:rsidRPr="00ED57E7">
        <w:rPr>
          <w:rFonts w:eastAsia="KaiTi_GB2312"/>
          <w:lang w:val="en-GB"/>
        </w:rPr>
        <w:t>94</w:t>
      </w:r>
      <w:r w:rsidRPr="00ED57E7">
        <w:rPr>
          <w:rFonts w:eastAsia="KaiTi_GB2312"/>
          <w:lang w:val="en-GB"/>
        </w:rPr>
        <w:t>号行政令</w:t>
      </w:r>
      <w:r>
        <w:rPr>
          <w:rFonts w:hint="eastAsia"/>
          <w:lang w:val="en-GB"/>
        </w:rPr>
        <w:t>，所有青年教育方案中的有特殊需要的学生都有权得到特别教育援助和辅助器具。《财政法案》每年都为此目的分配资金。最近几年，文化部出台了提升特殊教育的各种具体措施。设立了有关读写困难、</w:t>
      </w:r>
      <w:r>
        <w:rPr>
          <w:rFonts w:hint="eastAsia"/>
          <w:lang w:val="en-GB"/>
        </w:rPr>
        <w:t>AKT(</w:t>
      </w:r>
      <w:r>
        <w:rPr>
          <w:rFonts w:hint="eastAsia"/>
          <w:lang w:val="en-GB"/>
        </w:rPr>
        <w:t>行为、接触、幸福</w:t>
      </w:r>
      <w:r>
        <w:rPr>
          <w:rFonts w:hint="eastAsia"/>
          <w:lang w:val="en-GB"/>
        </w:rPr>
        <w:t>)</w:t>
      </w:r>
      <w:r>
        <w:rPr>
          <w:rFonts w:hint="eastAsia"/>
          <w:lang w:val="en-GB"/>
        </w:rPr>
        <w:t>、阅读教师和专业教师教育方案，并对法罗群岛上的教育和心理指导</w:t>
      </w:r>
      <w:r>
        <w:rPr>
          <w:rFonts w:hint="eastAsia"/>
          <w:lang w:val="en-GB"/>
        </w:rPr>
        <w:t>(PPR)</w:t>
      </w:r>
      <w:r>
        <w:rPr>
          <w:rFonts w:hint="eastAsia"/>
          <w:lang w:val="en-GB"/>
        </w:rPr>
        <w:t>办公室进行了升级改造和权力下放。此外，目前正在编制有助于有特殊需要的儿童的基于信息技术的考试卷。</w:t>
      </w:r>
    </w:p>
    <w:p w:rsidR="00D84D94" w:rsidRDefault="00D84D94">
      <w:pPr>
        <w:pStyle w:val="SingleTxtGC"/>
        <w:rPr>
          <w:rFonts w:hint="eastAsia"/>
          <w:lang w:val="en-GB"/>
        </w:rPr>
      </w:pPr>
      <w:r>
        <w:rPr>
          <w:lang w:val="en-GB"/>
        </w:rPr>
        <w:t xml:space="preserve">477.  </w:t>
      </w:r>
      <w:r>
        <w:rPr>
          <w:rFonts w:hint="eastAsia"/>
          <w:lang w:val="en-GB"/>
        </w:rPr>
        <w:t>在进行了广泛改革之后，残疾人的权利得到加强，并被写入定于</w:t>
      </w:r>
      <w:r>
        <w:rPr>
          <w:rFonts w:hint="eastAsia"/>
          <w:lang w:val="en-GB"/>
        </w:rPr>
        <w:t>2012</w:t>
      </w:r>
      <w:r>
        <w:rPr>
          <w:rFonts w:hint="eastAsia"/>
          <w:lang w:val="en-GB"/>
        </w:rPr>
        <w:t>年生效的关于青年教育方案的新立法。在这方面，正在努力为所有教育方案调整和拟订行政令和准则。</w:t>
      </w:r>
    </w:p>
    <w:p w:rsidR="00D84D94" w:rsidRDefault="00D84D94">
      <w:pPr>
        <w:pStyle w:val="SingleTxtGC"/>
        <w:rPr>
          <w:rFonts w:hint="eastAsia"/>
          <w:lang w:val="en-GB"/>
        </w:rPr>
      </w:pPr>
      <w:r>
        <w:rPr>
          <w:lang w:val="en-GB"/>
        </w:rPr>
        <w:t xml:space="preserve">478.  </w:t>
      </w:r>
      <w:r>
        <w:rPr>
          <w:rFonts w:hint="eastAsia"/>
          <w:lang w:val="en-GB"/>
        </w:rPr>
        <w:t>根据最近于</w:t>
      </w:r>
      <w:r>
        <w:rPr>
          <w:rFonts w:hint="eastAsia"/>
          <w:lang w:val="en-GB"/>
        </w:rPr>
        <w:t>2003</w:t>
      </w:r>
      <w:r>
        <w:rPr>
          <w:rFonts w:hint="eastAsia"/>
          <w:lang w:val="en-GB"/>
        </w:rPr>
        <w:t>年</w:t>
      </w:r>
      <w:r>
        <w:rPr>
          <w:rFonts w:hint="eastAsia"/>
          <w:lang w:val="en-GB"/>
        </w:rPr>
        <w:t>12</w:t>
      </w:r>
      <w:r>
        <w:rPr>
          <w:rFonts w:hint="eastAsia"/>
          <w:lang w:val="en-GB"/>
        </w:rPr>
        <w:t>月</w:t>
      </w:r>
      <w:r>
        <w:rPr>
          <w:rFonts w:hint="eastAsia"/>
          <w:lang w:val="en-GB"/>
        </w:rPr>
        <w:t>10</w:t>
      </w:r>
      <w:r>
        <w:rPr>
          <w:rFonts w:hint="eastAsia"/>
          <w:lang w:val="en-GB"/>
        </w:rPr>
        <w:t>日修正的</w:t>
      </w:r>
      <w:r>
        <w:rPr>
          <w:rFonts w:hint="eastAsia"/>
          <w:lang w:val="en-GB"/>
        </w:rPr>
        <w:t>1983</w:t>
      </w:r>
      <w:r>
        <w:rPr>
          <w:rFonts w:hint="eastAsia"/>
          <w:lang w:val="en-GB"/>
        </w:rPr>
        <w:t>年</w:t>
      </w:r>
      <w:r>
        <w:rPr>
          <w:rFonts w:hint="eastAsia"/>
          <w:lang w:val="en-GB"/>
        </w:rPr>
        <w:t>6</w:t>
      </w:r>
      <w:r>
        <w:rPr>
          <w:rFonts w:hint="eastAsia"/>
          <w:lang w:val="en-GB"/>
        </w:rPr>
        <w:t>月</w:t>
      </w:r>
      <w:r>
        <w:rPr>
          <w:rFonts w:hint="eastAsia"/>
          <w:lang w:val="en-GB"/>
        </w:rPr>
        <w:t>30</w:t>
      </w:r>
      <w:r>
        <w:rPr>
          <w:rFonts w:hint="eastAsia"/>
          <w:lang w:val="en-GB"/>
        </w:rPr>
        <w:t>日法罗议会关于休</w:t>
      </w:r>
      <w:r>
        <w:rPr>
          <w:lang w:val="en-GB"/>
        </w:rPr>
        <w:t>闲教育</w:t>
      </w:r>
      <w:r>
        <w:rPr>
          <w:rFonts w:hint="eastAsia"/>
          <w:lang w:val="en-GB"/>
        </w:rPr>
        <w:t>的第</w:t>
      </w:r>
      <w:r>
        <w:rPr>
          <w:rFonts w:hint="eastAsia"/>
          <w:lang w:val="en-GB"/>
        </w:rPr>
        <w:t>70</w:t>
      </w:r>
      <w:r>
        <w:rPr>
          <w:rFonts w:hint="eastAsia"/>
          <w:lang w:val="en-GB"/>
        </w:rPr>
        <w:t>号法，市政当局必须为成年人设立专门教育。文化部为市政当局资助获得批准的技术、创意和社会性教育方案提供经济支持。</w:t>
      </w:r>
    </w:p>
    <w:p w:rsidR="00D84D94" w:rsidRDefault="00D84D94">
      <w:pPr>
        <w:pStyle w:val="SingleTxtGC"/>
        <w:rPr>
          <w:rFonts w:hint="eastAsia"/>
          <w:lang w:val="en-GB"/>
        </w:rPr>
      </w:pPr>
      <w:r>
        <w:rPr>
          <w:lang w:val="en-GB"/>
        </w:rPr>
        <w:t xml:space="preserve">479.  </w:t>
      </w:r>
      <w:r>
        <w:rPr>
          <w:rFonts w:hint="eastAsia"/>
          <w:lang w:val="en-GB"/>
        </w:rPr>
        <w:t>对成年人的技术补习辅导必须考虑到个人的特殊需要并按需设计，包括读、写、算，解决听力、视力、讲话、语言和行动问题。</w:t>
      </w:r>
      <w:r>
        <w:rPr>
          <w:rFonts w:hint="eastAsia"/>
          <w:lang w:val="en-GB"/>
        </w:rPr>
        <w:t>1984</w:t>
      </w:r>
      <w:r>
        <w:rPr>
          <w:rFonts w:hint="eastAsia"/>
          <w:lang w:val="en-GB"/>
        </w:rPr>
        <w:t>年</w:t>
      </w:r>
      <w:r>
        <w:rPr>
          <w:rFonts w:hint="eastAsia"/>
          <w:lang w:val="en-GB"/>
        </w:rPr>
        <w:t>12</w:t>
      </w:r>
      <w:r>
        <w:rPr>
          <w:rFonts w:hint="eastAsia"/>
          <w:lang w:val="en-GB"/>
        </w:rPr>
        <w:t>月</w:t>
      </w:r>
      <w:r>
        <w:rPr>
          <w:rFonts w:hint="eastAsia"/>
          <w:lang w:val="en-GB"/>
        </w:rPr>
        <w:t>7</w:t>
      </w:r>
      <w:r>
        <w:rPr>
          <w:rFonts w:hint="eastAsia"/>
          <w:lang w:val="en-GB"/>
        </w:rPr>
        <w:t>日关于成人补习指导的第</w:t>
      </w:r>
      <w:r>
        <w:rPr>
          <w:rFonts w:hint="eastAsia"/>
          <w:lang w:val="en-GB"/>
        </w:rPr>
        <w:t>5</w:t>
      </w:r>
      <w:r>
        <w:rPr>
          <w:rFonts w:hint="eastAsia"/>
          <w:lang w:val="en-GB"/>
        </w:rPr>
        <w:t>号行政令中有关于教学的更详细规定。</w:t>
      </w:r>
    </w:p>
    <w:p w:rsidR="00D84D94" w:rsidRDefault="00D84D94">
      <w:pPr>
        <w:pStyle w:val="H1GC"/>
        <w:rPr>
          <w:rFonts w:hint="eastAsia"/>
          <w:lang w:val="en-GB"/>
        </w:rPr>
      </w:pPr>
      <w:r>
        <w:rPr>
          <w:lang w:val="en-GB"/>
        </w:rPr>
        <w:tab/>
      </w:r>
      <w:r>
        <w:rPr>
          <w:lang w:val="en-GB"/>
        </w:rPr>
        <w:tab/>
      </w:r>
      <w:r>
        <w:rPr>
          <w:rFonts w:hint="eastAsia"/>
          <w:lang w:val="en-GB"/>
        </w:rPr>
        <w:t>第六和二十七条</w:t>
      </w:r>
    </w:p>
    <w:p w:rsidR="00D84D94" w:rsidRDefault="00D84D94">
      <w:pPr>
        <w:pStyle w:val="SingleTxtGC"/>
        <w:rPr>
          <w:rFonts w:hint="eastAsia"/>
          <w:lang w:val="en-GB"/>
        </w:rPr>
      </w:pPr>
      <w:r>
        <w:rPr>
          <w:lang w:val="en-GB"/>
        </w:rPr>
        <w:t xml:space="preserve">480.  </w:t>
      </w:r>
      <w:r>
        <w:rPr>
          <w:rFonts w:hint="eastAsia"/>
          <w:lang w:val="en-GB"/>
        </w:rPr>
        <w:t>2011</w:t>
      </w:r>
      <w:r>
        <w:rPr>
          <w:rFonts w:hint="eastAsia"/>
          <w:lang w:val="en-GB"/>
        </w:rPr>
        <w:t>年</w:t>
      </w:r>
      <w:r>
        <w:rPr>
          <w:rFonts w:hint="eastAsia"/>
          <w:lang w:val="en-GB"/>
        </w:rPr>
        <w:t>5</w:t>
      </w:r>
      <w:r>
        <w:rPr>
          <w:rFonts w:hint="eastAsia"/>
          <w:lang w:val="en-GB"/>
        </w:rPr>
        <w:t>月</w:t>
      </w:r>
      <w:r>
        <w:rPr>
          <w:rFonts w:hint="eastAsia"/>
          <w:lang w:val="en-GB"/>
        </w:rPr>
        <w:t>26</w:t>
      </w:r>
      <w:r>
        <w:rPr>
          <w:rFonts w:hint="eastAsia"/>
          <w:lang w:val="en-GB"/>
        </w:rPr>
        <w:t>日法罗议会关于禁止在劳动力市场中以残疾为由歧视的第</w:t>
      </w:r>
      <w:r>
        <w:rPr>
          <w:rFonts w:hint="eastAsia"/>
          <w:lang w:val="en-GB"/>
        </w:rPr>
        <w:t>63</w:t>
      </w:r>
      <w:r>
        <w:rPr>
          <w:rFonts w:hint="eastAsia"/>
          <w:lang w:val="en-GB"/>
        </w:rPr>
        <w:t>号法，禁止雇主在聘用、解聘、调动或者报酬和一般就业条件方面歧视残疾雇员或求职者，并载有同工同酬原则。该法是强制性的，不能为损害雇员利益而违背。</w:t>
      </w:r>
    </w:p>
    <w:p w:rsidR="00D84D94" w:rsidRDefault="00D84D94">
      <w:pPr>
        <w:pStyle w:val="SingleTxtGC"/>
        <w:rPr>
          <w:rFonts w:hint="eastAsia"/>
          <w:lang w:val="en-GB"/>
        </w:rPr>
      </w:pPr>
      <w:r>
        <w:rPr>
          <w:lang w:val="en-GB"/>
        </w:rPr>
        <w:t xml:space="preserve">481.  </w:t>
      </w:r>
      <w:r>
        <w:rPr>
          <w:rFonts w:hint="eastAsia"/>
          <w:lang w:val="en-GB"/>
        </w:rPr>
        <w:t>此外，该法指出，关于招工广告或职业培训方案申请，禁止专门针对残疾人打广告或声称残疾申请者优先。广告也不能说不欢迎残疾人申请。最后，个人或集体协议中的规定或者雇主内部规则中的规定若与法律冲突，则属无效。这一条对公共和私营雇主都适用。</w:t>
      </w:r>
    </w:p>
    <w:p w:rsidR="00D84D94" w:rsidRDefault="00D84D94">
      <w:pPr>
        <w:pStyle w:val="SingleTxtGC"/>
        <w:rPr>
          <w:rFonts w:hint="eastAsia"/>
          <w:lang w:val="en-GB"/>
        </w:rPr>
      </w:pPr>
      <w:r>
        <w:rPr>
          <w:lang w:val="en-GB"/>
        </w:rPr>
        <w:t xml:space="preserve">482.  </w:t>
      </w:r>
      <w:r>
        <w:rPr>
          <w:rFonts w:hint="eastAsia"/>
          <w:lang w:val="en-GB"/>
        </w:rPr>
        <w:t>1994</w:t>
      </w:r>
      <w:r>
        <w:rPr>
          <w:rFonts w:hint="eastAsia"/>
          <w:lang w:val="en-GB"/>
        </w:rPr>
        <w:t>年</w:t>
      </w:r>
      <w:r>
        <w:rPr>
          <w:rFonts w:hint="eastAsia"/>
          <w:lang w:val="en-GB"/>
        </w:rPr>
        <w:t>5</w:t>
      </w:r>
      <w:r>
        <w:rPr>
          <w:rFonts w:hint="eastAsia"/>
          <w:lang w:val="en-GB"/>
        </w:rPr>
        <w:t>月</w:t>
      </w:r>
      <w:r>
        <w:rPr>
          <w:rFonts w:hint="eastAsia"/>
          <w:lang w:val="en-GB"/>
        </w:rPr>
        <w:t>3</w:t>
      </w:r>
      <w:r>
        <w:rPr>
          <w:rFonts w:hint="eastAsia"/>
          <w:lang w:val="en-GB"/>
        </w:rPr>
        <w:t>日法罗议会关于男女两性平等的第</w:t>
      </w:r>
      <w:r>
        <w:rPr>
          <w:rFonts w:hint="eastAsia"/>
          <w:lang w:val="en-GB"/>
        </w:rPr>
        <w:t>52</w:t>
      </w:r>
      <w:r>
        <w:rPr>
          <w:rFonts w:hint="eastAsia"/>
          <w:lang w:val="en-GB"/>
        </w:rPr>
        <w:t>号法普遍禁止以性别为由的歧视。此外，该法指出，男女在教育、工作以及技术和文化发展方面必须享有平等机会。据认为，该法以及禁止在劳动力市场中以残疾为由歧视的法案共同为残疾妇女不会由于残疾和性别受到歧视提供了必要保证。</w:t>
      </w:r>
    </w:p>
    <w:p w:rsidR="00D84D94" w:rsidRDefault="00D84D94">
      <w:pPr>
        <w:pStyle w:val="H1GC"/>
        <w:rPr>
          <w:rFonts w:hint="eastAsia"/>
          <w:lang w:val="en-GB"/>
        </w:rPr>
      </w:pPr>
      <w:r>
        <w:rPr>
          <w:lang w:val="en-GB"/>
        </w:rPr>
        <w:tab/>
      </w:r>
      <w:r>
        <w:rPr>
          <w:lang w:val="en-GB"/>
        </w:rPr>
        <w:tab/>
      </w:r>
      <w:r>
        <w:rPr>
          <w:rFonts w:hint="eastAsia"/>
          <w:lang w:val="en-GB"/>
        </w:rPr>
        <w:t>第十九和二十条</w:t>
      </w:r>
    </w:p>
    <w:p w:rsidR="00D84D94" w:rsidRDefault="00D84D94">
      <w:pPr>
        <w:pStyle w:val="SingleTxtGC"/>
        <w:rPr>
          <w:rFonts w:hint="eastAsia"/>
          <w:lang w:val="en-GB"/>
        </w:rPr>
      </w:pPr>
      <w:r>
        <w:rPr>
          <w:lang w:val="en-GB"/>
        </w:rPr>
        <w:t xml:space="preserve">483.  </w:t>
      </w:r>
      <w:r>
        <w:rPr>
          <w:rFonts w:hint="eastAsia"/>
          <w:lang w:val="en-GB"/>
        </w:rPr>
        <w:t>1988</w:t>
      </w:r>
      <w:r>
        <w:rPr>
          <w:rFonts w:hint="eastAsia"/>
          <w:lang w:val="en-GB"/>
        </w:rPr>
        <w:t>年</w:t>
      </w:r>
      <w:r>
        <w:rPr>
          <w:rFonts w:hint="eastAsia"/>
          <w:lang w:val="en-GB"/>
        </w:rPr>
        <w:t>3</w:t>
      </w:r>
      <w:r>
        <w:rPr>
          <w:rFonts w:hint="eastAsia"/>
          <w:lang w:val="en-GB"/>
        </w:rPr>
        <w:t>月</w:t>
      </w:r>
      <w:r>
        <w:rPr>
          <w:rFonts w:hint="eastAsia"/>
          <w:lang w:val="en-GB"/>
        </w:rPr>
        <w:t>8</w:t>
      </w:r>
      <w:r>
        <w:rPr>
          <w:rFonts w:hint="eastAsia"/>
          <w:lang w:val="en-GB"/>
        </w:rPr>
        <w:t>日丹麦议会关于社会福利的第</w:t>
      </w:r>
      <w:r>
        <w:rPr>
          <w:rFonts w:hint="eastAsia"/>
          <w:lang w:val="en-GB"/>
        </w:rPr>
        <w:t>100</w:t>
      </w:r>
      <w:r>
        <w:rPr>
          <w:rFonts w:hint="eastAsia"/>
          <w:lang w:val="en-GB"/>
        </w:rPr>
        <w:t>号法原始本适用于社会领域。该法原始本所基于的与其说是现代残疾政策，不如说是福利概念。该法历经几次修正，但立法基础依然不能令人满意，因此该领域的司法实践也不能令人满意。不过，法罗社会事务部已开始审查社会服务领域。</w:t>
      </w:r>
      <w:r>
        <w:rPr>
          <w:rFonts w:hint="eastAsia"/>
          <w:lang w:val="en-GB"/>
        </w:rPr>
        <w:t>2010</w:t>
      </w:r>
      <w:r>
        <w:rPr>
          <w:rFonts w:hint="eastAsia"/>
          <w:lang w:val="en-GB"/>
        </w:rPr>
        <w:t>年</w:t>
      </w:r>
      <w:r>
        <w:rPr>
          <w:rFonts w:hint="eastAsia"/>
          <w:lang w:val="en-GB"/>
        </w:rPr>
        <w:t>4</w:t>
      </w:r>
      <w:r>
        <w:rPr>
          <w:rFonts w:hint="eastAsia"/>
          <w:lang w:val="en-GB"/>
        </w:rPr>
        <w:t>月</w:t>
      </w:r>
      <w:r>
        <w:rPr>
          <w:rFonts w:hint="eastAsia"/>
          <w:lang w:val="en-GB"/>
        </w:rPr>
        <w:t>1</w:t>
      </w:r>
      <w:r>
        <w:rPr>
          <w:rFonts w:hint="eastAsia"/>
          <w:lang w:val="en-GB"/>
        </w:rPr>
        <w:t>日，关于辅助器具的新规则生效。</w:t>
      </w:r>
      <w:r>
        <w:rPr>
          <w:rFonts w:hint="eastAsia"/>
          <w:lang w:val="en-GB"/>
        </w:rPr>
        <w:t>2011</w:t>
      </w:r>
      <w:r>
        <w:rPr>
          <w:rFonts w:hint="eastAsia"/>
          <w:lang w:val="en-GB"/>
        </w:rPr>
        <w:t>年秋，还会有一项关于康复和福利工作的新议案提交法罗议会。</w:t>
      </w:r>
    </w:p>
    <w:p w:rsidR="00D84D94" w:rsidRDefault="00D84D94">
      <w:pPr>
        <w:pStyle w:val="SingleTxtGC"/>
        <w:rPr>
          <w:rFonts w:hint="eastAsia"/>
          <w:lang w:val="en-GB"/>
        </w:rPr>
      </w:pPr>
      <w:r>
        <w:rPr>
          <w:lang w:val="en-GB"/>
        </w:rPr>
        <w:t xml:space="preserve">484.  </w:t>
      </w:r>
      <w:r>
        <w:rPr>
          <w:rFonts w:hint="eastAsia"/>
          <w:lang w:val="en-GB"/>
        </w:rPr>
        <w:t>社会立法中有一些条款旨在使个人更有可能自立，或者旨在便利人们的日常生活和提高生活品质。譬如，社会服务当局为辅助器具、购置汽车和住房改造提供支持。另外，社会服务部门还可以为个人援助提供支持，协助并料理必要的家务，派人帮助残疾人，以便残疾人能够过上独立、积极的生活。帮助和支持按个人需要提供，但是不属于公民管理的个人援助计划。不管怎么说，它们是要让帮助更加灵活，公民能够管理。</w:t>
      </w:r>
    </w:p>
    <w:p w:rsidR="00D84D94" w:rsidRDefault="00D84D94">
      <w:pPr>
        <w:pStyle w:val="SingleTxtGC"/>
        <w:rPr>
          <w:rFonts w:hint="eastAsia"/>
          <w:lang w:val="en-GB"/>
        </w:rPr>
      </w:pPr>
      <w:r>
        <w:rPr>
          <w:lang w:val="en-GB"/>
        </w:rPr>
        <w:t xml:space="preserve">485.  </w:t>
      </w:r>
      <w:r w:rsidRPr="003B1FC2">
        <w:rPr>
          <w:rFonts w:eastAsia="KaiTi_GB2312"/>
          <w:lang w:val="en-GB"/>
        </w:rPr>
        <w:t>2004-2009</w:t>
      </w:r>
      <w:r w:rsidRPr="003B1FC2">
        <w:rPr>
          <w:rFonts w:eastAsia="KaiTi_GB2312"/>
          <w:lang w:val="en-GB"/>
        </w:rPr>
        <w:t>年期间得到上门帮助的</w:t>
      </w:r>
      <w:r w:rsidRPr="003B1FC2">
        <w:rPr>
          <w:rFonts w:eastAsia="KaiTi_GB2312"/>
          <w:lang w:val="en-GB"/>
        </w:rPr>
        <w:t>18-66</w:t>
      </w:r>
      <w:r w:rsidRPr="003B1FC2">
        <w:rPr>
          <w:rFonts w:eastAsia="KaiTi_GB2312"/>
          <w:lang w:val="en-GB"/>
        </w:rPr>
        <w:t>岁人员</w:t>
      </w:r>
      <w:r>
        <w:rPr>
          <w:rFonts w:hint="eastAsia"/>
          <w:lang w:val="en-GB"/>
        </w:rPr>
        <w:t>：得到上门帮助者群体占全部</w:t>
      </w:r>
      <w:r>
        <w:rPr>
          <w:iCs/>
          <w:lang w:val="en-GB"/>
        </w:rPr>
        <w:t>18-66</w:t>
      </w:r>
      <w:r>
        <w:rPr>
          <w:rFonts w:hint="eastAsia"/>
          <w:iCs/>
          <w:lang w:val="en-GB"/>
        </w:rPr>
        <w:t>岁人口的</w:t>
      </w:r>
      <w:r>
        <w:rPr>
          <w:iCs/>
          <w:lang w:val="en-GB"/>
        </w:rPr>
        <w:t>0.2</w:t>
      </w:r>
      <w:r>
        <w:rPr>
          <w:rFonts w:hint="eastAsia"/>
          <w:iCs/>
          <w:lang w:val="en-GB"/>
        </w:rPr>
        <w:t>%</w:t>
      </w:r>
      <w:r>
        <w:rPr>
          <w:iCs/>
          <w:lang w:val="en-GB"/>
        </w:rPr>
        <w:t>-0.5</w:t>
      </w:r>
      <w:r>
        <w:rPr>
          <w:rFonts w:hint="eastAsia"/>
          <w:iCs/>
          <w:lang w:val="en-GB"/>
        </w:rPr>
        <w:t>%</w:t>
      </w:r>
      <w:r>
        <w:rPr>
          <w:iCs/>
          <w:lang w:val="en-GB"/>
        </w:rPr>
        <w:t xml:space="preserve"> </w:t>
      </w:r>
      <w:r>
        <w:rPr>
          <w:rFonts w:hint="eastAsia"/>
          <w:iCs/>
          <w:lang w:val="en-GB"/>
        </w:rPr>
        <w:t>(</w:t>
      </w:r>
      <w:r w:rsidRPr="003B1FC2">
        <w:rPr>
          <w:rFonts w:ascii="KaiTi_GB2312" w:eastAsia="KaiTi_GB2312" w:hint="eastAsia"/>
          <w:iCs/>
          <w:sz w:val="19"/>
          <w:szCs w:val="19"/>
          <w:lang w:val="en-GB"/>
        </w:rPr>
        <w:t>资料来源：</w:t>
      </w:r>
      <w:r w:rsidRPr="003B1FC2">
        <w:rPr>
          <w:iCs/>
          <w:sz w:val="19"/>
          <w:szCs w:val="19"/>
          <w:lang w:val="en-GB"/>
        </w:rPr>
        <w:t>Nososko</w:t>
      </w:r>
      <w:r>
        <w:rPr>
          <w:rFonts w:hint="eastAsia"/>
          <w:iCs/>
          <w:lang w:val="en-GB"/>
        </w:rPr>
        <w:t>)</w:t>
      </w:r>
      <w:r>
        <w:rPr>
          <w:rFonts w:hint="eastAsia"/>
          <w:iCs/>
          <w:lang w:val="en-GB"/>
        </w:rPr>
        <w:t>。</w:t>
      </w:r>
    </w:p>
    <w:p w:rsidR="00D84D94" w:rsidRDefault="00D84D94">
      <w:pPr>
        <w:pStyle w:val="H23GC"/>
        <w:rPr>
          <w:rFonts w:hint="eastAsia"/>
          <w:lang w:val="en-GB"/>
        </w:rPr>
      </w:pPr>
      <w:r>
        <w:rPr>
          <w:lang w:val="en-GB"/>
        </w:rPr>
        <w:tab/>
      </w:r>
      <w:r>
        <w:rPr>
          <w:lang w:val="en-GB"/>
        </w:rPr>
        <w:tab/>
      </w:r>
      <w:r>
        <w:rPr>
          <w:rFonts w:hint="eastAsia"/>
          <w:lang w:val="en-GB"/>
        </w:rPr>
        <w:t>住宿支助</w:t>
      </w:r>
    </w:p>
    <w:p w:rsidR="00D84D94" w:rsidRDefault="00D84D94">
      <w:pPr>
        <w:pStyle w:val="SingleTxtGC"/>
        <w:rPr>
          <w:rFonts w:hint="eastAsia"/>
          <w:lang w:val="en-GB"/>
        </w:rPr>
      </w:pPr>
      <w:r>
        <w:rPr>
          <w:lang w:val="en-GB"/>
        </w:rPr>
        <w:t xml:space="preserve">486.  </w:t>
      </w:r>
      <w:r>
        <w:rPr>
          <w:rFonts w:hint="eastAsia"/>
          <w:lang w:val="en-GB"/>
        </w:rPr>
        <w:t>法罗住房市场基本上是一个私营市场，有特殊需要者找到适宜的住宅可能会有困难。几年来，法罗政府一直在研究除房主自住私有住房或私人出租房外的其他方案。其他现代福利院以及残疾人友好型独立住房严重短缺。政府正在想方设法建造更多住房。《财政法案》为约</w:t>
      </w:r>
      <w:r>
        <w:rPr>
          <w:rFonts w:hint="eastAsia"/>
          <w:lang w:val="en-GB"/>
        </w:rPr>
        <w:t>60</w:t>
      </w:r>
      <w:r>
        <w:rPr>
          <w:rFonts w:hint="eastAsia"/>
          <w:lang w:val="en-GB"/>
        </w:rPr>
        <w:t>个福利院单元拨出资金，这些单元必须在</w:t>
      </w:r>
      <w:r>
        <w:rPr>
          <w:rFonts w:hint="eastAsia"/>
          <w:lang w:val="en-GB"/>
        </w:rPr>
        <w:t>2013</w:t>
      </w:r>
      <w:r>
        <w:rPr>
          <w:rFonts w:hint="eastAsia"/>
          <w:lang w:val="en-GB"/>
        </w:rPr>
        <w:t>年建成。另外，政府正在拟订一项关于私人合作建房和社会住房的议案。</w:t>
      </w:r>
    </w:p>
    <w:p w:rsidR="00D84D94" w:rsidRDefault="00D84D94">
      <w:pPr>
        <w:pStyle w:val="SingleTxtGC"/>
        <w:rPr>
          <w:rFonts w:hint="eastAsia"/>
          <w:lang w:val="en-GB"/>
        </w:rPr>
      </w:pPr>
      <w:r>
        <w:rPr>
          <w:lang w:val="en-GB"/>
        </w:rPr>
        <w:t xml:space="preserve">487.  </w:t>
      </w:r>
      <w:r>
        <w:rPr>
          <w:rFonts w:hint="eastAsia"/>
          <w:lang w:val="en-GB"/>
        </w:rPr>
        <w:t>2010</w:t>
      </w:r>
      <w:r>
        <w:rPr>
          <w:rFonts w:hint="eastAsia"/>
          <w:lang w:val="en-GB"/>
        </w:rPr>
        <w:t>年</w:t>
      </w:r>
      <w:r>
        <w:rPr>
          <w:rFonts w:hint="eastAsia"/>
          <w:lang w:val="en-GB"/>
        </w:rPr>
        <w:t>11</w:t>
      </w:r>
      <w:r>
        <w:rPr>
          <w:rFonts w:hint="eastAsia"/>
          <w:lang w:val="en-GB"/>
        </w:rPr>
        <w:t>月，等待服务单元者名单上的不满</w:t>
      </w:r>
      <w:r>
        <w:rPr>
          <w:rFonts w:hint="eastAsia"/>
          <w:lang w:val="en-GB"/>
        </w:rPr>
        <w:t>67</w:t>
      </w:r>
      <w:r>
        <w:rPr>
          <w:rFonts w:hint="eastAsia"/>
          <w:lang w:val="en-GB"/>
        </w:rPr>
        <w:t>岁者共有</w:t>
      </w:r>
      <w:r>
        <w:rPr>
          <w:rFonts w:hint="eastAsia"/>
          <w:lang w:val="en-GB"/>
        </w:rPr>
        <w:t>38</w:t>
      </w:r>
      <w:r>
        <w:rPr>
          <w:rFonts w:hint="eastAsia"/>
          <w:lang w:val="en-GB"/>
        </w:rPr>
        <w:t>人。</w:t>
      </w:r>
      <w:r>
        <w:rPr>
          <w:lang w:val="en-GB"/>
        </w:rPr>
        <w:t>2004-2009</w:t>
      </w:r>
      <w:r>
        <w:rPr>
          <w:rFonts w:hint="eastAsia"/>
          <w:lang w:val="en-GB"/>
        </w:rPr>
        <w:t>年居住在福利院</w:t>
      </w:r>
      <w:r>
        <w:rPr>
          <w:rFonts w:hint="eastAsia"/>
          <w:lang w:val="en-GB"/>
        </w:rPr>
        <w:t>/</w:t>
      </w:r>
      <w:r>
        <w:rPr>
          <w:rFonts w:hint="eastAsia"/>
          <w:lang w:val="en-GB"/>
        </w:rPr>
        <w:t>服务单元里的不满</w:t>
      </w:r>
      <w:r>
        <w:rPr>
          <w:rFonts w:hint="eastAsia"/>
          <w:lang w:val="en-GB"/>
        </w:rPr>
        <w:t>67</w:t>
      </w:r>
      <w:r>
        <w:rPr>
          <w:rFonts w:hint="eastAsia"/>
          <w:lang w:val="en-GB"/>
        </w:rPr>
        <w:t>岁者：居住在福利院</w:t>
      </w:r>
      <w:r>
        <w:rPr>
          <w:rFonts w:hint="eastAsia"/>
          <w:lang w:val="en-GB"/>
        </w:rPr>
        <w:t>/</w:t>
      </w:r>
      <w:r>
        <w:rPr>
          <w:rFonts w:hint="eastAsia"/>
          <w:lang w:val="en-GB"/>
        </w:rPr>
        <w:t>服务单元里的人群占</w:t>
      </w:r>
      <w:r>
        <w:rPr>
          <w:lang w:val="en-GB"/>
        </w:rPr>
        <w:t>18-66</w:t>
      </w:r>
      <w:r>
        <w:rPr>
          <w:rFonts w:hint="eastAsia"/>
          <w:lang w:val="en-GB"/>
        </w:rPr>
        <w:t>岁总人口的</w:t>
      </w:r>
      <w:r>
        <w:rPr>
          <w:lang w:val="en-GB"/>
        </w:rPr>
        <w:t>0.3</w:t>
      </w:r>
      <w:r>
        <w:rPr>
          <w:rFonts w:hint="eastAsia"/>
          <w:lang w:val="en-GB"/>
        </w:rPr>
        <w:t>%</w:t>
      </w:r>
      <w:r>
        <w:rPr>
          <w:lang w:val="en-GB"/>
        </w:rPr>
        <w:t>-0.5</w:t>
      </w:r>
      <w:r>
        <w:rPr>
          <w:rFonts w:hint="eastAsia"/>
          <w:lang w:val="en-GB"/>
        </w:rPr>
        <w:t>%</w:t>
      </w:r>
      <w:r>
        <w:rPr>
          <w:lang w:val="en-GB"/>
        </w:rPr>
        <w:t xml:space="preserve"> </w:t>
      </w:r>
      <w:r>
        <w:rPr>
          <w:rFonts w:hint="eastAsia"/>
          <w:lang w:val="en-GB"/>
        </w:rPr>
        <w:t>(</w:t>
      </w:r>
      <w:r w:rsidRPr="003B1FC2">
        <w:rPr>
          <w:rFonts w:ascii="KaiTi_GB2312" w:eastAsia="KaiTi_GB2312" w:hint="eastAsia"/>
          <w:sz w:val="19"/>
          <w:szCs w:val="19"/>
          <w:lang w:val="en-GB"/>
        </w:rPr>
        <w:t>资料来源：</w:t>
      </w:r>
      <w:r w:rsidRPr="003B1FC2">
        <w:rPr>
          <w:sz w:val="19"/>
          <w:szCs w:val="19"/>
          <w:lang w:val="en-GB"/>
        </w:rPr>
        <w:t>Nososko</w:t>
      </w:r>
      <w:r>
        <w:rPr>
          <w:rFonts w:hint="eastAsia"/>
          <w:lang w:val="en-GB"/>
        </w:rPr>
        <w:t>)</w:t>
      </w:r>
      <w:r>
        <w:rPr>
          <w:rFonts w:hint="eastAsia"/>
          <w:lang w:val="en-GB"/>
        </w:rPr>
        <w:t>。</w:t>
      </w:r>
    </w:p>
    <w:p w:rsidR="00D84D94" w:rsidRDefault="00D84D94">
      <w:pPr>
        <w:pStyle w:val="H23GC"/>
        <w:rPr>
          <w:rFonts w:hint="eastAsia"/>
          <w:lang w:val="en-GB"/>
        </w:rPr>
      </w:pPr>
      <w:r>
        <w:rPr>
          <w:lang w:val="en-GB"/>
        </w:rPr>
        <w:tab/>
      </w:r>
      <w:r>
        <w:rPr>
          <w:lang w:val="en-GB"/>
        </w:rPr>
        <w:tab/>
      </w:r>
      <w:r>
        <w:rPr>
          <w:rFonts w:hint="eastAsia"/>
          <w:lang w:val="en-GB"/>
        </w:rPr>
        <w:t>交通支助</w:t>
      </w:r>
    </w:p>
    <w:p w:rsidR="00D84D94" w:rsidRDefault="00D84D94">
      <w:pPr>
        <w:pStyle w:val="SingleTxtGC"/>
        <w:rPr>
          <w:rFonts w:hint="eastAsia"/>
          <w:lang w:val="en-GB"/>
        </w:rPr>
      </w:pPr>
      <w:r>
        <w:rPr>
          <w:lang w:val="en-GB"/>
        </w:rPr>
        <w:t xml:space="preserve">488.  </w:t>
      </w:r>
      <w:r>
        <w:rPr>
          <w:rFonts w:hint="eastAsia"/>
          <w:lang w:val="en-GB"/>
        </w:rPr>
        <w:t>由于心智或肢体原因行动能力永久性减退者，若其行动能力减退构成交通、工作或教育方面的严重劣势，可以申请购车补助。市镇可以为由于残疾无法利用公共交通运输者建立交通运输。在《财政法案》下为这种方案分配了支助款。法罗群岛三个最大的市政当局均参加了该方案。</w:t>
      </w:r>
    </w:p>
    <w:p w:rsidR="00D84D94" w:rsidRDefault="00D84D94">
      <w:pPr>
        <w:pStyle w:val="SingleTxtGC"/>
        <w:rPr>
          <w:rFonts w:hint="eastAsia"/>
          <w:lang w:val="en-GB"/>
        </w:rPr>
      </w:pPr>
      <w:r>
        <w:rPr>
          <w:lang w:val="en-GB"/>
        </w:rPr>
        <w:t xml:space="preserve">489.  </w:t>
      </w:r>
      <w:r>
        <w:rPr>
          <w:rFonts w:hint="eastAsia"/>
          <w:lang w:val="en-GB"/>
        </w:rPr>
        <w:t>根据《初等和中等教育法》第</w:t>
      </w:r>
      <w:r>
        <w:rPr>
          <w:rFonts w:hint="eastAsia"/>
          <w:lang w:val="en-GB"/>
        </w:rPr>
        <w:t>33</w:t>
      </w:r>
      <w:r>
        <w:rPr>
          <w:rFonts w:hint="eastAsia"/>
          <w:lang w:val="en-GB"/>
        </w:rPr>
        <w:t>条，市镇必须为患有永久性肢体和</w:t>
      </w:r>
      <w:r>
        <w:rPr>
          <w:rFonts w:hint="eastAsia"/>
          <w:lang w:val="en-GB"/>
        </w:rPr>
        <w:t>/</w:t>
      </w:r>
      <w:r>
        <w:rPr>
          <w:rFonts w:hint="eastAsia"/>
          <w:lang w:val="en-GB"/>
        </w:rPr>
        <w:t>或心智残疾的中小学生提供免费交通运输。</w:t>
      </w:r>
    </w:p>
    <w:p w:rsidR="00D84D94" w:rsidRDefault="00D84D94">
      <w:pPr>
        <w:pStyle w:val="H1GC"/>
        <w:rPr>
          <w:rFonts w:hint="eastAsia"/>
          <w:lang w:val="en-GB"/>
        </w:rPr>
      </w:pPr>
      <w:r>
        <w:rPr>
          <w:lang w:val="en-GB"/>
        </w:rPr>
        <w:tab/>
      </w:r>
      <w:r>
        <w:rPr>
          <w:lang w:val="en-GB"/>
        </w:rPr>
        <w:tab/>
      </w:r>
      <w:r>
        <w:rPr>
          <w:rFonts w:hint="eastAsia"/>
          <w:lang w:val="en-GB"/>
        </w:rPr>
        <w:t>第二十三和二十八条</w:t>
      </w:r>
    </w:p>
    <w:p w:rsidR="00D84D94" w:rsidRDefault="00D84D94">
      <w:pPr>
        <w:pStyle w:val="SingleTxtGC"/>
        <w:rPr>
          <w:rFonts w:hint="eastAsia"/>
          <w:lang w:val="en-GB"/>
        </w:rPr>
      </w:pPr>
      <w:r>
        <w:rPr>
          <w:lang w:val="en-GB"/>
        </w:rPr>
        <w:t xml:space="preserve">490.  </w:t>
      </w:r>
      <w:r>
        <w:rPr>
          <w:rFonts w:hint="eastAsia"/>
          <w:lang w:val="en-GB"/>
        </w:rPr>
        <w:t>根据社会立法，若某个儿童或青年人的生活条件可能损害其健康或发育时，市政当局有义务伸出援手。援助要以该儿童或青年人的最大利益为出发点。由于自身残疾导致家庭生活和育儿困难的父母，可以根据社会立法申请支助人员方案。</w:t>
      </w:r>
    </w:p>
    <w:p w:rsidR="00D84D94" w:rsidRDefault="00D84D94">
      <w:pPr>
        <w:pStyle w:val="SingleTxtGC"/>
        <w:rPr>
          <w:rFonts w:hint="eastAsia"/>
          <w:lang w:val="en-GB"/>
        </w:rPr>
      </w:pPr>
      <w:r>
        <w:rPr>
          <w:lang w:val="en-GB"/>
        </w:rPr>
        <w:t xml:space="preserve">491.  </w:t>
      </w:r>
      <w:r>
        <w:rPr>
          <w:lang w:val="en-GB"/>
        </w:rPr>
        <w:t>至</w:t>
      </w:r>
      <w:r>
        <w:rPr>
          <w:rFonts w:hint="eastAsia"/>
          <w:lang w:val="en-GB"/>
        </w:rPr>
        <w:t>于既不能自立也没有社会保障的人员，为其提供社会援助。社会援助须调查谋生手段，并取决于家庭收入和资产。这种援助不考虑受助人残疾与否。</w:t>
      </w:r>
    </w:p>
    <w:p w:rsidR="00D84D94" w:rsidRDefault="00D84D94">
      <w:pPr>
        <w:pStyle w:val="SingleTxtGC"/>
        <w:rPr>
          <w:rFonts w:hint="eastAsia"/>
          <w:lang w:val="en-GB"/>
        </w:rPr>
      </w:pPr>
      <w:r>
        <w:rPr>
          <w:lang w:val="en-GB"/>
        </w:rPr>
        <w:t xml:space="preserve">492.  </w:t>
      </w:r>
      <w:r>
        <w:rPr>
          <w:rFonts w:hint="eastAsia"/>
          <w:lang w:val="en-GB"/>
        </w:rPr>
        <w:t>根据社会立法，对于由于肢体、心智或社会原因赚钱能力减退并因此难以继续参与劳动力市场者，应为其提供康复补助。康复补助须调查谋生手段，但不考虑家庭收入和资产。计划于</w:t>
      </w:r>
      <w:r>
        <w:rPr>
          <w:rFonts w:hint="eastAsia"/>
          <w:lang w:val="en-GB"/>
        </w:rPr>
        <w:t>2011</w:t>
      </w:r>
      <w:r>
        <w:rPr>
          <w:rFonts w:hint="eastAsia"/>
          <w:lang w:val="en-GB"/>
        </w:rPr>
        <w:t>年提出一项立法修正案，主要目标是加强康复举措。</w:t>
      </w:r>
    </w:p>
    <w:p w:rsidR="00D84D94" w:rsidRDefault="00D84D94">
      <w:pPr>
        <w:pStyle w:val="SingleTxtGC"/>
        <w:rPr>
          <w:rFonts w:hint="eastAsia"/>
          <w:lang w:val="en-GB"/>
        </w:rPr>
      </w:pPr>
      <w:r>
        <w:rPr>
          <w:lang w:val="en-GB"/>
        </w:rPr>
        <w:t>493.  2004-2009</w:t>
      </w:r>
      <w:r>
        <w:rPr>
          <w:rFonts w:hint="eastAsia"/>
          <w:lang w:val="en-GB"/>
        </w:rPr>
        <w:t>年期间康复补助的领取人：领取康复补助的人口占</w:t>
      </w:r>
      <w:r>
        <w:rPr>
          <w:lang w:val="en-GB"/>
        </w:rPr>
        <w:t>18-66</w:t>
      </w:r>
      <w:r>
        <w:rPr>
          <w:rFonts w:hint="eastAsia"/>
          <w:lang w:val="en-GB"/>
        </w:rPr>
        <w:t>岁总人口的</w:t>
      </w:r>
      <w:r>
        <w:rPr>
          <w:lang w:val="en-GB"/>
        </w:rPr>
        <w:t>0.7</w:t>
      </w:r>
      <w:r>
        <w:rPr>
          <w:rFonts w:hint="eastAsia"/>
          <w:lang w:val="en-GB"/>
        </w:rPr>
        <w:t>%</w:t>
      </w:r>
      <w:r>
        <w:rPr>
          <w:lang w:val="en-GB"/>
        </w:rPr>
        <w:t>-0.8</w:t>
      </w:r>
      <w:r>
        <w:rPr>
          <w:rFonts w:hint="eastAsia"/>
          <w:lang w:val="en-GB"/>
        </w:rPr>
        <w:t>%</w:t>
      </w:r>
      <w:r>
        <w:rPr>
          <w:lang w:val="en-GB"/>
        </w:rPr>
        <w:t xml:space="preserve"> </w:t>
      </w:r>
      <w:r>
        <w:rPr>
          <w:rFonts w:hint="eastAsia"/>
          <w:lang w:val="en-GB"/>
        </w:rPr>
        <w:t>(</w:t>
      </w:r>
      <w:r w:rsidRPr="003B1FC2">
        <w:rPr>
          <w:rFonts w:eastAsia="KaiTi_GB2312"/>
          <w:sz w:val="19"/>
          <w:szCs w:val="19"/>
          <w:lang w:val="en-GB"/>
        </w:rPr>
        <w:t>资料来源：</w:t>
      </w:r>
      <w:r w:rsidRPr="003B1FC2">
        <w:rPr>
          <w:rFonts w:eastAsia="KaiTi_GB2312"/>
          <w:sz w:val="19"/>
          <w:szCs w:val="19"/>
          <w:lang w:val="en-GB"/>
        </w:rPr>
        <w:t>Nososko</w:t>
      </w:r>
      <w:r>
        <w:rPr>
          <w:rFonts w:hint="eastAsia"/>
          <w:lang w:val="en-GB"/>
        </w:rPr>
        <w:t>)</w:t>
      </w:r>
      <w:r>
        <w:rPr>
          <w:rFonts w:hint="eastAsia"/>
          <w:lang w:val="en-GB"/>
        </w:rPr>
        <w:t>。</w:t>
      </w:r>
    </w:p>
    <w:p w:rsidR="00D84D94" w:rsidRDefault="00D84D94">
      <w:pPr>
        <w:pStyle w:val="H23GC"/>
        <w:rPr>
          <w:rFonts w:hint="eastAsia"/>
          <w:lang w:val="en-GB"/>
        </w:rPr>
      </w:pPr>
      <w:r>
        <w:rPr>
          <w:lang w:val="en-GB"/>
        </w:rPr>
        <w:tab/>
      </w:r>
      <w:r>
        <w:rPr>
          <w:lang w:val="en-GB"/>
        </w:rPr>
        <w:tab/>
      </w:r>
      <w:r>
        <w:rPr>
          <w:rFonts w:hint="eastAsia"/>
          <w:lang w:val="en-GB"/>
        </w:rPr>
        <w:t>额外开支和工资损失补助</w:t>
      </w:r>
    </w:p>
    <w:p w:rsidR="00D84D94" w:rsidRDefault="00D84D94">
      <w:pPr>
        <w:pStyle w:val="SingleTxtGC"/>
        <w:rPr>
          <w:rFonts w:hint="eastAsia"/>
          <w:lang w:val="en-GB"/>
        </w:rPr>
      </w:pPr>
      <w:r>
        <w:rPr>
          <w:lang w:val="en-GB"/>
        </w:rPr>
        <w:t xml:space="preserve">494.  </w:t>
      </w:r>
      <w:r>
        <w:rPr>
          <w:rFonts w:hint="eastAsia"/>
          <w:lang w:val="en-GB"/>
        </w:rPr>
        <w:t>根据社会立法，若对患有肢体或心智障碍的未满</w:t>
      </w:r>
      <w:r>
        <w:rPr>
          <w:rFonts w:hint="eastAsia"/>
          <w:lang w:val="en-GB"/>
        </w:rPr>
        <w:t>18</w:t>
      </w:r>
      <w:r>
        <w:rPr>
          <w:rFonts w:hint="eastAsia"/>
          <w:lang w:val="en-GB"/>
        </w:rPr>
        <w:t>岁儿童的上门支助会产生特别开支，社会服务部门必须支付这种必要的额外开支。</w:t>
      </w:r>
    </w:p>
    <w:p w:rsidR="00D84D94" w:rsidRDefault="00D84D94">
      <w:pPr>
        <w:pStyle w:val="SingleTxtGC"/>
        <w:rPr>
          <w:rFonts w:hint="eastAsia"/>
          <w:lang w:val="en-GB"/>
        </w:rPr>
      </w:pPr>
      <w:r>
        <w:rPr>
          <w:lang w:val="en-GB"/>
        </w:rPr>
        <w:t xml:space="preserve">495.  </w:t>
      </w:r>
      <w:r>
        <w:rPr>
          <w:rFonts w:hint="eastAsia"/>
          <w:lang w:val="en-GB"/>
        </w:rPr>
        <w:t>社会服务部门还必须帮助弥补在家中照顾患有永久性严重功能障碍或者令人十分虚弱的慢性或长期疾病的未满</w:t>
      </w:r>
      <w:r>
        <w:rPr>
          <w:rFonts w:hint="eastAsia"/>
          <w:lang w:val="en-GB"/>
        </w:rPr>
        <w:t>18</w:t>
      </w:r>
      <w:r>
        <w:rPr>
          <w:rFonts w:hint="eastAsia"/>
          <w:lang w:val="en-GB"/>
        </w:rPr>
        <w:t>岁儿童者的工资损失。工资损失的补助额不超过每月</w:t>
      </w:r>
      <w:r>
        <w:rPr>
          <w:lang w:val="en-GB"/>
        </w:rPr>
        <w:t>25,000</w:t>
      </w:r>
      <w:r>
        <w:rPr>
          <w:rFonts w:hint="eastAsia"/>
          <w:lang w:val="en-GB"/>
        </w:rPr>
        <w:t>丹麦克朗。提供这种补助的条件是，功能减退使该儿童必须在家里有人照顾。</w:t>
      </w:r>
    </w:p>
    <w:p w:rsidR="00D84D94" w:rsidRDefault="00D84D94">
      <w:pPr>
        <w:pStyle w:val="SingleTxtGC"/>
        <w:rPr>
          <w:rFonts w:hint="eastAsia"/>
          <w:lang w:val="en-GB"/>
        </w:rPr>
      </w:pPr>
      <w:r>
        <w:rPr>
          <w:lang w:val="en-GB"/>
        </w:rPr>
        <w:t xml:space="preserve">496.  </w:t>
      </w:r>
      <w:r>
        <w:rPr>
          <w:rFonts w:hint="eastAsia"/>
          <w:lang w:val="en-GB"/>
        </w:rPr>
        <w:t>如果某个人发生了根据法罗公共医疗保险或社会意外保险立法不能报销的保健、医疗、牙科治疗等方面的费用，但无力自行支付这些费用，他或她可以得到补助。此外，还可以对穿戴或非穿戴式辅助器具，以及对特殊饮食或服装给予补助。如果这种器具可以大大减轻功能减退的长期后果，方便家中日常生活，或是工作生活所需要的，则必须为购置这种辅助器具给予补助。</w:t>
      </w:r>
    </w:p>
    <w:p w:rsidR="00D84D94" w:rsidRDefault="00D84D94">
      <w:pPr>
        <w:pStyle w:val="SingleTxtGC"/>
        <w:rPr>
          <w:rFonts w:hint="eastAsia"/>
          <w:lang w:val="en-GB"/>
        </w:rPr>
      </w:pPr>
      <w:r>
        <w:rPr>
          <w:lang w:val="en-GB"/>
        </w:rPr>
        <w:t xml:space="preserve">497.  </w:t>
      </w:r>
      <w:r>
        <w:rPr>
          <w:rFonts w:hint="eastAsia"/>
          <w:lang w:val="en-GB"/>
        </w:rPr>
        <w:t>对于年龄在</w:t>
      </w:r>
      <w:r>
        <w:rPr>
          <w:rFonts w:hint="eastAsia"/>
          <w:lang w:val="en-GB"/>
        </w:rPr>
        <w:t>18</w:t>
      </w:r>
      <w:r>
        <w:rPr>
          <w:rFonts w:hint="eastAsia"/>
          <w:lang w:val="en-GB"/>
        </w:rPr>
        <w:t>岁至领取养老金的规定年龄之间、患有永久性肢体或心智障碍并且养老金的支付推迟者，社会服务部门还必须负担其日常生活中的必要额外费用。这些额外费用必须是由功能障碍所致并且是根据其他立法不能报销的。</w:t>
      </w:r>
    </w:p>
    <w:p w:rsidR="00D84D94" w:rsidRDefault="00D84D94">
      <w:pPr>
        <w:pStyle w:val="SingleTxtGC"/>
        <w:rPr>
          <w:rFonts w:hint="eastAsia"/>
          <w:lang w:val="en-GB"/>
        </w:rPr>
      </w:pPr>
      <w:r>
        <w:rPr>
          <w:lang w:val="en-GB"/>
        </w:rPr>
        <w:t>498.  2000-2010</w:t>
      </w:r>
      <w:r>
        <w:rPr>
          <w:rFonts w:hint="eastAsia"/>
          <w:lang w:val="en-GB"/>
        </w:rPr>
        <w:t>年期间得到最高预支养老金的</w:t>
      </w:r>
      <w:r>
        <w:rPr>
          <w:lang w:val="en-GB"/>
        </w:rPr>
        <w:t>18-66</w:t>
      </w:r>
      <w:r>
        <w:rPr>
          <w:rFonts w:hint="eastAsia"/>
          <w:lang w:val="en-GB"/>
        </w:rPr>
        <w:t>岁者：得到最高预支养老金者占</w:t>
      </w:r>
      <w:r>
        <w:rPr>
          <w:lang w:val="en-GB"/>
        </w:rPr>
        <w:t>18-66</w:t>
      </w:r>
      <w:r>
        <w:rPr>
          <w:rFonts w:hint="eastAsia"/>
          <w:lang w:val="en-GB"/>
        </w:rPr>
        <w:t>岁总人口的</w:t>
      </w:r>
      <w:r>
        <w:rPr>
          <w:lang w:val="en-GB"/>
        </w:rPr>
        <w:t>2.0</w:t>
      </w:r>
      <w:r>
        <w:rPr>
          <w:rFonts w:hint="eastAsia"/>
          <w:lang w:val="en-GB"/>
        </w:rPr>
        <w:t>%</w:t>
      </w:r>
      <w:r>
        <w:rPr>
          <w:lang w:val="en-GB"/>
        </w:rPr>
        <w:t>-2.2</w:t>
      </w:r>
      <w:r>
        <w:rPr>
          <w:rFonts w:hint="eastAsia"/>
          <w:lang w:val="en-GB"/>
        </w:rPr>
        <w:t>%(</w:t>
      </w:r>
      <w:r w:rsidRPr="003B1FC2">
        <w:rPr>
          <w:rFonts w:ascii="KaiTi_GB2312" w:eastAsia="KaiTi_GB2312" w:hAnsi="SimSun" w:hint="eastAsia"/>
          <w:lang w:val="en-GB"/>
        </w:rPr>
        <w:t>资料来源：法罗群岛统计局</w:t>
      </w:r>
      <w:r>
        <w:rPr>
          <w:rFonts w:hint="eastAsia"/>
          <w:lang w:val="en-GB"/>
        </w:rPr>
        <w:t>)</w:t>
      </w:r>
      <w:r>
        <w:rPr>
          <w:rFonts w:hint="eastAsia"/>
          <w:lang w:val="en-GB"/>
        </w:rPr>
        <w:t>。</w:t>
      </w:r>
    </w:p>
    <w:p w:rsidR="00D84D94" w:rsidRDefault="00D84D94">
      <w:pPr>
        <w:pStyle w:val="H1GC"/>
        <w:rPr>
          <w:rFonts w:hint="eastAsia"/>
          <w:lang w:val="en-GB"/>
        </w:rPr>
      </w:pPr>
      <w:r>
        <w:rPr>
          <w:lang w:val="en-GB"/>
        </w:rPr>
        <w:tab/>
      </w:r>
      <w:r>
        <w:rPr>
          <w:lang w:val="en-GB"/>
        </w:rPr>
        <w:tab/>
      </w:r>
      <w:r>
        <w:rPr>
          <w:rFonts w:hint="eastAsia"/>
          <w:lang w:val="en-GB"/>
        </w:rPr>
        <w:t>第二十五和二十六条</w:t>
      </w:r>
    </w:p>
    <w:p w:rsidR="00D84D94" w:rsidRDefault="00D84D94">
      <w:pPr>
        <w:pStyle w:val="SingleTxtGC"/>
        <w:rPr>
          <w:rFonts w:hint="eastAsia"/>
          <w:lang w:val="en-GB"/>
        </w:rPr>
      </w:pPr>
      <w:r>
        <w:rPr>
          <w:lang w:val="en-GB"/>
        </w:rPr>
        <w:t xml:space="preserve">499.  </w:t>
      </w:r>
      <w:r>
        <w:rPr>
          <w:rFonts w:hint="eastAsia"/>
          <w:lang w:val="en-GB"/>
        </w:rPr>
        <w:t>总体而言，重点放在减少卫生部门的等待时间。由于儿童和青年精神病治疗方面的需求日益增多，为缩短有些科别太长的等待时间，目前正在拟定一项行动计划。法罗群岛立法的优势是规定了确保残疾人在具体期限内得到治疗的规则，治疗可以迎合个人需求，从而尽量减少残疾并预防其他潜在残疾。</w:t>
      </w:r>
    </w:p>
    <w:p w:rsidR="00D84D94" w:rsidRDefault="00D84D94">
      <w:pPr>
        <w:pStyle w:val="SingleTxtGC"/>
        <w:rPr>
          <w:rFonts w:hint="eastAsia"/>
          <w:lang w:val="en-GB"/>
        </w:rPr>
      </w:pPr>
      <w:r>
        <w:rPr>
          <w:lang w:val="en-GB"/>
        </w:rPr>
        <w:t xml:space="preserve">500.  </w:t>
      </w:r>
      <w:r>
        <w:rPr>
          <w:rFonts w:hint="eastAsia"/>
          <w:lang w:val="en-GB"/>
        </w:rPr>
        <w:t>根据社会立法，为弥补公民的功能缺陷，可为身体、心智、认知和社会能力的康复和</w:t>
      </w:r>
      <w:r>
        <w:rPr>
          <w:rFonts w:hint="eastAsia"/>
          <w:lang w:val="en-GB"/>
        </w:rPr>
        <w:t>/</w:t>
      </w:r>
      <w:r>
        <w:rPr>
          <w:rFonts w:hint="eastAsia"/>
          <w:lang w:val="en-GB"/>
        </w:rPr>
        <w:t>或保持提供援助，援助形式为辅助器具、费用报销、个人和实用援助等。</w:t>
      </w:r>
    </w:p>
    <w:p w:rsidR="00D84D94" w:rsidRDefault="00D84D94">
      <w:pPr>
        <w:pStyle w:val="SingleTxtGC"/>
        <w:rPr>
          <w:rFonts w:hint="eastAsia"/>
          <w:lang w:val="en-GB"/>
        </w:rPr>
      </w:pPr>
      <w:r>
        <w:rPr>
          <w:lang w:val="en-GB"/>
        </w:rPr>
        <w:t xml:space="preserve">501.  </w:t>
      </w:r>
      <w:r>
        <w:rPr>
          <w:rFonts w:hint="eastAsia"/>
          <w:lang w:val="en-GB"/>
        </w:rPr>
        <w:t>在社会领域，主要在自愿活动和社会活动设施内为有功能缺陷者开展康复活动。此外，物理疗法和</w:t>
      </w:r>
      <w:r>
        <w:rPr>
          <w:lang w:val="en-GB"/>
        </w:rPr>
        <w:t>运动疗法</w:t>
      </w:r>
      <w:r>
        <w:rPr>
          <w:rFonts w:hint="eastAsia"/>
          <w:lang w:val="en-GB"/>
        </w:rPr>
        <w:t>属于长期治疗。然而，社会领域康复的挑战是，其组织形式不是跨学科或跨部门的。因此，对于个人而言，没有有组织的全面办法。鉴于此，政府推出了一种社会领域的跨学科康复服务，以发展全面、协调的康复办法。这种服务正在拟订，应于</w:t>
      </w:r>
      <w:r>
        <w:rPr>
          <w:rFonts w:hint="eastAsia"/>
          <w:lang w:val="en-GB"/>
        </w:rPr>
        <w:t>2012</w:t>
      </w:r>
      <w:r>
        <w:rPr>
          <w:rFonts w:hint="eastAsia"/>
          <w:lang w:val="en-GB"/>
        </w:rPr>
        <w:t>年初推出。</w:t>
      </w:r>
    </w:p>
    <w:p w:rsidR="00D84D94" w:rsidRDefault="00D84D94">
      <w:pPr>
        <w:pStyle w:val="SingleTxtGC"/>
        <w:rPr>
          <w:rFonts w:hint="eastAsia"/>
          <w:lang w:val="en-GB"/>
        </w:rPr>
      </w:pPr>
      <w:r>
        <w:t xml:space="preserve">502.  </w:t>
      </w:r>
      <w:r>
        <w:rPr>
          <w:rFonts w:hint="eastAsia"/>
        </w:rPr>
        <w:t>目前正在考虑扩大医院法中各项规则的适用范围，使每一个人都有权以同样方式得到康复，就如同每一个人都有权得到免费医疗一样。必须首先建立规定这种康复规则的框架。譬如，今年在努力增加公共康复设施，特别是为背部有毛病者设立了一个门诊诊所；另外，</w:t>
      </w:r>
      <w:r>
        <w:t>物理疗法</w:t>
      </w:r>
      <w:r>
        <w:rPr>
          <w:rFonts w:hint="eastAsia"/>
        </w:rPr>
        <w:t>的选择范围也已扩大。</w:t>
      </w:r>
    </w:p>
    <w:p w:rsidR="00D84D94" w:rsidRDefault="00D84D94">
      <w:pPr>
        <w:pStyle w:val="SingleTxtGC"/>
        <w:rPr>
          <w:rFonts w:hint="eastAsia"/>
          <w:lang w:val="en-GB"/>
        </w:rPr>
      </w:pPr>
    </w:p>
    <w:p w:rsidR="00D84D94" w:rsidRDefault="00D84D94">
      <w:pPr>
        <w:spacing w:before="240"/>
        <w:jc w:val="center"/>
      </w:pPr>
      <w:r>
        <w:rPr>
          <w:rFonts w:hint="eastAsia"/>
          <w:u w:val="single"/>
        </w:rPr>
        <w:tab/>
      </w:r>
      <w:r>
        <w:rPr>
          <w:rFonts w:hint="eastAsia"/>
          <w:u w:val="single"/>
        </w:rPr>
        <w:tab/>
      </w:r>
      <w:r>
        <w:rPr>
          <w:rFonts w:hint="eastAsia"/>
          <w:u w:val="single"/>
        </w:rPr>
        <w:tab/>
      </w:r>
      <w:r>
        <w:rPr>
          <w:u w:val="single"/>
        </w:rPr>
        <w:tab/>
      </w:r>
    </w:p>
    <w:sectPr w:rsidR="00D84D9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B79" w:rsidRDefault="00361B79">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61B79" w:rsidRDefault="00361B79">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산돌명조 M">
    <w:altName w:val="Dotum"/>
    <w:panose1 w:val="00000000000000000000"/>
    <w:charset w:val="81"/>
    <w:family w:val="roman"/>
    <w:notTrueType/>
    <w:pitch w:val="variable"/>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6A" w:rsidRDefault="009F7D6A">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768C4">
      <w:rPr>
        <w:rStyle w:val="PageNumber"/>
        <w:noProof/>
      </w:rPr>
      <w:t>2</w:t>
    </w:r>
    <w:r>
      <w:rPr>
        <w:rStyle w:val="PageNumber"/>
      </w:rPr>
      <w:fldChar w:fldCharType="end"/>
    </w:r>
    <w:r>
      <w:rPr>
        <w:rStyle w:val="PageNumber"/>
        <w:rFonts w:hint="eastAsia"/>
        <w:lang w:eastAsia="zh-CN"/>
      </w:rPr>
      <w:tab/>
    </w:r>
    <w:r>
      <w:rPr>
        <w:lang w:eastAsia="zh-CN"/>
      </w:rPr>
      <w:t>GE.13-43309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6A" w:rsidRDefault="009F7D6A">
    <w:pPr>
      <w:pStyle w:val="Footer"/>
      <w:tabs>
        <w:tab w:val="right" w:pos="9639"/>
      </w:tabs>
    </w:pPr>
    <w:r>
      <w:rPr>
        <w:lang w:eastAsia="zh-CN"/>
      </w:rPr>
      <w:t>GE.13-43309 (EXT)</w:t>
    </w:r>
    <w:r>
      <w:tab/>
    </w:r>
    <w:r>
      <w:rPr>
        <w:rStyle w:val="PageNumber"/>
      </w:rPr>
      <w:fldChar w:fldCharType="begin"/>
    </w:r>
    <w:r>
      <w:rPr>
        <w:rStyle w:val="PageNumber"/>
      </w:rPr>
      <w:instrText xml:space="preserve"> PAGE </w:instrText>
    </w:r>
    <w:r>
      <w:rPr>
        <w:rStyle w:val="PageNumber"/>
      </w:rPr>
      <w:fldChar w:fldCharType="separate"/>
    </w:r>
    <w:r w:rsidR="000768C4">
      <w:rPr>
        <w:rStyle w:val="PageNumber"/>
        <w:noProof/>
      </w:rPr>
      <w:t>65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6A" w:rsidRDefault="009F7D6A">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w:t>
    </w:r>
    <w:r>
      <w:rPr>
        <w:sz w:val="20"/>
        <w:lang w:eastAsia="zh-CN"/>
      </w:rPr>
      <w:t>3-43309 (EXT)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B79" w:rsidRDefault="00361B79">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361B79" w:rsidRDefault="00361B79">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9F7D6A" w:rsidRDefault="009F7D6A">
      <w:pPr>
        <w:pStyle w:val="FootnoteText"/>
        <w:rPr>
          <w:rFonts w:hint="eastAsia"/>
        </w:rPr>
      </w:pPr>
      <w:r>
        <w:tab/>
      </w:r>
      <w:r>
        <w:rPr>
          <w:rStyle w:val="FootnoteReference"/>
          <w:vertAlign w:val="baseline"/>
        </w:rPr>
        <w:t>*</w:t>
      </w:r>
      <w:r>
        <w:rPr>
          <w:rStyle w:val="FootnoteReference"/>
          <w:vertAlign w:val="baseline"/>
        </w:rPr>
        <w:tab/>
      </w:r>
      <w:r>
        <w:rPr>
          <w:rFonts w:hint="eastAsia"/>
        </w:rPr>
        <w:t>按照已通知各缔约国的报告处理办法，本文件未经正式编辑。</w:t>
      </w:r>
    </w:p>
  </w:footnote>
  <w:footnote w:id="2">
    <w:p w:rsidR="009F7D6A" w:rsidRDefault="009F7D6A">
      <w:pPr>
        <w:pStyle w:val="FootnoteText"/>
        <w:rPr>
          <w:rFonts w:hint="eastAsia"/>
        </w:rPr>
      </w:pPr>
      <w:r>
        <w:tab/>
      </w:r>
      <w:r>
        <w:rPr>
          <w:rStyle w:val="FootnoteReference"/>
        </w:rPr>
        <w:footnoteRef/>
      </w:r>
      <w:r>
        <w:rPr>
          <w:rStyle w:val="FootnoteReference"/>
          <w:vertAlign w:val="baseline"/>
        </w:rPr>
        <w:tab/>
      </w:r>
      <w:r>
        <w:rPr>
          <w:rFonts w:hint="eastAsia"/>
        </w:rPr>
        <w:t>不过，收养配偶的子女或养子女，或者当收养者与养子女或其父母为近亲或有其他特殊关系时，则不需要被批准为收养者。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6A" w:rsidRDefault="009F7D6A">
    <w:pPr>
      <w:pStyle w:val="Header"/>
    </w:pPr>
    <w:r>
      <w:t>CRPD/C/DNK/1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6A" w:rsidRDefault="009F7D6A">
    <w:pPr>
      <w:pStyle w:val="Header"/>
      <w:jc w:val="right"/>
      <w:rPr>
        <w:rFonts w:hint="eastAsia"/>
        <w:lang w:eastAsia="zh-CN"/>
      </w:rPr>
    </w:pPr>
    <w:r>
      <w:rPr>
        <w:lang w:eastAsia="zh-CN"/>
      </w:rPr>
      <w:t>CRPD/C/DNK/1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124324B"/>
    <w:multiLevelType w:val="hybridMultilevel"/>
    <w:tmpl w:val="81CE3BEC"/>
    <w:lvl w:ilvl="0" w:tplc="FFFFFFFF">
      <w:start w:val="1"/>
      <w:numFmt w:val="bullet"/>
      <w:pStyle w:val="BMBullets"/>
      <w:lvlText w:val=""/>
      <w:lvlJc w:val="left"/>
      <w:pPr>
        <w:tabs>
          <w:tab w:val="num" w:pos="284"/>
        </w:tabs>
        <w:ind w:left="284" w:hanging="284"/>
      </w:pPr>
      <w:rPr>
        <w:rFonts w:ascii="Symbol" w:hAnsi="Symbol" w:hint="default"/>
        <w:sz w:val="1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2"/>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3"/>
  </w:num>
  <w:num w:numId="28">
    <w:abstractNumId w:val="17"/>
  </w:num>
  <w:num w:numId="29">
    <w:abstractNumId w:val="10"/>
  </w:num>
  <w:num w:numId="30">
    <w:abstractNumId w:val="15"/>
  </w:num>
  <w:num w:numId="31">
    <w:abstractNumId w:val="23"/>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3"/>
  </w:num>
  <w:num w:numId="39">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033F"/>
    <w:rsid w:val="00067147"/>
    <w:rsid w:val="000768C4"/>
    <w:rsid w:val="001A5135"/>
    <w:rsid w:val="0026033F"/>
    <w:rsid w:val="00361B79"/>
    <w:rsid w:val="003B1FC2"/>
    <w:rsid w:val="00660E84"/>
    <w:rsid w:val="009F7D6A"/>
    <w:rsid w:val="00CC3894"/>
    <w:rsid w:val="00D84D94"/>
    <w:rsid w:val="00ED57E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0"/>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link w:val="EndnoteTextChar"/>
    <w:pPr>
      <w:keepLines w:val="0"/>
      <w:tabs>
        <w:tab w:val="right" w:pos="1021"/>
      </w:tabs>
    </w:p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character" w:customStyle="1" w:styleId="Heading1Char">
    <w:name w:val="Heading 1 Char"/>
    <w:aliases w:val="Table_G Char"/>
    <w:link w:val="Heading1"/>
    <w:locked/>
    <w:rPr>
      <w:rFonts w:eastAsia="SimSun"/>
      <w:b/>
      <w:kern w:val="32"/>
      <w:sz w:val="30"/>
      <w:lang w:val="en-US" w:eastAsia="zh-CN" w:bidi="ar-SA"/>
    </w:rPr>
  </w:style>
  <w:style w:type="character" w:customStyle="1" w:styleId="Heading2Char">
    <w:name w:val="Heading 2 Char"/>
    <w:link w:val="Heading2"/>
    <w:locked/>
    <w:rPr>
      <w:rFonts w:eastAsia="SimSun"/>
      <w:snapToGrid w:val="0"/>
      <w:kern w:val="28"/>
      <w:sz w:val="28"/>
      <w:lang w:val="en-US" w:eastAsia="zh-CN" w:bidi="ar-SA"/>
    </w:rPr>
  </w:style>
  <w:style w:type="character" w:customStyle="1" w:styleId="Heading3Char">
    <w:name w:val="Heading 3 Char"/>
    <w:link w:val="Heading3"/>
    <w:locked/>
    <w:rPr>
      <w:rFonts w:eastAsia="SimSun"/>
      <w:snapToGrid w:val="0"/>
      <w:kern w:val="28"/>
      <w:sz w:val="21"/>
      <w:u w:val="single"/>
      <w:lang w:val="en-US" w:eastAsia="zh-CN" w:bidi="ar-SA"/>
    </w:rPr>
  </w:style>
  <w:style w:type="character" w:customStyle="1" w:styleId="Heading4Char">
    <w:name w:val="Heading 4 Char"/>
    <w:link w:val="Heading4"/>
    <w:locked/>
    <w:rPr>
      <w:rFonts w:eastAsia="SimSun"/>
      <w:snapToGrid w:val="0"/>
      <w:sz w:val="21"/>
      <w:u w:val="single"/>
      <w:lang w:val="en-US" w:eastAsia="zh-CN" w:bidi="ar-SA"/>
    </w:rPr>
  </w:style>
  <w:style w:type="character" w:customStyle="1" w:styleId="Heading5Char">
    <w:name w:val="Heading 5 Char"/>
    <w:link w:val="Heading5"/>
    <w:locked/>
    <w:rPr>
      <w:rFonts w:eastAsia="SimHei"/>
      <w:bCs/>
      <w:snapToGrid w:val="0"/>
      <w:sz w:val="21"/>
      <w:szCs w:val="36"/>
      <w:lang w:val="en-US" w:eastAsia="zh-CN" w:bidi="ar-SA"/>
    </w:rPr>
  </w:style>
  <w:style w:type="character" w:customStyle="1" w:styleId="Heading6Char">
    <w:name w:val="Heading 6 Char"/>
    <w:link w:val="Heading6"/>
    <w:locked/>
    <w:rPr>
      <w:rFonts w:ascii="Arial" w:eastAsia="SimHei" w:hAnsi="Arial"/>
      <w:b/>
      <w:bCs/>
      <w:snapToGrid w:val="0"/>
      <w:sz w:val="21"/>
      <w:szCs w:val="24"/>
      <w:lang w:val="en-US" w:eastAsia="zh-CN" w:bidi="ar-SA"/>
    </w:rPr>
  </w:style>
  <w:style w:type="character" w:customStyle="1" w:styleId="Heading7Char">
    <w:name w:val="Heading 7 Char"/>
    <w:link w:val="Heading7"/>
    <w:locked/>
    <w:rPr>
      <w:rFonts w:eastAsia="SimSun"/>
      <w:b/>
      <w:bCs/>
      <w:snapToGrid w:val="0"/>
      <w:sz w:val="21"/>
      <w:szCs w:val="24"/>
      <w:lang w:val="en-US" w:eastAsia="zh-CN" w:bidi="ar-SA"/>
    </w:rPr>
  </w:style>
  <w:style w:type="character" w:customStyle="1" w:styleId="Heading8Char">
    <w:name w:val="Heading 8 Char"/>
    <w:link w:val="Heading8"/>
    <w:locked/>
    <w:rPr>
      <w:rFonts w:ascii="Arial" w:eastAsia="SimHei" w:hAnsi="Arial"/>
      <w:snapToGrid w:val="0"/>
      <w:sz w:val="21"/>
      <w:szCs w:val="24"/>
      <w:lang w:val="en-US" w:eastAsia="zh-CN" w:bidi="ar-SA"/>
    </w:rPr>
  </w:style>
  <w:style w:type="character" w:customStyle="1" w:styleId="Heading9Char">
    <w:name w:val="Heading 9 Char"/>
    <w:link w:val="Heading9"/>
    <w:locked/>
    <w:rPr>
      <w:rFonts w:ascii="Arial" w:eastAsia="SimHei" w:hAnsi="Arial"/>
      <w:snapToGrid w:val="0"/>
      <w:sz w:val="21"/>
      <w:szCs w:val="21"/>
      <w:lang w:val="en-US" w:eastAsia="zh-CN" w:bidi="ar-SA"/>
    </w:rPr>
  </w:style>
  <w:style w:type="character" w:customStyle="1" w:styleId="FootnoteTextChar">
    <w:name w:val="Footnote Text Char"/>
    <w:link w:val="FootnoteText"/>
    <w:locked/>
    <w:rPr>
      <w:rFonts w:eastAsia="SimSun"/>
      <w:snapToGrid w:val="0"/>
      <w:sz w:val="18"/>
      <w:lang w:val="en-US" w:eastAsia="zh-CN" w:bidi="ar-SA"/>
    </w:rPr>
  </w:style>
  <w:style w:type="character" w:customStyle="1" w:styleId="EndnoteTextChar">
    <w:name w:val="Endnote Text Char"/>
    <w:link w:val="EndnoteText"/>
    <w:locked/>
    <w:rPr>
      <w:rFonts w:eastAsia="SimSun"/>
      <w:snapToGrid w:val="0"/>
      <w:sz w:val="18"/>
      <w:lang w:val="en-US" w:eastAsia="zh-CN" w:bidi="ar-SA"/>
    </w:rPr>
  </w:style>
  <w:style w:type="character" w:customStyle="1" w:styleId="FooterChar">
    <w:name w:val="Footer Char"/>
    <w:link w:val="Footer"/>
    <w:locked/>
    <w:rPr>
      <w:snapToGrid w:val="0"/>
      <w:sz w:val="16"/>
      <w:lang w:val="en-GB" w:eastAsia="en-US" w:bidi="ar-SA"/>
    </w:rPr>
  </w:style>
  <w:style w:type="character" w:customStyle="1" w:styleId="HeaderChar">
    <w:name w:val="Header Char"/>
    <w:link w:val="Header"/>
    <w:locked/>
    <w:rPr>
      <w:rFonts w:eastAsia="SimSun"/>
      <w:b/>
      <w:snapToGrid w:val="0"/>
      <w:sz w:val="18"/>
      <w:lang w:val="en-GB" w:eastAsia="en-US" w:bidi="ar-SA"/>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Pr>
      <w:rFonts w:eastAsia="SimSun"/>
      <w:b/>
      <w:sz w:val="28"/>
      <w:lang w:val="en-GB" w:eastAsia="en-US" w:bidi="ar-SA"/>
    </w:rPr>
  </w:style>
  <w:style w:type="paragraph" w:customStyle="1" w:styleId="SingleTxtG">
    <w:name w:val="_ Single Txt_G"/>
    <w:basedOn w:val="Normal"/>
    <w:link w:val="SingleTxtGC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ar">
    <w:name w:val="_ Single Txt_G Car"/>
    <w:link w:val="SingleTxtG"/>
    <w:rPr>
      <w:rFonts w:eastAsia="SimSun"/>
      <w:lang w:val="en-GB" w:eastAsia="en-US" w:bidi="ar-SA"/>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Pr>
      <w:rFonts w:eastAsia="SimSun"/>
      <w:b/>
      <w:sz w:val="24"/>
      <w:lang w:val="en-GB" w:eastAsia="en-US" w:bidi="ar-SA"/>
    </w:rPr>
  </w:style>
  <w:style w:type="paragraph" w:customStyle="1" w:styleId="Bullet1G">
    <w:name w:val="_Bullet 1_G"/>
    <w:basedOn w:val="Normal"/>
    <w:pPr>
      <w:tabs>
        <w:tab w:val="clear" w:pos="431"/>
        <w:tab w:val="num" w:pos="360"/>
      </w:tabs>
      <w:suppressAutoHyphens/>
      <w:overflowPunct/>
      <w:adjustRightInd/>
      <w:snapToGrid/>
      <w:spacing w:after="120" w:line="240" w:lineRule="atLeast"/>
      <w:ind w:left="360" w:right="1134" w:hanging="360"/>
    </w:pPr>
    <w:rPr>
      <w:snapToGrid/>
      <w:sz w:val="20"/>
      <w:lang w:val="en-GB" w:eastAsia="en-US"/>
    </w:rPr>
  </w:style>
  <w:style w:type="paragraph" w:customStyle="1" w:styleId="Bullet2G">
    <w:name w:val="_Bullet 2_G"/>
    <w:basedOn w:val="Normal"/>
    <w:pPr>
      <w:tabs>
        <w:tab w:val="clear" w:pos="431"/>
        <w:tab w:val="num" w:pos="780"/>
      </w:tabs>
      <w:suppressAutoHyphens/>
      <w:overflowPunct/>
      <w:adjustRightInd/>
      <w:snapToGrid/>
      <w:spacing w:after="120" w:line="240" w:lineRule="atLeast"/>
      <w:ind w:left="780" w:right="1134" w:hanging="360"/>
    </w:pPr>
    <w:rPr>
      <w:snapToGrid/>
      <w:sz w:val="20"/>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styleId="CommentText">
    <w:name w:val="annotation text"/>
    <w:basedOn w:val="Normal"/>
    <w:link w:val="CommentTextChar1"/>
    <w:pPr>
      <w:widowControl w:val="0"/>
      <w:tabs>
        <w:tab w:val="clear" w:pos="431"/>
      </w:tabs>
      <w:wordWrap w:val="0"/>
      <w:overflowPunct/>
      <w:autoSpaceDE w:val="0"/>
      <w:autoSpaceDN w:val="0"/>
      <w:adjustRightInd/>
      <w:snapToGrid/>
      <w:spacing w:line="240" w:lineRule="auto"/>
      <w:jc w:val="left"/>
    </w:pPr>
    <w:rPr>
      <w:rFonts w:eastAsia="산돌명조 M"/>
      <w:snapToGrid/>
      <w:kern w:val="2"/>
      <w:sz w:val="20"/>
      <w:lang w:eastAsia="ko-KR"/>
    </w:rPr>
  </w:style>
  <w:style w:type="character" w:customStyle="1" w:styleId="CommentTextChar1">
    <w:name w:val="Comment Text Char1"/>
    <w:link w:val="CommentText"/>
    <w:locked/>
    <w:rPr>
      <w:rFonts w:eastAsia="산돌명조 M"/>
      <w:kern w:val="2"/>
      <w:lang w:val="en-US" w:eastAsia="ko-KR" w:bidi="ar-SA"/>
    </w:rPr>
  </w:style>
  <w:style w:type="paragraph" w:styleId="BalloonText">
    <w:name w:val="Balloon Text"/>
    <w:basedOn w:val="Normal"/>
    <w:link w:val="BalloonTextChar"/>
    <w:pPr>
      <w:widowControl w:val="0"/>
      <w:tabs>
        <w:tab w:val="clear" w:pos="431"/>
      </w:tabs>
      <w:wordWrap w:val="0"/>
      <w:overflowPunct/>
      <w:autoSpaceDE w:val="0"/>
      <w:autoSpaceDN w:val="0"/>
      <w:adjustRightInd/>
      <w:snapToGrid/>
      <w:spacing w:line="240" w:lineRule="auto"/>
    </w:pPr>
    <w:rPr>
      <w:rFonts w:eastAsia="산돌명조 M"/>
      <w:snapToGrid/>
      <w:kern w:val="2"/>
      <w:sz w:val="18"/>
      <w:szCs w:val="18"/>
      <w:lang w:eastAsia="ko-KR"/>
    </w:rPr>
  </w:style>
  <w:style w:type="character" w:customStyle="1" w:styleId="BalloonTextChar">
    <w:name w:val="Balloon Text Char"/>
    <w:link w:val="BalloonText"/>
    <w:locked/>
    <w:rPr>
      <w:rFonts w:eastAsia="산돌명조 M"/>
      <w:kern w:val="2"/>
      <w:sz w:val="18"/>
      <w:szCs w:val="18"/>
      <w:lang w:val="en-US" w:eastAsia="ko-KR" w:bidi="ar-SA"/>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locked/>
    <w:rPr>
      <w:rFonts w:eastAsia="산돌명조 M"/>
      <w:b/>
      <w:bCs/>
      <w:kern w:val="2"/>
      <w:lang w:val="en-US" w:eastAsia="ko-KR" w:bidi="ar-SA"/>
    </w:rPr>
  </w:style>
  <w:style w:type="paragraph" w:styleId="Date">
    <w:name w:val="Date"/>
    <w:basedOn w:val="Normal"/>
    <w:next w:val="Normal"/>
    <w:link w:val="DateChar"/>
    <w:semiHidden/>
    <w:pPr>
      <w:widowControl w:val="0"/>
      <w:tabs>
        <w:tab w:val="clear" w:pos="431"/>
      </w:tabs>
      <w:wordWrap w:val="0"/>
      <w:overflowPunct/>
      <w:autoSpaceDE w:val="0"/>
      <w:autoSpaceDN w:val="0"/>
      <w:adjustRightInd/>
      <w:snapToGrid/>
      <w:spacing w:line="240" w:lineRule="auto"/>
    </w:pPr>
    <w:rPr>
      <w:rFonts w:eastAsia="산돌명조 M"/>
      <w:snapToGrid/>
      <w:sz w:val="20"/>
      <w:lang w:eastAsia="ko-KR"/>
    </w:rPr>
  </w:style>
  <w:style w:type="character" w:customStyle="1" w:styleId="DateChar">
    <w:name w:val="Date Char"/>
    <w:link w:val="Date"/>
    <w:semiHidden/>
    <w:locked/>
    <w:rPr>
      <w:rFonts w:eastAsia="산돌명조 M"/>
      <w:lang w:val="en-US" w:eastAsia="ko-KR" w:bidi="ar-SA"/>
    </w:rPr>
  </w:style>
  <w:style w:type="paragraph" w:styleId="BodyText">
    <w:name w:val="Body Text"/>
    <w:basedOn w:val="Normal"/>
    <w:link w:val="BodyTextChar"/>
    <w:pPr>
      <w:tabs>
        <w:tab w:val="clear" w:pos="431"/>
      </w:tabs>
      <w:overflowPunct/>
      <w:adjustRightInd/>
      <w:spacing w:line="384" w:lineRule="auto"/>
      <w:ind w:left="600"/>
    </w:pPr>
    <w:rPr>
      <w:rFonts w:ascii="Batang" w:eastAsia="산돌명조 M" w:hAnsi="Batang" w:cs="Batang"/>
      <w:snapToGrid/>
      <w:color w:val="000000"/>
      <w:sz w:val="20"/>
      <w:lang w:eastAsia="ko-KR"/>
    </w:rPr>
  </w:style>
  <w:style w:type="character" w:customStyle="1" w:styleId="BodyTextChar">
    <w:name w:val="Body Text Char"/>
    <w:link w:val="BodyText"/>
    <w:locked/>
    <w:rPr>
      <w:rFonts w:ascii="Batang" w:eastAsia="산돌명조 M" w:hAnsi="Batang" w:cs="Batang"/>
      <w:color w:val="000000"/>
      <w:lang w:val="en-US" w:eastAsia="ko-KR" w:bidi="ar-SA"/>
    </w:rPr>
  </w:style>
  <w:style w:type="paragraph" w:styleId="Subtitle">
    <w:name w:val="Subtitle"/>
    <w:basedOn w:val="Normal"/>
    <w:next w:val="Normal"/>
    <w:link w:val="SubtitleChar"/>
    <w:qFormat/>
    <w:pPr>
      <w:widowControl w:val="0"/>
      <w:tabs>
        <w:tab w:val="clear" w:pos="431"/>
      </w:tabs>
      <w:wordWrap w:val="0"/>
      <w:overflowPunct/>
      <w:autoSpaceDE w:val="0"/>
      <w:autoSpaceDN w:val="0"/>
      <w:adjustRightInd/>
      <w:snapToGrid/>
      <w:spacing w:after="60" w:line="240" w:lineRule="auto"/>
      <w:jc w:val="center"/>
      <w:outlineLvl w:val="1"/>
    </w:pPr>
    <w:rPr>
      <w:rFonts w:ascii="Malgun Gothic" w:eastAsia="Malgun Gothic" w:hAnsi="Malgun Gothic" w:cs="Malgun Gothic"/>
      <w:snapToGrid/>
      <w:kern w:val="2"/>
      <w:sz w:val="24"/>
      <w:szCs w:val="24"/>
      <w:lang w:eastAsia="ko-KR"/>
    </w:rPr>
  </w:style>
  <w:style w:type="character" w:customStyle="1" w:styleId="SubtitleChar">
    <w:name w:val="Subtitle Char"/>
    <w:link w:val="Subtitle"/>
    <w:locked/>
    <w:rPr>
      <w:rFonts w:ascii="Malgun Gothic" w:eastAsia="Malgun Gothic" w:hAnsi="Malgun Gothic" w:cs="Malgun Gothic"/>
      <w:kern w:val="2"/>
      <w:sz w:val="24"/>
      <w:szCs w:val="24"/>
      <w:lang w:val="en-US" w:eastAsia="ko-KR" w:bidi="ar-SA"/>
    </w:rPr>
  </w:style>
  <w:style w:type="paragraph" w:styleId="DocumentMap">
    <w:name w:val="Document Map"/>
    <w:basedOn w:val="Normal"/>
    <w:link w:val="DocumentMapChar"/>
    <w:pPr>
      <w:widowControl w:val="0"/>
      <w:tabs>
        <w:tab w:val="clear" w:pos="431"/>
      </w:tabs>
      <w:wordWrap w:val="0"/>
      <w:overflowPunct/>
      <w:autoSpaceDE w:val="0"/>
      <w:autoSpaceDN w:val="0"/>
      <w:adjustRightInd/>
      <w:snapToGrid/>
      <w:spacing w:line="240" w:lineRule="auto"/>
    </w:pPr>
    <w:rPr>
      <w:rFonts w:ascii="Gulim" w:eastAsia="Gulim" w:cs="Gulim"/>
      <w:snapToGrid/>
      <w:kern w:val="2"/>
      <w:sz w:val="18"/>
      <w:szCs w:val="18"/>
      <w:lang w:eastAsia="ko-KR"/>
    </w:rPr>
  </w:style>
  <w:style w:type="character" w:customStyle="1" w:styleId="DocumentMapChar">
    <w:name w:val="Document Map Char"/>
    <w:link w:val="DocumentMap"/>
    <w:locked/>
    <w:rPr>
      <w:rFonts w:ascii="Gulim" w:eastAsia="Gulim" w:cs="Gulim"/>
      <w:kern w:val="2"/>
      <w:sz w:val="18"/>
      <w:szCs w:val="18"/>
      <w:lang w:val="en-US" w:eastAsia="ko-KR" w:bidi="ar-SA"/>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customStyle="1" w:styleId="NoList1">
    <w:name w:val="No List1"/>
    <w:next w:val="NoList"/>
    <w:semiHidden/>
    <w:unhideWhenUsed/>
  </w:style>
  <w:style w:type="paragraph" w:styleId="NormalWeb">
    <w:name w:val="Normal (Web)"/>
    <w:basedOn w:val="Normal"/>
    <w:unhideWhenUsed/>
    <w:pPr>
      <w:tabs>
        <w:tab w:val="clear" w:pos="431"/>
      </w:tabs>
      <w:overflowPunct/>
      <w:adjustRightInd/>
      <w:snapToGrid/>
      <w:spacing w:before="100" w:beforeAutospacing="1" w:after="100" w:afterAutospacing="1" w:line="240" w:lineRule="auto"/>
      <w:jc w:val="left"/>
    </w:pPr>
    <w:rPr>
      <w:snapToGrid/>
      <w:sz w:val="24"/>
      <w:szCs w:val="24"/>
      <w:lang w:val="en-GB" w:eastAsia="da-DK"/>
    </w:rPr>
  </w:style>
  <w:style w:type="character" w:customStyle="1" w:styleId="CommentTextChar">
    <w:name w:val="Comment Text Char"/>
    <w:rPr>
      <w:lang w:eastAsia="en-US"/>
    </w:rPr>
  </w:style>
  <w:style w:type="paragraph" w:styleId="NoSpacing">
    <w:name w:val="No Spacing"/>
    <w:basedOn w:val="Normal"/>
    <w:qFormat/>
    <w:pPr>
      <w:tabs>
        <w:tab w:val="clear" w:pos="431"/>
      </w:tabs>
      <w:overflowPunct/>
      <w:adjustRightInd/>
      <w:snapToGrid/>
      <w:spacing w:line="240" w:lineRule="auto"/>
      <w:jc w:val="left"/>
    </w:pPr>
    <w:rPr>
      <w:rFonts w:ascii="Calibri" w:hAnsi="Calibri"/>
      <w:snapToGrid/>
      <w:sz w:val="22"/>
      <w:szCs w:val="22"/>
      <w:lang w:val="en-GB" w:eastAsia="da-DK"/>
    </w:r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en-GB" w:eastAsia="da-DK"/>
    </w:rPr>
  </w:style>
  <w:style w:type="paragraph" w:customStyle="1" w:styleId="Default">
    <w:name w:val="Default"/>
    <w:pPr>
      <w:autoSpaceDE w:val="0"/>
      <w:autoSpaceDN w:val="0"/>
      <w:adjustRightInd w:val="0"/>
    </w:pPr>
    <w:rPr>
      <w:rFonts w:ascii="Arial" w:hAnsi="Arial" w:cs="Arial"/>
      <w:color w:val="000000"/>
      <w:sz w:val="24"/>
      <w:szCs w:val="24"/>
      <w:lang w:val="en-GB" w:eastAsia="da-DK"/>
    </w:rPr>
  </w:style>
  <w:style w:type="character" w:customStyle="1" w:styleId="BMBrdtekstTegn">
    <w:name w:val="BMBrødtekst Tegn"/>
    <w:link w:val="BMBrdtekst"/>
    <w:locked/>
    <w:rPr>
      <w:sz w:val="22"/>
      <w:szCs w:val="24"/>
      <w:lang w:eastAsia="da-DK" w:bidi="ar-SA"/>
    </w:rPr>
  </w:style>
  <w:style w:type="paragraph" w:customStyle="1" w:styleId="BMBrdtekst">
    <w:name w:val="BMBrødtekst"/>
    <w:basedOn w:val="Normal"/>
    <w:link w:val="BMBrdtekstTegn"/>
    <w:pPr>
      <w:tabs>
        <w:tab w:val="clear" w:pos="431"/>
      </w:tabs>
      <w:overflowPunct/>
      <w:adjustRightInd/>
      <w:snapToGrid/>
      <w:spacing w:line="260" w:lineRule="atLeast"/>
      <w:jc w:val="left"/>
    </w:pPr>
    <w:rPr>
      <w:snapToGrid/>
      <w:sz w:val="22"/>
      <w:szCs w:val="24"/>
      <w:lang w:eastAsia="da-DK"/>
    </w:rPr>
  </w:style>
  <w:style w:type="character" w:customStyle="1" w:styleId="BMBulletsTegn">
    <w:name w:val="BMBullets Tegn"/>
    <w:link w:val="BMBullets"/>
    <w:locked/>
    <w:rPr>
      <w:lang w:eastAsia="en-GB" w:bidi="ar-SA"/>
    </w:rPr>
  </w:style>
  <w:style w:type="paragraph" w:customStyle="1" w:styleId="BMBullets">
    <w:name w:val="BMBullets"/>
    <w:basedOn w:val="BMBrdtekst"/>
    <w:link w:val="BMBulletsTegn"/>
    <w:pPr>
      <w:numPr>
        <w:numId w:val="39"/>
      </w:numPr>
      <w:tabs>
        <w:tab w:val="clear" w:pos="284"/>
        <w:tab w:val="num" w:pos="360"/>
        <w:tab w:val="num" w:pos="1620"/>
      </w:tabs>
      <w:ind w:left="360" w:hanging="360"/>
    </w:pPr>
    <w:rPr>
      <w:sz w:val="20"/>
      <w:szCs w:val="20"/>
      <w:lang w:eastAsia="en-GB"/>
    </w:rPr>
  </w:style>
  <w:style w:type="paragraph" w:customStyle="1" w:styleId="ambodytext">
    <w:name w:val="ambodytext"/>
    <w:basedOn w:val="Normal"/>
    <w:pPr>
      <w:tabs>
        <w:tab w:val="clear" w:pos="431"/>
      </w:tabs>
      <w:overflowPunct/>
      <w:adjustRightInd/>
      <w:snapToGrid/>
      <w:spacing w:line="280" w:lineRule="atLeast"/>
      <w:jc w:val="left"/>
    </w:pPr>
    <w:rPr>
      <w:snapToGrid/>
      <w:sz w:val="24"/>
      <w:szCs w:val="24"/>
      <w:lang w:val="en-GB" w:eastAsia="da-DK"/>
    </w:rPr>
  </w:style>
  <w:style w:type="paragraph" w:customStyle="1" w:styleId="bmbrdtekst0">
    <w:name w:val="bmbrdtekst"/>
    <w:basedOn w:val="Normal"/>
    <w:pPr>
      <w:tabs>
        <w:tab w:val="clear" w:pos="431"/>
      </w:tabs>
      <w:overflowPunct/>
      <w:adjustRightInd/>
      <w:snapToGrid/>
      <w:spacing w:line="260" w:lineRule="atLeast"/>
      <w:jc w:val="left"/>
    </w:pPr>
    <w:rPr>
      <w:snapToGrid/>
      <w:sz w:val="22"/>
      <w:szCs w:val="22"/>
      <w:lang w:val="en-GB" w:eastAsia="da-DK"/>
    </w:rPr>
  </w:style>
  <w:style w:type="paragraph" w:customStyle="1" w:styleId="MVTUBrdtekst">
    <w:name w:val="MVTU_Brødtekst"/>
    <w:basedOn w:val="Normal"/>
    <w:pPr>
      <w:tabs>
        <w:tab w:val="clear" w:pos="431"/>
      </w:tabs>
      <w:overflowPunct/>
      <w:adjustRightInd/>
      <w:snapToGrid/>
      <w:spacing w:line="260" w:lineRule="atLeast"/>
      <w:jc w:val="left"/>
    </w:pPr>
    <w:rPr>
      <w:snapToGrid/>
      <w:spacing w:val="2"/>
      <w:kern w:val="26"/>
      <w:sz w:val="22"/>
      <w:lang w:val="en-GB" w:eastAsia="en-US"/>
    </w:rPr>
  </w:style>
  <w:style w:type="paragraph" w:customStyle="1" w:styleId="default0">
    <w:name w:val="default"/>
    <w:basedOn w:val="Normal"/>
    <w:pPr>
      <w:tabs>
        <w:tab w:val="clear" w:pos="431"/>
      </w:tabs>
      <w:overflowPunct/>
      <w:adjustRightInd/>
      <w:snapToGrid/>
      <w:spacing w:before="100" w:beforeAutospacing="1" w:after="100" w:afterAutospacing="1" w:line="240" w:lineRule="auto"/>
      <w:jc w:val="left"/>
    </w:pPr>
    <w:rPr>
      <w:snapToGrid/>
      <w:sz w:val="24"/>
      <w:szCs w:val="24"/>
      <w:lang w:val="en-GB" w:eastAsia="da-DK"/>
    </w:rPr>
  </w:style>
  <w:style w:type="paragraph" w:customStyle="1" w:styleId="Tekst9">
    <w:name w:val="Tekst9"/>
    <w:basedOn w:val="Normal"/>
    <w:pPr>
      <w:tabs>
        <w:tab w:val="clear" w:pos="431"/>
      </w:tabs>
      <w:overflowPunct/>
      <w:adjustRightInd/>
      <w:snapToGrid/>
      <w:spacing w:before="60" w:after="60" w:line="240" w:lineRule="auto"/>
      <w:ind w:firstLine="170"/>
    </w:pPr>
    <w:rPr>
      <w:rFonts w:eastAsia="PMingLiU"/>
      <w:snapToGrid/>
      <w:sz w:val="22"/>
      <w:szCs w:val="22"/>
      <w:lang w:val="en-GB" w:eastAsia="zh-TW"/>
    </w:rPr>
  </w:style>
  <w:style w:type="paragraph" w:customStyle="1" w:styleId="Listeafsnit2">
    <w:name w:val="Listeafsnit2"/>
    <w:basedOn w:val="Normal"/>
    <w:qFormat/>
    <w:pPr>
      <w:tabs>
        <w:tab w:val="clear" w:pos="431"/>
      </w:tabs>
      <w:autoSpaceDE w:val="0"/>
      <w:autoSpaceDN w:val="0"/>
      <w:snapToGrid/>
      <w:spacing w:line="240" w:lineRule="auto"/>
      <w:ind w:left="720"/>
    </w:pPr>
    <w:rPr>
      <w:snapToGrid/>
      <w:sz w:val="22"/>
      <w:lang w:val="en-GB" w:eastAsia="da-DK"/>
    </w:rPr>
  </w:style>
  <w:style w:type="paragraph" w:customStyle="1" w:styleId="Pa1">
    <w:name w:val="Pa1"/>
    <w:basedOn w:val="Normal"/>
    <w:pPr>
      <w:tabs>
        <w:tab w:val="clear" w:pos="431"/>
      </w:tabs>
      <w:overflowPunct/>
      <w:autoSpaceDE w:val="0"/>
      <w:autoSpaceDN w:val="0"/>
      <w:adjustRightInd/>
      <w:snapToGrid/>
      <w:spacing w:line="241" w:lineRule="atLeast"/>
      <w:jc w:val="left"/>
    </w:pPr>
    <w:rPr>
      <w:rFonts w:ascii="Calibri" w:hAnsi="Calibri"/>
      <w:snapToGrid/>
      <w:sz w:val="24"/>
      <w:szCs w:val="24"/>
      <w:lang w:val="en-GB" w:eastAsia="da-DK"/>
    </w:rPr>
  </w:style>
  <w:style w:type="paragraph" w:customStyle="1" w:styleId="Sag">
    <w:name w:val="Sag"/>
    <w:basedOn w:val="Normal"/>
    <w:pPr>
      <w:tabs>
        <w:tab w:val="clear" w:pos="431"/>
        <w:tab w:val="left" w:pos="3402"/>
        <w:tab w:val="left" w:pos="6577"/>
      </w:tabs>
      <w:overflowPunct/>
      <w:adjustRightInd/>
      <w:snapToGrid/>
      <w:spacing w:line="280" w:lineRule="exact"/>
    </w:pPr>
    <w:rPr>
      <w:i/>
      <w:snapToGrid/>
      <w:sz w:val="18"/>
      <w:lang w:val="en-GB" w:eastAsia="da-DK"/>
    </w:rPr>
  </w:style>
  <w:style w:type="paragraph" w:customStyle="1" w:styleId="msolistparagraph0">
    <w:name w:val="msolistparagraph"/>
    <w:basedOn w:val="Normal"/>
    <w:pPr>
      <w:tabs>
        <w:tab w:val="clear" w:pos="431"/>
      </w:tabs>
      <w:overflowPunct/>
      <w:adjustRightInd/>
      <w:snapToGrid/>
      <w:spacing w:line="240" w:lineRule="auto"/>
      <w:ind w:left="720"/>
      <w:jc w:val="left"/>
    </w:pPr>
    <w:rPr>
      <w:rFonts w:ascii="Calibri" w:hAnsi="Calibri"/>
      <w:snapToGrid/>
      <w:sz w:val="22"/>
      <w:szCs w:val="22"/>
      <w:lang w:val="en-GB" w:eastAsia="da-DK"/>
    </w:rPr>
  </w:style>
  <w:style w:type="paragraph" w:customStyle="1" w:styleId="Listeafsnit1">
    <w:name w:val="Listeafsnit1"/>
    <w:basedOn w:val="Normal"/>
    <w:pPr>
      <w:tabs>
        <w:tab w:val="clear" w:pos="431"/>
      </w:tabs>
      <w:overflowPunct/>
      <w:adjustRightInd/>
      <w:snapToGrid/>
      <w:spacing w:line="240" w:lineRule="auto"/>
      <w:ind w:left="720"/>
      <w:contextualSpacing/>
      <w:jc w:val="left"/>
    </w:pPr>
    <w:rPr>
      <w:snapToGrid/>
      <w:sz w:val="24"/>
      <w:szCs w:val="24"/>
      <w:lang w:val="en-GB" w:eastAsia="da-DK"/>
    </w:rPr>
  </w:style>
  <w:style w:type="paragraph" w:customStyle="1" w:styleId="liste1">
    <w:name w:val="liste1"/>
    <w:basedOn w:val="Normal"/>
    <w:pPr>
      <w:tabs>
        <w:tab w:val="clear" w:pos="431"/>
      </w:tabs>
      <w:overflowPunct/>
      <w:adjustRightInd/>
      <w:snapToGrid/>
      <w:spacing w:before="100" w:beforeAutospacing="1" w:after="100" w:afterAutospacing="1" w:line="264" w:lineRule="atLeast"/>
      <w:jc w:val="left"/>
    </w:pPr>
    <w:rPr>
      <w:snapToGrid/>
      <w:sz w:val="24"/>
      <w:szCs w:val="24"/>
      <w:lang w:val="en-GB" w:eastAsia="da-DK"/>
    </w:rPr>
  </w:style>
  <w:style w:type="paragraph" w:customStyle="1" w:styleId="listparagraph0">
    <w:name w:val="listparagraph"/>
    <w:basedOn w:val="Normal"/>
    <w:pPr>
      <w:tabs>
        <w:tab w:val="clear" w:pos="431"/>
      </w:tabs>
      <w:overflowPunct/>
      <w:adjustRightInd/>
      <w:snapToGrid/>
      <w:spacing w:line="240" w:lineRule="auto"/>
      <w:ind w:left="720"/>
      <w:jc w:val="left"/>
    </w:pPr>
    <w:rPr>
      <w:snapToGrid/>
      <w:sz w:val="24"/>
      <w:szCs w:val="24"/>
      <w:lang w:val="en-GB" w:eastAsia="da-DK"/>
    </w:rPr>
  </w:style>
  <w:style w:type="character" w:styleId="CommentReference">
    <w:name w:val="annotation reference"/>
    <w:unhideWhenUsed/>
    <w:rPr>
      <w:sz w:val="16"/>
      <w:szCs w:val="16"/>
      <w:lang w:val="en-GB"/>
    </w:rPr>
  </w:style>
  <w:style w:type="character" w:customStyle="1" w:styleId="highlightedsearchterm">
    <w:name w:val="highlightedsearchterm"/>
  </w:style>
  <w:style w:type="character" w:customStyle="1" w:styleId="hps">
    <w:name w:val="hps"/>
  </w:style>
  <w:style w:type="character" w:customStyle="1" w:styleId="TegnTegn">
    <w:name w:val="Tegn Tegn"/>
    <w:rPr>
      <w:lang w:val="en-GB" w:eastAsia="en-US" w:bidi="ar-SA"/>
    </w:rPr>
  </w:style>
  <w:style w:type="character" w:customStyle="1" w:styleId="TegnTegn1">
    <w:name w:val="Tegn Tegn1"/>
    <w:rPr>
      <w:lang w:val="en-GB" w:eastAsia="en-US" w:bidi="ar-SA"/>
    </w:rPr>
  </w:style>
  <w:style w:type="character" w:customStyle="1" w:styleId="manchet">
    <w:name w:val="manchet"/>
  </w:style>
  <w:style w:type="character" w:customStyle="1" w:styleId="liste1nr">
    <w:name w:val="liste1nr"/>
  </w:style>
  <w:style w:type="character" w:customStyle="1" w:styleId="styk">
    <w:name w:val="styk"/>
  </w:style>
  <w:style w:type="character" w:customStyle="1" w:styleId="EmailStyle571">
    <w:name w:val="EmailStyle571"/>
    <w:semiHidden/>
    <w:rPr>
      <w:rFonts w:ascii="Arial" w:hAnsi="Arial" w:cs="Arial" w:hint="default"/>
      <w:color w:val="auto"/>
      <w:sz w:val="20"/>
      <w:szCs w:val="20"/>
    </w:rPr>
  </w:style>
  <w:style w:type="character" w:customStyle="1" w:styleId="trans">
    <w:name w:val="trans"/>
  </w:style>
  <w:style w:type="character" w:customStyle="1" w:styleId="st1">
    <w:name w:val="st1"/>
  </w:style>
  <w:style w:type="character" w:styleId="Emphasis">
    <w:name w:val="Emphasis"/>
    <w:qFormat/>
    <w:rPr>
      <w:b w:val="0"/>
      <w:bCs w:val="0"/>
      <w:i w:val="0"/>
      <w:iCs w:val="0"/>
      <w:color w:val="DD4B39"/>
    </w:rPr>
  </w:style>
  <w:style w:type="character" w:customStyle="1" w:styleId="lijujieshi">
    <w:name w:val="lijujieshi"/>
  </w:style>
  <w:style w:type="character" w:customStyle="1" w:styleId="st">
    <w:name w:val="st"/>
  </w:style>
  <w:style w:type="character" w:customStyle="1" w:styleId="SingleTxtGChar">
    <w:name w:val="_ Single Txt_G Char"/>
    <w:basedOn w:val="DefaultParagraphFont"/>
    <w:rPr>
      <w:rFonts w:eastAsia="SimSun"/>
      <w:spacing w:val="10"/>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60</TotalTime>
  <Pages>1</Pages>
  <Words>9168</Words>
  <Characters>52258</Characters>
  <Application>Microsoft Office Outlook</Application>
  <DocSecurity>4</DocSecurity>
  <Lines>435</Lines>
  <Paragraphs>122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61304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8</cp:revision>
  <cp:lastPrinted>2013-09-13T07:01:00Z</cp:lastPrinted>
  <dcterms:created xsi:type="dcterms:W3CDTF">2013-09-12T13:48:00Z</dcterms:created>
  <dcterms:modified xsi:type="dcterms:W3CDTF">2013-09-13T07:03:00Z</dcterms:modified>
</cp:coreProperties>
</file>