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751" w:rsidRDefault="00595751">
      <w:pPr>
        <w:spacing w:line="60" w:lineRule="exact"/>
      </w:pPr>
      <w:r>
        <w:rPr>
          <w:rStyle w:val="CommentReference"/>
          <w:rFonts w:hint="eastAsia"/>
          <w:vanish/>
        </w:rPr>
        <w:commentReference w:id="0"/>
      </w:r>
    </w:p>
    <w:p w:rsidR="00595751" w:rsidRDefault="00595751">
      <w:pPr>
        <w:pStyle w:val="H1"/>
        <w:spacing w:beforeLines="0" w:before="0"/>
        <w:rPr>
          <w:rFonts w:hint="eastAsia"/>
        </w:rPr>
      </w:pPr>
      <w:bookmarkStart w:id="1" w:name="_Toc93172486"/>
      <w:bookmarkStart w:id="2" w:name="_Toc93172672"/>
      <w:bookmarkStart w:id="3" w:name="_Toc188785125"/>
      <w:bookmarkStart w:id="4" w:name="_Toc188785236"/>
      <w:r>
        <w:rPr>
          <w:rFonts w:hint="eastAsia"/>
        </w:rPr>
        <w:t>消除对妇女歧视委员会</w:t>
      </w:r>
      <w:bookmarkEnd w:id="1"/>
      <w:bookmarkEnd w:id="2"/>
      <w:bookmarkEnd w:id="3"/>
      <w:bookmarkEnd w:id="4"/>
    </w:p>
    <w:p w:rsidR="00595751" w:rsidRDefault="00595751">
      <w:pPr>
        <w:spacing w:line="360" w:lineRule="atLeast"/>
      </w:pPr>
    </w:p>
    <w:p w:rsidR="00595751" w:rsidRDefault="00595751">
      <w:pPr>
        <w:spacing w:line="360" w:lineRule="atLeast"/>
        <w:rPr>
          <w:rFonts w:hint="eastAsia"/>
        </w:rPr>
      </w:pPr>
    </w:p>
    <w:p w:rsidR="00595751" w:rsidRDefault="00595751">
      <w:pPr>
        <w:pStyle w:val="HCh"/>
        <w:jc w:val="center"/>
        <w:rPr>
          <w:rFonts w:hint="eastAsia"/>
        </w:rPr>
      </w:pPr>
      <w:bookmarkStart w:id="5" w:name="_Toc188785126"/>
      <w:bookmarkStart w:id="6" w:name="_Toc188785237"/>
      <w:r>
        <w:rPr>
          <w:rFonts w:hint="eastAsia"/>
        </w:rPr>
        <w:t>审议缔约国根据《消除对妇女一切形式歧视公约》</w:t>
      </w:r>
      <w:r>
        <w:br/>
      </w:r>
      <w:r>
        <w:rPr>
          <w:rFonts w:hint="eastAsia"/>
        </w:rPr>
        <w:t>第</w:t>
      </w:r>
      <w:r>
        <w:t>18</w:t>
      </w:r>
      <w:r>
        <w:rPr>
          <w:rFonts w:hint="eastAsia"/>
        </w:rPr>
        <w:t>条提交的报告</w:t>
      </w:r>
      <w:bookmarkEnd w:id="5"/>
      <w:bookmarkEnd w:id="6"/>
    </w:p>
    <w:p w:rsidR="00595751" w:rsidRDefault="00595751">
      <w:pPr>
        <w:spacing w:line="360" w:lineRule="auto"/>
        <w:jc w:val="center"/>
        <w:rPr>
          <w:rFonts w:ascii="SimSun" w:hAnsi="SimSun" w:hint="eastAsia"/>
          <w:sz w:val="28"/>
          <w:szCs w:val="28"/>
        </w:rPr>
      </w:pPr>
    </w:p>
    <w:p w:rsidR="00595751" w:rsidRDefault="00595751">
      <w:pPr>
        <w:pStyle w:val="H1"/>
        <w:rPr>
          <w:rFonts w:hint="eastAsia"/>
          <w:bCs/>
        </w:rPr>
      </w:pPr>
      <w:bookmarkStart w:id="7" w:name="_Toc188785127"/>
      <w:bookmarkStart w:id="8" w:name="_Toc188785238"/>
      <w:r>
        <w:rPr>
          <w:rFonts w:hint="eastAsia"/>
          <w:bCs/>
          <w:u w:val="single"/>
        </w:rPr>
        <w:t>缔约国的第四次定期报告</w:t>
      </w:r>
      <w:bookmarkEnd w:id="7"/>
      <w:bookmarkEnd w:id="8"/>
    </w:p>
    <w:p w:rsidR="00595751" w:rsidRDefault="00595751">
      <w:pPr>
        <w:rPr>
          <w:rFonts w:hint="eastAsia"/>
        </w:rPr>
      </w:pPr>
    </w:p>
    <w:p w:rsidR="00595751" w:rsidRDefault="00595751">
      <w:pPr>
        <w:rPr>
          <w:rFonts w:hint="eastAsia"/>
        </w:rPr>
      </w:pPr>
    </w:p>
    <w:p w:rsidR="00595751" w:rsidRDefault="00595751">
      <w:pPr>
        <w:pStyle w:val="HCh"/>
        <w:jc w:val="center"/>
      </w:pPr>
      <w:bookmarkStart w:id="9" w:name="_Toc188785128"/>
      <w:bookmarkStart w:id="10" w:name="_Toc188785239"/>
      <w:r>
        <w:rPr>
          <w:rFonts w:cs="SimHei" w:hint="eastAsia"/>
          <w:szCs w:val="28"/>
        </w:rPr>
        <w:t>立陶宛</w:t>
      </w:r>
      <w:r>
        <w:rPr>
          <w:vertAlign w:val="superscript"/>
        </w:rPr>
        <w:t>*</w:t>
      </w:r>
      <w:bookmarkEnd w:id="9"/>
      <w:bookmarkEnd w:id="10"/>
    </w:p>
    <w:p w:rsidR="00595751" w:rsidRDefault="00595751">
      <w:pPr>
        <w:pStyle w:val="HCh"/>
        <w:jc w:val="center"/>
        <w:rPr>
          <w:rFonts w:hint="eastAsia"/>
        </w:rPr>
      </w:pPr>
    </w:p>
    <w:p w:rsidR="00595751" w:rsidRDefault="00595751">
      <w:pPr>
        <w:rPr>
          <w:rFonts w:hint="eastAsia"/>
        </w:rPr>
      </w:pPr>
    </w:p>
    <w:p w:rsidR="00595751" w:rsidRDefault="00595751">
      <w:pPr>
        <w:pStyle w:val="Date"/>
        <w:spacing w:line="60" w:lineRule="exact"/>
        <w:sectPr w:rsidR="00595751">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11" w:name="_Toc77496595"/>
    </w:p>
    <w:p w:rsidR="00595751" w:rsidRDefault="00595751">
      <w:pPr>
        <w:pStyle w:val="Date"/>
        <w:spacing w:line="60" w:lineRule="exact"/>
        <w:rPr>
          <w:rFonts w:hint="eastAsia"/>
          <w:lang w:val="en-GB"/>
        </w:rPr>
      </w:pPr>
    </w:p>
    <w:bookmarkEnd w:id="11"/>
    <w:p w:rsidR="00595751" w:rsidRDefault="00595751" w:rsidP="00DB491E">
      <w:pPr>
        <w:spacing w:before="60" w:after="60" w:line="480" w:lineRule="auto"/>
        <w:ind w:firstLineChars="200" w:firstLine="31680"/>
        <w:jc w:val="center"/>
        <w:rPr>
          <w:sz w:val="24"/>
          <w:szCs w:val="24"/>
        </w:rPr>
      </w:pPr>
    </w:p>
    <w:p w:rsidR="00595751" w:rsidRDefault="00595751" w:rsidP="00DB491E">
      <w:pPr>
        <w:spacing w:before="60" w:after="60" w:line="480" w:lineRule="auto"/>
        <w:ind w:firstLineChars="200" w:firstLine="31680"/>
        <w:jc w:val="center"/>
        <w:rPr>
          <w:sz w:val="24"/>
          <w:szCs w:val="24"/>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43.5pt" fillcolor="window">
            <v:imagedata r:id="rId14" o:title=""/>
          </v:shape>
        </w:pict>
      </w:r>
    </w:p>
    <w:p w:rsidR="00595751" w:rsidRDefault="00595751">
      <w:pPr>
        <w:spacing w:after="240" w:line="360" w:lineRule="exact"/>
        <w:jc w:val="center"/>
        <w:rPr>
          <w:rFonts w:ascii="SimHei" w:eastAsia="SimHei" w:hint="eastAsia"/>
          <w:color w:val="FF0000"/>
          <w:kern w:val="14"/>
          <w:sz w:val="24"/>
        </w:rPr>
      </w:pPr>
      <w:r>
        <w:rPr>
          <w:rFonts w:ascii="SimHei" w:eastAsia="SimHei" w:hint="eastAsia"/>
          <w:color w:val="FF0000"/>
          <w:kern w:val="14"/>
          <w:sz w:val="24"/>
        </w:rPr>
        <w:t>立陶宛共和国政府</w:t>
      </w:r>
    </w:p>
    <w:p w:rsidR="00595751" w:rsidRDefault="00595751">
      <w:pPr>
        <w:spacing w:after="240" w:line="360" w:lineRule="exact"/>
        <w:jc w:val="center"/>
        <w:rPr>
          <w:rFonts w:ascii="SimHei" w:eastAsia="SimHei" w:hint="eastAsia"/>
          <w:color w:val="FF0000"/>
          <w:kern w:val="14"/>
          <w:sz w:val="24"/>
        </w:rPr>
      </w:pPr>
      <w:r>
        <w:rPr>
          <w:rFonts w:ascii="SimHei" w:eastAsia="SimHei" w:hint="eastAsia"/>
          <w:color w:val="FF0000"/>
          <w:kern w:val="14"/>
          <w:sz w:val="24"/>
        </w:rPr>
        <w:t>2007年10月10日第1094号决议</w:t>
      </w:r>
    </w:p>
    <w:p w:rsidR="00595751" w:rsidRDefault="00595751">
      <w:pPr>
        <w:spacing w:after="240" w:line="360" w:lineRule="auto"/>
        <w:jc w:val="center"/>
        <w:rPr>
          <w:rFonts w:ascii="SimHei" w:eastAsia="SimHei" w:cs="SimHei" w:hint="eastAsia"/>
          <w:color w:val="FF0000"/>
          <w:kern w:val="14"/>
          <w:sz w:val="28"/>
          <w:szCs w:val="28"/>
        </w:rPr>
      </w:pPr>
      <w:r>
        <w:rPr>
          <w:rFonts w:ascii="SimHei" w:eastAsia="SimHei" w:cs="SimHei" w:hint="eastAsia"/>
          <w:color w:val="FF0000"/>
          <w:kern w:val="14"/>
          <w:sz w:val="28"/>
          <w:szCs w:val="28"/>
        </w:rPr>
        <w:t>关于核准根据</w:t>
      </w:r>
      <w:r>
        <w:rPr>
          <w:rFonts w:ascii="SimHei" w:eastAsia="SimHei" w:cs="SimHei"/>
          <w:color w:val="FF0000"/>
          <w:sz w:val="28"/>
          <w:szCs w:val="28"/>
        </w:rPr>
        <w:br/>
      </w:r>
      <w:r>
        <w:rPr>
          <w:rFonts w:ascii="SimHei" w:eastAsia="SimHei" w:cs="SimHei" w:hint="eastAsia"/>
          <w:color w:val="FF0000"/>
          <w:kern w:val="14"/>
          <w:sz w:val="28"/>
          <w:szCs w:val="28"/>
        </w:rPr>
        <w:t>《联合国消除对妇女一切形式歧视公约》</w:t>
      </w:r>
      <w:r>
        <w:rPr>
          <w:rFonts w:ascii="SimHei" w:eastAsia="SimHei" w:cs="SimHei"/>
          <w:color w:val="FF0000"/>
          <w:sz w:val="28"/>
          <w:szCs w:val="28"/>
        </w:rPr>
        <w:br/>
      </w:r>
      <w:r>
        <w:rPr>
          <w:rFonts w:ascii="SimHei" w:eastAsia="SimHei" w:cs="SimHei" w:hint="eastAsia"/>
          <w:color w:val="FF0000"/>
          <w:kern w:val="14"/>
          <w:sz w:val="28"/>
          <w:szCs w:val="28"/>
        </w:rPr>
        <w:t>提交的报告</w:t>
      </w:r>
    </w:p>
    <w:p w:rsidR="00595751" w:rsidRDefault="00595751">
      <w:pPr>
        <w:spacing w:after="240" w:line="360" w:lineRule="exact"/>
        <w:jc w:val="center"/>
        <w:rPr>
          <w:rFonts w:ascii="SimSun" w:hint="eastAsia"/>
          <w:kern w:val="14"/>
        </w:rPr>
      </w:pPr>
      <w:r>
        <w:rPr>
          <w:rFonts w:hint="eastAsia"/>
          <w:kern w:val="14"/>
        </w:rPr>
        <w:t>维尔纽斯</w:t>
      </w:r>
    </w:p>
    <w:p w:rsidR="00595751" w:rsidRDefault="00595751">
      <w:pPr>
        <w:spacing w:after="240" w:line="360" w:lineRule="exact"/>
        <w:ind w:firstLine="420"/>
        <w:rPr>
          <w:snapToGrid w:val="0"/>
          <w:szCs w:val="24"/>
        </w:rPr>
      </w:pPr>
      <w:r>
        <w:rPr>
          <w:rFonts w:hint="eastAsia"/>
          <w:snapToGrid w:val="0"/>
          <w:szCs w:val="24"/>
        </w:rPr>
        <w:t>在贯彻立陶宛共和国政府</w:t>
      </w:r>
      <w:r>
        <w:rPr>
          <w:rFonts w:hint="eastAsia"/>
          <w:snapToGrid w:val="0"/>
          <w:szCs w:val="24"/>
        </w:rPr>
        <w:t>2006</w:t>
      </w:r>
      <w:r>
        <w:rPr>
          <w:rFonts w:hint="eastAsia"/>
          <w:snapToGrid w:val="0"/>
          <w:szCs w:val="24"/>
        </w:rPr>
        <w:t>年</w:t>
      </w:r>
      <w:r>
        <w:rPr>
          <w:rFonts w:hint="eastAsia"/>
          <w:snapToGrid w:val="0"/>
          <w:szCs w:val="24"/>
        </w:rPr>
        <w:t>10</w:t>
      </w:r>
      <w:r>
        <w:rPr>
          <w:rFonts w:hint="eastAsia"/>
          <w:snapToGrid w:val="0"/>
          <w:szCs w:val="24"/>
        </w:rPr>
        <w:t>月</w:t>
      </w:r>
      <w:r>
        <w:rPr>
          <w:rFonts w:hint="eastAsia"/>
          <w:snapToGrid w:val="0"/>
          <w:szCs w:val="24"/>
        </w:rPr>
        <w:t>17</w:t>
      </w:r>
      <w:r>
        <w:rPr>
          <w:rFonts w:hint="eastAsia"/>
          <w:snapToGrid w:val="0"/>
          <w:szCs w:val="24"/>
        </w:rPr>
        <w:t>日第</w:t>
      </w:r>
      <w:r>
        <w:rPr>
          <w:rFonts w:hint="eastAsia"/>
          <w:snapToGrid w:val="0"/>
          <w:szCs w:val="24"/>
        </w:rPr>
        <w:t>1020</w:t>
      </w:r>
      <w:r>
        <w:rPr>
          <w:rFonts w:hint="eastAsia"/>
          <w:snapToGrid w:val="0"/>
          <w:szCs w:val="24"/>
        </w:rPr>
        <w:t>号决议（</w:t>
      </w:r>
      <w:r>
        <w:rPr>
          <w:rFonts w:hint="eastAsia"/>
          <w:snapToGrid w:val="0"/>
          <w:szCs w:val="24"/>
        </w:rPr>
        <w:t>2006</w:t>
      </w:r>
      <w:r>
        <w:rPr>
          <w:rFonts w:hint="eastAsia"/>
          <w:snapToGrid w:val="0"/>
          <w:szCs w:val="24"/>
        </w:rPr>
        <w:t>年第</w:t>
      </w:r>
      <w:r>
        <w:rPr>
          <w:snapToGrid w:val="0"/>
          <w:szCs w:val="24"/>
        </w:rPr>
        <w:t>112-4273</w:t>
      </w:r>
      <w:r>
        <w:rPr>
          <w:rFonts w:hint="eastAsia"/>
          <w:snapToGrid w:val="0"/>
          <w:szCs w:val="24"/>
        </w:rPr>
        <w:t>号《政府公报》）核可的立陶宛共和国政府《</w:t>
      </w:r>
      <w:r>
        <w:rPr>
          <w:rFonts w:hint="eastAsia"/>
          <w:snapToGrid w:val="0"/>
          <w:szCs w:val="24"/>
        </w:rPr>
        <w:t>2006-2008</w:t>
      </w:r>
      <w:r>
        <w:rPr>
          <w:rFonts w:hint="eastAsia"/>
          <w:snapToGrid w:val="0"/>
          <w:szCs w:val="24"/>
        </w:rPr>
        <w:t>年方案执行措施》表</w:t>
      </w:r>
      <w:r>
        <w:rPr>
          <w:rFonts w:hint="eastAsia"/>
          <w:snapToGrid w:val="0"/>
          <w:szCs w:val="24"/>
        </w:rPr>
        <w:t>2</w:t>
      </w:r>
      <w:r>
        <w:rPr>
          <w:rFonts w:hint="eastAsia"/>
          <w:snapToGrid w:val="0"/>
          <w:szCs w:val="24"/>
        </w:rPr>
        <w:t>第</w:t>
      </w:r>
      <w:r>
        <w:rPr>
          <w:rFonts w:hint="eastAsia"/>
          <w:snapToGrid w:val="0"/>
          <w:szCs w:val="24"/>
        </w:rPr>
        <w:t>836</w:t>
      </w:r>
      <w:r>
        <w:rPr>
          <w:rFonts w:hint="eastAsia"/>
          <w:snapToGrid w:val="0"/>
          <w:szCs w:val="24"/>
        </w:rPr>
        <w:t>项“立陶宛共和国政府《</w:t>
      </w:r>
      <w:r>
        <w:rPr>
          <w:rFonts w:hint="eastAsia"/>
          <w:snapToGrid w:val="0"/>
          <w:szCs w:val="24"/>
        </w:rPr>
        <w:t>2006-2006</w:t>
      </w:r>
      <w:r>
        <w:rPr>
          <w:rFonts w:hint="eastAsia"/>
          <w:snapToGrid w:val="0"/>
          <w:szCs w:val="24"/>
        </w:rPr>
        <w:t>年方案下的义务的执行措施》以及立陶宛共和国议会</w:t>
      </w:r>
      <w:r>
        <w:rPr>
          <w:snapToGrid w:val="0"/>
          <w:szCs w:val="24"/>
        </w:rPr>
        <w:t>1995</w:t>
      </w:r>
      <w:r>
        <w:rPr>
          <w:rFonts w:hint="eastAsia"/>
          <w:snapToGrid w:val="0"/>
          <w:szCs w:val="24"/>
        </w:rPr>
        <w:t>年</w:t>
      </w:r>
      <w:r>
        <w:rPr>
          <w:snapToGrid w:val="0"/>
          <w:szCs w:val="24"/>
        </w:rPr>
        <w:t>9</w:t>
      </w:r>
      <w:r>
        <w:rPr>
          <w:rFonts w:hint="eastAsia"/>
          <w:snapToGrid w:val="0"/>
          <w:szCs w:val="24"/>
        </w:rPr>
        <w:t>月</w:t>
      </w:r>
      <w:r>
        <w:rPr>
          <w:snapToGrid w:val="0"/>
          <w:szCs w:val="24"/>
        </w:rPr>
        <w:t>10</w:t>
      </w:r>
      <w:r>
        <w:rPr>
          <w:rFonts w:hint="eastAsia"/>
          <w:snapToGrid w:val="0"/>
          <w:szCs w:val="24"/>
        </w:rPr>
        <w:t>日关于“核准《联合国消除对妇女一切形式歧视公约》</w:t>
      </w:r>
      <w:r>
        <w:rPr>
          <w:snapToGrid w:val="0"/>
          <w:szCs w:val="24"/>
        </w:rPr>
        <w:t>（</w:t>
      </w:r>
      <w:r>
        <w:rPr>
          <w:snapToGrid w:val="0"/>
          <w:szCs w:val="24"/>
        </w:rPr>
        <w:t>1995</w:t>
      </w:r>
      <w:r>
        <w:rPr>
          <w:rFonts w:hint="eastAsia"/>
          <w:snapToGrid w:val="0"/>
          <w:szCs w:val="24"/>
        </w:rPr>
        <w:t>年第</w:t>
      </w:r>
      <w:r>
        <w:rPr>
          <w:snapToGrid w:val="0"/>
          <w:szCs w:val="24"/>
        </w:rPr>
        <w:t>76-1764</w:t>
      </w:r>
      <w:r>
        <w:rPr>
          <w:rFonts w:hint="eastAsia"/>
          <w:snapToGrid w:val="0"/>
          <w:szCs w:val="24"/>
        </w:rPr>
        <w:t>号《政府公报》</w:t>
      </w:r>
      <w:r>
        <w:rPr>
          <w:snapToGrid w:val="0"/>
          <w:szCs w:val="24"/>
        </w:rPr>
        <w:t>）</w:t>
      </w:r>
      <w:r>
        <w:rPr>
          <w:rFonts w:hint="eastAsia"/>
          <w:snapToGrid w:val="0"/>
          <w:szCs w:val="24"/>
        </w:rPr>
        <w:t>的第</w:t>
      </w:r>
      <w:r>
        <w:rPr>
          <w:rFonts w:hint="eastAsia"/>
          <w:snapToGrid w:val="0"/>
          <w:szCs w:val="24"/>
        </w:rPr>
        <w:t>I-1035</w:t>
      </w:r>
      <w:r>
        <w:rPr>
          <w:rFonts w:hint="eastAsia"/>
          <w:snapToGrid w:val="0"/>
          <w:szCs w:val="24"/>
        </w:rPr>
        <w:t>号决议核准的《联合国消除对妇女一切形式歧视公约》</w:t>
      </w:r>
      <w:r>
        <w:rPr>
          <w:snapToGrid w:val="0"/>
          <w:szCs w:val="24"/>
        </w:rPr>
        <w:t>（</w:t>
      </w:r>
      <w:r>
        <w:rPr>
          <w:snapToGrid w:val="0"/>
          <w:szCs w:val="24"/>
        </w:rPr>
        <w:t>1996</w:t>
      </w:r>
      <w:r>
        <w:rPr>
          <w:rFonts w:hint="eastAsia"/>
          <w:snapToGrid w:val="0"/>
          <w:szCs w:val="24"/>
        </w:rPr>
        <w:t>年第</w:t>
      </w:r>
      <w:r>
        <w:rPr>
          <w:snapToGrid w:val="0"/>
          <w:szCs w:val="24"/>
        </w:rPr>
        <w:t>21-549</w:t>
      </w:r>
      <w:r>
        <w:rPr>
          <w:rFonts w:hint="eastAsia"/>
          <w:snapToGrid w:val="0"/>
          <w:szCs w:val="24"/>
        </w:rPr>
        <w:t>号《政府公报》</w:t>
      </w:r>
      <w:r>
        <w:rPr>
          <w:snapToGrid w:val="0"/>
          <w:szCs w:val="24"/>
        </w:rPr>
        <w:t>）</w:t>
      </w:r>
      <w:r>
        <w:rPr>
          <w:rFonts w:hint="eastAsia"/>
          <w:snapToGrid w:val="0"/>
          <w:szCs w:val="24"/>
        </w:rPr>
        <w:t>第</w:t>
      </w:r>
      <w:r>
        <w:rPr>
          <w:snapToGrid w:val="0"/>
          <w:szCs w:val="24"/>
        </w:rPr>
        <w:t>18</w:t>
      </w:r>
      <w:r>
        <w:rPr>
          <w:rFonts w:hint="eastAsia"/>
          <w:snapToGrid w:val="0"/>
          <w:szCs w:val="24"/>
        </w:rPr>
        <w:t>条第</w:t>
      </w:r>
      <w:r>
        <w:rPr>
          <w:snapToGrid w:val="0"/>
          <w:szCs w:val="24"/>
        </w:rPr>
        <w:t>1</w:t>
      </w:r>
      <w:r>
        <w:rPr>
          <w:rFonts w:hint="eastAsia"/>
          <w:snapToGrid w:val="0"/>
          <w:szCs w:val="24"/>
        </w:rPr>
        <w:t>款（</w:t>
      </w:r>
      <w:r>
        <w:rPr>
          <w:snapToGrid w:val="0"/>
          <w:szCs w:val="24"/>
        </w:rPr>
        <w:t>b</w:t>
      </w:r>
      <w:r>
        <w:rPr>
          <w:rFonts w:hint="eastAsia"/>
          <w:snapToGrid w:val="0"/>
          <w:szCs w:val="24"/>
        </w:rPr>
        <w:t>）项方面，立陶宛共和国政府决定：</w:t>
      </w:r>
    </w:p>
    <w:p w:rsidR="00595751" w:rsidRDefault="00595751">
      <w:pPr>
        <w:spacing w:after="240" w:line="360" w:lineRule="exact"/>
        <w:ind w:firstLine="420"/>
        <w:rPr>
          <w:snapToGrid w:val="0"/>
          <w:szCs w:val="24"/>
        </w:rPr>
      </w:pPr>
      <w:r>
        <w:rPr>
          <w:snapToGrid w:val="0"/>
          <w:szCs w:val="24"/>
        </w:rPr>
        <w:t>1.</w:t>
      </w:r>
      <w:r>
        <w:rPr>
          <w:rFonts w:hint="eastAsia"/>
          <w:snapToGrid w:val="0"/>
          <w:szCs w:val="24"/>
        </w:rPr>
        <w:t xml:space="preserve">  </w:t>
      </w:r>
      <w:r>
        <w:rPr>
          <w:rFonts w:hint="eastAsia"/>
          <w:snapToGrid w:val="0"/>
          <w:szCs w:val="24"/>
        </w:rPr>
        <w:t>核准立陶宛共和国政府关于《联合国消除对妇女一切形式歧视公约》执行情况的第四次报告（附后）；</w:t>
      </w:r>
    </w:p>
    <w:p w:rsidR="00595751" w:rsidRDefault="00595751">
      <w:pPr>
        <w:spacing w:after="240" w:line="360" w:lineRule="exact"/>
        <w:ind w:firstLine="420"/>
        <w:rPr>
          <w:snapToGrid w:val="0"/>
          <w:szCs w:val="24"/>
        </w:rPr>
      </w:pPr>
      <w:r>
        <w:rPr>
          <w:snapToGrid w:val="0"/>
          <w:szCs w:val="24"/>
        </w:rPr>
        <w:t>2.</w:t>
      </w:r>
      <w:r>
        <w:rPr>
          <w:rFonts w:hint="eastAsia"/>
          <w:snapToGrid w:val="0"/>
          <w:szCs w:val="24"/>
        </w:rPr>
        <w:t xml:space="preserve">  </w:t>
      </w:r>
      <w:r>
        <w:rPr>
          <w:rFonts w:hint="eastAsia"/>
          <w:snapToGrid w:val="0"/>
          <w:szCs w:val="24"/>
        </w:rPr>
        <w:t>责成外交部按规定程序向联合国秘书长提交报告。</w:t>
      </w:r>
    </w:p>
    <w:p w:rsidR="00595751" w:rsidRDefault="00595751">
      <w:pPr>
        <w:spacing w:after="240" w:line="360" w:lineRule="exact"/>
        <w:rPr>
          <w:rFonts w:hint="eastAsia"/>
          <w:snapToGrid w:val="0"/>
          <w:szCs w:val="24"/>
        </w:rPr>
      </w:pPr>
    </w:p>
    <w:p w:rsidR="00595751" w:rsidRDefault="00595751">
      <w:pPr>
        <w:spacing w:after="240" w:line="360" w:lineRule="exact"/>
        <w:ind w:firstLine="420"/>
        <w:rPr>
          <w:rFonts w:hint="eastAsia"/>
          <w:snapToGrid w:val="0"/>
          <w:szCs w:val="24"/>
        </w:rPr>
      </w:pPr>
      <w:r>
        <w:rPr>
          <w:rFonts w:hint="eastAsia"/>
          <w:snapToGrid w:val="0"/>
          <w:szCs w:val="24"/>
        </w:rPr>
        <w:t>总理</w:t>
      </w:r>
      <w:r>
        <w:rPr>
          <w:rFonts w:hint="eastAsia"/>
          <w:snapToGrid w:val="0"/>
          <w:szCs w:val="24"/>
        </w:rPr>
        <w:tab/>
      </w:r>
      <w:r>
        <w:rPr>
          <w:rFonts w:hint="eastAsia"/>
          <w:snapToGrid w:val="0"/>
          <w:szCs w:val="24"/>
        </w:rPr>
        <w:tab/>
      </w:r>
      <w:r>
        <w:rPr>
          <w:rFonts w:hint="eastAsia"/>
          <w:snapToGrid w:val="0"/>
          <w:szCs w:val="24"/>
        </w:rPr>
        <w:tab/>
      </w:r>
      <w:r>
        <w:rPr>
          <w:rFonts w:hint="eastAsia"/>
          <w:snapToGrid w:val="0"/>
          <w:szCs w:val="24"/>
        </w:rPr>
        <w:tab/>
      </w:r>
      <w:r>
        <w:rPr>
          <w:rFonts w:hint="eastAsia"/>
          <w:snapToGrid w:val="0"/>
          <w:szCs w:val="24"/>
        </w:rPr>
        <w:tab/>
      </w:r>
      <w:r>
        <w:rPr>
          <w:rFonts w:hint="eastAsia"/>
          <w:snapToGrid w:val="0"/>
          <w:szCs w:val="24"/>
        </w:rPr>
        <w:tab/>
      </w:r>
      <w:r>
        <w:rPr>
          <w:rFonts w:hint="eastAsia"/>
          <w:snapToGrid w:val="0"/>
          <w:szCs w:val="24"/>
        </w:rPr>
        <w:tab/>
      </w:r>
      <w:r>
        <w:rPr>
          <w:rFonts w:hint="eastAsia"/>
          <w:snapToGrid w:val="0"/>
          <w:szCs w:val="24"/>
        </w:rPr>
        <w:tab/>
      </w:r>
      <w:r>
        <w:rPr>
          <w:snapToGrid w:val="0"/>
          <w:szCs w:val="24"/>
        </w:rPr>
        <w:t>盖迪米纳斯</w:t>
      </w:r>
      <w:r>
        <w:rPr>
          <w:rFonts w:hint="eastAsia"/>
          <w:snapToGrid w:val="0"/>
          <w:szCs w:val="24"/>
        </w:rPr>
        <w:t>·</w:t>
      </w:r>
      <w:r>
        <w:rPr>
          <w:snapToGrid w:val="0"/>
          <w:szCs w:val="24"/>
        </w:rPr>
        <w:t>基尔基拉斯</w:t>
      </w:r>
    </w:p>
    <w:p w:rsidR="00595751" w:rsidRDefault="00595751">
      <w:pPr>
        <w:spacing w:after="240" w:line="360" w:lineRule="exact"/>
        <w:ind w:firstLine="420"/>
        <w:rPr>
          <w:rFonts w:hint="eastAsia"/>
          <w:snapToGrid w:val="0"/>
          <w:szCs w:val="24"/>
        </w:rPr>
      </w:pPr>
      <w:r>
        <w:rPr>
          <w:rFonts w:hint="eastAsia"/>
          <w:snapToGrid w:val="0"/>
          <w:szCs w:val="24"/>
        </w:rPr>
        <w:t>外交部长</w:t>
      </w:r>
      <w:r>
        <w:rPr>
          <w:rFonts w:hint="eastAsia"/>
          <w:snapToGrid w:val="0"/>
          <w:szCs w:val="24"/>
        </w:rPr>
        <w:tab/>
      </w:r>
      <w:r>
        <w:rPr>
          <w:rFonts w:hint="eastAsia"/>
          <w:snapToGrid w:val="0"/>
          <w:szCs w:val="24"/>
        </w:rPr>
        <w:tab/>
      </w:r>
      <w:r>
        <w:rPr>
          <w:rFonts w:hint="eastAsia"/>
          <w:snapToGrid w:val="0"/>
          <w:szCs w:val="24"/>
        </w:rPr>
        <w:tab/>
      </w:r>
      <w:r>
        <w:rPr>
          <w:rFonts w:hint="eastAsia"/>
          <w:snapToGrid w:val="0"/>
          <w:szCs w:val="24"/>
        </w:rPr>
        <w:tab/>
      </w:r>
      <w:r>
        <w:rPr>
          <w:rFonts w:hint="eastAsia"/>
          <w:snapToGrid w:val="0"/>
          <w:szCs w:val="24"/>
        </w:rPr>
        <w:tab/>
      </w:r>
      <w:r>
        <w:rPr>
          <w:rFonts w:hint="eastAsia"/>
          <w:snapToGrid w:val="0"/>
          <w:szCs w:val="24"/>
        </w:rPr>
        <w:tab/>
      </w:r>
      <w:r>
        <w:rPr>
          <w:snapToGrid w:val="0"/>
          <w:szCs w:val="24"/>
        </w:rPr>
        <w:t>彼得拉斯</w:t>
      </w:r>
      <w:r>
        <w:rPr>
          <w:rFonts w:hint="eastAsia"/>
          <w:snapToGrid w:val="0"/>
          <w:szCs w:val="24"/>
        </w:rPr>
        <w:t>·</w:t>
      </w:r>
      <w:r>
        <w:rPr>
          <w:snapToGrid w:val="0"/>
          <w:szCs w:val="24"/>
        </w:rPr>
        <w:t>瓦伊杰库纳斯</w:t>
      </w:r>
    </w:p>
    <w:p w:rsidR="00595751" w:rsidRDefault="00595751">
      <w:pPr>
        <w:spacing w:after="240" w:line="360" w:lineRule="exact"/>
        <w:rPr>
          <w:rFonts w:hint="eastAsia"/>
          <w:snapToGrid w:val="0"/>
          <w:szCs w:val="24"/>
        </w:rPr>
      </w:pPr>
    </w:p>
    <w:p w:rsidR="00595751" w:rsidRDefault="00595751">
      <w:pPr>
        <w:spacing w:after="240" w:line="360" w:lineRule="exact"/>
        <w:ind w:left="5880"/>
        <w:rPr>
          <w:rFonts w:hint="eastAsia"/>
          <w:kern w:val="14"/>
        </w:rPr>
      </w:pPr>
      <w:r>
        <w:br w:type="page"/>
      </w:r>
      <w:r>
        <w:rPr>
          <w:rFonts w:hint="eastAsia"/>
          <w:kern w:val="14"/>
        </w:rPr>
        <w:t>根据立陶宛共和国政府</w:t>
      </w:r>
      <w:r>
        <w:rPr>
          <w:rFonts w:hint="eastAsia"/>
          <w:kern w:val="14"/>
        </w:rPr>
        <w:t>2007</w:t>
      </w:r>
      <w:r>
        <w:rPr>
          <w:rFonts w:hint="eastAsia"/>
          <w:kern w:val="14"/>
        </w:rPr>
        <w:t>年</w:t>
      </w:r>
      <w:r>
        <w:rPr>
          <w:rFonts w:hint="eastAsia"/>
          <w:kern w:val="14"/>
        </w:rPr>
        <w:t>10</w:t>
      </w:r>
      <w:r>
        <w:rPr>
          <w:rFonts w:hint="eastAsia"/>
          <w:kern w:val="14"/>
        </w:rPr>
        <w:t>月</w:t>
      </w:r>
      <w:r>
        <w:rPr>
          <w:rFonts w:hint="eastAsia"/>
          <w:kern w:val="14"/>
        </w:rPr>
        <w:t>10</w:t>
      </w:r>
      <w:r>
        <w:rPr>
          <w:rFonts w:hint="eastAsia"/>
          <w:kern w:val="14"/>
        </w:rPr>
        <w:t>日第</w:t>
      </w:r>
      <w:r>
        <w:rPr>
          <w:rFonts w:hint="eastAsia"/>
          <w:kern w:val="14"/>
        </w:rPr>
        <w:t>1094</w:t>
      </w:r>
      <w:r>
        <w:rPr>
          <w:rFonts w:hint="eastAsia"/>
          <w:kern w:val="14"/>
        </w:rPr>
        <w:t>号决议核准</w:t>
      </w:r>
    </w:p>
    <w:p w:rsidR="00595751" w:rsidRDefault="00595751">
      <w:pPr>
        <w:pStyle w:val="HCh"/>
        <w:jc w:val="center"/>
        <w:rPr>
          <w:rFonts w:hint="eastAsia"/>
        </w:rPr>
      </w:pPr>
      <w:r>
        <w:rPr>
          <w:rFonts w:hint="eastAsia"/>
        </w:rPr>
        <w:t>立陶宛共和国政府关于</w:t>
      </w:r>
      <w:r>
        <w:br/>
      </w:r>
      <w:r>
        <w:rPr>
          <w:rFonts w:hint="eastAsia"/>
        </w:rPr>
        <w:t>《联合国消除对妇女一切形式歧视公约》</w:t>
      </w:r>
      <w:r>
        <w:br/>
      </w:r>
      <w:r>
        <w:rPr>
          <w:rFonts w:hint="eastAsia"/>
        </w:rPr>
        <w:t>执行情况的第四次定期报告</w:t>
      </w:r>
    </w:p>
    <w:p w:rsidR="00595751" w:rsidRDefault="00595751">
      <w:pPr>
        <w:pStyle w:val="HCh"/>
        <w:jc w:val="center"/>
        <w:rPr>
          <w:rFonts w:hint="eastAsia"/>
        </w:rPr>
      </w:pPr>
      <w:r>
        <w:rPr>
          <w:rFonts w:hint="eastAsia"/>
        </w:rPr>
        <w:t>一、导言</w:t>
      </w:r>
    </w:p>
    <w:p w:rsidR="00595751" w:rsidRDefault="00595751">
      <w:pPr>
        <w:tabs>
          <w:tab w:val="left" w:pos="630"/>
        </w:tabs>
        <w:spacing w:after="240" w:line="360" w:lineRule="exact"/>
        <w:rPr>
          <w:kern w:val="14"/>
          <w:szCs w:val="21"/>
        </w:rPr>
      </w:pPr>
      <w:r>
        <w:rPr>
          <w:rFonts w:hint="eastAsia"/>
          <w:szCs w:val="21"/>
        </w:rPr>
        <w:t>1</w:t>
      </w:r>
      <w:r>
        <w:t>.</w:t>
      </w:r>
      <w:r>
        <w:rPr>
          <w:rFonts w:hint="eastAsia"/>
        </w:rPr>
        <w:tab/>
      </w:r>
      <w:r>
        <w:rPr>
          <w:rFonts w:hint="eastAsia"/>
          <w:szCs w:val="21"/>
        </w:rPr>
        <w:t>立陶宛共和国政府（以下称政府）根据《联合国消除对妇女一切形式歧视公约》（以下称《公约》）第</w:t>
      </w:r>
      <w:r>
        <w:rPr>
          <w:szCs w:val="21"/>
        </w:rPr>
        <w:t>18</w:t>
      </w:r>
      <w:r>
        <w:rPr>
          <w:rFonts w:hint="eastAsia"/>
          <w:szCs w:val="21"/>
        </w:rPr>
        <w:t>条第</w:t>
      </w:r>
      <w:r>
        <w:rPr>
          <w:szCs w:val="21"/>
        </w:rPr>
        <w:t>1</w:t>
      </w:r>
      <w:r>
        <w:rPr>
          <w:rFonts w:hint="eastAsia"/>
          <w:szCs w:val="21"/>
        </w:rPr>
        <w:t>款（</w:t>
      </w:r>
      <w:r>
        <w:rPr>
          <w:szCs w:val="21"/>
        </w:rPr>
        <w:t>b</w:t>
      </w:r>
      <w:r>
        <w:rPr>
          <w:rFonts w:hint="eastAsia"/>
          <w:szCs w:val="21"/>
        </w:rPr>
        <w:t>）项提交立陶宛共和国关于《公约》执行情况的第</w:t>
      </w:r>
      <w:r>
        <w:rPr>
          <w:rFonts w:hint="eastAsia"/>
          <w:kern w:val="14"/>
          <w:szCs w:val="21"/>
        </w:rPr>
        <w:t>四次定期报告（以下简称本报告）。</w:t>
      </w:r>
      <w:r>
        <w:rPr>
          <w:rFonts w:hint="eastAsia"/>
          <w:szCs w:val="21"/>
        </w:rPr>
        <w:t>本报告是根据联合国消除对妇女歧视委员会核可的《编写报告准则和一般性建议》而编写的</w:t>
      </w:r>
      <w:r>
        <w:rPr>
          <w:rFonts w:hint="eastAsia"/>
          <w:kern w:val="14"/>
          <w:szCs w:val="21"/>
        </w:rPr>
        <w:t>。</w:t>
      </w:r>
      <w:r>
        <w:rPr>
          <w:rFonts w:hint="eastAsia"/>
          <w:szCs w:val="21"/>
        </w:rPr>
        <w:t>本报告载有根据联合国消除对妇女歧视委员会的结论性意见提交的关于</w:t>
      </w:r>
      <w:r>
        <w:rPr>
          <w:kern w:val="14"/>
          <w:szCs w:val="21"/>
        </w:rPr>
        <w:t>立陶宛</w:t>
      </w:r>
      <w:r>
        <w:rPr>
          <w:rFonts w:hint="eastAsia"/>
          <w:kern w:val="14"/>
          <w:szCs w:val="21"/>
        </w:rPr>
        <w:t>共和国在</w:t>
      </w:r>
      <w:r>
        <w:rPr>
          <w:rFonts w:hint="eastAsia"/>
          <w:kern w:val="14"/>
          <w:szCs w:val="21"/>
        </w:rPr>
        <w:t>2004</w:t>
      </w:r>
      <w:r>
        <w:rPr>
          <w:rFonts w:hint="eastAsia"/>
          <w:kern w:val="14"/>
          <w:szCs w:val="21"/>
        </w:rPr>
        <w:t>年第四季度至</w:t>
      </w:r>
      <w:r>
        <w:rPr>
          <w:rFonts w:hint="eastAsia"/>
          <w:kern w:val="14"/>
          <w:szCs w:val="21"/>
        </w:rPr>
        <w:t>2007</w:t>
      </w:r>
      <w:r>
        <w:rPr>
          <w:rFonts w:hint="eastAsia"/>
          <w:kern w:val="14"/>
          <w:szCs w:val="21"/>
        </w:rPr>
        <w:t>年第一季度期间执行《公约》的进展情况，</w:t>
      </w:r>
      <w:r>
        <w:rPr>
          <w:rFonts w:hint="eastAsia"/>
          <w:szCs w:val="21"/>
        </w:rPr>
        <w:t>结论性意见涉及委员会</w:t>
      </w:r>
      <w:r>
        <w:rPr>
          <w:szCs w:val="21"/>
        </w:rPr>
        <w:t>2000</w:t>
      </w:r>
      <w:r>
        <w:rPr>
          <w:rFonts w:hint="eastAsia"/>
          <w:szCs w:val="21"/>
        </w:rPr>
        <w:t>年</w:t>
      </w:r>
      <w:r>
        <w:rPr>
          <w:szCs w:val="21"/>
        </w:rPr>
        <w:t>6</w:t>
      </w:r>
      <w:r>
        <w:rPr>
          <w:rFonts w:hint="eastAsia"/>
          <w:szCs w:val="21"/>
        </w:rPr>
        <w:t>月</w:t>
      </w:r>
      <w:r>
        <w:rPr>
          <w:szCs w:val="21"/>
        </w:rPr>
        <w:t>12</w:t>
      </w:r>
      <w:r>
        <w:rPr>
          <w:rFonts w:hint="eastAsia"/>
          <w:szCs w:val="21"/>
        </w:rPr>
        <w:t>日至</w:t>
      </w:r>
      <w:r>
        <w:rPr>
          <w:szCs w:val="21"/>
        </w:rPr>
        <w:t>30</w:t>
      </w:r>
      <w:r>
        <w:rPr>
          <w:rFonts w:hint="eastAsia"/>
          <w:szCs w:val="21"/>
        </w:rPr>
        <w:t>日纽约第二十三届会议审议的立陶宛初次报告和第二次定期报告，</w:t>
      </w:r>
      <w:r>
        <w:rPr>
          <w:rFonts w:hint="eastAsia"/>
          <w:kern w:val="14"/>
          <w:szCs w:val="21"/>
        </w:rPr>
        <w:t>从而补充了根据立陶宛共和国政府</w:t>
      </w:r>
      <w:r>
        <w:rPr>
          <w:rFonts w:hint="eastAsia"/>
          <w:kern w:val="14"/>
          <w:szCs w:val="21"/>
        </w:rPr>
        <w:t>2004</w:t>
      </w:r>
      <w:r>
        <w:rPr>
          <w:rFonts w:hint="eastAsia"/>
          <w:kern w:val="14"/>
          <w:szCs w:val="21"/>
        </w:rPr>
        <w:t>年</w:t>
      </w:r>
      <w:r>
        <w:rPr>
          <w:rFonts w:hint="eastAsia"/>
          <w:kern w:val="14"/>
          <w:szCs w:val="21"/>
        </w:rPr>
        <w:t>11</w:t>
      </w:r>
      <w:r>
        <w:rPr>
          <w:rFonts w:hint="eastAsia"/>
          <w:kern w:val="14"/>
          <w:szCs w:val="21"/>
        </w:rPr>
        <w:t>月</w:t>
      </w:r>
      <w:r>
        <w:rPr>
          <w:rFonts w:hint="eastAsia"/>
          <w:kern w:val="14"/>
          <w:szCs w:val="21"/>
        </w:rPr>
        <w:t>25</w:t>
      </w:r>
      <w:r>
        <w:rPr>
          <w:rFonts w:hint="eastAsia"/>
          <w:kern w:val="14"/>
          <w:szCs w:val="21"/>
        </w:rPr>
        <w:t>日第</w:t>
      </w:r>
      <w:r>
        <w:rPr>
          <w:rFonts w:hint="eastAsia"/>
          <w:kern w:val="14"/>
          <w:szCs w:val="21"/>
        </w:rPr>
        <w:t>1497</w:t>
      </w:r>
      <w:r>
        <w:rPr>
          <w:rFonts w:hint="eastAsia"/>
          <w:kern w:val="14"/>
          <w:szCs w:val="21"/>
        </w:rPr>
        <w:t>号决议（见</w:t>
      </w:r>
      <w:r>
        <w:rPr>
          <w:rFonts w:hint="eastAsia"/>
          <w:kern w:val="14"/>
          <w:szCs w:val="21"/>
        </w:rPr>
        <w:t>2004</w:t>
      </w:r>
      <w:r>
        <w:rPr>
          <w:rFonts w:hint="eastAsia"/>
          <w:kern w:val="14"/>
          <w:szCs w:val="21"/>
        </w:rPr>
        <w:t>年第</w:t>
      </w:r>
      <w:r>
        <w:rPr>
          <w:kern w:val="14"/>
          <w:szCs w:val="21"/>
        </w:rPr>
        <w:t>1</w:t>
      </w:r>
      <w:r>
        <w:rPr>
          <w:rFonts w:hint="eastAsia"/>
          <w:kern w:val="14"/>
          <w:szCs w:val="21"/>
        </w:rPr>
        <w:t>73</w:t>
      </w:r>
      <w:r>
        <w:rPr>
          <w:kern w:val="14"/>
          <w:szCs w:val="21"/>
        </w:rPr>
        <w:t>-</w:t>
      </w:r>
      <w:r>
        <w:rPr>
          <w:rFonts w:hint="eastAsia"/>
          <w:kern w:val="14"/>
          <w:szCs w:val="21"/>
        </w:rPr>
        <w:t>6395</w:t>
      </w:r>
      <w:r>
        <w:rPr>
          <w:rFonts w:hint="eastAsia"/>
          <w:kern w:val="14"/>
          <w:szCs w:val="21"/>
        </w:rPr>
        <w:t>号《政府公报》）核准的</w:t>
      </w:r>
      <w:r>
        <w:rPr>
          <w:kern w:val="14"/>
          <w:szCs w:val="21"/>
        </w:rPr>
        <w:t>立陶宛</w:t>
      </w:r>
      <w:r>
        <w:rPr>
          <w:rFonts w:hint="eastAsia"/>
          <w:kern w:val="14"/>
          <w:szCs w:val="21"/>
        </w:rPr>
        <w:t>共和国关于《</w:t>
      </w:r>
      <w:r>
        <w:rPr>
          <w:kern w:val="14"/>
          <w:szCs w:val="21"/>
        </w:rPr>
        <w:t>联合国</w:t>
      </w:r>
      <w:r>
        <w:rPr>
          <w:rFonts w:hint="eastAsia"/>
          <w:kern w:val="14"/>
          <w:szCs w:val="21"/>
        </w:rPr>
        <w:t>消除对妇女一切形式歧视公约》执行情况的第三次定期报告（以下称第三次报告）中提供的信息。</w:t>
      </w:r>
    </w:p>
    <w:p w:rsidR="00595751" w:rsidRDefault="00595751">
      <w:pPr>
        <w:tabs>
          <w:tab w:val="left" w:pos="630"/>
        </w:tabs>
        <w:spacing w:after="240" w:line="360" w:lineRule="exact"/>
        <w:rPr>
          <w:rFonts w:ascii="SimSun"/>
          <w:kern w:val="14"/>
        </w:rPr>
      </w:pPr>
      <w:r>
        <w:t xml:space="preserve">2. </w:t>
      </w:r>
      <w:r>
        <w:rPr>
          <w:rFonts w:hint="eastAsia"/>
        </w:rPr>
        <w:tab/>
      </w:r>
      <w:r>
        <w:rPr>
          <w:rFonts w:ascii="SimSun" w:hint="eastAsia"/>
          <w:kern w:val="14"/>
        </w:rPr>
        <w:t>本报告是由社会保障和劳动部长所成立的委员会编写的，该委员会的成员来自社会保障和劳动部、卫生部、教育和科学部、司法部、内政部和外交部。报告草稿经过男女机会均等委员会的审议，委员会成员不仅包括政府机构的代表，而且还有非政府组织的代表。报告草稿还介绍给列席上述委员会会议的</w:t>
      </w:r>
      <w:r>
        <w:rPr>
          <w:rFonts w:ascii="SimSun"/>
          <w:kern w:val="14"/>
        </w:rPr>
        <w:t>立陶宛</w:t>
      </w:r>
      <w:r>
        <w:rPr>
          <w:rFonts w:ascii="SimSun" w:hint="eastAsia"/>
          <w:kern w:val="14"/>
        </w:rPr>
        <w:t>国内其他非政府组织，</w:t>
      </w:r>
      <w:r>
        <w:rPr>
          <w:rFonts w:hint="eastAsia"/>
        </w:rPr>
        <w:t>为之提供了提出其评论和意见的机会</w:t>
      </w:r>
      <w:r>
        <w:rPr>
          <w:rFonts w:ascii="SimSun" w:hint="eastAsia"/>
          <w:kern w:val="14"/>
        </w:rPr>
        <w:t>。</w:t>
      </w:r>
    </w:p>
    <w:p w:rsidR="00595751" w:rsidRDefault="00595751">
      <w:pPr>
        <w:pStyle w:val="HCh"/>
        <w:jc w:val="center"/>
        <w:rPr>
          <w:rFonts w:hint="eastAsia"/>
        </w:rPr>
      </w:pPr>
      <w:r>
        <w:rPr>
          <w:rFonts w:hint="eastAsia"/>
        </w:rPr>
        <w:t>二、根据《公约》条款提交的资料</w:t>
      </w:r>
    </w:p>
    <w:p w:rsidR="00595751" w:rsidRDefault="00595751">
      <w:pPr>
        <w:pStyle w:val="H1"/>
      </w:pPr>
      <w:r>
        <w:rPr>
          <w:rFonts w:hint="eastAsia"/>
        </w:rPr>
        <w:t>第</w:t>
      </w:r>
      <w:r>
        <w:t>1</w:t>
      </w:r>
      <w:r>
        <w:rPr>
          <w:rFonts w:hint="eastAsia"/>
        </w:rPr>
        <w:t>条</w:t>
      </w:r>
    </w:p>
    <w:p w:rsidR="00595751" w:rsidRDefault="00595751">
      <w:pPr>
        <w:tabs>
          <w:tab w:val="left" w:pos="630"/>
        </w:tabs>
        <w:spacing w:after="240" w:line="360" w:lineRule="exact"/>
        <w:rPr>
          <w:kern w:val="14"/>
        </w:rPr>
      </w:pPr>
      <w:r>
        <w:t>3.</w:t>
      </w:r>
      <w:r>
        <w:rPr>
          <w:rFonts w:hint="eastAsia"/>
        </w:rPr>
        <w:tab/>
      </w:r>
      <w:r>
        <w:rPr>
          <w:rFonts w:hint="eastAsia"/>
          <w:kern w:val="14"/>
        </w:rPr>
        <w:t>2002</w:t>
      </w:r>
      <w:r>
        <w:rPr>
          <w:rFonts w:hint="eastAsia"/>
          <w:kern w:val="14"/>
        </w:rPr>
        <w:t>年</w:t>
      </w:r>
      <w:r>
        <w:rPr>
          <w:rFonts w:hint="eastAsia"/>
          <w:kern w:val="14"/>
        </w:rPr>
        <w:t>6</w:t>
      </w:r>
      <w:r>
        <w:rPr>
          <w:rFonts w:hint="eastAsia"/>
          <w:kern w:val="14"/>
        </w:rPr>
        <w:t>月</w:t>
      </w:r>
      <w:r>
        <w:rPr>
          <w:rFonts w:hint="eastAsia"/>
          <w:kern w:val="14"/>
        </w:rPr>
        <w:t>18</w:t>
      </w:r>
      <w:r>
        <w:rPr>
          <w:rFonts w:hint="eastAsia"/>
          <w:kern w:val="14"/>
        </w:rPr>
        <w:t>日，</w:t>
      </w:r>
      <w:r>
        <w:rPr>
          <w:kern w:val="14"/>
        </w:rPr>
        <w:t>立陶宛</w:t>
      </w:r>
      <w:r>
        <w:rPr>
          <w:rFonts w:hint="eastAsia"/>
          <w:kern w:val="14"/>
        </w:rPr>
        <w:t>共和国议会（以下称“</w:t>
      </w:r>
      <w:r>
        <w:rPr>
          <w:kern w:val="14"/>
        </w:rPr>
        <w:t>议会</w:t>
      </w:r>
      <w:r>
        <w:rPr>
          <w:rFonts w:hint="eastAsia"/>
          <w:kern w:val="14"/>
        </w:rPr>
        <w:t>”）对《立陶宛共和国男女机会均等法》做出修正和补充（以下称《男女机会均等法》）（</w:t>
      </w:r>
      <w:r>
        <w:rPr>
          <w:rFonts w:hint="eastAsia"/>
          <w:kern w:val="14"/>
        </w:rPr>
        <w:t>1998</w:t>
      </w:r>
      <w:r>
        <w:rPr>
          <w:rFonts w:hint="eastAsia"/>
          <w:kern w:val="14"/>
        </w:rPr>
        <w:t>年第</w:t>
      </w:r>
      <w:r>
        <w:rPr>
          <w:rFonts w:hint="eastAsia"/>
          <w:kern w:val="14"/>
        </w:rPr>
        <w:t>112-2100</w:t>
      </w:r>
      <w:r>
        <w:rPr>
          <w:rFonts w:hint="eastAsia"/>
          <w:kern w:val="14"/>
        </w:rPr>
        <w:t>号《政府公报》），规定不论直接歧视还是间接歧视，任何歧视都受到禁止。</w:t>
      </w:r>
      <w:r>
        <w:rPr>
          <w:kern w:val="14"/>
        </w:rPr>
        <w:t>2005</w:t>
      </w:r>
      <w:r>
        <w:rPr>
          <w:rFonts w:hint="eastAsia"/>
          <w:kern w:val="14"/>
        </w:rPr>
        <w:t>年，歧视概念进一步扩大。自</w:t>
      </w:r>
      <w:r>
        <w:rPr>
          <w:rFonts w:hint="eastAsia"/>
          <w:kern w:val="14"/>
        </w:rPr>
        <w:t>2005</w:t>
      </w:r>
      <w:r>
        <w:rPr>
          <w:rFonts w:hint="eastAsia"/>
          <w:kern w:val="14"/>
        </w:rPr>
        <w:t>年</w:t>
      </w:r>
      <w:r>
        <w:rPr>
          <w:rFonts w:hint="eastAsia"/>
          <w:kern w:val="14"/>
        </w:rPr>
        <w:t>7</w:t>
      </w:r>
      <w:r>
        <w:rPr>
          <w:rFonts w:hint="eastAsia"/>
          <w:kern w:val="14"/>
        </w:rPr>
        <w:t>月以来，《男女机会均等法》定义的（后经</w:t>
      </w:r>
      <w:r>
        <w:rPr>
          <w:rFonts w:hint="eastAsia"/>
          <w:kern w:val="14"/>
        </w:rPr>
        <w:t>2005</w:t>
      </w:r>
      <w:r>
        <w:rPr>
          <w:rFonts w:hint="eastAsia"/>
          <w:kern w:val="14"/>
        </w:rPr>
        <w:t>年</w:t>
      </w:r>
      <w:r>
        <w:rPr>
          <w:rFonts w:hint="eastAsia"/>
          <w:kern w:val="14"/>
        </w:rPr>
        <w:t>7</w:t>
      </w:r>
      <w:r>
        <w:rPr>
          <w:rFonts w:hint="eastAsia"/>
          <w:kern w:val="14"/>
        </w:rPr>
        <w:t>月</w:t>
      </w:r>
      <w:r>
        <w:rPr>
          <w:rFonts w:hint="eastAsia"/>
          <w:kern w:val="14"/>
        </w:rPr>
        <w:t>5</w:t>
      </w:r>
      <w:r>
        <w:rPr>
          <w:rFonts w:hint="eastAsia"/>
          <w:kern w:val="14"/>
        </w:rPr>
        <w:t>日第</w:t>
      </w:r>
      <w:r>
        <w:rPr>
          <w:rFonts w:hint="eastAsia"/>
          <w:kern w:val="14"/>
        </w:rPr>
        <w:t>X-304</w:t>
      </w:r>
      <w:r>
        <w:rPr>
          <w:rFonts w:hint="eastAsia"/>
          <w:kern w:val="14"/>
        </w:rPr>
        <w:t>号法律修正的）歧视概念不仅包括直接和间接歧视以及性骚扰，还包括基于性别的歧视和与基于性别歧视个人有关的教育，所有这些形式歧视都在禁止之列。基于性别的歧视的定义是：侵犯或可能侵犯人的尊严并且产生或可能产生某种恐吓、敌视、羞辱或冒犯性气氛的不良行为。此外还规定，如果基于性别的歧视还与家庭或婚姻状况有牵连，那就应该把它视为一种特别具有歧视性的行为。</w:t>
      </w:r>
    </w:p>
    <w:p w:rsidR="00595751" w:rsidRDefault="00595751">
      <w:pPr>
        <w:tabs>
          <w:tab w:val="left" w:pos="630"/>
        </w:tabs>
        <w:spacing w:after="240" w:line="360" w:lineRule="exact"/>
        <w:rPr>
          <w:kern w:val="14"/>
        </w:rPr>
      </w:pPr>
      <w:r>
        <w:t xml:space="preserve">4. </w:t>
      </w:r>
      <w:r>
        <w:rPr>
          <w:rFonts w:hint="eastAsia"/>
        </w:rPr>
        <w:tab/>
      </w:r>
      <w:r>
        <w:rPr>
          <w:rFonts w:hint="eastAsia"/>
        </w:rPr>
        <w:t>立陶宛</w:t>
      </w:r>
      <w:r>
        <w:rPr>
          <w:rFonts w:hint="eastAsia"/>
          <w:kern w:val="14"/>
        </w:rPr>
        <w:t>加强了预防歧视的保护性措施。《男女机会均等法》（经</w:t>
      </w:r>
      <w:r>
        <w:rPr>
          <w:rFonts w:hint="eastAsia"/>
          <w:kern w:val="14"/>
        </w:rPr>
        <w:t>2005</w:t>
      </w:r>
      <w:r>
        <w:rPr>
          <w:rFonts w:hint="eastAsia"/>
          <w:kern w:val="14"/>
        </w:rPr>
        <w:t>年</w:t>
      </w:r>
      <w:r>
        <w:rPr>
          <w:rFonts w:hint="eastAsia"/>
          <w:kern w:val="14"/>
        </w:rPr>
        <w:t>7</w:t>
      </w:r>
      <w:r>
        <w:rPr>
          <w:rFonts w:hint="eastAsia"/>
          <w:kern w:val="14"/>
        </w:rPr>
        <w:t>月</w:t>
      </w:r>
      <w:r>
        <w:rPr>
          <w:rFonts w:hint="eastAsia"/>
          <w:kern w:val="14"/>
        </w:rPr>
        <w:t>5</w:t>
      </w:r>
      <w:r>
        <w:rPr>
          <w:rFonts w:hint="eastAsia"/>
          <w:kern w:val="14"/>
        </w:rPr>
        <w:t>日第</w:t>
      </w:r>
      <w:r>
        <w:rPr>
          <w:kern w:val="14"/>
        </w:rPr>
        <w:t>X-304</w:t>
      </w:r>
      <w:r>
        <w:rPr>
          <w:rFonts w:hint="eastAsia"/>
          <w:kern w:val="14"/>
        </w:rPr>
        <w:t>号法律修正的）规定，不得以某人拒绝或屈从歧视行为为依据，做出对此人有影响的决定。在男女领取养恤金年龄方面，该法律还缩小了直接歧视中的例外范围：在职业养恤金计划中男女领取养恤金的年龄必须是相同的。此外，还对直接歧视定义追加了一项例外规定，即：仅对或主要对一种性别的人销售商品或提供服务时，如果其目的合法而被证明为正当，为实现这个目的而采取的手段也是适当而必要的，就不应当把这种商品的销售或者服务的提供视为直接歧视。</w:t>
      </w:r>
    </w:p>
    <w:p w:rsidR="00595751" w:rsidRDefault="00595751">
      <w:pPr>
        <w:pStyle w:val="H1"/>
        <w:rPr>
          <w:rFonts w:hint="eastAsia"/>
        </w:rPr>
      </w:pPr>
      <w:r>
        <w:rPr>
          <w:rFonts w:hint="eastAsia"/>
        </w:rPr>
        <w:t>第</w:t>
      </w:r>
      <w:r>
        <w:t>2</w:t>
      </w:r>
      <w:r>
        <w:rPr>
          <w:rFonts w:hint="eastAsia"/>
        </w:rPr>
        <w:t>条</w:t>
      </w:r>
    </w:p>
    <w:p w:rsidR="00595751" w:rsidRDefault="00595751">
      <w:pPr>
        <w:pStyle w:val="H2"/>
        <w:rPr>
          <w:rFonts w:hint="eastAsia"/>
        </w:rPr>
      </w:pPr>
      <w:r>
        <w:rPr>
          <w:rFonts w:hint="eastAsia"/>
        </w:rPr>
        <w:t>（</w:t>
      </w:r>
      <w:r>
        <w:t>a</w:t>
      </w:r>
      <w:r>
        <w:rPr>
          <w:rFonts w:hint="eastAsia"/>
        </w:rPr>
        <w:t>）</w:t>
      </w:r>
    </w:p>
    <w:p w:rsidR="00595751" w:rsidRDefault="00595751">
      <w:pPr>
        <w:tabs>
          <w:tab w:val="left" w:pos="630"/>
        </w:tabs>
        <w:spacing w:after="240" w:line="360" w:lineRule="exact"/>
        <w:rPr>
          <w:kern w:val="14"/>
        </w:rPr>
      </w:pPr>
      <w:r>
        <w:t xml:space="preserve">5. </w:t>
      </w:r>
      <w:r>
        <w:rPr>
          <w:rFonts w:hint="eastAsia"/>
        </w:rPr>
        <w:tab/>
      </w:r>
      <w:r>
        <w:rPr>
          <w:rFonts w:hint="eastAsia"/>
        </w:rPr>
        <w:t>立陶宛</w:t>
      </w:r>
      <w:r>
        <w:rPr>
          <w:rFonts w:hint="eastAsia"/>
          <w:kern w:val="14"/>
        </w:rPr>
        <w:t>坚持不懈地将男女平等原则和关于两性平等的规定纳入广泛的领域里，主要有劳工、社会保障、教育和科技领域。其中，最近的立法有：《立陶宛共和国就业支持法》（第</w:t>
      </w:r>
      <w:r>
        <w:rPr>
          <w:kern w:val="14"/>
        </w:rPr>
        <w:t>73-2762</w:t>
      </w:r>
      <w:r>
        <w:rPr>
          <w:rFonts w:hint="eastAsia"/>
          <w:kern w:val="14"/>
        </w:rPr>
        <w:t>号《政府公报》）（以下称《就业支持法》）；《立陶宛共和国社会企业法》（</w:t>
      </w:r>
      <w:r>
        <w:rPr>
          <w:rFonts w:hint="eastAsia"/>
          <w:kern w:val="14"/>
        </w:rPr>
        <w:t>2004</w:t>
      </w:r>
      <w:r>
        <w:rPr>
          <w:rFonts w:hint="eastAsia"/>
          <w:kern w:val="14"/>
        </w:rPr>
        <w:t>年第</w:t>
      </w:r>
      <w:r>
        <w:rPr>
          <w:kern w:val="14"/>
        </w:rPr>
        <w:t>96-3519</w:t>
      </w:r>
      <w:r>
        <w:rPr>
          <w:rFonts w:hint="eastAsia"/>
          <w:kern w:val="14"/>
        </w:rPr>
        <w:t>号《政府公报》）（以下称《社会企业法》）以及早些时候通过的并在</w:t>
      </w:r>
      <w:r>
        <w:rPr>
          <w:rFonts w:hint="eastAsia"/>
          <w:kern w:val="14"/>
        </w:rPr>
        <w:t>2005</w:t>
      </w:r>
      <w:r>
        <w:rPr>
          <w:rFonts w:hint="eastAsia"/>
          <w:kern w:val="14"/>
        </w:rPr>
        <w:t>年和</w:t>
      </w:r>
      <w:r>
        <w:rPr>
          <w:rFonts w:hint="eastAsia"/>
          <w:kern w:val="14"/>
        </w:rPr>
        <w:t>2006</w:t>
      </w:r>
      <w:r>
        <w:rPr>
          <w:rFonts w:hint="eastAsia"/>
          <w:kern w:val="14"/>
        </w:rPr>
        <w:t>年经过修正或修订的其他法律。法律原则上保障法律上的两性平等，因此，大多数工作重点是通过各种方案、项目和措施将法律规定付诸实施。有关两性平等的法律规定已经纳入根据政府</w:t>
      </w:r>
      <w:r>
        <w:rPr>
          <w:rFonts w:hint="eastAsia"/>
          <w:kern w:val="14"/>
        </w:rPr>
        <w:t>2004</w:t>
      </w:r>
      <w:r>
        <w:rPr>
          <w:rFonts w:hint="eastAsia"/>
          <w:kern w:val="14"/>
        </w:rPr>
        <w:t>年</w:t>
      </w:r>
      <w:r>
        <w:rPr>
          <w:rFonts w:hint="eastAsia"/>
          <w:kern w:val="14"/>
        </w:rPr>
        <w:t>8</w:t>
      </w:r>
      <w:r>
        <w:rPr>
          <w:rFonts w:hint="eastAsia"/>
          <w:kern w:val="14"/>
        </w:rPr>
        <w:t>月</w:t>
      </w:r>
      <w:r>
        <w:rPr>
          <w:rFonts w:hint="eastAsia"/>
          <w:kern w:val="14"/>
        </w:rPr>
        <w:t>2</w:t>
      </w:r>
      <w:r>
        <w:rPr>
          <w:rFonts w:hint="eastAsia"/>
          <w:kern w:val="14"/>
        </w:rPr>
        <w:t>日第</w:t>
      </w:r>
      <w:r>
        <w:rPr>
          <w:rFonts w:hint="eastAsia"/>
          <w:kern w:val="14"/>
        </w:rPr>
        <w:t>935</w:t>
      </w:r>
      <w:r>
        <w:rPr>
          <w:rFonts w:hint="eastAsia"/>
          <w:kern w:val="14"/>
        </w:rPr>
        <w:t>号决议核准的《</w:t>
      </w:r>
      <w:r>
        <w:rPr>
          <w:rFonts w:hint="eastAsia"/>
          <w:lang w:val="en-GB"/>
        </w:rPr>
        <w:t>2004-2006</w:t>
      </w:r>
      <w:r>
        <w:rPr>
          <w:rFonts w:hint="eastAsia"/>
          <w:lang w:val="en-GB"/>
        </w:rPr>
        <w:t>年立陶宛单一规划文件</w:t>
      </w:r>
      <w:r>
        <w:rPr>
          <w:rFonts w:hint="eastAsia"/>
          <w:kern w:val="14"/>
        </w:rPr>
        <w:t>》（</w:t>
      </w:r>
      <w:r>
        <w:rPr>
          <w:kern w:val="14"/>
        </w:rPr>
        <w:t>2004</w:t>
      </w:r>
      <w:r>
        <w:rPr>
          <w:rFonts w:hint="eastAsia"/>
          <w:kern w:val="14"/>
        </w:rPr>
        <w:t>年第</w:t>
      </w:r>
      <w:r>
        <w:rPr>
          <w:kern w:val="14"/>
        </w:rPr>
        <w:t>123-4486</w:t>
      </w:r>
      <w:r>
        <w:rPr>
          <w:rFonts w:hint="eastAsia"/>
          <w:kern w:val="14"/>
        </w:rPr>
        <w:t>号《政府公报》）（以下称《单一规划文件》），并且纳入了欧洲联盟（以下称欧盟）的最新规划文件《</w:t>
      </w:r>
      <w:r>
        <w:rPr>
          <w:kern w:val="14"/>
        </w:rPr>
        <w:t>2007-2013</w:t>
      </w:r>
      <w:r>
        <w:rPr>
          <w:rFonts w:hint="eastAsia"/>
          <w:kern w:val="14"/>
        </w:rPr>
        <w:t>年结构基金》，从而为融资措施创造了条件，不仅可以利用立陶宛共和国国家预算（以下称国家预算）而且可以利用欧盟的结构基金处理两性平等问题。</w:t>
      </w:r>
    </w:p>
    <w:p w:rsidR="00595751" w:rsidRDefault="00595751">
      <w:pPr>
        <w:pStyle w:val="H2"/>
        <w:rPr>
          <w:rFonts w:hint="eastAsia"/>
        </w:rPr>
      </w:pPr>
      <w:r>
        <w:rPr>
          <w:rFonts w:hint="eastAsia"/>
        </w:rPr>
        <w:t>（</w:t>
      </w:r>
      <w:r>
        <w:rPr>
          <w:rFonts w:hint="eastAsia"/>
        </w:rPr>
        <w:t>b</w:t>
      </w:r>
      <w:r>
        <w:rPr>
          <w:rFonts w:hint="eastAsia"/>
        </w:rPr>
        <w:t>）</w:t>
      </w:r>
    </w:p>
    <w:p w:rsidR="00595751" w:rsidRDefault="00595751">
      <w:pPr>
        <w:tabs>
          <w:tab w:val="left" w:pos="630"/>
        </w:tabs>
        <w:spacing w:after="240" w:line="360" w:lineRule="exact"/>
        <w:rPr>
          <w:rFonts w:hint="eastAsia"/>
          <w:kern w:val="14"/>
        </w:rPr>
      </w:pPr>
      <w:r>
        <w:t xml:space="preserve">6. </w:t>
      </w:r>
      <w:r>
        <w:rPr>
          <w:rFonts w:hint="eastAsia"/>
        </w:rPr>
        <w:tab/>
      </w:r>
      <w:r>
        <w:rPr>
          <w:rFonts w:hint="eastAsia"/>
        </w:rPr>
        <w:t>立陶宛</w:t>
      </w:r>
      <w:r>
        <w:rPr>
          <w:rFonts w:hint="eastAsia"/>
          <w:kern w:val="14"/>
        </w:rPr>
        <w:t>对于基于性别的歧视正在加大处罚力度。</w:t>
      </w:r>
      <w:r>
        <w:rPr>
          <w:rFonts w:hint="eastAsia"/>
          <w:kern w:val="14"/>
        </w:rPr>
        <w:t>2004</w:t>
      </w:r>
      <w:r>
        <w:rPr>
          <w:rFonts w:hint="eastAsia"/>
          <w:kern w:val="14"/>
        </w:rPr>
        <w:t>年</w:t>
      </w:r>
      <w:r>
        <w:rPr>
          <w:rFonts w:hint="eastAsia"/>
          <w:kern w:val="14"/>
        </w:rPr>
        <w:t>11</w:t>
      </w:r>
      <w:r>
        <w:rPr>
          <w:rFonts w:hint="eastAsia"/>
          <w:kern w:val="14"/>
        </w:rPr>
        <w:t>月</w:t>
      </w:r>
      <w:r>
        <w:rPr>
          <w:rFonts w:hint="eastAsia"/>
          <w:kern w:val="14"/>
        </w:rPr>
        <w:t>9</w:t>
      </w:r>
      <w:r>
        <w:rPr>
          <w:rFonts w:hint="eastAsia"/>
          <w:kern w:val="14"/>
        </w:rPr>
        <w:t>日，《男女机会均等法》增补了第</w:t>
      </w:r>
      <w:r>
        <w:rPr>
          <w:rFonts w:hint="eastAsia"/>
          <w:kern w:val="14"/>
        </w:rPr>
        <w:t>24</w:t>
      </w:r>
      <w:r>
        <w:rPr>
          <w:rFonts w:hint="eastAsia"/>
          <w:kern w:val="14"/>
        </w:rPr>
        <w:t>条</w:t>
      </w:r>
      <w:r>
        <w:rPr>
          <w:rFonts w:hint="eastAsia"/>
          <w:kern w:val="14"/>
          <w:szCs w:val="21"/>
          <w:vertAlign w:val="superscript"/>
        </w:rPr>
        <w:t>1</w:t>
      </w:r>
      <w:r>
        <w:rPr>
          <w:rFonts w:hint="eastAsia"/>
          <w:kern w:val="14"/>
        </w:rPr>
        <w:t>，该条规定，受到基于性别的歧视或性骚扰或其他骚扰的个人有权依照《立陶宛共和国民法典》（以下称《民法典》）（</w:t>
      </w:r>
      <w:r>
        <w:rPr>
          <w:rFonts w:hint="eastAsia"/>
          <w:kern w:val="14"/>
        </w:rPr>
        <w:t>2000</w:t>
      </w:r>
      <w:r>
        <w:rPr>
          <w:rFonts w:hint="eastAsia"/>
          <w:kern w:val="14"/>
        </w:rPr>
        <w:t>年第</w:t>
      </w:r>
      <w:r>
        <w:rPr>
          <w:kern w:val="14"/>
        </w:rPr>
        <w:t>74-2262</w:t>
      </w:r>
      <w:r>
        <w:rPr>
          <w:rFonts w:hint="eastAsia"/>
          <w:kern w:val="14"/>
        </w:rPr>
        <w:t>号《政府公报》）中规定的程序，要求责任人给予经济或精神赔偿。</w:t>
      </w:r>
    </w:p>
    <w:p w:rsidR="00595751" w:rsidRDefault="00595751">
      <w:pPr>
        <w:tabs>
          <w:tab w:val="left" w:pos="630"/>
        </w:tabs>
        <w:spacing w:after="240" w:line="360" w:lineRule="exact"/>
        <w:rPr>
          <w:kern w:val="14"/>
        </w:rPr>
      </w:pPr>
      <w:r>
        <w:t xml:space="preserve">7. </w:t>
      </w:r>
      <w:r>
        <w:rPr>
          <w:rFonts w:hint="eastAsia"/>
        </w:rPr>
        <w:tab/>
      </w:r>
      <w:r>
        <w:rPr>
          <w:rFonts w:hint="eastAsia"/>
        </w:rPr>
        <w:t>立陶宛</w:t>
      </w:r>
      <w:r>
        <w:rPr>
          <w:rFonts w:hint="eastAsia"/>
          <w:kern w:val="14"/>
        </w:rPr>
        <w:t>正在努力确保所有领域不仅在法律上男女平行而且在事实上男女平等。根据</w:t>
      </w:r>
      <w:r>
        <w:rPr>
          <w:rFonts w:hint="eastAsia"/>
          <w:kern w:val="14"/>
        </w:rPr>
        <w:t>2005</w:t>
      </w:r>
      <w:r>
        <w:rPr>
          <w:rFonts w:hint="eastAsia"/>
          <w:kern w:val="14"/>
        </w:rPr>
        <w:t>年</w:t>
      </w:r>
      <w:r>
        <w:rPr>
          <w:rFonts w:hint="eastAsia"/>
          <w:kern w:val="14"/>
        </w:rPr>
        <w:t>9</w:t>
      </w:r>
      <w:r>
        <w:rPr>
          <w:rFonts w:hint="eastAsia"/>
          <w:kern w:val="14"/>
        </w:rPr>
        <w:t>月</w:t>
      </w:r>
      <w:r>
        <w:rPr>
          <w:rFonts w:hint="eastAsia"/>
          <w:kern w:val="14"/>
        </w:rPr>
        <w:t>26</w:t>
      </w:r>
      <w:r>
        <w:rPr>
          <w:rFonts w:hint="eastAsia"/>
          <w:kern w:val="14"/>
        </w:rPr>
        <w:t>日第</w:t>
      </w:r>
      <w:r>
        <w:rPr>
          <w:kern w:val="14"/>
        </w:rPr>
        <w:t>1042</w:t>
      </w:r>
      <w:r>
        <w:rPr>
          <w:rFonts w:hint="eastAsia"/>
          <w:kern w:val="14"/>
        </w:rPr>
        <w:t>号决议（</w:t>
      </w:r>
      <w:r>
        <w:rPr>
          <w:rFonts w:hint="eastAsia"/>
          <w:kern w:val="14"/>
        </w:rPr>
        <w:t>2005</w:t>
      </w:r>
      <w:r>
        <w:rPr>
          <w:rFonts w:hint="eastAsia"/>
          <w:kern w:val="14"/>
        </w:rPr>
        <w:t>年第</w:t>
      </w:r>
      <w:r>
        <w:rPr>
          <w:kern w:val="14"/>
        </w:rPr>
        <w:t>116-4202</w:t>
      </w:r>
      <w:r>
        <w:rPr>
          <w:rFonts w:hint="eastAsia"/>
          <w:kern w:val="14"/>
        </w:rPr>
        <w:t>号《政府公报》），立陶宛共和国政府核准了《</w:t>
      </w:r>
      <w:r>
        <w:rPr>
          <w:kern w:val="14"/>
        </w:rPr>
        <w:t>2005-2009</w:t>
      </w:r>
      <w:r>
        <w:rPr>
          <w:rFonts w:hint="eastAsia"/>
          <w:kern w:val="14"/>
        </w:rPr>
        <w:t>年</w:t>
      </w:r>
      <w:r>
        <w:rPr>
          <w:rFonts w:hint="eastAsia"/>
        </w:rPr>
        <w:t>国家男女机会均等方案</w:t>
      </w:r>
      <w:r>
        <w:rPr>
          <w:rFonts w:hint="eastAsia"/>
          <w:kern w:val="14"/>
        </w:rPr>
        <w:t>》。这项跨部门方案的总体目标是在所有生活领域执行一套旨在确保男女机会均等的措施。政府的所有部会都在贯彻执行该方案项下的措施，并且大多与妇女非政府组织合作。该方案旨在以协调一致、统筹兼顾、有组织有系统的方式，处理两性平等问题；确保将性别问题纳入所有领域的工作主流；处理好妇女和男子的具体问题。《方案》的主要指导方针是：在就业、教育和科技、政治和决策方面确保男女机会均等；通过打击对妇女的暴力行为和贩卖妇女现象，确保平等权利；</w:t>
      </w:r>
      <w:r>
        <w:rPr>
          <w:rFonts w:hint="eastAsia"/>
        </w:rPr>
        <w:t>将性别观点纳入</w:t>
      </w:r>
      <w:r>
        <w:rPr>
          <w:rFonts w:hint="eastAsia"/>
          <w:kern w:val="14"/>
        </w:rPr>
        <w:t>保健和环境保护主流；以及加强两性平等的体制结构和方法，其中包括增强机构能力和改善统计工作。《方案》下的许多工作任务与《公约》条款相对应，并且有不少措施致力于进一步落实《公约》的各项要求。因此，本报告载有关于这项多学科方案执行成果的大量信息。</w:t>
      </w:r>
    </w:p>
    <w:p w:rsidR="00595751" w:rsidRDefault="00595751">
      <w:pPr>
        <w:tabs>
          <w:tab w:val="left" w:pos="630"/>
        </w:tabs>
        <w:spacing w:after="240" w:line="360" w:lineRule="exact"/>
        <w:rPr>
          <w:kern w:val="14"/>
        </w:rPr>
      </w:pPr>
      <w:r>
        <w:t xml:space="preserve">8. </w:t>
      </w:r>
      <w:r>
        <w:rPr>
          <w:rFonts w:hint="eastAsia"/>
        </w:rPr>
        <w:tab/>
      </w:r>
      <w:r>
        <w:rPr>
          <w:rFonts w:hint="eastAsia"/>
          <w:kern w:val="14"/>
        </w:rPr>
        <w:t>《</w:t>
      </w:r>
      <w:r>
        <w:rPr>
          <w:kern w:val="14"/>
        </w:rPr>
        <w:t>2005-2009</w:t>
      </w:r>
      <w:r>
        <w:rPr>
          <w:rFonts w:hint="eastAsia"/>
          <w:kern w:val="14"/>
        </w:rPr>
        <w:t>年国家男女机会均等方案》的优先任务之一，就是打击对妇女的暴力行为。作为《方案》的一部分，</w:t>
      </w:r>
      <w:r>
        <w:rPr>
          <w:rFonts w:hint="eastAsia"/>
          <w:kern w:val="14"/>
        </w:rPr>
        <w:t>2006</w:t>
      </w:r>
      <w:r>
        <w:rPr>
          <w:rFonts w:hint="eastAsia"/>
          <w:kern w:val="14"/>
        </w:rPr>
        <w:t>年，立陶宛对外国在采取法律措施以隔离肇事者与家人联系方面取得的经验进行了分析。此项分析涵盖了加拿大、德国和奥地利关于保护家庭暴力受害者的法律，并就此提出了初步建议供讨论。考虑到从上述国家经验分析得出的结论和立陶宛共和国现行的法律规定，</w:t>
      </w:r>
      <w:r>
        <w:rPr>
          <w:rFonts w:hint="eastAsia"/>
          <w:kern w:val="14"/>
        </w:rPr>
        <w:t>2007</w:t>
      </w:r>
      <w:r>
        <w:rPr>
          <w:rFonts w:hint="eastAsia"/>
          <w:kern w:val="14"/>
        </w:rPr>
        <w:t>年草拟了一些法律条款，以确保对家庭暴力受害者提供更有效的法律保护，其中包括采取措施为长期隔离肇事者与受影响家庭的联系创造条件。</w:t>
      </w:r>
    </w:p>
    <w:p w:rsidR="00595751" w:rsidRDefault="00595751">
      <w:pPr>
        <w:tabs>
          <w:tab w:val="left" w:pos="630"/>
        </w:tabs>
        <w:spacing w:after="240" w:line="360" w:lineRule="exact"/>
        <w:rPr>
          <w:kern w:val="14"/>
        </w:rPr>
      </w:pPr>
      <w:r>
        <w:t xml:space="preserve">9. </w:t>
      </w:r>
      <w:r>
        <w:rPr>
          <w:rFonts w:hint="eastAsia"/>
        </w:rPr>
        <w:tab/>
      </w:r>
      <w:r>
        <w:rPr>
          <w:rFonts w:hint="eastAsia"/>
        </w:rPr>
        <w:t>立陶宛</w:t>
      </w:r>
      <w:r>
        <w:rPr>
          <w:rFonts w:hint="eastAsia"/>
          <w:kern w:val="14"/>
        </w:rPr>
        <w:t>正在向妇女非政府组织执行的项目提供进一步支助，以向家庭暴力受害妇女提供援助。</w:t>
      </w:r>
      <w:r>
        <w:rPr>
          <w:kern w:val="14"/>
        </w:rPr>
        <w:t>2005</w:t>
      </w:r>
      <w:r>
        <w:rPr>
          <w:rFonts w:hint="eastAsia"/>
          <w:kern w:val="14"/>
        </w:rPr>
        <w:t>年，上述方案（拨款</w:t>
      </w:r>
      <w:r>
        <w:rPr>
          <w:rFonts w:hint="eastAsia"/>
          <w:kern w:val="14"/>
        </w:rPr>
        <w:t>8</w:t>
      </w:r>
      <w:r>
        <w:rPr>
          <w:rFonts w:hint="eastAsia"/>
          <w:kern w:val="14"/>
        </w:rPr>
        <w:t>万立特）共同资助了非政府组织发起的</w:t>
      </w:r>
      <w:r>
        <w:rPr>
          <w:rFonts w:hint="eastAsia"/>
          <w:kern w:val="14"/>
        </w:rPr>
        <w:t>12</w:t>
      </w:r>
      <w:r>
        <w:rPr>
          <w:rFonts w:hint="eastAsia"/>
          <w:kern w:val="14"/>
        </w:rPr>
        <w:t>个项目，目的在于向家庭暴力受害者提供社会援助和对肇事者开展工作。有关方面已向</w:t>
      </w:r>
      <w:r>
        <w:rPr>
          <w:rFonts w:hint="eastAsia"/>
          <w:kern w:val="14"/>
        </w:rPr>
        <w:t>341</w:t>
      </w:r>
      <w:r>
        <w:rPr>
          <w:rFonts w:hint="eastAsia"/>
          <w:kern w:val="14"/>
        </w:rPr>
        <w:t>人提供了社会、心理和法律服务，其中包括</w:t>
      </w:r>
      <w:r>
        <w:rPr>
          <w:rFonts w:hint="eastAsia"/>
          <w:kern w:val="14"/>
        </w:rPr>
        <w:t>314</w:t>
      </w:r>
      <w:r>
        <w:rPr>
          <w:rFonts w:hint="eastAsia"/>
          <w:kern w:val="14"/>
        </w:rPr>
        <w:t>名家庭暴力受害者和</w:t>
      </w:r>
      <w:r>
        <w:rPr>
          <w:rFonts w:hint="eastAsia"/>
          <w:kern w:val="14"/>
        </w:rPr>
        <w:t>27</w:t>
      </w:r>
      <w:r>
        <w:rPr>
          <w:rFonts w:hint="eastAsia"/>
          <w:kern w:val="14"/>
        </w:rPr>
        <w:t>名想要放弃暴力行为的肇事者。</w:t>
      </w:r>
      <w:r>
        <w:rPr>
          <w:rFonts w:hint="eastAsia"/>
          <w:kern w:val="14"/>
        </w:rPr>
        <w:t>2006</w:t>
      </w:r>
      <w:r>
        <w:rPr>
          <w:rFonts w:hint="eastAsia"/>
          <w:kern w:val="14"/>
        </w:rPr>
        <w:t>年，该《方案》（拨款</w:t>
      </w:r>
      <w:r>
        <w:rPr>
          <w:rFonts w:hint="eastAsia"/>
          <w:kern w:val="14"/>
        </w:rPr>
        <w:t>8</w:t>
      </w:r>
      <w:r>
        <w:rPr>
          <w:rFonts w:hint="eastAsia"/>
          <w:kern w:val="14"/>
        </w:rPr>
        <w:t>万立特）共同资助了非政府组织的</w:t>
      </w:r>
      <w:r>
        <w:rPr>
          <w:rFonts w:hint="eastAsia"/>
          <w:kern w:val="14"/>
        </w:rPr>
        <w:t>20</w:t>
      </w:r>
      <w:r>
        <w:rPr>
          <w:rFonts w:hint="eastAsia"/>
          <w:kern w:val="14"/>
        </w:rPr>
        <w:t>个项目，向</w:t>
      </w:r>
      <w:r>
        <w:rPr>
          <w:kern w:val="14"/>
        </w:rPr>
        <w:t>1</w:t>
      </w:r>
      <w:r>
        <w:rPr>
          <w:rFonts w:hint="eastAsia"/>
          <w:kern w:val="14"/>
        </w:rPr>
        <w:t xml:space="preserve"> </w:t>
      </w:r>
      <w:r>
        <w:rPr>
          <w:kern w:val="14"/>
        </w:rPr>
        <w:t>245</w:t>
      </w:r>
      <w:r>
        <w:rPr>
          <w:rFonts w:hint="eastAsia"/>
          <w:kern w:val="14"/>
        </w:rPr>
        <w:t>人提供了社会、心理和法律服务，其中妇女</w:t>
      </w:r>
      <w:r>
        <w:rPr>
          <w:kern w:val="14"/>
        </w:rPr>
        <w:t>1</w:t>
      </w:r>
      <w:r>
        <w:rPr>
          <w:rFonts w:hint="eastAsia"/>
          <w:kern w:val="14"/>
        </w:rPr>
        <w:t xml:space="preserve"> </w:t>
      </w:r>
      <w:r>
        <w:rPr>
          <w:kern w:val="14"/>
        </w:rPr>
        <w:t>212</w:t>
      </w:r>
      <w:r>
        <w:rPr>
          <w:rFonts w:hint="eastAsia"/>
          <w:kern w:val="14"/>
        </w:rPr>
        <w:t>人、男子</w:t>
      </w:r>
      <w:r>
        <w:rPr>
          <w:kern w:val="14"/>
        </w:rPr>
        <w:t>33</w:t>
      </w:r>
      <w:r>
        <w:rPr>
          <w:rFonts w:hint="eastAsia"/>
          <w:kern w:val="14"/>
        </w:rPr>
        <w:t>人。提供的服务包括：为</w:t>
      </w:r>
      <w:r>
        <w:rPr>
          <w:kern w:val="14"/>
        </w:rPr>
        <w:t>191</w:t>
      </w:r>
      <w:r>
        <w:rPr>
          <w:rFonts w:hint="eastAsia"/>
          <w:kern w:val="14"/>
        </w:rPr>
        <w:t>人提供了临时安全住所；还提供了心理辅导（</w:t>
      </w:r>
      <w:r>
        <w:rPr>
          <w:kern w:val="14"/>
        </w:rPr>
        <w:t>722</w:t>
      </w:r>
      <w:r>
        <w:rPr>
          <w:rFonts w:hint="eastAsia"/>
          <w:kern w:val="14"/>
        </w:rPr>
        <w:t>小时）、法律咨询（</w:t>
      </w:r>
      <w:r>
        <w:rPr>
          <w:kern w:val="14"/>
        </w:rPr>
        <w:t>240</w:t>
      </w:r>
      <w:r>
        <w:rPr>
          <w:rFonts w:hint="eastAsia"/>
          <w:kern w:val="14"/>
        </w:rPr>
        <w:t>小时）和社会服务（</w:t>
      </w:r>
      <w:r>
        <w:rPr>
          <w:kern w:val="14"/>
        </w:rPr>
        <w:t>1</w:t>
      </w:r>
      <w:r>
        <w:rPr>
          <w:rFonts w:hint="eastAsia"/>
          <w:kern w:val="14"/>
        </w:rPr>
        <w:t xml:space="preserve"> </w:t>
      </w:r>
      <w:r>
        <w:rPr>
          <w:kern w:val="14"/>
        </w:rPr>
        <w:t>997</w:t>
      </w:r>
      <w:r>
        <w:rPr>
          <w:rFonts w:hint="eastAsia"/>
          <w:kern w:val="14"/>
        </w:rPr>
        <w:t>小时）。</w:t>
      </w:r>
    </w:p>
    <w:p w:rsidR="00595751" w:rsidRDefault="00595751">
      <w:pPr>
        <w:tabs>
          <w:tab w:val="left" w:pos="630"/>
        </w:tabs>
        <w:spacing w:after="240" w:line="360" w:lineRule="exact"/>
        <w:rPr>
          <w:kern w:val="14"/>
        </w:rPr>
      </w:pPr>
      <w:r>
        <w:t xml:space="preserve">10. </w:t>
      </w:r>
      <w:r>
        <w:rPr>
          <w:rFonts w:hint="eastAsia"/>
        </w:rPr>
        <w:tab/>
      </w:r>
      <w:r>
        <w:rPr>
          <w:rFonts w:hint="eastAsia"/>
          <w:kern w:val="14"/>
        </w:rPr>
        <w:t>考虑到对妇女的暴力行为，尤其是家庭暴力问题令人痛苦不堪且受害者需要得到成套的服务与援助，政府根据</w:t>
      </w:r>
      <w:r>
        <w:rPr>
          <w:rFonts w:hint="eastAsia"/>
          <w:kern w:val="14"/>
        </w:rPr>
        <w:t>2006</w:t>
      </w:r>
      <w:r>
        <w:rPr>
          <w:rFonts w:hint="eastAsia"/>
          <w:kern w:val="14"/>
        </w:rPr>
        <w:t>年</w:t>
      </w:r>
      <w:r>
        <w:rPr>
          <w:rFonts w:hint="eastAsia"/>
          <w:kern w:val="14"/>
        </w:rPr>
        <w:t>12</w:t>
      </w:r>
      <w:r>
        <w:rPr>
          <w:rFonts w:hint="eastAsia"/>
          <w:kern w:val="14"/>
        </w:rPr>
        <w:t>月</w:t>
      </w:r>
      <w:r>
        <w:rPr>
          <w:rFonts w:hint="eastAsia"/>
          <w:kern w:val="14"/>
        </w:rPr>
        <w:t>22</w:t>
      </w:r>
      <w:r>
        <w:rPr>
          <w:rFonts w:hint="eastAsia"/>
          <w:kern w:val="14"/>
        </w:rPr>
        <w:t>日第</w:t>
      </w:r>
      <w:r>
        <w:rPr>
          <w:rFonts w:hint="eastAsia"/>
          <w:kern w:val="14"/>
        </w:rPr>
        <w:t>1330</w:t>
      </w:r>
      <w:r>
        <w:rPr>
          <w:rFonts w:hint="eastAsia"/>
          <w:kern w:val="14"/>
        </w:rPr>
        <w:t>号决议（</w:t>
      </w:r>
      <w:r>
        <w:rPr>
          <w:rFonts w:hint="eastAsia"/>
          <w:kern w:val="14"/>
        </w:rPr>
        <w:t>2006</w:t>
      </w:r>
      <w:r>
        <w:rPr>
          <w:rFonts w:hint="eastAsia"/>
          <w:kern w:val="14"/>
        </w:rPr>
        <w:t>年第</w:t>
      </w:r>
      <w:r>
        <w:rPr>
          <w:kern w:val="14"/>
        </w:rPr>
        <w:t>144-5474</w:t>
      </w:r>
      <w:r>
        <w:rPr>
          <w:rFonts w:hint="eastAsia"/>
          <w:kern w:val="14"/>
        </w:rPr>
        <w:t>号</w:t>
      </w:r>
      <w:r>
        <w:rPr>
          <w:kern w:val="14"/>
        </w:rPr>
        <w:t>《政府公报》</w:t>
      </w:r>
      <w:r>
        <w:rPr>
          <w:rFonts w:hint="eastAsia"/>
          <w:kern w:val="14"/>
        </w:rPr>
        <w:t>）核准了《打击对妇女暴力国家战略》（以下称《战略》）和《</w:t>
      </w:r>
      <w:r>
        <w:rPr>
          <w:kern w:val="14"/>
        </w:rPr>
        <w:t>2007-2009</w:t>
      </w:r>
      <w:r>
        <w:rPr>
          <w:rFonts w:hint="eastAsia"/>
          <w:kern w:val="14"/>
        </w:rPr>
        <w:t>年执行措施计划》。此项长期战略的目的在于：以协调一致、统筹兼顾、有组织有系统的方式，在国家一级减少对妇女的家庭暴力。该《战略》的主要优先任务是：巩固打击对妇女暴力领域的法律基础；分析对妇女的家庭暴力的形势；有效预防对妇女的家庭暴力；向家庭暴力的妇女受害者提供一整套援助；处罚肇事者；加强机构能力。该《战略》的目标定位在</w:t>
      </w:r>
      <w:r>
        <w:rPr>
          <w:rFonts w:hint="eastAsia"/>
          <w:kern w:val="14"/>
        </w:rPr>
        <w:t>2015</w:t>
      </w:r>
      <w:r>
        <w:rPr>
          <w:rFonts w:hint="eastAsia"/>
          <w:kern w:val="14"/>
        </w:rPr>
        <w:t>年之前这段时间，每三年制定一次该战略的执行措施。第一个措施计划涵盖</w:t>
      </w:r>
      <w:r>
        <w:rPr>
          <w:kern w:val="14"/>
        </w:rPr>
        <w:t>2007-2009</w:t>
      </w:r>
      <w:r>
        <w:rPr>
          <w:rFonts w:hint="eastAsia"/>
          <w:kern w:val="14"/>
        </w:rPr>
        <w:t>年期间。</w:t>
      </w:r>
    </w:p>
    <w:p w:rsidR="00595751" w:rsidRDefault="00595751">
      <w:pPr>
        <w:tabs>
          <w:tab w:val="left" w:pos="630"/>
        </w:tabs>
        <w:spacing w:after="240" w:line="360" w:lineRule="exact"/>
        <w:rPr>
          <w:kern w:val="14"/>
        </w:rPr>
      </w:pPr>
      <w:r>
        <w:t xml:space="preserve">11. </w:t>
      </w:r>
      <w:r>
        <w:rPr>
          <w:rFonts w:hint="eastAsia"/>
        </w:rPr>
        <w:tab/>
      </w:r>
      <w:r>
        <w:rPr>
          <w:rFonts w:hint="eastAsia"/>
          <w:kern w:val="14"/>
        </w:rPr>
        <w:t>2007</w:t>
      </w:r>
      <w:r>
        <w:rPr>
          <w:rFonts w:hint="eastAsia"/>
          <w:kern w:val="14"/>
        </w:rPr>
        <w:t>年年初开始执行该《战略》项下的措施。为了审查和改进法律规定，根据司法部长</w:t>
      </w:r>
      <w:r>
        <w:rPr>
          <w:rFonts w:hint="eastAsia"/>
          <w:kern w:val="14"/>
        </w:rPr>
        <w:t>2007</w:t>
      </w:r>
      <w:r>
        <w:rPr>
          <w:rFonts w:hint="eastAsia"/>
          <w:kern w:val="14"/>
        </w:rPr>
        <w:t>年</w:t>
      </w:r>
      <w:r>
        <w:rPr>
          <w:rFonts w:hint="eastAsia"/>
          <w:kern w:val="14"/>
        </w:rPr>
        <w:t>9</w:t>
      </w:r>
      <w:r>
        <w:rPr>
          <w:rFonts w:hint="eastAsia"/>
          <w:kern w:val="14"/>
        </w:rPr>
        <w:t>月</w:t>
      </w:r>
      <w:r>
        <w:rPr>
          <w:rFonts w:hint="eastAsia"/>
          <w:kern w:val="14"/>
        </w:rPr>
        <w:t>13</w:t>
      </w:r>
      <w:r>
        <w:rPr>
          <w:rFonts w:hint="eastAsia"/>
          <w:kern w:val="14"/>
        </w:rPr>
        <w:t>日第</w:t>
      </w:r>
      <w:r>
        <w:rPr>
          <w:kern w:val="14"/>
        </w:rPr>
        <w:t>1R-352</w:t>
      </w:r>
      <w:r>
        <w:rPr>
          <w:rFonts w:hint="eastAsia"/>
          <w:kern w:val="14"/>
        </w:rPr>
        <w:t>号命令成立了一个工作组；该工作组负责分析立陶宛共和国关于将任何家庭暴力肇事者逐出该家庭住所的现行法律和其他法律规定，如《立陶宛共和国刑法典》（以下称《刑法典》）（</w:t>
      </w:r>
      <w:r>
        <w:rPr>
          <w:rFonts w:hint="eastAsia"/>
          <w:kern w:val="14"/>
        </w:rPr>
        <w:t>2000</w:t>
      </w:r>
      <w:r>
        <w:rPr>
          <w:rFonts w:hint="eastAsia"/>
          <w:kern w:val="14"/>
        </w:rPr>
        <w:t>年第</w:t>
      </w:r>
      <w:r>
        <w:rPr>
          <w:kern w:val="14"/>
        </w:rPr>
        <w:t>89-2741</w:t>
      </w:r>
      <w:r>
        <w:rPr>
          <w:rFonts w:hint="eastAsia"/>
          <w:kern w:val="14"/>
        </w:rPr>
        <w:t>号《政府公报》）；《立陶宛共和国刑事诉讼法典》（</w:t>
      </w:r>
      <w:r>
        <w:rPr>
          <w:rFonts w:hint="eastAsia"/>
          <w:kern w:val="14"/>
        </w:rPr>
        <w:t>2002</w:t>
      </w:r>
      <w:r>
        <w:rPr>
          <w:rFonts w:hint="eastAsia"/>
          <w:kern w:val="14"/>
        </w:rPr>
        <w:t>年第</w:t>
      </w:r>
      <w:r>
        <w:rPr>
          <w:kern w:val="14"/>
        </w:rPr>
        <w:t>37-1341</w:t>
      </w:r>
      <w:r>
        <w:rPr>
          <w:rFonts w:hint="eastAsia"/>
          <w:kern w:val="14"/>
        </w:rPr>
        <w:t>号《政府公报》）；立陶宛共和国《民法典》和《民事诉讼法典》（</w:t>
      </w:r>
      <w:r>
        <w:rPr>
          <w:rFonts w:hint="eastAsia"/>
          <w:kern w:val="14"/>
        </w:rPr>
        <w:t>2002</w:t>
      </w:r>
      <w:r>
        <w:rPr>
          <w:rFonts w:hint="eastAsia"/>
          <w:kern w:val="14"/>
        </w:rPr>
        <w:t>年第</w:t>
      </w:r>
      <w:r>
        <w:rPr>
          <w:kern w:val="14"/>
        </w:rPr>
        <w:t>36-1340</w:t>
      </w:r>
      <w:r>
        <w:rPr>
          <w:rFonts w:hint="eastAsia"/>
          <w:kern w:val="14"/>
        </w:rPr>
        <w:t>号《政府公报》）等。根据此项分析以及本报告第</w:t>
      </w:r>
      <w:r>
        <w:rPr>
          <w:rFonts w:hint="eastAsia"/>
          <w:kern w:val="14"/>
        </w:rPr>
        <w:t>8</w:t>
      </w:r>
      <w:r>
        <w:rPr>
          <w:rFonts w:hint="eastAsia"/>
          <w:kern w:val="14"/>
        </w:rPr>
        <w:t>段提及的法律规定分析，将拟定更加有效保护暴力受害者的建议，包括采取措施为长期隔离肇事者与家庭的联系创造条件。</w:t>
      </w:r>
    </w:p>
    <w:p w:rsidR="00595751" w:rsidRDefault="00595751">
      <w:pPr>
        <w:tabs>
          <w:tab w:val="left" w:pos="630"/>
        </w:tabs>
        <w:spacing w:after="240" w:line="360" w:lineRule="exact"/>
        <w:rPr>
          <w:kern w:val="14"/>
        </w:rPr>
      </w:pPr>
      <w:r>
        <w:t xml:space="preserve">12. </w:t>
      </w:r>
      <w:r>
        <w:rPr>
          <w:rFonts w:hint="eastAsia"/>
        </w:rPr>
        <w:tab/>
      </w:r>
      <w:r>
        <w:rPr>
          <w:rFonts w:hint="eastAsia"/>
          <w:kern w:val="14"/>
        </w:rPr>
        <w:t>向家庭暴力受害者提供一整套支助，是该《战略》中的一项优先任务。该战略的一个目标是旨在使家庭暴力的受害者获得必要的临时安全住所。目前正在通过以下措施实现这个目标：每个县至少建立或支助一个机构或组织以为家庭暴力受害者提供社会服务，并确保相关机构之间的合作。这项战略措施是从</w:t>
      </w:r>
      <w:r>
        <w:rPr>
          <w:rFonts w:hint="eastAsia"/>
          <w:kern w:val="14"/>
        </w:rPr>
        <w:t>2007</w:t>
      </w:r>
      <w:r>
        <w:rPr>
          <w:rFonts w:hint="eastAsia"/>
          <w:kern w:val="14"/>
        </w:rPr>
        <w:t>年开始执行的。为了确保向家庭暴力的妇女受害者提供一整套援助，</w:t>
      </w:r>
      <w:r>
        <w:rPr>
          <w:rFonts w:hint="eastAsia"/>
          <w:kern w:val="14"/>
        </w:rPr>
        <w:t>2007</w:t>
      </w:r>
      <w:r>
        <w:rPr>
          <w:rFonts w:hint="eastAsia"/>
          <w:kern w:val="14"/>
        </w:rPr>
        <w:t>年通过竞标选定了由市政或妇女非政府组织的</w:t>
      </w:r>
      <w:r>
        <w:rPr>
          <w:rFonts w:hint="eastAsia"/>
          <w:kern w:val="14"/>
        </w:rPr>
        <w:t>21</w:t>
      </w:r>
      <w:r>
        <w:rPr>
          <w:rFonts w:hint="eastAsia"/>
          <w:kern w:val="14"/>
        </w:rPr>
        <w:t>个项目，并提供财政支助。这些项目旨在向遭受家庭暴力的妇女提供安全住所、合格的心理帮助、法律咨询、社会援助或其他必要的支助。已从国家预算中拨款</w:t>
      </w:r>
      <w:r>
        <w:rPr>
          <w:rFonts w:hint="eastAsia"/>
          <w:kern w:val="14"/>
        </w:rPr>
        <w:t>50</w:t>
      </w:r>
      <w:r>
        <w:rPr>
          <w:rFonts w:hint="eastAsia"/>
          <w:kern w:val="14"/>
        </w:rPr>
        <w:t>万立特来支持这些项目，每年报告一次项目执行成果。</w:t>
      </w:r>
    </w:p>
    <w:p w:rsidR="00595751" w:rsidRDefault="00595751">
      <w:pPr>
        <w:tabs>
          <w:tab w:val="left" w:pos="630"/>
        </w:tabs>
        <w:spacing w:after="240" w:line="360" w:lineRule="exact"/>
        <w:rPr>
          <w:kern w:val="14"/>
        </w:rPr>
      </w:pPr>
      <w:r>
        <w:t xml:space="preserve">13. </w:t>
      </w:r>
      <w:r>
        <w:rPr>
          <w:rFonts w:hint="eastAsia"/>
        </w:rPr>
        <w:tab/>
      </w:r>
      <w:r>
        <w:rPr>
          <w:rFonts w:hint="eastAsia"/>
          <w:kern w:val="14"/>
        </w:rPr>
        <w:t>自</w:t>
      </w:r>
      <w:r>
        <w:rPr>
          <w:rFonts w:hint="eastAsia"/>
          <w:kern w:val="14"/>
        </w:rPr>
        <w:t>2004</w:t>
      </w:r>
      <w:r>
        <w:rPr>
          <w:rFonts w:hint="eastAsia"/>
          <w:kern w:val="14"/>
        </w:rPr>
        <w:t>年以来，受虐待妇女可以使用一条免费的电话热线求助。该热线由国家预算资助，由设在克莱佩达的社会与心理援助中心经营。立陶宛共和国政府</w:t>
      </w:r>
      <w:r>
        <w:rPr>
          <w:rFonts w:hint="eastAsia"/>
          <w:kern w:val="14"/>
        </w:rPr>
        <w:t>2007</w:t>
      </w:r>
      <w:r>
        <w:rPr>
          <w:rFonts w:hint="eastAsia"/>
          <w:kern w:val="14"/>
        </w:rPr>
        <w:t>年</w:t>
      </w:r>
      <w:r>
        <w:rPr>
          <w:rFonts w:hint="eastAsia"/>
          <w:kern w:val="14"/>
        </w:rPr>
        <w:t>10</w:t>
      </w:r>
      <w:r>
        <w:rPr>
          <w:rFonts w:hint="eastAsia"/>
          <w:kern w:val="14"/>
        </w:rPr>
        <w:t>月</w:t>
      </w:r>
      <w:r>
        <w:rPr>
          <w:rFonts w:hint="eastAsia"/>
          <w:kern w:val="14"/>
        </w:rPr>
        <w:t>2</w:t>
      </w:r>
      <w:r>
        <w:rPr>
          <w:rFonts w:hint="eastAsia"/>
          <w:kern w:val="14"/>
        </w:rPr>
        <w:t>日第</w:t>
      </w:r>
      <w:r>
        <w:rPr>
          <w:rFonts w:hint="eastAsia"/>
          <w:kern w:val="14"/>
        </w:rPr>
        <w:t>1054</w:t>
      </w:r>
      <w:r>
        <w:rPr>
          <w:rFonts w:hint="eastAsia"/>
          <w:kern w:val="14"/>
        </w:rPr>
        <w:t>号决议修正了政府</w:t>
      </w:r>
      <w:r>
        <w:rPr>
          <w:rFonts w:hint="eastAsia"/>
          <w:kern w:val="14"/>
        </w:rPr>
        <w:t>2006</w:t>
      </w:r>
      <w:r>
        <w:rPr>
          <w:rFonts w:hint="eastAsia"/>
          <w:kern w:val="14"/>
        </w:rPr>
        <w:t>年</w:t>
      </w:r>
      <w:r>
        <w:rPr>
          <w:rFonts w:hint="eastAsia"/>
          <w:kern w:val="14"/>
        </w:rPr>
        <w:t>12</w:t>
      </w:r>
      <w:r>
        <w:rPr>
          <w:rFonts w:hint="eastAsia"/>
          <w:kern w:val="14"/>
        </w:rPr>
        <w:t>月</w:t>
      </w:r>
      <w:r>
        <w:rPr>
          <w:rFonts w:hint="eastAsia"/>
          <w:kern w:val="14"/>
        </w:rPr>
        <w:t>22</w:t>
      </w:r>
      <w:r>
        <w:rPr>
          <w:rFonts w:hint="eastAsia"/>
          <w:kern w:val="14"/>
        </w:rPr>
        <w:t>日第</w:t>
      </w:r>
      <w:r>
        <w:rPr>
          <w:rFonts w:hint="eastAsia"/>
          <w:kern w:val="14"/>
        </w:rPr>
        <w:t>1330</w:t>
      </w:r>
      <w:r>
        <w:rPr>
          <w:rFonts w:hint="eastAsia"/>
          <w:kern w:val="14"/>
        </w:rPr>
        <w:t>号决议“关于批准国家打击对妇女暴力行为战略和</w:t>
      </w:r>
      <w:r>
        <w:rPr>
          <w:kern w:val="14"/>
        </w:rPr>
        <w:t>2007-2009</w:t>
      </w:r>
      <w:r>
        <w:rPr>
          <w:rFonts w:hint="eastAsia"/>
          <w:kern w:val="14"/>
        </w:rPr>
        <w:t>年执行措施计划”（</w:t>
      </w:r>
      <w:r>
        <w:rPr>
          <w:rFonts w:hint="eastAsia"/>
          <w:kern w:val="14"/>
        </w:rPr>
        <w:t>2007</w:t>
      </w:r>
      <w:r>
        <w:rPr>
          <w:rFonts w:hint="eastAsia"/>
          <w:kern w:val="14"/>
        </w:rPr>
        <w:t>年第</w:t>
      </w:r>
      <w:r>
        <w:rPr>
          <w:kern w:val="14"/>
        </w:rPr>
        <w:t>106-4341</w:t>
      </w:r>
      <w:r>
        <w:rPr>
          <w:rFonts w:hint="eastAsia"/>
          <w:kern w:val="14"/>
        </w:rPr>
        <w:t>号</w:t>
      </w:r>
      <w:r>
        <w:rPr>
          <w:kern w:val="14"/>
        </w:rPr>
        <w:t>《政府公报》</w:t>
      </w:r>
      <w:r>
        <w:rPr>
          <w:rFonts w:hint="eastAsia"/>
          <w:kern w:val="14"/>
        </w:rPr>
        <w:t>）。此项新决议规定，自</w:t>
      </w:r>
      <w:r>
        <w:rPr>
          <w:rFonts w:hint="eastAsia"/>
          <w:kern w:val="14"/>
        </w:rPr>
        <w:t>2008</w:t>
      </w:r>
      <w:r>
        <w:rPr>
          <w:rFonts w:hint="eastAsia"/>
          <w:kern w:val="14"/>
        </w:rPr>
        <w:t>年起要在全国范围确保对受虐待妇女提供持续的（全天</w:t>
      </w:r>
      <w:r>
        <w:rPr>
          <w:rFonts w:hint="eastAsia"/>
          <w:kern w:val="14"/>
        </w:rPr>
        <w:t>24</w:t>
      </w:r>
      <w:r>
        <w:rPr>
          <w:rFonts w:hint="eastAsia"/>
          <w:kern w:val="14"/>
        </w:rPr>
        <w:t>小时）专用电话援助。</w:t>
      </w:r>
    </w:p>
    <w:p w:rsidR="00595751" w:rsidRDefault="00595751">
      <w:pPr>
        <w:tabs>
          <w:tab w:val="left" w:pos="630"/>
        </w:tabs>
        <w:spacing w:after="240" w:line="360" w:lineRule="exact"/>
        <w:rPr>
          <w:kern w:val="14"/>
        </w:rPr>
      </w:pPr>
      <w:r>
        <w:t xml:space="preserve">14. </w:t>
      </w:r>
      <w:r>
        <w:rPr>
          <w:rFonts w:hint="eastAsia"/>
        </w:rPr>
        <w:tab/>
      </w:r>
      <w:r>
        <w:rPr>
          <w:rFonts w:hint="eastAsia"/>
          <w:kern w:val="14"/>
        </w:rPr>
        <w:t>如果不适当注意做好肇事者方面的工作，即在实施处罚的同时，制订对其产生影响力的替代措施，打击对妇女的暴力行为的各项努力就不可能充分奏效。此项《战略》的目标之一，就是改进对肇事者施加具有影响力的替代措施，并且促进与有意放弃暴力行为的肇事者打交道的组织活动。作为执行战略措施工作的一部分，</w:t>
      </w:r>
      <w:r>
        <w:rPr>
          <w:rFonts w:hint="eastAsia"/>
          <w:kern w:val="14"/>
        </w:rPr>
        <w:t>2007</w:t>
      </w:r>
      <w:r>
        <w:rPr>
          <w:rFonts w:hint="eastAsia"/>
          <w:kern w:val="14"/>
        </w:rPr>
        <w:t>年，有关方面支持了致力于对有意放弃暴力行为的肇事者做工作的</w:t>
      </w:r>
      <w:r>
        <w:rPr>
          <w:rFonts w:hint="eastAsia"/>
          <w:kern w:val="14"/>
        </w:rPr>
        <w:t>6</w:t>
      </w:r>
      <w:r>
        <w:rPr>
          <w:rFonts w:hint="eastAsia"/>
          <w:kern w:val="14"/>
        </w:rPr>
        <w:t>个项目。从国家预算中拨款</w:t>
      </w:r>
      <w:r>
        <w:rPr>
          <w:rFonts w:hint="eastAsia"/>
          <w:kern w:val="14"/>
        </w:rPr>
        <w:t>10</w:t>
      </w:r>
      <w:r>
        <w:rPr>
          <w:rFonts w:hint="eastAsia"/>
          <w:kern w:val="14"/>
        </w:rPr>
        <w:t>万立特来支持这些项目。</w:t>
      </w:r>
    </w:p>
    <w:p w:rsidR="00595751" w:rsidRDefault="00595751">
      <w:pPr>
        <w:tabs>
          <w:tab w:val="left" w:pos="630"/>
        </w:tabs>
        <w:spacing w:after="240" w:line="360" w:lineRule="exact"/>
        <w:rPr>
          <w:kern w:val="14"/>
        </w:rPr>
      </w:pPr>
      <w:r>
        <w:t xml:space="preserve">15. </w:t>
      </w:r>
      <w:r>
        <w:rPr>
          <w:rFonts w:hint="eastAsia"/>
        </w:rPr>
        <w:tab/>
      </w:r>
      <w:r>
        <w:rPr>
          <w:rFonts w:hint="eastAsia"/>
          <w:kern w:val="14"/>
        </w:rPr>
        <w:t>在打击对妇女的暴力行为方面，妇女非政府组织成绩斐然。《战略》目标之一，就是支持各种组织活动，以预防对妇女的家庭暴力，并确保执法官员与向受害者提供法律、社会、心理和医疗援助的机构密切合作，同时确保处理对妇女的家庭暴力的各项行动协调一致。</w:t>
      </w:r>
      <w:r>
        <w:rPr>
          <w:rFonts w:hint="eastAsia"/>
          <w:kern w:val="14"/>
        </w:rPr>
        <w:t>2007</w:t>
      </w:r>
      <w:r>
        <w:rPr>
          <w:rFonts w:hint="eastAsia"/>
          <w:kern w:val="14"/>
        </w:rPr>
        <w:t>年政府总共支助了</w:t>
      </w:r>
      <w:r>
        <w:rPr>
          <w:rFonts w:hint="eastAsia"/>
          <w:kern w:val="14"/>
        </w:rPr>
        <w:t>13</w:t>
      </w:r>
      <w:r>
        <w:rPr>
          <w:rFonts w:hint="eastAsia"/>
          <w:kern w:val="14"/>
        </w:rPr>
        <w:t>个由妇女非政府组织执行的、旨在打击对妇女暴力的项目。这些项目将在</w:t>
      </w:r>
      <w:r>
        <w:rPr>
          <w:rFonts w:hint="eastAsia"/>
          <w:kern w:val="14"/>
        </w:rPr>
        <w:t>2007</w:t>
      </w:r>
      <w:r>
        <w:rPr>
          <w:rFonts w:hint="eastAsia"/>
          <w:kern w:val="14"/>
        </w:rPr>
        <w:t>年底完工；从国家预算中拨款</w:t>
      </w:r>
      <w:r>
        <w:rPr>
          <w:rFonts w:hint="eastAsia"/>
          <w:kern w:val="14"/>
        </w:rPr>
        <w:t>40</w:t>
      </w:r>
      <w:r>
        <w:rPr>
          <w:rFonts w:hint="eastAsia"/>
          <w:kern w:val="14"/>
        </w:rPr>
        <w:t>万立特来支助这些项目。</w:t>
      </w:r>
    </w:p>
    <w:p w:rsidR="00595751" w:rsidRDefault="00595751">
      <w:pPr>
        <w:tabs>
          <w:tab w:val="left" w:pos="630"/>
        </w:tabs>
        <w:spacing w:after="240" w:line="360" w:lineRule="exact"/>
        <w:rPr>
          <w:kern w:val="14"/>
        </w:rPr>
      </w:pPr>
      <w:r>
        <w:t xml:space="preserve">16. </w:t>
      </w:r>
      <w:r>
        <w:rPr>
          <w:rFonts w:hint="eastAsia"/>
        </w:rPr>
        <w:tab/>
      </w:r>
      <w:r>
        <w:rPr>
          <w:rFonts w:hint="eastAsia"/>
          <w:kern w:val="14"/>
        </w:rPr>
        <w:t>妇女组织成功执行了由国际基金支助的、旨在预防对妇女的暴力行为并对暴力受害者提供援助的项目。</w:t>
      </w:r>
      <w:r>
        <w:rPr>
          <w:kern w:val="14"/>
        </w:rPr>
        <w:t>2005-2006</w:t>
      </w:r>
      <w:r>
        <w:rPr>
          <w:rFonts w:hint="eastAsia"/>
          <w:kern w:val="14"/>
        </w:rPr>
        <w:t>年，“妇女问题信息中心”协会（以下称“</w:t>
      </w:r>
      <w:r>
        <w:rPr>
          <w:kern w:val="14"/>
        </w:rPr>
        <w:t>妇女问题信息中心</w:t>
      </w:r>
      <w:r>
        <w:rPr>
          <w:rFonts w:hint="eastAsia"/>
          <w:kern w:val="14"/>
        </w:rPr>
        <w:t>”）与北欧和波罗的海国家结成伙伴关系，执行根据欧洲议会和欧洲理事会</w:t>
      </w:r>
      <w:r>
        <w:rPr>
          <w:rFonts w:hint="eastAsia"/>
          <w:kern w:val="14"/>
        </w:rPr>
        <w:t>2004</w:t>
      </w:r>
      <w:r>
        <w:rPr>
          <w:rFonts w:hint="eastAsia"/>
          <w:kern w:val="14"/>
        </w:rPr>
        <w:t>年</w:t>
      </w:r>
      <w:r>
        <w:rPr>
          <w:rFonts w:hint="eastAsia"/>
          <w:kern w:val="14"/>
        </w:rPr>
        <w:t>4</w:t>
      </w:r>
      <w:r>
        <w:rPr>
          <w:rFonts w:hint="eastAsia"/>
          <w:kern w:val="14"/>
        </w:rPr>
        <w:t>月</w:t>
      </w:r>
      <w:r>
        <w:rPr>
          <w:rFonts w:hint="eastAsia"/>
          <w:kern w:val="14"/>
        </w:rPr>
        <w:t>21</w:t>
      </w:r>
      <w:r>
        <w:rPr>
          <w:rFonts w:hint="eastAsia"/>
          <w:kern w:val="14"/>
        </w:rPr>
        <w:t>日第</w:t>
      </w:r>
      <w:r>
        <w:rPr>
          <w:kern w:val="14"/>
        </w:rPr>
        <w:t>803/2004/EC</w:t>
      </w:r>
      <w:r>
        <w:rPr>
          <w:rFonts w:hint="eastAsia"/>
          <w:kern w:val="14"/>
        </w:rPr>
        <w:t>号决定核准的共同体行动方案（</w:t>
      </w:r>
      <w:r>
        <w:rPr>
          <w:rFonts w:hint="eastAsia"/>
          <w:kern w:val="14"/>
        </w:rPr>
        <w:t>2004-2008</w:t>
      </w:r>
      <w:r>
        <w:rPr>
          <w:rFonts w:hint="eastAsia"/>
          <w:kern w:val="14"/>
        </w:rPr>
        <w:t>年）项下的项目——“分析</w:t>
      </w:r>
      <w:r>
        <w:rPr>
          <w:rFonts w:hint="eastAsia"/>
          <w:kern w:val="14"/>
        </w:rPr>
        <w:t>5</w:t>
      </w:r>
      <w:r>
        <w:rPr>
          <w:rFonts w:hint="eastAsia"/>
          <w:kern w:val="14"/>
        </w:rPr>
        <w:t>个波罗的海和北欧国家在打击对妇女暴力方面的良好做法并发展合作”，以预防和打击对儿童、青少年和妇女的暴力并保护受害者和处境危险的群体（《</w:t>
      </w:r>
      <w:r>
        <w:rPr>
          <w:rFonts w:hint="eastAsia"/>
          <w:kern w:val="14"/>
        </w:rPr>
        <w:t>Daphaone II</w:t>
      </w:r>
      <w:r>
        <w:rPr>
          <w:rFonts w:hint="eastAsia"/>
          <w:kern w:val="14"/>
        </w:rPr>
        <w:t>方案》）（</w:t>
      </w:r>
      <w:r>
        <w:rPr>
          <w:kern w:val="14"/>
        </w:rPr>
        <w:t>立陶宛</w:t>
      </w:r>
      <w:r>
        <w:rPr>
          <w:rFonts w:hint="eastAsia"/>
          <w:kern w:val="14"/>
        </w:rPr>
        <w:t>专辑，</w:t>
      </w:r>
      <w:r>
        <w:rPr>
          <w:kern w:val="14"/>
        </w:rPr>
        <w:t>OJ 2004</w:t>
      </w:r>
      <w:r>
        <w:rPr>
          <w:rFonts w:hint="eastAsia"/>
          <w:kern w:val="14"/>
        </w:rPr>
        <w:t>，第</w:t>
      </w:r>
      <w:r>
        <w:rPr>
          <w:rFonts w:hint="eastAsia"/>
          <w:kern w:val="14"/>
        </w:rPr>
        <w:t>5</w:t>
      </w:r>
      <w:r>
        <w:rPr>
          <w:rFonts w:hint="eastAsia"/>
          <w:kern w:val="14"/>
        </w:rPr>
        <w:t>卷，第</w:t>
      </w:r>
      <w:r>
        <w:rPr>
          <w:rFonts w:hint="eastAsia"/>
          <w:kern w:val="14"/>
        </w:rPr>
        <w:t>5</w:t>
      </w:r>
      <w:r>
        <w:rPr>
          <w:rFonts w:hint="eastAsia"/>
          <w:kern w:val="14"/>
        </w:rPr>
        <w:t>章，第</w:t>
      </w:r>
      <w:r>
        <w:rPr>
          <w:rFonts w:hint="eastAsia"/>
          <w:kern w:val="14"/>
        </w:rPr>
        <w:t>15</w:t>
      </w:r>
      <w:r>
        <w:rPr>
          <w:rFonts w:hint="eastAsia"/>
          <w:kern w:val="14"/>
        </w:rPr>
        <w:t>页）。作为该项目的组成部分，各国设立了国家工作组，从而把许多直接参与打击对妇女儿童暴力行为的政府和非政府机构聚集在一起。该项目的结果是，这些国家创建了北欧及波罗的海国家打击对妇女暴力合作网。在立陶宛，该网络得到国家预算的支持，为此每年拨款</w:t>
      </w:r>
      <w:r>
        <w:rPr>
          <w:rFonts w:hint="eastAsia"/>
          <w:kern w:val="14"/>
        </w:rPr>
        <w:t>1</w:t>
      </w:r>
      <w:r>
        <w:rPr>
          <w:rFonts w:hint="eastAsia"/>
          <w:kern w:val="14"/>
        </w:rPr>
        <w:t>万立特。</w:t>
      </w:r>
    </w:p>
    <w:p w:rsidR="00595751" w:rsidRDefault="00595751">
      <w:pPr>
        <w:tabs>
          <w:tab w:val="left" w:pos="630"/>
        </w:tabs>
        <w:spacing w:after="240" w:line="360" w:lineRule="exact"/>
        <w:rPr>
          <w:kern w:val="14"/>
        </w:rPr>
      </w:pPr>
      <w:r>
        <w:t>1</w:t>
      </w:r>
      <w:r>
        <w:rPr>
          <w:rFonts w:hint="eastAsia"/>
        </w:rPr>
        <w:t>7</w:t>
      </w:r>
      <w:r>
        <w:t xml:space="preserve">. </w:t>
      </w:r>
      <w:r>
        <w:rPr>
          <w:rFonts w:hint="eastAsia"/>
        </w:rPr>
        <w:tab/>
      </w:r>
      <w:r>
        <w:rPr>
          <w:rFonts w:hint="eastAsia"/>
          <w:kern w:val="14"/>
        </w:rPr>
        <w:t>自</w:t>
      </w:r>
      <w:r>
        <w:rPr>
          <w:rFonts w:hint="eastAsia"/>
          <w:kern w:val="14"/>
        </w:rPr>
        <w:t>2004</w:t>
      </w:r>
      <w:r>
        <w:rPr>
          <w:rFonts w:hint="eastAsia"/>
          <w:kern w:val="14"/>
        </w:rPr>
        <w:t>年以来，</w:t>
      </w:r>
      <w:r>
        <w:rPr>
          <w:kern w:val="14"/>
        </w:rPr>
        <w:t>妇女问题信息中心</w:t>
      </w:r>
      <w:r>
        <w:rPr>
          <w:rFonts w:hint="eastAsia"/>
          <w:kern w:val="14"/>
        </w:rPr>
        <w:t>与奥斯陆妇女法律援助中心合作，在“妇女法律咨询与信息”项目下为妇女提供免费的法律咨询服务。该项目的目标是向那些因为经济或社会缘故得不到法律信息的妇女（尤其是饱受家庭暴力之苦的妇女）提供法律咨询，并引荐她们到其他相关机构去寻求帮助。</w:t>
      </w:r>
    </w:p>
    <w:p w:rsidR="00595751" w:rsidRDefault="00595751">
      <w:pPr>
        <w:tabs>
          <w:tab w:val="left" w:pos="630"/>
        </w:tabs>
        <w:spacing w:after="240" w:line="360" w:lineRule="exact"/>
        <w:rPr>
          <w:kern w:val="14"/>
          <w:szCs w:val="24"/>
        </w:rPr>
      </w:pPr>
      <w:r>
        <w:t xml:space="preserve">18. </w:t>
      </w:r>
      <w:r>
        <w:rPr>
          <w:rFonts w:hint="eastAsia"/>
        </w:rPr>
        <w:tab/>
      </w:r>
      <w:r>
        <w:rPr>
          <w:rFonts w:hint="eastAsia"/>
        </w:rPr>
        <w:t>立陶宛</w:t>
      </w:r>
      <w:r>
        <w:rPr>
          <w:rFonts w:hint="eastAsia"/>
          <w:kern w:val="14"/>
        </w:rPr>
        <w:t>正在加强预防对妇女暴力的工作。警官与其他相关机构（儿童权利保护机构、收容所的社会工作者、妇女危机中心）合作，持续不断地参与咨询和教育活动。地方巡警官对经常挑起暴力冲突的人进行监视，并将其肇事资料记入由地方巡警官保管的辖区档案。</w:t>
      </w:r>
      <w:r>
        <w:rPr>
          <w:kern w:val="14"/>
        </w:rPr>
        <w:t>2005-2006</w:t>
      </w:r>
      <w:r>
        <w:rPr>
          <w:rFonts w:hint="eastAsia"/>
          <w:kern w:val="14"/>
        </w:rPr>
        <w:t>年，克莱佩达市警察总长参加了市政当局下属的保护儿童权利局和儿童危机中心发起的题为“谁来保护我”的预防教育项目，该项目将容易遭受家庭暴力的家庭定为工作对象。作为该项目的一部分，有关方面为施暴家长举办讲座，为他们传授避免体罚的替代办法。在该项目下，对具有社会风险的家庭和拥有未成年寄养儿童家庭进行多次突袭。</w:t>
      </w:r>
    </w:p>
    <w:p w:rsidR="00595751" w:rsidRDefault="00595751">
      <w:pPr>
        <w:tabs>
          <w:tab w:val="left" w:pos="630"/>
        </w:tabs>
        <w:spacing w:after="240" w:line="360" w:lineRule="exact"/>
        <w:rPr>
          <w:kern w:val="14"/>
        </w:rPr>
      </w:pPr>
      <w:r>
        <w:t xml:space="preserve">19. </w:t>
      </w:r>
      <w:r>
        <w:rPr>
          <w:rFonts w:hint="eastAsia"/>
        </w:rPr>
        <w:tab/>
      </w:r>
      <w:r>
        <w:rPr>
          <w:kern w:val="14"/>
        </w:rPr>
        <w:t>2006</w:t>
      </w:r>
      <w:r>
        <w:rPr>
          <w:rFonts w:hint="eastAsia"/>
          <w:kern w:val="14"/>
        </w:rPr>
        <w:t>年，维尔纽斯市区警官参加了波兰</w:t>
      </w:r>
      <w:r>
        <w:rPr>
          <w:rFonts w:hint="eastAsia"/>
          <w:kern w:val="14"/>
        </w:rPr>
        <w:t>-</w:t>
      </w:r>
      <w:r>
        <w:rPr>
          <w:rFonts w:hint="eastAsia"/>
          <w:kern w:val="14"/>
        </w:rPr>
        <w:t>拉脱维亚</w:t>
      </w:r>
      <w:r>
        <w:rPr>
          <w:rFonts w:hint="eastAsia"/>
          <w:kern w:val="14"/>
        </w:rPr>
        <w:t>-</w:t>
      </w:r>
      <w:r>
        <w:rPr>
          <w:rFonts w:hint="eastAsia"/>
          <w:kern w:val="14"/>
        </w:rPr>
        <w:t>芬兰</w:t>
      </w:r>
      <w:r>
        <w:rPr>
          <w:rFonts w:hint="eastAsia"/>
          <w:kern w:val="14"/>
        </w:rPr>
        <w:t>-</w:t>
      </w:r>
      <w:r>
        <w:rPr>
          <w:rFonts w:hint="eastAsia"/>
          <w:kern w:val="14"/>
        </w:rPr>
        <w:t>立陶宛国际项目“住手——不再容忍沉默合谋！家庭暴力的受害者要先求助同盟者警官”。每个参与国都组织了研讨会来讨论共同努力对抗家庭暴力的必要性，以及预防暴力和与非政府组织合作的新办法。</w:t>
      </w:r>
      <w:r>
        <w:rPr>
          <w:kern w:val="14"/>
        </w:rPr>
        <w:t>立陶宛</w:t>
      </w:r>
      <w:r>
        <w:rPr>
          <w:rFonts w:hint="eastAsia"/>
          <w:kern w:val="14"/>
        </w:rPr>
        <w:t>积极参与了欧洲委员会在</w:t>
      </w:r>
      <w:r>
        <w:rPr>
          <w:rFonts w:hint="eastAsia"/>
          <w:kern w:val="14"/>
        </w:rPr>
        <w:t>2006</w:t>
      </w:r>
      <w:r>
        <w:rPr>
          <w:rFonts w:hint="eastAsia"/>
          <w:kern w:val="14"/>
        </w:rPr>
        <w:t>年</w:t>
      </w:r>
      <w:r>
        <w:rPr>
          <w:rFonts w:hint="eastAsia"/>
          <w:kern w:val="14"/>
        </w:rPr>
        <w:t>11</w:t>
      </w:r>
      <w:r>
        <w:rPr>
          <w:rFonts w:hint="eastAsia"/>
          <w:kern w:val="14"/>
        </w:rPr>
        <w:t>月发起的打击对妇女暴力运动。前述《战略》目标就体现了这场运动的宗旨。为了实现这些目标，该《战略》提出了教育、预防和其他的相关措施，其中包括反对暴力的宣传运动。</w:t>
      </w:r>
      <w:r>
        <w:rPr>
          <w:rFonts w:hint="eastAsia"/>
          <w:kern w:val="14"/>
        </w:rPr>
        <w:t>2007</w:t>
      </w:r>
      <w:r>
        <w:rPr>
          <w:rFonts w:hint="eastAsia"/>
          <w:kern w:val="14"/>
        </w:rPr>
        <w:t>年初开始执行这些措施，并将持续到</w:t>
      </w:r>
      <w:r>
        <w:rPr>
          <w:rFonts w:hint="eastAsia"/>
          <w:kern w:val="14"/>
        </w:rPr>
        <w:t>2009</w:t>
      </w:r>
      <w:r>
        <w:rPr>
          <w:rFonts w:hint="eastAsia"/>
          <w:kern w:val="14"/>
        </w:rPr>
        <w:t>年。</w:t>
      </w:r>
    </w:p>
    <w:p w:rsidR="00595751" w:rsidRDefault="00595751">
      <w:pPr>
        <w:tabs>
          <w:tab w:val="left" w:pos="630"/>
        </w:tabs>
        <w:spacing w:after="240" w:line="360" w:lineRule="exact"/>
        <w:rPr>
          <w:kern w:val="14"/>
        </w:rPr>
      </w:pPr>
      <w:r>
        <w:t>20.</w:t>
      </w:r>
      <w:r>
        <w:rPr>
          <w:rFonts w:hint="eastAsia"/>
        </w:rPr>
        <w:tab/>
      </w:r>
      <w:r>
        <w:rPr>
          <w:rFonts w:hint="eastAsia"/>
          <w:kern w:val="14"/>
        </w:rPr>
        <w:t>根据内政部信息技术和通信司有关犯罪行为妇女受害者的统计数据，</w:t>
      </w:r>
      <w:r>
        <w:rPr>
          <w:rFonts w:hint="eastAsia"/>
          <w:kern w:val="14"/>
        </w:rPr>
        <w:t>2005</w:t>
      </w:r>
      <w:r>
        <w:rPr>
          <w:rFonts w:hint="eastAsia"/>
          <w:kern w:val="14"/>
        </w:rPr>
        <w:t>年，共有</w:t>
      </w:r>
      <w:r>
        <w:rPr>
          <w:rFonts w:hint="eastAsia"/>
          <w:kern w:val="14"/>
        </w:rPr>
        <w:t>464</w:t>
      </w:r>
      <w:r>
        <w:rPr>
          <w:rFonts w:hint="eastAsia"/>
          <w:kern w:val="14"/>
        </w:rPr>
        <w:t>位妇女遭到丈夫或同居者的殴打，其中年龄在</w:t>
      </w:r>
      <w:r>
        <w:rPr>
          <w:rFonts w:hint="eastAsia"/>
          <w:kern w:val="14"/>
        </w:rPr>
        <w:t>30</w:t>
      </w:r>
      <w:r>
        <w:rPr>
          <w:rFonts w:hint="eastAsia"/>
          <w:kern w:val="14"/>
        </w:rPr>
        <w:t>岁或以上者占</w:t>
      </w:r>
      <w:r>
        <w:rPr>
          <w:rFonts w:hint="eastAsia"/>
          <w:kern w:val="14"/>
        </w:rPr>
        <w:t>74%</w:t>
      </w:r>
      <w:r>
        <w:rPr>
          <w:rFonts w:hint="eastAsia"/>
          <w:kern w:val="14"/>
        </w:rPr>
        <w:t>；</w:t>
      </w:r>
      <w:r>
        <w:rPr>
          <w:rFonts w:hint="eastAsia"/>
          <w:kern w:val="14"/>
        </w:rPr>
        <w:t>2006</w:t>
      </w:r>
      <w:r>
        <w:rPr>
          <w:rFonts w:hint="eastAsia"/>
          <w:kern w:val="14"/>
        </w:rPr>
        <w:t>年被殴打妇女有</w:t>
      </w:r>
      <w:r>
        <w:rPr>
          <w:rFonts w:hint="eastAsia"/>
          <w:kern w:val="14"/>
        </w:rPr>
        <w:t>448</w:t>
      </w:r>
      <w:r>
        <w:rPr>
          <w:rFonts w:hint="eastAsia"/>
          <w:kern w:val="14"/>
        </w:rPr>
        <w:t>人，</w:t>
      </w:r>
      <w:r>
        <w:rPr>
          <w:rFonts w:hint="eastAsia"/>
          <w:kern w:val="14"/>
        </w:rPr>
        <w:t>30</w:t>
      </w:r>
      <w:r>
        <w:rPr>
          <w:rFonts w:hint="eastAsia"/>
          <w:kern w:val="14"/>
        </w:rPr>
        <w:t>岁或以上者占</w:t>
      </w:r>
      <w:r>
        <w:rPr>
          <w:rFonts w:hint="eastAsia"/>
          <w:kern w:val="14"/>
        </w:rPr>
        <w:t>75%</w:t>
      </w:r>
      <w:r>
        <w:rPr>
          <w:rFonts w:hint="eastAsia"/>
          <w:kern w:val="14"/>
        </w:rPr>
        <w:t>（见附件部分表</w:t>
      </w:r>
      <w:r>
        <w:rPr>
          <w:rFonts w:hint="eastAsia"/>
          <w:kern w:val="14"/>
        </w:rPr>
        <w:t>1</w:t>
      </w:r>
      <w:r>
        <w:rPr>
          <w:rFonts w:hint="eastAsia"/>
          <w:kern w:val="14"/>
        </w:rPr>
        <w:t>和表</w:t>
      </w:r>
      <w:r>
        <w:rPr>
          <w:rFonts w:hint="eastAsia"/>
          <w:kern w:val="14"/>
        </w:rPr>
        <w:t>2</w:t>
      </w:r>
      <w:r>
        <w:rPr>
          <w:rFonts w:hint="eastAsia"/>
          <w:kern w:val="14"/>
        </w:rPr>
        <w:t>）。</w:t>
      </w:r>
    </w:p>
    <w:p w:rsidR="00595751" w:rsidRDefault="00595751">
      <w:pPr>
        <w:tabs>
          <w:tab w:val="left" w:pos="630"/>
        </w:tabs>
        <w:spacing w:after="240" w:line="360" w:lineRule="exact"/>
        <w:rPr>
          <w:rFonts w:hint="eastAsia"/>
          <w:kern w:val="14"/>
        </w:rPr>
      </w:pPr>
      <w:r>
        <w:t xml:space="preserve">21. </w:t>
      </w:r>
      <w:r>
        <w:rPr>
          <w:rFonts w:hint="eastAsia"/>
        </w:rPr>
        <w:tab/>
      </w:r>
      <w:r>
        <w:rPr>
          <w:rFonts w:hint="eastAsia"/>
        </w:rPr>
        <w:t>立陶宛</w:t>
      </w:r>
      <w:r>
        <w:rPr>
          <w:rFonts w:hint="eastAsia"/>
          <w:kern w:val="14"/>
        </w:rPr>
        <w:t>正在努力草拟打击对妇女暴力的专项法律。根据议会委员会</w:t>
      </w:r>
      <w:r>
        <w:rPr>
          <w:rFonts w:hint="eastAsia"/>
          <w:kern w:val="14"/>
        </w:rPr>
        <w:t>2006</w:t>
      </w:r>
      <w:r>
        <w:rPr>
          <w:rFonts w:hint="eastAsia"/>
          <w:kern w:val="14"/>
        </w:rPr>
        <w:t>年</w:t>
      </w:r>
      <w:r>
        <w:rPr>
          <w:rFonts w:hint="eastAsia"/>
          <w:kern w:val="14"/>
        </w:rPr>
        <w:t>12</w:t>
      </w:r>
      <w:r>
        <w:rPr>
          <w:rFonts w:hint="eastAsia"/>
          <w:kern w:val="14"/>
        </w:rPr>
        <w:t>月</w:t>
      </w:r>
      <w:r>
        <w:rPr>
          <w:rFonts w:hint="eastAsia"/>
          <w:kern w:val="14"/>
        </w:rPr>
        <w:t>13</w:t>
      </w:r>
      <w:r>
        <w:rPr>
          <w:rFonts w:hint="eastAsia"/>
          <w:kern w:val="14"/>
        </w:rPr>
        <w:t>日第</w:t>
      </w:r>
      <w:r>
        <w:rPr>
          <w:rFonts w:hint="eastAsia"/>
          <w:kern w:val="14"/>
        </w:rPr>
        <w:t>1315</w:t>
      </w:r>
      <w:r>
        <w:rPr>
          <w:rFonts w:hint="eastAsia"/>
          <w:kern w:val="14"/>
        </w:rPr>
        <w:t>号决定成立了一个工作组，负责起草《防范家庭暴力概念框架》及相关法律规定的有关建议。《防范家庭暴力概念框架》的目的在于为颁布《立陶宛共和国防范家庭暴力法》（以下称《防范家庭暴力法》）铺平道路。《防范家庭暴力法》（及对其他相关法律规定所做的相应修正）将成为消除家庭暴力以有效增进和保护固有人权的基础。</w:t>
      </w:r>
    </w:p>
    <w:p w:rsidR="00595751" w:rsidRDefault="00595751">
      <w:pPr>
        <w:pStyle w:val="H2"/>
        <w:rPr>
          <w:rFonts w:hint="eastAsia"/>
        </w:rPr>
      </w:pPr>
      <w:r>
        <w:rPr>
          <w:rFonts w:hint="eastAsia"/>
        </w:rPr>
        <w:t>（</w:t>
      </w:r>
      <w:r>
        <w:t>c</w:t>
      </w:r>
      <w:r>
        <w:rPr>
          <w:rFonts w:hint="eastAsia"/>
        </w:rPr>
        <w:t>）</w:t>
      </w:r>
    </w:p>
    <w:p w:rsidR="00595751" w:rsidRDefault="00595751">
      <w:pPr>
        <w:tabs>
          <w:tab w:val="left" w:pos="630"/>
        </w:tabs>
        <w:spacing w:after="240" w:line="360" w:lineRule="exact"/>
        <w:rPr>
          <w:kern w:val="14"/>
        </w:rPr>
      </w:pPr>
      <w:r>
        <w:t xml:space="preserve">22. </w:t>
      </w:r>
      <w:r>
        <w:rPr>
          <w:rFonts w:hint="eastAsia"/>
        </w:rPr>
        <w:tab/>
      </w:r>
      <w:r>
        <w:rPr>
          <w:rFonts w:hint="eastAsia"/>
          <w:kern w:val="14"/>
        </w:rPr>
        <w:t>不论男女，凡受到基于性别的直接或间接歧视、基于性别的骚扰或性骚扰，均有权向机会均等监察官举报这种侵犯平等权利事件。须在一个月内对举报案件进行调查；必要时调查期限可延长一个月。自</w:t>
      </w:r>
      <w:r>
        <w:rPr>
          <w:rFonts w:hint="eastAsia"/>
          <w:kern w:val="14"/>
        </w:rPr>
        <w:t>2005</w:t>
      </w:r>
      <w:r>
        <w:rPr>
          <w:rFonts w:hint="eastAsia"/>
          <w:kern w:val="14"/>
        </w:rPr>
        <w:t>年以来，机会均等监察官办公室调查了有关基于各种理由进行歧视的举报案件；</w:t>
      </w:r>
      <w:r>
        <w:rPr>
          <w:rFonts w:hint="eastAsia"/>
          <w:kern w:val="14"/>
        </w:rPr>
        <w:t>2005</w:t>
      </w:r>
      <w:r>
        <w:rPr>
          <w:rFonts w:hint="eastAsia"/>
          <w:kern w:val="14"/>
        </w:rPr>
        <w:t>和</w:t>
      </w:r>
      <w:r>
        <w:rPr>
          <w:rFonts w:hint="eastAsia"/>
          <w:kern w:val="14"/>
        </w:rPr>
        <w:t>2006</w:t>
      </w:r>
      <w:r>
        <w:rPr>
          <w:rFonts w:hint="eastAsia"/>
          <w:kern w:val="14"/>
        </w:rPr>
        <w:t>年的举报大多涉及到基于性别的歧视。</w:t>
      </w:r>
      <w:r>
        <w:rPr>
          <w:rFonts w:hint="eastAsia"/>
          <w:kern w:val="14"/>
        </w:rPr>
        <w:t>2005</w:t>
      </w:r>
      <w:r>
        <w:rPr>
          <w:rFonts w:hint="eastAsia"/>
          <w:kern w:val="14"/>
        </w:rPr>
        <w:t>年，有</w:t>
      </w:r>
      <w:r>
        <w:rPr>
          <w:rFonts w:hint="eastAsia"/>
          <w:kern w:val="14"/>
        </w:rPr>
        <w:t>33</w:t>
      </w:r>
      <w:r>
        <w:rPr>
          <w:rFonts w:hint="eastAsia"/>
          <w:kern w:val="14"/>
        </w:rPr>
        <w:t>项举报涉及基于性别的歧视案件，其中有</w:t>
      </w:r>
      <w:r>
        <w:rPr>
          <w:rFonts w:hint="eastAsia"/>
          <w:kern w:val="14"/>
        </w:rPr>
        <w:t>3</w:t>
      </w:r>
      <w:r>
        <w:rPr>
          <w:rFonts w:hint="eastAsia"/>
          <w:kern w:val="14"/>
        </w:rPr>
        <w:t>件涉及性骚扰；</w:t>
      </w:r>
      <w:r>
        <w:rPr>
          <w:rFonts w:hint="eastAsia"/>
          <w:kern w:val="14"/>
        </w:rPr>
        <w:t>2005</w:t>
      </w:r>
      <w:r>
        <w:rPr>
          <w:rFonts w:hint="eastAsia"/>
          <w:kern w:val="14"/>
        </w:rPr>
        <w:t>年，这两方面的举报案件分别为</w:t>
      </w:r>
      <w:r>
        <w:rPr>
          <w:rFonts w:hint="eastAsia"/>
          <w:kern w:val="14"/>
        </w:rPr>
        <w:t>29</w:t>
      </w:r>
      <w:r>
        <w:rPr>
          <w:rFonts w:hint="eastAsia"/>
          <w:kern w:val="14"/>
        </w:rPr>
        <w:t>件和</w:t>
      </w:r>
      <w:r>
        <w:rPr>
          <w:rFonts w:hint="eastAsia"/>
          <w:kern w:val="14"/>
        </w:rPr>
        <w:t>2</w:t>
      </w:r>
      <w:r>
        <w:rPr>
          <w:rFonts w:hint="eastAsia"/>
          <w:kern w:val="14"/>
        </w:rPr>
        <w:t>件。</w:t>
      </w:r>
      <w:r>
        <w:rPr>
          <w:rFonts w:hint="eastAsia"/>
          <w:kern w:val="14"/>
        </w:rPr>
        <w:t>2006</w:t>
      </w:r>
      <w:r>
        <w:rPr>
          <w:rFonts w:hint="eastAsia"/>
          <w:kern w:val="14"/>
        </w:rPr>
        <w:t>年，机会均等监察官办公室对违反《男女机会均等法》的</w:t>
      </w:r>
      <w:r>
        <w:rPr>
          <w:rFonts w:hint="eastAsia"/>
          <w:kern w:val="14"/>
        </w:rPr>
        <w:t>4</w:t>
      </w:r>
      <w:r>
        <w:rPr>
          <w:rFonts w:hint="eastAsia"/>
          <w:kern w:val="14"/>
        </w:rPr>
        <w:t>人进行了处罚；</w:t>
      </w:r>
      <w:r>
        <w:rPr>
          <w:rFonts w:hint="eastAsia"/>
          <w:kern w:val="14"/>
        </w:rPr>
        <w:t>2006</w:t>
      </w:r>
      <w:r>
        <w:rPr>
          <w:rFonts w:hint="eastAsia"/>
          <w:kern w:val="14"/>
        </w:rPr>
        <w:t>年处罚了</w:t>
      </w:r>
      <w:r>
        <w:rPr>
          <w:rFonts w:hint="eastAsia"/>
          <w:kern w:val="14"/>
        </w:rPr>
        <w:t>1</w:t>
      </w:r>
      <w:r>
        <w:rPr>
          <w:rFonts w:hint="eastAsia"/>
          <w:kern w:val="14"/>
        </w:rPr>
        <w:t>人。对其他举报做出了如下决定：对大约</w:t>
      </w:r>
      <w:r>
        <w:rPr>
          <w:rFonts w:hint="eastAsia"/>
          <w:kern w:val="14"/>
        </w:rPr>
        <w:t>30%</w:t>
      </w:r>
      <w:r>
        <w:rPr>
          <w:rFonts w:hint="eastAsia"/>
          <w:kern w:val="14"/>
        </w:rPr>
        <w:t>的被举报者提出了警告；对于另外约</w:t>
      </w:r>
      <w:r>
        <w:rPr>
          <w:rFonts w:hint="eastAsia"/>
          <w:kern w:val="14"/>
        </w:rPr>
        <w:t>30%</w:t>
      </w:r>
      <w:r>
        <w:rPr>
          <w:rFonts w:hint="eastAsia"/>
          <w:kern w:val="14"/>
        </w:rPr>
        <w:t>的被举报者，敦促他们停止其侵犯平等权利的行动或停止相关的行为；有关另外的约</w:t>
      </w:r>
      <w:r>
        <w:rPr>
          <w:rFonts w:hint="eastAsia"/>
          <w:kern w:val="14"/>
        </w:rPr>
        <w:t>30%</w:t>
      </w:r>
      <w:r>
        <w:rPr>
          <w:rFonts w:hint="eastAsia"/>
          <w:kern w:val="14"/>
        </w:rPr>
        <w:t>的举报案件，因为缺乏侵权的客观证据而终止了调查。</w:t>
      </w:r>
    </w:p>
    <w:p w:rsidR="00595751" w:rsidRDefault="00595751">
      <w:pPr>
        <w:tabs>
          <w:tab w:val="left" w:pos="630"/>
        </w:tabs>
        <w:spacing w:after="240" w:line="360" w:lineRule="exact"/>
        <w:rPr>
          <w:rFonts w:hint="eastAsia"/>
          <w:kern w:val="14"/>
        </w:rPr>
      </w:pPr>
      <w:r>
        <w:t xml:space="preserve">23. </w:t>
      </w:r>
      <w:r>
        <w:rPr>
          <w:rFonts w:hint="eastAsia"/>
        </w:rPr>
        <w:tab/>
      </w:r>
      <w:r>
        <w:rPr>
          <w:rFonts w:hint="eastAsia"/>
          <w:kern w:val="14"/>
        </w:rPr>
        <w:t>凡受到基于性别的歧视影响者均有权向法院起诉，而不仅限于向机会均等监察官举报。根据国家法庭管理局掌握的数据，</w:t>
      </w:r>
      <w:r>
        <w:rPr>
          <w:kern w:val="14"/>
        </w:rPr>
        <w:t>2005-2006</w:t>
      </w:r>
      <w:r>
        <w:rPr>
          <w:rFonts w:hint="eastAsia"/>
          <w:kern w:val="14"/>
        </w:rPr>
        <w:t>年间国家法院没有对任何直接与基于性别的歧视有关的案件进行调查。</w:t>
      </w:r>
    </w:p>
    <w:p w:rsidR="00595751" w:rsidRDefault="00595751">
      <w:pPr>
        <w:pStyle w:val="H2"/>
        <w:rPr>
          <w:rFonts w:hint="eastAsia"/>
        </w:rPr>
      </w:pPr>
      <w:r>
        <w:rPr>
          <w:rFonts w:hint="eastAsia"/>
        </w:rPr>
        <w:t>（</w:t>
      </w:r>
      <w:r>
        <w:t>d</w:t>
      </w:r>
      <w:r>
        <w:rPr>
          <w:rFonts w:hint="eastAsia"/>
        </w:rPr>
        <w:t>）</w:t>
      </w:r>
    </w:p>
    <w:p w:rsidR="00595751" w:rsidRDefault="00595751">
      <w:pPr>
        <w:tabs>
          <w:tab w:val="left" w:pos="630"/>
        </w:tabs>
        <w:spacing w:after="240" w:line="360" w:lineRule="exact"/>
        <w:rPr>
          <w:rFonts w:hint="eastAsia"/>
          <w:kern w:val="14"/>
        </w:rPr>
      </w:pPr>
      <w:r>
        <w:t xml:space="preserve">24. </w:t>
      </w:r>
      <w:r>
        <w:rPr>
          <w:rFonts w:hint="eastAsia"/>
        </w:rPr>
        <w:tab/>
      </w:r>
      <w:r>
        <w:rPr>
          <w:rFonts w:hint="eastAsia"/>
          <w:kern w:val="14"/>
        </w:rPr>
        <w:t>《男女机会均等法》规定，公共当局和机构必须确保在其职权范围内确保它们起草和通过的所有法律规定都要保障男女权利平等，并且拟订和执行旨在确保男女机会均等的方案和措施。</w:t>
      </w:r>
    </w:p>
    <w:p w:rsidR="00595751" w:rsidRDefault="00595751">
      <w:pPr>
        <w:pStyle w:val="H2"/>
        <w:rPr>
          <w:rFonts w:hint="eastAsia"/>
        </w:rPr>
      </w:pPr>
      <w:r>
        <w:rPr>
          <w:rFonts w:hint="eastAsia"/>
          <w:lang w:val="en-US"/>
        </w:rPr>
        <w:t>（</w:t>
      </w:r>
      <w:r>
        <w:t>e</w:t>
      </w:r>
      <w:r>
        <w:rPr>
          <w:rFonts w:hint="eastAsia"/>
          <w:lang w:val="en-US"/>
        </w:rPr>
        <w:t>）</w:t>
      </w:r>
    </w:p>
    <w:p w:rsidR="00595751" w:rsidRDefault="00595751">
      <w:pPr>
        <w:tabs>
          <w:tab w:val="left" w:pos="630"/>
        </w:tabs>
        <w:spacing w:after="240" w:line="360" w:lineRule="exact"/>
        <w:rPr>
          <w:kern w:val="14"/>
        </w:rPr>
      </w:pPr>
      <w:r>
        <w:t xml:space="preserve">25. </w:t>
      </w:r>
      <w:r>
        <w:rPr>
          <w:rFonts w:hint="eastAsia"/>
        </w:rPr>
        <w:tab/>
      </w:r>
      <w:r>
        <w:rPr>
          <w:rFonts w:hint="eastAsia"/>
          <w:kern w:val="14"/>
        </w:rPr>
        <w:t>2005</w:t>
      </w:r>
      <w:r>
        <w:rPr>
          <w:rFonts w:hint="eastAsia"/>
          <w:kern w:val="14"/>
        </w:rPr>
        <w:t>年内通过的《男女机会均等法修正案》（</w:t>
      </w:r>
      <w:r>
        <w:rPr>
          <w:rFonts w:hint="eastAsia"/>
          <w:kern w:val="14"/>
        </w:rPr>
        <w:t>2005</w:t>
      </w:r>
      <w:r>
        <w:rPr>
          <w:rFonts w:hint="eastAsia"/>
          <w:kern w:val="14"/>
        </w:rPr>
        <w:t>年</w:t>
      </w:r>
      <w:r>
        <w:rPr>
          <w:rFonts w:hint="eastAsia"/>
          <w:kern w:val="14"/>
        </w:rPr>
        <w:t>7</w:t>
      </w:r>
      <w:r>
        <w:rPr>
          <w:rFonts w:hint="eastAsia"/>
          <w:kern w:val="14"/>
        </w:rPr>
        <w:t>月</w:t>
      </w:r>
      <w:r>
        <w:rPr>
          <w:rFonts w:hint="eastAsia"/>
          <w:kern w:val="14"/>
        </w:rPr>
        <w:t>5</w:t>
      </w:r>
      <w:r>
        <w:rPr>
          <w:rFonts w:hint="eastAsia"/>
          <w:kern w:val="14"/>
        </w:rPr>
        <w:t>日第</w:t>
      </w:r>
      <w:r>
        <w:rPr>
          <w:kern w:val="14"/>
        </w:rPr>
        <w:t>X-304</w:t>
      </w:r>
      <w:r>
        <w:rPr>
          <w:rFonts w:hint="eastAsia"/>
          <w:kern w:val="14"/>
        </w:rPr>
        <w:t>号法律）强化了雇主确保男女权利平等的义务。此项法律要求雇主采取措施保护雇员，使其免受因为雇员举报歧视案件而遭到恶意的对待、不利的后果以及任何其他虐待。</w:t>
      </w:r>
    </w:p>
    <w:p w:rsidR="00595751" w:rsidRDefault="00595751">
      <w:pPr>
        <w:pStyle w:val="H2"/>
        <w:rPr>
          <w:rFonts w:hint="eastAsia"/>
        </w:rPr>
      </w:pPr>
      <w:r>
        <w:rPr>
          <w:rFonts w:hint="eastAsia"/>
        </w:rPr>
        <w:t>（</w:t>
      </w:r>
      <w:r>
        <w:t>f</w:t>
      </w:r>
      <w:r>
        <w:rPr>
          <w:rFonts w:hint="eastAsia"/>
        </w:rPr>
        <w:t>）</w:t>
      </w:r>
    </w:p>
    <w:p w:rsidR="00595751" w:rsidRDefault="00595751">
      <w:pPr>
        <w:tabs>
          <w:tab w:val="left" w:pos="630"/>
        </w:tabs>
        <w:spacing w:after="240" w:line="360" w:lineRule="exact"/>
        <w:rPr>
          <w:kern w:val="14"/>
        </w:rPr>
      </w:pPr>
      <w:r>
        <w:t xml:space="preserve">26. </w:t>
      </w:r>
      <w:r>
        <w:rPr>
          <w:rFonts w:hint="eastAsia"/>
        </w:rPr>
        <w:tab/>
      </w:r>
      <w:r>
        <w:rPr>
          <w:rFonts w:hint="eastAsia"/>
          <w:kern w:val="14"/>
        </w:rPr>
        <w:t>如果机会均等监察官办公室在调查有关基于性别的歧视的举报案件时发现某项法律规定与男女机会均等的原则相抵触，它有权与适当的机构取得联系，建议它废止或修正这种法律规定。每年都会遇到</w:t>
      </w:r>
      <w:r>
        <w:rPr>
          <w:rFonts w:hint="eastAsia"/>
          <w:kern w:val="14"/>
        </w:rPr>
        <w:t>8</w:t>
      </w:r>
      <w:r>
        <w:rPr>
          <w:rFonts w:hint="eastAsia"/>
          <w:kern w:val="14"/>
        </w:rPr>
        <w:t>到</w:t>
      </w:r>
      <w:r>
        <w:rPr>
          <w:rFonts w:hint="eastAsia"/>
          <w:kern w:val="14"/>
        </w:rPr>
        <w:t>10</w:t>
      </w:r>
      <w:r>
        <w:rPr>
          <w:rFonts w:hint="eastAsia"/>
          <w:kern w:val="14"/>
        </w:rPr>
        <w:t>个案件，该办公室建议废止或修正侵犯男女权利平等的法律规定。</w:t>
      </w:r>
    </w:p>
    <w:p w:rsidR="00595751" w:rsidRDefault="00595751">
      <w:pPr>
        <w:pStyle w:val="H1"/>
      </w:pPr>
      <w:r>
        <w:rPr>
          <w:rFonts w:hint="eastAsia"/>
        </w:rPr>
        <w:t>第</w:t>
      </w:r>
      <w:r>
        <w:t>3</w:t>
      </w:r>
      <w:r>
        <w:rPr>
          <w:rFonts w:hint="eastAsia"/>
        </w:rPr>
        <w:t>条</w:t>
      </w:r>
    </w:p>
    <w:p w:rsidR="00595751" w:rsidRDefault="00595751">
      <w:pPr>
        <w:tabs>
          <w:tab w:val="left" w:pos="630"/>
        </w:tabs>
        <w:spacing w:after="240" w:line="360" w:lineRule="exact"/>
        <w:rPr>
          <w:kern w:val="14"/>
        </w:rPr>
      </w:pPr>
      <w:r>
        <w:t xml:space="preserve">27. </w:t>
      </w:r>
      <w:r>
        <w:rPr>
          <w:rFonts w:hint="eastAsia"/>
        </w:rPr>
        <w:tab/>
      </w:r>
      <w:r>
        <w:rPr>
          <w:rFonts w:hint="eastAsia"/>
          <w:kern w:val="14"/>
        </w:rPr>
        <w:t>除了在许多不同的领域处理两性平等问题的《</w:t>
      </w:r>
      <w:r>
        <w:rPr>
          <w:kern w:val="14"/>
        </w:rPr>
        <w:t>2005-2009</w:t>
      </w:r>
      <w:r>
        <w:rPr>
          <w:rFonts w:hint="eastAsia"/>
          <w:kern w:val="14"/>
        </w:rPr>
        <w:t>年国家男女机会均等方案》以外，政府通过和执行的其他方案也规定采取措施确保两性平等，其中包括改善妇女状况的特别措施。其他此类将性别问题纳入主流的方案主要包括：政府</w:t>
      </w:r>
      <w:r>
        <w:rPr>
          <w:rFonts w:hint="eastAsia"/>
          <w:kern w:val="14"/>
        </w:rPr>
        <w:t>2004</w:t>
      </w:r>
      <w:r>
        <w:rPr>
          <w:rFonts w:hint="eastAsia"/>
          <w:kern w:val="14"/>
        </w:rPr>
        <w:t>年</w:t>
      </w:r>
      <w:r>
        <w:rPr>
          <w:rFonts w:hint="eastAsia"/>
          <w:kern w:val="14"/>
        </w:rPr>
        <w:t>6</w:t>
      </w:r>
      <w:r>
        <w:rPr>
          <w:rFonts w:hint="eastAsia"/>
          <w:kern w:val="14"/>
        </w:rPr>
        <w:t>月</w:t>
      </w:r>
      <w:r>
        <w:rPr>
          <w:rFonts w:hint="eastAsia"/>
          <w:kern w:val="14"/>
        </w:rPr>
        <w:t>14</w:t>
      </w:r>
      <w:r>
        <w:rPr>
          <w:rFonts w:hint="eastAsia"/>
          <w:kern w:val="14"/>
        </w:rPr>
        <w:t>日第</w:t>
      </w:r>
      <w:r>
        <w:rPr>
          <w:rFonts w:hint="eastAsia"/>
          <w:kern w:val="14"/>
        </w:rPr>
        <w:t>737</w:t>
      </w:r>
      <w:r>
        <w:rPr>
          <w:rFonts w:hint="eastAsia"/>
          <w:kern w:val="14"/>
        </w:rPr>
        <w:t>号决议核准的《减轻人口老龄化后果国家战略》（</w:t>
      </w:r>
      <w:r>
        <w:rPr>
          <w:rFonts w:hint="eastAsia"/>
          <w:kern w:val="14"/>
        </w:rPr>
        <w:t>2004</w:t>
      </w:r>
      <w:r>
        <w:rPr>
          <w:rFonts w:hint="eastAsia"/>
          <w:kern w:val="14"/>
        </w:rPr>
        <w:t>年第</w:t>
      </w:r>
      <w:r>
        <w:rPr>
          <w:kern w:val="14"/>
        </w:rPr>
        <w:t>3501-95</w:t>
      </w:r>
      <w:r>
        <w:rPr>
          <w:rFonts w:hint="eastAsia"/>
          <w:kern w:val="14"/>
        </w:rPr>
        <w:t>号</w:t>
      </w:r>
      <w:r>
        <w:rPr>
          <w:kern w:val="14"/>
        </w:rPr>
        <w:t>《政府公报》</w:t>
      </w:r>
      <w:r>
        <w:rPr>
          <w:rFonts w:hint="eastAsia"/>
          <w:kern w:val="14"/>
        </w:rPr>
        <w:t>）；政府</w:t>
      </w:r>
      <w:r>
        <w:rPr>
          <w:rFonts w:hint="eastAsia"/>
          <w:kern w:val="14"/>
        </w:rPr>
        <w:t>2004</w:t>
      </w:r>
      <w:r>
        <w:rPr>
          <w:rFonts w:hint="eastAsia"/>
          <w:kern w:val="14"/>
        </w:rPr>
        <w:t>年</w:t>
      </w:r>
      <w:r>
        <w:rPr>
          <w:rFonts w:hint="eastAsia"/>
          <w:kern w:val="14"/>
        </w:rPr>
        <w:t>10</w:t>
      </w:r>
      <w:r>
        <w:rPr>
          <w:rFonts w:hint="eastAsia"/>
          <w:kern w:val="14"/>
        </w:rPr>
        <w:t>月</w:t>
      </w:r>
      <w:r>
        <w:rPr>
          <w:rFonts w:hint="eastAsia"/>
          <w:kern w:val="14"/>
        </w:rPr>
        <w:t>28</w:t>
      </w:r>
      <w:r>
        <w:rPr>
          <w:rFonts w:hint="eastAsia"/>
          <w:kern w:val="14"/>
        </w:rPr>
        <w:t>日第</w:t>
      </w:r>
      <w:r>
        <w:rPr>
          <w:rFonts w:hint="eastAsia"/>
          <w:kern w:val="14"/>
        </w:rPr>
        <w:t>1350</w:t>
      </w:r>
      <w:r>
        <w:rPr>
          <w:rFonts w:hint="eastAsia"/>
          <w:kern w:val="14"/>
        </w:rPr>
        <w:t>号决议核准的《人口政策国家战略》（</w:t>
      </w:r>
      <w:r>
        <w:rPr>
          <w:rFonts w:hint="eastAsia"/>
          <w:kern w:val="14"/>
        </w:rPr>
        <w:t>2004</w:t>
      </w:r>
      <w:r>
        <w:rPr>
          <w:rFonts w:hint="eastAsia"/>
          <w:kern w:val="14"/>
        </w:rPr>
        <w:t>年第</w:t>
      </w:r>
      <w:r>
        <w:rPr>
          <w:rFonts w:hint="eastAsia"/>
          <w:kern w:val="14"/>
        </w:rPr>
        <w:t>159</w:t>
      </w:r>
      <w:r>
        <w:rPr>
          <w:kern w:val="14"/>
        </w:rPr>
        <w:t>-</w:t>
      </w:r>
      <w:r>
        <w:rPr>
          <w:rFonts w:hint="eastAsia"/>
          <w:kern w:val="14"/>
        </w:rPr>
        <w:t>57</w:t>
      </w:r>
      <w:r>
        <w:rPr>
          <w:kern w:val="14"/>
        </w:rPr>
        <w:t>95</w:t>
      </w:r>
      <w:r>
        <w:rPr>
          <w:rFonts w:hint="eastAsia"/>
          <w:kern w:val="14"/>
        </w:rPr>
        <w:t>号</w:t>
      </w:r>
      <w:r>
        <w:rPr>
          <w:kern w:val="14"/>
        </w:rPr>
        <w:t>《政府公报》</w:t>
      </w:r>
      <w:r>
        <w:rPr>
          <w:rFonts w:hint="eastAsia"/>
          <w:kern w:val="14"/>
        </w:rPr>
        <w:t>）；卫生部长</w:t>
      </w:r>
      <w:r>
        <w:rPr>
          <w:rFonts w:hint="eastAsia"/>
          <w:kern w:val="14"/>
        </w:rPr>
        <w:t>2007</w:t>
      </w:r>
      <w:r>
        <w:rPr>
          <w:rFonts w:hint="eastAsia"/>
          <w:kern w:val="14"/>
        </w:rPr>
        <w:t>年</w:t>
      </w:r>
      <w:r>
        <w:rPr>
          <w:rFonts w:hint="eastAsia"/>
          <w:kern w:val="14"/>
        </w:rPr>
        <w:t>7</w:t>
      </w:r>
      <w:r>
        <w:rPr>
          <w:rFonts w:hint="eastAsia"/>
          <w:kern w:val="14"/>
        </w:rPr>
        <w:t>月</w:t>
      </w:r>
      <w:r>
        <w:rPr>
          <w:rFonts w:hint="eastAsia"/>
          <w:kern w:val="14"/>
        </w:rPr>
        <w:t>5</w:t>
      </w:r>
      <w:r>
        <w:rPr>
          <w:rFonts w:hint="eastAsia"/>
          <w:kern w:val="14"/>
        </w:rPr>
        <w:t>日第</w:t>
      </w:r>
      <w:r>
        <w:rPr>
          <w:kern w:val="14"/>
        </w:rPr>
        <w:t>V-561</w:t>
      </w:r>
      <w:r>
        <w:rPr>
          <w:rFonts w:hint="eastAsia"/>
          <w:kern w:val="14"/>
        </w:rPr>
        <w:t>号命令核准的《</w:t>
      </w:r>
      <w:r>
        <w:rPr>
          <w:rFonts w:hint="eastAsia"/>
          <w:kern w:val="14"/>
        </w:rPr>
        <w:t>2007</w:t>
      </w:r>
      <w:r>
        <w:rPr>
          <w:rFonts w:hint="eastAsia"/>
          <w:kern w:val="14"/>
        </w:rPr>
        <w:t>年妇幼问题国家方案》（</w:t>
      </w:r>
      <w:r>
        <w:rPr>
          <w:rFonts w:hint="eastAsia"/>
          <w:kern w:val="14"/>
        </w:rPr>
        <w:t>2007</w:t>
      </w:r>
      <w:r>
        <w:rPr>
          <w:rFonts w:hint="eastAsia"/>
          <w:kern w:val="14"/>
        </w:rPr>
        <w:t>年第</w:t>
      </w:r>
      <w:r>
        <w:rPr>
          <w:kern w:val="14"/>
        </w:rPr>
        <w:t>77-3107</w:t>
      </w:r>
      <w:r>
        <w:rPr>
          <w:rFonts w:hint="eastAsia"/>
          <w:kern w:val="14"/>
        </w:rPr>
        <w:t>号</w:t>
      </w:r>
      <w:r>
        <w:rPr>
          <w:kern w:val="14"/>
        </w:rPr>
        <w:t>《政府公报》</w:t>
      </w:r>
      <w:r>
        <w:rPr>
          <w:rFonts w:hint="eastAsia"/>
          <w:kern w:val="14"/>
        </w:rPr>
        <w:t>）；以及政府</w:t>
      </w:r>
      <w:r>
        <w:rPr>
          <w:rFonts w:hint="eastAsia"/>
          <w:kern w:val="14"/>
        </w:rPr>
        <w:t>2005</w:t>
      </w:r>
      <w:r>
        <w:rPr>
          <w:rFonts w:hint="eastAsia"/>
          <w:kern w:val="14"/>
        </w:rPr>
        <w:t>年</w:t>
      </w:r>
      <w:r>
        <w:rPr>
          <w:rFonts w:hint="eastAsia"/>
          <w:kern w:val="14"/>
        </w:rPr>
        <w:t>5</w:t>
      </w:r>
      <w:r>
        <w:rPr>
          <w:rFonts w:hint="eastAsia"/>
          <w:kern w:val="14"/>
        </w:rPr>
        <w:t>月</w:t>
      </w:r>
      <w:r>
        <w:rPr>
          <w:rFonts w:hint="eastAsia"/>
          <w:kern w:val="14"/>
        </w:rPr>
        <w:t>19</w:t>
      </w:r>
      <w:r>
        <w:rPr>
          <w:rFonts w:hint="eastAsia"/>
          <w:kern w:val="14"/>
        </w:rPr>
        <w:t>日第</w:t>
      </w:r>
      <w:r>
        <w:rPr>
          <w:rFonts w:hint="eastAsia"/>
          <w:kern w:val="14"/>
        </w:rPr>
        <w:t>558</w:t>
      </w:r>
      <w:r>
        <w:rPr>
          <w:rFonts w:hint="eastAsia"/>
          <w:kern w:val="14"/>
        </w:rPr>
        <w:t>号决议核准的《</w:t>
      </w:r>
      <w:r>
        <w:rPr>
          <w:kern w:val="14"/>
        </w:rPr>
        <w:t>2005-2008</w:t>
      </w:r>
      <w:r>
        <w:rPr>
          <w:rFonts w:hint="eastAsia"/>
          <w:kern w:val="14"/>
        </w:rPr>
        <w:t>年防止和控制贩运人口方案》（</w:t>
      </w:r>
      <w:r>
        <w:rPr>
          <w:rFonts w:hint="eastAsia"/>
          <w:kern w:val="14"/>
        </w:rPr>
        <w:t>2005</w:t>
      </w:r>
      <w:r>
        <w:rPr>
          <w:rFonts w:hint="eastAsia"/>
          <w:kern w:val="14"/>
        </w:rPr>
        <w:t>年第</w:t>
      </w:r>
      <w:r>
        <w:rPr>
          <w:kern w:val="14"/>
        </w:rPr>
        <w:t>65-2333</w:t>
      </w:r>
      <w:r>
        <w:rPr>
          <w:rFonts w:hint="eastAsia"/>
          <w:kern w:val="14"/>
        </w:rPr>
        <w:t>号</w:t>
      </w:r>
      <w:r>
        <w:rPr>
          <w:kern w:val="14"/>
        </w:rPr>
        <w:t>《政府公报》</w:t>
      </w:r>
      <w:r>
        <w:rPr>
          <w:rFonts w:hint="eastAsia"/>
          <w:kern w:val="14"/>
        </w:rPr>
        <w:t>）。</w:t>
      </w:r>
    </w:p>
    <w:p w:rsidR="00595751" w:rsidRDefault="00595751">
      <w:pPr>
        <w:tabs>
          <w:tab w:val="left" w:pos="630"/>
        </w:tabs>
        <w:spacing w:after="240" w:line="360" w:lineRule="exact"/>
        <w:rPr>
          <w:color w:val="000000"/>
          <w:kern w:val="14"/>
        </w:rPr>
      </w:pPr>
      <w:bookmarkStart w:id="12" w:name="OLE_LINK1"/>
      <w:r>
        <w:rPr>
          <w:color w:val="000000"/>
        </w:rPr>
        <w:t xml:space="preserve">28. </w:t>
      </w:r>
      <w:r>
        <w:rPr>
          <w:rFonts w:hint="eastAsia"/>
          <w:color w:val="000000"/>
        </w:rPr>
        <w:tab/>
      </w:r>
      <w:r>
        <w:rPr>
          <w:rFonts w:hint="eastAsia"/>
          <w:color w:val="000000"/>
          <w:kern w:val="14"/>
        </w:rPr>
        <w:t>根据</w:t>
      </w:r>
      <w:r>
        <w:rPr>
          <w:rFonts w:hint="eastAsia"/>
          <w:color w:val="000000"/>
          <w:kern w:val="14"/>
        </w:rPr>
        <w:t>2005</w:t>
      </w:r>
      <w:r>
        <w:rPr>
          <w:rFonts w:hint="eastAsia"/>
          <w:color w:val="000000"/>
          <w:kern w:val="14"/>
        </w:rPr>
        <w:t>年</w:t>
      </w:r>
      <w:r>
        <w:rPr>
          <w:rFonts w:hint="eastAsia"/>
          <w:color w:val="000000"/>
          <w:kern w:val="14"/>
        </w:rPr>
        <w:t>11</w:t>
      </w:r>
      <w:r>
        <w:rPr>
          <w:rFonts w:hint="eastAsia"/>
          <w:color w:val="000000"/>
          <w:kern w:val="14"/>
        </w:rPr>
        <w:t>月</w:t>
      </w:r>
      <w:r>
        <w:rPr>
          <w:rFonts w:hint="eastAsia"/>
          <w:color w:val="000000"/>
          <w:kern w:val="14"/>
        </w:rPr>
        <w:t>22</w:t>
      </w:r>
      <w:r>
        <w:rPr>
          <w:rFonts w:hint="eastAsia"/>
          <w:color w:val="000000"/>
          <w:kern w:val="14"/>
        </w:rPr>
        <w:t>日第</w:t>
      </w:r>
      <w:r>
        <w:rPr>
          <w:rFonts w:hint="eastAsia"/>
          <w:color w:val="000000"/>
          <w:kern w:val="14"/>
        </w:rPr>
        <w:t>1270</w:t>
      </w:r>
      <w:r>
        <w:rPr>
          <w:rFonts w:hint="eastAsia"/>
          <w:color w:val="000000"/>
          <w:kern w:val="14"/>
        </w:rPr>
        <w:t>号决议（</w:t>
      </w:r>
      <w:r>
        <w:rPr>
          <w:rFonts w:hint="eastAsia"/>
          <w:color w:val="000000"/>
          <w:kern w:val="14"/>
        </w:rPr>
        <w:t>2005</w:t>
      </w:r>
      <w:r>
        <w:rPr>
          <w:rFonts w:hint="eastAsia"/>
          <w:color w:val="000000"/>
          <w:kern w:val="14"/>
        </w:rPr>
        <w:t>年第</w:t>
      </w:r>
      <w:r>
        <w:rPr>
          <w:color w:val="000000"/>
          <w:kern w:val="14"/>
        </w:rPr>
        <w:t>139-5019</w:t>
      </w:r>
      <w:r>
        <w:rPr>
          <w:rFonts w:hint="eastAsia"/>
          <w:color w:val="000000"/>
          <w:kern w:val="14"/>
        </w:rPr>
        <w:t>号</w:t>
      </w:r>
      <w:r>
        <w:rPr>
          <w:color w:val="000000"/>
          <w:kern w:val="14"/>
        </w:rPr>
        <w:t>《政府公报》</w:t>
      </w:r>
      <w:r>
        <w:rPr>
          <w:rFonts w:hint="eastAsia"/>
          <w:color w:val="000000"/>
          <w:kern w:val="14"/>
        </w:rPr>
        <w:t>），立陶宛共和国政府核准了《国家里斯本战略执行方案》。该方案的目标包括：加强伙伴关系，执行更加灵活的工作安排，确保适当、安全而有益于健康的工作条件，提高岗位的实效，确保熟练劳动力的较大供应量，增强国内劳动力的流动，促进终身学习、初级职业培训和继续培训，改善工作与家庭生活的调和。目前正在通过下列途径来实现上述目标：改进劳资关系和就业政策领域的立法工作；改进工作安排；执行各项措施以促进学龄前教育和幼儿教育以及助学的灵活组织方式，确保儿童教育、保育和入学率，并且为承担家庭责任的父母进入劳动力市场创造条件；促进企业的社会责任，并开发有利于家庭的就业岗位。</w:t>
      </w:r>
    </w:p>
    <w:bookmarkEnd w:id="12"/>
    <w:p w:rsidR="00595751" w:rsidRDefault="00595751">
      <w:pPr>
        <w:tabs>
          <w:tab w:val="left" w:pos="630"/>
        </w:tabs>
        <w:spacing w:after="240" w:line="360" w:lineRule="exact"/>
        <w:rPr>
          <w:kern w:val="14"/>
        </w:rPr>
      </w:pPr>
      <w:r>
        <w:t xml:space="preserve">29. </w:t>
      </w:r>
      <w:r>
        <w:rPr>
          <w:rFonts w:hint="eastAsia"/>
        </w:rPr>
        <w:tab/>
      </w:r>
      <w:r>
        <w:rPr>
          <w:rFonts w:hint="eastAsia"/>
          <w:kern w:val="14"/>
        </w:rPr>
        <w:t>根据</w:t>
      </w:r>
      <w:r>
        <w:rPr>
          <w:rFonts w:hint="eastAsia"/>
          <w:kern w:val="14"/>
        </w:rPr>
        <w:t>2005</w:t>
      </w:r>
      <w:r>
        <w:rPr>
          <w:rFonts w:hint="eastAsia"/>
          <w:kern w:val="14"/>
        </w:rPr>
        <w:t>年</w:t>
      </w:r>
      <w:r>
        <w:rPr>
          <w:rFonts w:hint="eastAsia"/>
          <w:kern w:val="14"/>
        </w:rPr>
        <w:t>9</w:t>
      </w:r>
      <w:r>
        <w:rPr>
          <w:rFonts w:hint="eastAsia"/>
          <w:kern w:val="14"/>
        </w:rPr>
        <w:t>月</w:t>
      </w:r>
      <w:r>
        <w:rPr>
          <w:rFonts w:hint="eastAsia"/>
          <w:kern w:val="14"/>
        </w:rPr>
        <w:t>13</w:t>
      </w:r>
      <w:r>
        <w:rPr>
          <w:rFonts w:hint="eastAsia"/>
          <w:kern w:val="14"/>
        </w:rPr>
        <w:t>日第</w:t>
      </w:r>
      <w:r>
        <w:rPr>
          <w:rFonts w:hint="eastAsia"/>
          <w:kern w:val="14"/>
        </w:rPr>
        <w:t>1002</w:t>
      </w:r>
      <w:r>
        <w:rPr>
          <w:rFonts w:hint="eastAsia"/>
          <w:kern w:val="14"/>
        </w:rPr>
        <w:t>号决议（</w:t>
      </w:r>
      <w:r>
        <w:rPr>
          <w:rFonts w:hint="eastAsia"/>
          <w:kern w:val="14"/>
        </w:rPr>
        <w:t>2005</w:t>
      </w:r>
      <w:r>
        <w:rPr>
          <w:rFonts w:hint="eastAsia"/>
          <w:kern w:val="14"/>
        </w:rPr>
        <w:t>年第</w:t>
      </w:r>
      <w:r>
        <w:rPr>
          <w:kern w:val="14"/>
        </w:rPr>
        <w:t>112-4091</w:t>
      </w:r>
      <w:r>
        <w:rPr>
          <w:rFonts w:hint="eastAsia"/>
          <w:kern w:val="14"/>
        </w:rPr>
        <w:t>号</w:t>
      </w:r>
      <w:r>
        <w:rPr>
          <w:kern w:val="14"/>
        </w:rPr>
        <w:t>《政府公报》</w:t>
      </w:r>
      <w:r>
        <w:rPr>
          <w:rFonts w:hint="eastAsia"/>
          <w:kern w:val="14"/>
        </w:rPr>
        <w:t>），政府核准了《</w:t>
      </w:r>
      <w:r>
        <w:rPr>
          <w:rFonts w:hint="eastAsia"/>
          <w:kern w:val="14"/>
        </w:rPr>
        <w:t>2004-2006</w:t>
      </w:r>
      <w:r>
        <w:rPr>
          <w:rFonts w:hint="eastAsia"/>
          <w:kern w:val="14"/>
        </w:rPr>
        <w:t>年国家消除贫穷和社会排斥行动计划的</w:t>
      </w:r>
      <w:r>
        <w:rPr>
          <w:rFonts w:hint="eastAsia"/>
          <w:kern w:val="14"/>
        </w:rPr>
        <w:t>2005-2006</w:t>
      </w:r>
      <w:r>
        <w:rPr>
          <w:rFonts w:hint="eastAsia"/>
          <w:kern w:val="14"/>
        </w:rPr>
        <w:t>年执行措施》，以便改善共和国境内大多数弱势群体的状况，增强他们的能力，并减少贫穷和社会排斥。这些措施所追求的目标是不仅向穷人和遭到社会排斥的群体中的男女提供物质资料和社会服务，而且要使他们有机会获得适当的教育和优质的保健服务，拥有达到既定的公共标准的住房，享受安全而有益于健康的工作条件，并且有可能在最重要的生活领域参与选择和影响决策过程。特别关注单亲母亲、受虐待妇女、贩卖人口受害者以及易受伤害的妇女群体。</w:t>
      </w:r>
    </w:p>
    <w:p w:rsidR="00595751" w:rsidRDefault="00595751">
      <w:pPr>
        <w:tabs>
          <w:tab w:val="left" w:pos="630"/>
        </w:tabs>
        <w:spacing w:after="240" w:line="360" w:lineRule="exact"/>
        <w:rPr>
          <w:kern w:val="14"/>
        </w:rPr>
      </w:pPr>
      <w:r>
        <w:t xml:space="preserve">30. </w:t>
      </w:r>
      <w:r>
        <w:rPr>
          <w:rFonts w:hint="eastAsia"/>
        </w:rPr>
        <w:tab/>
      </w:r>
      <w:r>
        <w:rPr>
          <w:rFonts w:hint="eastAsia"/>
          <w:kern w:val="14"/>
        </w:rPr>
        <w:t>根据立陶宛共和国政府统计部（以下称“统计部”）</w:t>
      </w:r>
      <w:r>
        <w:rPr>
          <w:rFonts w:hint="eastAsia"/>
          <w:kern w:val="14"/>
        </w:rPr>
        <w:t>2005</w:t>
      </w:r>
      <w:r>
        <w:rPr>
          <w:rFonts w:hint="eastAsia"/>
          <w:kern w:val="14"/>
        </w:rPr>
        <w:t>年进行的收入和生活状况的调查资料，妇女的贫穷风险率为</w:t>
      </w:r>
      <w:r>
        <w:rPr>
          <w:kern w:val="14"/>
        </w:rPr>
        <w:t>21%</w:t>
      </w:r>
      <w:r>
        <w:rPr>
          <w:rFonts w:hint="eastAsia"/>
          <w:kern w:val="14"/>
        </w:rPr>
        <w:t>；这与男子的贫穷风险率</w:t>
      </w:r>
      <w:r>
        <w:rPr>
          <w:kern w:val="14"/>
        </w:rPr>
        <w:t>20%</w:t>
      </w:r>
      <w:r>
        <w:rPr>
          <w:rFonts w:hint="eastAsia"/>
          <w:kern w:val="14"/>
        </w:rPr>
        <w:t>相差无几。社会福利有助于降低贫穷风险和男女差别。在发放社会津贴以前，男女的贫穷风险率相差两个百分点：妇女为</w:t>
      </w:r>
      <w:r>
        <w:rPr>
          <w:rFonts w:hint="eastAsia"/>
          <w:kern w:val="14"/>
        </w:rPr>
        <w:t>27%</w:t>
      </w:r>
      <w:r>
        <w:rPr>
          <w:rFonts w:hint="eastAsia"/>
          <w:kern w:val="14"/>
        </w:rPr>
        <w:t>，男子为</w:t>
      </w:r>
      <w:r>
        <w:rPr>
          <w:rFonts w:hint="eastAsia"/>
          <w:kern w:val="14"/>
        </w:rPr>
        <w:t>25%</w:t>
      </w:r>
      <w:r>
        <w:rPr>
          <w:rFonts w:hint="eastAsia"/>
          <w:kern w:val="14"/>
        </w:rPr>
        <w:t>。</w:t>
      </w:r>
    </w:p>
    <w:p w:rsidR="00595751" w:rsidRDefault="00595751">
      <w:pPr>
        <w:tabs>
          <w:tab w:val="left" w:pos="630"/>
        </w:tabs>
        <w:spacing w:after="240" w:line="360" w:lineRule="exact"/>
        <w:rPr>
          <w:kern w:val="14"/>
        </w:rPr>
      </w:pPr>
      <w:r>
        <w:t xml:space="preserve">31. </w:t>
      </w:r>
      <w:r>
        <w:rPr>
          <w:rFonts w:hint="eastAsia"/>
        </w:rPr>
        <w:tab/>
      </w:r>
      <w:r>
        <w:rPr>
          <w:rFonts w:hint="eastAsia"/>
          <w:kern w:val="14"/>
        </w:rPr>
        <w:t>根据</w:t>
      </w:r>
      <w:r>
        <w:rPr>
          <w:rFonts w:hint="eastAsia"/>
          <w:kern w:val="14"/>
        </w:rPr>
        <w:t>2007</w:t>
      </w:r>
      <w:r>
        <w:rPr>
          <w:rFonts w:hint="eastAsia"/>
          <w:kern w:val="14"/>
        </w:rPr>
        <w:t>年</w:t>
      </w:r>
      <w:r>
        <w:rPr>
          <w:rFonts w:hint="eastAsia"/>
          <w:kern w:val="14"/>
        </w:rPr>
        <w:t>9</w:t>
      </w:r>
      <w:r>
        <w:rPr>
          <w:rFonts w:hint="eastAsia"/>
          <w:kern w:val="14"/>
        </w:rPr>
        <w:t>月</w:t>
      </w:r>
      <w:r>
        <w:rPr>
          <w:rFonts w:hint="eastAsia"/>
          <w:kern w:val="14"/>
        </w:rPr>
        <w:t>5</w:t>
      </w:r>
      <w:r>
        <w:rPr>
          <w:rFonts w:hint="eastAsia"/>
          <w:kern w:val="14"/>
        </w:rPr>
        <w:t>日第</w:t>
      </w:r>
      <w:r>
        <w:rPr>
          <w:rFonts w:hint="eastAsia"/>
          <w:kern w:val="14"/>
        </w:rPr>
        <w:t>948</w:t>
      </w:r>
      <w:r>
        <w:rPr>
          <w:rFonts w:hint="eastAsia"/>
          <w:kern w:val="14"/>
        </w:rPr>
        <w:t>号决议（</w:t>
      </w:r>
      <w:r>
        <w:rPr>
          <w:rFonts w:hint="eastAsia"/>
          <w:kern w:val="14"/>
        </w:rPr>
        <w:t>2007</w:t>
      </w:r>
      <w:r>
        <w:rPr>
          <w:rFonts w:hint="eastAsia"/>
          <w:kern w:val="14"/>
        </w:rPr>
        <w:t>年第</w:t>
      </w:r>
      <w:r>
        <w:rPr>
          <w:kern w:val="14"/>
        </w:rPr>
        <w:t>98-3977</w:t>
      </w:r>
      <w:r>
        <w:rPr>
          <w:rFonts w:hint="eastAsia"/>
          <w:kern w:val="14"/>
        </w:rPr>
        <w:t>号</w:t>
      </w:r>
      <w:r>
        <w:rPr>
          <w:kern w:val="14"/>
        </w:rPr>
        <w:t>《政府公报》</w:t>
      </w:r>
      <w:r>
        <w:rPr>
          <w:rFonts w:hint="eastAsia"/>
          <w:kern w:val="14"/>
        </w:rPr>
        <w:t>），政府核准了《</w:t>
      </w:r>
      <w:r>
        <w:rPr>
          <w:kern w:val="14"/>
        </w:rPr>
        <w:t>2008-2010</w:t>
      </w:r>
      <w:r>
        <w:rPr>
          <w:rFonts w:hint="eastAsia"/>
          <w:kern w:val="14"/>
        </w:rPr>
        <w:t>年根据人口政策国家战略实施家庭福利措施计划》，其目标是：提高青年就业率，制订灵活的工作安排；为男女调和工作与家庭生活矛盾创造条件；改善儿童保育和教育服务；提高家庭应对心理和社会问题的能力；确保儿童安全；扩大有子女家庭的住房选择面；减少家庭贫穷和社会排斥；分析家庭生育发展和影响因素；确定家庭是否需要支助；增强社区和机构在儿童教育方面的责任。</w:t>
      </w:r>
    </w:p>
    <w:p w:rsidR="00595751" w:rsidRDefault="00595751">
      <w:pPr>
        <w:tabs>
          <w:tab w:val="left" w:pos="630"/>
        </w:tabs>
        <w:spacing w:after="240" w:line="360" w:lineRule="exact"/>
        <w:rPr>
          <w:kern w:val="14"/>
        </w:rPr>
      </w:pPr>
      <w:r>
        <w:t xml:space="preserve">32. </w:t>
      </w:r>
      <w:r>
        <w:rPr>
          <w:rFonts w:hint="eastAsia"/>
        </w:rPr>
        <w:tab/>
      </w:r>
      <w:r>
        <w:rPr>
          <w:rFonts w:hint="eastAsia"/>
          <w:kern w:val="14"/>
        </w:rPr>
        <w:t>在所有领域实现两性平等，是《</w:t>
      </w:r>
      <w:r>
        <w:rPr>
          <w:kern w:val="14"/>
        </w:rPr>
        <w:t>2005-2009</w:t>
      </w:r>
      <w:r>
        <w:rPr>
          <w:rFonts w:hint="eastAsia"/>
          <w:kern w:val="14"/>
        </w:rPr>
        <w:t>年国家男女机会均等方案》的目标，它的任务是：在国家经济生活中改变男女角色的陈规定型观念；为男女调和工作与家庭生活矛盾和调和服兵役与履行家庭义务的矛盾创造条件；增加妇女在长期脱离劳动力市场之后重新开始职业生涯的机会，同时增加老年妇女的就业机会；增加妇女创办和发展企业的机会，并且促进妇女更积极地参与经济活动；激励雇主实行男女同工同酬；在劳动力市场确保两性平等，以促进社会参与并开展社会对话；将两性平等问题纳入正规和非正规教育；确保妇女有更多的受教育机会、职业发展机会和提高劳动技能的机会；让妇女有更多的机会担任管理和决策职务；促进妇女积极参与社会和政治生活；改进现有的法律依据，以便对肇事者规定较长的隔离与家庭联系的期限，并且管理这方面的执行机制；支持非政府组织向家庭暴力受害者提供社会援助和与肇事者打交道的项目，尤其是有关危机中心的项目；解决妇女和男子特有的保健问题；谋求延长男子的预期寿命，亦即缩小男女间平均预期寿命的差距；通过开展教育，提高人们，尤其是农村人对计划生育和生殖健康问题的认识；确保将两性平等纳入环境保护的主流；促进中央政府与市政当局和机构的合作，以及与教育和科研机构及非政府组织合作，以确保两性平等；力求在国家和市政两级强化实行男女机会均等的体制结构；增强公务员和其他工作人员确保男女机会均等的能力；提高教师、执法和治安官员以及环保专家处理两性平等问题的能力；在国际上推广</w:t>
      </w:r>
      <w:r>
        <w:rPr>
          <w:kern w:val="14"/>
        </w:rPr>
        <w:t>立陶宛</w:t>
      </w:r>
      <w:r>
        <w:rPr>
          <w:rFonts w:hint="eastAsia"/>
          <w:kern w:val="14"/>
        </w:rPr>
        <w:t>在保障男女机会均等方面的经验；持续评估男女地位的发展变化；与收集信息和进行调查的其他机构和非政府组织合作，改进按性别分列的统计资料的收集工作和使用情况。男女机会均等方案的执行措施由国家预算提供经费；欧盟结构基金也提供部分资助。</w:t>
      </w:r>
    </w:p>
    <w:p w:rsidR="00595751" w:rsidRDefault="00595751">
      <w:pPr>
        <w:tabs>
          <w:tab w:val="left" w:pos="630"/>
        </w:tabs>
        <w:spacing w:after="240" w:line="360" w:lineRule="exact"/>
        <w:rPr>
          <w:kern w:val="14"/>
        </w:rPr>
      </w:pPr>
      <w:r>
        <w:t xml:space="preserve">33. </w:t>
      </w:r>
      <w:r>
        <w:rPr>
          <w:rFonts w:hint="eastAsia"/>
        </w:rPr>
        <w:tab/>
      </w:r>
      <w:r>
        <w:rPr>
          <w:rFonts w:hint="eastAsia"/>
          <w:kern w:val="14"/>
        </w:rPr>
        <w:t>执行《</w:t>
      </w:r>
      <w:r>
        <w:rPr>
          <w:kern w:val="14"/>
        </w:rPr>
        <w:t>2005-2009</w:t>
      </w:r>
      <w:r>
        <w:rPr>
          <w:rFonts w:hint="eastAsia"/>
          <w:kern w:val="14"/>
        </w:rPr>
        <w:t>年国家男女机会均等方案》产生了积极成果：妇女就业率提升了，妇女失业率下降了，男女就业率差距缩小了。根据统计部的数据，男女就业差距从</w:t>
      </w:r>
      <w:r>
        <w:rPr>
          <w:rFonts w:hint="eastAsia"/>
          <w:kern w:val="14"/>
        </w:rPr>
        <w:t>2005</w:t>
      </w:r>
      <w:r>
        <w:rPr>
          <w:rFonts w:hint="eastAsia"/>
          <w:kern w:val="14"/>
        </w:rPr>
        <w:t>年的</w:t>
      </w:r>
      <w:r>
        <w:rPr>
          <w:kern w:val="14"/>
        </w:rPr>
        <w:t>7.6%</w:t>
      </w:r>
      <w:r>
        <w:rPr>
          <w:rFonts w:hint="eastAsia"/>
          <w:kern w:val="14"/>
        </w:rPr>
        <w:t>缩小到</w:t>
      </w:r>
      <w:r>
        <w:rPr>
          <w:rFonts w:hint="eastAsia"/>
          <w:kern w:val="14"/>
        </w:rPr>
        <w:t>2006</w:t>
      </w:r>
      <w:r>
        <w:rPr>
          <w:rFonts w:hint="eastAsia"/>
          <w:kern w:val="14"/>
        </w:rPr>
        <w:t>年的</w:t>
      </w:r>
      <w:r>
        <w:rPr>
          <w:kern w:val="14"/>
        </w:rPr>
        <w:t>5.3%</w:t>
      </w:r>
      <w:r>
        <w:rPr>
          <w:rFonts w:hint="eastAsia"/>
          <w:kern w:val="14"/>
        </w:rPr>
        <w:t>。妇女就业率从</w:t>
      </w:r>
      <w:r>
        <w:rPr>
          <w:rFonts w:hint="eastAsia"/>
          <w:kern w:val="14"/>
        </w:rPr>
        <w:t>2005</w:t>
      </w:r>
      <w:r>
        <w:rPr>
          <w:rFonts w:hint="eastAsia"/>
          <w:kern w:val="14"/>
        </w:rPr>
        <w:t>年的</w:t>
      </w:r>
      <w:r>
        <w:rPr>
          <w:kern w:val="14"/>
        </w:rPr>
        <w:t>59.4%</w:t>
      </w:r>
      <w:r>
        <w:rPr>
          <w:rFonts w:hint="eastAsia"/>
          <w:kern w:val="14"/>
        </w:rPr>
        <w:t>上升到</w:t>
      </w:r>
      <w:r>
        <w:rPr>
          <w:rFonts w:hint="eastAsia"/>
          <w:kern w:val="14"/>
        </w:rPr>
        <w:t>2006</w:t>
      </w:r>
      <w:r>
        <w:rPr>
          <w:rFonts w:hint="eastAsia"/>
          <w:kern w:val="14"/>
        </w:rPr>
        <w:t>年的</w:t>
      </w:r>
      <w:r>
        <w:rPr>
          <w:kern w:val="14"/>
        </w:rPr>
        <w:t>61%</w:t>
      </w:r>
      <w:r>
        <w:rPr>
          <w:rFonts w:hint="eastAsia"/>
          <w:kern w:val="14"/>
        </w:rPr>
        <w:t>，从而超过了“里斯本战略”中提出</w:t>
      </w:r>
      <w:r>
        <w:rPr>
          <w:rFonts w:hint="eastAsia"/>
          <w:kern w:val="14"/>
        </w:rPr>
        <w:t>2010</w:t>
      </w:r>
      <w:r>
        <w:rPr>
          <w:rFonts w:hint="eastAsia"/>
          <w:kern w:val="14"/>
        </w:rPr>
        <w:t>年的目标（</w:t>
      </w:r>
      <w:r>
        <w:rPr>
          <w:rFonts w:hint="eastAsia"/>
          <w:kern w:val="14"/>
        </w:rPr>
        <w:t>60%</w:t>
      </w:r>
      <w:r>
        <w:rPr>
          <w:rFonts w:hint="eastAsia"/>
          <w:kern w:val="14"/>
        </w:rPr>
        <w:t>）。妇女失业率从</w:t>
      </w:r>
      <w:r>
        <w:rPr>
          <w:rFonts w:hint="eastAsia"/>
          <w:kern w:val="14"/>
        </w:rPr>
        <w:t>2005</w:t>
      </w:r>
      <w:r>
        <w:rPr>
          <w:rFonts w:hint="eastAsia"/>
          <w:kern w:val="14"/>
        </w:rPr>
        <w:t>年的</w:t>
      </w:r>
      <w:r>
        <w:rPr>
          <w:kern w:val="14"/>
        </w:rPr>
        <w:t>8.3%</w:t>
      </w:r>
      <w:r>
        <w:rPr>
          <w:rFonts w:hint="eastAsia"/>
          <w:kern w:val="14"/>
        </w:rPr>
        <w:t>（男子失业率为</w:t>
      </w:r>
      <w:r>
        <w:rPr>
          <w:kern w:val="14"/>
        </w:rPr>
        <w:t>8.2%</w:t>
      </w:r>
      <w:r>
        <w:rPr>
          <w:rFonts w:hint="eastAsia"/>
          <w:kern w:val="14"/>
        </w:rPr>
        <w:t>）下降到</w:t>
      </w:r>
      <w:r>
        <w:rPr>
          <w:rFonts w:hint="eastAsia"/>
          <w:kern w:val="14"/>
        </w:rPr>
        <w:t>2006</w:t>
      </w:r>
      <w:r>
        <w:rPr>
          <w:rFonts w:hint="eastAsia"/>
          <w:kern w:val="14"/>
        </w:rPr>
        <w:t>年的</w:t>
      </w:r>
      <w:r>
        <w:rPr>
          <w:kern w:val="14"/>
        </w:rPr>
        <w:t>5.4%</w:t>
      </w:r>
      <w:r>
        <w:rPr>
          <w:rFonts w:hint="eastAsia"/>
          <w:kern w:val="14"/>
        </w:rPr>
        <w:t>，低于男子失业率（</w:t>
      </w:r>
      <w:r>
        <w:rPr>
          <w:kern w:val="14"/>
        </w:rPr>
        <w:t>5.8%</w:t>
      </w:r>
      <w:r>
        <w:rPr>
          <w:rFonts w:hint="eastAsia"/>
          <w:kern w:val="14"/>
        </w:rPr>
        <w:t>）（见附件中的表</w:t>
      </w:r>
      <w:r>
        <w:rPr>
          <w:kern w:val="14"/>
        </w:rPr>
        <w:t>9</w:t>
      </w:r>
      <w:r>
        <w:rPr>
          <w:rFonts w:hint="eastAsia"/>
          <w:kern w:val="14"/>
        </w:rPr>
        <w:t>、表</w:t>
      </w:r>
      <w:r>
        <w:rPr>
          <w:kern w:val="14"/>
        </w:rPr>
        <w:t>10</w:t>
      </w:r>
      <w:r>
        <w:rPr>
          <w:rFonts w:hint="eastAsia"/>
          <w:kern w:val="14"/>
        </w:rPr>
        <w:t>、表</w:t>
      </w:r>
      <w:r>
        <w:rPr>
          <w:kern w:val="14"/>
        </w:rPr>
        <w:t>11</w:t>
      </w:r>
      <w:r>
        <w:rPr>
          <w:rFonts w:hint="eastAsia"/>
          <w:kern w:val="14"/>
        </w:rPr>
        <w:t>和表</w:t>
      </w:r>
      <w:r>
        <w:rPr>
          <w:kern w:val="14"/>
        </w:rPr>
        <w:t>12</w:t>
      </w:r>
      <w:r>
        <w:rPr>
          <w:rFonts w:hint="eastAsia"/>
          <w:kern w:val="14"/>
        </w:rPr>
        <w:t>）。现在，妇女的就业机会增加了，尤其是在农村地区，创办和发展企业的条件也改善了。妇女积极抓紧机会找工作或开办私人企业。不过，统计部</w:t>
      </w:r>
      <w:r>
        <w:rPr>
          <w:rFonts w:hint="eastAsia"/>
          <w:kern w:val="14"/>
        </w:rPr>
        <w:t>2006</w:t>
      </w:r>
      <w:r>
        <w:rPr>
          <w:rFonts w:hint="eastAsia"/>
          <w:kern w:val="14"/>
        </w:rPr>
        <w:t>年进行的中小型企业调查的结果显示，妇女企业经理人的比率仅为</w:t>
      </w:r>
      <w:r>
        <w:rPr>
          <w:kern w:val="14"/>
        </w:rPr>
        <w:t>26%</w:t>
      </w:r>
      <w:r>
        <w:rPr>
          <w:rFonts w:hint="eastAsia"/>
          <w:kern w:val="14"/>
        </w:rPr>
        <w:t>。根据欧洲联盟委员会</w:t>
      </w:r>
      <w:r>
        <w:rPr>
          <w:rFonts w:hint="eastAsia"/>
          <w:kern w:val="14"/>
        </w:rPr>
        <w:t>2006</w:t>
      </w:r>
      <w:r>
        <w:rPr>
          <w:rFonts w:hint="eastAsia"/>
          <w:kern w:val="14"/>
        </w:rPr>
        <w:t>年提交欧洲理事会、欧洲议会、欧洲经济和社会委员会及各地区委员会的报告中所载的欧洲共同体统计处（以下称欧统处）的数据，在男女就业差距方面，</w:t>
      </w:r>
      <w:r>
        <w:rPr>
          <w:kern w:val="14"/>
        </w:rPr>
        <w:t>立陶宛</w:t>
      </w:r>
      <w:r>
        <w:rPr>
          <w:rFonts w:hint="eastAsia"/>
          <w:kern w:val="14"/>
        </w:rPr>
        <w:t>在欧盟位居第四位。在老年妇女就业率方面，</w:t>
      </w:r>
      <w:r>
        <w:rPr>
          <w:kern w:val="14"/>
        </w:rPr>
        <w:t>立陶宛</w:t>
      </w:r>
      <w:r>
        <w:rPr>
          <w:rFonts w:hint="eastAsia"/>
          <w:kern w:val="14"/>
        </w:rPr>
        <w:t>在欧盟位居第八。</w:t>
      </w:r>
    </w:p>
    <w:p w:rsidR="00595751" w:rsidRDefault="00595751">
      <w:pPr>
        <w:tabs>
          <w:tab w:val="left" w:pos="630"/>
        </w:tabs>
        <w:spacing w:after="240" w:line="360" w:lineRule="exact"/>
        <w:rPr>
          <w:kern w:val="14"/>
        </w:rPr>
      </w:pPr>
      <w:r>
        <w:t xml:space="preserve">34. </w:t>
      </w:r>
      <w:r>
        <w:rPr>
          <w:rFonts w:hint="eastAsia"/>
        </w:rPr>
        <w:tab/>
      </w:r>
      <w:r>
        <w:rPr>
          <w:rFonts w:hint="eastAsia"/>
          <w:kern w:val="14"/>
        </w:rPr>
        <w:t>调和家庭责任与工作矛盾的条件正在得到改善。在抚养</w:t>
      </w:r>
      <w:r>
        <w:rPr>
          <w:rFonts w:hint="eastAsia"/>
          <w:kern w:val="14"/>
        </w:rPr>
        <w:t>12</w:t>
      </w:r>
      <w:r>
        <w:rPr>
          <w:rFonts w:hint="eastAsia"/>
          <w:kern w:val="14"/>
        </w:rPr>
        <w:t>岁以下子女的妇女就业率方面，</w:t>
      </w:r>
      <w:r>
        <w:rPr>
          <w:rFonts w:hint="eastAsia"/>
          <w:kern w:val="14"/>
        </w:rPr>
        <w:t>2006</w:t>
      </w:r>
      <w:r>
        <w:rPr>
          <w:rFonts w:hint="eastAsia"/>
          <w:kern w:val="14"/>
        </w:rPr>
        <w:t>年，</w:t>
      </w:r>
      <w:r>
        <w:rPr>
          <w:kern w:val="14"/>
        </w:rPr>
        <w:t>立陶宛</w:t>
      </w:r>
      <w:r>
        <w:rPr>
          <w:rFonts w:hint="eastAsia"/>
          <w:kern w:val="14"/>
        </w:rPr>
        <w:t>在欧盟位居第二。</w:t>
      </w:r>
      <w:r>
        <w:rPr>
          <w:kern w:val="14"/>
        </w:rPr>
        <w:t>立陶宛</w:t>
      </w:r>
      <w:r>
        <w:rPr>
          <w:rFonts w:hint="eastAsia"/>
          <w:kern w:val="14"/>
        </w:rPr>
        <w:t>把这个问题视为重中之重，优先于需要在欧洲共同体“平等”倡议下得到支持的另外八个主题。在“平等”倡议支持下，有</w:t>
      </w:r>
      <w:r>
        <w:rPr>
          <w:rFonts w:hint="eastAsia"/>
          <w:kern w:val="14"/>
        </w:rPr>
        <w:t>7</w:t>
      </w:r>
      <w:r>
        <w:rPr>
          <w:rFonts w:hint="eastAsia"/>
          <w:kern w:val="14"/>
        </w:rPr>
        <w:t>个项目着眼于调和工作与家庭生活矛盾和男女融入重新劳动力市场，其办法是：发展较为灵活而有效的工作安排和执行支助措施。立陶宛拨款大约</w:t>
      </w:r>
      <w:r>
        <w:rPr>
          <w:rFonts w:hint="eastAsia"/>
          <w:kern w:val="14"/>
        </w:rPr>
        <w:t>920</w:t>
      </w:r>
      <w:r>
        <w:rPr>
          <w:rFonts w:hint="eastAsia"/>
          <w:kern w:val="14"/>
        </w:rPr>
        <w:t>万立特来资助这些项目。在这些项目下开发了一个家庭友好型工作场所模式，拟在</w:t>
      </w:r>
      <w:r>
        <w:rPr>
          <w:kern w:val="14"/>
        </w:rPr>
        <w:t>2007-2013</w:t>
      </w:r>
      <w:r>
        <w:rPr>
          <w:rFonts w:hint="eastAsia"/>
          <w:kern w:val="14"/>
        </w:rPr>
        <w:t>年间付诸实施。</w:t>
      </w:r>
      <w:r>
        <w:rPr>
          <w:kern w:val="14"/>
        </w:rPr>
        <w:t>2006</w:t>
      </w:r>
      <w:r>
        <w:rPr>
          <w:rFonts w:hint="eastAsia"/>
          <w:kern w:val="14"/>
        </w:rPr>
        <w:t>年，欧洲社会基金支助了妇女非政府组织及其他机构和组织的</w:t>
      </w:r>
      <w:r>
        <w:rPr>
          <w:rFonts w:hint="eastAsia"/>
          <w:kern w:val="14"/>
        </w:rPr>
        <w:t>20</w:t>
      </w:r>
      <w:r>
        <w:rPr>
          <w:rFonts w:hint="eastAsia"/>
          <w:kern w:val="14"/>
        </w:rPr>
        <w:t>个项目，并为此目的捐款</w:t>
      </w:r>
      <w:r>
        <w:rPr>
          <w:rFonts w:hint="eastAsia"/>
          <w:kern w:val="14"/>
        </w:rPr>
        <w:t>1 320</w:t>
      </w:r>
      <w:r>
        <w:rPr>
          <w:rFonts w:hint="eastAsia"/>
          <w:kern w:val="14"/>
        </w:rPr>
        <w:t>万立特。这些项目意在促进妇女就业，尤其是老年妇女和休完产假后想要重新开始职业生涯的妇女的就业；促进两性平等地参与决策；改变在经济活动中男女角色上的传统陈规定型观念；减少劳动力市场上的水平隔离并缩小男女工资差别。</w:t>
      </w:r>
    </w:p>
    <w:p w:rsidR="00595751" w:rsidRDefault="00595751">
      <w:pPr>
        <w:tabs>
          <w:tab w:val="left" w:pos="630"/>
        </w:tabs>
        <w:spacing w:after="240" w:line="360" w:lineRule="exact"/>
        <w:rPr>
          <w:kern w:val="14"/>
        </w:rPr>
      </w:pPr>
      <w:r>
        <w:t xml:space="preserve">35. </w:t>
      </w:r>
      <w:r>
        <w:rPr>
          <w:rFonts w:hint="eastAsia"/>
        </w:rPr>
        <w:tab/>
      </w:r>
      <w:r>
        <w:rPr>
          <w:rFonts w:hint="eastAsia"/>
          <w:kern w:val="14"/>
        </w:rPr>
        <w:t>在</w:t>
      </w:r>
      <w:r>
        <w:rPr>
          <w:kern w:val="14"/>
        </w:rPr>
        <w:t>立陶宛</w:t>
      </w:r>
      <w:r>
        <w:rPr>
          <w:rFonts w:hint="eastAsia"/>
          <w:kern w:val="14"/>
        </w:rPr>
        <w:t>，妇女的受教育程度依然比男子高。在立陶宛高等院校，</w:t>
      </w:r>
      <w:r>
        <w:rPr>
          <w:rFonts w:hint="eastAsia"/>
          <w:kern w:val="14"/>
        </w:rPr>
        <w:t>2005</w:t>
      </w:r>
      <w:r>
        <w:rPr>
          <w:rFonts w:hint="eastAsia"/>
          <w:kern w:val="14"/>
        </w:rPr>
        <w:t>年女生占</w:t>
      </w:r>
      <w:r>
        <w:rPr>
          <w:kern w:val="14"/>
        </w:rPr>
        <w:t>59.9%</w:t>
      </w:r>
      <w:r>
        <w:rPr>
          <w:rFonts w:hint="eastAsia"/>
          <w:kern w:val="14"/>
        </w:rPr>
        <w:t>，</w:t>
      </w:r>
      <w:r>
        <w:rPr>
          <w:rFonts w:hint="eastAsia"/>
          <w:kern w:val="14"/>
        </w:rPr>
        <w:t>2006</w:t>
      </w:r>
      <w:r>
        <w:rPr>
          <w:rFonts w:hint="eastAsia"/>
          <w:kern w:val="14"/>
        </w:rPr>
        <w:t>年女生占</w:t>
      </w:r>
      <w:r>
        <w:rPr>
          <w:kern w:val="14"/>
        </w:rPr>
        <w:t>60%</w:t>
      </w:r>
      <w:r>
        <w:rPr>
          <w:rFonts w:hint="eastAsia"/>
          <w:kern w:val="14"/>
        </w:rPr>
        <w:t>。根据欧统处</w:t>
      </w:r>
      <w:r>
        <w:rPr>
          <w:rFonts w:hint="eastAsia"/>
          <w:kern w:val="14"/>
        </w:rPr>
        <w:t>2006</w:t>
      </w:r>
      <w:r>
        <w:rPr>
          <w:rFonts w:hint="eastAsia"/>
          <w:kern w:val="14"/>
        </w:rPr>
        <w:t>年的数据，</w:t>
      </w:r>
      <w:r>
        <w:rPr>
          <w:kern w:val="14"/>
        </w:rPr>
        <w:t>18</w:t>
      </w:r>
      <w:r>
        <w:rPr>
          <w:rFonts w:hint="eastAsia"/>
          <w:kern w:val="14"/>
        </w:rPr>
        <w:t>至</w:t>
      </w:r>
      <w:r>
        <w:rPr>
          <w:kern w:val="14"/>
        </w:rPr>
        <w:t>24</w:t>
      </w:r>
      <w:r>
        <w:rPr>
          <w:rFonts w:hint="eastAsia"/>
          <w:kern w:val="14"/>
        </w:rPr>
        <w:t>岁的妇女在接受中等教育之前过早离校的比率远远低于男子：妇女为</w:t>
      </w:r>
      <w:r>
        <w:rPr>
          <w:kern w:val="14"/>
        </w:rPr>
        <w:t>7%</w:t>
      </w:r>
      <w:r>
        <w:rPr>
          <w:rFonts w:hint="eastAsia"/>
          <w:kern w:val="14"/>
        </w:rPr>
        <w:t>，男子为</w:t>
      </w:r>
      <w:r>
        <w:rPr>
          <w:kern w:val="14"/>
        </w:rPr>
        <w:t>13.3%</w:t>
      </w:r>
      <w:r>
        <w:rPr>
          <w:rFonts w:hint="eastAsia"/>
          <w:kern w:val="14"/>
        </w:rPr>
        <w:t>。与</w:t>
      </w:r>
      <w:r>
        <w:rPr>
          <w:rFonts w:hint="eastAsia"/>
          <w:kern w:val="14"/>
        </w:rPr>
        <w:t>2000</w:t>
      </w:r>
      <w:r>
        <w:rPr>
          <w:rFonts w:hint="eastAsia"/>
          <w:kern w:val="14"/>
        </w:rPr>
        <w:t>年相比，这种妇女的人数下降幅度也远远高于男子。在接受中等教育之前过早离校的</w:t>
      </w:r>
      <w:r>
        <w:rPr>
          <w:kern w:val="14"/>
        </w:rPr>
        <w:t>18</w:t>
      </w:r>
      <w:r>
        <w:rPr>
          <w:rFonts w:hint="eastAsia"/>
          <w:kern w:val="14"/>
        </w:rPr>
        <w:t>至</w:t>
      </w:r>
      <w:r>
        <w:rPr>
          <w:kern w:val="14"/>
        </w:rPr>
        <w:t>24</w:t>
      </w:r>
      <w:r>
        <w:rPr>
          <w:rFonts w:hint="eastAsia"/>
          <w:kern w:val="14"/>
        </w:rPr>
        <w:t>岁的妇女人数在该年龄段所占的比率从</w:t>
      </w:r>
      <w:r>
        <w:rPr>
          <w:kern w:val="14"/>
        </w:rPr>
        <w:t>14.9%</w:t>
      </w:r>
      <w:r>
        <w:rPr>
          <w:rFonts w:hint="eastAsia"/>
          <w:kern w:val="14"/>
        </w:rPr>
        <w:t>下降到</w:t>
      </w:r>
      <w:r>
        <w:rPr>
          <w:kern w:val="14"/>
        </w:rPr>
        <w:t>7%</w:t>
      </w:r>
      <w:r>
        <w:rPr>
          <w:rFonts w:hint="eastAsia"/>
          <w:kern w:val="14"/>
        </w:rPr>
        <w:t>，而男子的相应比率则从</w:t>
      </w:r>
      <w:r>
        <w:rPr>
          <w:kern w:val="14"/>
        </w:rPr>
        <w:t>18.5%</w:t>
      </w:r>
      <w:r>
        <w:rPr>
          <w:rFonts w:hint="eastAsia"/>
          <w:kern w:val="14"/>
        </w:rPr>
        <w:t>降至</w:t>
      </w:r>
      <w:r>
        <w:rPr>
          <w:kern w:val="14"/>
        </w:rPr>
        <w:t>13.3%</w:t>
      </w:r>
      <w:r>
        <w:rPr>
          <w:rFonts w:hint="eastAsia"/>
          <w:kern w:val="14"/>
        </w:rPr>
        <w:t>。</w:t>
      </w:r>
    </w:p>
    <w:p w:rsidR="00595751" w:rsidRDefault="00595751">
      <w:pPr>
        <w:tabs>
          <w:tab w:val="left" w:pos="630"/>
        </w:tabs>
        <w:spacing w:after="240" w:line="360" w:lineRule="exact"/>
        <w:rPr>
          <w:kern w:val="14"/>
        </w:rPr>
      </w:pPr>
      <w:r>
        <w:t xml:space="preserve">36. </w:t>
      </w:r>
      <w:r>
        <w:rPr>
          <w:rFonts w:hint="eastAsia"/>
        </w:rPr>
        <w:tab/>
      </w:r>
      <w:r>
        <w:rPr>
          <w:rFonts w:hint="eastAsia"/>
          <w:kern w:val="14"/>
        </w:rPr>
        <w:t>立陶宛正在增强公务员处理两性平等问题的能力。</w:t>
      </w:r>
      <w:r>
        <w:rPr>
          <w:kern w:val="14"/>
        </w:rPr>
        <w:t>2005-2006</w:t>
      </w:r>
      <w:r>
        <w:rPr>
          <w:rFonts w:hint="eastAsia"/>
          <w:kern w:val="14"/>
        </w:rPr>
        <w:t>年，为许多部会的公务员举办了两性平等问题培训班。</w:t>
      </w:r>
      <w:r>
        <w:rPr>
          <w:rFonts w:hint="eastAsia"/>
          <w:kern w:val="14"/>
        </w:rPr>
        <w:t>2006</w:t>
      </w:r>
      <w:r>
        <w:rPr>
          <w:rFonts w:hint="eastAsia"/>
          <w:kern w:val="14"/>
        </w:rPr>
        <w:t>年，大约有</w:t>
      </w:r>
      <w:r>
        <w:rPr>
          <w:rFonts w:hint="eastAsia"/>
          <w:kern w:val="14"/>
        </w:rPr>
        <w:t>300</w:t>
      </w:r>
      <w:r>
        <w:rPr>
          <w:rFonts w:hint="eastAsia"/>
          <w:kern w:val="14"/>
        </w:rPr>
        <w:t>名公务员参加了在各种项目下举办的培训班。</w:t>
      </w:r>
    </w:p>
    <w:p w:rsidR="00595751" w:rsidRDefault="00595751" w:rsidP="00073BCA">
      <w:pPr>
        <w:tabs>
          <w:tab w:val="left" w:pos="630"/>
        </w:tabs>
        <w:spacing w:after="120" w:line="360" w:lineRule="exact"/>
        <w:rPr>
          <w:kern w:val="14"/>
        </w:rPr>
      </w:pPr>
      <w:r>
        <w:t xml:space="preserve">37. </w:t>
      </w:r>
      <w:r>
        <w:rPr>
          <w:rFonts w:hint="eastAsia"/>
        </w:rPr>
        <w:tab/>
      </w:r>
      <w:r>
        <w:rPr>
          <w:kern w:val="14"/>
        </w:rPr>
        <w:t>立陶宛</w:t>
      </w:r>
      <w:r>
        <w:rPr>
          <w:rFonts w:hint="eastAsia"/>
          <w:kern w:val="14"/>
        </w:rPr>
        <w:t>正在加强与本国妇女非政府组织的合作。政府</w:t>
      </w:r>
      <w:r>
        <w:rPr>
          <w:rFonts w:hint="eastAsia"/>
          <w:kern w:val="14"/>
        </w:rPr>
        <w:t>2007</w:t>
      </w:r>
      <w:r>
        <w:rPr>
          <w:rFonts w:hint="eastAsia"/>
          <w:kern w:val="14"/>
        </w:rPr>
        <w:t>年</w:t>
      </w:r>
      <w:r>
        <w:rPr>
          <w:rFonts w:hint="eastAsia"/>
          <w:kern w:val="14"/>
        </w:rPr>
        <w:t>2</w:t>
      </w:r>
      <w:r>
        <w:rPr>
          <w:rFonts w:hint="eastAsia"/>
          <w:kern w:val="14"/>
        </w:rPr>
        <w:t>月</w:t>
      </w:r>
      <w:r>
        <w:rPr>
          <w:rFonts w:hint="eastAsia"/>
          <w:kern w:val="14"/>
        </w:rPr>
        <w:t>13</w:t>
      </w:r>
      <w:r>
        <w:rPr>
          <w:rFonts w:hint="eastAsia"/>
          <w:kern w:val="14"/>
        </w:rPr>
        <w:t>日第</w:t>
      </w:r>
      <w:r>
        <w:rPr>
          <w:rFonts w:hint="eastAsia"/>
          <w:kern w:val="14"/>
        </w:rPr>
        <w:t>198</w:t>
      </w:r>
      <w:r>
        <w:rPr>
          <w:rFonts w:hint="eastAsia"/>
          <w:kern w:val="14"/>
        </w:rPr>
        <w:t>号决议（</w:t>
      </w:r>
      <w:r>
        <w:rPr>
          <w:kern w:val="14"/>
        </w:rPr>
        <w:t>2007</w:t>
      </w:r>
      <w:r>
        <w:rPr>
          <w:rFonts w:hint="eastAsia"/>
          <w:kern w:val="14"/>
        </w:rPr>
        <w:t>年第</w:t>
      </w:r>
      <w:r>
        <w:rPr>
          <w:kern w:val="14"/>
        </w:rPr>
        <w:t>23-883</w:t>
      </w:r>
      <w:r>
        <w:rPr>
          <w:rFonts w:hint="eastAsia"/>
          <w:kern w:val="14"/>
        </w:rPr>
        <w:t>号</w:t>
      </w:r>
      <w:r>
        <w:rPr>
          <w:kern w:val="14"/>
        </w:rPr>
        <w:t>《政府公报》</w:t>
      </w:r>
      <w:r>
        <w:rPr>
          <w:rFonts w:hint="eastAsia"/>
          <w:kern w:val="14"/>
        </w:rPr>
        <w:t>）规定了妇女和男子非政府组织在男女机会均等委员会中的正式成员资格。根据《委员会章程》，妇女和男子非政府组织均有权独立选出并派出最多</w:t>
      </w:r>
      <w:r>
        <w:rPr>
          <w:rFonts w:hint="eastAsia"/>
          <w:kern w:val="14"/>
        </w:rPr>
        <w:t>4</w:t>
      </w:r>
      <w:r>
        <w:rPr>
          <w:rFonts w:hint="eastAsia"/>
          <w:kern w:val="14"/>
        </w:rPr>
        <w:t>名代表参加该委员会。妇女非政府组织派出了两名代表参加该委员会。社会保障和劳动部长</w:t>
      </w:r>
      <w:r>
        <w:rPr>
          <w:rFonts w:hint="eastAsia"/>
          <w:kern w:val="14"/>
        </w:rPr>
        <w:t>2004</w:t>
      </w:r>
      <w:r>
        <w:rPr>
          <w:rFonts w:hint="eastAsia"/>
          <w:kern w:val="14"/>
        </w:rPr>
        <w:t>年</w:t>
      </w:r>
      <w:r>
        <w:rPr>
          <w:rFonts w:hint="eastAsia"/>
          <w:kern w:val="14"/>
        </w:rPr>
        <w:t>5</w:t>
      </w:r>
      <w:r>
        <w:rPr>
          <w:rFonts w:hint="eastAsia"/>
          <w:kern w:val="14"/>
        </w:rPr>
        <w:t>月</w:t>
      </w:r>
      <w:r>
        <w:rPr>
          <w:rFonts w:hint="eastAsia"/>
          <w:kern w:val="14"/>
        </w:rPr>
        <w:t>14</w:t>
      </w:r>
      <w:r>
        <w:rPr>
          <w:rFonts w:hint="eastAsia"/>
          <w:kern w:val="14"/>
        </w:rPr>
        <w:t>日第</w:t>
      </w:r>
      <w:r>
        <w:rPr>
          <w:kern w:val="14"/>
        </w:rPr>
        <w:t>A1-131</w:t>
      </w:r>
      <w:r>
        <w:rPr>
          <w:rFonts w:hint="eastAsia"/>
          <w:kern w:val="14"/>
        </w:rPr>
        <w:t>号命令（</w:t>
      </w:r>
      <w:r>
        <w:rPr>
          <w:kern w:val="14"/>
        </w:rPr>
        <w:t>2007</w:t>
      </w:r>
      <w:r>
        <w:rPr>
          <w:rFonts w:hint="eastAsia"/>
          <w:kern w:val="14"/>
        </w:rPr>
        <w:t>年第</w:t>
      </w:r>
      <w:r>
        <w:rPr>
          <w:kern w:val="14"/>
        </w:rPr>
        <w:t>54-2114</w:t>
      </w:r>
      <w:r>
        <w:rPr>
          <w:rFonts w:hint="eastAsia"/>
          <w:kern w:val="14"/>
        </w:rPr>
        <w:t>号</w:t>
      </w:r>
      <w:r>
        <w:rPr>
          <w:kern w:val="14"/>
        </w:rPr>
        <w:t>《政府公报》</w:t>
      </w:r>
      <w:r>
        <w:rPr>
          <w:rFonts w:hint="eastAsia"/>
          <w:kern w:val="14"/>
        </w:rPr>
        <w:t>）核准了男女机会均等委员会的人员构成。政府向第四次立陶宛妇女大会提供经费，以纪念第一次立陶宛妇女大会举行</w:t>
      </w:r>
      <w:r>
        <w:rPr>
          <w:rFonts w:hint="eastAsia"/>
          <w:kern w:val="14"/>
        </w:rPr>
        <w:t>100</w:t>
      </w:r>
      <w:r>
        <w:rPr>
          <w:rFonts w:hint="eastAsia"/>
          <w:kern w:val="14"/>
        </w:rPr>
        <w:t>周年。参加第四次妇女大会的有来自全国各地的</w:t>
      </w:r>
      <w:r>
        <w:rPr>
          <w:rFonts w:hint="eastAsia"/>
          <w:kern w:val="14"/>
        </w:rPr>
        <w:t>2 000</w:t>
      </w:r>
      <w:r>
        <w:rPr>
          <w:rFonts w:hint="eastAsia"/>
          <w:kern w:val="14"/>
        </w:rPr>
        <w:t>多名妇女；《</w:t>
      </w:r>
      <w:r>
        <w:rPr>
          <w:kern w:val="14"/>
        </w:rPr>
        <w:t>2005-2009</w:t>
      </w:r>
      <w:r>
        <w:rPr>
          <w:rFonts w:hint="eastAsia"/>
          <w:kern w:val="14"/>
        </w:rPr>
        <w:t>年国家男女机会均等方案》为在所有地区的小城镇宣传这次会议成果提供了财政支助。在这次宣传运动中，有关人员先后访问了</w:t>
      </w:r>
      <w:r>
        <w:rPr>
          <w:rFonts w:hint="eastAsia"/>
          <w:kern w:val="14"/>
        </w:rPr>
        <w:t>22</w:t>
      </w:r>
      <w:r>
        <w:rPr>
          <w:rFonts w:hint="eastAsia"/>
          <w:kern w:val="14"/>
        </w:rPr>
        <w:t>个城镇；参加会议的约有</w:t>
      </w:r>
      <w:r>
        <w:rPr>
          <w:rFonts w:hint="eastAsia"/>
          <w:kern w:val="14"/>
        </w:rPr>
        <w:t>1 000</w:t>
      </w:r>
      <w:r>
        <w:rPr>
          <w:rFonts w:hint="eastAsia"/>
          <w:kern w:val="14"/>
        </w:rPr>
        <w:t>多名妇女和男子、农村社区和非政府组织。主要目的不仅是宣传妇女大会的成果，而且在于促进更加积极地切实落实地方自治一级的男女机会均等。支持立陶宛妇女组织参加欧洲妇女游说团的年度拨款已经编制为国家预算中的预算项目。立陶宛还为妇女组织参加第四次北欧和波罗的海国家“妇女与民主”大会提供支助。</w:t>
      </w:r>
      <w:r>
        <w:rPr>
          <w:kern w:val="14"/>
        </w:rPr>
        <w:t>2001</w:t>
      </w:r>
      <w:r>
        <w:rPr>
          <w:rFonts w:hint="eastAsia"/>
          <w:kern w:val="14"/>
        </w:rPr>
        <w:t>年，在维尔纽斯举行这次大会。自</w:t>
      </w:r>
      <w:r>
        <w:rPr>
          <w:kern w:val="14"/>
        </w:rPr>
        <w:t>2005</w:t>
      </w:r>
      <w:r>
        <w:rPr>
          <w:rFonts w:hint="eastAsia"/>
          <w:kern w:val="14"/>
        </w:rPr>
        <w:t>年以来，国家预算一直在支持北欧</w:t>
      </w:r>
      <w:r>
        <w:rPr>
          <w:rFonts w:hint="eastAsia"/>
          <w:kern w:val="14"/>
        </w:rPr>
        <w:t>-</w:t>
      </w:r>
      <w:r>
        <w:rPr>
          <w:rFonts w:hint="eastAsia"/>
          <w:kern w:val="14"/>
        </w:rPr>
        <w:t>波罗的海国家妇女非政府组织打击对妇女暴力网络。</w:t>
      </w:r>
    </w:p>
    <w:p w:rsidR="00595751" w:rsidRDefault="00595751" w:rsidP="00073BCA">
      <w:pPr>
        <w:tabs>
          <w:tab w:val="left" w:pos="630"/>
        </w:tabs>
        <w:spacing w:after="120" w:line="360" w:lineRule="exact"/>
        <w:rPr>
          <w:kern w:val="14"/>
        </w:rPr>
      </w:pPr>
      <w:r>
        <w:t xml:space="preserve">38. </w:t>
      </w:r>
      <w:r>
        <w:rPr>
          <w:rFonts w:hint="eastAsia"/>
        </w:rPr>
        <w:tab/>
      </w:r>
      <w:r>
        <w:rPr>
          <w:rFonts w:hint="eastAsia"/>
        </w:rPr>
        <w:t>立陶宛</w:t>
      </w:r>
      <w:r>
        <w:rPr>
          <w:rFonts w:hint="eastAsia"/>
          <w:kern w:val="14"/>
        </w:rPr>
        <w:t>正在不断改进性别统计工作。统计部</w:t>
      </w:r>
      <w:r>
        <w:rPr>
          <w:rFonts w:hint="eastAsia"/>
          <w:kern w:val="14"/>
        </w:rPr>
        <w:t>2006</w:t>
      </w:r>
      <w:r>
        <w:rPr>
          <w:rFonts w:hint="eastAsia"/>
          <w:kern w:val="14"/>
        </w:rPr>
        <w:t>年出版的统计出版物《</w:t>
      </w:r>
      <w:r>
        <w:rPr>
          <w:rFonts w:hint="eastAsia"/>
          <w:kern w:val="14"/>
        </w:rPr>
        <w:t>2005</w:t>
      </w:r>
      <w:r>
        <w:rPr>
          <w:rFonts w:hint="eastAsia"/>
          <w:kern w:val="14"/>
        </w:rPr>
        <w:t>年立陶宛的妇女与男子》除了主要性别指标之外还提供了有关家庭暴力与犯罪的信息。考虑到用户需要，该出版物提供的数据按县、市和欧盟成员国分列。</w:t>
      </w:r>
    </w:p>
    <w:p w:rsidR="00595751" w:rsidRDefault="00595751" w:rsidP="00073BCA">
      <w:pPr>
        <w:tabs>
          <w:tab w:val="left" w:pos="630"/>
        </w:tabs>
        <w:spacing w:after="120" w:line="360" w:lineRule="exact"/>
        <w:rPr>
          <w:kern w:val="14"/>
        </w:rPr>
      </w:pPr>
      <w:r>
        <w:t xml:space="preserve">39. </w:t>
      </w:r>
      <w:r>
        <w:rPr>
          <w:rFonts w:hint="eastAsia"/>
        </w:rPr>
        <w:tab/>
      </w:r>
      <w:r>
        <w:rPr>
          <w:kern w:val="14"/>
        </w:rPr>
        <w:t>立陶宛</w:t>
      </w:r>
      <w:r>
        <w:rPr>
          <w:rFonts w:hint="eastAsia"/>
          <w:kern w:val="14"/>
        </w:rPr>
        <w:t>在两性平等领域取得的成就在国际上受到积极评价。在世界经济论坛</w:t>
      </w:r>
      <w:r>
        <w:rPr>
          <w:rFonts w:hint="eastAsia"/>
          <w:kern w:val="14"/>
        </w:rPr>
        <w:t>2006</w:t>
      </w:r>
      <w:r>
        <w:rPr>
          <w:rFonts w:hint="eastAsia"/>
          <w:kern w:val="14"/>
        </w:rPr>
        <w:t>年年底出版的《全球性别差别报告》中，拉脱维亚和立陶宛在新成员国中排位是最好的：拉脱维亚排在第</w:t>
      </w:r>
      <w:r>
        <w:rPr>
          <w:rFonts w:hint="eastAsia"/>
          <w:kern w:val="14"/>
        </w:rPr>
        <w:t>19</w:t>
      </w:r>
      <w:r>
        <w:rPr>
          <w:rFonts w:hint="eastAsia"/>
          <w:kern w:val="14"/>
        </w:rPr>
        <w:t>位，立陶宛排在第</w:t>
      </w:r>
      <w:r>
        <w:rPr>
          <w:rFonts w:hint="eastAsia"/>
          <w:kern w:val="14"/>
        </w:rPr>
        <w:t>21</w:t>
      </w:r>
      <w:r>
        <w:rPr>
          <w:rFonts w:hint="eastAsia"/>
          <w:kern w:val="14"/>
        </w:rPr>
        <w:t>位。</w:t>
      </w:r>
    </w:p>
    <w:p w:rsidR="00595751" w:rsidRDefault="00595751" w:rsidP="00073BCA">
      <w:pPr>
        <w:tabs>
          <w:tab w:val="left" w:pos="630"/>
        </w:tabs>
        <w:spacing w:after="120" w:line="360" w:lineRule="exact"/>
        <w:rPr>
          <w:kern w:val="14"/>
        </w:rPr>
      </w:pPr>
      <w:r>
        <w:t xml:space="preserve">40. </w:t>
      </w:r>
      <w:r>
        <w:rPr>
          <w:rFonts w:hint="eastAsia"/>
        </w:rPr>
        <w:tab/>
      </w:r>
      <w:r>
        <w:rPr>
          <w:rFonts w:hint="eastAsia"/>
          <w:kern w:val="14"/>
        </w:rPr>
        <w:t>2006</w:t>
      </w:r>
      <w:r>
        <w:rPr>
          <w:rFonts w:hint="eastAsia"/>
          <w:kern w:val="14"/>
        </w:rPr>
        <w:t>年</w:t>
      </w:r>
      <w:r>
        <w:rPr>
          <w:rFonts w:hint="eastAsia"/>
          <w:kern w:val="14"/>
        </w:rPr>
        <w:t>12</w:t>
      </w:r>
      <w:r>
        <w:rPr>
          <w:rFonts w:hint="eastAsia"/>
          <w:kern w:val="14"/>
        </w:rPr>
        <w:t>月</w:t>
      </w:r>
      <w:r>
        <w:rPr>
          <w:rFonts w:hint="eastAsia"/>
          <w:kern w:val="14"/>
        </w:rPr>
        <w:t>11</w:t>
      </w:r>
      <w:r>
        <w:rPr>
          <w:rFonts w:hint="eastAsia"/>
          <w:kern w:val="14"/>
        </w:rPr>
        <w:t>日欧盟成员国政府代表以协商一致方式达成了一项决定（于</w:t>
      </w:r>
      <w:r>
        <w:rPr>
          <w:rFonts w:hint="eastAsia"/>
          <w:kern w:val="14"/>
        </w:rPr>
        <w:t>2007</w:t>
      </w:r>
      <w:r>
        <w:rPr>
          <w:rFonts w:hint="eastAsia"/>
          <w:kern w:val="14"/>
        </w:rPr>
        <w:t>年</w:t>
      </w:r>
      <w:r>
        <w:rPr>
          <w:rFonts w:hint="eastAsia"/>
          <w:kern w:val="14"/>
        </w:rPr>
        <w:t>1</w:t>
      </w:r>
      <w:r>
        <w:rPr>
          <w:rFonts w:hint="eastAsia"/>
          <w:kern w:val="14"/>
        </w:rPr>
        <w:t>月</w:t>
      </w:r>
      <w:r>
        <w:rPr>
          <w:rFonts w:hint="eastAsia"/>
          <w:kern w:val="14"/>
        </w:rPr>
        <w:t>18</w:t>
      </w:r>
      <w:r>
        <w:rPr>
          <w:rFonts w:hint="eastAsia"/>
          <w:kern w:val="14"/>
        </w:rPr>
        <w:t>日生效），决定在维尔纽斯设立欧洲两性平等研究所，这代表了对立陶宛在两性平等领域取得的成就做出了最高评价。欧洲两性平等问题研究所将是欧盟的一个独立的两性平等机构。该研究所将向委员会和欧盟成员国提供有关两性平等问题的技术</w:t>
      </w:r>
      <w:r>
        <w:rPr>
          <w:rFonts w:hint="eastAsia"/>
          <w:kern w:val="14"/>
        </w:rPr>
        <w:t>-</w:t>
      </w:r>
      <w:r>
        <w:rPr>
          <w:rFonts w:hint="eastAsia"/>
          <w:kern w:val="14"/>
        </w:rPr>
        <w:t>信息援助；收集、系统整理和分析信息、统计和研究数据；从方法论角度研发社会性别主流化手段；组织各种会议和活动等。该研究所将在</w:t>
      </w:r>
      <w:r>
        <w:rPr>
          <w:rFonts w:hint="eastAsia"/>
          <w:kern w:val="14"/>
        </w:rPr>
        <w:t>2008</w:t>
      </w:r>
      <w:r>
        <w:rPr>
          <w:rFonts w:hint="eastAsia"/>
          <w:kern w:val="14"/>
        </w:rPr>
        <w:t>年开始运作。</w:t>
      </w:r>
    </w:p>
    <w:p w:rsidR="00595751" w:rsidRDefault="00595751" w:rsidP="00073BCA">
      <w:pPr>
        <w:tabs>
          <w:tab w:val="left" w:pos="630"/>
        </w:tabs>
        <w:spacing w:after="120" w:line="360" w:lineRule="exact"/>
        <w:rPr>
          <w:rFonts w:hint="eastAsia"/>
          <w:kern w:val="14"/>
        </w:rPr>
      </w:pPr>
      <w:r>
        <w:t xml:space="preserve">41. </w:t>
      </w:r>
      <w:r>
        <w:rPr>
          <w:rFonts w:hint="eastAsia"/>
        </w:rPr>
        <w:tab/>
      </w:r>
      <w:r>
        <w:rPr>
          <w:rFonts w:hint="eastAsia"/>
          <w:kern w:val="14"/>
        </w:rPr>
        <w:t>由妇女非政府组织及公共和私营机构和组织执行的许多项目正在处理各个领域的社会性别主流化问题。重点在于发展本地的男女平等。社会创新基金和在该基金协调下运作的保护妇女人权非政府组织联盟是在这个领域行动最活跃的妇女组织。社会创新基金每年在各县都组织圆桌会议，讨论两性平等问题，收集和系统整理收到的信息，并且围绕拟在本地解决的男女平等问题向政府提出富有建设性的提案。许多项目的经费不仅由国家预算拨款，而且还由欧盟结构基金或其他国际基金拨款。由欧盟结构基金和国家预算共同资助的项目“地方政府的两性平等问题：市政一级的社会性别主流化工作”主要处理地方一级的男女平等问题。该项目涉及</w:t>
      </w:r>
      <w:r>
        <w:rPr>
          <w:kern w:val="14"/>
        </w:rPr>
        <w:t>2006-2007</w:t>
      </w:r>
      <w:r>
        <w:rPr>
          <w:rFonts w:hint="eastAsia"/>
          <w:kern w:val="14"/>
        </w:rPr>
        <w:t>年期间，由机会均等监察官办公室与社会保障和劳动部及其他伙伴合作执行。该项目争取实现以下目标：培训和改进市政工作中的社会性别主流化技能；增强地方行政政策中的性别敏感性；围绕两性平等的好处与需要进行辩论。</w:t>
      </w:r>
    </w:p>
    <w:p w:rsidR="00595751" w:rsidRDefault="00595751">
      <w:pPr>
        <w:pStyle w:val="H1"/>
      </w:pPr>
      <w:r>
        <w:rPr>
          <w:rFonts w:hint="eastAsia"/>
        </w:rPr>
        <w:t>第</w:t>
      </w:r>
      <w:r>
        <w:t>4</w:t>
      </w:r>
      <w:r>
        <w:rPr>
          <w:rFonts w:hint="eastAsia"/>
        </w:rPr>
        <w:t>条</w:t>
      </w:r>
    </w:p>
    <w:p w:rsidR="00595751" w:rsidRDefault="00595751">
      <w:pPr>
        <w:pStyle w:val="H23"/>
        <w:rPr>
          <w:b w:val="0"/>
          <w:bCs w:val="0"/>
        </w:rPr>
      </w:pPr>
      <w:r>
        <w:rPr>
          <w:rFonts w:hint="eastAsia"/>
          <w:b w:val="0"/>
          <w:bCs w:val="0"/>
        </w:rPr>
        <w:t>第</w:t>
      </w:r>
      <w:r>
        <w:rPr>
          <w:b w:val="0"/>
          <w:bCs w:val="0"/>
        </w:rPr>
        <w:t>1</w:t>
      </w:r>
      <w:r>
        <w:rPr>
          <w:rFonts w:hint="eastAsia"/>
          <w:b w:val="0"/>
          <w:bCs w:val="0"/>
        </w:rPr>
        <w:t>款</w:t>
      </w:r>
    </w:p>
    <w:p w:rsidR="00595751" w:rsidRDefault="00595751">
      <w:pPr>
        <w:tabs>
          <w:tab w:val="left" w:pos="630"/>
        </w:tabs>
        <w:spacing w:after="240" w:line="360" w:lineRule="exact"/>
        <w:rPr>
          <w:kern w:val="14"/>
        </w:rPr>
      </w:pPr>
      <w:r>
        <w:t xml:space="preserve">42. </w:t>
      </w:r>
      <w:r>
        <w:rPr>
          <w:rFonts w:hint="eastAsia"/>
        </w:rPr>
        <w:tab/>
      </w:r>
      <w:r>
        <w:rPr>
          <w:rFonts w:hint="eastAsia"/>
          <w:kern w:val="14"/>
        </w:rPr>
        <w:t>立陶宛共和国为实行男女平等执行特别措施创造了法律先决条件。《男女机会均等法》第</w:t>
      </w:r>
      <w:r>
        <w:rPr>
          <w:kern w:val="14"/>
        </w:rPr>
        <w:t>2</w:t>
      </w:r>
      <w:r>
        <w:rPr>
          <w:kern w:val="14"/>
        </w:rPr>
        <w:t>（</w:t>
      </w:r>
      <w:r>
        <w:rPr>
          <w:kern w:val="14"/>
        </w:rPr>
        <w:t>4</w:t>
      </w:r>
      <w:r>
        <w:rPr>
          <w:kern w:val="14"/>
        </w:rPr>
        <w:t>）（</w:t>
      </w:r>
      <w:r>
        <w:rPr>
          <w:kern w:val="14"/>
        </w:rPr>
        <w:t>6</w:t>
      </w:r>
      <w:r>
        <w:rPr>
          <w:kern w:val="14"/>
        </w:rPr>
        <w:t>）</w:t>
      </w:r>
      <w:r>
        <w:rPr>
          <w:rFonts w:hint="eastAsia"/>
          <w:kern w:val="14"/>
        </w:rPr>
        <w:t>条规定，旨在加速实现男女事实上的平等且在男女机会和待遇平等的目的达到之后便停止采用的暂行特别法定措施，不得被视为基于性别的歧视。不过，这种特别措施在实践中是否适用还是个问题。</w:t>
      </w:r>
    </w:p>
    <w:p w:rsidR="00595751" w:rsidRDefault="00595751">
      <w:pPr>
        <w:tabs>
          <w:tab w:val="left" w:pos="630"/>
        </w:tabs>
        <w:spacing w:after="240" w:line="360" w:lineRule="exact"/>
        <w:rPr>
          <w:kern w:val="14"/>
        </w:rPr>
      </w:pPr>
      <w:r>
        <w:t xml:space="preserve">43. </w:t>
      </w:r>
      <w:r>
        <w:rPr>
          <w:rFonts w:hint="eastAsia"/>
        </w:rPr>
        <w:tab/>
      </w:r>
      <w:r>
        <w:rPr>
          <w:rFonts w:hint="eastAsia"/>
          <w:kern w:val="14"/>
        </w:rPr>
        <w:t>这些措施之所以不能充分实施，其中一个原因是法律方面的原因。特别措施必须在专项法律中做出规定，但是宪法性法律专家认为，将特别措施纳入法律或许有悖于《立陶宛共和国宪法》（</w:t>
      </w:r>
      <w:r>
        <w:rPr>
          <w:rFonts w:hint="eastAsia"/>
          <w:kern w:val="14"/>
        </w:rPr>
        <w:t>1992</w:t>
      </w:r>
      <w:r>
        <w:rPr>
          <w:rFonts w:hint="eastAsia"/>
          <w:kern w:val="14"/>
        </w:rPr>
        <w:t>年第</w:t>
      </w:r>
      <w:r>
        <w:rPr>
          <w:kern w:val="14"/>
        </w:rPr>
        <w:t>33-1014</w:t>
      </w:r>
      <w:r>
        <w:rPr>
          <w:rFonts w:hint="eastAsia"/>
          <w:kern w:val="14"/>
        </w:rPr>
        <w:t>号</w:t>
      </w:r>
      <w:r>
        <w:rPr>
          <w:kern w:val="14"/>
        </w:rPr>
        <w:t>《政府公报》</w:t>
      </w:r>
      <w:r>
        <w:rPr>
          <w:rFonts w:hint="eastAsia"/>
          <w:kern w:val="14"/>
        </w:rPr>
        <w:t>）（以下称《宪法》）。在政治上实行男女平等方面，实际上有些提案已经建议将特别措施纳入法律。但是，宪法性法律专家认为，如果通过法律规定某个性别参加议会的候选人配额，那就直接违背了人人平等这一宪法原则。所以，他们建议首先要修正《宪法》，然后才能将男女事实上平等的特别措施纳入法律。机会均等监察官办公室曾经收到一项关于适用特别措施的可能性的投诉；该投诉被驳回，因为没有关于该违法行为的法律规定。</w:t>
      </w:r>
    </w:p>
    <w:p w:rsidR="00595751" w:rsidRDefault="00595751">
      <w:pPr>
        <w:tabs>
          <w:tab w:val="left" w:pos="630"/>
        </w:tabs>
        <w:spacing w:after="240" w:line="360" w:lineRule="exact"/>
        <w:rPr>
          <w:kern w:val="14"/>
        </w:rPr>
      </w:pPr>
      <w:r>
        <w:t xml:space="preserve">44. </w:t>
      </w:r>
      <w:r>
        <w:rPr>
          <w:rFonts w:hint="eastAsia"/>
        </w:rPr>
        <w:tab/>
      </w:r>
      <w:r>
        <w:rPr>
          <w:kern w:val="14"/>
        </w:rPr>
        <w:t>立陶宛</w:t>
      </w:r>
      <w:r>
        <w:rPr>
          <w:rFonts w:hint="eastAsia"/>
          <w:kern w:val="14"/>
        </w:rPr>
        <w:t>的高等教育系统没有适用确保男女事实上平等的特别措施。</w:t>
      </w:r>
      <w:r>
        <w:rPr>
          <w:kern w:val="14"/>
        </w:rPr>
        <w:t>立陶宛</w:t>
      </w:r>
      <w:r>
        <w:rPr>
          <w:rFonts w:hint="eastAsia"/>
          <w:kern w:val="14"/>
        </w:rPr>
        <w:t>确保了男女在平等条件下选择职业、选修相同的课程、参加同样的考试并且有平等的机会获得助学金、教育、文凭、攻读研究生学位等。</w:t>
      </w:r>
    </w:p>
    <w:p w:rsidR="00595751" w:rsidRDefault="00595751">
      <w:pPr>
        <w:pStyle w:val="H1"/>
      </w:pPr>
      <w:r>
        <w:rPr>
          <w:rFonts w:hint="eastAsia"/>
        </w:rPr>
        <w:t>第</w:t>
      </w:r>
      <w:r>
        <w:t>5</w:t>
      </w:r>
      <w:r>
        <w:rPr>
          <w:rFonts w:hint="eastAsia"/>
        </w:rPr>
        <w:t>条</w:t>
      </w:r>
    </w:p>
    <w:p w:rsidR="00595751" w:rsidRDefault="00595751">
      <w:pPr>
        <w:pStyle w:val="H2"/>
        <w:rPr>
          <w:rFonts w:hint="eastAsia"/>
        </w:rPr>
      </w:pPr>
      <w:r>
        <w:rPr>
          <w:rFonts w:hint="eastAsia"/>
        </w:rPr>
        <w:t>（</w:t>
      </w:r>
      <w:r>
        <w:t>a</w:t>
      </w:r>
      <w:r>
        <w:rPr>
          <w:rFonts w:hint="eastAsia"/>
        </w:rPr>
        <w:t>）</w:t>
      </w:r>
    </w:p>
    <w:p w:rsidR="00595751" w:rsidRDefault="00595751">
      <w:pPr>
        <w:tabs>
          <w:tab w:val="left" w:pos="630"/>
        </w:tabs>
        <w:spacing w:after="240" w:line="360" w:lineRule="exact"/>
        <w:rPr>
          <w:kern w:val="14"/>
        </w:rPr>
      </w:pPr>
      <w:r>
        <w:t xml:space="preserve">45. </w:t>
      </w:r>
      <w:r>
        <w:rPr>
          <w:rFonts w:hint="eastAsia"/>
        </w:rPr>
        <w:tab/>
      </w:r>
      <w:r>
        <w:rPr>
          <w:rFonts w:hint="eastAsia"/>
          <w:kern w:val="14"/>
        </w:rPr>
        <w:t>《</w:t>
      </w:r>
      <w:r>
        <w:rPr>
          <w:kern w:val="14"/>
        </w:rPr>
        <w:t>2005-2009</w:t>
      </w:r>
      <w:r>
        <w:rPr>
          <w:rFonts w:hint="eastAsia"/>
          <w:kern w:val="14"/>
        </w:rPr>
        <w:t>年国家男女机会均等方案》的主要任务之一，就是改变经济活动中男女角色的传统陈规定型观念。为了执行这项任务，政府与维尔纽斯大学性别问题研究中心合作，每年组织一次面向国家劳动检查机关、劳动力市场机构、市政府和社会伙伴的工作人员的研讨会。这些研讨会意在改变对两性受雇就业能力有影响的男女在经济活动中的角色的陈规定型观念，并且缩小男女之间在就业、工资和经济地位方面的差距。</w:t>
      </w:r>
    </w:p>
    <w:p w:rsidR="00595751" w:rsidRDefault="00595751">
      <w:pPr>
        <w:tabs>
          <w:tab w:val="left" w:pos="630"/>
        </w:tabs>
        <w:spacing w:after="240" w:line="360" w:lineRule="exact"/>
        <w:rPr>
          <w:kern w:val="14"/>
        </w:rPr>
      </w:pPr>
      <w:r>
        <w:t xml:space="preserve">46. </w:t>
      </w:r>
      <w:r>
        <w:rPr>
          <w:rFonts w:hint="eastAsia"/>
        </w:rPr>
        <w:tab/>
      </w:r>
      <w:r>
        <w:rPr>
          <w:kern w:val="14"/>
        </w:rPr>
        <w:t>2005-2006</w:t>
      </w:r>
      <w:r>
        <w:rPr>
          <w:rFonts w:hint="eastAsia"/>
          <w:kern w:val="14"/>
        </w:rPr>
        <w:t>年，文化部支助了</w:t>
      </w:r>
      <w:r>
        <w:rPr>
          <w:rFonts w:hint="eastAsia"/>
          <w:kern w:val="14"/>
        </w:rPr>
        <w:t>19</w:t>
      </w:r>
      <w:r>
        <w:rPr>
          <w:rFonts w:hint="eastAsia"/>
          <w:kern w:val="14"/>
        </w:rPr>
        <w:t>个促进改变男女角色陈规定型观念的非政府组织项目。从国家预算中拨款</w:t>
      </w:r>
      <w:r>
        <w:rPr>
          <w:rFonts w:hint="eastAsia"/>
          <w:kern w:val="14"/>
        </w:rPr>
        <w:t>37 000</w:t>
      </w:r>
      <w:r>
        <w:rPr>
          <w:rFonts w:hint="eastAsia"/>
          <w:kern w:val="14"/>
        </w:rPr>
        <w:t>立特来支助这些项目。</w:t>
      </w:r>
    </w:p>
    <w:p w:rsidR="00595751" w:rsidRDefault="00595751">
      <w:pPr>
        <w:tabs>
          <w:tab w:val="left" w:pos="630"/>
        </w:tabs>
        <w:spacing w:after="240" w:line="360" w:lineRule="exact"/>
        <w:rPr>
          <w:kern w:val="14"/>
        </w:rPr>
      </w:pPr>
      <w:r>
        <w:t xml:space="preserve">47. </w:t>
      </w:r>
      <w:r>
        <w:rPr>
          <w:rFonts w:hint="eastAsia"/>
        </w:rPr>
        <w:tab/>
      </w:r>
      <w:r>
        <w:rPr>
          <w:kern w:val="14"/>
        </w:rPr>
        <w:t>2005-2006</w:t>
      </w:r>
      <w:r>
        <w:rPr>
          <w:rFonts w:hint="eastAsia"/>
          <w:kern w:val="14"/>
        </w:rPr>
        <w:t>年，教师职业发展中心执行了多项资格培训方案，其中涉及的课题包括消除歧视性的社会和文化模式，以及影响家庭教育和促进正确理解男女角色与责任的教育措施。这些方案有：“生活技巧培养”（有</w:t>
      </w:r>
      <w:r>
        <w:rPr>
          <w:rFonts w:hint="eastAsia"/>
          <w:kern w:val="14"/>
        </w:rPr>
        <w:t>80</w:t>
      </w:r>
      <w:r>
        <w:rPr>
          <w:rFonts w:hint="eastAsia"/>
          <w:kern w:val="14"/>
        </w:rPr>
        <w:t>名普通教育学校教师参加）；“家庭和性教育方案分析”（有</w:t>
      </w:r>
      <w:r>
        <w:rPr>
          <w:rFonts w:hint="eastAsia"/>
          <w:kern w:val="14"/>
        </w:rPr>
        <w:t>120</w:t>
      </w:r>
      <w:r>
        <w:rPr>
          <w:rFonts w:hint="eastAsia"/>
          <w:kern w:val="14"/>
        </w:rPr>
        <w:t>名普通教育学校教师参加）；“对儿童的身体、精神和性虐待”（有</w:t>
      </w:r>
      <w:r>
        <w:rPr>
          <w:rFonts w:hint="eastAsia"/>
          <w:kern w:val="14"/>
        </w:rPr>
        <w:t>100</w:t>
      </w:r>
      <w:r>
        <w:rPr>
          <w:rFonts w:hint="eastAsia"/>
          <w:kern w:val="14"/>
        </w:rPr>
        <w:t>名普通教育学校教师参加）；“援助受虐待儿童”（有</w:t>
      </w:r>
      <w:r>
        <w:rPr>
          <w:rFonts w:hint="eastAsia"/>
          <w:kern w:val="14"/>
        </w:rPr>
        <w:t>20</w:t>
      </w:r>
      <w:r>
        <w:rPr>
          <w:rFonts w:hint="eastAsia"/>
          <w:kern w:val="14"/>
        </w:rPr>
        <w:t>名社会教育工作者参加）；“儿童和青少年中的社会歧视：促进儿童追求充实的生活和教育”（有</w:t>
      </w:r>
      <w:r>
        <w:rPr>
          <w:rFonts w:hint="eastAsia"/>
          <w:kern w:val="14"/>
        </w:rPr>
        <w:t>40</w:t>
      </w:r>
      <w:r>
        <w:rPr>
          <w:rFonts w:hint="eastAsia"/>
          <w:kern w:val="14"/>
        </w:rPr>
        <w:t>名班主任、普通学校和职业学校教师及社会教育工作者参加）。</w:t>
      </w:r>
    </w:p>
    <w:p w:rsidR="00595751" w:rsidRDefault="00595751">
      <w:pPr>
        <w:tabs>
          <w:tab w:val="left" w:pos="630"/>
        </w:tabs>
        <w:spacing w:after="240" w:line="360" w:lineRule="exact"/>
        <w:rPr>
          <w:kern w:val="14"/>
        </w:rPr>
      </w:pPr>
      <w:r>
        <w:t xml:space="preserve">48. </w:t>
      </w:r>
      <w:r>
        <w:rPr>
          <w:rFonts w:hint="eastAsia"/>
        </w:rPr>
        <w:tab/>
      </w:r>
      <w:r>
        <w:rPr>
          <w:rFonts w:hint="eastAsia"/>
          <w:kern w:val="14"/>
        </w:rPr>
        <w:t>为了改变陈规定型态度并增加心理援助的普及率和效率，各市设立了</w:t>
      </w:r>
      <w:r>
        <w:rPr>
          <w:kern w:val="14"/>
        </w:rPr>
        <w:t>53</w:t>
      </w:r>
      <w:r>
        <w:rPr>
          <w:rFonts w:hint="eastAsia"/>
          <w:kern w:val="14"/>
        </w:rPr>
        <w:t>个教育和心理援助办事处；它们已全面投入运作，雇用的工作人员也越来越多。这些办事处向儿童、家庭和学校提供咨询服务。各教育单位越来越多地确立了社会教育工作者、心理学家、助理教师和提供援助的其他专家的地位。班主任在培养文化行为模式方面发挥了重要作用；学校的其他工作人员也对儿童的自我评价和自我认知方面产生了重大影响。</w:t>
      </w:r>
    </w:p>
    <w:p w:rsidR="00595751" w:rsidRDefault="00595751">
      <w:pPr>
        <w:tabs>
          <w:tab w:val="left" w:pos="630"/>
        </w:tabs>
        <w:spacing w:after="240" w:line="360" w:lineRule="exact"/>
        <w:rPr>
          <w:kern w:val="14"/>
        </w:rPr>
      </w:pPr>
      <w:r>
        <w:t xml:space="preserve">49. </w:t>
      </w:r>
      <w:r>
        <w:rPr>
          <w:rFonts w:hint="eastAsia"/>
        </w:rPr>
        <w:tab/>
      </w:r>
      <w:r>
        <w:rPr>
          <w:rFonts w:hint="eastAsia"/>
          <w:kern w:val="14"/>
        </w:rPr>
        <w:t>改变传统的陈规定型观念需要付出大量的精力和时间。为了解决这个问题，欧盟结构基金被用来支助妇女组织、研究机构和其他组织执行的各种项目。维尔纽斯大学性别问题研究中心</w:t>
      </w:r>
      <w:r>
        <w:rPr>
          <w:kern w:val="14"/>
        </w:rPr>
        <w:t>2006</w:t>
      </w:r>
      <w:r>
        <w:rPr>
          <w:rFonts w:hint="eastAsia"/>
          <w:kern w:val="14"/>
        </w:rPr>
        <w:t>-</w:t>
      </w:r>
      <w:r>
        <w:rPr>
          <w:kern w:val="14"/>
        </w:rPr>
        <w:t>2008</w:t>
      </w:r>
      <w:r>
        <w:rPr>
          <w:rFonts w:hint="eastAsia"/>
          <w:kern w:val="14"/>
        </w:rPr>
        <w:t>年执行的项目“就业领域男女角色的陈规定型观念：庞大的监测和教育系统”是最成功的项目之一。该项目的目标是采取协调一致的专业做法，改变对就业领域男女机会均等具有负面影响的传统的性别陈规定型观念。</w:t>
      </w:r>
    </w:p>
    <w:p w:rsidR="00595751" w:rsidRDefault="00595751">
      <w:pPr>
        <w:tabs>
          <w:tab w:val="left" w:pos="630"/>
        </w:tabs>
        <w:spacing w:after="240" w:line="360" w:lineRule="exact"/>
        <w:rPr>
          <w:kern w:val="14"/>
        </w:rPr>
      </w:pPr>
      <w:r>
        <w:t xml:space="preserve">50. </w:t>
      </w:r>
      <w:r>
        <w:rPr>
          <w:rFonts w:hint="eastAsia"/>
        </w:rPr>
        <w:tab/>
      </w:r>
      <w:r>
        <w:rPr>
          <w:rFonts w:hint="eastAsia"/>
          <w:kern w:val="14"/>
        </w:rPr>
        <w:t>机会均等监察官办公室作为一个协调机构或合作伙伴，积极参与由其他组织协调的项目，力求改变男女社会角色及其在传媒中的形象的陈规定型观念。其中一个项目就是，</w:t>
      </w:r>
      <w:r>
        <w:rPr>
          <w:kern w:val="14"/>
        </w:rPr>
        <w:t>2006-2007</w:t>
      </w:r>
      <w:r>
        <w:rPr>
          <w:rFonts w:hint="eastAsia"/>
          <w:kern w:val="14"/>
        </w:rPr>
        <w:t>年考纳斯妇女就业信息中心执行了“教育社会伙伴力求将机会均等原则付诸实施的创新战略”。该项目力争实现以下目标：提高公众认识，倡导对基于性别的任何形式歧视不容忍；改变对男女社会角色和各种被排斥群体的陈规定型态度；鼓励男子对儿童承担平等责任；改变雇主将妇女视为风险群体的态度。</w:t>
      </w:r>
    </w:p>
    <w:p w:rsidR="00595751" w:rsidRDefault="00595751">
      <w:pPr>
        <w:tabs>
          <w:tab w:val="left" w:pos="630"/>
        </w:tabs>
        <w:spacing w:after="240" w:line="360" w:lineRule="exact"/>
        <w:rPr>
          <w:kern w:val="14"/>
        </w:rPr>
      </w:pPr>
      <w:r>
        <w:t xml:space="preserve">51. </w:t>
      </w:r>
      <w:r>
        <w:rPr>
          <w:rFonts w:hint="eastAsia"/>
        </w:rPr>
        <w:tab/>
      </w:r>
      <w:r>
        <w:rPr>
          <w:rFonts w:hint="eastAsia"/>
          <w:kern w:val="14"/>
        </w:rPr>
        <w:t>机会均等监察官办公室的工作人员积极参与宣传男女平等的广播电视节目，组织公众参加会议、研讨会和其他活动。他们分析了大众媒体刻画的男女形象和现代社会中男女角色的发展变化；他们还合作举办有警官、公共当局和市政工作人员参加的两性平等问题培训班。</w:t>
      </w:r>
    </w:p>
    <w:p w:rsidR="00595751" w:rsidRDefault="00595751">
      <w:pPr>
        <w:tabs>
          <w:tab w:val="left" w:pos="630"/>
        </w:tabs>
        <w:spacing w:after="240" w:line="360" w:lineRule="exact"/>
        <w:rPr>
          <w:kern w:val="14"/>
        </w:rPr>
      </w:pPr>
      <w:r>
        <w:t xml:space="preserve">52. </w:t>
      </w:r>
      <w:r>
        <w:rPr>
          <w:rFonts w:hint="eastAsia"/>
        </w:rPr>
        <w:tab/>
      </w:r>
      <w:r>
        <w:rPr>
          <w:rFonts w:hint="eastAsia"/>
          <w:kern w:val="14"/>
        </w:rPr>
        <w:t>自</w:t>
      </w:r>
      <w:r>
        <w:rPr>
          <w:kern w:val="14"/>
        </w:rPr>
        <w:t>2006</w:t>
      </w:r>
      <w:r>
        <w:rPr>
          <w:rFonts w:hint="eastAsia"/>
          <w:kern w:val="14"/>
        </w:rPr>
        <w:t>年以来，“考纳斯县妇女危机中心”协会（以下称考纳斯县妇女危机中心）一直在执行“消除陈规定型观念、实现男女平等”项目。该项目的目标是通过改变该县经济活动中男女角色的陈规定型观念，确保男女在职业和社区活动中机会均等。该项目的目标群体是那些有可能在改变经济活动中男女角色的陈规定型观念方面发挥最重要作用的人。同年，阿尼克什奇艾妇女就业和信息中心发起了“培养妇女的社会技能和职业技能，以提高其社会地位、独立性和积极的自我评价”项目。</w:t>
      </w:r>
    </w:p>
    <w:p w:rsidR="00595751" w:rsidRDefault="00595751">
      <w:pPr>
        <w:tabs>
          <w:tab w:val="left" w:pos="630"/>
        </w:tabs>
        <w:spacing w:after="240" w:line="360" w:lineRule="exact"/>
        <w:rPr>
          <w:kern w:val="14"/>
        </w:rPr>
      </w:pPr>
      <w:r>
        <w:t xml:space="preserve">53. </w:t>
      </w:r>
      <w:r>
        <w:rPr>
          <w:rFonts w:hint="eastAsia"/>
        </w:rPr>
        <w:tab/>
      </w:r>
      <w:r>
        <w:rPr>
          <w:rFonts w:hint="eastAsia"/>
          <w:kern w:val="14"/>
        </w:rPr>
        <w:t>广告宣传作为一种公众信息媒体，在树立妇女和男子形象方面也发挥着重要作用。《男女机会均等法》禁止这种可能使公众形成一种性别优于另一性别的观念的商品和服务广告。该法律还禁止对消费者的基于性别的歧视。但是，立陶宛尚未实现广告宣传性别中立化。</w:t>
      </w:r>
    </w:p>
    <w:p w:rsidR="00595751" w:rsidRDefault="00595751">
      <w:pPr>
        <w:tabs>
          <w:tab w:val="left" w:pos="630"/>
        </w:tabs>
        <w:spacing w:after="240" w:line="360" w:lineRule="exact"/>
        <w:rPr>
          <w:kern w:val="14"/>
        </w:rPr>
      </w:pPr>
      <w:r>
        <w:t xml:space="preserve">54. </w:t>
      </w:r>
      <w:r>
        <w:rPr>
          <w:rFonts w:hint="eastAsia"/>
        </w:rPr>
        <w:tab/>
      </w:r>
      <w:r>
        <w:rPr>
          <w:rFonts w:hint="eastAsia"/>
          <w:kern w:val="14"/>
        </w:rPr>
        <w:t>在机会均等监察官办公室收到的所有投诉中，</w:t>
      </w:r>
      <w:r>
        <w:rPr>
          <w:rFonts w:hint="eastAsia"/>
          <w:kern w:val="14"/>
        </w:rPr>
        <w:t>2005</w:t>
      </w:r>
      <w:r>
        <w:rPr>
          <w:rFonts w:hint="eastAsia"/>
          <w:kern w:val="14"/>
        </w:rPr>
        <w:t>年，有关商品和服务广告的投诉约占</w:t>
      </w:r>
      <w:r>
        <w:rPr>
          <w:kern w:val="14"/>
        </w:rPr>
        <w:t>9%</w:t>
      </w:r>
      <w:r>
        <w:rPr>
          <w:rFonts w:hint="eastAsia"/>
          <w:kern w:val="14"/>
        </w:rPr>
        <w:t>，</w:t>
      </w:r>
      <w:r>
        <w:rPr>
          <w:rFonts w:hint="eastAsia"/>
          <w:kern w:val="14"/>
        </w:rPr>
        <w:t>2006</w:t>
      </w:r>
      <w:r>
        <w:rPr>
          <w:rFonts w:hint="eastAsia"/>
          <w:kern w:val="14"/>
        </w:rPr>
        <w:t>年约占</w:t>
      </w:r>
      <w:r>
        <w:rPr>
          <w:kern w:val="14"/>
        </w:rPr>
        <w:t>10%</w:t>
      </w:r>
      <w:r>
        <w:rPr>
          <w:rFonts w:hint="eastAsia"/>
          <w:kern w:val="14"/>
        </w:rPr>
        <w:t>。这些广告往往带着成见刻画妇女形象，即刻意暴露其身体的某些部位，突出她们的弱点，把妇女刻画为没有主见、智力低下、只会引诱和迷惑男人的生物。广告中往往把妇女同物品等同起来，比如有些广告提供某种选择；你要么选择广告中的商品，要么选择魅力女郎。尤其是经常把妇女的身体部位等同于或比作广告中的产品。对于这种不尊重妇女形象的广告进行举报的，不但有妇女个人而且有妇女非政府组织。</w:t>
      </w:r>
    </w:p>
    <w:p w:rsidR="00595751" w:rsidRDefault="00595751">
      <w:pPr>
        <w:tabs>
          <w:tab w:val="left" w:pos="630"/>
        </w:tabs>
        <w:spacing w:after="240" w:line="360" w:lineRule="exact"/>
        <w:rPr>
          <w:kern w:val="14"/>
        </w:rPr>
      </w:pPr>
      <w:r>
        <w:t xml:space="preserve">55. </w:t>
      </w:r>
      <w:r>
        <w:rPr>
          <w:rFonts w:hint="eastAsia"/>
        </w:rPr>
        <w:tab/>
      </w:r>
      <w:r>
        <w:rPr>
          <w:rFonts w:hint="eastAsia"/>
          <w:kern w:val="14"/>
        </w:rPr>
        <w:t>监察官办公室在调查投诉案件时，总是对这种挑衅性广告的制作者或广告商提出警告：相关广告具有歧视性，并尽量解释违反广告职业道德的本质。广告商和广告制作者往往事先就拟议的广告牵涉的种族背景向监察官办公室咨询，并讨论如何创作广告和如何刻画广告产品，以便公众不会形成某个人群比其他人群优越的观念。</w:t>
      </w:r>
    </w:p>
    <w:p w:rsidR="00595751" w:rsidRDefault="00595751">
      <w:pPr>
        <w:pStyle w:val="H2"/>
        <w:rPr>
          <w:rFonts w:hint="eastAsia"/>
        </w:rPr>
      </w:pPr>
      <w:r>
        <w:rPr>
          <w:rFonts w:hint="eastAsia"/>
        </w:rPr>
        <w:t>（</w:t>
      </w:r>
      <w:r>
        <w:t>b</w:t>
      </w:r>
      <w:r>
        <w:rPr>
          <w:rFonts w:hint="eastAsia"/>
        </w:rPr>
        <w:t>）</w:t>
      </w:r>
    </w:p>
    <w:p w:rsidR="00595751" w:rsidRDefault="00595751">
      <w:pPr>
        <w:tabs>
          <w:tab w:val="left" w:pos="630"/>
        </w:tabs>
        <w:spacing w:after="240" w:line="360" w:lineRule="exact"/>
        <w:rPr>
          <w:kern w:val="14"/>
        </w:rPr>
      </w:pPr>
      <w:r>
        <w:t xml:space="preserve">56. </w:t>
      </w:r>
      <w:r>
        <w:rPr>
          <w:rFonts w:hint="eastAsia"/>
        </w:rPr>
        <w:tab/>
      </w:r>
      <w:r>
        <w:rPr>
          <w:rFonts w:hint="eastAsia"/>
        </w:rPr>
        <w:t>立陶宛</w:t>
      </w:r>
      <w:r>
        <w:rPr>
          <w:rFonts w:hint="eastAsia"/>
          <w:kern w:val="14"/>
        </w:rPr>
        <w:t>正在努力促进男女在抚养子女方面承担平等责任和平等分担家庭责任。</w:t>
      </w:r>
      <w:r>
        <w:rPr>
          <w:kern w:val="14"/>
        </w:rPr>
        <w:t>2006</w:t>
      </w:r>
      <w:r>
        <w:rPr>
          <w:rFonts w:hint="eastAsia"/>
          <w:kern w:val="14"/>
        </w:rPr>
        <w:t>年</w:t>
      </w:r>
      <w:r>
        <w:rPr>
          <w:rFonts w:hint="eastAsia"/>
          <w:kern w:val="14"/>
        </w:rPr>
        <w:t>7</w:t>
      </w:r>
      <w:r>
        <w:rPr>
          <w:rFonts w:hint="eastAsia"/>
          <w:kern w:val="14"/>
        </w:rPr>
        <w:t>月</w:t>
      </w:r>
      <w:r>
        <w:rPr>
          <w:rFonts w:hint="eastAsia"/>
          <w:kern w:val="14"/>
        </w:rPr>
        <w:t>1</w:t>
      </w:r>
      <w:r>
        <w:rPr>
          <w:rFonts w:hint="eastAsia"/>
          <w:kern w:val="14"/>
        </w:rPr>
        <w:t>日，《立陶宛共和国劳工法典》（</w:t>
      </w:r>
      <w:r>
        <w:rPr>
          <w:rFonts w:hint="eastAsia"/>
          <w:kern w:val="14"/>
        </w:rPr>
        <w:t>2002</w:t>
      </w:r>
      <w:r>
        <w:rPr>
          <w:rFonts w:hint="eastAsia"/>
          <w:kern w:val="14"/>
        </w:rPr>
        <w:t>年第</w:t>
      </w:r>
      <w:r>
        <w:rPr>
          <w:kern w:val="14"/>
        </w:rPr>
        <w:t>64-2569</w:t>
      </w:r>
      <w:r>
        <w:rPr>
          <w:rFonts w:hint="eastAsia"/>
          <w:kern w:val="14"/>
        </w:rPr>
        <w:t>号</w:t>
      </w:r>
      <w:r>
        <w:rPr>
          <w:kern w:val="14"/>
        </w:rPr>
        <w:t>《政府公报》</w:t>
      </w:r>
      <w:r>
        <w:rPr>
          <w:rFonts w:hint="eastAsia"/>
          <w:kern w:val="14"/>
        </w:rPr>
        <w:t>）（以下称《劳工法典》）（经</w:t>
      </w:r>
      <w:r>
        <w:rPr>
          <w:rFonts w:hint="eastAsia"/>
          <w:kern w:val="14"/>
        </w:rPr>
        <w:t>2006</w:t>
      </w:r>
      <w:r>
        <w:rPr>
          <w:rFonts w:hint="eastAsia"/>
          <w:kern w:val="14"/>
        </w:rPr>
        <w:t>年</w:t>
      </w:r>
      <w:r>
        <w:rPr>
          <w:rFonts w:hint="eastAsia"/>
          <w:kern w:val="14"/>
        </w:rPr>
        <w:t>6</w:t>
      </w:r>
      <w:r>
        <w:rPr>
          <w:rFonts w:hint="eastAsia"/>
          <w:kern w:val="14"/>
        </w:rPr>
        <w:t>月</w:t>
      </w:r>
      <w:r>
        <w:rPr>
          <w:rFonts w:hint="eastAsia"/>
          <w:kern w:val="14"/>
        </w:rPr>
        <w:t>8</w:t>
      </w:r>
      <w:r>
        <w:rPr>
          <w:rFonts w:hint="eastAsia"/>
          <w:kern w:val="14"/>
        </w:rPr>
        <w:t>日第</w:t>
      </w:r>
      <w:r>
        <w:rPr>
          <w:kern w:val="14"/>
        </w:rPr>
        <w:t>X-660</w:t>
      </w:r>
      <w:r>
        <w:rPr>
          <w:rFonts w:hint="eastAsia"/>
          <w:kern w:val="14"/>
        </w:rPr>
        <w:t>号法律修正的）的修正案生效；修正案规定男子可以休陪产假。自此以后，根据《劳工法典》第</w:t>
      </w:r>
      <w:r>
        <w:rPr>
          <w:kern w:val="14"/>
        </w:rPr>
        <w:t>179</w:t>
      </w:r>
      <w:r>
        <w:rPr>
          <w:rFonts w:hint="eastAsia"/>
          <w:kern w:val="14"/>
        </w:rPr>
        <w:t>条，</w:t>
      </w:r>
      <w:r>
        <w:rPr>
          <w:kern w:val="14"/>
          <w:szCs w:val="21"/>
          <w:vertAlign w:val="superscript"/>
        </w:rPr>
        <w:t>1</w:t>
      </w:r>
      <w:r>
        <w:rPr>
          <w:rFonts w:hint="eastAsia"/>
          <w:kern w:val="14"/>
        </w:rPr>
        <w:t>从子女出生之日起，男子可以休一个月的陪产假。</w:t>
      </w:r>
      <w:r>
        <w:rPr>
          <w:rFonts w:hint="eastAsia"/>
          <w:kern w:val="14"/>
        </w:rPr>
        <w:t>2006</w:t>
      </w:r>
      <w:r>
        <w:rPr>
          <w:rFonts w:hint="eastAsia"/>
          <w:kern w:val="14"/>
        </w:rPr>
        <w:t>年</w:t>
      </w:r>
      <w:r>
        <w:rPr>
          <w:rFonts w:hint="eastAsia"/>
          <w:kern w:val="14"/>
        </w:rPr>
        <w:t>7</w:t>
      </w:r>
      <w:r>
        <w:rPr>
          <w:rFonts w:hint="eastAsia"/>
          <w:kern w:val="14"/>
        </w:rPr>
        <w:t>月</w:t>
      </w:r>
      <w:r>
        <w:rPr>
          <w:rFonts w:hint="eastAsia"/>
          <w:kern w:val="14"/>
        </w:rPr>
        <w:t>1</w:t>
      </w:r>
      <w:r>
        <w:rPr>
          <w:rFonts w:hint="eastAsia"/>
          <w:kern w:val="14"/>
        </w:rPr>
        <w:t>日，《立陶宛共和国国防系统组织和兵役法》（</w:t>
      </w:r>
      <w:r>
        <w:rPr>
          <w:rFonts w:hint="eastAsia"/>
          <w:kern w:val="14"/>
        </w:rPr>
        <w:t>1998</w:t>
      </w:r>
      <w:r>
        <w:rPr>
          <w:rFonts w:hint="eastAsia"/>
          <w:kern w:val="14"/>
        </w:rPr>
        <w:t>年第</w:t>
      </w:r>
      <w:r>
        <w:rPr>
          <w:kern w:val="14"/>
        </w:rPr>
        <w:t>49-1325</w:t>
      </w:r>
      <w:r>
        <w:rPr>
          <w:rFonts w:hint="eastAsia"/>
          <w:kern w:val="14"/>
        </w:rPr>
        <w:t>号</w:t>
      </w:r>
      <w:r>
        <w:rPr>
          <w:kern w:val="14"/>
        </w:rPr>
        <w:t>《政府公报》</w:t>
      </w:r>
      <w:r>
        <w:rPr>
          <w:rFonts w:hint="eastAsia"/>
          <w:kern w:val="14"/>
        </w:rPr>
        <w:t>）（经</w:t>
      </w:r>
      <w:r>
        <w:rPr>
          <w:rFonts w:hint="eastAsia"/>
          <w:kern w:val="14"/>
        </w:rPr>
        <w:t>2006</w:t>
      </w:r>
      <w:r>
        <w:rPr>
          <w:rFonts w:hint="eastAsia"/>
          <w:kern w:val="14"/>
        </w:rPr>
        <w:t>年</w:t>
      </w:r>
      <w:r>
        <w:rPr>
          <w:rFonts w:hint="eastAsia"/>
          <w:kern w:val="14"/>
        </w:rPr>
        <w:t>6</w:t>
      </w:r>
      <w:r>
        <w:rPr>
          <w:rFonts w:hint="eastAsia"/>
          <w:kern w:val="14"/>
        </w:rPr>
        <w:t>月</w:t>
      </w:r>
      <w:r>
        <w:rPr>
          <w:rFonts w:hint="eastAsia"/>
          <w:kern w:val="14"/>
        </w:rPr>
        <w:t>8</w:t>
      </w:r>
      <w:r>
        <w:rPr>
          <w:rFonts w:hint="eastAsia"/>
          <w:kern w:val="14"/>
        </w:rPr>
        <w:t>日第</w:t>
      </w:r>
      <w:r>
        <w:rPr>
          <w:kern w:val="14"/>
        </w:rPr>
        <w:t>X-662</w:t>
      </w:r>
      <w:r>
        <w:rPr>
          <w:rFonts w:hint="eastAsia"/>
          <w:kern w:val="14"/>
        </w:rPr>
        <w:t>号法律修正）某些条款的修正案生效。修正案规定专业兵种的服役男子可以休陪产假。</w:t>
      </w:r>
    </w:p>
    <w:p w:rsidR="00595751" w:rsidRDefault="00595751">
      <w:pPr>
        <w:tabs>
          <w:tab w:val="left" w:pos="630"/>
        </w:tabs>
        <w:spacing w:after="240" w:line="360" w:lineRule="exact"/>
        <w:rPr>
          <w:kern w:val="14"/>
        </w:rPr>
      </w:pPr>
      <w:r>
        <w:t xml:space="preserve">57. </w:t>
      </w:r>
      <w:r>
        <w:rPr>
          <w:rFonts w:hint="eastAsia"/>
        </w:rPr>
        <w:tab/>
      </w:r>
      <w:r>
        <w:rPr>
          <w:rFonts w:hint="eastAsia"/>
          <w:kern w:val="14"/>
        </w:rPr>
        <w:t>在上文第</w:t>
      </w:r>
      <w:r>
        <w:rPr>
          <w:rFonts w:hint="eastAsia"/>
          <w:kern w:val="14"/>
        </w:rPr>
        <w:t>56</w:t>
      </w:r>
      <w:r>
        <w:rPr>
          <w:rFonts w:hint="eastAsia"/>
          <w:kern w:val="14"/>
        </w:rPr>
        <w:t>段提及的陪产假期间，（依照《立陶宛共和国疾病和孕产社会保险法》，</w:t>
      </w:r>
      <w:r>
        <w:rPr>
          <w:rFonts w:hint="eastAsia"/>
          <w:kern w:val="14"/>
        </w:rPr>
        <w:t>2000</w:t>
      </w:r>
      <w:r>
        <w:rPr>
          <w:rFonts w:hint="eastAsia"/>
          <w:kern w:val="14"/>
        </w:rPr>
        <w:t>年第</w:t>
      </w:r>
      <w:r>
        <w:rPr>
          <w:kern w:val="14"/>
        </w:rPr>
        <w:t>111-3574</w:t>
      </w:r>
      <w:r>
        <w:rPr>
          <w:rFonts w:hint="eastAsia"/>
          <w:kern w:val="14"/>
        </w:rPr>
        <w:t>号</w:t>
      </w:r>
      <w:r>
        <w:rPr>
          <w:kern w:val="14"/>
        </w:rPr>
        <w:t>《政府公报》</w:t>
      </w:r>
      <w:r>
        <w:rPr>
          <w:rFonts w:hint="eastAsia"/>
          <w:kern w:val="14"/>
        </w:rPr>
        <w:t>）支付陪产津贴。新生儿父亲满足以下条件，就有资格领取陪产津贴：已按照该法律第</w:t>
      </w:r>
      <w:r>
        <w:rPr>
          <w:kern w:val="14"/>
        </w:rPr>
        <w:t>4</w:t>
      </w:r>
      <w:r>
        <w:rPr>
          <w:kern w:val="14"/>
        </w:rPr>
        <w:t>（</w:t>
      </w:r>
      <w:r>
        <w:rPr>
          <w:kern w:val="14"/>
        </w:rPr>
        <w:t>1</w:t>
      </w:r>
      <w:r>
        <w:rPr>
          <w:kern w:val="14"/>
        </w:rPr>
        <w:t>）</w:t>
      </w:r>
      <w:r>
        <w:rPr>
          <w:rFonts w:hint="eastAsia"/>
          <w:kern w:val="14"/>
        </w:rPr>
        <w:t>条投保；根据法定程序准许在婴儿满月前休陪产假；在其休第一次陪产假之前的</w:t>
      </w:r>
      <w:r>
        <w:rPr>
          <w:rFonts w:hint="eastAsia"/>
          <w:kern w:val="14"/>
        </w:rPr>
        <w:t>24</w:t>
      </w:r>
      <w:r>
        <w:rPr>
          <w:rFonts w:hint="eastAsia"/>
          <w:kern w:val="14"/>
        </w:rPr>
        <w:t>个月内至少已经参加疾病和孕产社会保险</w:t>
      </w:r>
      <w:r>
        <w:rPr>
          <w:rFonts w:hint="eastAsia"/>
          <w:kern w:val="14"/>
        </w:rPr>
        <w:t>7</w:t>
      </w:r>
      <w:r>
        <w:rPr>
          <w:rFonts w:hint="eastAsia"/>
          <w:kern w:val="14"/>
        </w:rPr>
        <w:t>个月之久；与该婴儿的母亲有婚姻关系。目前有一项法律草案拟将最后一个条件修改，以包括与新生儿母亲没有婚姻关系的父亲。陪产津贴相当于津贴受益人的全额补偿工资。该津贴不得低于批准陪产假月份适用的当年保险收入的三分之一。</w:t>
      </w:r>
      <w:r>
        <w:rPr>
          <w:rFonts w:hint="eastAsia"/>
          <w:kern w:val="14"/>
        </w:rPr>
        <w:t>2006</w:t>
      </w:r>
      <w:r>
        <w:rPr>
          <w:rFonts w:hint="eastAsia"/>
          <w:kern w:val="14"/>
        </w:rPr>
        <w:t>年下半年共有</w:t>
      </w:r>
      <w:r>
        <w:rPr>
          <w:kern w:val="14"/>
        </w:rPr>
        <w:t>3</w:t>
      </w:r>
      <w:r>
        <w:rPr>
          <w:rFonts w:hint="eastAsia"/>
          <w:kern w:val="14"/>
        </w:rPr>
        <w:t xml:space="preserve"> </w:t>
      </w:r>
      <w:r>
        <w:rPr>
          <w:kern w:val="14"/>
        </w:rPr>
        <w:t>085</w:t>
      </w:r>
      <w:r>
        <w:rPr>
          <w:rFonts w:hint="eastAsia"/>
          <w:kern w:val="14"/>
        </w:rPr>
        <w:t>名男子休陪产假；</w:t>
      </w:r>
      <w:r>
        <w:rPr>
          <w:rFonts w:hint="eastAsia"/>
          <w:kern w:val="14"/>
        </w:rPr>
        <w:t>2007</w:t>
      </w:r>
      <w:r>
        <w:rPr>
          <w:rFonts w:hint="eastAsia"/>
          <w:kern w:val="14"/>
        </w:rPr>
        <w:t>年上半年有</w:t>
      </w:r>
      <w:r>
        <w:rPr>
          <w:rFonts w:hint="eastAsia"/>
          <w:kern w:val="14"/>
        </w:rPr>
        <w:t>4 207</w:t>
      </w:r>
      <w:r>
        <w:rPr>
          <w:rFonts w:hint="eastAsia"/>
          <w:kern w:val="14"/>
        </w:rPr>
        <w:t>名男子休陪产假。</w:t>
      </w:r>
    </w:p>
    <w:p w:rsidR="00595751" w:rsidRDefault="00595751">
      <w:pPr>
        <w:tabs>
          <w:tab w:val="left" w:pos="630"/>
        </w:tabs>
        <w:spacing w:after="240" w:line="360" w:lineRule="exact"/>
        <w:rPr>
          <w:kern w:val="14"/>
        </w:rPr>
      </w:pPr>
      <w:r>
        <w:t xml:space="preserve">58. </w:t>
      </w:r>
      <w:r>
        <w:rPr>
          <w:rFonts w:hint="eastAsia"/>
        </w:rPr>
        <w:tab/>
      </w:r>
      <w:r>
        <w:rPr>
          <w:rFonts w:hint="eastAsia"/>
          <w:kern w:val="14"/>
        </w:rPr>
        <w:t>正在执行国际任务的军事单位如果因为单位驻地的缘故或者因备战需要不能批准专业兵种的服役男子休陪产假，则应向当事人一次性支付按照政府规定程序计算的相当于其本人平均工资的津贴。</w:t>
      </w:r>
    </w:p>
    <w:p w:rsidR="00595751" w:rsidRDefault="00595751">
      <w:pPr>
        <w:tabs>
          <w:tab w:val="left" w:pos="630"/>
        </w:tabs>
        <w:spacing w:after="240" w:line="360" w:lineRule="exact"/>
        <w:rPr>
          <w:kern w:val="14"/>
        </w:rPr>
      </w:pPr>
      <w:r>
        <w:t xml:space="preserve">59. </w:t>
      </w:r>
      <w:r>
        <w:rPr>
          <w:rFonts w:hint="eastAsia"/>
        </w:rPr>
        <w:tab/>
      </w:r>
      <w:r>
        <w:rPr>
          <w:kern w:val="14"/>
        </w:rPr>
        <w:t>2005</w:t>
      </w:r>
      <w:r>
        <w:rPr>
          <w:rFonts w:hint="eastAsia"/>
          <w:kern w:val="14"/>
        </w:rPr>
        <w:t>年</w:t>
      </w:r>
      <w:r>
        <w:rPr>
          <w:rFonts w:hint="eastAsia"/>
          <w:kern w:val="14"/>
        </w:rPr>
        <w:t>10</w:t>
      </w:r>
      <w:r>
        <w:rPr>
          <w:rFonts w:hint="eastAsia"/>
          <w:kern w:val="14"/>
        </w:rPr>
        <w:t>月</w:t>
      </w:r>
      <w:r>
        <w:rPr>
          <w:rFonts w:hint="eastAsia"/>
          <w:kern w:val="14"/>
        </w:rPr>
        <w:t>13</w:t>
      </w:r>
      <w:r>
        <w:rPr>
          <w:rFonts w:hint="eastAsia"/>
          <w:kern w:val="14"/>
        </w:rPr>
        <w:t>日，《立陶宛共和国国防系统组织和兵役法》第</w:t>
      </w:r>
      <w:r>
        <w:rPr>
          <w:rFonts w:hint="eastAsia"/>
          <w:kern w:val="14"/>
        </w:rPr>
        <w:t>59</w:t>
      </w:r>
      <w:r>
        <w:rPr>
          <w:rFonts w:hint="eastAsia"/>
          <w:kern w:val="14"/>
        </w:rPr>
        <w:t>条的修正案（</w:t>
      </w:r>
      <w:r>
        <w:rPr>
          <w:kern w:val="14"/>
        </w:rPr>
        <w:t>2005</w:t>
      </w:r>
      <w:r>
        <w:rPr>
          <w:rFonts w:hint="eastAsia"/>
          <w:kern w:val="14"/>
        </w:rPr>
        <w:t>年第</w:t>
      </w:r>
      <w:r>
        <w:rPr>
          <w:kern w:val="14"/>
        </w:rPr>
        <w:t>122-4362</w:t>
      </w:r>
      <w:r>
        <w:rPr>
          <w:rFonts w:hint="eastAsia"/>
          <w:kern w:val="14"/>
        </w:rPr>
        <w:t>号</w:t>
      </w:r>
      <w:r>
        <w:rPr>
          <w:kern w:val="14"/>
        </w:rPr>
        <w:t>《政府公报》</w:t>
      </w:r>
      <w:r>
        <w:rPr>
          <w:rFonts w:hint="eastAsia"/>
          <w:kern w:val="14"/>
        </w:rPr>
        <w:t>）生效；修正案规定延长专业兵种服役男性的育儿假，同时废止了原来的一项规定，即如果到育儿假结束时还没有给相关服兵役者派遣与其资格相称的任务，应将该现役军人转为后备役军人。修正案规定，应在新生儿三岁之前准休育儿假；育儿假结束后，应将服役者派遣到与其级别相称的职位。</w:t>
      </w:r>
    </w:p>
    <w:p w:rsidR="00595751" w:rsidRDefault="00595751">
      <w:pPr>
        <w:tabs>
          <w:tab w:val="left" w:pos="630"/>
        </w:tabs>
        <w:spacing w:after="240" w:line="360" w:lineRule="exact"/>
        <w:rPr>
          <w:color w:val="000000"/>
          <w:kern w:val="14"/>
        </w:rPr>
      </w:pPr>
      <w:r>
        <w:rPr>
          <w:color w:val="000000"/>
        </w:rPr>
        <w:t xml:space="preserve">60. </w:t>
      </w:r>
      <w:r>
        <w:rPr>
          <w:rFonts w:hint="eastAsia"/>
          <w:color w:val="000000"/>
        </w:rPr>
        <w:tab/>
      </w:r>
      <w:r>
        <w:rPr>
          <w:rFonts w:hint="eastAsia"/>
          <w:color w:val="000000"/>
          <w:kern w:val="14"/>
        </w:rPr>
        <w:t>可以调和工作与家庭责任之间的矛盾，是促进男女共同承担抚养子女义务所必不可少的前提条件。《</w:t>
      </w:r>
      <w:r>
        <w:rPr>
          <w:color w:val="000000"/>
          <w:kern w:val="14"/>
        </w:rPr>
        <w:t>2005-2009</w:t>
      </w:r>
      <w:r>
        <w:rPr>
          <w:rFonts w:hint="eastAsia"/>
          <w:color w:val="000000"/>
          <w:kern w:val="14"/>
        </w:rPr>
        <w:t>年国家男女机会均等方案》的主要任务之一，就是要为妇女和男子调和其工作与家庭责任的矛盾创造条件。旨在执行此项任务的措施包括：改进立法，就推广灵活的工作安排为社会伙伴组织讨论会，开展教育活动旨在向家庭宣讲休育儿假的可能性，鼓励男子不但休育儿假，而且在孩子三岁之前休育儿假。</w:t>
      </w:r>
    </w:p>
    <w:p w:rsidR="00595751" w:rsidRDefault="00595751">
      <w:pPr>
        <w:tabs>
          <w:tab w:val="left" w:pos="630"/>
        </w:tabs>
        <w:spacing w:after="240" w:line="360" w:lineRule="exact"/>
        <w:rPr>
          <w:kern w:val="14"/>
        </w:rPr>
      </w:pPr>
      <w:r>
        <w:t xml:space="preserve">61. </w:t>
      </w:r>
      <w:r>
        <w:rPr>
          <w:rFonts w:hint="eastAsia"/>
        </w:rPr>
        <w:tab/>
      </w:r>
      <w:r>
        <w:rPr>
          <w:rFonts w:hint="eastAsia"/>
          <w:kern w:val="14"/>
        </w:rPr>
        <w:t>作为欧共体平等倡议支助的促进调和工作与家庭责任的项目执行工作的一部分，立陶宛为</w:t>
      </w:r>
      <w:r>
        <w:rPr>
          <w:rFonts w:hint="eastAsia"/>
          <w:kern w:val="14"/>
        </w:rPr>
        <w:t>500</w:t>
      </w:r>
      <w:r>
        <w:rPr>
          <w:rFonts w:hint="eastAsia"/>
          <w:kern w:val="14"/>
        </w:rPr>
        <w:t>名负有家庭义务的人提供了调和工作与家庭责任矛盾、保留工作或找工作的机会。其中有</w:t>
      </w:r>
      <w:r>
        <w:rPr>
          <w:rFonts w:hint="eastAsia"/>
          <w:kern w:val="14"/>
        </w:rPr>
        <w:t>450</w:t>
      </w:r>
      <w:r>
        <w:rPr>
          <w:rFonts w:hint="eastAsia"/>
          <w:kern w:val="14"/>
        </w:rPr>
        <w:t>人参加了培训班，以接受或提高个人的职业资格、特殊的专业知识和技能。致力于调和工作与家庭责任矛盾的</w:t>
      </w:r>
      <w:r>
        <w:rPr>
          <w:rFonts w:hint="eastAsia"/>
          <w:kern w:val="14"/>
        </w:rPr>
        <w:t>130</w:t>
      </w:r>
      <w:r>
        <w:rPr>
          <w:rFonts w:hint="eastAsia"/>
          <w:kern w:val="14"/>
        </w:rPr>
        <w:t>名工作人员、专家和志愿者参加了培训班。立陶宛建立了一种有利于家庭的工作场所模式。</w:t>
      </w:r>
    </w:p>
    <w:p w:rsidR="00595751" w:rsidRDefault="00595751">
      <w:pPr>
        <w:tabs>
          <w:tab w:val="left" w:pos="630"/>
        </w:tabs>
        <w:spacing w:after="240" w:line="360" w:lineRule="exact"/>
        <w:rPr>
          <w:kern w:val="14"/>
        </w:rPr>
      </w:pPr>
      <w:r>
        <w:t xml:space="preserve">62. </w:t>
      </w:r>
      <w:r>
        <w:rPr>
          <w:rFonts w:hint="eastAsia"/>
        </w:rPr>
        <w:tab/>
      </w:r>
      <w:r>
        <w:rPr>
          <w:rFonts w:hint="eastAsia"/>
          <w:kern w:val="14"/>
        </w:rPr>
        <w:t>自</w:t>
      </w:r>
      <w:r>
        <w:rPr>
          <w:rFonts w:hint="eastAsia"/>
          <w:kern w:val="14"/>
        </w:rPr>
        <w:t>2005</w:t>
      </w:r>
      <w:r>
        <w:rPr>
          <w:rFonts w:hint="eastAsia"/>
          <w:kern w:val="14"/>
        </w:rPr>
        <w:t>年以来，希奥利艾大学性别问题研究所一直在执行一个非常成功的项目，名为“家庭天地：家庭友好型的组织”。该项目的目标是：通过开发和试验旨在促进调和工作与家庭生活矛盾及改变男女在家庭和工作中扮演角色的陈规定型观念的创新方法和措施，在希奥利艾大学创造一个有利于家庭的学习和工作环境。</w:t>
      </w:r>
    </w:p>
    <w:p w:rsidR="00595751" w:rsidRDefault="00595751">
      <w:pPr>
        <w:tabs>
          <w:tab w:val="left" w:pos="630"/>
        </w:tabs>
        <w:spacing w:after="240" w:line="360" w:lineRule="exact"/>
        <w:rPr>
          <w:kern w:val="14"/>
        </w:rPr>
      </w:pPr>
      <w:r>
        <w:t xml:space="preserve">63. </w:t>
      </w:r>
      <w:r>
        <w:rPr>
          <w:rFonts w:hint="eastAsia"/>
        </w:rPr>
        <w:tab/>
      </w:r>
      <w:r>
        <w:rPr>
          <w:rFonts w:hint="eastAsia"/>
          <w:kern w:val="14"/>
        </w:rPr>
        <w:t>自</w:t>
      </w:r>
      <w:r>
        <w:rPr>
          <w:rFonts w:hint="eastAsia"/>
          <w:kern w:val="14"/>
        </w:rPr>
        <w:t>2005</w:t>
      </w:r>
      <w:r>
        <w:rPr>
          <w:rFonts w:hint="eastAsia"/>
          <w:kern w:val="14"/>
        </w:rPr>
        <w:t>年以来，</w:t>
      </w:r>
      <w:r>
        <w:rPr>
          <w:kern w:val="14"/>
        </w:rPr>
        <w:t>妇女问题信息中心</w:t>
      </w:r>
      <w:r>
        <w:rPr>
          <w:rFonts w:hint="eastAsia"/>
          <w:kern w:val="14"/>
        </w:rPr>
        <w:t>一直在执行一个名为“向前！家庭与工作齐头并进”的项目，意在通过应用现代良好做法并在这些做法基础对决策施加影响，来减少劳动力市场对有幼儿家庭的排斥。该项目的工作对象是低收入、有幼儿的完整家庭和不完整家庭：总共有</w:t>
      </w:r>
      <w:r>
        <w:rPr>
          <w:rFonts w:hint="eastAsia"/>
          <w:kern w:val="14"/>
        </w:rPr>
        <w:t>60</w:t>
      </w:r>
      <w:r>
        <w:rPr>
          <w:rFonts w:hint="eastAsia"/>
          <w:kern w:val="14"/>
        </w:rPr>
        <w:t>个家庭，其中</w:t>
      </w:r>
      <w:r>
        <w:rPr>
          <w:rFonts w:hint="eastAsia"/>
          <w:kern w:val="14"/>
        </w:rPr>
        <w:t>40</w:t>
      </w:r>
      <w:r>
        <w:rPr>
          <w:rFonts w:hint="eastAsia"/>
          <w:kern w:val="14"/>
        </w:rPr>
        <w:t>个家庭生活在城市地区，其余</w:t>
      </w:r>
      <w:r>
        <w:rPr>
          <w:rFonts w:hint="eastAsia"/>
          <w:kern w:val="14"/>
        </w:rPr>
        <w:t>20</w:t>
      </w:r>
      <w:r>
        <w:rPr>
          <w:rFonts w:hint="eastAsia"/>
          <w:kern w:val="14"/>
        </w:rPr>
        <w:t>个家庭生活在农村地区。该项目的目标是：利用国际经验，开发和试验两种调和工作与家庭责任矛盾的模式：一种模式是为农村社区开发的，另一种模式面向城市社区。</w:t>
      </w:r>
    </w:p>
    <w:p w:rsidR="00595751" w:rsidRDefault="00595751">
      <w:pPr>
        <w:tabs>
          <w:tab w:val="left" w:pos="630"/>
        </w:tabs>
        <w:spacing w:after="240" w:line="360" w:lineRule="exact"/>
        <w:rPr>
          <w:kern w:val="14"/>
        </w:rPr>
      </w:pPr>
      <w:r>
        <w:t xml:space="preserve">64. </w:t>
      </w:r>
      <w:r>
        <w:rPr>
          <w:rFonts w:hint="eastAsia"/>
        </w:rPr>
        <w:tab/>
      </w:r>
      <w:r>
        <w:rPr>
          <w:kern w:val="14"/>
        </w:rPr>
        <w:t>2004-2005</w:t>
      </w:r>
      <w:r>
        <w:rPr>
          <w:rFonts w:hint="eastAsia"/>
          <w:kern w:val="14"/>
        </w:rPr>
        <w:t>年，机会均等监察官办公室执行了一个由欧盟支助的“扩大后欧洲的现代男子”项目。该项目延期至</w:t>
      </w:r>
      <w:r>
        <w:rPr>
          <w:kern w:val="14"/>
        </w:rPr>
        <w:t>2005-2006</w:t>
      </w:r>
      <w:r>
        <w:rPr>
          <w:rFonts w:hint="eastAsia"/>
          <w:kern w:val="14"/>
        </w:rPr>
        <w:t>年，后来更名为“扩大后欧洲的现代男子：有利于家庭的工作环境”。这些项目的主要目标是鼓励男子调和工作与家庭责任之间的矛盾，更加积极地参与家庭生活；同时鼓励雇主出台有利于更好地调和工作与家庭责任矛盾的创新的工作安排，并且采取新举措，以创造更富有生产力的工作氛围。</w:t>
      </w:r>
    </w:p>
    <w:p w:rsidR="00595751" w:rsidRDefault="00595751">
      <w:pPr>
        <w:pStyle w:val="H1"/>
      </w:pPr>
      <w:r>
        <w:rPr>
          <w:rFonts w:hint="eastAsia"/>
        </w:rPr>
        <w:t>第</w:t>
      </w:r>
      <w:r>
        <w:t>6</w:t>
      </w:r>
      <w:r>
        <w:rPr>
          <w:rFonts w:hint="eastAsia"/>
        </w:rPr>
        <w:t>条</w:t>
      </w:r>
    </w:p>
    <w:p w:rsidR="00595751" w:rsidRDefault="00595751">
      <w:pPr>
        <w:tabs>
          <w:tab w:val="left" w:pos="630"/>
        </w:tabs>
        <w:spacing w:after="240" w:line="360" w:lineRule="exact"/>
        <w:rPr>
          <w:rFonts w:hint="eastAsia"/>
          <w:kern w:val="14"/>
        </w:rPr>
      </w:pPr>
      <w:r>
        <w:t xml:space="preserve">65. </w:t>
      </w:r>
      <w:r>
        <w:rPr>
          <w:rFonts w:hint="eastAsia"/>
        </w:rPr>
        <w:tab/>
      </w:r>
      <w:r>
        <w:rPr>
          <w:rFonts w:hint="eastAsia"/>
          <w:kern w:val="14"/>
        </w:rPr>
        <w:t>政府按照国际法律规范，继续奉行有针对性地控制和预防贩卖人口的一贯政策。</w:t>
      </w:r>
    </w:p>
    <w:p w:rsidR="00595751" w:rsidRDefault="00595751" w:rsidP="00DB491E">
      <w:pPr>
        <w:tabs>
          <w:tab w:val="left" w:pos="630"/>
        </w:tabs>
        <w:spacing w:after="240" w:line="360" w:lineRule="exact"/>
        <w:ind w:firstLineChars="250" w:firstLine="31680"/>
        <w:rPr>
          <w:kern w:val="14"/>
        </w:rPr>
      </w:pPr>
      <w:r>
        <w:rPr>
          <w:rFonts w:hint="eastAsia"/>
          <w:kern w:val="14"/>
        </w:rPr>
        <w:t>下文详细介绍了立陶宛通过法律条例和实际行动打击贩卖人口活动方面的情况：</w:t>
      </w:r>
    </w:p>
    <w:p w:rsidR="00595751" w:rsidRDefault="00595751">
      <w:pPr>
        <w:tabs>
          <w:tab w:val="left" w:pos="630"/>
        </w:tabs>
        <w:spacing w:after="240" w:line="360" w:lineRule="exact"/>
        <w:rPr>
          <w:kern w:val="14"/>
        </w:rPr>
      </w:pPr>
      <w:r>
        <w:t xml:space="preserve">66. </w:t>
      </w:r>
      <w:r>
        <w:rPr>
          <w:rFonts w:hint="eastAsia"/>
        </w:rPr>
        <w:tab/>
      </w:r>
      <w:r>
        <w:rPr>
          <w:kern w:val="14"/>
        </w:rPr>
        <w:t>2004</w:t>
      </w:r>
      <w:r>
        <w:rPr>
          <w:rFonts w:hint="eastAsia"/>
          <w:kern w:val="14"/>
        </w:rPr>
        <w:t>年，</w:t>
      </w:r>
      <w:r>
        <w:rPr>
          <w:kern w:val="14"/>
        </w:rPr>
        <w:t>立陶宛</w:t>
      </w:r>
      <w:r>
        <w:rPr>
          <w:rFonts w:hint="eastAsia"/>
          <w:kern w:val="14"/>
        </w:rPr>
        <w:t>通过颁布《立陶宛共和国关于批准联合国儿童权利公约关于买卖儿童、儿童卖淫和儿童色情制品问题的任择议定书的法律》，批准了《</w:t>
      </w:r>
      <w:r>
        <w:rPr>
          <w:rFonts w:hint="eastAsia"/>
          <w:kern w:val="14"/>
        </w:rPr>
        <w:t>1989</w:t>
      </w:r>
      <w:r>
        <w:rPr>
          <w:rFonts w:hint="eastAsia"/>
          <w:kern w:val="14"/>
        </w:rPr>
        <w:t>年联合国儿童权利公约关于买卖儿童、儿童卖淫和儿童色情制品问题的</w:t>
      </w:r>
      <w:r>
        <w:rPr>
          <w:rFonts w:hint="eastAsia"/>
          <w:kern w:val="14"/>
        </w:rPr>
        <w:t>2000</w:t>
      </w:r>
      <w:r>
        <w:rPr>
          <w:rFonts w:hint="eastAsia"/>
          <w:kern w:val="14"/>
        </w:rPr>
        <w:t>年任择议定书》（</w:t>
      </w:r>
      <w:r>
        <w:rPr>
          <w:rFonts w:hint="eastAsia"/>
          <w:kern w:val="14"/>
        </w:rPr>
        <w:t>2004</w:t>
      </w:r>
      <w:r>
        <w:rPr>
          <w:rFonts w:hint="eastAsia"/>
          <w:kern w:val="14"/>
        </w:rPr>
        <w:t>年第</w:t>
      </w:r>
      <w:r>
        <w:rPr>
          <w:kern w:val="14"/>
        </w:rPr>
        <w:t>108-4028</w:t>
      </w:r>
      <w:r>
        <w:rPr>
          <w:rFonts w:hint="eastAsia"/>
          <w:kern w:val="14"/>
        </w:rPr>
        <w:t>号</w:t>
      </w:r>
      <w:r>
        <w:rPr>
          <w:kern w:val="14"/>
        </w:rPr>
        <w:t>《政府公报》</w:t>
      </w:r>
      <w:r>
        <w:rPr>
          <w:rFonts w:hint="eastAsia"/>
          <w:kern w:val="14"/>
        </w:rPr>
        <w:t>）。该议定书的条款于</w:t>
      </w:r>
      <w:r>
        <w:rPr>
          <w:rFonts w:hint="eastAsia"/>
          <w:kern w:val="14"/>
        </w:rPr>
        <w:t>2004</w:t>
      </w:r>
      <w:r>
        <w:rPr>
          <w:rFonts w:hint="eastAsia"/>
          <w:kern w:val="14"/>
        </w:rPr>
        <w:t>年</w:t>
      </w:r>
      <w:r>
        <w:rPr>
          <w:rFonts w:hint="eastAsia"/>
          <w:kern w:val="14"/>
        </w:rPr>
        <w:t>9</w:t>
      </w:r>
      <w:r>
        <w:rPr>
          <w:rFonts w:hint="eastAsia"/>
          <w:kern w:val="14"/>
        </w:rPr>
        <w:t>月</w:t>
      </w:r>
      <w:r>
        <w:rPr>
          <w:rFonts w:hint="eastAsia"/>
          <w:kern w:val="14"/>
        </w:rPr>
        <w:t>5</w:t>
      </w:r>
      <w:r>
        <w:rPr>
          <w:rFonts w:hint="eastAsia"/>
          <w:kern w:val="14"/>
        </w:rPr>
        <w:t>日在立陶宛共和国生效。</w:t>
      </w:r>
      <w:r>
        <w:rPr>
          <w:kern w:val="14"/>
        </w:rPr>
        <w:t>2007</w:t>
      </w:r>
      <w:r>
        <w:rPr>
          <w:rFonts w:hint="eastAsia"/>
          <w:kern w:val="14"/>
        </w:rPr>
        <w:t>年</w:t>
      </w:r>
      <w:r>
        <w:rPr>
          <w:rFonts w:hint="eastAsia"/>
          <w:kern w:val="14"/>
        </w:rPr>
        <w:t>2</w:t>
      </w:r>
      <w:r>
        <w:rPr>
          <w:rFonts w:hint="eastAsia"/>
          <w:kern w:val="14"/>
        </w:rPr>
        <w:t>月</w:t>
      </w:r>
      <w:r>
        <w:rPr>
          <w:rFonts w:hint="eastAsia"/>
          <w:kern w:val="14"/>
        </w:rPr>
        <w:t>7</w:t>
      </w:r>
      <w:r>
        <w:rPr>
          <w:rFonts w:hint="eastAsia"/>
          <w:kern w:val="14"/>
        </w:rPr>
        <w:t>日，政府通过第</w:t>
      </w:r>
      <w:r>
        <w:rPr>
          <w:rFonts w:hint="eastAsia"/>
          <w:kern w:val="14"/>
        </w:rPr>
        <w:t>208</w:t>
      </w:r>
      <w:r>
        <w:rPr>
          <w:rFonts w:hint="eastAsia"/>
          <w:kern w:val="14"/>
        </w:rPr>
        <w:t>号决议（</w:t>
      </w:r>
      <w:r>
        <w:rPr>
          <w:kern w:val="14"/>
        </w:rPr>
        <w:t>2007</w:t>
      </w:r>
      <w:r>
        <w:rPr>
          <w:rFonts w:hint="eastAsia"/>
          <w:kern w:val="14"/>
        </w:rPr>
        <w:t>年第</w:t>
      </w:r>
      <w:r>
        <w:rPr>
          <w:kern w:val="14"/>
        </w:rPr>
        <w:t>26-957</w:t>
      </w:r>
      <w:r>
        <w:rPr>
          <w:rFonts w:hint="eastAsia"/>
          <w:kern w:val="14"/>
        </w:rPr>
        <w:t>号</w:t>
      </w:r>
      <w:r>
        <w:rPr>
          <w:kern w:val="14"/>
        </w:rPr>
        <w:t>《政府公报》</w:t>
      </w:r>
      <w:r>
        <w:rPr>
          <w:rFonts w:hint="eastAsia"/>
          <w:kern w:val="14"/>
        </w:rPr>
        <w:t>）批准了《关于执行联合国儿童权利公约关于买卖儿童、儿童卖淫和儿童色情制品问题的任择议定书的报告》。</w:t>
      </w:r>
    </w:p>
    <w:p w:rsidR="00595751" w:rsidRDefault="00595751">
      <w:pPr>
        <w:tabs>
          <w:tab w:val="left" w:pos="630"/>
        </w:tabs>
        <w:spacing w:after="240" w:line="360" w:lineRule="exact"/>
        <w:rPr>
          <w:kern w:val="14"/>
        </w:rPr>
      </w:pPr>
      <w:r>
        <w:t xml:space="preserve">67. </w:t>
      </w:r>
      <w:r>
        <w:rPr>
          <w:rFonts w:hint="eastAsia"/>
        </w:rPr>
        <w:tab/>
      </w:r>
      <w:r>
        <w:rPr>
          <w:kern w:val="14"/>
        </w:rPr>
        <w:t>立陶宛</w:t>
      </w:r>
      <w:r>
        <w:rPr>
          <w:rFonts w:hint="eastAsia"/>
          <w:kern w:val="14"/>
        </w:rPr>
        <w:t>积极参与拟订《欧洲委员会打击贩卖人口公约》的工作。该公约于</w:t>
      </w:r>
      <w:r>
        <w:rPr>
          <w:rFonts w:hint="eastAsia"/>
          <w:kern w:val="14"/>
        </w:rPr>
        <w:t>2005</w:t>
      </w:r>
      <w:r>
        <w:rPr>
          <w:rFonts w:hint="eastAsia"/>
          <w:kern w:val="14"/>
        </w:rPr>
        <w:t>年</w:t>
      </w:r>
      <w:r>
        <w:rPr>
          <w:rFonts w:hint="eastAsia"/>
          <w:kern w:val="14"/>
        </w:rPr>
        <w:t>5</w:t>
      </w:r>
      <w:r>
        <w:rPr>
          <w:rFonts w:hint="eastAsia"/>
          <w:kern w:val="14"/>
        </w:rPr>
        <w:t>月</w:t>
      </w:r>
      <w:r>
        <w:rPr>
          <w:rFonts w:hint="eastAsia"/>
          <w:kern w:val="14"/>
        </w:rPr>
        <w:t>16</w:t>
      </w:r>
      <w:r>
        <w:rPr>
          <w:rFonts w:hint="eastAsia"/>
          <w:kern w:val="14"/>
        </w:rPr>
        <w:t>日在华沙举行的第三届欧洲首脑会议开放供成员国签字。《公约》规定了预防贩卖人口，保护受害者，以及让人贩子承担刑事责任。该公约已将性别问题纳入主流，并将重点放在援助贩卖人口的受害者及其重返社会方面。</w:t>
      </w:r>
      <w:r>
        <w:rPr>
          <w:kern w:val="14"/>
        </w:rPr>
        <w:t>立陶宛</w:t>
      </w:r>
      <w:r>
        <w:rPr>
          <w:rFonts w:hint="eastAsia"/>
          <w:kern w:val="14"/>
        </w:rPr>
        <w:t>在谋求尽快加入《欧洲委员会打击贩卖人口行动公约》的过程中积极主动，完成了签署该公约所必需的一切行动。</w:t>
      </w:r>
      <w:r>
        <w:rPr>
          <w:kern w:val="14"/>
        </w:rPr>
        <w:t xml:space="preserve"> </w:t>
      </w:r>
    </w:p>
    <w:p w:rsidR="00595751" w:rsidRDefault="00595751">
      <w:pPr>
        <w:tabs>
          <w:tab w:val="left" w:pos="630"/>
        </w:tabs>
        <w:spacing w:after="240" w:line="360" w:lineRule="exact"/>
        <w:rPr>
          <w:kern w:val="14"/>
        </w:rPr>
      </w:pPr>
      <w:r>
        <w:t xml:space="preserve">68. </w:t>
      </w:r>
      <w:r>
        <w:rPr>
          <w:rFonts w:hint="eastAsia"/>
        </w:rPr>
        <w:tab/>
      </w:r>
      <w:r>
        <w:rPr>
          <w:rFonts w:hint="eastAsia"/>
        </w:rPr>
        <w:t>立陶宛加重了对</w:t>
      </w:r>
      <w:r>
        <w:rPr>
          <w:rFonts w:hint="eastAsia"/>
          <w:kern w:val="14"/>
        </w:rPr>
        <w:t>贩卖人口承担的刑事责任。</w:t>
      </w:r>
      <w:r>
        <w:rPr>
          <w:kern w:val="14"/>
        </w:rPr>
        <w:t>2005</w:t>
      </w:r>
      <w:r>
        <w:rPr>
          <w:rFonts w:hint="eastAsia"/>
          <w:kern w:val="14"/>
        </w:rPr>
        <w:t>年</w:t>
      </w:r>
      <w:r>
        <w:rPr>
          <w:rFonts w:hint="eastAsia"/>
          <w:kern w:val="14"/>
        </w:rPr>
        <w:t>6</w:t>
      </w:r>
      <w:r>
        <w:rPr>
          <w:rFonts w:hint="eastAsia"/>
          <w:kern w:val="14"/>
        </w:rPr>
        <w:t>月</w:t>
      </w:r>
      <w:r>
        <w:rPr>
          <w:rFonts w:hint="eastAsia"/>
          <w:kern w:val="14"/>
        </w:rPr>
        <w:t>23</w:t>
      </w:r>
      <w:r>
        <w:rPr>
          <w:rFonts w:hint="eastAsia"/>
          <w:kern w:val="14"/>
        </w:rPr>
        <w:t>日，</w:t>
      </w:r>
      <w:r>
        <w:rPr>
          <w:kern w:val="14"/>
        </w:rPr>
        <w:t>议会</w:t>
      </w:r>
      <w:r>
        <w:rPr>
          <w:rFonts w:hint="eastAsia"/>
          <w:kern w:val="14"/>
        </w:rPr>
        <w:t>通过法律修正了《立陶宛共和国刑法典》第</w:t>
      </w:r>
      <w:r>
        <w:rPr>
          <w:kern w:val="14"/>
        </w:rPr>
        <w:t>48</w:t>
      </w:r>
      <w:r>
        <w:rPr>
          <w:rFonts w:hint="eastAsia"/>
          <w:kern w:val="14"/>
        </w:rPr>
        <w:t>、第</w:t>
      </w:r>
      <w:r>
        <w:rPr>
          <w:kern w:val="14"/>
        </w:rPr>
        <w:t>60</w:t>
      </w:r>
      <w:r>
        <w:rPr>
          <w:rFonts w:hint="eastAsia"/>
          <w:kern w:val="14"/>
        </w:rPr>
        <w:t>、第</w:t>
      </w:r>
      <w:r>
        <w:rPr>
          <w:kern w:val="14"/>
        </w:rPr>
        <w:t>145</w:t>
      </w:r>
      <w:r>
        <w:rPr>
          <w:rFonts w:hint="eastAsia"/>
          <w:kern w:val="14"/>
        </w:rPr>
        <w:t>、第</w:t>
      </w:r>
      <w:r>
        <w:rPr>
          <w:kern w:val="14"/>
        </w:rPr>
        <w:t>147</w:t>
      </w:r>
      <w:r>
        <w:rPr>
          <w:rFonts w:hint="eastAsia"/>
          <w:kern w:val="14"/>
        </w:rPr>
        <w:t>、第</w:t>
      </w:r>
      <w:r>
        <w:rPr>
          <w:kern w:val="14"/>
        </w:rPr>
        <w:t>157</w:t>
      </w:r>
      <w:r>
        <w:rPr>
          <w:rFonts w:hint="eastAsia"/>
          <w:kern w:val="14"/>
        </w:rPr>
        <w:t>、第</w:t>
      </w:r>
      <w:r>
        <w:rPr>
          <w:kern w:val="14"/>
        </w:rPr>
        <w:t>212</w:t>
      </w:r>
      <w:r>
        <w:rPr>
          <w:rFonts w:hint="eastAsia"/>
          <w:kern w:val="14"/>
        </w:rPr>
        <w:t>、第</w:t>
      </w:r>
      <w:r>
        <w:rPr>
          <w:kern w:val="14"/>
        </w:rPr>
        <w:t>213</w:t>
      </w:r>
      <w:r>
        <w:rPr>
          <w:rFonts w:hint="eastAsia"/>
          <w:kern w:val="14"/>
        </w:rPr>
        <w:t>、第</w:t>
      </w:r>
      <w:r>
        <w:rPr>
          <w:kern w:val="14"/>
        </w:rPr>
        <w:t>214</w:t>
      </w:r>
      <w:r>
        <w:rPr>
          <w:rFonts w:hint="eastAsia"/>
          <w:kern w:val="14"/>
        </w:rPr>
        <w:t>、第</w:t>
      </w:r>
      <w:r>
        <w:rPr>
          <w:kern w:val="14"/>
        </w:rPr>
        <w:t>215</w:t>
      </w:r>
      <w:r>
        <w:rPr>
          <w:rFonts w:hint="eastAsia"/>
          <w:kern w:val="14"/>
        </w:rPr>
        <w:t>、第</w:t>
      </w:r>
      <w:r>
        <w:rPr>
          <w:kern w:val="14"/>
        </w:rPr>
        <w:t>226</w:t>
      </w:r>
      <w:r>
        <w:rPr>
          <w:rFonts w:hint="eastAsia"/>
          <w:kern w:val="14"/>
        </w:rPr>
        <w:t>、第</w:t>
      </w:r>
      <w:r>
        <w:rPr>
          <w:kern w:val="14"/>
        </w:rPr>
        <w:t>249</w:t>
      </w:r>
      <w:r>
        <w:rPr>
          <w:rFonts w:hint="eastAsia"/>
          <w:kern w:val="14"/>
        </w:rPr>
        <w:t>、第</w:t>
      </w:r>
      <w:r>
        <w:rPr>
          <w:kern w:val="14"/>
        </w:rPr>
        <w:t>251</w:t>
      </w:r>
      <w:r>
        <w:rPr>
          <w:rFonts w:hint="eastAsia"/>
          <w:kern w:val="14"/>
        </w:rPr>
        <w:t>、第</w:t>
      </w:r>
      <w:r>
        <w:rPr>
          <w:kern w:val="14"/>
        </w:rPr>
        <w:t>252</w:t>
      </w:r>
      <w:r>
        <w:rPr>
          <w:rFonts w:hint="eastAsia"/>
          <w:kern w:val="14"/>
        </w:rPr>
        <w:t>、第</w:t>
      </w:r>
      <w:r>
        <w:rPr>
          <w:kern w:val="14"/>
        </w:rPr>
        <w:t>256</w:t>
      </w:r>
      <w:r>
        <w:rPr>
          <w:rFonts w:hint="eastAsia"/>
          <w:kern w:val="14"/>
        </w:rPr>
        <w:t>、第</w:t>
      </w:r>
      <w:r>
        <w:rPr>
          <w:kern w:val="14"/>
        </w:rPr>
        <w:t>267</w:t>
      </w:r>
      <w:r>
        <w:rPr>
          <w:rFonts w:hint="eastAsia"/>
          <w:kern w:val="14"/>
        </w:rPr>
        <w:t>、第</w:t>
      </w:r>
      <w:r>
        <w:rPr>
          <w:kern w:val="14"/>
        </w:rPr>
        <w:t>270</w:t>
      </w:r>
      <w:r>
        <w:rPr>
          <w:rFonts w:hint="eastAsia"/>
          <w:kern w:val="14"/>
        </w:rPr>
        <w:t>、第</w:t>
      </w:r>
      <w:r>
        <w:rPr>
          <w:kern w:val="14"/>
        </w:rPr>
        <w:t>272</w:t>
      </w:r>
      <w:r>
        <w:rPr>
          <w:rFonts w:hint="eastAsia"/>
          <w:kern w:val="14"/>
        </w:rPr>
        <w:t>、第</w:t>
      </w:r>
      <w:r>
        <w:rPr>
          <w:kern w:val="14"/>
        </w:rPr>
        <w:t>274</w:t>
      </w:r>
      <w:r>
        <w:rPr>
          <w:rFonts w:hint="eastAsia"/>
          <w:kern w:val="14"/>
        </w:rPr>
        <w:t>和第</w:t>
      </w:r>
      <w:r>
        <w:rPr>
          <w:kern w:val="14"/>
        </w:rPr>
        <w:t>280</w:t>
      </w:r>
      <w:r>
        <w:rPr>
          <w:rFonts w:hint="eastAsia"/>
          <w:kern w:val="14"/>
        </w:rPr>
        <w:t>条，修正并增补了《刑法典》附件，并对《刑法典》增补了第</w:t>
      </w:r>
      <w:r>
        <w:rPr>
          <w:kern w:val="14"/>
        </w:rPr>
        <w:t>147</w:t>
      </w:r>
      <w:r>
        <w:rPr>
          <w:kern w:val="14"/>
          <w:szCs w:val="21"/>
          <w:vertAlign w:val="superscript"/>
        </w:rPr>
        <w:t>1</w:t>
      </w:r>
      <w:r>
        <w:rPr>
          <w:rFonts w:hint="eastAsia"/>
          <w:kern w:val="14"/>
        </w:rPr>
        <w:t>、第</w:t>
      </w:r>
      <w:r>
        <w:rPr>
          <w:kern w:val="14"/>
        </w:rPr>
        <w:t>199</w:t>
      </w:r>
      <w:r>
        <w:rPr>
          <w:kern w:val="14"/>
          <w:szCs w:val="21"/>
          <w:vertAlign w:val="superscript"/>
        </w:rPr>
        <w:t>1</w:t>
      </w:r>
      <w:r>
        <w:rPr>
          <w:rFonts w:hint="eastAsia"/>
          <w:kern w:val="14"/>
        </w:rPr>
        <w:t>、第</w:t>
      </w:r>
      <w:r>
        <w:rPr>
          <w:kern w:val="14"/>
        </w:rPr>
        <w:t>199</w:t>
      </w:r>
      <w:r>
        <w:rPr>
          <w:kern w:val="14"/>
          <w:szCs w:val="21"/>
          <w:vertAlign w:val="superscript"/>
        </w:rPr>
        <w:t>2</w:t>
      </w:r>
      <w:r>
        <w:rPr>
          <w:rFonts w:hint="eastAsia"/>
          <w:kern w:val="14"/>
        </w:rPr>
        <w:t>、第</w:t>
      </w:r>
      <w:r>
        <w:rPr>
          <w:kern w:val="14"/>
        </w:rPr>
        <w:t>267</w:t>
      </w:r>
      <w:r>
        <w:rPr>
          <w:kern w:val="14"/>
          <w:szCs w:val="21"/>
          <w:vertAlign w:val="superscript"/>
        </w:rPr>
        <w:t>1</w:t>
      </w:r>
      <w:r>
        <w:rPr>
          <w:rFonts w:hint="eastAsia"/>
          <w:kern w:val="14"/>
        </w:rPr>
        <w:t>、第</w:t>
      </w:r>
      <w:r>
        <w:rPr>
          <w:kern w:val="14"/>
        </w:rPr>
        <w:t>270</w:t>
      </w:r>
      <w:r>
        <w:rPr>
          <w:kern w:val="14"/>
          <w:szCs w:val="21"/>
          <w:vertAlign w:val="superscript"/>
        </w:rPr>
        <w:t>1</w:t>
      </w:r>
      <w:r>
        <w:rPr>
          <w:rFonts w:hint="eastAsia"/>
          <w:kern w:val="14"/>
        </w:rPr>
        <w:t>和第</w:t>
      </w:r>
      <w:r>
        <w:rPr>
          <w:kern w:val="14"/>
        </w:rPr>
        <w:t>308</w:t>
      </w:r>
      <w:r>
        <w:rPr>
          <w:kern w:val="14"/>
          <w:szCs w:val="21"/>
          <w:vertAlign w:val="superscript"/>
        </w:rPr>
        <w:t>1</w:t>
      </w:r>
      <w:r>
        <w:rPr>
          <w:rFonts w:hint="eastAsia"/>
          <w:kern w:val="14"/>
        </w:rPr>
        <w:t>条（</w:t>
      </w:r>
      <w:r>
        <w:rPr>
          <w:rFonts w:hint="eastAsia"/>
          <w:kern w:val="14"/>
        </w:rPr>
        <w:t>2005</w:t>
      </w:r>
      <w:r>
        <w:rPr>
          <w:rFonts w:hint="eastAsia"/>
          <w:kern w:val="14"/>
        </w:rPr>
        <w:t>年第</w:t>
      </w:r>
      <w:r>
        <w:rPr>
          <w:kern w:val="14"/>
        </w:rPr>
        <w:t>81-2945</w:t>
      </w:r>
      <w:r>
        <w:rPr>
          <w:rFonts w:hint="eastAsia"/>
          <w:kern w:val="14"/>
        </w:rPr>
        <w:t>号</w:t>
      </w:r>
      <w:r>
        <w:rPr>
          <w:kern w:val="14"/>
        </w:rPr>
        <w:t>《政府公报》</w:t>
      </w:r>
      <w:r>
        <w:rPr>
          <w:rFonts w:hint="eastAsia"/>
          <w:kern w:val="14"/>
        </w:rPr>
        <w:t>）。经过修正的《刑法典》第</w:t>
      </w:r>
      <w:r>
        <w:rPr>
          <w:kern w:val="14"/>
        </w:rPr>
        <w:t>147</w:t>
      </w:r>
      <w:r>
        <w:rPr>
          <w:rFonts w:hint="eastAsia"/>
          <w:kern w:val="14"/>
        </w:rPr>
        <w:t>条（贩卖人口）和《刑法典》第</w:t>
      </w:r>
      <w:r>
        <w:rPr>
          <w:rFonts w:hint="eastAsia"/>
          <w:kern w:val="14"/>
        </w:rPr>
        <w:t>157</w:t>
      </w:r>
      <w:r>
        <w:rPr>
          <w:rFonts w:hint="eastAsia"/>
          <w:kern w:val="14"/>
        </w:rPr>
        <w:t>条（买卖儿童）对这些行为规定了更为严厉的惩罚，并且规定了这些行为的法人应承担的刑事责任。立陶宛还通过补充了一项新的刑法规定，即强迫劳动剥削（《刑法典》第</w:t>
      </w:r>
      <w:r>
        <w:rPr>
          <w:kern w:val="14"/>
        </w:rPr>
        <w:t>147</w:t>
      </w:r>
      <w:r>
        <w:rPr>
          <w:rFonts w:hint="eastAsia"/>
          <w:kern w:val="14"/>
        </w:rPr>
        <w:t>条</w:t>
      </w:r>
      <w:r>
        <w:rPr>
          <w:kern w:val="14"/>
          <w:szCs w:val="21"/>
          <w:vertAlign w:val="superscript"/>
        </w:rPr>
        <w:t>1</w:t>
      </w:r>
      <w:r>
        <w:rPr>
          <w:rFonts w:hint="eastAsia"/>
          <w:kern w:val="14"/>
        </w:rPr>
        <w:t>），对《刑法典》进行增补，其中规定凡使用暴力或威胁使用暴力或者以其他方式剥夺某人的对抗机会或者利用某人的依赖性而非法强迫该人从事某项工作或在奴役或非人道条件下工作的个人，要承担刑事责任。该法律改写了关于打击贩卖人口的委员会</w:t>
      </w:r>
      <w:r>
        <w:rPr>
          <w:rFonts w:hint="eastAsia"/>
          <w:kern w:val="14"/>
        </w:rPr>
        <w:t>2002</w:t>
      </w:r>
      <w:r>
        <w:rPr>
          <w:rFonts w:hint="eastAsia"/>
          <w:kern w:val="14"/>
        </w:rPr>
        <w:t>年</w:t>
      </w:r>
      <w:r>
        <w:rPr>
          <w:rFonts w:hint="eastAsia"/>
          <w:kern w:val="14"/>
        </w:rPr>
        <w:t>7</w:t>
      </w:r>
      <w:r>
        <w:rPr>
          <w:rFonts w:hint="eastAsia"/>
          <w:kern w:val="14"/>
        </w:rPr>
        <w:t>月</w:t>
      </w:r>
      <w:r>
        <w:rPr>
          <w:rFonts w:hint="eastAsia"/>
          <w:kern w:val="14"/>
        </w:rPr>
        <w:t>19</w:t>
      </w:r>
      <w:r>
        <w:rPr>
          <w:rFonts w:hint="eastAsia"/>
          <w:kern w:val="14"/>
        </w:rPr>
        <w:t>日第</w:t>
      </w:r>
      <w:r>
        <w:rPr>
          <w:kern w:val="14"/>
        </w:rPr>
        <w:t>2002/629/JHA</w:t>
      </w:r>
      <w:r>
        <w:rPr>
          <w:rFonts w:hint="eastAsia"/>
          <w:kern w:val="14"/>
        </w:rPr>
        <w:t>号框架决定的规定（</w:t>
      </w:r>
      <w:r>
        <w:rPr>
          <w:kern w:val="14"/>
        </w:rPr>
        <w:t>OL 2004</w:t>
      </w:r>
      <w:r>
        <w:rPr>
          <w:rFonts w:hint="eastAsia"/>
          <w:kern w:val="14"/>
        </w:rPr>
        <w:t>专辑，第</w:t>
      </w:r>
      <w:r>
        <w:rPr>
          <w:rFonts w:hint="eastAsia"/>
          <w:kern w:val="14"/>
        </w:rPr>
        <w:t>6</w:t>
      </w:r>
      <w:r>
        <w:rPr>
          <w:rFonts w:hint="eastAsia"/>
          <w:kern w:val="14"/>
        </w:rPr>
        <w:t>卷，第</w:t>
      </w:r>
      <w:r>
        <w:rPr>
          <w:rFonts w:hint="eastAsia"/>
          <w:kern w:val="14"/>
        </w:rPr>
        <w:t>19</w:t>
      </w:r>
      <w:r>
        <w:rPr>
          <w:rFonts w:hint="eastAsia"/>
          <w:kern w:val="14"/>
        </w:rPr>
        <w:t>章，第</w:t>
      </w:r>
      <w:r>
        <w:rPr>
          <w:rFonts w:hint="eastAsia"/>
          <w:kern w:val="14"/>
        </w:rPr>
        <w:t>52</w:t>
      </w:r>
      <w:r>
        <w:rPr>
          <w:rFonts w:hint="eastAsia"/>
          <w:kern w:val="14"/>
        </w:rPr>
        <w:t>页）。本报告附件表</w:t>
      </w:r>
      <w:r>
        <w:rPr>
          <w:rFonts w:hint="eastAsia"/>
          <w:kern w:val="14"/>
        </w:rPr>
        <w:t>3</w:t>
      </w:r>
      <w:r>
        <w:rPr>
          <w:rFonts w:hint="eastAsia"/>
          <w:kern w:val="14"/>
        </w:rPr>
        <w:t>提供了与《刑法典》第</w:t>
      </w:r>
      <w:r>
        <w:rPr>
          <w:rFonts w:hint="eastAsia"/>
          <w:kern w:val="14"/>
        </w:rPr>
        <w:t>147</w:t>
      </w:r>
      <w:r>
        <w:rPr>
          <w:rFonts w:hint="eastAsia"/>
          <w:kern w:val="14"/>
        </w:rPr>
        <w:t>条有关的</w:t>
      </w:r>
      <w:r>
        <w:rPr>
          <w:kern w:val="14"/>
        </w:rPr>
        <w:t>2005-2006</w:t>
      </w:r>
      <w:r>
        <w:rPr>
          <w:rFonts w:hint="eastAsia"/>
          <w:kern w:val="14"/>
        </w:rPr>
        <w:t>年统计信息。</w:t>
      </w:r>
    </w:p>
    <w:p w:rsidR="00595751" w:rsidRDefault="00595751">
      <w:pPr>
        <w:tabs>
          <w:tab w:val="left" w:pos="630"/>
        </w:tabs>
        <w:spacing w:after="240" w:line="360" w:lineRule="exact"/>
        <w:rPr>
          <w:kern w:val="14"/>
        </w:rPr>
      </w:pPr>
      <w:r>
        <w:t xml:space="preserve">69. </w:t>
      </w:r>
      <w:r>
        <w:rPr>
          <w:rFonts w:hint="eastAsia"/>
        </w:rPr>
        <w:tab/>
      </w:r>
      <w:r>
        <w:rPr>
          <w:kern w:val="14"/>
        </w:rPr>
        <w:t>2005</w:t>
      </w:r>
      <w:r>
        <w:rPr>
          <w:rFonts w:hint="eastAsia"/>
          <w:kern w:val="14"/>
        </w:rPr>
        <w:t>年间，根据《刑法典》第</w:t>
      </w:r>
      <w:r>
        <w:rPr>
          <w:rFonts w:hint="eastAsia"/>
          <w:kern w:val="14"/>
        </w:rPr>
        <w:t>307</w:t>
      </w:r>
      <w:r>
        <w:rPr>
          <w:rFonts w:hint="eastAsia"/>
          <w:kern w:val="14"/>
        </w:rPr>
        <w:t>条（从他人卖淫获利）对</w:t>
      </w:r>
      <w:r>
        <w:rPr>
          <w:kern w:val="14"/>
        </w:rPr>
        <w:t>24</w:t>
      </w:r>
      <w:r>
        <w:rPr>
          <w:rFonts w:hint="eastAsia"/>
          <w:kern w:val="14"/>
        </w:rPr>
        <w:t>起案件进行了审前立案侦查，其中</w:t>
      </w:r>
      <w:r>
        <w:rPr>
          <w:kern w:val="14"/>
        </w:rPr>
        <w:t>7</w:t>
      </w:r>
      <w:r>
        <w:rPr>
          <w:rFonts w:hint="eastAsia"/>
          <w:kern w:val="14"/>
        </w:rPr>
        <w:t>起涉及从未成年人卖淫获利。根据《刑法典》第</w:t>
      </w:r>
      <w:r>
        <w:rPr>
          <w:rFonts w:hint="eastAsia"/>
          <w:kern w:val="14"/>
        </w:rPr>
        <w:t>308</w:t>
      </w:r>
      <w:r>
        <w:rPr>
          <w:rFonts w:hint="eastAsia"/>
          <w:kern w:val="14"/>
        </w:rPr>
        <w:t>条（强迫他人卖淫），有关方面启动了</w:t>
      </w:r>
      <w:r>
        <w:rPr>
          <w:rFonts w:hint="eastAsia"/>
          <w:kern w:val="14"/>
        </w:rPr>
        <w:t>6</w:t>
      </w:r>
      <w:r>
        <w:rPr>
          <w:rFonts w:hint="eastAsia"/>
          <w:kern w:val="14"/>
        </w:rPr>
        <w:t>起案件的审前侦查。值得注意的是，这种犯罪活动牵涉到贩卖人口。在对贩卖人口的犯罪活动预审之后，有些案件缺乏证据，被定性为从他人卖淫获利或唆使他人卖淫的犯罪活动。在许多情况下，贩卖人口活动是通过适用模拟犯罪活动模型或在边境管制站截获被贩卖妇女才发现的。</w:t>
      </w:r>
    </w:p>
    <w:p w:rsidR="00595751" w:rsidRDefault="00595751">
      <w:pPr>
        <w:tabs>
          <w:tab w:val="left" w:pos="630"/>
        </w:tabs>
        <w:spacing w:after="240" w:line="360" w:lineRule="exact"/>
        <w:rPr>
          <w:kern w:val="14"/>
        </w:rPr>
      </w:pPr>
      <w:r>
        <w:t xml:space="preserve">70. </w:t>
      </w:r>
      <w:r>
        <w:rPr>
          <w:rFonts w:hint="eastAsia"/>
        </w:rPr>
        <w:tab/>
      </w:r>
      <w:r>
        <w:rPr>
          <w:kern w:val="14"/>
        </w:rPr>
        <w:t>2006</w:t>
      </w:r>
      <w:r>
        <w:rPr>
          <w:rFonts w:hint="eastAsia"/>
          <w:kern w:val="14"/>
        </w:rPr>
        <w:t>年，根据《刑法典》第</w:t>
      </w:r>
      <w:r>
        <w:rPr>
          <w:rFonts w:hint="eastAsia"/>
          <w:kern w:val="14"/>
        </w:rPr>
        <w:t>157</w:t>
      </w:r>
      <w:r>
        <w:rPr>
          <w:rFonts w:hint="eastAsia"/>
          <w:kern w:val="14"/>
        </w:rPr>
        <w:t>条（买卖儿童）立案侦查了三起案件；又根据第</w:t>
      </w:r>
      <w:r>
        <w:rPr>
          <w:rFonts w:hint="eastAsia"/>
          <w:kern w:val="14"/>
        </w:rPr>
        <w:t>307</w:t>
      </w:r>
      <w:r>
        <w:rPr>
          <w:rFonts w:hint="eastAsia"/>
          <w:kern w:val="14"/>
        </w:rPr>
        <w:t>条（从他人卖淫获利）立案侦查了</w:t>
      </w:r>
      <w:r>
        <w:rPr>
          <w:rFonts w:hint="eastAsia"/>
          <w:kern w:val="14"/>
        </w:rPr>
        <w:t>33</w:t>
      </w:r>
      <w:r>
        <w:rPr>
          <w:rFonts w:hint="eastAsia"/>
          <w:kern w:val="14"/>
        </w:rPr>
        <w:t>起案件，其中有</w:t>
      </w:r>
      <w:r>
        <w:rPr>
          <w:rFonts w:hint="eastAsia"/>
          <w:kern w:val="14"/>
        </w:rPr>
        <w:t>17</w:t>
      </w:r>
      <w:r>
        <w:rPr>
          <w:rFonts w:hint="eastAsia"/>
          <w:kern w:val="14"/>
        </w:rPr>
        <w:t>个案件涉及利用未成年人卖淫获利。根据《刑法典》第</w:t>
      </w:r>
      <w:r>
        <w:rPr>
          <w:kern w:val="14"/>
        </w:rPr>
        <w:t>308</w:t>
      </w:r>
      <w:r>
        <w:rPr>
          <w:rFonts w:hint="eastAsia"/>
          <w:kern w:val="14"/>
        </w:rPr>
        <w:t>条（唆使他人卖淫），有</w:t>
      </w:r>
      <w:r>
        <w:rPr>
          <w:rFonts w:hint="eastAsia"/>
          <w:kern w:val="14"/>
        </w:rPr>
        <w:t>17</w:t>
      </w:r>
      <w:r>
        <w:rPr>
          <w:rFonts w:hint="eastAsia"/>
          <w:kern w:val="14"/>
        </w:rPr>
        <w:t>起案件立案侦查。这些案件也牵涉贩卖人口问题。</w:t>
      </w:r>
      <w:r>
        <w:rPr>
          <w:rFonts w:hint="eastAsia"/>
          <w:kern w:val="14"/>
        </w:rPr>
        <w:t>2006</w:t>
      </w:r>
      <w:r>
        <w:rPr>
          <w:rFonts w:hint="eastAsia"/>
          <w:kern w:val="14"/>
        </w:rPr>
        <w:t>年没有根据《刑法典》第</w:t>
      </w:r>
      <w:r>
        <w:rPr>
          <w:kern w:val="14"/>
        </w:rPr>
        <w:t>147</w:t>
      </w:r>
      <w:r>
        <w:rPr>
          <w:rFonts w:hint="eastAsia"/>
          <w:kern w:val="14"/>
        </w:rPr>
        <w:t>条</w:t>
      </w:r>
      <w:r>
        <w:rPr>
          <w:kern w:val="14"/>
          <w:szCs w:val="21"/>
          <w:vertAlign w:val="superscript"/>
        </w:rPr>
        <w:t>1</w:t>
      </w:r>
      <w:r>
        <w:rPr>
          <w:rFonts w:hint="eastAsia"/>
          <w:kern w:val="14"/>
        </w:rPr>
        <w:t>（强迫劳动意图剥削）对案件进行审前立案侦查。</w:t>
      </w:r>
    </w:p>
    <w:p w:rsidR="00595751" w:rsidRDefault="00595751">
      <w:pPr>
        <w:tabs>
          <w:tab w:val="left" w:pos="630"/>
        </w:tabs>
        <w:spacing w:after="240" w:line="360" w:lineRule="exact"/>
        <w:rPr>
          <w:kern w:val="14"/>
        </w:rPr>
      </w:pPr>
      <w:r>
        <w:t xml:space="preserve">71. </w:t>
      </w:r>
      <w:r>
        <w:rPr>
          <w:rFonts w:hint="eastAsia"/>
        </w:rPr>
        <w:tab/>
      </w:r>
      <w:r>
        <w:rPr>
          <w:rFonts w:hint="eastAsia"/>
        </w:rPr>
        <w:t>立陶宛</w:t>
      </w:r>
      <w:r>
        <w:rPr>
          <w:rFonts w:hint="eastAsia"/>
          <w:kern w:val="14"/>
        </w:rPr>
        <w:t>正在改进旨在打击性剥削和色情活动的法律条款。这些问题特别影响妇女的生活。立陶宛通过了修正《刑法典》第</w:t>
      </w:r>
      <w:r>
        <w:rPr>
          <w:rFonts w:hint="eastAsia"/>
          <w:kern w:val="14"/>
        </w:rPr>
        <w:t>149</w:t>
      </w:r>
      <w:r>
        <w:rPr>
          <w:rFonts w:hint="eastAsia"/>
          <w:kern w:val="14"/>
        </w:rPr>
        <w:t>、第</w:t>
      </w:r>
      <w:r>
        <w:rPr>
          <w:rFonts w:hint="eastAsia"/>
          <w:kern w:val="14"/>
        </w:rPr>
        <w:t>150</w:t>
      </w:r>
      <w:r>
        <w:rPr>
          <w:rFonts w:hint="eastAsia"/>
          <w:kern w:val="14"/>
        </w:rPr>
        <w:t>、第</w:t>
      </w:r>
      <w:r>
        <w:rPr>
          <w:rFonts w:hint="eastAsia"/>
          <w:kern w:val="14"/>
        </w:rPr>
        <w:t>162</w:t>
      </w:r>
      <w:r>
        <w:rPr>
          <w:rFonts w:hint="eastAsia"/>
          <w:kern w:val="14"/>
        </w:rPr>
        <w:t>、第</w:t>
      </w:r>
      <w:r>
        <w:rPr>
          <w:rFonts w:hint="eastAsia"/>
          <w:kern w:val="14"/>
        </w:rPr>
        <w:t>260</w:t>
      </w:r>
      <w:r>
        <w:rPr>
          <w:rFonts w:hint="eastAsia"/>
          <w:kern w:val="14"/>
        </w:rPr>
        <w:t>、第</w:t>
      </w:r>
      <w:r>
        <w:rPr>
          <w:rFonts w:hint="eastAsia"/>
          <w:kern w:val="14"/>
        </w:rPr>
        <w:t>265</w:t>
      </w:r>
      <w:r>
        <w:rPr>
          <w:rFonts w:hint="eastAsia"/>
          <w:kern w:val="14"/>
        </w:rPr>
        <w:t>、第</w:t>
      </w:r>
      <w:r>
        <w:rPr>
          <w:rFonts w:hint="eastAsia"/>
          <w:kern w:val="14"/>
        </w:rPr>
        <w:t>266</w:t>
      </w:r>
      <w:r>
        <w:rPr>
          <w:rFonts w:hint="eastAsia"/>
          <w:kern w:val="14"/>
        </w:rPr>
        <w:t>、第</w:t>
      </w:r>
      <w:r>
        <w:rPr>
          <w:rFonts w:hint="eastAsia"/>
          <w:kern w:val="14"/>
        </w:rPr>
        <w:t>307</w:t>
      </w:r>
      <w:r>
        <w:rPr>
          <w:rFonts w:hint="eastAsia"/>
          <w:kern w:val="14"/>
        </w:rPr>
        <w:t>、第</w:t>
      </w:r>
      <w:r>
        <w:rPr>
          <w:kern w:val="14"/>
        </w:rPr>
        <w:t>3</w:t>
      </w:r>
      <w:r>
        <w:rPr>
          <w:rFonts w:hint="eastAsia"/>
          <w:kern w:val="14"/>
        </w:rPr>
        <w:t>08</w:t>
      </w:r>
      <w:r>
        <w:rPr>
          <w:rFonts w:hint="eastAsia"/>
          <w:kern w:val="14"/>
        </w:rPr>
        <w:t>和第</w:t>
      </w:r>
      <w:r>
        <w:rPr>
          <w:rFonts w:hint="eastAsia"/>
          <w:kern w:val="14"/>
        </w:rPr>
        <w:t>309</w:t>
      </w:r>
      <w:r>
        <w:rPr>
          <w:rFonts w:hint="eastAsia"/>
          <w:kern w:val="14"/>
        </w:rPr>
        <w:t>条，修正并增补了《刑法典》附件，对《刑法典》增补了第</w:t>
      </w:r>
      <w:r>
        <w:rPr>
          <w:kern w:val="14"/>
        </w:rPr>
        <w:t>1</w:t>
      </w:r>
      <w:r>
        <w:rPr>
          <w:rFonts w:hint="eastAsia"/>
          <w:kern w:val="14"/>
        </w:rPr>
        <w:t>51</w:t>
      </w:r>
      <w:r>
        <w:rPr>
          <w:kern w:val="14"/>
          <w:szCs w:val="21"/>
          <w:vertAlign w:val="superscript"/>
        </w:rPr>
        <w:t>1</w:t>
      </w:r>
      <w:r>
        <w:rPr>
          <w:rFonts w:hint="eastAsia"/>
          <w:kern w:val="14"/>
        </w:rPr>
        <w:t>条（</w:t>
      </w:r>
      <w:r>
        <w:rPr>
          <w:rFonts w:hint="eastAsia"/>
          <w:kern w:val="14"/>
        </w:rPr>
        <w:t>2006</w:t>
      </w:r>
      <w:r>
        <w:rPr>
          <w:rFonts w:hint="eastAsia"/>
          <w:kern w:val="14"/>
        </w:rPr>
        <w:t>年第</w:t>
      </w:r>
      <w:r>
        <w:rPr>
          <w:kern w:val="14"/>
        </w:rPr>
        <w:t>77-2961</w:t>
      </w:r>
      <w:r>
        <w:rPr>
          <w:rFonts w:hint="eastAsia"/>
          <w:kern w:val="14"/>
        </w:rPr>
        <w:t>号</w:t>
      </w:r>
      <w:r>
        <w:rPr>
          <w:kern w:val="14"/>
        </w:rPr>
        <w:t>《政府公报》</w:t>
      </w:r>
      <w:r>
        <w:rPr>
          <w:rFonts w:hint="eastAsia"/>
          <w:kern w:val="14"/>
        </w:rPr>
        <w:t>），该法律修正了《刑法典》第</w:t>
      </w:r>
      <w:r>
        <w:rPr>
          <w:kern w:val="14"/>
        </w:rPr>
        <w:t>162</w:t>
      </w:r>
      <w:r>
        <w:rPr>
          <w:rFonts w:hint="eastAsia"/>
          <w:kern w:val="14"/>
        </w:rPr>
        <w:t>条（为色情目的剥削儿童）和第</w:t>
      </w:r>
      <w:r>
        <w:rPr>
          <w:kern w:val="14"/>
        </w:rPr>
        <w:t>309</w:t>
      </w:r>
      <w:r>
        <w:rPr>
          <w:rFonts w:hint="eastAsia"/>
          <w:kern w:val="14"/>
        </w:rPr>
        <w:t>条（淫秽物品交易）。修正内容加重了此类罪行的法律责任。《刑法典》第</w:t>
      </w:r>
      <w:r>
        <w:rPr>
          <w:kern w:val="14"/>
        </w:rPr>
        <w:t>162</w:t>
      </w:r>
      <w:r>
        <w:rPr>
          <w:kern w:val="14"/>
        </w:rPr>
        <w:t>（</w:t>
      </w:r>
      <w:r>
        <w:rPr>
          <w:kern w:val="14"/>
        </w:rPr>
        <w:t>1</w:t>
      </w:r>
      <w:r>
        <w:rPr>
          <w:kern w:val="14"/>
        </w:rPr>
        <w:t>）</w:t>
      </w:r>
      <w:r>
        <w:rPr>
          <w:rFonts w:hint="eastAsia"/>
          <w:kern w:val="14"/>
        </w:rPr>
        <w:t>条规定的判处监禁的最长刑期已增至</w:t>
      </w:r>
      <w:r>
        <w:rPr>
          <w:rFonts w:hint="eastAsia"/>
          <w:kern w:val="14"/>
        </w:rPr>
        <w:t>5</w:t>
      </w:r>
      <w:r>
        <w:rPr>
          <w:rFonts w:hint="eastAsia"/>
          <w:kern w:val="14"/>
        </w:rPr>
        <w:t>年。《刑法典》第</w:t>
      </w:r>
      <w:r>
        <w:rPr>
          <w:kern w:val="14"/>
        </w:rPr>
        <w:t>309</w:t>
      </w:r>
      <w:r>
        <w:rPr>
          <w:rFonts w:hint="eastAsia"/>
          <w:kern w:val="14"/>
        </w:rPr>
        <w:t>条新增了第</w:t>
      </w:r>
      <w:r>
        <w:rPr>
          <w:rFonts w:hint="eastAsia"/>
          <w:kern w:val="14"/>
        </w:rPr>
        <w:t>3</w:t>
      </w:r>
      <w:r>
        <w:rPr>
          <w:rFonts w:hint="eastAsia"/>
          <w:kern w:val="14"/>
        </w:rPr>
        <w:t>款，空出了大量制作、占有或传播描绘少儿的色情物品的犯罪行为并对其加重刑事责任。新增条款的罚则部分规定对单项罪行最多可判处</w:t>
      </w:r>
      <w:r>
        <w:rPr>
          <w:rFonts w:hint="eastAsia"/>
          <w:kern w:val="14"/>
        </w:rPr>
        <w:t>5</w:t>
      </w:r>
      <w:r>
        <w:rPr>
          <w:rFonts w:hint="eastAsia"/>
          <w:kern w:val="14"/>
        </w:rPr>
        <w:t>年徒刑。</w:t>
      </w:r>
    </w:p>
    <w:p w:rsidR="00595751" w:rsidRDefault="00595751">
      <w:pPr>
        <w:tabs>
          <w:tab w:val="left" w:pos="630"/>
        </w:tabs>
        <w:spacing w:after="240" w:line="360" w:lineRule="exact"/>
        <w:rPr>
          <w:kern w:val="14"/>
        </w:rPr>
      </w:pPr>
      <w:r>
        <w:t xml:space="preserve">72. </w:t>
      </w:r>
      <w:r>
        <w:rPr>
          <w:rFonts w:hint="eastAsia"/>
        </w:rPr>
        <w:tab/>
      </w:r>
      <w:r>
        <w:rPr>
          <w:kern w:val="14"/>
        </w:rPr>
        <w:t>2005</w:t>
      </w:r>
      <w:r>
        <w:rPr>
          <w:rFonts w:hint="eastAsia"/>
          <w:kern w:val="14"/>
        </w:rPr>
        <w:t>年，（通过</w:t>
      </w:r>
      <w:r>
        <w:rPr>
          <w:rFonts w:hint="eastAsia"/>
          <w:kern w:val="14"/>
        </w:rPr>
        <w:t>2005</w:t>
      </w:r>
      <w:r>
        <w:rPr>
          <w:rFonts w:hint="eastAsia"/>
          <w:kern w:val="14"/>
        </w:rPr>
        <w:t>年</w:t>
      </w:r>
      <w:r>
        <w:rPr>
          <w:rFonts w:hint="eastAsia"/>
          <w:kern w:val="14"/>
        </w:rPr>
        <w:t>6</w:t>
      </w:r>
      <w:r>
        <w:rPr>
          <w:rFonts w:hint="eastAsia"/>
          <w:kern w:val="14"/>
        </w:rPr>
        <w:t>月</w:t>
      </w:r>
      <w:r>
        <w:rPr>
          <w:rFonts w:hint="eastAsia"/>
          <w:kern w:val="14"/>
        </w:rPr>
        <w:t>16</w:t>
      </w:r>
      <w:r>
        <w:rPr>
          <w:rFonts w:hint="eastAsia"/>
          <w:kern w:val="14"/>
        </w:rPr>
        <w:t>日第</w:t>
      </w:r>
      <w:r>
        <w:rPr>
          <w:kern w:val="14"/>
        </w:rPr>
        <w:t>X-249</w:t>
      </w:r>
      <w:r>
        <w:rPr>
          <w:rFonts w:hint="eastAsia"/>
          <w:kern w:val="14"/>
        </w:rPr>
        <w:t>号法律）对《立陶宛共和国行政违法法典》（</w:t>
      </w:r>
      <w:r>
        <w:rPr>
          <w:rFonts w:hint="eastAsia"/>
          <w:kern w:val="14"/>
        </w:rPr>
        <w:t>1985</w:t>
      </w:r>
      <w:r>
        <w:rPr>
          <w:rFonts w:hint="eastAsia"/>
          <w:kern w:val="14"/>
        </w:rPr>
        <w:t>年第</w:t>
      </w:r>
      <w:r>
        <w:rPr>
          <w:rFonts w:hint="eastAsia"/>
          <w:kern w:val="14"/>
        </w:rPr>
        <w:t>1-1</w:t>
      </w:r>
      <w:r>
        <w:rPr>
          <w:rFonts w:hint="eastAsia"/>
          <w:kern w:val="14"/>
        </w:rPr>
        <w:t>号</w:t>
      </w:r>
      <w:r>
        <w:rPr>
          <w:kern w:val="14"/>
        </w:rPr>
        <w:t>《政府公报》</w:t>
      </w:r>
      <w:r>
        <w:rPr>
          <w:rFonts w:hint="eastAsia"/>
          <w:kern w:val="14"/>
        </w:rPr>
        <w:t>）进行了修正，规定了利用卖淫服务敛财的行政责任。根据《立陶宛共和国行政违法法典》（以下称《行政违法法典》）第</w:t>
      </w:r>
      <w:r>
        <w:rPr>
          <w:kern w:val="14"/>
        </w:rPr>
        <w:t>182</w:t>
      </w:r>
      <w:r>
        <w:rPr>
          <w:rFonts w:hint="eastAsia"/>
          <w:kern w:val="14"/>
        </w:rPr>
        <w:t>条</w:t>
      </w:r>
      <w:r>
        <w:rPr>
          <w:kern w:val="14"/>
          <w:szCs w:val="21"/>
          <w:vertAlign w:val="superscript"/>
        </w:rPr>
        <w:t>1</w:t>
      </w:r>
      <w:r>
        <w:rPr>
          <w:rFonts w:hint="eastAsia"/>
          <w:kern w:val="14"/>
        </w:rPr>
        <w:t>，对提供或利用卖淫服务敛财行为罚款</w:t>
      </w:r>
      <w:r>
        <w:rPr>
          <w:rFonts w:hint="eastAsia"/>
          <w:kern w:val="14"/>
        </w:rPr>
        <w:t>300</w:t>
      </w:r>
      <w:r>
        <w:rPr>
          <w:rFonts w:hint="eastAsia"/>
          <w:kern w:val="14"/>
        </w:rPr>
        <w:t>至</w:t>
      </w:r>
      <w:r>
        <w:rPr>
          <w:rFonts w:hint="eastAsia"/>
          <w:kern w:val="14"/>
        </w:rPr>
        <w:t>500</w:t>
      </w:r>
      <w:r>
        <w:rPr>
          <w:rFonts w:hint="eastAsia"/>
          <w:kern w:val="14"/>
        </w:rPr>
        <w:t>立特。《行政违法法典》还增补了一项规定，即行政责任对下列人等不适用：因为财务、职业或其他方面的依赖性而从事卖淫者，或在身心威逼或欺诈下从事卖淫者，或未成年人以任何方式从事卖淫者，以及</w:t>
      </w:r>
      <w:r>
        <w:rPr>
          <w:rFonts w:hint="eastAsia"/>
          <w:kern w:val="14"/>
        </w:rPr>
        <w:t>/</w:t>
      </w:r>
      <w:r>
        <w:rPr>
          <w:rFonts w:hint="eastAsia"/>
          <w:kern w:val="14"/>
        </w:rPr>
        <w:t>或者成为贩卖人口的受害者并且已在刑事诉讼中被确认为受害者的个人。</w:t>
      </w:r>
      <w:r>
        <w:rPr>
          <w:kern w:val="14"/>
        </w:rPr>
        <w:t>2005-2006</w:t>
      </w:r>
      <w:r>
        <w:rPr>
          <w:rFonts w:hint="eastAsia"/>
          <w:kern w:val="14"/>
        </w:rPr>
        <w:t>年记录了</w:t>
      </w:r>
      <w:r>
        <w:rPr>
          <w:rFonts w:hint="eastAsia"/>
          <w:kern w:val="14"/>
        </w:rPr>
        <w:t>7</w:t>
      </w:r>
      <w:r>
        <w:rPr>
          <w:rFonts w:hint="eastAsia"/>
          <w:kern w:val="14"/>
        </w:rPr>
        <w:t>宗此种犯罪；</w:t>
      </w:r>
      <w:r>
        <w:rPr>
          <w:rFonts w:hint="eastAsia"/>
          <w:kern w:val="14"/>
        </w:rPr>
        <w:t>2007</w:t>
      </w:r>
      <w:r>
        <w:rPr>
          <w:rFonts w:hint="eastAsia"/>
          <w:kern w:val="14"/>
        </w:rPr>
        <w:t>年前</w:t>
      </w:r>
      <w:r>
        <w:rPr>
          <w:rFonts w:hint="eastAsia"/>
          <w:kern w:val="14"/>
        </w:rPr>
        <w:t>5</w:t>
      </w:r>
      <w:r>
        <w:rPr>
          <w:rFonts w:hint="eastAsia"/>
          <w:kern w:val="14"/>
        </w:rPr>
        <w:t>个月有</w:t>
      </w:r>
      <w:r>
        <w:rPr>
          <w:rFonts w:hint="eastAsia"/>
          <w:kern w:val="14"/>
        </w:rPr>
        <w:t>4</w:t>
      </w:r>
      <w:r>
        <w:rPr>
          <w:rFonts w:hint="eastAsia"/>
          <w:kern w:val="14"/>
        </w:rPr>
        <w:t>宗。对罪犯追究了行政责任并处以</w:t>
      </w:r>
      <w:r>
        <w:rPr>
          <w:rFonts w:hint="eastAsia"/>
          <w:kern w:val="14"/>
        </w:rPr>
        <w:t>300-500</w:t>
      </w:r>
      <w:r>
        <w:rPr>
          <w:rFonts w:hint="eastAsia"/>
          <w:kern w:val="14"/>
        </w:rPr>
        <w:t>立特罚款。</w:t>
      </w:r>
    </w:p>
    <w:p w:rsidR="00595751" w:rsidRDefault="00595751">
      <w:pPr>
        <w:tabs>
          <w:tab w:val="left" w:pos="630"/>
        </w:tabs>
        <w:spacing w:after="240" w:line="360" w:lineRule="exact"/>
        <w:rPr>
          <w:kern w:val="14"/>
        </w:rPr>
      </w:pPr>
      <w:bookmarkStart w:id="13" w:name="P73269_1"/>
      <w:r>
        <w:t xml:space="preserve">73. </w:t>
      </w:r>
      <w:r>
        <w:rPr>
          <w:rFonts w:hint="eastAsia"/>
        </w:rPr>
        <w:tab/>
      </w:r>
      <w:r>
        <w:rPr>
          <w:kern w:val="14"/>
        </w:rPr>
        <w:t>2006</w:t>
      </w:r>
      <w:r>
        <w:rPr>
          <w:rFonts w:hint="eastAsia"/>
          <w:kern w:val="14"/>
        </w:rPr>
        <w:t>年</w:t>
      </w:r>
      <w:r>
        <w:rPr>
          <w:rFonts w:hint="eastAsia"/>
          <w:kern w:val="14"/>
        </w:rPr>
        <w:t>11</w:t>
      </w:r>
      <w:r>
        <w:rPr>
          <w:rFonts w:hint="eastAsia"/>
          <w:kern w:val="14"/>
        </w:rPr>
        <w:t>月</w:t>
      </w:r>
      <w:r>
        <w:rPr>
          <w:rFonts w:hint="eastAsia"/>
          <w:kern w:val="14"/>
        </w:rPr>
        <w:t>28</w:t>
      </w:r>
      <w:r>
        <w:rPr>
          <w:rFonts w:hint="eastAsia"/>
          <w:kern w:val="14"/>
        </w:rPr>
        <w:t>日，《立陶宛共和国外侨法律地位法》（</w:t>
      </w:r>
      <w:r>
        <w:rPr>
          <w:rFonts w:hint="eastAsia"/>
          <w:kern w:val="14"/>
        </w:rPr>
        <w:t>2004</w:t>
      </w:r>
      <w:r>
        <w:rPr>
          <w:rFonts w:hint="eastAsia"/>
          <w:kern w:val="14"/>
        </w:rPr>
        <w:t>年第</w:t>
      </w:r>
      <w:r>
        <w:rPr>
          <w:kern w:val="14"/>
        </w:rPr>
        <w:t>73-2539</w:t>
      </w:r>
      <w:r>
        <w:rPr>
          <w:rFonts w:hint="eastAsia"/>
          <w:kern w:val="14"/>
        </w:rPr>
        <w:t>号</w:t>
      </w:r>
      <w:r>
        <w:rPr>
          <w:kern w:val="14"/>
        </w:rPr>
        <w:t>《政府公报》</w:t>
      </w:r>
      <w:r>
        <w:rPr>
          <w:rFonts w:hint="eastAsia"/>
          <w:kern w:val="14"/>
        </w:rPr>
        <w:t>）增补了第</w:t>
      </w:r>
      <w:r>
        <w:rPr>
          <w:kern w:val="14"/>
        </w:rPr>
        <w:t>49</w:t>
      </w:r>
      <w:r>
        <w:rPr>
          <w:rFonts w:hint="eastAsia"/>
          <w:kern w:val="14"/>
        </w:rPr>
        <w:t>条，</w:t>
      </w:r>
      <w:r>
        <w:rPr>
          <w:kern w:val="14"/>
          <w:szCs w:val="21"/>
          <w:vertAlign w:val="superscript"/>
        </w:rPr>
        <w:t>1</w:t>
      </w:r>
      <w:r>
        <w:rPr>
          <w:rFonts w:hint="eastAsia"/>
          <w:kern w:val="14"/>
        </w:rPr>
        <w:t>规定在打击贩卖人口或牵涉贩卖人口的其他犯罪的斗争中，向与审前刑侦机构或法院合作的外国人签发临时居留许可证。该条规定，对于为审前刑侦机构或法院充当中间人的外国人，应为其签发为期</w:t>
      </w:r>
      <w:r>
        <w:rPr>
          <w:rFonts w:hint="eastAsia"/>
          <w:kern w:val="14"/>
        </w:rPr>
        <w:t>6</w:t>
      </w:r>
      <w:r>
        <w:rPr>
          <w:rFonts w:hint="eastAsia"/>
          <w:kern w:val="14"/>
        </w:rPr>
        <w:t>个月的临时居留许可证。</w:t>
      </w:r>
    </w:p>
    <w:p w:rsidR="00595751" w:rsidRDefault="00595751">
      <w:pPr>
        <w:tabs>
          <w:tab w:val="left" w:pos="630"/>
        </w:tabs>
        <w:spacing w:after="240" w:line="360" w:lineRule="exact"/>
        <w:rPr>
          <w:kern w:val="14"/>
        </w:rPr>
      </w:pPr>
      <w:bookmarkStart w:id="14" w:name="organizacija"/>
      <w:bookmarkEnd w:id="13"/>
      <w:r>
        <w:t>74.</w:t>
      </w:r>
      <w:r>
        <w:rPr>
          <w:rFonts w:hint="eastAsia"/>
        </w:rPr>
        <w:tab/>
      </w:r>
      <w:r>
        <w:rPr>
          <w:kern w:val="14"/>
        </w:rPr>
        <w:t>2006</w:t>
      </w:r>
      <w:r>
        <w:rPr>
          <w:rFonts w:hint="eastAsia"/>
          <w:kern w:val="14"/>
        </w:rPr>
        <w:t>年</w:t>
      </w:r>
      <w:r>
        <w:rPr>
          <w:rFonts w:hint="eastAsia"/>
          <w:kern w:val="14"/>
        </w:rPr>
        <w:t>9</w:t>
      </w:r>
      <w:r>
        <w:rPr>
          <w:rFonts w:hint="eastAsia"/>
          <w:kern w:val="14"/>
        </w:rPr>
        <w:t>月</w:t>
      </w:r>
      <w:r>
        <w:rPr>
          <w:rFonts w:hint="eastAsia"/>
          <w:kern w:val="14"/>
        </w:rPr>
        <w:t>11</w:t>
      </w:r>
      <w:r>
        <w:rPr>
          <w:rFonts w:hint="eastAsia"/>
          <w:kern w:val="14"/>
        </w:rPr>
        <w:t>日，《立陶宛共和国向公众提供信息法》修正案（</w:t>
      </w:r>
      <w:r>
        <w:rPr>
          <w:rFonts w:hint="eastAsia"/>
          <w:kern w:val="14"/>
        </w:rPr>
        <w:t>2006</w:t>
      </w:r>
      <w:r>
        <w:rPr>
          <w:rFonts w:hint="eastAsia"/>
          <w:kern w:val="14"/>
        </w:rPr>
        <w:t>年第</w:t>
      </w:r>
      <w:r>
        <w:rPr>
          <w:kern w:val="14"/>
        </w:rPr>
        <w:t>82-3254</w:t>
      </w:r>
      <w:r>
        <w:rPr>
          <w:rFonts w:hint="eastAsia"/>
          <w:kern w:val="14"/>
        </w:rPr>
        <w:t>号</w:t>
      </w:r>
      <w:r>
        <w:rPr>
          <w:kern w:val="14"/>
        </w:rPr>
        <w:t>《政府公报》</w:t>
      </w:r>
      <w:r>
        <w:rPr>
          <w:rFonts w:hint="eastAsia"/>
          <w:kern w:val="14"/>
        </w:rPr>
        <w:t>）生效。修正案给“色情性质的信息”下了定义；对出版和传播色情性质的信息提出了限制；规定了保护未成年人的发育免受不良信息影响的原则；定义了广告宣传概念及对广告内容的要求；界定了立陶宛广播电视委员会和新闻工作者职业道德视察员的职权范围，以监测《立陶宛共和国保护未成年人免受公共信息不良影响法》（</w:t>
      </w:r>
      <w:r>
        <w:rPr>
          <w:rFonts w:hint="eastAsia"/>
          <w:kern w:val="14"/>
        </w:rPr>
        <w:t>2002</w:t>
      </w:r>
      <w:r>
        <w:rPr>
          <w:rFonts w:hint="eastAsia"/>
          <w:kern w:val="14"/>
        </w:rPr>
        <w:t>年第</w:t>
      </w:r>
      <w:r>
        <w:rPr>
          <w:kern w:val="14"/>
        </w:rPr>
        <w:t>91-3890</w:t>
      </w:r>
      <w:r>
        <w:rPr>
          <w:rFonts w:hint="eastAsia"/>
          <w:kern w:val="14"/>
        </w:rPr>
        <w:t>号</w:t>
      </w:r>
      <w:r>
        <w:rPr>
          <w:kern w:val="14"/>
        </w:rPr>
        <w:t>《政府公报》</w:t>
      </w:r>
      <w:r>
        <w:rPr>
          <w:rFonts w:hint="eastAsia"/>
          <w:kern w:val="14"/>
        </w:rPr>
        <w:t>）的遵守情况等。修正案旨在确保加强对出版和传播此类信息的管制，因为现在将由一位公共官员来履行这种管理职能。按照《向公众提供信息法》（</w:t>
      </w:r>
      <w:r>
        <w:rPr>
          <w:rFonts w:hint="eastAsia"/>
          <w:kern w:val="14"/>
        </w:rPr>
        <w:t>1996</w:t>
      </w:r>
      <w:r>
        <w:rPr>
          <w:rFonts w:hint="eastAsia"/>
          <w:kern w:val="14"/>
        </w:rPr>
        <w:t>年</w:t>
      </w:r>
      <w:r>
        <w:rPr>
          <w:rFonts w:hint="eastAsia"/>
          <w:kern w:val="14"/>
        </w:rPr>
        <w:t>7</w:t>
      </w:r>
      <w:r>
        <w:rPr>
          <w:rFonts w:hint="eastAsia"/>
          <w:kern w:val="14"/>
        </w:rPr>
        <w:t>月</w:t>
      </w:r>
      <w:r>
        <w:rPr>
          <w:rFonts w:hint="eastAsia"/>
          <w:kern w:val="14"/>
        </w:rPr>
        <w:t>2</w:t>
      </w:r>
      <w:r>
        <w:rPr>
          <w:rFonts w:hint="eastAsia"/>
          <w:kern w:val="14"/>
        </w:rPr>
        <w:t>日第</w:t>
      </w:r>
      <w:r>
        <w:rPr>
          <w:kern w:val="14"/>
        </w:rPr>
        <w:t>I-1418</w:t>
      </w:r>
      <w:r>
        <w:rPr>
          <w:rFonts w:hint="eastAsia"/>
          <w:kern w:val="14"/>
        </w:rPr>
        <w:t>号法律）先前的版本，这种管制职能由新闻出版工作者职业道德委员会负责履行。</w:t>
      </w:r>
      <w:r>
        <w:rPr>
          <w:kern w:val="14"/>
        </w:rPr>
        <w:t>《行政违法法典》</w:t>
      </w:r>
      <w:r>
        <w:rPr>
          <w:rFonts w:hint="eastAsia"/>
          <w:kern w:val="14"/>
        </w:rPr>
        <w:t>第</w:t>
      </w:r>
      <w:r>
        <w:rPr>
          <w:kern w:val="14"/>
        </w:rPr>
        <w:t>247</w:t>
      </w:r>
      <w:r>
        <w:rPr>
          <w:rFonts w:hint="eastAsia"/>
          <w:kern w:val="14"/>
        </w:rPr>
        <w:t>条</w:t>
      </w:r>
      <w:r>
        <w:rPr>
          <w:kern w:val="14"/>
          <w:szCs w:val="21"/>
          <w:vertAlign w:val="superscript"/>
        </w:rPr>
        <w:t>8</w:t>
      </w:r>
      <w:r>
        <w:rPr>
          <w:rFonts w:hint="eastAsia"/>
          <w:kern w:val="14"/>
        </w:rPr>
        <w:t>授权新闻工作者职业道德视察员依照</w:t>
      </w:r>
      <w:r>
        <w:rPr>
          <w:kern w:val="14"/>
        </w:rPr>
        <w:t>《行政违法法典》</w:t>
      </w:r>
      <w:r>
        <w:rPr>
          <w:rFonts w:hint="eastAsia"/>
          <w:kern w:val="14"/>
        </w:rPr>
        <w:t>第</w:t>
      </w:r>
      <w:r>
        <w:rPr>
          <w:kern w:val="14"/>
        </w:rPr>
        <w:t>214</w:t>
      </w:r>
      <w:r>
        <w:rPr>
          <w:rFonts w:hint="eastAsia"/>
          <w:kern w:val="14"/>
        </w:rPr>
        <w:t>条</w:t>
      </w:r>
      <w:r>
        <w:rPr>
          <w:kern w:val="14"/>
          <w:szCs w:val="21"/>
          <w:vertAlign w:val="superscript"/>
        </w:rPr>
        <w:t>19</w:t>
      </w:r>
      <w:r>
        <w:rPr>
          <w:rFonts w:hint="eastAsia"/>
          <w:kern w:val="14"/>
        </w:rPr>
        <w:t>，对违规或违禁出版传播有害于未成年人发育的信息的大众媒体追究行政责任，限制或禁止它们出版和传播这种信息。</w:t>
      </w:r>
    </w:p>
    <w:bookmarkEnd w:id="14"/>
    <w:p w:rsidR="00595751" w:rsidRDefault="00595751">
      <w:pPr>
        <w:tabs>
          <w:tab w:val="left" w:pos="630"/>
        </w:tabs>
        <w:spacing w:after="240" w:line="360" w:lineRule="exact"/>
        <w:rPr>
          <w:kern w:val="14"/>
        </w:rPr>
      </w:pPr>
      <w:r>
        <w:t>75.</w:t>
      </w:r>
      <w:r>
        <w:rPr>
          <w:rFonts w:hint="eastAsia"/>
        </w:rPr>
        <w:tab/>
      </w:r>
      <w:r>
        <w:rPr>
          <w:rFonts w:hint="eastAsia"/>
        </w:rPr>
        <w:t>立陶宛</w:t>
      </w:r>
      <w:r>
        <w:rPr>
          <w:rFonts w:hint="eastAsia"/>
          <w:kern w:val="14"/>
        </w:rPr>
        <w:t>对贩卖人口的受害者提供了更多的援助。</w:t>
      </w:r>
      <w:r>
        <w:rPr>
          <w:kern w:val="14"/>
        </w:rPr>
        <w:t>2006</w:t>
      </w:r>
      <w:r>
        <w:rPr>
          <w:rFonts w:hint="eastAsia"/>
          <w:kern w:val="14"/>
        </w:rPr>
        <w:t>年</w:t>
      </w:r>
      <w:r>
        <w:rPr>
          <w:rFonts w:hint="eastAsia"/>
          <w:kern w:val="14"/>
        </w:rPr>
        <w:t>9</w:t>
      </w:r>
      <w:r>
        <w:rPr>
          <w:rFonts w:hint="eastAsia"/>
          <w:kern w:val="14"/>
        </w:rPr>
        <w:t>月</w:t>
      </w:r>
      <w:r>
        <w:rPr>
          <w:rFonts w:hint="eastAsia"/>
          <w:kern w:val="14"/>
        </w:rPr>
        <w:t>1</w:t>
      </w:r>
      <w:r>
        <w:rPr>
          <w:rFonts w:hint="eastAsia"/>
          <w:kern w:val="14"/>
        </w:rPr>
        <w:t>日，《就业支助法》生效。根据该法律，贩卖人口的受害者在完成了社会心理和</w:t>
      </w:r>
      <w:r>
        <w:rPr>
          <w:rFonts w:hint="eastAsia"/>
          <w:kern w:val="14"/>
        </w:rPr>
        <w:t>/</w:t>
      </w:r>
      <w:r>
        <w:rPr>
          <w:rFonts w:hint="eastAsia"/>
          <w:kern w:val="14"/>
        </w:rPr>
        <w:t>或职业康复方案之后进一步得到劳动力市场的支持。在此基础上，持有完成这些方案证明的人就有资格从就业基金所资助的支助性就业措施中受益了。有关部门通过与职业介绍所和劳工管理机构以及向贩卖人口受害者提供社会援助的非政府组织的合作，协力执行该法律的规定。</w:t>
      </w:r>
    </w:p>
    <w:p w:rsidR="00595751" w:rsidRDefault="00595751">
      <w:pPr>
        <w:tabs>
          <w:tab w:val="left" w:pos="630"/>
        </w:tabs>
        <w:spacing w:after="240" w:line="360" w:lineRule="exact"/>
        <w:rPr>
          <w:kern w:val="14"/>
        </w:rPr>
      </w:pPr>
      <w:r>
        <w:t>76.</w:t>
      </w:r>
      <w:r>
        <w:rPr>
          <w:rFonts w:hint="eastAsia"/>
        </w:rPr>
        <w:tab/>
      </w:r>
      <w:r>
        <w:rPr>
          <w:rFonts w:hint="eastAsia"/>
          <w:kern w:val="14"/>
        </w:rPr>
        <w:t>《</w:t>
      </w:r>
      <w:r>
        <w:rPr>
          <w:kern w:val="14"/>
        </w:rPr>
        <w:t>2005-2008</w:t>
      </w:r>
      <w:r>
        <w:rPr>
          <w:rFonts w:hint="eastAsia"/>
          <w:kern w:val="14"/>
        </w:rPr>
        <w:t>年防止和控制贩运人口方案》的总体目标是在立陶宛共和国开发并建立一整套目标明确、长期控制和预防贩卖人口的综合措施体系。该方案的目标是采取综合性的、协调一致的系统化方式，在国家一级处理与贩卖人口有关的问题，同时预防和控制卖淫活动。该《方案》的主要指导方针是：加强保护贩卖人口受害者的权利和自由；有效预防贩卖人口；向贩卖人口受害者（尤其是儿童和妇女）提供社会援助与保护，促进其重新融入社会；有效打击牵涉贩卖人口的有组织犯罪和个人犯罪；在打击贩卖人口和向受害者提供一整套综合援助以保护受害者并使其重返社会方面，加强公共和市政当局及机构与非公共组织和国际组织协调一致的密切合作。</w:t>
      </w:r>
    </w:p>
    <w:p w:rsidR="00595751" w:rsidRDefault="00595751">
      <w:pPr>
        <w:tabs>
          <w:tab w:val="left" w:pos="630"/>
        </w:tabs>
        <w:spacing w:after="240" w:line="360" w:lineRule="exact"/>
        <w:rPr>
          <w:kern w:val="14"/>
        </w:rPr>
      </w:pPr>
      <w:r>
        <w:rPr>
          <w:rFonts w:hint="eastAsia"/>
          <w:kern w:val="14"/>
        </w:rPr>
        <w:t>77</w:t>
      </w:r>
      <w:r>
        <w:rPr>
          <w:rFonts w:hint="eastAsia"/>
          <w:kern w:val="14"/>
        </w:rPr>
        <w:t>．贩卖人口的受害者重返社会和劳动力市场，是《</w:t>
      </w:r>
      <w:r>
        <w:rPr>
          <w:kern w:val="14"/>
        </w:rPr>
        <w:t>2005-2008</w:t>
      </w:r>
      <w:r>
        <w:rPr>
          <w:rFonts w:hint="eastAsia"/>
          <w:kern w:val="14"/>
        </w:rPr>
        <w:t>年防止和控制贩运人口方案》的优先任务之一。为了实现这一目标，立陶宛每年从国家预算中拨款，支助公共当局和非政府组织旨在向贩卖人口受害者提供社会援助与保护并促使其重返社会的项目。举例说明，</w:t>
      </w:r>
      <w:r>
        <w:rPr>
          <w:rFonts w:hint="eastAsia"/>
          <w:kern w:val="14"/>
        </w:rPr>
        <w:t>2005</w:t>
      </w:r>
      <w:r>
        <w:rPr>
          <w:rFonts w:hint="eastAsia"/>
          <w:kern w:val="14"/>
        </w:rPr>
        <w:t>年国家预算支助了</w:t>
      </w:r>
      <w:r>
        <w:rPr>
          <w:rFonts w:hint="eastAsia"/>
          <w:kern w:val="14"/>
        </w:rPr>
        <w:t>11</w:t>
      </w:r>
      <w:r>
        <w:rPr>
          <w:rFonts w:hint="eastAsia"/>
          <w:kern w:val="14"/>
        </w:rPr>
        <w:t>个此类项目；</w:t>
      </w:r>
      <w:r>
        <w:rPr>
          <w:rFonts w:hint="eastAsia"/>
          <w:kern w:val="14"/>
        </w:rPr>
        <w:t>287</w:t>
      </w:r>
      <w:r>
        <w:rPr>
          <w:rFonts w:hint="eastAsia"/>
          <w:kern w:val="14"/>
        </w:rPr>
        <w:t>名贩卖人口受害者（均为妇女）得到援助；其中</w:t>
      </w:r>
      <w:r>
        <w:rPr>
          <w:kern w:val="14"/>
        </w:rPr>
        <w:t>73</w:t>
      </w:r>
      <w:r>
        <w:rPr>
          <w:rFonts w:hint="eastAsia"/>
          <w:kern w:val="14"/>
        </w:rPr>
        <w:t>人得到食宿，其余的人得到咨询服务和信息。在参加项目的</w:t>
      </w:r>
      <w:r>
        <w:rPr>
          <w:kern w:val="14"/>
        </w:rPr>
        <w:t>287</w:t>
      </w:r>
      <w:r>
        <w:rPr>
          <w:rFonts w:hint="eastAsia"/>
          <w:kern w:val="14"/>
        </w:rPr>
        <w:t>名贩卖人口受害者中，有</w:t>
      </w:r>
      <w:r>
        <w:rPr>
          <w:rFonts w:hint="eastAsia"/>
          <w:kern w:val="14"/>
        </w:rPr>
        <w:t>76</w:t>
      </w:r>
      <w:r>
        <w:rPr>
          <w:rFonts w:hint="eastAsia"/>
          <w:kern w:val="14"/>
        </w:rPr>
        <w:t>人获得了普通和</w:t>
      </w:r>
      <w:r>
        <w:rPr>
          <w:rFonts w:hint="eastAsia"/>
          <w:kern w:val="14"/>
        </w:rPr>
        <w:t>/</w:t>
      </w:r>
      <w:r>
        <w:rPr>
          <w:rFonts w:hint="eastAsia"/>
          <w:kern w:val="14"/>
        </w:rPr>
        <w:t>或职业教育，</w:t>
      </w:r>
      <w:r>
        <w:rPr>
          <w:kern w:val="14"/>
        </w:rPr>
        <w:t>63</w:t>
      </w:r>
      <w:r>
        <w:rPr>
          <w:rFonts w:hint="eastAsia"/>
          <w:kern w:val="14"/>
        </w:rPr>
        <w:t>人融入劳动力市场，还有</w:t>
      </w:r>
      <w:r>
        <w:rPr>
          <w:kern w:val="14"/>
        </w:rPr>
        <w:t>107</w:t>
      </w:r>
      <w:r>
        <w:rPr>
          <w:rFonts w:hint="eastAsia"/>
          <w:kern w:val="14"/>
        </w:rPr>
        <w:t>人重返社会。参加该项目的大多数贩卖人口受害者都是年轻姑娘和年轻妇女：其中将近</w:t>
      </w:r>
      <w:r>
        <w:rPr>
          <w:kern w:val="14"/>
        </w:rPr>
        <w:t>70%</w:t>
      </w:r>
      <w:r>
        <w:rPr>
          <w:rFonts w:hint="eastAsia"/>
          <w:kern w:val="14"/>
        </w:rPr>
        <w:t>的在</w:t>
      </w:r>
      <w:r>
        <w:rPr>
          <w:rFonts w:hint="eastAsia"/>
          <w:kern w:val="14"/>
        </w:rPr>
        <w:t>26</w:t>
      </w:r>
      <w:r>
        <w:rPr>
          <w:rFonts w:hint="eastAsia"/>
          <w:kern w:val="14"/>
        </w:rPr>
        <w:t>岁以下。</w:t>
      </w:r>
    </w:p>
    <w:p w:rsidR="00595751" w:rsidRDefault="00595751">
      <w:pPr>
        <w:tabs>
          <w:tab w:val="left" w:pos="630"/>
        </w:tabs>
        <w:spacing w:after="240" w:line="360" w:lineRule="exact"/>
        <w:rPr>
          <w:kern w:val="14"/>
        </w:rPr>
      </w:pPr>
      <w:r>
        <w:t>78.</w:t>
      </w:r>
      <w:r>
        <w:rPr>
          <w:rFonts w:hint="eastAsia"/>
        </w:rPr>
        <w:tab/>
      </w:r>
      <w:r>
        <w:rPr>
          <w:kern w:val="14"/>
        </w:rPr>
        <w:t>2006</w:t>
      </w:r>
      <w:r>
        <w:rPr>
          <w:rFonts w:hint="eastAsia"/>
          <w:kern w:val="14"/>
        </w:rPr>
        <w:t>年，共有</w:t>
      </w:r>
      <w:r>
        <w:rPr>
          <w:kern w:val="14"/>
        </w:rPr>
        <w:t>13</w:t>
      </w:r>
      <w:r>
        <w:rPr>
          <w:rFonts w:hint="eastAsia"/>
          <w:kern w:val="14"/>
        </w:rPr>
        <w:t>个项目得到国家预算的支助，涉及到</w:t>
      </w:r>
      <w:r>
        <w:rPr>
          <w:kern w:val="14"/>
        </w:rPr>
        <w:t>402</w:t>
      </w:r>
      <w:r>
        <w:rPr>
          <w:rFonts w:hint="eastAsia"/>
          <w:kern w:val="14"/>
        </w:rPr>
        <w:t>名贩卖人口受害者，其中</w:t>
      </w:r>
      <w:r>
        <w:rPr>
          <w:rFonts w:hint="eastAsia"/>
          <w:kern w:val="14"/>
        </w:rPr>
        <w:t>3</w:t>
      </w:r>
      <w:r>
        <w:rPr>
          <w:rFonts w:hint="eastAsia"/>
          <w:kern w:val="14"/>
        </w:rPr>
        <w:t>人为男子，</w:t>
      </w:r>
      <w:r>
        <w:rPr>
          <w:rFonts w:hint="eastAsia"/>
          <w:kern w:val="14"/>
        </w:rPr>
        <w:t>399</w:t>
      </w:r>
      <w:r>
        <w:rPr>
          <w:rFonts w:hint="eastAsia"/>
          <w:kern w:val="14"/>
        </w:rPr>
        <w:t>人为妇女（包括</w:t>
      </w:r>
      <w:r>
        <w:rPr>
          <w:rFonts w:hint="eastAsia"/>
          <w:kern w:val="14"/>
        </w:rPr>
        <w:t>111</w:t>
      </w:r>
      <w:r>
        <w:rPr>
          <w:rFonts w:hint="eastAsia"/>
          <w:kern w:val="14"/>
        </w:rPr>
        <w:t>名母亲）。有</w:t>
      </w:r>
      <w:r>
        <w:rPr>
          <w:kern w:val="14"/>
        </w:rPr>
        <w:t>83</w:t>
      </w:r>
      <w:r>
        <w:rPr>
          <w:rFonts w:hint="eastAsia"/>
          <w:kern w:val="14"/>
        </w:rPr>
        <w:t>名受害者（其中</w:t>
      </w:r>
      <w:r>
        <w:rPr>
          <w:kern w:val="14"/>
        </w:rPr>
        <w:t>35</w:t>
      </w:r>
      <w:r>
        <w:rPr>
          <w:rFonts w:hint="eastAsia"/>
          <w:kern w:val="14"/>
        </w:rPr>
        <w:t>人有子女）得到食宿；另有</w:t>
      </w:r>
      <w:r>
        <w:rPr>
          <w:kern w:val="14"/>
        </w:rPr>
        <w:t>319</w:t>
      </w:r>
      <w:r>
        <w:rPr>
          <w:rFonts w:hint="eastAsia"/>
          <w:kern w:val="14"/>
        </w:rPr>
        <w:t>人（其中</w:t>
      </w:r>
      <w:r>
        <w:rPr>
          <w:kern w:val="14"/>
        </w:rPr>
        <w:t>76</w:t>
      </w:r>
      <w:r>
        <w:rPr>
          <w:rFonts w:hint="eastAsia"/>
          <w:kern w:val="14"/>
        </w:rPr>
        <w:t>人有子女）得到咨询服务和信息。在参加项目的</w:t>
      </w:r>
      <w:r>
        <w:rPr>
          <w:kern w:val="14"/>
        </w:rPr>
        <w:t>402</w:t>
      </w:r>
      <w:r>
        <w:rPr>
          <w:rFonts w:hint="eastAsia"/>
          <w:kern w:val="14"/>
        </w:rPr>
        <w:t>名贩卖人口受害者中，有</w:t>
      </w:r>
      <w:r>
        <w:rPr>
          <w:kern w:val="14"/>
        </w:rPr>
        <w:t>90</w:t>
      </w:r>
      <w:r>
        <w:rPr>
          <w:rFonts w:hint="eastAsia"/>
          <w:kern w:val="14"/>
        </w:rPr>
        <w:t>人接受了普通和</w:t>
      </w:r>
      <w:r>
        <w:rPr>
          <w:rFonts w:hint="eastAsia"/>
          <w:kern w:val="14"/>
        </w:rPr>
        <w:t>/</w:t>
      </w:r>
      <w:r>
        <w:rPr>
          <w:rFonts w:hint="eastAsia"/>
          <w:kern w:val="14"/>
        </w:rPr>
        <w:t>或职业教育，</w:t>
      </w:r>
      <w:r>
        <w:rPr>
          <w:rFonts w:hint="eastAsia"/>
          <w:kern w:val="14"/>
        </w:rPr>
        <w:t>122</w:t>
      </w:r>
      <w:r>
        <w:rPr>
          <w:rFonts w:hint="eastAsia"/>
          <w:kern w:val="14"/>
        </w:rPr>
        <w:t>人融入劳动力市场，</w:t>
      </w:r>
      <w:r>
        <w:rPr>
          <w:kern w:val="14"/>
        </w:rPr>
        <w:t>149</w:t>
      </w:r>
      <w:r>
        <w:rPr>
          <w:rFonts w:hint="eastAsia"/>
          <w:kern w:val="14"/>
        </w:rPr>
        <w:t>人重返社会，</w:t>
      </w:r>
      <w:r>
        <w:rPr>
          <w:kern w:val="14"/>
        </w:rPr>
        <w:t>245</w:t>
      </w:r>
      <w:r>
        <w:rPr>
          <w:rFonts w:hint="eastAsia"/>
          <w:kern w:val="14"/>
        </w:rPr>
        <w:t>人参加了再培训和</w:t>
      </w:r>
      <w:r>
        <w:rPr>
          <w:rFonts w:hint="eastAsia"/>
          <w:kern w:val="14"/>
        </w:rPr>
        <w:t>/</w:t>
      </w:r>
      <w:r>
        <w:rPr>
          <w:rFonts w:hint="eastAsia"/>
          <w:kern w:val="14"/>
        </w:rPr>
        <w:t>或计算机扫盲班，恢复了学籍，参加了各种讲座，并接受了咨询服务。立陶宛每年从国家预算中拨款</w:t>
      </w:r>
      <w:r>
        <w:rPr>
          <w:rFonts w:hint="eastAsia"/>
          <w:kern w:val="14"/>
        </w:rPr>
        <w:t>40</w:t>
      </w:r>
      <w:r>
        <w:rPr>
          <w:rFonts w:hint="eastAsia"/>
          <w:kern w:val="14"/>
        </w:rPr>
        <w:t>万立特来支助此类项目。</w:t>
      </w:r>
    </w:p>
    <w:p w:rsidR="00595751" w:rsidRDefault="00595751">
      <w:pPr>
        <w:tabs>
          <w:tab w:val="left" w:pos="630"/>
        </w:tabs>
        <w:spacing w:after="240" w:line="360" w:lineRule="exact"/>
        <w:rPr>
          <w:kern w:val="14"/>
        </w:rPr>
      </w:pPr>
      <w:r>
        <w:t>79.</w:t>
      </w:r>
      <w:r>
        <w:rPr>
          <w:rFonts w:hint="eastAsia"/>
        </w:rPr>
        <w:tab/>
      </w:r>
      <w:r>
        <w:rPr>
          <w:rFonts w:hint="eastAsia"/>
          <w:kern w:val="14"/>
        </w:rPr>
        <w:t>维尔纽斯有</w:t>
      </w:r>
      <w:r>
        <w:rPr>
          <w:rFonts w:hint="eastAsia"/>
          <w:kern w:val="14"/>
        </w:rPr>
        <w:t>4</w:t>
      </w:r>
      <w:r>
        <w:rPr>
          <w:rFonts w:hint="eastAsia"/>
          <w:kern w:val="14"/>
        </w:rPr>
        <w:t>家特别咨询室（</w:t>
      </w:r>
      <w:r>
        <w:rPr>
          <w:rFonts w:hint="eastAsia"/>
          <w:kern w:val="14"/>
        </w:rPr>
        <w:t>2</w:t>
      </w:r>
      <w:r>
        <w:rPr>
          <w:rFonts w:hint="eastAsia"/>
          <w:kern w:val="14"/>
        </w:rPr>
        <w:t>家为妇科咨询，</w:t>
      </w:r>
      <w:r>
        <w:rPr>
          <w:rFonts w:hint="eastAsia"/>
          <w:kern w:val="14"/>
        </w:rPr>
        <w:t>1</w:t>
      </w:r>
      <w:r>
        <w:rPr>
          <w:rFonts w:hint="eastAsia"/>
          <w:kern w:val="14"/>
        </w:rPr>
        <w:t>家为心理咨询，</w:t>
      </w:r>
      <w:r>
        <w:rPr>
          <w:rFonts w:hint="eastAsia"/>
          <w:kern w:val="14"/>
        </w:rPr>
        <w:t>1</w:t>
      </w:r>
      <w:r>
        <w:rPr>
          <w:rFonts w:hint="eastAsia"/>
          <w:kern w:val="14"/>
        </w:rPr>
        <w:t>家为社会咨询），在这里，从事卖淫的妇女可以得到医疗和社会援助。根据卫生部的数据，</w:t>
      </w:r>
      <w:r>
        <w:rPr>
          <w:rFonts w:hint="eastAsia"/>
          <w:kern w:val="14"/>
        </w:rPr>
        <w:t>2006</w:t>
      </w:r>
      <w:r>
        <w:rPr>
          <w:rFonts w:hint="eastAsia"/>
          <w:kern w:val="14"/>
        </w:rPr>
        <w:t>年与</w:t>
      </w:r>
      <w:r>
        <w:rPr>
          <w:rFonts w:hint="eastAsia"/>
          <w:kern w:val="14"/>
        </w:rPr>
        <w:t>213</w:t>
      </w:r>
      <w:r>
        <w:rPr>
          <w:rFonts w:hint="eastAsia"/>
          <w:kern w:val="14"/>
        </w:rPr>
        <w:t>名卖淫妇女进行了初次接触：其中</w:t>
      </w:r>
      <w:r>
        <w:rPr>
          <w:rFonts w:hint="eastAsia"/>
          <w:kern w:val="14"/>
        </w:rPr>
        <w:t>144</w:t>
      </w:r>
      <w:r>
        <w:rPr>
          <w:rFonts w:hint="eastAsia"/>
          <w:kern w:val="14"/>
        </w:rPr>
        <w:t>人得到医疗等援助，</w:t>
      </w:r>
      <w:r>
        <w:rPr>
          <w:rFonts w:hint="eastAsia"/>
          <w:kern w:val="14"/>
        </w:rPr>
        <w:t>72</w:t>
      </w:r>
      <w:r>
        <w:rPr>
          <w:rFonts w:hint="eastAsia"/>
          <w:kern w:val="14"/>
        </w:rPr>
        <w:t>人接受了体检和与性传播感染有关的咨询；有</w:t>
      </w:r>
      <w:r>
        <w:rPr>
          <w:rFonts w:hint="eastAsia"/>
          <w:kern w:val="14"/>
        </w:rPr>
        <w:t>36</w:t>
      </w:r>
      <w:r>
        <w:rPr>
          <w:rFonts w:hint="eastAsia"/>
          <w:kern w:val="14"/>
        </w:rPr>
        <w:t>名妇女得到进一步的咨询和医治。为了帮助这些妇女重返社会，为她们组织了社会教育课程，有</w:t>
      </w:r>
      <w:r>
        <w:rPr>
          <w:rFonts w:hint="eastAsia"/>
          <w:kern w:val="14"/>
        </w:rPr>
        <w:t>41</w:t>
      </w:r>
      <w:r>
        <w:rPr>
          <w:rFonts w:hint="eastAsia"/>
          <w:kern w:val="14"/>
        </w:rPr>
        <w:t>名妇女参加。另外，还组织了互助组，妇女可借以分享对自己很重要的信息（有</w:t>
      </w:r>
      <w:r>
        <w:rPr>
          <w:rFonts w:hint="eastAsia"/>
          <w:kern w:val="14"/>
        </w:rPr>
        <w:t>12</w:t>
      </w:r>
      <w:r>
        <w:rPr>
          <w:rFonts w:hint="eastAsia"/>
          <w:kern w:val="14"/>
        </w:rPr>
        <w:t>名妇女参加）；举办心理辅导班（总共</w:t>
      </w:r>
      <w:r>
        <w:rPr>
          <w:rFonts w:hint="eastAsia"/>
          <w:kern w:val="14"/>
        </w:rPr>
        <w:t>18</w:t>
      </w:r>
      <w:r>
        <w:rPr>
          <w:rFonts w:hint="eastAsia"/>
          <w:kern w:val="14"/>
        </w:rPr>
        <w:t>次课），在这里</w:t>
      </w:r>
      <w:r>
        <w:rPr>
          <w:rFonts w:hint="eastAsia"/>
          <w:kern w:val="14"/>
        </w:rPr>
        <w:t>27</w:t>
      </w:r>
      <w:r>
        <w:rPr>
          <w:rFonts w:hint="eastAsia"/>
          <w:kern w:val="14"/>
        </w:rPr>
        <w:t>名妇女接受如何自谋生路和树立自信的教育。除此之外，还成立了一个志愿者小组（</w:t>
      </w:r>
      <w:r>
        <w:rPr>
          <w:rFonts w:hint="eastAsia"/>
          <w:kern w:val="14"/>
        </w:rPr>
        <w:t>7</w:t>
      </w:r>
      <w:r>
        <w:rPr>
          <w:rFonts w:hint="eastAsia"/>
          <w:kern w:val="14"/>
        </w:rPr>
        <w:t>名志愿者），她们经过培训后向街头性工作者提供援助。</w:t>
      </w:r>
    </w:p>
    <w:p w:rsidR="00595751" w:rsidRDefault="00595751">
      <w:pPr>
        <w:tabs>
          <w:tab w:val="left" w:pos="630"/>
        </w:tabs>
        <w:spacing w:after="240" w:line="360" w:lineRule="exact"/>
        <w:rPr>
          <w:kern w:val="14"/>
        </w:rPr>
      </w:pPr>
      <w:r>
        <w:t>80.</w:t>
      </w:r>
      <w:r>
        <w:rPr>
          <w:rFonts w:hint="eastAsia"/>
        </w:rPr>
        <w:tab/>
      </w:r>
      <w:r>
        <w:rPr>
          <w:kern w:val="14"/>
        </w:rPr>
        <w:t>2006</w:t>
      </w:r>
      <w:r>
        <w:rPr>
          <w:rFonts w:hint="eastAsia"/>
          <w:kern w:val="14"/>
        </w:rPr>
        <w:t>年，社会分析和咨询中心进行了一项题为“立陶宛未成年贩卖人口受害者处境概况和未成年贩卖人口受害者康复方案概要”的研究。这项研究的结论描述了贩卖人口受害者人数上的发展动态和趋势，对提供给受害者的各种服务进行了评估，分析了欧盟各成员国在未成年贩卖人口受害者康复领域采取的现代做法，确定了这个问题在立陶宛的严重程度，并且概述了未成年贩卖人口受害者的康复方案。</w:t>
      </w:r>
    </w:p>
    <w:p w:rsidR="00595751" w:rsidRDefault="00595751">
      <w:pPr>
        <w:tabs>
          <w:tab w:val="left" w:pos="630"/>
        </w:tabs>
        <w:spacing w:after="240" w:line="360" w:lineRule="exact"/>
        <w:rPr>
          <w:kern w:val="14"/>
        </w:rPr>
      </w:pPr>
      <w:r>
        <w:t>81.</w:t>
      </w:r>
      <w:r>
        <w:rPr>
          <w:rFonts w:hint="eastAsia"/>
        </w:rPr>
        <w:tab/>
      </w:r>
      <w:r>
        <w:rPr>
          <w:rFonts w:hint="eastAsia"/>
          <w:kern w:val="14"/>
        </w:rPr>
        <w:t>为了打击贩卖人口活动，立陶宛建立了一个执法机构系统：</w:t>
      </w:r>
      <w:r>
        <w:rPr>
          <w:rFonts w:hint="eastAsia"/>
          <w:kern w:val="14"/>
        </w:rPr>
        <w:t>2006</w:t>
      </w:r>
      <w:r>
        <w:rPr>
          <w:rFonts w:hint="eastAsia"/>
          <w:kern w:val="14"/>
        </w:rPr>
        <w:t>年，立陶宛刑警局专门成立了一个贩卖人口刑侦科；根据总检察长的命令，来自总检察院、地区检察院和和地方检察院的</w:t>
      </w:r>
      <w:r>
        <w:rPr>
          <w:kern w:val="14"/>
        </w:rPr>
        <w:t>32</w:t>
      </w:r>
      <w:r>
        <w:rPr>
          <w:rFonts w:hint="eastAsia"/>
          <w:kern w:val="14"/>
        </w:rPr>
        <w:t>名专业检察官接受了任命，负责协调、组织和指导对牵涉贩卖人口的犯罪行为进行调查；责成总检察院的审前侦查控制科定期分析总结</w:t>
      </w:r>
      <w:r>
        <w:rPr>
          <w:kern w:val="14"/>
        </w:rPr>
        <w:t>立陶宛</w:t>
      </w:r>
      <w:r>
        <w:rPr>
          <w:rFonts w:hint="eastAsia"/>
          <w:kern w:val="14"/>
        </w:rPr>
        <w:t>的贩卖人口罪行审前侦查刑事诉讼状况，并责成公诉科定期分析总结在贩卖人口罪行刑事诉讼方面的公诉和法院做法。为了加强该执法系统，</w:t>
      </w:r>
      <w:r>
        <w:rPr>
          <w:rFonts w:hint="eastAsia"/>
          <w:kern w:val="14"/>
        </w:rPr>
        <w:t>2007</w:t>
      </w:r>
      <w:r>
        <w:rPr>
          <w:rFonts w:hint="eastAsia"/>
          <w:kern w:val="14"/>
        </w:rPr>
        <w:t>年，有</w:t>
      </w:r>
      <w:r>
        <w:rPr>
          <w:rFonts w:hint="eastAsia"/>
          <w:kern w:val="14"/>
        </w:rPr>
        <w:t>10</w:t>
      </w:r>
      <w:r>
        <w:rPr>
          <w:rFonts w:hint="eastAsia"/>
          <w:kern w:val="14"/>
        </w:rPr>
        <w:t>个高级警务单位设立了</w:t>
      </w:r>
      <w:r>
        <w:rPr>
          <w:rFonts w:hint="eastAsia"/>
          <w:kern w:val="14"/>
        </w:rPr>
        <w:t>10</w:t>
      </w:r>
      <w:r>
        <w:rPr>
          <w:rFonts w:hint="eastAsia"/>
          <w:kern w:val="14"/>
        </w:rPr>
        <w:t>个主管打击贩卖人口的职位。这样，预防和控制贩卖人口的工作便逐渐实行了权力下放，并改善了协调。</w:t>
      </w:r>
    </w:p>
    <w:p w:rsidR="00595751" w:rsidRDefault="00595751">
      <w:pPr>
        <w:tabs>
          <w:tab w:val="left" w:pos="630"/>
        </w:tabs>
        <w:spacing w:after="240" w:line="360" w:lineRule="exact"/>
        <w:rPr>
          <w:kern w:val="14"/>
        </w:rPr>
      </w:pPr>
      <w:r>
        <w:t>82.</w:t>
      </w:r>
      <w:r>
        <w:rPr>
          <w:rFonts w:hint="eastAsia"/>
        </w:rPr>
        <w:tab/>
      </w:r>
      <w:r>
        <w:rPr>
          <w:rFonts w:hint="eastAsia"/>
        </w:rPr>
        <w:t>立陶宛</w:t>
      </w:r>
      <w:r>
        <w:rPr>
          <w:rFonts w:hint="eastAsia"/>
          <w:kern w:val="14"/>
        </w:rPr>
        <w:t>正在增强各个领域处理贩卖人口受害者的能力。</w:t>
      </w:r>
      <w:r>
        <w:rPr>
          <w:kern w:val="14"/>
        </w:rPr>
        <w:t>2005</w:t>
      </w:r>
      <w:r>
        <w:rPr>
          <w:rFonts w:hint="eastAsia"/>
          <w:kern w:val="14"/>
        </w:rPr>
        <w:t>年，在“处理贩卖人口受害者的特殊性与援助形式”培训方案下组织了一期培训班。该课程旨在促使社会工作者、社会教育者、警官和其他社会伙伴熟悉贩卖人口概念、此种现象的发展动态和普及程度，以及对受害者的各种援助形式。此外，国际移徙组织与维尔纽斯大学合作为社会工作者编写的题为“贩卖妇女：问题、预防和对受害者的援助”的方法手册业经修订和再版。</w:t>
      </w:r>
    </w:p>
    <w:p w:rsidR="00595751" w:rsidRDefault="00595751">
      <w:pPr>
        <w:tabs>
          <w:tab w:val="left" w:pos="630"/>
        </w:tabs>
        <w:spacing w:after="240" w:line="360" w:lineRule="exact"/>
        <w:rPr>
          <w:kern w:val="14"/>
        </w:rPr>
      </w:pPr>
      <w:r>
        <w:t>83.</w:t>
      </w:r>
      <w:r>
        <w:rPr>
          <w:rFonts w:hint="eastAsia"/>
        </w:rPr>
        <w:tab/>
      </w:r>
      <w:r>
        <w:rPr>
          <w:rFonts w:hint="eastAsia"/>
          <w:kern w:val="14"/>
        </w:rPr>
        <w:t>根据</w:t>
      </w:r>
      <w:r>
        <w:rPr>
          <w:rFonts w:hint="eastAsia"/>
          <w:kern w:val="14"/>
        </w:rPr>
        <w:t>2005</w:t>
      </w:r>
      <w:r>
        <w:rPr>
          <w:rFonts w:hint="eastAsia"/>
          <w:kern w:val="14"/>
        </w:rPr>
        <w:t>年</w:t>
      </w:r>
      <w:r>
        <w:rPr>
          <w:rFonts w:hint="eastAsia"/>
          <w:kern w:val="14"/>
        </w:rPr>
        <w:t>12</w:t>
      </w:r>
      <w:r>
        <w:rPr>
          <w:rFonts w:hint="eastAsia"/>
          <w:kern w:val="14"/>
        </w:rPr>
        <w:t>月</w:t>
      </w:r>
      <w:r>
        <w:rPr>
          <w:rFonts w:hint="eastAsia"/>
          <w:kern w:val="14"/>
        </w:rPr>
        <w:t>28</w:t>
      </w:r>
      <w:r>
        <w:rPr>
          <w:rFonts w:hint="eastAsia"/>
          <w:kern w:val="14"/>
        </w:rPr>
        <w:t>日第</w:t>
      </w:r>
      <w:r>
        <w:rPr>
          <w:kern w:val="14"/>
        </w:rPr>
        <w:t>4-711</w:t>
      </w:r>
      <w:r>
        <w:rPr>
          <w:rFonts w:hint="eastAsia"/>
          <w:kern w:val="14"/>
        </w:rPr>
        <w:t>号命令，内政部下属的国家边境保护处（以下称边境保护处）司令核准为边境保护处官员编写的“尽早预防向国外贩运未成年人意图贩卖”方法指导方针。</w:t>
      </w:r>
    </w:p>
    <w:p w:rsidR="00595751" w:rsidRDefault="00595751" w:rsidP="00DB491E">
      <w:pPr>
        <w:tabs>
          <w:tab w:val="left" w:pos="630"/>
        </w:tabs>
        <w:spacing w:after="240" w:line="360" w:lineRule="exact"/>
        <w:ind w:firstLineChars="300" w:firstLine="31680"/>
        <w:rPr>
          <w:kern w:val="14"/>
        </w:rPr>
      </w:pPr>
      <w:r>
        <w:rPr>
          <w:kern w:val="14"/>
        </w:rPr>
        <w:t>2006</w:t>
      </w:r>
      <w:r>
        <w:rPr>
          <w:rFonts w:hint="eastAsia"/>
          <w:kern w:val="14"/>
        </w:rPr>
        <w:t>年，</w:t>
      </w:r>
      <w:r>
        <w:rPr>
          <w:kern w:val="14"/>
        </w:rPr>
        <w:t>立陶宛</w:t>
      </w:r>
      <w:r>
        <w:rPr>
          <w:rFonts w:hint="eastAsia"/>
          <w:kern w:val="14"/>
        </w:rPr>
        <w:t>刑警局在立陶宛警察培训中心举办了一期题为“贩卖人口刑事侦查的具体方案”的警官培训班（研讨会）。边境管制站在</w:t>
      </w:r>
      <w:r>
        <w:rPr>
          <w:kern w:val="14"/>
        </w:rPr>
        <w:t>Mykolas Romeris</w:t>
      </w:r>
      <w:r>
        <w:rPr>
          <w:rFonts w:hint="eastAsia"/>
          <w:kern w:val="14"/>
        </w:rPr>
        <w:t>大学考纳斯警察学院为国家边境管制官员举办了一期“贩卖人口和预防及控制卖淫”的培训班。</w:t>
      </w:r>
    </w:p>
    <w:p w:rsidR="00595751" w:rsidRDefault="00595751">
      <w:pPr>
        <w:tabs>
          <w:tab w:val="left" w:pos="630"/>
        </w:tabs>
        <w:spacing w:after="240" w:line="360" w:lineRule="exact"/>
        <w:rPr>
          <w:kern w:val="14"/>
        </w:rPr>
      </w:pPr>
      <w:r>
        <w:t>84.</w:t>
      </w:r>
      <w:r>
        <w:rPr>
          <w:rFonts w:hint="eastAsia"/>
        </w:rPr>
        <w:tab/>
      </w:r>
      <w:r>
        <w:rPr>
          <w:kern w:val="14"/>
        </w:rPr>
        <w:t>2006</w:t>
      </w:r>
      <w:r>
        <w:rPr>
          <w:rFonts w:hint="eastAsia"/>
          <w:kern w:val="14"/>
        </w:rPr>
        <w:t>年，社会保障和劳动部举办了一期“预防、受害者重返社会和法律条例的差距”研讨会。参加这次研讨会的有</w:t>
      </w:r>
      <w:r>
        <w:rPr>
          <w:rFonts w:hint="eastAsia"/>
          <w:kern w:val="14"/>
        </w:rPr>
        <w:t>46</w:t>
      </w:r>
      <w:r>
        <w:rPr>
          <w:rFonts w:hint="eastAsia"/>
          <w:kern w:val="14"/>
        </w:rPr>
        <w:t>位市政社会工作者、社会教育者和儿童权利保护机构的工作人员。此外还为执行社会保障和劳动部资助的项目的组织的管理人、财务专家和社会工作者举办了一次“贩卖人口受害者重返社会问题及其解决办法”研讨会。</w:t>
      </w:r>
    </w:p>
    <w:p w:rsidR="00595751" w:rsidRDefault="00595751">
      <w:pPr>
        <w:tabs>
          <w:tab w:val="left" w:pos="630"/>
        </w:tabs>
        <w:spacing w:after="240" w:line="360" w:lineRule="exact"/>
        <w:rPr>
          <w:kern w:val="14"/>
        </w:rPr>
      </w:pPr>
      <w:r>
        <w:t>85.</w:t>
      </w:r>
      <w:r>
        <w:rPr>
          <w:rFonts w:hint="eastAsia"/>
        </w:rPr>
        <w:tab/>
      </w:r>
      <w:r>
        <w:rPr>
          <w:rFonts w:hint="eastAsia"/>
          <w:kern w:val="14"/>
        </w:rPr>
        <w:t>公共当局和机构在应对贩卖人口问题方面与非政府组织积极合作。</w:t>
      </w:r>
      <w:r>
        <w:rPr>
          <w:kern w:val="14"/>
        </w:rPr>
        <w:t>2006</w:t>
      </w:r>
      <w:r>
        <w:rPr>
          <w:rFonts w:hint="eastAsia"/>
          <w:kern w:val="14"/>
        </w:rPr>
        <w:t>年，内政部与社会保障和劳动部以及内政部下属的警务司（以下称警务司）合作，与最积极地向贩卖人口受害者提供援助的非政府组织举行了一次会议，讨论尽可能改善这方面的合作。</w:t>
      </w:r>
      <w:r>
        <w:rPr>
          <w:kern w:val="14"/>
        </w:rPr>
        <w:t>2006</w:t>
      </w:r>
      <w:r>
        <w:rPr>
          <w:rFonts w:hint="eastAsia"/>
          <w:kern w:val="14"/>
        </w:rPr>
        <w:t>年，警务司与</w:t>
      </w:r>
      <w:r>
        <w:rPr>
          <w:kern w:val="14"/>
        </w:rPr>
        <w:t>立陶宛</w:t>
      </w:r>
      <w:r>
        <w:rPr>
          <w:rFonts w:hint="eastAsia"/>
          <w:kern w:val="14"/>
        </w:rPr>
        <w:t>慈善组织就交流贩卖人口信息和向受害者提供援助签订了合作协议。这是在波罗的海国家签订的同类第二份协议（第一份协议是在</w:t>
      </w:r>
      <w:r>
        <w:rPr>
          <w:rFonts w:hint="eastAsia"/>
          <w:kern w:val="14"/>
        </w:rPr>
        <w:t>2004</w:t>
      </w:r>
      <w:r>
        <w:rPr>
          <w:rFonts w:hint="eastAsia"/>
          <w:kern w:val="14"/>
        </w:rPr>
        <w:t>年警务司与失踪人员家庭支助中心签订的）。</w:t>
      </w:r>
    </w:p>
    <w:p w:rsidR="00595751" w:rsidRDefault="00595751">
      <w:pPr>
        <w:tabs>
          <w:tab w:val="left" w:pos="630"/>
        </w:tabs>
        <w:spacing w:after="240" w:line="360" w:lineRule="exact"/>
        <w:rPr>
          <w:kern w:val="14"/>
        </w:rPr>
      </w:pPr>
      <w:r>
        <w:t>86.</w:t>
      </w:r>
      <w:r>
        <w:rPr>
          <w:rFonts w:hint="eastAsia"/>
        </w:rPr>
        <w:tab/>
      </w:r>
      <w:r>
        <w:rPr>
          <w:rFonts w:hint="eastAsia"/>
        </w:rPr>
        <w:t>立陶宛</w:t>
      </w:r>
      <w:r>
        <w:rPr>
          <w:rFonts w:hint="eastAsia"/>
          <w:kern w:val="14"/>
        </w:rPr>
        <w:t>正在改进贩卖人口信息的收集工作。</w:t>
      </w:r>
      <w:r>
        <w:rPr>
          <w:kern w:val="14"/>
        </w:rPr>
        <w:t>2006</w:t>
      </w:r>
      <w:r>
        <w:rPr>
          <w:rFonts w:hint="eastAsia"/>
          <w:kern w:val="14"/>
        </w:rPr>
        <w:t>年，有关方面开发并启动了一个贩卖人口的非个性化通用数据库，供社会援助机构使用。该数据库促进了非政府组织之间交流有关贩卖人口受害者的信息。统计和分析信息每半年更新一次，亦可供公共当局使用。输入该数据库的信息不仅有关于受害者年龄和教育程度、目的国之类的量化数据，而且还有引诱手段和非政府组织向受害者提供援助等定性信息。</w:t>
      </w:r>
    </w:p>
    <w:p w:rsidR="00595751" w:rsidRDefault="00595751">
      <w:pPr>
        <w:tabs>
          <w:tab w:val="left" w:pos="630"/>
        </w:tabs>
        <w:spacing w:after="240" w:line="360" w:lineRule="exact"/>
        <w:rPr>
          <w:kern w:val="14"/>
        </w:rPr>
      </w:pPr>
      <w:r>
        <w:t>87.</w:t>
      </w:r>
      <w:r>
        <w:rPr>
          <w:rFonts w:hint="eastAsia"/>
        </w:rPr>
        <w:tab/>
      </w:r>
      <w:r>
        <w:rPr>
          <w:rFonts w:hint="eastAsia"/>
        </w:rPr>
        <w:t>立陶宛</w:t>
      </w:r>
      <w:r>
        <w:rPr>
          <w:rFonts w:hint="eastAsia"/>
          <w:kern w:val="14"/>
        </w:rPr>
        <w:t>正在积极谋求预防贩卖人口。每年都开展打击贩卖人口的宣传教育运动。</w:t>
      </w:r>
      <w:r>
        <w:rPr>
          <w:kern w:val="14"/>
        </w:rPr>
        <w:t>2006</w:t>
      </w:r>
      <w:r>
        <w:rPr>
          <w:rFonts w:hint="eastAsia"/>
          <w:kern w:val="14"/>
        </w:rPr>
        <w:t>年，制作了一部录像片在国家电视台播放，并且在最受青年人欢迎的电台上广播一个音频节目。在各夜总会组织了专门的宣传活动。在公交车站和专用广告牌上贴出载有“区分生活与幻想，不要把自己变成商品”标语的海报，并且在报纸上刊登。向立陶宛的所有学校散发宣传材料：</w:t>
      </w:r>
      <w:r>
        <w:rPr>
          <w:kern w:val="14"/>
        </w:rPr>
        <w:t>10</w:t>
      </w:r>
      <w:r>
        <w:rPr>
          <w:rFonts w:hint="eastAsia"/>
          <w:kern w:val="14"/>
        </w:rPr>
        <w:t xml:space="preserve"> </w:t>
      </w:r>
      <w:r>
        <w:rPr>
          <w:kern w:val="14"/>
        </w:rPr>
        <w:t>000</w:t>
      </w:r>
      <w:r>
        <w:rPr>
          <w:rFonts w:hint="eastAsia"/>
          <w:kern w:val="14"/>
        </w:rPr>
        <w:t>张海报，</w:t>
      </w:r>
      <w:r>
        <w:rPr>
          <w:kern w:val="14"/>
        </w:rPr>
        <w:t>10</w:t>
      </w:r>
      <w:r>
        <w:rPr>
          <w:rFonts w:hint="eastAsia"/>
          <w:kern w:val="14"/>
        </w:rPr>
        <w:t xml:space="preserve"> </w:t>
      </w:r>
      <w:r>
        <w:rPr>
          <w:kern w:val="14"/>
        </w:rPr>
        <w:t xml:space="preserve">000 </w:t>
      </w:r>
      <w:r>
        <w:rPr>
          <w:rFonts w:hint="eastAsia"/>
          <w:kern w:val="14"/>
        </w:rPr>
        <w:t>份袖珍日历，</w:t>
      </w:r>
      <w:r>
        <w:rPr>
          <w:kern w:val="14"/>
        </w:rPr>
        <w:t>4</w:t>
      </w:r>
      <w:r>
        <w:rPr>
          <w:rFonts w:hint="eastAsia"/>
          <w:kern w:val="14"/>
        </w:rPr>
        <w:t xml:space="preserve"> </w:t>
      </w:r>
      <w:r>
        <w:rPr>
          <w:kern w:val="14"/>
        </w:rPr>
        <w:t>000</w:t>
      </w:r>
      <w:r>
        <w:rPr>
          <w:rFonts w:hint="eastAsia"/>
          <w:kern w:val="14"/>
        </w:rPr>
        <w:t>支钢笔，</w:t>
      </w:r>
      <w:r>
        <w:rPr>
          <w:kern w:val="14"/>
        </w:rPr>
        <w:t>60</w:t>
      </w:r>
      <w:r>
        <w:rPr>
          <w:rFonts w:hint="eastAsia"/>
          <w:kern w:val="14"/>
        </w:rPr>
        <w:t xml:space="preserve"> </w:t>
      </w:r>
      <w:r>
        <w:rPr>
          <w:kern w:val="14"/>
        </w:rPr>
        <w:t>000</w:t>
      </w:r>
      <w:r>
        <w:rPr>
          <w:rFonts w:hint="eastAsia"/>
          <w:kern w:val="14"/>
        </w:rPr>
        <w:t>张明信片，</w:t>
      </w:r>
      <w:r>
        <w:rPr>
          <w:kern w:val="14"/>
        </w:rPr>
        <w:t>40</w:t>
      </w:r>
      <w:r>
        <w:rPr>
          <w:rFonts w:hint="eastAsia"/>
          <w:kern w:val="14"/>
        </w:rPr>
        <w:t xml:space="preserve"> </w:t>
      </w:r>
      <w:r>
        <w:rPr>
          <w:kern w:val="14"/>
        </w:rPr>
        <w:t>000</w:t>
      </w:r>
      <w:r>
        <w:rPr>
          <w:rFonts w:hint="eastAsia"/>
          <w:kern w:val="14"/>
        </w:rPr>
        <w:t>张小贴画，以及其他宣传贩卖人口带来的威胁和对受害者援助渠道的宣传品。此外，还为大约</w:t>
      </w:r>
      <w:r>
        <w:rPr>
          <w:kern w:val="14"/>
        </w:rPr>
        <w:t>10</w:t>
      </w:r>
      <w:r>
        <w:rPr>
          <w:rFonts w:hint="eastAsia"/>
          <w:kern w:val="14"/>
        </w:rPr>
        <w:t xml:space="preserve"> </w:t>
      </w:r>
      <w:r>
        <w:rPr>
          <w:kern w:val="14"/>
        </w:rPr>
        <w:t>000</w:t>
      </w:r>
      <w:r>
        <w:rPr>
          <w:rFonts w:hint="eastAsia"/>
          <w:kern w:val="14"/>
        </w:rPr>
        <w:t>名中小学生免费放映了根据一个被拐卖女童的真实故事制作的影片“</w:t>
      </w:r>
      <w:r>
        <w:rPr>
          <w:rFonts w:hint="eastAsia"/>
          <w:kern w:val="14"/>
        </w:rPr>
        <w:t>Lilija Forever</w:t>
      </w:r>
      <w:r>
        <w:rPr>
          <w:rFonts w:hint="eastAsia"/>
          <w:kern w:val="14"/>
        </w:rPr>
        <w:t>”。</w:t>
      </w:r>
    </w:p>
    <w:p w:rsidR="00595751" w:rsidRDefault="00595751">
      <w:pPr>
        <w:tabs>
          <w:tab w:val="left" w:pos="630"/>
        </w:tabs>
        <w:spacing w:after="240" w:line="360" w:lineRule="exact"/>
        <w:rPr>
          <w:kern w:val="14"/>
        </w:rPr>
      </w:pPr>
      <w:r>
        <w:t>88.</w:t>
      </w:r>
      <w:r>
        <w:rPr>
          <w:rFonts w:hint="eastAsia"/>
        </w:rPr>
        <w:tab/>
      </w:r>
      <w:r>
        <w:rPr>
          <w:kern w:val="14"/>
        </w:rPr>
        <w:t>立陶宛</w:t>
      </w:r>
      <w:r>
        <w:rPr>
          <w:rFonts w:hint="eastAsia"/>
          <w:kern w:val="14"/>
        </w:rPr>
        <w:t>为国际和区域合作共同打击贩卖人口做出了积极贡献。同时它也是波罗的海国家理事会打击贩卖人口特别工作组的活动、欧洲刑警组织打击贩卖人口工作组活动以及波罗的海国家理事会打击贩卖人口行动专家组打击贩卖人口工作组活动的积极参与者。</w:t>
      </w:r>
      <w:r>
        <w:rPr>
          <w:kern w:val="14"/>
        </w:rPr>
        <w:t>立陶宛</w:t>
      </w:r>
      <w:r>
        <w:rPr>
          <w:rFonts w:hint="eastAsia"/>
          <w:kern w:val="14"/>
        </w:rPr>
        <w:t>还积极参加了</w:t>
      </w:r>
      <w:r>
        <w:rPr>
          <w:rFonts w:hint="eastAsia"/>
          <w:kern w:val="14"/>
        </w:rPr>
        <w:t>2006</w:t>
      </w:r>
      <w:r>
        <w:rPr>
          <w:rFonts w:hint="eastAsia"/>
          <w:kern w:val="14"/>
        </w:rPr>
        <w:t>年</w:t>
      </w:r>
      <w:r>
        <w:rPr>
          <w:rFonts w:hint="eastAsia"/>
          <w:kern w:val="14"/>
        </w:rPr>
        <w:t>6</w:t>
      </w:r>
      <w:r>
        <w:rPr>
          <w:rFonts w:hint="eastAsia"/>
          <w:kern w:val="14"/>
        </w:rPr>
        <w:t>月以前一直在运作的北欧及波罗的海打击贩卖人口特别工作组在高级别政治层面开展的活动。</w:t>
      </w:r>
    </w:p>
    <w:p w:rsidR="00595751" w:rsidRDefault="00595751">
      <w:pPr>
        <w:tabs>
          <w:tab w:val="left" w:pos="630"/>
        </w:tabs>
        <w:spacing w:after="240" w:line="360" w:lineRule="exact"/>
        <w:rPr>
          <w:kern w:val="14"/>
        </w:rPr>
      </w:pPr>
      <w:r>
        <w:t xml:space="preserve">89. </w:t>
      </w:r>
      <w:r>
        <w:rPr>
          <w:rFonts w:hint="eastAsia"/>
        </w:rPr>
        <w:tab/>
      </w:r>
      <w:r>
        <w:rPr>
          <w:rFonts w:hint="eastAsia"/>
          <w:kern w:val="14"/>
        </w:rPr>
        <w:t>警务司积极参加了国际刑事警察组织（刑警组织）指导委员会下属的打击贩卖妇女意图性剥削特别工作组的活动。在该委员会</w:t>
      </w:r>
      <w:r>
        <w:rPr>
          <w:rFonts w:hint="eastAsia"/>
          <w:kern w:val="14"/>
        </w:rPr>
        <w:t>2006</w:t>
      </w:r>
      <w:r>
        <w:rPr>
          <w:rFonts w:hint="eastAsia"/>
          <w:kern w:val="14"/>
        </w:rPr>
        <w:t>年</w:t>
      </w:r>
      <w:r>
        <w:rPr>
          <w:rFonts w:hint="eastAsia"/>
          <w:kern w:val="14"/>
        </w:rPr>
        <w:t>4</w:t>
      </w:r>
      <w:r>
        <w:rPr>
          <w:rFonts w:hint="eastAsia"/>
          <w:kern w:val="14"/>
        </w:rPr>
        <w:t>月</w:t>
      </w:r>
      <w:r>
        <w:rPr>
          <w:rFonts w:hint="eastAsia"/>
          <w:kern w:val="14"/>
        </w:rPr>
        <w:t>18</w:t>
      </w:r>
      <w:r>
        <w:rPr>
          <w:rFonts w:hint="eastAsia"/>
          <w:kern w:val="14"/>
        </w:rPr>
        <w:t>至</w:t>
      </w:r>
      <w:r>
        <w:rPr>
          <w:rFonts w:hint="eastAsia"/>
          <w:kern w:val="14"/>
        </w:rPr>
        <w:t>19</w:t>
      </w:r>
      <w:r>
        <w:rPr>
          <w:rFonts w:hint="eastAsia"/>
          <w:kern w:val="14"/>
        </w:rPr>
        <w:t>日在布加勒斯特（罗马尼亚）举行的会议上，立陶宛警务司的代表被任命为该委员会的欧洲代表。</w:t>
      </w:r>
    </w:p>
    <w:p w:rsidR="00595751" w:rsidRDefault="00595751">
      <w:pPr>
        <w:tabs>
          <w:tab w:val="left" w:pos="630"/>
        </w:tabs>
        <w:spacing w:after="240" w:line="360" w:lineRule="exact"/>
        <w:rPr>
          <w:kern w:val="14"/>
        </w:rPr>
      </w:pPr>
      <w:r>
        <w:t xml:space="preserve">90. </w:t>
      </w:r>
      <w:r>
        <w:rPr>
          <w:rFonts w:hint="eastAsia"/>
        </w:rPr>
        <w:tab/>
      </w:r>
      <w:r>
        <w:rPr>
          <w:rFonts w:hint="eastAsia"/>
          <w:kern w:val="14"/>
        </w:rPr>
        <w:t>2005</w:t>
      </w:r>
      <w:r>
        <w:rPr>
          <w:rFonts w:hint="eastAsia"/>
          <w:kern w:val="14"/>
        </w:rPr>
        <w:t>年</w:t>
      </w:r>
      <w:r>
        <w:rPr>
          <w:rFonts w:hint="eastAsia"/>
          <w:kern w:val="14"/>
        </w:rPr>
        <w:t>4</w:t>
      </w:r>
      <w:r>
        <w:rPr>
          <w:rFonts w:hint="eastAsia"/>
          <w:kern w:val="14"/>
        </w:rPr>
        <w:t>月</w:t>
      </w:r>
      <w:r>
        <w:rPr>
          <w:rFonts w:hint="eastAsia"/>
          <w:kern w:val="14"/>
        </w:rPr>
        <w:t>26</w:t>
      </w:r>
      <w:r>
        <w:rPr>
          <w:rFonts w:hint="eastAsia"/>
          <w:kern w:val="14"/>
        </w:rPr>
        <w:t>日，维尔纽斯主办了一次题为“立陶宛国内预防贩卖人口：问题与解决办法”的国际研讨会。</w:t>
      </w:r>
      <w:r>
        <w:rPr>
          <w:rFonts w:hint="eastAsia"/>
          <w:kern w:val="14"/>
        </w:rPr>
        <w:t>2006</w:t>
      </w:r>
      <w:r>
        <w:rPr>
          <w:rFonts w:hint="eastAsia"/>
          <w:kern w:val="14"/>
        </w:rPr>
        <w:t>年</w:t>
      </w:r>
      <w:r>
        <w:rPr>
          <w:rFonts w:hint="eastAsia"/>
          <w:kern w:val="14"/>
        </w:rPr>
        <w:t>12</w:t>
      </w:r>
      <w:r>
        <w:rPr>
          <w:rFonts w:hint="eastAsia"/>
          <w:kern w:val="14"/>
        </w:rPr>
        <w:t>月</w:t>
      </w:r>
      <w:r>
        <w:rPr>
          <w:rFonts w:hint="eastAsia"/>
          <w:kern w:val="14"/>
        </w:rPr>
        <w:t>14</w:t>
      </w:r>
      <w:r>
        <w:rPr>
          <w:rFonts w:hint="eastAsia"/>
          <w:kern w:val="14"/>
        </w:rPr>
        <w:t>至</w:t>
      </w:r>
      <w:r>
        <w:rPr>
          <w:rFonts w:hint="eastAsia"/>
          <w:kern w:val="14"/>
        </w:rPr>
        <w:t>15</w:t>
      </w:r>
      <w:r>
        <w:rPr>
          <w:rFonts w:hint="eastAsia"/>
          <w:kern w:val="14"/>
        </w:rPr>
        <w:t>日，又在维尔纽斯举行了一次题为“打击贩卖人口国际合作”的科学实践会议。今年，立陶宛政府、欧洲安全与合作组织（欧安组织）和药物管制和预防犯罪办事处定于</w:t>
      </w:r>
      <w:r>
        <w:rPr>
          <w:rFonts w:hint="eastAsia"/>
          <w:kern w:val="14"/>
        </w:rPr>
        <w:t>2007</w:t>
      </w:r>
      <w:r>
        <w:rPr>
          <w:rFonts w:hint="eastAsia"/>
          <w:kern w:val="14"/>
        </w:rPr>
        <w:t>年</w:t>
      </w:r>
      <w:r>
        <w:rPr>
          <w:rFonts w:hint="eastAsia"/>
          <w:kern w:val="14"/>
        </w:rPr>
        <w:t>10</w:t>
      </w:r>
      <w:r>
        <w:rPr>
          <w:rFonts w:hint="eastAsia"/>
          <w:kern w:val="14"/>
        </w:rPr>
        <w:t>月</w:t>
      </w:r>
      <w:r>
        <w:rPr>
          <w:kern w:val="14"/>
        </w:rPr>
        <w:t>25</w:t>
      </w:r>
      <w:r>
        <w:rPr>
          <w:rFonts w:hint="eastAsia"/>
          <w:kern w:val="14"/>
        </w:rPr>
        <w:t>日至</w:t>
      </w:r>
      <w:r>
        <w:rPr>
          <w:kern w:val="14"/>
        </w:rPr>
        <w:t>26</w:t>
      </w:r>
      <w:r>
        <w:rPr>
          <w:rFonts w:hint="eastAsia"/>
          <w:kern w:val="14"/>
        </w:rPr>
        <w:t>日在维尔纽斯联合主办题为“预防贩卖人口：挑战与解决方案”的国际会议。这次会议将专门讨论如何减少对贩卖人口的需求量以及商界、大众媒体和教育界在预防贩卖人口方面应扮演的角色。</w:t>
      </w:r>
    </w:p>
    <w:p w:rsidR="00595751" w:rsidRDefault="00595751">
      <w:pPr>
        <w:tabs>
          <w:tab w:val="left" w:pos="630"/>
        </w:tabs>
        <w:spacing w:after="240" w:line="360" w:lineRule="exact"/>
        <w:rPr>
          <w:kern w:val="14"/>
        </w:rPr>
      </w:pPr>
      <w:r>
        <w:t xml:space="preserve">91. </w:t>
      </w:r>
      <w:r>
        <w:rPr>
          <w:rFonts w:hint="eastAsia"/>
        </w:rPr>
        <w:tab/>
      </w:r>
      <w:r>
        <w:rPr>
          <w:kern w:val="14"/>
        </w:rPr>
        <w:t>2005-2006</w:t>
      </w:r>
      <w:r>
        <w:rPr>
          <w:rFonts w:hint="eastAsia"/>
          <w:kern w:val="14"/>
        </w:rPr>
        <w:t>年，立陶宛共和国外交部通过其外交使团和领馆进一步促进国际合作，呼吁更加积极地交流有关援助贩卖人口受害者的信息。根据外交部的数据，</w:t>
      </w:r>
      <w:r>
        <w:rPr>
          <w:rFonts w:hint="eastAsia"/>
          <w:kern w:val="14"/>
        </w:rPr>
        <w:t>2006</w:t>
      </w:r>
      <w:r>
        <w:rPr>
          <w:rFonts w:hint="eastAsia"/>
          <w:kern w:val="14"/>
        </w:rPr>
        <w:t>年，向立陶宛共和国驻外使馆求助的贩卖人口受害者人数大幅减少。</w:t>
      </w:r>
      <w:r>
        <w:rPr>
          <w:kern w:val="14"/>
        </w:rPr>
        <w:t>2005-2006</w:t>
      </w:r>
      <w:r>
        <w:rPr>
          <w:rFonts w:hint="eastAsia"/>
          <w:kern w:val="14"/>
        </w:rPr>
        <w:t>年，立陶宛共和国外交使团和领馆总共向</w:t>
      </w:r>
      <w:r>
        <w:rPr>
          <w:rFonts w:hint="eastAsia"/>
          <w:kern w:val="14"/>
        </w:rPr>
        <w:t>53</w:t>
      </w:r>
      <w:r>
        <w:rPr>
          <w:rFonts w:hint="eastAsia"/>
          <w:kern w:val="14"/>
        </w:rPr>
        <w:t>名贩卖人口受害者提供了援助：其中，</w:t>
      </w:r>
      <w:r>
        <w:rPr>
          <w:rFonts w:hint="eastAsia"/>
          <w:kern w:val="14"/>
        </w:rPr>
        <w:t>2005</w:t>
      </w:r>
      <w:r>
        <w:rPr>
          <w:rFonts w:hint="eastAsia"/>
          <w:kern w:val="14"/>
        </w:rPr>
        <w:t>年援助了</w:t>
      </w:r>
      <w:r>
        <w:rPr>
          <w:kern w:val="14"/>
        </w:rPr>
        <w:t>39</w:t>
      </w:r>
      <w:r>
        <w:rPr>
          <w:rFonts w:hint="eastAsia"/>
          <w:kern w:val="14"/>
        </w:rPr>
        <w:t>人，</w:t>
      </w:r>
      <w:r>
        <w:rPr>
          <w:rFonts w:hint="eastAsia"/>
          <w:kern w:val="14"/>
        </w:rPr>
        <w:t>2006</w:t>
      </w:r>
      <w:r>
        <w:rPr>
          <w:rFonts w:hint="eastAsia"/>
          <w:kern w:val="14"/>
        </w:rPr>
        <w:t>年援助了</w:t>
      </w:r>
      <w:r>
        <w:rPr>
          <w:rFonts w:hint="eastAsia"/>
          <w:kern w:val="14"/>
        </w:rPr>
        <w:t>14</w:t>
      </w:r>
      <w:r>
        <w:rPr>
          <w:rFonts w:hint="eastAsia"/>
          <w:kern w:val="14"/>
        </w:rPr>
        <w:t>人。由此可见，受害者人数呈下降趋势，是立陶宛当局与外国主管当局有效合作的一个结果。</w:t>
      </w:r>
    </w:p>
    <w:p w:rsidR="00595751" w:rsidRDefault="00595751">
      <w:pPr>
        <w:tabs>
          <w:tab w:val="left" w:pos="630"/>
        </w:tabs>
        <w:spacing w:after="240" w:line="360" w:lineRule="exact"/>
        <w:rPr>
          <w:kern w:val="14"/>
        </w:rPr>
      </w:pPr>
      <w:r>
        <w:t xml:space="preserve">92. </w:t>
      </w:r>
      <w:r>
        <w:rPr>
          <w:rFonts w:hint="eastAsia"/>
        </w:rPr>
        <w:tab/>
      </w:r>
      <w:r>
        <w:rPr>
          <w:rFonts w:hint="eastAsia"/>
          <w:kern w:val="14"/>
        </w:rPr>
        <w:t>妇女非政府组织是旨在预防贩卖妇女和向受害者提供援助项目的积极践行者。自</w:t>
      </w:r>
      <w:r>
        <w:rPr>
          <w:kern w:val="14"/>
        </w:rPr>
        <w:t>2006</w:t>
      </w:r>
      <w:r>
        <w:rPr>
          <w:rFonts w:hint="eastAsia"/>
          <w:kern w:val="14"/>
        </w:rPr>
        <w:t>年以来，</w:t>
      </w:r>
      <w:r>
        <w:rPr>
          <w:kern w:val="14"/>
        </w:rPr>
        <w:t>妇女问题信息中心</w:t>
      </w:r>
      <w:r>
        <w:rPr>
          <w:rFonts w:hint="eastAsia"/>
          <w:kern w:val="14"/>
        </w:rPr>
        <w:t>一直在参与“</w:t>
      </w:r>
      <w:r>
        <w:rPr>
          <w:rFonts w:hint="eastAsia"/>
          <w:kern w:val="14"/>
        </w:rPr>
        <w:t>2006</w:t>
      </w:r>
      <w:r>
        <w:rPr>
          <w:rFonts w:hint="eastAsia"/>
          <w:kern w:val="14"/>
        </w:rPr>
        <w:t>年打击贩卖妇女欧洲网”项目。该项目的目标是联合欧洲各组织共同打击贩卖人口，吸引高层官员和政治家对这个问题给予注意，并提出有效的解决方案。作为该项目的一部分，七个欧盟成员国正在进行一项国际研究。这项研究的目的是摸清高级官员和政府主管部门对本国贩卖人口问题的认识程度。研究对象是匿名的；研究成果将在网页</w:t>
      </w:r>
      <w:hyperlink r:id="rId15" w:history="1">
        <w:r>
          <w:rPr>
            <w:kern w:val="14"/>
          </w:rPr>
          <w:t>www.aretusa.net</w:t>
        </w:r>
      </w:hyperlink>
      <w:r>
        <w:rPr>
          <w:rFonts w:hint="eastAsia"/>
          <w:kern w:val="14"/>
        </w:rPr>
        <w:t>上公布。</w:t>
      </w:r>
    </w:p>
    <w:p w:rsidR="00595751" w:rsidRDefault="00595751">
      <w:pPr>
        <w:tabs>
          <w:tab w:val="left" w:pos="630"/>
        </w:tabs>
        <w:spacing w:after="240" w:line="360" w:lineRule="exact"/>
        <w:rPr>
          <w:kern w:val="14"/>
        </w:rPr>
      </w:pPr>
      <w:r>
        <w:t xml:space="preserve">93. </w:t>
      </w:r>
      <w:r>
        <w:rPr>
          <w:rFonts w:hint="eastAsia"/>
        </w:rPr>
        <w:tab/>
      </w:r>
      <w:r>
        <w:rPr>
          <w:rFonts w:hint="eastAsia"/>
          <w:kern w:val="14"/>
        </w:rPr>
        <w:t>自</w:t>
      </w:r>
      <w:r>
        <w:rPr>
          <w:kern w:val="14"/>
        </w:rPr>
        <w:t>2006</w:t>
      </w:r>
      <w:r>
        <w:rPr>
          <w:rFonts w:hint="eastAsia"/>
          <w:kern w:val="14"/>
        </w:rPr>
        <w:t>年以来，</w:t>
      </w:r>
      <w:r>
        <w:rPr>
          <w:kern w:val="14"/>
        </w:rPr>
        <w:t>妇女问题信息中心</w:t>
      </w:r>
      <w:r>
        <w:rPr>
          <w:rFonts w:hint="eastAsia"/>
          <w:kern w:val="14"/>
        </w:rPr>
        <w:t>一直在执行一个由欧洲妇女游说团资助的项目——“对以性剥削为目的的被拐卖妇女的援助、保护、安全遣返和康复”。该项目的目标是建立波罗的海</w:t>
      </w:r>
      <w:r>
        <w:rPr>
          <w:rFonts w:hint="eastAsia"/>
          <w:kern w:val="14"/>
        </w:rPr>
        <w:t>-</w:t>
      </w:r>
      <w:r>
        <w:rPr>
          <w:rFonts w:hint="eastAsia"/>
          <w:kern w:val="14"/>
        </w:rPr>
        <w:t>北欧国家机构间网络，以便把向贩卖人口受害妇女提供援助的公共当局和非政府组织联合在一起，并建立一种可持续的区域模式。该项目旨在向贩卖妇女受害者提供法律、社会、经济、医疗、心理和安全援助，确保受害者安全返回和重新融入其原籍国，并能得到一切必要的服务。</w:t>
      </w:r>
    </w:p>
    <w:p w:rsidR="00595751" w:rsidRDefault="00595751">
      <w:pPr>
        <w:tabs>
          <w:tab w:val="left" w:pos="630"/>
        </w:tabs>
        <w:spacing w:after="240" w:line="360" w:lineRule="exact"/>
        <w:rPr>
          <w:kern w:val="14"/>
        </w:rPr>
      </w:pPr>
      <w:bookmarkStart w:id="15" w:name="_Hlt182304074"/>
      <w:bookmarkStart w:id="16" w:name="_Hlt182304075"/>
      <w:r>
        <w:t xml:space="preserve">94. </w:t>
      </w:r>
      <w:r>
        <w:rPr>
          <w:rFonts w:hint="eastAsia"/>
        </w:rPr>
        <w:tab/>
      </w:r>
      <w:r>
        <w:rPr>
          <w:rFonts w:hint="eastAsia"/>
          <w:kern w:val="14"/>
        </w:rPr>
        <w:t>国际移徙组织维尔纽斯办事处新建了贩卖人口问题的专门网站</w:t>
      </w:r>
      <w:r>
        <w:rPr>
          <w:kern w:val="14"/>
        </w:rPr>
        <w:t>（</w:t>
      </w:r>
      <w:hyperlink r:id="rId16" w:history="1">
        <w:r>
          <w:rPr>
            <w:kern w:val="14"/>
          </w:rPr>
          <w:t>www.darbaz.lt</w:t>
        </w:r>
      </w:hyperlink>
      <w:r>
        <w:rPr>
          <w:kern w:val="14"/>
        </w:rPr>
        <w:t>）</w:t>
      </w:r>
      <w:r>
        <w:rPr>
          <w:rFonts w:hint="eastAsia"/>
          <w:kern w:val="14"/>
        </w:rPr>
        <w:t>，该网站以青年人喜闻乐见的形式提供贩卖人口及其潜在威胁方面的一般信息。该网站还提供关于已经落入人贩子手中的人到哪儿可以得到援助以及一旦发生这种事情应采取哪些步骤的信息。另外，潜在的或实际的贩卖人口受害者还可以在这里咨询合格的社会工作者、心理学家和律师（也可以通过免费电话热线</w:t>
      </w:r>
      <w:r>
        <w:rPr>
          <w:kern w:val="14"/>
        </w:rPr>
        <w:t>8 800 25252</w:t>
      </w:r>
      <w:r>
        <w:rPr>
          <w:rFonts w:hint="eastAsia"/>
          <w:kern w:val="14"/>
        </w:rPr>
        <w:t>进行咨询，网页上指明了这项热线服务）。</w:t>
      </w:r>
    </w:p>
    <w:bookmarkEnd w:id="15"/>
    <w:bookmarkEnd w:id="16"/>
    <w:p w:rsidR="00595751" w:rsidRDefault="00595751">
      <w:pPr>
        <w:tabs>
          <w:tab w:val="left" w:pos="630"/>
        </w:tabs>
        <w:spacing w:after="240" w:line="360" w:lineRule="exact"/>
        <w:rPr>
          <w:rFonts w:hint="eastAsia"/>
          <w:kern w:val="14"/>
        </w:rPr>
      </w:pPr>
      <w:r>
        <w:t xml:space="preserve">95. </w:t>
      </w:r>
      <w:r>
        <w:rPr>
          <w:rFonts w:hint="eastAsia"/>
        </w:rPr>
        <w:tab/>
      </w:r>
      <w:r>
        <w:rPr>
          <w:rFonts w:hint="eastAsia"/>
          <w:kern w:val="14"/>
        </w:rPr>
        <w:t>根据美国</w:t>
      </w:r>
      <w:r>
        <w:rPr>
          <w:rFonts w:hint="eastAsia"/>
          <w:kern w:val="14"/>
        </w:rPr>
        <w:t>2000</w:t>
      </w:r>
      <w:r>
        <w:rPr>
          <w:rFonts w:hint="eastAsia"/>
          <w:kern w:val="14"/>
        </w:rPr>
        <w:t>年《保护人口贩运和暴力受害者法案》，美国国务院每年对外国政府在打击贩卖人口方面所做的工作进行一次评估。所有国家被分成四大类，即完全达到最低标准并尽了最大努力的国家（一级）；努力稍差的国家（二级）；在打击贩卖人口方面问题严重的国家（三级）；以及列入观察清单的国家（介于一级和三级之间）。</w:t>
      </w:r>
      <w:r>
        <w:rPr>
          <w:kern w:val="14"/>
        </w:rPr>
        <w:t>2006</w:t>
      </w:r>
      <w:r>
        <w:rPr>
          <w:rFonts w:hint="eastAsia"/>
          <w:kern w:val="14"/>
        </w:rPr>
        <w:t>年，美国国务院根据外交使团、公共当局、非政府组织和其他独立来源收集的信息，对</w:t>
      </w:r>
      <w:r>
        <w:rPr>
          <w:rFonts w:hint="eastAsia"/>
          <w:kern w:val="14"/>
        </w:rPr>
        <w:t>150</w:t>
      </w:r>
      <w:r>
        <w:rPr>
          <w:rFonts w:hint="eastAsia"/>
          <w:kern w:val="14"/>
        </w:rPr>
        <w:t>个国家在打击贩卖人口方面的结果进行了分类定级。</w:t>
      </w:r>
      <w:r>
        <w:rPr>
          <w:kern w:val="14"/>
        </w:rPr>
        <w:t>25</w:t>
      </w:r>
      <w:r>
        <w:rPr>
          <w:rFonts w:hint="eastAsia"/>
          <w:kern w:val="14"/>
        </w:rPr>
        <w:t>个国家被定为一级国家；</w:t>
      </w:r>
      <w:r>
        <w:rPr>
          <w:kern w:val="14"/>
        </w:rPr>
        <w:t>79</w:t>
      </w:r>
      <w:r>
        <w:rPr>
          <w:rFonts w:hint="eastAsia"/>
          <w:kern w:val="14"/>
        </w:rPr>
        <w:t>个国家被定为二级国家；</w:t>
      </w:r>
      <w:r>
        <w:rPr>
          <w:rFonts w:hint="eastAsia"/>
          <w:kern w:val="14"/>
        </w:rPr>
        <w:t>12</w:t>
      </w:r>
      <w:r>
        <w:rPr>
          <w:rFonts w:hint="eastAsia"/>
          <w:kern w:val="14"/>
        </w:rPr>
        <w:t>个国家被定为三级国家；其余为四级国家。由于执行了打击贩卖人口的国家措施，</w:t>
      </w:r>
      <w:r>
        <w:rPr>
          <w:kern w:val="14"/>
        </w:rPr>
        <w:t>立陶宛</w:t>
      </w:r>
      <w:r>
        <w:rPr>
          <w:rFonts w:hint="eastAsia"/>
          <w:kern w:val="14"/>
        </w:rPr>
        <w:t>被定为一级国家，即在以前这四年里在打击贩卖人口方面尽了最大努力的国家。</w:t>
      </w:r>
    </w:p>
    <w:p w:rsidR="00595751" w:rsidRDefault="00595751">
      <w:pPr>
        <w:pStyle w:val="H1"/>
      </w:pPr>
      <w:r>
        <w:rPr>
          <w:rFonts w:hint="eastAsia"/>
        </w:rPr>
        <w:t>第</w:t>
      </w:r>
      <w:r>
        <w:t>7</w:t>
      </w:r>
      <w:r>
        <w:rPr>
          <w:rFonts w:hint="eastAsia"/>
        </w:rPr>
        <w:t>条</w:t>
      </w:r>
    </w:p>
    <w:p w:rsidR="00595751" w:rsidRDefault="00595751">
      <w:pPr>
        <w:pStyle w:val="H2"/>
        <w:rPr>
          <w:rFonts w:hint="eastAsia"/>
        </w:rPr>
      </w:pPr>
      <w:r>
        <w:rPr>
          <w:rFonts w:hint="eastAsia"/>
        </w:rPr>
        <w:t>（</w:t>
      </w:r>
      <w:r>
        <w:t>a</w:t>
      </w:r>
      <w:r>
        <w:rPr>
          <w:rFonts w:hint="eastAsia"/>
        </w:rPr>
        <w:t>）</w:t>
      </w:r>
    </w:p>
    <w:p w:rsidR="00595751" w:rsidRDefault="00595751">
      <w:pPr>
        <w:tabs>
          <w:tab w:val="left" w:pos="630"/>
        </w:tabs>
        <w:spacing w:after="240" w:line="360" w:lineRule="exact"/>
        <w:rPr>
          <w:kern w:val="14"/>
        </w:rPr>
      </w:pPr>
      <w:r>
        <w:t>96.</w:t>
      </w:r>
      <w:r>
        <w:rPr>
          <w:rFonts w:hint="eastAsia"/>
        </w:rPr>
        <w:tab/>
      </w:r>
      <w:r>
        <w:rPr>
          <w:rFonts w:hint="eastAsia"/>
          <w:kern w:val="14"/>
        </w:rPr>
        <w:t>妇女参与决策的积极性、资格和能力都越来越高。越来越多的妇女行使其被选举进入民选机构的权利，以及参与制订和实施政府政策的权利。根据中央选举委员会的数据，在</w:t>
      </w:r>
      <w:r>
        <w:rPr>
          <w:rFonts w:hint="eastAsia"/>
          <w:kern w:val="14"/>
        </w:rPr>
        <w:t>2004</w:t>
      </w:r>
      <w:r>
        <w:rPr>
          <w:rFonts w:hint="eastAsia"/>
          <w:kern w:val="14"/>
        </w:rPr>
        <w:t>年的各种选举中，有</w:t>
      </w:r>
      <w:r>
        <w:rPr>
          <w:kern w:val="14"/>
        </w:rPr>
        <w:t>31</w:t>
      </w:r>
      <w:r>
        <w:rPr>
          <w:rFonts w:hint="eastAsia"/>
          <w:kern w:val="14"/>
        </w:rPr>
        <w:t>名妇女（占</w:t>
      </w:r>
      <w:r>
        <w:rPr>
          <w:kern w:val="14"/>
        </w:rPr>
        <w:t>20.57%</w:t>
      </w:r>
      <w:r>
        <w:rPr>
          <w:rFonts w:hint="eastAsia"/>
          <w:kern w:val="14"/>
        </w:rPr>
        <w:t>）和</w:t>
      </w:r>
      <w:r>
        <w:rPr>
          <w:kern w:val="14"/>
        </w:rPr>
        <w:t>110</w:t>
      </w:r>
      <w:r>
        <w:rPr>
          <w:rFonts w:hint="eastAsia"/>
          <w:kern w:val="14"/>
        </w:rPr>
        <w:t>名男子（占</w:t>
      </w:r>
      <w:r>
        <w:rPr>
          <w:kern w:val="14"/>
        </w:rPr>
        <w:t>79.43%</w:t>
      </w:r>
      <w:r>
        <w:rPr>
          <w:rFonts w:hint="eastAsia"/>
          <w:kern w:val="14"/>
        </w:rPr>
        <w:t>）当选为国会议员；有</w:t>
      </w:r>
      <w:r>
        <w:rPr>
          <w:kern w:val="14"/>
        </w:rPr>
        <w:t>5</w:t>
      </w:r>
      <w:r>
        <w:rPr>
          <w:rFonts w:hint="eastAsia"/>
          <w:kern w:val="14"/>
        </w:rPr>
        <w:t>名妇女、</w:t>
      </w:r>
      <w:r>
        <w:rPr>
          <w:kern w:val="14"/>
        </w:rPr>
        <w:t>8</w:t>
      </w:r>
      <w:r>
        <w:rPr>
          <w:rFonts w:hint="eastAsia"/>
          <w:kern w:val="14"/>
        </w:rPr>
        <w:t>名男子当选为欧洲议会议员。在</w:t>
      </w:r>
      <w:r>
        <w:rPr>
          <w:rFonts w:hint="eastAsia"/>
          <w:kern w:val="14"/>
        </w:rPr>
        <w:t>2002</w:t>
      </w:r>
      <w:r>
        <w:rPr>
          <w:rFonts w:hint="eastAsia"/>
          <w:kern w:val="14"/>
        </w:rPr>
        <w:t>年市议会选举中，共有</w:t>
      </w:r>
      <w:r>
        <w:rPr>
          <w:rFonts w:hint="eastAsia"/>
          <w:kern w:val="14"/>
        </w:rPr>
        <w:t>321</w:t>
      </w:r>
      <w:r>
        <w:rPr>
          <w:rFonts w:hint="eastAsia"/>
          <w:kern w:val="14"/>
        </w:rPr>
        <w:t>名妇女当选（占</w:t>
      </w:r>
      <w:r>
        <w:rPr>
          <w:kern w:val="14"/>
        </w:rPr>
        <w:t>21%</w:t>
      </w:r>
      <w:r>
        <w:rPr>
          <w:rFonts w:hint="eastAsia"/>
          <w:kern w:val="14"/>
        </w:rPr>
        <w:t>）。</w:t>
      </w:r>
      <w:r>
        <w:rPr>
          <w:rFonts w:hint="eastAsia"/>
          <w:kern w:val="14"/>
        </w:rPr>
        <w:t>2007</w:t>
      </w:r>
      <w:r>
        <w:rPr>
          <w:rFonts w:hint="eastAsia"/>
          <w:kern w:val="14"/>
        </w:rPr>
        <w:t>年略有增长：在</w:t>
      </w:r>
      <w:r>
        <w:rPr>
          <w:kern w:val="14"/>
        </w:rPr>
        <w:t>1</w:t>
      </w:r>
      <w:r>
        <w:rPr>
          <w:rFonts w:hint="eastAsia"/>
          <w:kern w:val="14"/>
        </w:rPr>
        <w:t xml:space="preserve"> </w:t>
      </w:r>
      <w:r>
        <w:rPr>
          <w:kern w:val="14"/>
        </w:rPr>
        <w:t>504</w:t>
      </w:r>
      <w:r>
        <w:rPr>
          <w:rFonts w:hint="eastAsia"/>
          <w:kern w:val="14"/>
        </w:rPr>
        <w:t>名候选人中，有</w:t>
      </w:r>
      <w:r>
        <w:rPr>
          <w:kern w:val="14"/>
        </w:rPr>
        <w:t>337</w:t>
      </w:r>
      <w:r>
        <w:rPr>
          <w:rFonts w:hint="eastAsia"/>
          <w:kern w:val="14"/>
        </w:rPr>
        <w:t>名妇女（占</w:t>
      </w:r>
      <w:r>
        <w:rPr>
          <w:kern w:val="14"/>
        </w:rPr>
        <w:t>22%</w:t>
      </w:r>
      <w:r>
        <w:rPr>
          <w:rFonts w:hint="eastAsia"/>
          <w:kern w:val="14"/>
        </w:rPr>
        <w:t>）。在某些区域，妇女进入市议会的比率高达</w:t>
      </w:r>
      <w:r>
        <w:rPr>
          <w:rFonts w:hint="eastAsia"/>
          <w:kern w:val="14"/>
        </w:rPr>
        <w:t>40%</w:t>
      </w:r>
      <w:r>
        <w:rPr>
          <w:rFonts w:hint="eastAsia"/>
          <w:kern w:val="14"/>
        </w:rPr>
        <w:t>。</w:t>
      </w:r>
    </w:p>
    <w:p w:rsidR="00595751" w:rsidRDefault="00595751">
      <w:pPr>
        <w:tabs>
          <w:tab w:val="left" w:pos="630"/>
        </w:tabs>
        <w:spacing w:after="240" w:line="360" w:lineRule="exact"/>
        <w:rPr>
          <w:kern w:val="14"/>
        </w:rPr>
      </w:pPr>
      <w:r>
        <w:t>9</w:t>
      </w:r>
      <w:r>
        <w:rPr>
          <w:rFonts w:hint="eastAsia"/>
        </w:rPr>
        <w:t>7</w:t>
      </w:r>
      <w:r>
        <w:t xml:space="preserve">. </w:t>
      </w:r>
      <w:r>
        <w:rPr>
          <w:rFonts w:hint="eastAsia"/>
        </w:rPr>
        <w:tab/>
      </w:r>
      <w:r>
        <w:rPr>
          <w:rFonts w:hint="eastAsia"/>
          <w:kern w:val="14"/>
        </w:rPr>
        <w:t>在参加</w:t>
      </w:r>
      <w:r>
        <w:rPr>
          <w:rFonts w:hint="eastAsia"/>
          <w:kern w:val="14"/>
        </w:rPr>
        <w:t>2007</w:t>
      </w:r>
      <w:r>
        <w:rPr>
          <w:rFonts w:hint="eastAsia"/>
          <w:kern w:val="14"/>
        </w:rPr>
        <w:t>年市议会选举的各政党或联盟名单中，妇女占候选人总数的</w:t>
      </w:r>
      <w:r>
        <w:rPr>
          <w:kern w:val="14"/>
        </w:rPr>
        <w:t>39.44%</w:t>
      </w:r>
      <w:r>
        <w:rPr>
          <w:rFonts w:hint="eastAsia"/>
          <w:kern w:val="14"/>
        </w:rPr>
        <w:t>。在许多城镇和地区，名列榜首的妇女人数占到</w:t>
      </w:r>
      <w:r>
        <w:rPr>
          <w:kern w:val="14"/>
        </w:rPr>
        <w:t>8</w:t>
      </w:r>
      <w:r>
        <w:rPr>
          <w:rFonts w:hint="eastAsia"/>
          <w:kern w:val="14"/>
        </w:rPr>
        <w:t>%</w:t>
      </w:r>
      <w:r>
        <w:rPr>
          <w:rFonts w:hint="eastAsia"/>
          <w:kern w:val="14"/>
        </w:rPr>
        <w:t>至</w:t>
      </w:r>
      <w:r>
        <w:rPr>
          <w:kern w:val="14"/>
        </w:rPr>
        <w:t>30%</w:t>
      </w:r>
      <w:r>
        <w:rPr>
          <w:rFonts w:hint="eastAsia"/>
          <w:kern w:val="14"/>
        </w:rPr>
        <w:t>；在两个地区，名列榜首的男女人数持平。只有少数几个城镇和地区，妇女在前</w:t>
      </w:r>
      <w:r>
        <w:rPr>
          <w:rFonts w:hint="eastAsia"/>
          <w:kern w:val="14"/>
        </w:rPr>
        <w:t>10</w:t>
      </w:r>
      <w:r>
        <w:rPr>
          <w:rFonts w:hint="eastAsia"/>
          <w:kern w:val="14"/>
        </w:rPr>
        <w:t>名候选人中所占比率低于</w:t>
      </w:r>
      <w:r>
        <w:rPr>
          <w:kern w:val="14"/>
        </w:rPr>
        <w:t>30%</w:t>
      </w:r>
      <w:r>
        <w:rPr>
          <w:rFonts w:hint="eastAsia"/>
          <w:kern w:val="14"/>
        </w:rPr>
        <w:t>，但没有任何城镇和地区的该比率低于</w:t>
      </w:r>
      <w:r>
        <w:rPr>
          <w:kern w:val="14"/>
        </w:rPr>
        <w:t>20%</w:t>
      </w:r>
      <w:r>
        <w:rPr>
          <w:rFonts w:hint="eastAsia"/>
          <w:kern w:val="14"/>
        </w:rPr>
        <w:t>。在</w:t>
      </w:r>
      <w:r>
        <w:rPr>
          <w:rFonts w:hint="eastAsia"/>
          <w:kern w:val="14"/>
        </w:rPr>
        <w:t>2007</w:t>
      </w:r>
      <w:r>
        <w:rPr>
          <w:rFonts w:hint="eastAsia"/>
          <w:kern w:val="14"/>
        </w:rPr>
        <w:t>年市议会选举候选人名单前</w:t>
      </w:r>
      <w:r>
        <w:rPr>
          <w:rFonts w:hint="eastAsia"/>
          <w:kern w:val="14"/>
        </w:rPr>
        <w:t>10</w:t>
      </w:r>
      <w:r>
        <w:rPr>
          <w:rFonts w:hint="eastAsia"/>
          <w:kern w:val="14"/>
        </w:rPr>
        <w:t>名的总数中，妇女占</w:t>
      </w:r>
      <w:r>
        <w:rPr>
          <w:kern w:val="14"/>
        </w:rPr>
        <w:t>34%</w:t>
      </w:r>
      <w:r>
        <w:rPr>
          <w:rFonts w:hint="eastAsia"/>
          <w:kern w:val="14"/>
        </w:rPr>
        <w:t>（中央选举委员会的数据）。</w:t>
      </w:r>
    </w:p>
    <w:p w:rsidR="00595751" w:rsidRDefault="00595751">
      <w:pPr>
        <w:pStyle w:val="H2"/>
        <w:rPr>
          <w:rFonts w:hint="eastAsia"/>
        </w:rPr>
      </w:pPr>
      <w:r>
        <w:rPr>
          <w:rFonts w:hint="eastAsia"/>
        </w:rPr>
        <w:t>（</w:t>
      </w:r>
      <w:r>
        <w:t>b</w:t>
      </w:r>
      <w:r>
        <w:rPr>
          <w:rFonts w:hint="eastAsia"/>
        </w:rPr>
        <w:t>）</w:t>
      </w:r>
    </w:p>
    <w:p w:rsidR="00595751" w:rsidRDefault="00595751">
      <w:pPr>
        <w:tabs>
          <w:tab w:val="left" w:pos="630"/>
        </w:tabs>
        <w:spacing w:after="240" w:line="360" w:lineRule="exact"/>
        <w:rPr>
          <w:kern w:val="14"/>
        </w:rPr>
      </w:pPr>
      <w:r>
        <w:t xml:space="preserve">98. </w:t>
      </w:r>
      <w:r>
        <w:rPr>
          <w:rFonts w:hint="eastAsia"/>
        </w:rPr>
        <w:tab/>
      </w:r>
      <w:r>
        <w:rPr>
          <w:rFonts w:hint="eastAsia"/>
          <w:kern w:val="14"/>
        </w:rPr>
        <w:t>妇女参与政治和决策，是《</w:t>
      </w:r>
      <w:r>
        <w:rPr>
          <w:kern w:val="14"/>
        </w:rPr>
        <w:t>2005-2009</w:t>
      </w:r>
      <w:r>
        <w:rPr>
          <w:rFonts w:hint="eastAsia"/>
          <w:kern w:val="14"/>
        </w:rPr>
        <w:t>年国家男女机会均等方案》的重点目标之一。作为上述方案执行措施的一部分，自</w:t>
      </w:r>
      <w:r>
        <w:rPr>
          <w:kern w:val="14"/>
        </w:rPr>
        <w:t>2005</w:t>
      </w:r>
      <w:r>
        <w:rPr>
          <w:rFonts w:hint="eastAsia"/>
          <w:kern w:val="14"/>
        </w:rPr>
        <w:t>年以来，有关方面每年与考纳斯妇女就业信息中心合作，举行一次“男女均衡参与地方自治决策”研讨会。这些研讨会旨在促进妇女参与政治和经济决策进程的积极性。自</w:t>
      </w:r>
      <w:r>
        <w:rPr>
          <w:rFonts w:hint="eastAsia"/>
          <w:kern w:val="14"/>
        </w:rPr>
        <w:t>2004</w:t>
      </w:r>
      <w:r>
        <w:rPr>
          <w:rFonts w:hint="eastAsia"/>
          <w:kern w:val="14"/>
        </w:rPr>
        <w:t>年以来，由欧洲结构基金资助的一些项目一直在处理男女均衡参与决策问题。机会均等监察官办公室与非政府组织合作举办的研讨会和培训班也对妇女参与公共和政治生活起到积极的推动作用。</w:t>
      </w:r>
    </w:p>
    <w:p w:rsidR="00595751" w:rsidRDefault="00595751">
      <w:pPr>
        <w:tabs>
          <w:tab w:val="left" w:pos="630"/>
        </w:tabs>
        <w:spacing w:after="240" w:line="360" w:lineRule="exact"/>
        <w:rPr>
          <w:kern w:val="14"/>
        </w:rPr>
      </w:pPr>
      <w:r>
        <w:t xml:space="preserve">99. </w:t>
      </w:r>
      <w:r>
        <w:rPr>
          <w:rFonts w:hint="eastAsia"/>
        </w:rPr>
        <w:tab/>
      </w:r>
      <w:r>
        <w:rPr>
          <w:rFonts w:hint="eastAsia"/>
          <w:kern w:val="14"/>
        </w:rPr>
        <w:t>为了纪念第一次立陶宛妇女大会召开</w:t>
      </w:r>
      <w:r>
        <w:rPr>
          <w:rFonts w:hint="eastAsia"/>
          <w:kern w:val="14"/>
        </w:rPr>
        <w:t>100</w:t>
      </w:r>
      <w:r>
        <w:rPr>
          <w:rFonts w:hint="eastAsia"/>
          <w:kern w:val="14"/>
        </w:rPr>
        <w:t>周年，各妇女组织、市政当局和中央政府同心协力，于</w:t>
      </w:r>
      <w:r>
        <w:rPr>
          <w:rFonts w:hint="eastAsia"/>
          <w:kern w:val="14"/>
        </w:rPr>
        <w:t>2005</w:t>
      </w:r>
      <w:r>
        <w:rPr>
          <w:rFonts w:hint="eastAsia"/>
          <w:kern w:val="14"/>
        </w:rPr>
        <w:t>年联合组织举行了第四次立陶宛妇女大会。社会保障和劳动部部长</w:t>
      </w:r>
      <w:r>
        <w:rPr>
          <w:kern w:val="14"/>
        </w:rPr>
        <w:t>Vilija Blinkevičiūtė</w:t>
      </w:r>
      <w:r>
        <w:rPr>
          <w:rFonts w:hint="eastAsia"/>
          <w:kern w:val="14"/>
        </w:rPr>
        <w:t>女士担任本次妇女大会指导委员会主席。</w:t>
      </w:r>
      <w:r>
        <w:rPr>
          <w:kern w:val="14"/>
        </w:rPr>
        <w:t>立陶宛</w:t>
      </w:r>
      <w:r>
        <w:rPr>
          <w:rFonts w:hint="eastAsia"/>
          <w:kern w:val="14"/>
        </w:rPr>
        <w:t>各地区的妇女都借此机会讨论妇女社区生活中发生的最重要事件，对立陶宛恢复独立后的</w:t>
      </w:r>
      <w:r>
        <w:rPr>
          <w:rFonts w:hint="eastAsia"/>
          <w:kern w:val="14"/>
        </w:rPr>
        <w:t>15</w:t>
      </w:r>
      <w:r>
        <w:rPr>
          <w:rFonts w:hint="eastAsia"/>
          <w:kern w:val="14"/>
        </w:rPr>
        <w:t>年各个市县的妇女状况进行评价和比较，确定最热门的问题并讨论和建议解决这些问题的具体办法。授权参加大会指导委员会的妇女组织代表负责在各社区或县进行筹备工作。通过开展宣传运动传播第四次立陶宛妇女大会的成果，期间先后访问了所有各县</w:t>
      </w:r>
      <w:r>
        <w:rPr>
          <w:rFonts w:hint="eastAsia"/>
          <w:kern w:val="14"/>
        </w:rPr>
        <w:t>22</w:t>
      </w:r>
      <w:r>
        <w:rPr>
          <w:rFonts w:hint="eastAsia"/>
          <w:kern w:val="14"/>
        </w:rPr>
        <w:t>个小城镇（人口在</w:t>
      </w:r>
      <w:r>
        <w:rPr>
          <w:rFonts w:hint="eastAsia"/>
          <w:kern w:val="14"/>
        </w:rPr>
        <w:t>2 000</w:t>
      </w:r>
      <w:r>
        <w:rPr>
          <w:rFonts w:hint="eastAsia"/>
          <w:kern w:val="14"/>
        </w:rPr>
        <w:t>人以下）。</w:t>
      </w:r>
    </w:p>
    <w:p w:rsidR="00595751" w:rsidRDefault="00595751">
      <w:pPr>
        <w:tabs>
          <w:tab w:val="left" w:pos="630"/>
        </w:tabs>
        <w:spacing w:after="240" w:line="360" w:lineRule="exact"/>
        <w:rPr>
          <w:kern w:val="14"/>
        </w:rPr>
      </w:pPr>
      <w:r>
        <w:t xml:space="preserve">100. </w:t>
      </w:r>
      <w:r>
        <w:rPr>
          <w:rFonts w:hint="eastAsia"/>
        </w:rPr>
        <w:tab/>
      </w:r>
      <w:r>
        <w:rPr>
          <w:rFonts w:hint="eastAsia"/>
          <w:kern w:val="14"/>
        </w:rPr>
        <w:t>根据内政部文官司的数据，</w:t>
      </w:r>
      <w:r>
        <w:rPr>
          <w:rFonts w:hint="eastAsia"/>
          <w:kern w:val="14"/>
        </w:rPr>
        <w:t>2006</w:t>
      </w:r>
      <w:r>
        <w:rPr>
          <w:rFonts w:hint="eastAsia"/>
          <w:kern w:val="14"/>
        </w:rPr>
        <w:t>年，妇女约占职业公务员（法定公务员除外）总数的</w:t>
      </w:r>
      <w:r>
        <w:rPr>
          <w:kern w:val="14"/>
        </w:rPr>
        <w:t>70%</w:t>
      </w:r>
      <w:r>
        <w:rPr>
          <w:rFonts w:hint="eastAsia"/>
          <w:kern w:val="14"/>
        </w:rPr>
        <w:t>，约占政治（个人）机要公务员总数的</w:t>
      </w:r>
      <w:r>
        <w:rPr>
          <w:kern w:val="14"/>
        </w:rPr>
        <w:t>60%</w:t>
      </w:r>
      <w:r>
        <w:rPr>
          <w:rFonts w:hint="eastAsia"/>
          <w:kern w:val="14"/>
        </w:rPr>
        <w:t>。但是，在公共当局的高级管理人中，</w:t>
      </w:r>
      <w:r>
        <w:rPr>
          <w:kern w:val="14"/>
        </w:rPr>
        <w:t>70%</w:t>
      </w:r>
      <w:r>
        <w:rPr>
          <w:rFonts w:hint="eastAsia"/>
          <w:kern w:val="14"/>
        </w:rPr>
        <w:t>是男子。本报告附件中的表</w:t>
      </w:r>
      <w:r>
        <w:rPr>
          <w:rFonts w:hint="eastAsia"/>
          <w:kern w:val="14"/>
        </w:rPr>
        <w:t>4</w:t>
      </w:r>
      <w:r>
        <w:rPr>
          <w:rFonts w:hint="eastAsia"/>
          <w:kern w:val="14"/>
        </w:rPr>
        <w:t>给出了按职务类别和性别分列的</w:t>
      </w:r>
      <w:r>
        <w:rPr>
          <w:kern w:val="14"/>
        </w:rPr>
        <w:t>2005-2006</w:t>
      </w:r>
      <w:r>
        <w:rPr>
          <w:rFonts w:hint="eastAsia"/>
          <w:kern w:val="14"/>
        </w:rPr>
        <w:t>年公务员人数（</w:t>
      </w:r>
      <w:r>
        <w:rPr>
          <w:rFonts w:hint="eastAsia"/>
          <w:color w:val="000000"/>
          <w:kern w:val="14"/>
        </w:rPr>
        <w:t>法定公务员</w:t>
      </w:r>
      <w:r>
        <w:rPr>
          <w:rFonts w:hint="eastAsia"/>
          <w:kern w:val="14"/>
        </w:rPr>
        <w:t>除外）。</w:t>
      </w:r>
    </w:p>
    <w:p w:rsidR="00595751" w:rsidRDefault="00595751">
      <w:pPr>
        <w:tabs>
          <w:tab w:val="left" w:pos="630"/>
        </w:tabs>
        <w:spacing w:after="240" w:line="360" w:lineRule="exact"/>
        <w:rPr>
          <w:kern w:val="14"/>
        </w:rPr>
      </w:pPr>
      <w:r>
        <w:t xml:space="preserve">101. </w:t>
      </w:r>
      <w:r>
        <w:rPr>
          <w:rFonts w:hint="eastAsia"/>
        </w:rPr>
        <w:tab/>
      </w:r>
      <w:r>
        <w:rPr>
          <w:rFonts w:hint="eastAsia"/>
          <w:kern w:val="14"/>
        </w:rPr>
        <w:t>2006</w:t>
      </w:r>
      <w:r>
        <w:rPr>
          <w:rFonts w:hint="eastAsia"/>
          <w:kern w:val="14"/>
        </w:rPr>
        <w:t>年，在立陶宛任何级别管理职务上任职的妇女公务员比率为</w:t>
      </w:r>
      <w:r>
        <w:rPr>
          <w:kern w:val="14"/>
        </w:rPr>
        <w:t>40%</w:t>
      </w:r>
      <w:r>
        <w:rPr>
          <w:rFonts w:hint="eastAsia"/>
          <w:kern w:val="14"/>
        </w:rPr>
        <w:t>。根据欧统处在欧洲联盟委员会提交欧洲委员会、欧洲议会、欧洲经济和社会委员会及各地区委员会的</w:t>
      </w:r>
      <w:r>
        <w:rPr>
          <w:rFonts w:hint="eastAsia"/>
          <w:kern w:val="14"/>
        </w:rPr>
        <w:t>2006</w:t>
      </w:r>
      <w:r>
        <w:rPr>
          <w:rFonts w:hint="eastAsia"/>
          <w:kern w:val="14"/>
        </w:rPr>
        <w:t>年报告中所载的欧统处数据，立陶宛任何一级的妇女管理人员人数在欧盟都排名第二。根据欧盟数据库“决策中的男女人数”数据，在最大商业公司中担任高层管理职务的妇女人数方面，</w:t>
      </w:r>
      <w:r>
        <w:rPr>
          <w:kern w:val="14"/>
        </w:rPr>
        <w:t>立陶宛</w:t>
      </w:r>
      <w:r>
        <w:rPr>
          <w:rFonts w:hint="eastAsia"/>
          <w:kern w:val="14"/>
        </w:rPr>
        <w:t>在欧盟排名第七。</w:t>
      </w:r>
    </w:p>
    <w:p w:rsidR="00595751" w:rsidRDefault="00595751">
      <w:pPr>
        <w:pStyle w:val="H1"/>
      </w:pPr>
      <w:r>
        <w:rPr>
          <w:rFonts w:hint="eastAsia"/>
        </w:rPr>
        <w:t>第</w:t>
      </w:r>
      <w:r>
        <w:t>8</w:t>
      </w:r>
      <w:r>
        <w:rPr>
          <w:rFonts w:hint="eastAsia"/>
        </w:rPr>
        <w:t>条</w:t>
      </w:r>
    </w:p>
    <w:p w:rsidR="00595751" w:rsidRDefault="00595751">
      <w:pPr>
        <w:tabs>
          <w:tab w:val="left" w:pos="630"/>
        </w:tabs>
        <w:spacing w:after="240" w:line="360" w:lineRule="exact"/>
        <w:rPr>
          <w:kern w:val="14"/>
        </w:rPr>
      </w:pPr>
      <w:r>
        <w:t>102.</w:t>
      </w:r>
      <w:r>
        <w:rPr>
          <w:rFonts w:hint="eastAsia"/>
        </w:rPr>
        <w:tab/>
      </w:r>
      <w:r>
        <w:rPr>
          <w:rFonts w:hint="eastAsia"/>
          <w:kern w:val="14"/>
        </w:rPr>
        <w:t>越来越多的妇女从事外交工作并竞选该领域的领导岗位。根据</w:t>
      </w:r>
      <w:r>
        <w:rPr>
          <w:rFonts w:hint="eastAsia"/>
          <w:kern w:val="14"/>
        </w:rPr>
        <w:t>2007</w:t>
      </w:r>
      <w:r>
        <w:rPr>
          <w:rFonts w:hint="eastAsia"/>
          <w:kern w:val="14"/>
        </w:rPr>
        <w:t>年的数据，外交领域的妇女比率占</w:t>
      </w:r>
      <w:r>
        <w:rPr>
          <w:kern w:val="14"/>
        </w:rPr>
        <w:t>53%</w:t>
      </w:r>
      <w:r>
        <w:rPr>
          <w:rFonts w:hint="eastAsia"/>
          <w:kern w:val="14"/>
        </w:rPr>
        <w:t>以上，而在外交领域担任领导职务的妇女份额已上升到</w:t>
      </w:r>
      <w:r>
        <w:rPr>
          <w:kern w:val="14"/>
        </w:rPr>
        <w:t>16%</w:t>
      </w:r>
      <w:r>
        <w:rPr>
          <w:rFonts w:hint="eastAsia"/>
          <w:kern w:val="14"/>
        </w:rPr>
        <w:t>。本报告附件中表</w:t>
      </w:r>
      <w:r>
        <w:rPr>
          <w:rFonts w:hint="eastAsia"/>
          <w:kern w:val="14"/>
        </w:rPr>
        <w:t>5</w:t>
      </w:r>
      <w:r>
        <w:rPr>
          <w:rFonts w:hint="eastAsia"/>
          <w:kern w:val="14"/>
        </w:rPr>
        <w:t>列出了</w:t>
      </w:r>
      <w:r>
        <w:rPr>
          <w:kern w:val="14"/>
        </w:rPr>
        <w:t>2005-2007</w:t>
      </w:r>
      <w:r>
        <w:rPr>
          <w:rFonts w:hint="eastAsia"/>
          <w:kern w:val="14"/>
        </w:rPr>
        <w:t>年外交领域的妇女人数。</w:t>
      </w:r>
    </w:p>
    <w:p w:rsidR="00595751" w:rsidRDefault="00595751">
      <w:pPr>
        <w:pStyle w:val="H1"/>
      </w:pPr>
      <w:r>
        <w:rPr>
          <w:rFonts w:hint="eastAsia"/>
        </w:rPr>
        <w:t>第</w:t>
      </w:r>
      <w:r>
        <w:t>9</w:t>
      </w:r>
      <w:r>
        <w:rPr>
          <w:rFonts w:hint="eastAsia"/>
        </w:rPr>
        <w:t>条</w:t>
      </w:r>
    </w:p>
    <w:p w:rsidR="00595751" w:rsidRDefault="00595751">
      <w:pPr>
        <w:tabs>
          <w:tab w:val="left" w:pos="630"/>
        </w:tabs>
        <w:spacing w:after="240" w:line="360" w:lineRule="exact"/>
        <w:rPr>
          <w:kern w:val="14"/>
        </w:rPr>
      </w:pPr>
      <w:r>
        <w:t>103.</w:t>
      </w:r>
      <w:r>
        <w:rPr>
          <w:rFonts w:hint="eastAsia"/>
        </w:rPr>
        <w:tab/>
      </w:r>
      <w:r>
        <w:rPr>
          <w:kern w:val="14"/>
        </w:rPr>
        <w:t>立陶宛</w:t>
      </w:r>
      <w:r>
        <w:rPr>
          <w:rFonts w:hint="eastAsia"/>
          <w:kern w:val="14"/>
        </w:rPr>
        <w:t>执行《公约》第</w:t>
      </w:r>
      <w:r>
        <w:rPr>
          <w:rFonts w:hint="eastAsia"/>
          <w:kern w:val="14"/>
        </w:rPr>
        <w:t>9</w:t>
      </w:r>
      <w:r>
        <w:rPr>
          <w:rFonts w:hint="eastAsia"/>
          <w:kern w:val="14"/>
        </w:rPr>
        <w:t>条的情况，已由第三次报告介绍。</w:t>
      </w:r>
      <w:r>
        <w:rPr>
          <w:kern w:val="14"/>
        </w:rPr>
        <w:t>2005-2006</w:t>
      </w:r>
      <w:r>
        <w:rPr>
          <w:rFonts w:hint="eastAsia"/>
          <w:kern w:val="14"/>
        </w:rPr>
        <w:t>年，立法方面没有变化。</w:t>
      </w:r>
    </w:p>
    <w:p w:rsidR="00595751" w:rsidRDefault="00595751">
      <w:pPr>
        <w:pStyle w:val="H1"/>
      </w:pPr>
      <w:r>
        <w:rPr>
          <w:rFonts w:hint="eastAsia"/>
        </w:rPr>
        <w:t>第</w:t>
      </w:r>
      <w:r>
        <w:t>10</w:t>
      </w:r>
      <w:r>
        <w:rPr>
          <w:rFonts w:hint="eastAsia"/>
        </w:rPr>
        <w:t>条</w:t>
      </w:r>
    </w:p>
    <w:p w:rsidR="00595751" w:rsidRDefault="00595751">
      <w:pPr>
        <w:pStyle w:val="H2"/>
        <w:rPr>
          <w:rFonts w:hint="eastAsia"/>
        </w:rPr>
      </w:pPr>
      <w:r>
        <w:rPr>
          <w:rFonts w:hint="eastAsia"/>
        </w:rPr>
        <w:t>（</w:t>
      </w:r>
      <w:r>
        <w:t>a</w:t>
      </w:r>
      <w:r>
        <w:rPr>
          <w:rFonts w:hint="eastAsia"/>
        </w:rPr>
        <w:t>）</w:t>
      </w:r>
    </w:p>
    <w:p w:rsidR="00595751" w:rsidRDefault="00595751">
      <w:pPr>
        <w:tabs>
          <w:tab w:val="left" w:pos="630"/>
        </w:tabs>
        <w:spacing w:after="240" w:line="360" w:lineRule="exact"/>
        <w:rPr>
          <w:kern w:val="14"/>
        </w:rPr>
      </w:pPr>
      <w:r>
        <w:t>104.</w:t>
      </w:r>
      <w:r>
        <w:rPr>
          <w:rFonts w:hint="eastAsia"/>
        </w:rPr>
        <w:tab/>
      </w:r>
      <w:r>
        <w:rPr>
          <w:rFonts w:hint="eastAsia"/>
          <w:kern w:val="14"/>
        </w:rPr>
        <w:t>普通教育学校已能确保人人接受教育的平等机会。学龄前教育、初等教育、基础教育和中等教育被列为教育方针的优先重点，并且构成终生学习的基础。关于基础教育和中等教育的法律规定了一切可能的措施确保教育机会均等，其中有教育和科学部</w:t>
      </w:r>
      <w:r>
        <w:rPr>
          <w:rFonts w:hint="eastAsia"/>
          <w:kern w:val="14"/>
        </w:rPr>
        <w:t>2006</w:t>
      </w:r>
      <w:r>
        <w:rPr>
          <w:rFonts w:hint="eastAsia"/>
          <w:kern w:val="14"/>
        </w:rPr>
        <w:t>年</w:t>
      </w:r>
      <w:r>
        <w:rPr>
          <w:rFonts w:hint="eastAsia"/>
          <w:kern w:val="14"/>
        </w:rPr>
        <w:t>6</w:t>
      </w:r>
      <w:r>
        <w:rPr>
          <w:rFonts w:hint="eastAsia"/>
          <w:kern w:val="14"/>
        </w:rPr>
        <w:t>月</w:t>
      </w:r>
      <w:r>
        <w:rPr>
          <w:rFonts w:hint="eastAsia"/>
          <w:kern w:val="14"/>
        </w:rPr>
        <w:t>30</w:t>
      </w:r>
      <w:r>
        <w:rPr>
          <w:rFonts w:hint="eastAsia"/>
          <w:kern w:val="14"/>
        </w:rPr>
        <w:t>日“关于批准中等教育课程”的第</w:t>
      </w:r>
      <w:r>
        <w:rPr>
          <w:kern w:val="14"/>
        </w:rPr>
        <w:t>ISAK-1387</w:t>
      </w:r>
      <w:r>
        <w:rPr>
          <w:rFonts w:hint="eastAsia"/>
          <w:kern w:val="14"/>
        </w:rPr>
        <w:t>号命令（</w:t>
      </w:r>
      <w:r>
        <w:rPr>
          <w:rFonts w:hint="eastAsia"/>
          <w:kern w:val="14"/>
        </w:rPr>
        <w:t>2006</w:t>
      </w:r>
      <w:r>
        <w:rPr>
          <w:rFonts w:hint="eastAsia"/>
          <w:kern w:val="14"/>
        </w:rPr>
        <w:t>年第</w:t>
      </w:r>
      <w:r>
        <w:rPr>
          <w:kern w:val="14"/>
        </w:rPr>
        <w:t>76-2930</w:t>
      </w:r>
      <w:r>
        <w:rPr>
          <w:rFonts w:hint="eastAsia"/>
          <w:kern w:val="14"/>
        </w:rPr>
        <w:t>号</w:t>
      </w:r>
      <w:r>
        <w:rPr>
          <w:kern w:val="14"/>
        </w:rPr>
        <w:t>《政府公报》</w:t>
      </w:r>
      <w:r>
        <w:rPr>
          <w:rFonts w:hint="eastAsia"/>
          <w:kern w:val="14"/>
        </w:rPr>
        <w:t>）及教育和科学部</w:t>
      </w:r>
      <w:r>
        <w:rPr>
          <w:rFonts w:hint="eastAsia"/>
          <w:kern w:val="14"/>
        </w:rPr>
        <w:t>2007</w:t>
      </w:r>
      <w:r>
        <w:rPr>
          <w:rFonts w:hint="eastAsia"/>
          <w:kern w:val="14"/>
        </w:rPr>
        <w:t>年</w:t>
      </w:r>
      <w:r>
        <w:rPr>
          <w:rFonts w:hint="eastAsia"/>
          <w:kern w:val="14"/>
        </w:rPr>
        <w:t>4</w:t>
      </w:r>
      <w:r>
        <w:rPr>
          <w:rFonts w:hint="eastAsia"/>
          <w:kern w:val="14"/>
        </w:rPr>
        <w:t>月</w:t>
      </w:r>
      <w:r>
        <w:rPr>
          <w:rFonts w:hint="eastAsia"/>
          <w:kern w:val="14"/>
        </w:rPr>
        <w:t>4</w:t>
      </w:r>
      <w:r>
        <w:rPr>
          <w:rFonts w:hint="eastAsia"/>
          <w:kern w:val="14"/>
        </w:rPr>
        <w:t>日“关于</w:t>
      </w:r>
      <w:r>
        <w:rPr>
          <w:kern w:val="14"/>
        </w:rPr>
        <w:t>2007-2008</w:t>
      </w:r>
      <w:r>
        <w:rPr>
          <w:rFonts w:hint="eastAsia"/>
          <w:kern w:val="14"/>
        </w:rPr>
        <w:t>年普通教育计划”的第</w:t>
      </w:r>
      <w:r>
        <w:rPr>
          <w:kern w:val="14"/>
        </w:rPr>
        <w:t>ISAK-604</w:t>
      </w:r>
      <w:r>
        <w:rPr>
          <w:rFonts w:hint="eastAsia"/>
          <w:kern w:val="14"/>
        </w:rPr>
        <w:t>号命令（</w:t>
      </w:r>
      <w:r>
        <w:rPr>
          <w:rFonts w:hint="eastAsia"/>
          <w:kern w:val="14"/>
        </w:rPr>
        <w:t>2007</w:t>
      </w:r>
      <w:r>
        <w:rPr>
          <w:rFonts w:hint="eastAsia"/>
          <w:kern w:val="14"/>
        </w:rPr>
        <w:t>年第</w:t>
      </w:r>
      <w:r>
        <w:rPr>
          <w:kern w:val="14"/>
        </w:rPr>
        <w:t>44-1691</w:t>
      </w:r>
      <w:r>
        <w:rPr>
          <w:rFonts w:hint="eastAsia"/>
          <w:kern w:val="14"/>
        </w:rPr>
        <w:t>号</w:t>
      </w:r>
      <w:r>
        <w:rPr>
          <w:kern w:val="14"/>
        </w:rPr>
        <w:t>《政府公报》</w:t>
      </w:r>
      <w:r>
        <w:rPr>
          <w:rFonts w:hint="eastAsia"/>
          <w:kern w:val="14"/>
        </w:rPr>
        <w:t>）。所有在校学生都有平等的机会选择选修课程和课程单元，参加课外活动，并有权参加学校自治机构的竞选。中等教育大纲所依据的基本原则是根据学生的需要、兴趣和能力实行因材施教的个性化教育；努力使他们能够规划自己的职业生涯，选择适合选定路线的科目，并且在不同的课程中做出选择。今后将进一步搞好因材施教的个性化教育，以便提高中等教育质量，使每个学生都能根据自己的能力、兴趣和需要选定学习方向；扩大中等教育机会；使教育大纲的教学内容适合现实生活需要；加强普通教育与职业教育之间的联系；为那些选择了不同学习方向的人创造更广阔的机会，以便在高等教育机构中深造。</w:t>
      </w:r>
    </w:p>
    <w:p w:rsidR="00595751" w:rsidRDefault="00595751">
      <w:pPr>
        <w:tabs>
          <w:tab w:val="left" w:pos="630"/>
        </w:tabs>
        <w:spacing w:after="240" w:line="360" w:lineRule="exact"/>
        <w:rPr>
          <w:kern w:val="14"/>
        </w:rPr>
      </w:pPr>
      <w:r>
        <w:t>105.</w:t>
      </w:r>
      <w:r>
        <w:rPr>
          <w:rFonts w:hint="eastAsia"/>
        </w:rPr>
        <w:tab/>
      </w:r>
      <w:r>
        <w:rPr>
          <w:rFonts w:hint="eastAsia"/>
          <w:kern w:val="14"/>
        </w:rPr>
        <w:t>根据</w:t>
      </w:r>
      <w:r>
        <w:rPr>
          <w:rFonts w:hint="eastAsia"/>
          <w:kern w:val="14"/>
        </w:rPr>
        <w:t>2007</w:t>
      </w:r>
      <w:r>
        <w:rPr>
          <w:rFonts w:hint="eastAsia"/>
          <w:kern w:val="14"/>
        </w:rPr>
        <w:t>年</w:t>
      </w:r>
      <w:r>
        <w:rPr>
          <w:rFonts w:hint="eastAsia"/>
          <w:kern w:val="14"/>
        </w:rPr>
        <w:t>5</w:t>
      </w:r>
      <w:r>
        <w:rPr>
          <w:rFonts w:hint="eastAsia"/>
          <w:kern w:val="14"/>
        </w:rPr>
        <w:t>月</w:t>
      </w:r>
      <w:r>
        <w:rPr>
          <w:rFonts w:hint="eastAsia"/>
          <w:kern w:val="14"/>
        </w:rPr>
        <w:t>23</w:t>
      </w:r>
      <w:r>
        <w:rPr>
          <w:rFonts w:hint="eastAsia"/>
          <w:kern w:val="14"/>
        </w:rPr>
        <w:t>日第</w:t>
      </w:r>
      <w:r>
        <w:rPr>
          <w:kern w:val="14"/>
        </w:rPr>
        <w:t>ISAK-970</w:t>
      </w:r>
      <w:r>
        <w:rPr>
          <w:rFonts w:hint="eastAsia"/>
          <w:kern w:val="14"/>
        </w:rPr>
        <w:t>号命令（</w:t>
      </w:r>
      <w:r>
        <w:rPr>
          <w:rFonts w:hint="eastAsia"/>
          <w:kern w:val="14"/>
        </w:rPr>
        <w:t>2007</w:t>
      </w:r>
      <w:r>
        <w:rPr>
          <w:rFonts w:hint="eastAsia"/>
          <w:kern w:val="14"/>
        </w:rPr>
        <w:t>年第</w:t>
      </w:r>
      <w:r>
        <w:rPr>
          <w:kern w:val="14"/>
        </w:rPr>
        <w:t>63-2440</w:t>
      </w:r>
      <w:r>
        <w:rPr>
          <w:rFonts w:hint="eastAsia"/>
          <w:kern w:val="14"/>
        </w:rPr>
        <w:t>号</w:t>
      </w:r>
      <w:r>
        <w:rPr>
          <w:kern w:val="14"/>
        </w:rPr>
        <w:t>《政府公报》</w:t>
      </w:r>
      <w:r>
        <w:rPr>
          <w:rFonts w:hint="eastAsia"/>
          <w:kern w:val="14"/>
        </w:rPr>
        <w:t>），教育和科学部长核准了《制订、评价、修改和落实普通教育课程内容战略》。该战略的总体目标是界定课程编写过程的目标和原则；各级教育机构在这个过程中的职能和责任；</w:t>
      </w:r>
      <w:r>
        <w:rPr>
          <w:rFonts w:hint="eastAsia"/>
          <w:kern w:val="14"/>
        </w:rPr>
        <w:t>2012</w:t>
      </w:r>
      <w:r>
        <w:rPr>
          <w:rFonts w:hint="eastAsia"/>
          <w:kern w:val="14"/>
        </w:rPr>
        <w:t>年以前课程编写过程中的优先事项及其执行指标。课程编写过程的目标是调整课程内容，以便让每个学生作为个人能够根据自己的需要和能力在教育中成长，能够形成公民和道德自觉性，并且获得继续深造的资格以及在现代社会中过上充实而积极的生活所必要的资格。</w:t>
      </w:r>
    </w:p>
    <w:p w:rsidR="00595751" w:rsidRDefault="00595751">
      <w:pPr>
        <w:tabs>
          <w:tab w:val="left" w:pos="630"/>
        </w:tabs>
        <w:spacing w:after="240" w:line="360" w:lineRule="exact"/>
        <w:rPr>
          <w:kern w:val="14"/>
        </w:rPr>
      </w:pPr>
      <w:r>
        <w:t>106.</w:t>
      </w:r>
      <w:r>
        <w:rPr>
          <w:rFonts w:hint="eastAsia"/>
        </w:rPr>
        <w:tab/>
      </w:r>
      <w:r>
        <w:rPr>
          <w:rFonts w:hint="eastAsia"/>
          <w:kern w:val="14"/>
        </w:rPr>
        <w:t>《</w:t>
      </w:r>
      <w:r>
        <w:rPr>
          <w:kern w:val="14"/>
        </w:rPr>
        <w:t>立陶宛</w:t>
      </w:r>
      <w:r>
        <w:rPr>
          <w:rFonts w:hint="eastAsia"/>
          <w:kern w:val="14"/>
        </w:rPr>
        <w:t>共和国教育法》（</w:t>
      </w:r>
      <w:r>
        <w:rPr>
          <w:rFonts w:hint="eastAsia"/>
          <w:kern w:val="14"/>
        </w:rPr>
        <w:t>1991</w:t>
      </w:r>
      <w:r>
        <w:rPr>
          <w:rFonts w:hint="eastAsia"/>
          <w:kern w:val="14"/>
        </w:rPr>
        <w:t>年第</w:t>
      </w:r>
      <w:r>
        <w:rPr>
          <w:kern w:val="14"/>
        </w:rPr>
        <w:t>23-593</w:t>
      </w:r>
      <w:r>
        <w:rPr>
          <w:rFonts w:hint="eastAsia"/>
          <w:kern w:val="14"/>
        </w:rPr>
        <w:t>号和</w:t>
      </w:r>
      <w:r>
        <w:rPr>
          <w:rFonts w:hint="eastAsia"/>
          <w:kern w:val="14"/>
        </w:rPr>
        <w:t>2003</w:t>
      </w:r>
      <w:r>
        <w:rPr>
          <w:rFonts w:hint="eastAsia"/>
          <w:kern w:val="14"/>
        </w:rPr>
        <w:t>年第</w:t>
      </w:r>
      <w:r>
        <w:rPr>
          <w:kern w:val="14"/>
        </w:rPr>
        <w:t>63-2853</w:t>
      </w:r>
      <w:r>
        <w:rPr>
          <w:rFonts w:hint="eastAsia"/>
          <w:kern w:val="14"/>
        </w:rPr>
        <w:t>号</w:t>
      </w:r>
      <w:r>
        <w:rPr>
          <w:kern w:val="14"/>
        </w:rPr>
        <w:t>《政府公报》</w:t>
      </w:r>
      <w:r>
        <w:rPr>
          <w:rFonts w:hint="eastAsia"/>
          <w:kern w:val="14"/>
        </w:rPr>
        <w:t>）（以下称《教育法》）规定，不分男女，人人有权选择并获得合格的职业教育并利用向学习者提供的特权。出于正当理由，如健康问题，高等院校学生可以休学，其中包括休产假和育儿假，直到孩子满三岁为止。</w:t>
      </w:r>
    </w:p>
    <w:p w:rsidR="00595751" w:rsidRDefault="00595751">
      <w:pPr>
        <w:tabs>
          <w:tab w:val="left" w:pos="630"/>
        </w:tabs>
        <w:spacing w:after="240" w:line="360" w:lineRule="exact"/>
        <w:rPr>
          <w:color w:val="000000"/>
          <w:kern w:val="14"/>
        </w:rPr>
      </w:pPr>
      <w:r>
        <w:rPr>
          <w:color w:val="000000"/>
        </w:rPr>
        <w:t>107.</w:t>
      </w:r>
      <w:r>
        <w:rPr>
          <w:rFonts w:hint="eastAsia"/>
          <w:color w:val="000000"/>
        </w:rPr>
        <w:tab/>
      </w:r>
      <w:r>
        <w:rPr>
          <w:rFonts w:hint="eastAsia"/>
          <w:color w:val="000000"/>
          <w:kern w:val="14"/>
        </w:rPr>
        <w:t>教育和科学部长</w:t>
      </w:r>
      <w:r>
        <w:rPr>
          <w:color w:val="000000"/>
          <w:kern w:val="14"/>
        </w:rPr>
        <w:t>2007</w:t>
      </w:r>
      <w:r>
        <w:rPr>
          <w:rFonts w:hint="eastAsia"/>
          <w:color w:val="000000"/>
          <w:kern w:val="14"/>
        </w:rPr>
        <w:t>年</w:t>
      </w:r>
      <w:r>
        <w:rPr>
          <w:rFonts w:hint="eastAsia"/>
          <w:color w:val="000000"/>
          <w:kern w:val="14"/>
        </w:rPr>
        <w:t>4</w:t>
      </w:r>
      <w:r>
        <w:rPr>
          <w:rFonts w:hint="eastAsia"/>
          <w:color w:val="000000"/>
          <w:kern w:val="14"/>
        </w:rPr>
        <w:t>月</w:t>
      </w:r>
      <w:r>
        <w:rPr>
          <w:rFonts w:hint="eastAsia"/>
          <w:color w:val="000000"/>
          <w:kern w:val="14"/>
        </w:rPr>
        <w:t>4</w:t>
      </w:r>
      <w:r>
        <w:rPr>
          <w:rFonts w:hint="eastAsia"/>
          <w:color w:val="000000"/>
          <w:kern w:val="14"/>
        </w:rPr>
        <w:t>日第</w:t>
      </w:r>
      <w:r>
        <w:rPr>
          <w:color w:val="000000"/>
          <w:kern w:val="14"/>
        </w:rPr>
        <w:t>ISAK-604</w:t>
      </w:r>
      <w:r>
        <w:rPr>
          <w:rFonts w:hint="eastAsia"/>
          <w:color w:val="000000"/>
          <w:kern w:val="14"/>
        </w:rPr>
        <w:t>号命令规定，组织职业学校的培训过程时应考虑到职业培训大纲的具体要求。教学方法要适应学生的能力，课程的具体特点和教学基础，而不得以性别为由区别对待。</w:t>
      </w:r>
    </w:p>
    <w:p w:rsidR="00595751" w:rsidRDefault="00595751">
      <w:pPr>
        <w:tabs>
          <w:tab w:val="left" w:pos="630"/>
        </w:tabs>
        <w:spacing w:after="240" w:line="360" w:lineRule="exact"/>
        <w:rPr>
          <w:kern w:val="14"/>
        </w:rPr>
      </w:pPr>
      <w:r>
        <w:t>108.</w:t>
      </w:r>
      <w:r>
        <w:rPr>
          <w:rFonts w:hint="eastAsia"/>
        </w:rPr>
        <w:tab/>
      </w:r>
      <w:r>
        <w:rPr>
          <w:rFonts w:hint="eastAsia"/>
          <w:kern w:val="14"/>
        </w:rPr>
        <w:t>关于学生进步和成绩的评估及核证采取了性别中立的立场。如果一个人在相关学年课程大纲的所有科目中的成绩都被评定为满意或者更好，即可认为该人已圆满完成基本职业培训方案，因而可以参加资格考试。成功通过资格考试之后，就会取得证书，证明此人已获得职业资格。</w:t>
      </w:r>
    </w:p>
    <w:p w:rsidR="00595751" w:rsidRDefault="00595751">
      <w:pPr>
        <w:tabs>
          <w:tab w:val="left" w:pos="630"/>
        </w:tabs>
        <w:spacing w:after="240" w:line="360" w:lineRule="exact"/>
        <w:rPr>
          <w:kern w:val="14"/>
        </w:rPr>
      </w:pPr>
      <w:r>
        <w:t>109.</w:t>
      </w:r>
      <w:r>
        <w:rPr>
          <w:rFonts w:hint="eastAsia"/>
        </w:rPr>
        <w:tab/>
      </w:r>
      <w:r>
        <w:rPr>
          <w:rFonts w:hint="eastAsia"/>
          <w:kern w:val="14"/>
        </w:rPr>
        <w:t>教育和科学部长</w:t>
      </w:r>
      <w:r>
        <w:rPr>
          <w:kern w:val="14"/>
        </w:rPr>
        <w:t>2005</w:t>
      </w:r>
      <w:r>
        <w:rPr>
          <w:rFonts w:hint="eastAsia"/>
          <w:kern w:val="14"/>
        </w:rPr>
        <w:t>年</w:t>
      </w:r>
      <w:r>
        <w:rPr>
          <w:rFonts w:hint="eastAsia"/>
          <w:kern w:val="14"/>
        </w:rPr>
        <w:t>6</w:t>
      </w:r>
      <w:r>
        <w:rPr>
          <w:rFonts w:hint="eastAsia"/>
          <w:kern w:val="14"/>
        </w:rPr>
        <w:t>月</w:t>
      </w:r>
      <w:r>
        <w:rPr>
          <w:rFonts w:hint="eastAsia"/>
          <w:kern w:val="14"/>
        </w:rPr>
        <w:t>1</w:t>
      </w:r>
      <w:r>
        <w:rPr>
          <w:rFonts w:hint="eastAsia"/>
          <w:kern w:val="14"/>
        </w:rPr>
        <w:t>日第</w:t>
      </w:r>
      <w:r>
        <w:rPr>
          <w:kern w:val="14"/>
        </w:rPr>
        <w:t>ISAK-991</w:t>
      </w:r>
      <w:r>
        <w:rPr>
          <w:rFonts w:hint="eastAsia"/>
          <w:kern w:val="14"/>
        </w:rPr>
        <w:t>号命令（</w:t>
      </w:r>
      <w:r>
        <w:rPr>
          <w:rFonts w:hint="eastAsia"/>
          <w:kern w:val="14"/>
        </w:rPr>
        <w:t>2005</w:t>
      </w:r>
      <w:r>
        <w:rPr>
          <w:rFonts w:hint="eastAsia"/>
          <w:kern w:val="14"/>
        </w:rPr>
        <w:t>年第</w:t>
      </w:r>
      <w:r>
        <w:rPr>
          <w:kern w:val="14"/>
        </w:rPr>
        <w:t>72-2622</w:t>
      </w:r>
      <w:r>
        <w:rPr>
          <w:rFonts w:hint="eastAsia"/>
          <w:kern w:val="14"/>
        </w:rPr>
        <w:t>号</w:t>
      </w:r>
      <w:r>
        <w:rPr>
          <w:kern w:val="14"/>
        </w:rPr>
        <w:t>《政府公报》</w:t>
      </w:r>
      <w:r>
        <w:rPr>
          <w:rFonts w:hint="eastAsia"/>
          <w:kern w:val="14"/>
        </w:rPr>
        <w:t>）核准的《基本职业培训最终资格考试程序》规定了资格证明的获得、学习成果的核证以及不分性别的学习成绩评估程序；同时，自学者也可以获得职业资格。</w:t>
      </w:r>
    </w:p>
    <w:p w:rsidR="00595751" w:rsidRDefault="00595751">
      <w:pPr>
        <w:tabs>
          <w:tab w:val="left" w:pos="630"/>
        </w:tabs>
        <w:spacing w:after="240" w:line="360" w:lineRule="exact"/>
        <w:rPr>
          <w:kern w:val="14"/>
        </w:rPr>
      </w:pPr>
      <w:r>
        <w:t>110.</w:t>
      </w:r>
      <w:r>
        <w:rPr>
          <w:rFonts w:hint="eastAsia"/>
        </w:rPr>
        <w:tab/>
      </w:r>
      <w:r>
        <w:rPr>
          <w:rFonts w:hint="eastAsia"/>
          <w:kern w:val="14"/>
        </w:rPr>
        <w:t>其他工作包括开发和落实职业信息、咨询和指导系统，建立职业信息站点，为这些站点提供设备，培训在这些站点工作的专业工作者。根据</w:t>
      </w:r>
      <w:r>
        <w:rPr>
          <w:rFonts w:hint="eastAsia"/>
          <w:kern w:val="14"/>
        </w:rPr>
        <w:t>2005</w:t>
      </w:r>
      <w:r>
        <w:rPr>
          <w:rFonts w:hint="eastAsia"/>
          <w:kern w:val="14"/>
        </w:rPr>
        <w:t>年</w:t>
      </w:r>
      <w:r>
        <w:rPr>
          <w:rFonts w:hint="eastAsia"/>
          <w:kern w:val="14"/>
        </w:rPr>
        <w:t>4</w:t>
      </w:r>
      <w:r>
        <w:rPr>
          <w:rFonts w:hint="eastAsia"/>
          <w:kern w:val="14"/>
        </w:rPr>
        <w:t>月</w:t>
      </w:r>
      <w:r>
        <w:rPr>
          <w:rFonts w:hint="eastAsia"/>
          <w:kern w:val="14"/>
        </w:rPr>
        <w:t>29</w:t>
      </w:r>
      <w:r>
        <w:rPr>
          <w:rFonts w:hint="eastAsia"/>
          <w:kern w:val="14"/>
        </w:rPr>
        <w:t>日第</w:t>
      </w:r>
      <w:r>
        <w:rPr>
          <w:kern w:val="14"/>
        </w:rPr>
        <w:t>ISAK-739/A1-116</w:t>
      </w:r>
      <w:r>
        <w:rPr>
          <w:rFonts w:hint="eastAsia"/>
          <w:kern w:val="14"/>
        </w:rPr>
        <w:t>号命令（</w:t>
      </w:r>
      <w:r>
        <w:rPr>
          <w:rFonts w:hint="eastAsia"/>
          <w:kern w:val="14"/>
        </w:rPr>
        <w:t>2005</w:t>
      </w:r>
      <w:r>
        <w:rPr>
          <w:rFonts w:hint="eastAsia"/>
          <w:kern w:val="14"/>
        </w:rPr>
        <w:t>年第</w:t>
      </w:r>
      <w:r>
        <w:rPr>
          <w:kern w:val="14"/>
        </w:rPr>
        <w:t>60-2132</w:t>
      </w:r>
      <w:r>
        <w:rPr>
          <w:rFonts w:hint="eastAsia"/>
          <w:kern w:val="14"/>
        </w:rPr>
        <w:t>号</w:t>
      </w:r>
      <w:r>
        <w:rPr>
          <w:kern w:val="14"/>
        </w:rPr>
        <w:t>《政府公报》</w:t>
      </w:r>
      <w:r>
        <w:rPr>
          <w:rFonts w:hint="eastAsia"/>
          <w:kern w:val="14"/>
        </w:rPr>
        <w:t>），教育和科学部长以及社会保障和劳动部长核准了《提供职业信息和咨询服务要求》，以帮助人们利用教育、培训和就业领域的机会并积极谋求个人职业生涯的发展。这些服务对象不分男女，既包括尚未开始职业生涯的人和已经有就业记录的人，也包括失业者和雇主。</w:t>
      </w:r>
    </w:p>
    <w:p w:rsidR="00595751" w:rsidRDefault="00595751">
      <w:pPr>
        <w:tabs>
          <w:tab w:val="left" w:pos="630"/>
        </w:tabs>
        <w:spacing w:after="240" w:line="360" w:lineRule="exact"/>
        <w:rPr>
          <w:kern w:val="14"/>
        </w:rPr>
      </w:pPr>
      <w:r>
        <w:t>111.</w:t>
      </w:r>
      <w:r>
        <w:rPr>
          <w:rFonts w:hint="eastAsia"/>
        </w:rPr>
        <w:tab/>
      </w:r>
      <w:r>
        <w:rPr>
          <w:kern w:val="14"/>
        </w:rPr>
        <w:t>2005</w:t>
      </w:r>
      <w:r>
        <w:rPr>
          <w:rFonts w:hint="eastAsia"/>
          <w:kern w:val="14"/>
        </w:rPr>
        <w:t>年，高等院校就读学生总数为</w:t>
      </w:r>
      <w:r>
        <w:rPr>
          <w:kern w:val="14"/>
        </w:rPr>
        <w:t>56</w:t>
      </w:r>
      <w:r>
        <w:rPr>
          <w:rFonts w:hint="eastAsia"/>
          <w:kern w:val="14"/>
        </w:rPr>
        <w:t xml:space="preserve"> </w:t>
      </w:r>
      <w:r>
        <w:rPr>
          <w:kern w:val="14"/>
        </w:rPr>
        <w:t>000</w:t>
      </w:r>
      <w:r>
        <w:rPr>
          <w:rFonts w:hint="eastAsia"/>
          <w:kern w:val="14"/>
        </w:rPr>
        <w:t>人，其中女生为</w:t>
      </w:r>
      <w:r>
        <w:rPr>
          <w:kern w:val="14"/>
        </w:rPr>
        <w:t>33</w:t>
      </w:r>
      <w:r>
        <w:rPr>
          <w:rFonts w:hint="eastAsia"/>
          <w:kern w:val="14"/>
        </w:rPr>
        <w:t xml:space="preserve"> </w:t>
      </w:r>
      <w:r>
        <w:rPr>
          <w:kern w:val="14"/>
        </w:rPr>
        <w:t>000</w:t>
      </w:r>
      <w:r>
        <w:rPr>
          <w:rFonts w:hint="eastAsia"/>
          <w:kern w:val="14"/>
        </w:rPr>
        <w:t>人（占</w:t>
      </w:r>
      <w:r>
        <w:rPr>
          <w:kern w:val="14"/>
        </w:rPr>
        <w:t>58.9%</w:t>
      </w:r>
      <w:r>
        <w:rPr>
          <w:rFonts w:hint="eastAsia"/>
          <w:kern w:val="14"/>
        </w:rPr>
        <w:t>）。在许多领域，大学女生人数超过男生好几倍。而在某些专业，比如信息技术、工程、制造和加工、建筑和建造业、农业、林业和渔业以及运输业等少数专业，男生人数比女生多得多。</w:t>
      </w:r>
    </w:p>
    <w:p w:rsidR="00595751" w:rsidRDefault="00595751">
      <w:pPr>
        <w:tabs>
          <w:tab w:val="left" w:pos="630"/>
        </w:tabs>
        <w:spacing w:after="240" w:line="360" w:lineRule="exact"/>
        <w:rPr>
          <w:kern w:val="14"/>
        </w:rPr>
      </w:pPr>
      <w:r>
        <w:rPr>
          <w:lang w:val="en-GB"/>
        </w:rPr>
        <w:t>112.</w:t>
      </w:r>
      <w:r>
        <w:rPr>
          <w:rFonts w:hint="eastAsia"/>
        </w:rPr>
        <w:t xml:space="preserve"> </w:t>
      </w:r>
      <w:r>
        <w:rPr>
          <w:rFonts w:hint="eastAsia"/>
        </w:rPr>
        <w:tab/>
      </w:r>
      <w:r>
        <w:rPr>
          <w:kern w:val="14"/>
        </w:rPr>
        <w:t>2005-2006</w:t>
      </w:r>
      <w:r>
        <w:rPr>
          <w:rFonts w:hint="eastAsia"/>
          <w:kern w:val="14"/>
        </w:rPr>
        <w:t>年，在高等教育学校就读的学生总数为</w:t>
      </w:r>
      <w:r>
        <w:rPr>
          <w:kern w:val="14"/>
        </w:rPr>
        <w:t>138</w:t>
      </w:r>
      <w:r>
        <w:rPr>
          <w:rFonts w:hint="eastAsia"/>
          <w:kern w:val="14"/>
        </w:rPr>
        <w:t xml:space="preserve"> </w:t>
      </w:r>
      <w:r>
        <w:rPr>
          <w:kern w:val="14"/>
        </w:rPr>
        <w:t>000</w:t>
      </w:r>
      <w:r>
        <w:rPr>
          <w:rFonts w:hint="eastAsia"/>
          <w:kern w:val="14"/>
        </w:rPr>
        <w:t>人，其中</w:t>
      </w:r>
      <w:r>
        <w:rPr>
          <w:kern w:val="14"/>
        </w:rPr>
        <w:t>83</w:t>
      </w:r>
      <w:r>
        <w:rPr>
          <w:rFonts w:hint="eastAsia"/>
          <w:kern w:val="14"/>
        </w:rPr>
        <w:t xml:space="preserve"> </w:t>
      </w:r>
      <w:r>
        <w:rPr>
          <w:kern w:val="14"/>
        </w:rPr>
        <w:t>000</w:t>
      </w:r>
      <w:r>
        <w:rPr>
          <w:rFonts w:hint="eastAsia"/>
          <w:kern w:val="14"/>
        </w:rPr>
        <w:t>人（</w:t>
      </w:r>
      <w:r>
        <w:rPr>
          <w:kern w:val="14"/>
        </w:rPr>
        <w:t>60%</w:t>
      </w:r>
      <w:r>
        <w:rPr>
          <w:rFonts w:hint="eastAsia"/>
          <w:kern w:val="14"/>
        </w:rPr>
        <w:t>）是女生。在培养的专业人员总数中，妇女比男子多一倍。在所有学业阶段上，女生也多于男生。在大多数学科中也是女生比男生多，但在一些以男性为主的领域除外，比如工程和与工程有关的专业、建筑和建造业、运输、环境保护领域。在高等教育第三阶段（研究生）在大学攻读人文学科、社会学科、自然科学、生物医学专业的妇女人数也多于男子。唯一的例外是工科专业，在这个领域就读的</w:t>
      </w:r>
      <w:r>
        <w:rPr>
          <w:rFonts w:hint="eastAsia"/>
          <w:kern w:val="14"/>
        </w:rPr>
        <w:t>548</w:t>
      </w:r>
      <w:r>
        <w:rPr>
          <w:rFonts w:hint="eastAsia"/>
          <w:kern w:val="14"/>
        </w:rPr>
        <w:t>名学生中，只有</w:t>
      </w:r>
      <w:r>
        <w:rPr>
          <w:rFonts w:hint="eastAsia"/>
          <w:kern w:val="14"/>
        </w:rPr>
        <w:t>207</w:t>
      </w:r>
      <w:r>
        <w:rPr>
          <w:rFonts w:hint="eastAsia"/>
          <w:kern w:val="14"/>
        </w:rPr>
        <w:t>名女生。本报告附件表</w:t>
      </w:r>
      <w:r>
        <w:rPr>
          <w:rFonts w:hint="eastAsia"/>
          <w:kern w:val="14"/>
        </w:rPr>
        <w:t>6</w:t>
      </w:r>
      <w:r>
        <w:rPr>
          <w:rFonts w:hint="eastAsia"/>
          <w:kern w:val="14"/>
        </w:rPr>
        <w:t>给出了按学习阶段分列的</w:t>
      </w:r>
      <w:r>
        <w:rPr>
          <w:kern w:val="14"/>
        </w:rPr>
        <w:t>2005-2006</w:t>
      </w:r>
      <w:r>
        <w:rPr>
          <w:rFonts w:hint="eastAsia"/>
          <w:kern w:val="14"/>
        </w:rPr>
        <w:t>年各大学培养的专业人员人数。</w:t>
      </w:r>
    </w:p>
    <w:p w:rsidR="00595751" w:rsidRDefault="00595751">
      <w:pPr>
        <w:pStyle w:val="H2"/>
        <w:rPr>
          <w:rFonts w:hint="eastAsia"/>
        </w:rPr>
      </w:pPr>
      <w:r>
        <w:rPr>
          <w:rFonts w:hint="eastAsia"/>
        </w:rPr>
        <w:t>（</w:t>
      </w:r>
      <w:r>
        <w:t>b</w:t>
      </w:r>
      <w:r>
        <w:rPr>
          <w:rFonts w:hint="eastAsia"/>
        </w:rPr>
        <w:t>）</w:t>
      </w:r>
    </w:p>
    <w:p w:rsidR="00595751" w:rsidRDefault="00595751">
      <w:pPr>
        <w:tabs>
          <w:tab w:val="left" w:pos="630"/>
        </w:tabs>
        <w:spacing w:after="240" w:line="360" w:lineRule="exact"/>
        <w:rPr>
          <w:kern w:val="14"/>
        </w:rPr>
      </w:pPr>
      <w:r>
        <w:rPr>
          <w:lang w:val="en-GB"/>
        </w:rPr>
        <w:t xml:space="preserve">113. </w:t>
      </w:r>
      <w:r>
        <w:rPr>
          <w:rFonts w:hint="eastAsia"/>
          <w:lang w:val="en-GB"/>
        </w:rPr>
        <w:tab/>
      </w:r>
      <w:r>
        <w:rPr>
          <w:rFonts w:hint="eastAsia"/>
          <w:kern w:val="14"/>
        </w:rPr>
        <w:t>《教育法》保障人人有平等的机会在普通教育学校里学习同样的课程，使用同样的教学方法、同样的教辅工具以及同等质量的校舍和设备。</w:t>
      </w:r>
    </w:p>
    <w:p w:rsidR="00595751" w:rsidRDefault="00595751">
      <w:pPr>
        <w:tabs>
          <w:tab w:val="left" w:pos="630"/>
        </w:tabs>
        <w:spacing w:after="240" w:line="360" w:lineRule="exact"/>
        <w:rPr>
          <w:kern w:val="14"/>
        </w:rPr>
      </w:pPr>
      <w:r>
        <w:rPr>
          <w:lang w:val="en-GB"/>
        </w:rPr>
        <w:t>114.</w:t>
      </w:r>
      <w:r>
        <w:rPr>
          <w:rFonts w:hint="eastAsia"/>
          <w:lang w:val="en-GB"/>
        </w:rPr>
        <w:tab/>
      </w:r>
      <w:r>
        <w:rPr>
          <w:rFonts w:hint="eastAsia"/>
          <w:kern w:val="14"/>
        </w:rPr>
        <w:t>根据相关领域对专业能力和一般技能的要求编制了职业培训课程，不论在哪里——在农村职业学校还是在城市职业学校——都采取该培训课程。《学习和培训课程登记册》中没有一个职业培训课程是仅为妇女或仅为男子设计的（教育和科学部长</w:t>
      </w:r>
      <w:r>
        <w:rPr>
          <w:rFonts w:hint="eastAsia"/>
          <w:kern w:val="14"/>
        </w:rPr>
        <w:t>2006</w:t>
      </w:r>
      <w:r>
        <w:rPr>
          <w:rFonts w:hint="eastAsia"/>
          <w:kern w:val="14"/>
        </w:rPr>
        <w:t>年</w:t>
      </w:r>
      <w:r>
        <w:rPr>
          <w:rFonts w:hint="eastAsia"/>
          <w:kern w:val="14"/>
        </w:rPr>
        <w:t>1</w:t>
      </w:r>
      <w:r>
        <w:rPr>
          <w:rFonts w:hint="eastAsia"/>
          <w:kern w:val="14"/>
        </w:rPr>
        <w:t>月</w:t>
      </w:r>
      <w:r>
        <w:rPr>
          <w:rFonts w:hint="eastAsia"/>
          <w:kern w:val="14"/>
        </w:rPr>
        <w:t>17</w:t>
      </w:r>
      <w:r>
        <w:rPr>
          <w:rFonts w:hint="eastAsia"/>
          <w:kern w:val="14"/>
        </w:rPr>
        <w:t>日第</w:t>
      </w:r>
      <w:r>
        <w:rPr>
          <w:kern w:val="14"/>
        </w:rPr>
        <w:t>ISAK-90</w:t>
      </w:r>
      <w:r>
        <w:rPr>
          <w:rFonts w:hint="eastAsia"/>
          <w:kern w:val="14"/>
        </w:rPr>
        <w:t>号命令，“关于核准编制和审批基本职业培训课程的程序”）（</w:t>
      </w:r>
      <w:r>
        <w:rPr>
          <w:rFonts w:hint="eastAsia"/>
          <w:kern w:val="14"/>
        </w:rPr>
        <w:t>2006</w:t>
      </w:r>
      <w:r>
        <w:rPr>
          <w:rFonts w:hint="eastAsia"/>
          <w:kern w:val="14"/>
        </w:rPr>
        <w:t>年第</w:t>
      </w:r>
      <w:r>
        <w:rPr>
          <w:kern w:val="14"/>
        </w:rPr>
        <w:t>8-302</w:t>
      </w:r>
      <w:r>
        <w:rPr>
          <w:rFonts w:hint="eastAsia"/>
          <w:kern w:val="14"/>
        </w:rPr>
        <w:t>号</w:t>
      </w:r>
      <w:r>
        <w:rPr>
          <w:kern w:val="14"/>
        </w:rPr>
        <w:t>《政府公报》</w:t>
      </w:r>
      <w:r>
        <w:rPr>
          <w:rFonts w:hint="eastAsia"/>
          <w:kern w:val="14"/>
        </w:rPr>
        <w:t>）。</w:t>
      </w:r>
    </w:p>
    <w:p w:rsidR="00595751" w:rsidRDefault="00595751">
      <w:pPr>
        <w:tabs>
          <w:tab w:val="left" w:pos="630"/>
        </w:tabs>
        <w:spacing w:after="240" w:line="360" w:lineRule="exact"/>
        <w:rPr>
          <w:kern w:val="14"/>
        </w:rPr>
      </w:pPr>
      <w:r>
        <w:rPr>
          <w:lang w:val="en-GB"/>
        </w:rPr>
        <w:t>115.</w:t>
      </w:r>
      <w:r>
        <w:rPr>
          <w:rFonts w:hint="eastAsia"/>
          <w:lang w:val="en-GB"/>
        </w:rPr>
        <w:tab/>
      </w:r>
      <w:r>
        <w:rPr>
          <w:rFonts w:hint="eastAsia"/>
          <w:kern w:val="14"/>
        </w:rPr>
        <w:t>职业学校通过在其管理条例中对此做出规定，确保所有学生都有平等的机会使用学校图书馆、健身房、教科书、同等质量的校舍和教辅工具、学生宿舍的住宿设备，参加学校的自治团体、体育赛事和身体锻炼，以及有平等的机会选择其他自我表现手段等。</w:t>
      </w:r>
    </w:p>
    <w:p w:rsidR="00595751" w:rsidRDefault="00595751">
      <w:pPr>
        <w:pStyle w:val="H2"/>
        <w:rPr>
          <w:rFonts w:hint="eastAsia"/>
        </w:rPr>
      </w:pPr>
      <w:r>
        <w:rPr>
          <w:rFonts w:hint="eastAsia"/>
        </w:rPr>
        <w:t>（</w:t>
      </w:r>
      <w:r>
        <w:t>c</w:t>
      </w:r>
      <w:r>
        <w:rPr>
          <w:rFonts w:hint="eastAsia"/>
        </w:rPr>
        <w:t>）</w:t>
      </w:r>
    </w:p>
    <w:p w:rsidR="00595751" w:rsidRDefault="00595751">
      <w:pPr>
        <w:tabs>
          <w:tab w:val="left" w:pos="630"/>
        </w:tabs>
        <w:spacing w:after="240" w:line="360" w:lineRule="exact"/>
        <w:rPr>
          <w:kern w:val="14"/>
        </w:rPr>
      </w:pPr>
      <w:r>
        <w:rPr>
          <w:lang w:val="en-GB"/>
        </w:rPr>
        <w:t>116.</w:t>
      </w:r>
      <w:r>
        <w:rPr>
          <w:rFonts w:hint="eastAsia"/>
          <w:lang w:val="en-GB"/>
        </w:rPr>
        <w:tab/>
      </w:r>
      <w:r>
        <w:rPr>
          <w:rFonts w:hint="eastAsia"/>
          <w:kern w:val="14"/>
        </w:rPr>
        <w:t>《</w:t>
      </w:r>
      <w:r>
        <w:rPr>
          <w:kern w:val="14"/>
        </w:rPr>
        <w:t>2005-2009</w:t>
      </w:r>
      <w:r>
        <w:rPr>
          <w:rFonts w:hint="eastAsia"/>
          <w:kern w:val="14"/>
        </w:rPr>
        <w:t>年国家男女机会均等方案》的主要目标之一，就是确保男女在教育和科学领域机会均等。该方案确定了存在下述问题：教师缺乏两性平等方面的知识；虽然在高等院校中女生占多数，但是她们一般选择在职业前景和收入上不太有前途的专业；在最高一级学业中男女相差悬殊。为了解决上述问题而采取的行动包括将社会性别问题纳入正规和非正规教育大纲；组织教师和社会教育工作者参加男女平等问题培训班；制订“妇女和教育”战略。</w:t>
      </w:r>
    </w:p>
    <w:p w:rsidR="00595751" w:rsidRDefault="00595751">
      <w:pPr>
        <w:tabs>
          <w:tab w:val="left" w:pos="630"/>
        </w:tabs>
        <w:spacing w:after="240" w:line="360" w:lineRule="exact"/>
        <w:rPr>
          <w:kern w:val="14"/>
        </w:rPr>
      </w:pPr>
      <w:r>
        <w:rPr>
          <w:lang w:val="en-GB"/>
        </w:rPr>
        <w:t>117.</w:t>
      </w:r>
      <w:r>
        <w:rPr>
          <w:rFonts w:hint="eastAsia"/>
          <w:lang w:val="en-GB"/>
        </w:rPr>
        <w:t xml:space="preserve">　</w:t>
      </w:r>
      <w:r>
        <w:rPr>
          <w:rFonts w:hint="eastAsia"/>
          <w:lang w:val="en-GB"/>
        </w:rPr>
        <w:tab/>
      </w:r>
      <w:r>
        <w:rPr>
          <w:rFonts w:hint="eastAsia"/>
          <w:kern w:val="14"/>
        </w:rPr>
        <w:t>2005</w:t>
      </w:r>
      <w:r>
        <w:rPr>
          <w:rFonts w:hint="eastAsia"/>
          <w:kern w:val="14"/>
        </w:rPr>
        <w:t>年</w:t>
      </w:r>
      <w:r>
        <w:rPr>
          <w:rFonts w:hint="eastAsia"/>
          <w:kern w:val="14"/>
        </w:rPr>
        <w:t>1</w:t>
      </w:r>
      <w:r>
        <w:rPr>
          <w:rFonts w:hint="eastAsia"/>
          <w:kern w:val="14"/>
        </w:rPr>
        <w:t>月</w:t>
      </w:r>
      <w:r>
        <w:rPr>
          <w:rFonts w:hint="eastAsia"/>
          <w:kern w:val="14"/>
        </w:rPr>
        <w:t>4</w:t>
      </w:r>
      <w:r>
        <w:rPr>
          <w:rFonts w:hint="eastAsia"/>
          <w:kern w:val="14"/>
        </w:rPr>
        <w:t>日第</w:t>
      </w:r>
      <w:r>
        <w:rPr>
          <w:kern w:val="14"/>
        </w:rPr>
        <w:t>ISAK-2</w:t>
      </w:r>
      <w:r>
        <w:rPr>
          <w:rFonts w:hint="eastAsia"/>
          <w:kern w:val="14"/>
        </w:rPr>
        <w:t>号命令核准的《向学校提供普通教育科目的教科书和教辅工具的办法》（</w:t>
      </w:r>
      <w:r>
        <w:rPr>
          <w:rFonts w:hint="eastAsia"/>
          <w:kern w:val="14"/>
        </w:rPr>
        <w:t>2005</w:t>
      </w:r>
      <w:r>
        <w:rPr>
          <w:rFonts w:hint="eastAsia"/>
          <w:kern w:val="14"/>
        </w:rPr>
        <w:t>年第</w:t>
      </w:r>
      <w:r>
        <w:rPr>
          <w:kern w:val="14"/>
        </w:rPr>
        <w:t>7-216</w:t>
      </w:r>
      <w:r>
        <w:rPr>
          <w:rFonts w:hint="eastAsia"/>
          <w:kern w:val="14"/>
        </w:rPr>
        <w:t>号</w:t>
      </w:r>
      <w:r>
        <w:rPr>
          <w:kern w:val="14"/>
        </w:rPr>
        <w:t>《政府公报》</w:t>
      </w:r>
      <w:r>
        <w:rPr>
          <w:rFonts w:hint="eastAsia"/>
          <w:kern w:val="14"/>
        </w:rPr>
        <w:t>）规定，编写和评估教科书必须遵循机会均等原则，就是说，教科书应促进性别、年龄、特殊需要（残疾）、社会地位、种族或特定族裔身份、宗教或信仰方面的平等。</w:t>
      </w:r>
    </w:p>
    <w:p w:rsidR="00595751" w:rsidRDefault="00595751">
      <w:pPr>
        <w:tabs>
          <w:tab w:val="left" w:pos="630"/>
        </w:tabs>
        <w:spacing w:after="240" w:line="360" w:lineRule="exact"/>
        <w:rPr>
          <w:kern w:val="14"/>
        </w:rPr>
      </w:pPr>
      <w:r>
        <w:rPr>
          <w:lang w:val="en-GB"/>
        </w:rPr>
        <w:t>118.</w:t>
      </w:r>
      <w:r>
        <w:rPr>
          <w:rFonts w:hint="eastAsia"/>
          <w:lang w:val="en-GB"/>
        </w:rPr>
        <w:tab/>
      </w:r>
      <w:r>
        <w:rPr>
          <w:rFonts w:hint="eastAsia"/>
          <w:kern w:val="14"/>
        </w:rPr>
        <w:t>以前的手工艺和家政科目已换成了通用技术课程。通用技术课程包括创办企业和消费意识课程。所有技术课程都适合男女两性，因此男女学生混合上课。</w:t>
      </w:r>
    </w:p>
    <w:p w:rsidR="00595751" w:rsidRDefault="00595751">
      <w:pPr>
        <w:tabs>
          <w:tab w:val="left" w:pos="630"/>
        </w:tabs>
        <w:spacing w:after="240" w:line="360" w:lineRule="exact"/>
        <w:rPr>
          <w:kern w:val="14"/>
        </w:rPr>
      </w:pPr>
      <w:r>
        <w:rPr>
          <w:lang w:val="en-GB"/>
        </w:rPr>
        <w:t>119.</w:t>
      </w:r>
      <w:r>
        <w:rPr>
          <w:rFonts w:hint="eastAsia"/>
          <w:lang w:val="en-GB"/>
        </w:rPr>
        <w:tab/>
      </w:r>
      <w:r>
        <w:rPr>
          <w:rFonts w:hint="eastAsia"/>
          <w:kern w:val="14"/>
        </w:rPr>
        <w:t>机会均等监察官办公室收到了有关教育方面可能发生的基于性别的歧视的投诉；根据这些投诉进行调查的结果表明，女生的出勤率高于男生。根据《男女机会均等法》第</w:t>
      </w:r>
      <w:r>
        <w:rPr>
          <w:kern w:val="14"/>
        </w:rPr>
        <w:t>3</w:t>
      </w:r>
      <w:r>
        <w:rPr>
          <w:kern w:val="14"/>
        </w:rPr>
        <w:t>（</w:t>
      </w:r>
      <w:r>
        <w:rPr>
          <w:kern w:val="14"/>
        </w:rPr>
        <w:t>2</w:t>
      </w:r>
      <w:r>
        <w:rPr>
          <w:kern w:val="14"/>
        </w:rPr>
        <w:t>）</w:t>
      </w:r>
      <w:r>
        <w:rPr>
          <w:rFonts w:hint="eastAsia"/>
          <w:kern w:val="14"/>
        </w:rPr>
        <w:t>条，公共当局和行政机构有义务在其职权范围内草拟并执行旨在确保男女机会均等的方案和措施，因此，建议教育和科学部考虑能否制订旨在调动男生积极性以提高其学业成绩和加深知识的特殊教育方案。</w:t>
      </w:r>
    </w:p>
    <w:p w:rsidR="00595751" w:rsidRDefault="00595751">
      <w:pPr>
        <w:tabs>
          <w:tab w:val="left" w:pos="630"/>
        </w:tabs>
        <w:spacing w:after="240" w:line="360" w:lineRule="exact"/>
        <w:rPr>
          <w:kern w:val="14"/>
        </w:rPr>
      </w:pPr>
      <w:r>
        <w:rPr>
          <w:lang w:val="en-GB"/>
        </w:rPr>
        <w:t>120.</w:t>
      </w:r>
      <w:r>
        <w:rPr>
          <w:rFonts w:hint="eastAsia"/>
          <w:lang w:val="en-GB"/>
        </w:rPr>
        <w:tab/>
      </w:r>
      <w:r>
        <w:rPr>
          <w:rFonts w:hint="eastAsia"/>
          <w:kern w:val="14"/>
        </w:rPr>
        <w:t>2006</w:t>
      </w:r>
      <w:r>
        <w:rPr>
          <w:rFonts w:hint="eastAsia"/>
          <w:kern w:val="14"/>
        </w:rPr>
        <w:t>年，机会均等监察官办公室收到一份关于教辅工具中出现了有辱人格的不适当的妇女形象的投诉。在一本传授数字存储技术的教科书中，把一位妇女等同于零。对此投诉进行的调查结果表明，该教科书起到助长歧视妇女的作用。因此，建议教育发展中心及教育和科学部在</w:t>
      </w:r>
      <w:r>
        <w:rPr>
          <w:kern w:val="14"/>
        </w:rPr>
        <w:t>立陶宛</w:t>
      </w:r>
      <w:r>
        <w:rPr>
          <w:rFonts w:hint="eastAsia"/>
          <w:kern w:val="14"/>
        </w:rPr>
        <w:t>语的教科书中消除助长歧视妇女的教学方法或技巧。此项建议被采纳了，有关方面规定，在将来的教学方案中禁止助长歧视的陈规定型态度。</w:t>
      </w:r>
    </w:p>
    <w:p w:rsidR="00595751" w:rsidRDefault="00595751">
      <w:pPr>
        <w:pStyle w:val="H2"/>
        <w:rPr>
          <w:rFonts w:hint="eastAsia"/>
        </w:rPr>
      </w:pPr>
      <w:r>
        <w:rPr>
          <w:rFonts w:hint="eastAsia"/>
        </w:rPr>
        <w:t>（</w:t>
      </w:r>
      <w:r>
        <w:t>d</w:t>
      </w:r>
      <w:r>
        <w:rPr>
          <w:rFonts w:hint="eastAsia"/>
        </w:rPr>
        <w:t>）</w:t>
      </w:r>
    </w:p>
    <w:p w:rsidR="00595751" w:rsidRDefault="00595751">
      <w:pPr>
        <w:tabs>
          <w:tab w:val="left" w:pos="630"/>
        </w:tabs>
        <w:spacing w:after="240" w:line="360" w:lineRule="exact"/>
        <w:rPr>
          <w:kern w:val="14"/>
        </w:rPr>
      </w:pPr>
      <w:r>
        <w:rPr>
          <w:lang w:val="en-GB"/>
        </w:rPr>
        <w:t>121.</w:t>
      </w:r>
      <w:r>
        <w:rPr>
          <w:rFonts w:hint="eastAsia"/>
          <w:lang w:val="en-GB"/>
        </w:rPr>
        <w:tab/>
      </w:r>
      <w:r>
        <w:rPr>
          <w:rFonts w:hint="eastAsia"/>
          <w:kern w:val="14"/>
        </w:rPr>
        <w:t>根据《男女机会均等法》，教育和科学机构必须确保男女有平等的机会从奖学金和科研补助金中受益。</w:t>
      </w:r>
    </w:p>
    <w:p w:rsidR="00595751" w:rsidRDefault="00595751">
      <w:pPr>
        <w:pStyle w:val="H2"/>
        <w:rPr>
          <w:rFonts w:hint="eastAsia"/>
        </w:rPr>
      </w:pPr>
      <w:r>
        <w:rPr>
          <w:rFonts w:hint="eastAsia"/>
        </w:rPr>
        <w:t>（</w:t>
      </w:r>
      <w:r>
        <w:t>e</w:t>
      </w:r>
      <w:r>
        <w:rPr>
          <w:rFonts w:hint="eastAsia"/>
        </w:rPr>
        <w:t>）</w:t>
      </w:r>
    </w:p>
    <w:p w:rsidR="00595751" w:rsidRDefault="00595751">
      <w:pPr>
        <w:tabs>
          <w:tab w:val="left" w:pos="630"/>
        </w:tabs>
        <w:spacing w:after="240" w:line="360" w:lineRule="exact"/>
        <w:rPr>
          <w:kern w:val="14"/>
        </w:rPr>
      </w:pPr>
      <w:r>
        <w:rPr>
          <w:lang w:val="en-GB"/>
        </w:rPr>
        <w:t>122.</w:t>
      </w:r>
      <w:r>
        <w:rPr>
          <w:rFonts w:hint="eastAsia"/>
          <w:lang w:val="en-GB"/>
        </w:rPr>
        <w:tab/>
      </w:r>
      <w:r>
        <w:rPr>
          <w:kern w:val="14"/>
        </w:rPr>
        <w:t>2007</w:t>
      </w:r>
      <w:r>
        <w:rPr>
          <w:rFonts w:hint="eastAsia"/>
          <w:kern w:val="14"/>
        </w:rPr>
        <w:t>年</w:t>
      </w:r>
      <w:r>
        <w:rPr>
          <w:rFonts w:hint="eastAsia"/>
          <w:kern w:val="14"/>
        </w:rPr>
        <w:t>4</w:t>
      </w:r>
      <w:r>
        <w:rPr>
          <w:rFonts w:hint="eastAsia"/>
          <w:kern w:val="14"/>
        </w:rPr>
        <w:t>月</w:t>
      </w:r>
      <w:r>
        <w:rPr>
          <w:rFonts w:hint="eastAsia"/>
          <w:kern w:val="14"/>
        </w:rPr>
        <w:t>3</w:t>
      </w:r>
      <w:r>
        <w:rPr>
          <w:rFonts w:hint="eastAsia"/>
          <w:kern w:val="14"/>
        </w:rPr>
        <w:t>日，立陶宛通过了《立陶宛共和国职业教育和培训法》的一个新文本（</w:t>
      </w:r>
      <w:r>
        <w:rPr>
          <w:rFonts w:hint="eastAsia"/>
          <w:kern w:val="14"/>
        </w:rPr>
        <w:t>2007</w:t>
      </w:r>
      <w:r>
        <w:rPr>
          <w:rFonts w:hint="eastAsia"/>
          <w:kern w:val="14"/>
        </w:rPr>
        <w:t>年第</w:t>
      </w:r>
      <w:r>
        <w:rPr>
          <w:kern w:val="14"/>
        </w:rPr>
        <w:t>43-1627</w:t>
      </w:r>
      <w:r>
        <w:rPr>
          <w:rFonts w:hint="eastAsia"/>
          <w:kern w:val="14"/>
        </w:rPr>
        <w:t>号</w:t>
      </w:r>
      <w:r>
        <w:rPr>
          <w:kern w:val="14"/>
        </w:rPr>
        <w:t>《政府公报》</w:t>
      </w:r>
      <w:r>
        <w:rPr>
          <w:rFonts w:hint="eastAsia"/>
          <w:kern w:val="14"/>
        </w:rPr>
        <w:t>）。此项法令意在执行终身学习政策。</w:t>
      </w:r>
    </w:p>
    <w:p w:rsidR="00595751" w:rsidRDefault="00595751">
      <w:pPr>
        <w:tabs>
          <w:tab w:val="left" w:pos="630"/>
        </w:tabs>
        <w:spacing w:after="240" w:line="360" w:lineRule="exact"/>
        <w:rPr>
          <w:kern w:val="14"/>
        </w:rPr>
      </w:pPr>
      <w:r>
        <w:rPr>
          <w:lang w:val="en-GB"/>
        </w:rPr>
        <w:t>123.</w:t>
      </w:r>
      <w:r>
        <w:rPr>
          <w:rFonts w:hint="eastAsia"/>
          <w:lang w:val="en-GB"/>
        </w:rPr>
        <w:tab/>
      </w:r>
      <w:r>
        <w:rPr>
          <w:rFonts w:hint="eastAsia"/>
          <w:kern w:val="14"/>
        </w:rPr>
        <w:t>2005</w:t>
      </w:r>
      <w:r>
        <w:rPr>
          <w:rFonts w:hint="eastAsia"/>
          <w:kern w:val="14"/>
        </w:rPr>
        <w:t>年，各劳动力市场培训中心总共培训了</w:t>
      </w:r>
      <w:r>
        <w:rPr>
          <w:rFonts w:hint="eastAsia"/>
          <w:kern w:val="14"/>
        </w:rPr>
        <w:t>28 200</w:t>
      </w:r>
      <w:r>
        <w:rPr>
          <w:rFonts w:hint="eastAsia"/>
          <w:kern w:val="14"/>
        </w:rPr>
        <w:t>人，其中包括</w:t>
      </w:r>
      <w:r>
        <w:rPr>
          <w:rFonts w:hint="eastAsia"/>
          <w:kern w:val="14"/>
        </w:rPr>
        <w:t>10 900</w:t>
      </w:r>
      <w:r>
        <w:rPr>
          <w:rFonts w:hint="eastAsia"/>
          <w:kern w:val="14"/>
        </w:rPr>
        <w:t>名妇女。在参加培训的人中，有</w:t>
      </w:r>
      <w:r>
        <w:rPr>
          <w:kern w:val="14"/>
        </w:rPr>
        <w:t>8</w:t>
      </w:r>
      <w:r>
        <w:rPr>
          <w:rFonts w:hint="eastAsia"/>
          <w:kern w:val="14"/>
        </w:rPr>
        <w:t xml:space="preserve"> </w:t>
      </w:r>
      <w:r>
        <w:rPr>
          <w:kern w:val="14"/>
        </w:rPr>
        <w:t>8</w:t>
      </w:r>
      <w:r>
        <w:rPr>
          <w:rFonts w:hint="eastAsia"/>
          <w:kern w:val="14"/>
        </w:rPr>
        <w:t>00</w:t>
      </w:r>
      <w:r>
        <w:rPr>
          <w:rFonts w:hint="eastAsia"/>
          <w:kern w:val="14"/>
        </w:rPr>
        <w:t>名妇女（占</w:t>
      </w:r>
      <w:r>
        <w:rPr>
          <w:kern w:val="14"/>
        </w:rPr>
        <w:t>61%</w:t>
      </w:r>
      <w:r>
        <w:rPr>
          <w:rFonts w:hint="eastAsia"/>
          <w:kern w:val="14"/>
        </w:rPr>
        <w:t>）是由当地职业介绍所推荐的，有</w:t>
      </w:r>
      <w:r>
        <w:rPr>
          <w:rFonts w:hint="eastAsia"/>
          <w:kern w:val="14"/>
        </w:rPr>
        <w:t>800</w:t>
      </w:r>
      <w:r>
        <w:rPr>
          <w:rFonts w:hint="eastAsia"/>
          <w:kern w:val="14"/>
        </w:rPr>
        <w:t>名妇女（占</w:t>
      </w:r>
      <w:r>
        <w:rPr>
          <w:kern w:val="14"/>
        </w:rPr>
        <w:t>8.6%</w:t>
      </w:r>
      <w:r>
        <w:rPr>
          <w:rFonts w:hint="eastAsia"/>
          <w:kern w:val="14"/>
        </w:rPr>
        <w:t>）是由雇主推荐的，还有</w:t>
      </w:r>
      <w:r>
        <w:rPr>
          <w:rFonts w:hint="eastAsia"/>
          <w:kern w:val="14"/>
        </w:rPr>
        <w:t>1 100</w:t>
      </w:r>
      <w:r>
        <w:rPr>
          <w:rFonts w:hint="eastAsia"/>
          <w:kern w:val="14"/>
        </w:rPr>
        <w:t>名妇女（占</w:t>
      </w:r>
      <w:r>
        <w:rPr>
          <w:kern w:val="14"/>
        </w:rPr>
        <w:t>24%</w:t>
      </w:r>
      <w:r>
        <w:rPr>
          <w:rFonts w:hint="eastAsia"/>
          <w:kern w:val="14"/>
        </w:rPr>
        <w:t>）是自费参加培训的。</w:t>
      </w:r>
      <w:r>
        <w:rPr>
          <w:rFonts w:hint="eastAsia"/>
          <w:kern w:val="14"/>
        </w:rPr>
        <w:t>2006</w:t>
      </w:r>
      <w:r>
        <w:rPr>
          <w:rFonts w:hint="eastAsia"/>
          <w:kern w:val="14"/>
        </w:rPr>
        <w:t>年，各劳动力市场培训中心总共培训了</w:t>
      </w:r>
      <w:r>
        <w:rPr>
          <w:rFonts w:hint="eastAsia"/>
          <w:kern w:val="14"/>
        </w:rPr>
        <w:t>29 100</w:t>
      </w:r>
      <w:r>
        <w:rPr>
          <w:rFonts w:hint="eastAsia"/>
          <w:kern w:val="14"/>
        </w:rPr>
        <w:t>人，其中包括</w:t>
      </w:r>
      <w:r>
        <w:rPr>
          <w:rFonts w:hint="eastAsia"/>
          <w:kern w:val="14"/>
        </w:rPr>
        <w:t>10 500</w:t>
      </w:r>
      <w:r>
        <w:rPr>
          <w:rFonts w:hint="eastAsia"/>
          <w:kern w:val="14"/>
        </w:rPr>
        <w:t>名妇女。在被推荐参加培训的人中，有</w:t>
      </w:r>
      <w:r>
        <w:rPr>
          <w:rFonts w:hint="eastAsia"/>
          <w:kern w:val="14"/>
        </w:rPr>
        <w:t>7 500</w:t>
      </w:r>
      <w:r>
        <w:rPr>
          <w:rFonts w:hint="eastAsia"/>
          <w:kern w:val="14"/>
        </w:rPr>
        <w:t>名妇女（占</w:t>
      </w:r>
      <w:r>
        <w:rPr>
          <w:kern w:val="14"/>
        </w:rPr>
        <w:t>6</w:t>
      </w:r>
      <w:r>
        <w:rPr>
          <w:rFonts w:hint="eastAsia"/>
          <w:kern w:val="14"/>
        </w:rPr>
        <w:t>0</w:t>
      </w:r>
      <w:r>
        <w:rPr>
          <w:kern w:val="14"/>
        </w:rPr>
        <w:t>%</w:t>
      </w:r>
      <w:r>
        <w:rPr>
          <w:rFonts w:hint="eastAsia"/>
          <w:kern w:val="14"/>
        </w:rPr>
        <w:t>）是受当地职业介绍所推荐的，有</w:t>
      </w:r>
      <w:r>
        <w:rPr>
          <w:rFonts w:hint="eastAsia"/>
          <w:kern w:val="14"/>
        </w:rPr>
        <w:t>700</w:t>
      </w:r>
      <w:r>
        <w:rPr>
          <w:rFonts w:hint="eastAsia"/>
          <w:kern w:val="14"/>
        </w:rPr>
        <w:t>名妇女（占</w:t>
      </w:r>
      <w:r>
        <w:rPr>
          <w:rFonts w:hint="eastAsia"/>
          <w:kern w:val="14"/>
        </w:rPr>
        <w:t>6</w:t>
      </w:r>
      <w:r>
        <w:rPr>
          <w:kern w:val="14"/>
        </w:rPr>
        <w:t>.</w:t>
      </w:r>
      <w:r>
        <w:rPr>
          <w:rFonts w:hint="eastAsia"/>
          <w:kern w:val="14"/>
        </w:rPr>
        <w:t>9</w:t>
      </w:r>
      <w:r>
        <w:rPr>
          <w:kern w:val="14"/>
        </w:rPr>
        <w:t>%</w:t>
      </w:r>
      <w:r>
        <w:rPr>
          <w:rFonts w:hint="eastAsia"/>
          <w:kern w:val="14"/>
        </w:rPr>
        <w:t>）是由雇主推荐的，还有</w:t>
      </w:r>
      <w:r>
        <w:rPr>
          <w:rFonts w:hint="eastAsia"/>
          <w:kern w:val="14"/>
        </w:rPr>
        <w:t>1 100</w:t>
      </w:r>
      <w:r>
        <w:rPr>
          <w:rFonts w:hint="eastAsia"/>
          <w:kern w:val="14"/>
        </w:rPr>
        <w:t>名妇女（占</w:t>
      </w:r>
      <w:r>
        <w:rPr>
          <w:kern w:val="14"/>
        </w:rPr>
        <w:t>2</w:t>
      </w:r>
      <w:r>
        <w:rPr>
          <w:rFonts w:hint="eastAsia"/>
          <w:kern w:val="14"/>
        </w:rPr>
        <w:t>3.</w:t>
      </w:r>
      <w:r>
        <w:rPr>
          <w:kern w:val="14"/>
        </w:rPr>
        <w:t>4%</w:t>
      </w:r>
      <w:r>
        <w:rPr>
          <w:rFonts w:hint="eastAsia"/>
          <w:kern w:val="14"/>
        </w:rPr>
        <w:t>）是自费参加培训的。</w:t>
      </w:r>
    </w:p>
    <w:p w:rsidR="00595751" w:rsidRDefault="00595751">
      <w:pPr>
        <w:pStyle w:val="H2"/>
        <w:rPr>
          <w:rFonts w:hint="eastAsia"/>
        </w:rPr>
      </w:pPr>
      <w:r>
        <w:rPr>
          <w:rFonts w:hint="eastAsia"/>
        </w:rPr>
        <w:t>（</w:t>
      </w:r>
      <w:r>
        <w:t>f</w:t>
      </w:r>
      <w:r>
        <w:rPr>
          <w:rFonts w:hint="eastAsia"/>
        </w:rPr>
        <w:t>）</w:t>
      </w:r>
    </w:p>
    <w:p w:rsidR="00595751" w:rsidRDefault="00595751">
      <w:pPr>
        <w:tabs>
          <w:tab w:val="left" w:pos="630"/>
        </w:tabs>
        <w:spacing w:after="240" w:line="360" w:lineRule="exact"/>
        <w:rPr>
          <w:kern w:val="14"/>
        </w:rPr>
      </w:pPr>
      <w:r>
        <w:rPr>
          <w:lang w:val="en-GB"/>
        </w:rPr>
        <w:t>124.</w:t>
      </w:r>
      <w:r>
        <w:rPr>
          <w:rFonts w:hint="eastAsia"/>
          <w:lang w:val="en-GB"/>
        </w:rPr>
        <w:tab/>
      </w:r>
      <w:r>
        <w:rPr>
          <w:rFonts w:hint="eastAsia"/>
          <w:kern w:val="14"/>
        </w:rPr>
        <w:t>自</w:t>
      </w:r>
      <w:r>
        <w:rPr>
          <w:kern w:val="14"/>
        </w:rPr>
        <w:t>2005</w:t>
      </w:r>
      <w:r>
        <w:rPr>
          <w:rFonts w:hint="eastAsia"/>
          <w:kern w:val="14"/>
        </w:rPr>
        <w:t>年以来，教育和科学部一直在执行由欧盟结构基金资助的“辍学儿童重返校园”项目。该项目旨在通过以下措施鼓励辍学儿童返回普通教育学校，即扩大教育心理援助的普及面并提高其效率和质量；改进教育心理服务人员的专业素质；加强这些服务的方法基础。立陶宛正努力搞出一个动员辍学儿童返校并预防进一步辍学的工作模式。</w:t>
      </w:r>
    </w:p>
    <w:p w:rsidR="00595751" w:rsidRDefault="00595751">
      <w:pPr>
        <w:pStyle w:val="H2"/>
        <w:rPr>
          <w:rFonts w:hint="eastAsia"/>
        </w:rPr>
      </w:pPr>
      <w:r>
        <w:rPr>
          <w:rFonts w:hint="eastAsia"/>
        </w:rPr>
        <w:t>（</w:t>
      </w:r>
      <w:r>
        <w:t>g</w:t>
      </w:r>
      <w:r>
        <w:rPr>
          <w:rFonts w:hint="eastAsia"/>
        </w:rPr>
        <w:t>）</w:t>
      </w:r>
    </w:p>
    <w:p w:rsidR="00595751" w:rsidRDefault="00595751">
      <w:pPr>
        <w:tabs>
          <w:tab w:val="left" w:pos="630"/>
        </w:tabs>
        <w:spacing w:after="240" w:line="360" w:lineRule="exact"/>
        <w:rPr>
          <w:kern w:val="14"/>
        </w:rPr>
      </w:pPr>
      <w:r>
        <w:rPr>
          <w:lang w:val="en-GB"/>
        </w:rPr>
        <w:t xml:space="preserve">125. </w:t>
      </w:r>
      <w:r>
        <w:rPr>
          <w:rFonts w:hint="eastAsia"/>
          <w:lang w:val="en-GB"/>
        </w:rPr>
        <w:tab/>
      </w:r>
      <w:r>
        <w:rPr>
          <w:rFonts w:hint="eastAsia"/>
          <w:kern w:val="14"/>
        </w:rPr>
        <w:t>在</w:t>
      </w:r>
      <w:r>
        <w:rPr>
          <w:kern w:val="14"/>
        </w:rPr>
        <w:t>立陶宛</w:t>
      </w:r>
      <w:r>
        <w:rPr>
          <w:rFonts w:hint="eastAsia"/>
          <w:kern w:val="14"/>
        </w:rPr>
        <w:t>，所有学生都有平等的机会上普通体育课并达到教育标准。人人还有平等的机会积极参加体育赛事和体育锻炼活动。这方面的正规教育和辅助教育内容则因学生年龄与性别而异，因此，顾及到不同性别的学生在解剖学、生理学、心理学和社会学方面的特殊性（但不加以歧视）。在普通教育学校和职业培训及体育教育机构中，女童和年轻妇女可以根据她们的爱好和能力按照与男童和年轻男子相等的条件选择非正规体育活动（辅助教育）。不过，参加体育运动的男童和年轻男子远比女童和年轻女子人数多。究其原因，可以从女童锻炼身体和参加体育运动的积极性较低得到解释。女童一般对公共卫生条件比较挑剔；另外，她们大多比较用功，因而花在学习上的时间比较多。</w:t>
      </w:r>
    </w:p>
    <w:p w:rsidR="00595751" w:rsidRDefault="00595751" w:rsidP="00DB491E">
      <w:pPr>
        <w:tabs>
          <w:tab w:val="left" w:pos="630"/>
        </w:tabs>
        <w:spacing w:after="240" w:line="360" w:lineRule="exact"/>
        <w:ind w:firstLineChars="300" w:firstLine="31680"/>
        <w:rPr>
          <w:kern w:val="14"/>
        </w:rPr>
      </w:pPr>
      <w:r>
        <w:rPr>
          <w:rFonts w:hint="eastAsia"/>
          <w:kern w:val="14"/>
        </w:rPr>
        <w:t>想要报考</w:t>
      </w:r>
      <w:r>
        <w:rPr>
          <w:kern w:val="14"/>
        </w:rPr>
        <w:t>立陶宛</w:t>
      </w:r>
      <w:r>
        <w:rPr>
          <w:kern w:val="14"/>
        </w:rPr>
        <w:t>Jonas Žemaitis</w:t>
      </w:r>
      <w:r>
        <w:rPr>
          <w:rFonts w:hint="eastAsia"/>
          <w:kern w:val="14"/>
        </w:rPr>
        <w:t>将军军事学院的人，必须达到适用于军人的身体素质标准；而这些标准根据性别和年龄做出区别。</w:t>
      </w:r>
    </w:p>
    <w:p w:rsidR="00595751" w:rsidRDefault="00595751">
      <w:pPr>
        <w:tabs>
          <w:tab w:val="left" w:pos="630"/>
        </w:tabs>
        <w:spacing w:after="240" w:line="360" w:lineRule="exact"/>
        <w:rPr>
          <w:kern w:val="14"/>
        </w:rPr>
      </w:pPr>
      <w:r>
        <w:rPr>
          <w:lang w:val="en-GB"/>
        </w:rPr>
        <w:t>126.</w:t>
      </w:r>
      <w:r>
        <w:rPr>
          <w:rFonts w:hint="eastAsia"/>
          <w:lang w:val="en-GB"/>
        </w:rPr>
        <w:tab/>
      </w:r>
      <w:r>
        <w:rPr>
          <w:rFonts w:hint="eastAsia"/>
          <w:kern w:val="14"/>
        </w:rPr>
        <w:t>根据</w:t>
      </w:r>
      <w:r>
        <w:rPr>
          <w:kern w:val="14"/>
        </w:rPr>
        <w:t>立陶宛</w:t>
      </w:r>
      <w:r>
        <w:rPr>
          <w:rFonts w:hint="eastAsia"/>
          <w:kern w:val="14"/>
        </w:rPr>
        <w:t>《体育统计年鉴》的数据，</w:t>
      </w:r>
      <w:r>
        <w:rPr>
          <w:rFonts w:hint="eastAsia"/>
          <w:kern w:val="14"/>
        </w:rPr>
        <w:t>2006</w:t>
      </w:r>
      <w:r>
        <w:rPr>
          <w:rFonts w:hint="eastAsia"/>
          <w:kern w:val="14"/>
        </w:rPr>
        <w:t>年，全国开办了</w:t>
      </w:r>
      <w:r>
        <w:rPr>
          <w:rFonts w:hint="eastAsia"/>
          <w:kern w:val="14"/>
        </w:rPr>
        <w:t>97</w:t>
      </w:r>
      <w:r>
        <w:rPr>
          <w:rFonts w:hint="eastAsia"/>
          <w:kern w:val="14"/>
        </w:rPr>
        <w:t>所体育学校，在校学生总数为</w:t>
      </w:r>
      <w:r>
        <w:rPr>
          <w:kern w:val="14"/>
        </w:rPr>
        <w:t>46</w:t>
      </w:r>
      <w:r>
        <w:rPr>
          <w:rFonts w:hint="eastAsia"/>
          <w:kern w:val="14"/>
        </w:rPr>
        <w:t xml:space="preserve"> </w:t>
      </w:r>
      <w:r>
        <w:rPr>
          <w:kern w:val="14"/>
        </w:rPr>
        <w:t>253</w:t>
      </w:r>
      <w:r>
        <w:rPr>
          <w:rFonts w:hint="eastAsia"/>
          <w:kern w:val="14"/>
        </w:rPr>
        <w:t>人，其中包括</w:t>
      </w:r>
      <w:r>
        <w:rPr>
          <w:kern w:val="14"/>
        </w:rPr>
        <w:t>13</w:t>
      </w:r>
      <w:r>
        <w:rPr>
          <w:rFonts w:hint="eastAsia"/>
          <w:kern w:val="14"/>
        </w:rPr>
        <w:t xml:space="preserve"> </w:t>
      </w:r>
      <w:r>
        <w:rPr>
          <w:kern w:val="14"/>
        </w:rPr>
        <w:t>098</w:t>
      </w:r>
      <w:r>
        <w:rPr>
          <w:rFonts w:hint="eastAsia"/>
          <w:kern w:val="14"/>
        </w:rPr>
        <w:t>名女童。在</w:t>
      </w:r>
      <w:r>
        <w:rPr>
          <w:kern w:val="14"/>
        </w:rPr>
        <w:t>立陶宛</w:t>
      </w:r>
      <w:r>
        <w:rPr>
          <w:rFonts w:hint="eastAsia"/>
          <w:kern w:val="14"/>
        </w:rPr>
        <w:t>，上体育学校的儿童人数总体在下降，女童也不例外。与此不同的是，自</w:t>
      </w:r>
      <w:r>
        <w:rPr>
          <w:rFonts w:hint="eastAsia"/>
          <w:kern w:val="14"/>
        </w:rPr>
        <w:t>2000</w:t>
      </w:r>
      <w:r>
        <w:rPr>
          <w:rFonts w:hint="eastAsia"/>
          <w:kern w:val="14"/>
        </w:rPr>
        <w:t>年以来</w:t>
      </w:r>
      <w:r>
        <w:rPr>
          <w:rFonts w:hint="eastAsia"/>
          <w:kern w:val="14"/>
        </w:rPr>
        <w:t>,</w:t>
      </w:r>
      <w:r>
        <w:rPr>
          <w:rFonts w:hint="eastAsia"/>
          <w:kern w:val="14"/>
        </w:rPr>
        <w:t>参加体育运动的妇女人数一直呈上升趋势（参见：</w:t>
      </w:r>
      <w:r>
        <w:rPr>
          <w:rFonts w:hint="eastAsia"/>
          <w:kern w:val="14"/>
        </w:rPr>
        <w:t>2000</w:t>
      </w:r>
      <w:r>
        <w:rPr>
          <w:rFonts w:hint="eastAsia"/>
          <w:kern w:val="14"/>
        </w:rPr>
        <w:t>年占</w:t>
      </w:r>
      <w:r>
        <w:rPr>
          <w:kern w:val="14"/>
        </w:rPr>
        <w:t>27.8%</w:t>
      </w:r>
      <w:r>
        <w:rPr>
          <w:rFonts w:hint="eastAsia"/>
          <w:kern w:val="14"/>
        </w:rPr>
        <w:t>；</w:t>
      </w:r>
      <w:r>
        <w:rPr>
          <w:rFonts w:hint="eastAsia"/>
          <w:kern w:val="14"/>
        </w:rPr>
        <w:t>2002</w:t>
      </w:r>
      <w:r>
        <w:rPr>
          <w:rFonts w:hint="eastAsia"/>
          <w:kern w:val="14"/>
        </w:rPr>
        <w:t>年占</w:t>
      </w:r>
      <w:r>
        <w:rPr>
          <w:kern w:val="14"/>
        </w:rPr>
        <w:t>27.19%</w:t>
      </w:r>
      <w:r>
        <w:rPr>
          <w:rFonts w:hint="eastAsia"/>
          <w:kern w:val="14"/>
        </w:rPr>
        <w:t>；</w:t>
      </w:r>
      <w:r>
        <w:rPr>
          <w:rFonts w:hint="eastAsia"/>
          <w:kern w:val="14"/>
        </w:rPr>
        <w:t>2004</w:t>
      </w:r>
      <w:r>
        <w:rPr>
          <w:rFonts w:hint="eastAsia"/>
          <w:kern w:val="14"/>
        </w:rPr>
        <w:t>年占</w:t>
      </w:r>
      <w:r>
        <w:rPr>
          <w:kern w:val="14"/>
        </w:rPr>
        <w:t>27.98%</w:t>
      </w:r>
      <w:r>
        <w:rPr>
          <w:rFonts w:hint="eastAsia"/>
          <w:kern w:val="14"/>
        </w:rPr>
        <w:t>；</w:t>
      </w:r>
      <w:r>
        <w:rPr>
          <w:rFonts w:hint="eastAsia"/>
          <w:kern w:val="14"/>
        </w:rPr>
        <w:t>2006</w:t>
      </w:r>
      <w:r>
        <w:rPr>
          <w:rFonts w:hint="eastAsia"/>
          <w:kern w:val="14"/>
        </w:rPr>
        <w:t>年占</w:t>
      </w:r>
      <w:r>
        <w:rPr>
          <w:kern w:val="14"/>
        </w:rPr>
        <w:t>29.55%</w:t>
      </w:r>
      <w:r>
        <w:rPr>
          <w:rFonts w:hint="eastAsia"/>
          <w:kern w:val="14"/>
        </w:rPr>
        <w:t>）。有些年轻妇女甚至参加了非常“适合男子的”体育项目：最近，有</w:t>
      </w:r>
      <w:r>
        <w:rPr>
          <w:rFonts w:hint="eastAsia"/>
          <w:kern w:val="14"/>
        </w:rPr>
        <w:t>13</w:t>
      </w:r>
      <w:r>
        <w:rPr>
          <w:rFonts w:hint="eastAsia"/>
          <w:kern w:val="14"/>
        </w:rPr>
        <w:t>名年轻妇女参加了拳击训练班；有</w:t>
      </w:r>
      <w:r>
        <w:rPr>
          <w:rFonts w:hint="eastAsia"/>
          <w:kern w:val="14"/>
        </w:rPr>
        <w:t>411</w:t>
      </w:r>
      <w:r>
        <w:rPr>
          <w:rFonts w:hint="eastAsia"/>
          <w:kern w:val="14"/>
        </w:rPr>
        <w:t>名妇女在从事足球运动；有</w:t>
      </w:r>
      <w:r>
        <w:rPr>
          <w:rFonts w:hint="eastAsia"/>
          <w:kern w:val="14"/>
        </w:rPr>
        <w:t>472</w:t>
      </w:r>
      <w:r>
        <w:rPr>
          <w:rFonts w:hint="eastAsia"/>
          <w:kern w:val="14"/>
        </w:rPr>
        <w:t>名妇女参加柔道运动；从事希腊和罗马式摔跤的妇女有</w:t>
      </w:r>
      <w:r>
        <w:rPr>
          <w:rFonts w:hint="eastAsia"/>
          <w:kern w:val="14"/>
        </w:rPr>
        <w:t>32</w:t>
      </w:r>
      <w:r>
        <w:rPr>
          <w:rFonts w:hint="eastAsia"/>
          <w:kern w:val="14"/>
        </w:rPr>
        <w:t>人；从事“摔搏”自卫运动的妇女有</w:t>
      </w:r>
      <w:r>
        <w:rPr>
          <w:rFonts w:hint="eastAsia"/>
          <w:kern w:val="14"/>
        </w:rPr>
        <w:t>12</w:t>
      </w:r>
      <w:r>
        <w:rPr>
          <w:rFonts w:hint="eastAsia"/>
          <w:kern w:val="14"/>
        </w:rPr>
        <w:t>人；从事自由式摔跤运动的妇女有</w:t>
      </w:r>
      <w:r>
        <w:rPr>
          <w:rFonts w:hint="eastAsia"/>
          <w:kern w:val="14"/>
        </w:rPr>
        <w:t>24</w:t>
      </w:r>
      <w:r>
        <w:rPr>
          <w:rFonts w:hint="eastAsia"/>
          <w:kern w:val="14"/>
        </w:rPr>
        <w:t>人；从事举重运动员的有</w:t>
      </w:r>
      <w:r>
        <w:rPr>
          <w:rFonts w:hint="eastAsia"/>
          <w:kern w:val="14"/>
        </w:rPr>
        <w:t>19</w:t>
      </w:r>
      <w:r>
        <w:rPr>
          <w:rFonts w:hint="eastAsia"/>
          <w:kern w:val="14"/>
        </w:rPr>
        <w:t>人；参加</w:t>
      </w:r>
      <w:r>
        <w:rPr>
          <w:kern w:val="14"/>
        </w:rPr>
        <w:t>Kyokushin</w:t>
      </w:r>
      <w:r>
        <w:rPr>
          <w:rFonts w:hint="eastAsia"/>
          <w:kern w:val="14"/>
        </w:rPr>
        <w:t>空手道运动的妇女有</w:t>
      </w:r>
      <w:r>
        <w:rPr>
          <w:rFonts w:hint="eastAsia"/>
          <w:kern w:val="14"/>
        </w:rPr>
        <w:t>11</w:t>
      </w:r>
      <w:r>
        <w:rPr>
          <w:rFonts w:hint="eastAsia"/>
          <w:kern w:val="14"/>
        </w:rPr>
        <w:t>人；空手道女运动员有</w:t>
      </w:r>
      <w:r>
        <w:rPr>
          <w:rFonts w:hint="eastAsia"/>
          <w:kern w:val="14"/>
        </w:rPr>
        <w:t>8</w:t>
      </w:r>
      <w:r>
        <w:rPr>
          <w:rFonts w:hint="eastAsia"/>
          <w:kern w:val="14"/>
        </w:rPr>
        <w:t>人；有</w:t>
      </w:r>
      <w:r>
        <w:rPr>
          <w:rFonts w:hint="eastAsia"/>
          <w:kern w:val="14"/>
        </w:rPr>
        <w:t>16</w:t>
      </w:r>
      <w:r>
        <w:rPr>
          <w:rFonts w:hint="eastAsia"/>
          <w:kern w:val="14"/>
        </w:rPr>
        <w:t>位妇女参加了臂角力（扳腕子）；有</w:t>
      </w:r>
      <w:r>
        <w:rPr>
          <w:kern w:val="14"/>
        </w:rPr>
        <w:t>43</w:t>
      </w:r>
      <w:r>
        <w:rPr>
          <w:rFonts w:hint="eastAsia"/>
          <w:kern w:val="14"/>
        </w:rPr>
        <w:t>名妇女参加了英式橄榄球运动；有</w:t>
      </w:r>
      <w:r>
        <w:rPr>
          <w:kern w:val="14"/>
        </w:rPr>
        <w:t>10</w:t>
      </w:r>
      <w:r>
        <w:rPr>
          <w:rFonts w:hint="eastAsia"/>
          <w:kern w:val="14"/>
        </w:rPr>
        <w:t>名女击剑运动员；</w:t>
      </w:r>
      <w:r>
        <w:rPr>
          <w:rFonts w:hint="eastAsia"/>
          <w:kern w:val="14"/>
        </w:rPr>
        <w:t>4</w:t>
      </w:r>
      <w:r>
        <w:rPr>
          <w:rFonts w:hint="eastAsia"/>
          <w:kern w:val="14"/>
        </w:rPr>
        <w:t>名妇女参加了水球运动；</w:t>
      </w:r>
      <w:r>
        <w:rPr>
          <w:rFonts w:hint="eastAsia"/>
          <w:kern w:val="14"/>
        </w:rPr>
        <w:t>48</w:t>
      </w:r>
      <w:r>
        <w:rPr>
          <w:rFonts w:hint="eastAsia"/>
          <w:kern w:val="14"/>
        </w:rPr>
        <w:t>名妇女参加了帆船运动；</w:t>
      </w:r>
      <w:r>
        <w:rPr>
          <w:rFonts w:hint="eastAsia"/>
          <w:kern w:val="14"/>
        </w:rPr>
        <w:t>36</w:t>
      </w:r>
      <w:r>
        <w:rPr>
          <w:rFonts w:hint="eastAsia"/>
          <w:kern w:val="14"/>
        </w:rPr>
        <w:t>名妇女参加了潜泳运动。</w:t>
      </w:r>
    </w:p>
    <w:p w:rsidR="00595751" w:rsidRDefault="00595751">
      <w:pPr>
        <w:pStyle w:val="H2"/>
        <w:rPr>
          <w:rFonts w:hint="eastAsia"/>
        </w:rPr>
      </w:pPr>
      <w:r>
        <w:rPr>
          <w:rFonts w:hint="eastAsia"/>
        </w:rPr>
        <w:t>（</w:t>
      </w:r>
      <w:r>
        <w:t>h</w:t>
      </w:r>
      <w:r>
        <w:rPr>
          <w:rFonts w:hint="eastAsia"/>
        </w:rPr>
        <w:t>）</w:t>
      </w:r>
    </w:p>
    <w:p w:rsidR="00595751" w:rsidRDefault="00595751">
      <w:pPr>
        <w:tabs>
          <w:tab w:val="left" w:pos="630"/>
        </w:tabs>
        <w:spacing w:after="240" w:line="360" w:lineRule="exact"/>
        <w:rPr>
          <w:kern w:val="14"/>
        </w:rPr>
      </w:pPr>
      <w:r>
        <w:rPr>
          <w:lang w:val="en-GB"/>
        </w:rPr>
        <w:t>127.</w:t>
      </w:r>
      <w:r>
        <w:rPr>
          <w:rFonts w:hint="eastAsia"/>
          <w:lang w:val="en-GB"/>
        </w:rPr>
        <w:tab/>
      </w:r>
      <w:r>
        <w:rPr>
          <w:rFonts w:hint="eastAsia"/>
          <w:kern w:val="14"/>
        </w:rPr>
        <w:t>各种类型的学校教育方案不分性别地促进社会和种族价值观，培育家庭和社会道德规范，培养有批判力的思考能力和恰当判断行为规范的能力。为了使年轻人做好生活、婚姻和家庭的准备，帮助他们了解性行为的一般概念，并且培养合乎道德的成熟品格，根据</w:t>
      </w:r>
      <w:r>
        <w:rPr>
          <w:rFonts w:hint="eastAsia"/>
          <w:kern w:val="14"/>
        </w:rPr>
        <w:t>2007</w:t>
      </w:r>
      <w:r>
        <w:rPr>
          <w:rFonts w:hint="eastAsia"/>
          <w:kern w:val="14"/>
        </w:rPr>
        <w:t>年</w:t>
      </w:r>
      <w:r>
        <w:rPr>
          <w:rFonts w:hint="eastAsia"/>
          <w:kern w:val="14"/>
        </w:rPr>
        <w:t>2</w:t>
      </w:r>
      <w:r>
        <w:rPr>
          <w:rFonts w:hint="eastAsia"/>
          <w:kern w:val="14"/>
        </w:rPr>
        <w:t>月</w:t>
      </w:r>
      <w:r>
        <w:rPr>
          <w:rFonts w:hint="eastAsia"/>
          <w:kern w:val="14"/>
        </w:rPr>
        <w:t>7</w:t>
      </w:r>
      <w:r>
        <w:rPr>
          <w:rFonts w:hint="eastAsia"/>
          <w:kern w:val="14"/>
        </w:rPr>
        <w:t>日第</w:t>
      </w:r>
      <w:r>
        <w:rPr>
          <w:kern w:val="14"/>
        </w:rPr>
        <w:t>ISAK-179</w:t>
      </w:r>
      <w:r>
        <w:rPr>
          <w:rFonts w:hint="eastAsia"/>
          <w:kern w:val="14"/>
        </w:rPr>
        <w:t>号命令（</w:t>
      </w:r>
      <w:r>
        <w:rPr>
          <w:rFonts w:hint="eastAsia"/>
          <w:kern w:val="14"/>
        </w:rPr>
        <w:t>2007</w:t>
      </w:r>
      <w:r>
        <w:rPr>
          <w:rFonts w:hint="eastAsia"/>
          <w:kern w:val="14"/>
        </w:rPr>
        <w:t>年第</w:t>
      </w:r>
      <w:r>
        <w:rPr>
          <w:kern w:val="14"/>
        </w:rPr>
        <w:t>19-740</w:t>
      </w:r>
      <w:r>
        <w:rPr>
          <w:rFonts w:hint="eastAsia"/>
          <w:kern w:val="14"/>
        </w:rPr>
        <w:t>号</w:t>
      </w:r>
      <w:r>
        <w:rPr>
          <w:kern w:val="14"/>
        </w:rPr>
        <w:t>《政府公报》</w:t>
      </w:r>
      <w:r>
        <w:rPr>
          <w:rFonts w:hint="eastAsia"/>
          <w:kern w:val="14"/>
        </w:rPr>
        <w:t>），教育和科学部长核准了《家庭和性教育方案》。根据</w:t>
      </w:r>
      <w:r>
        <w:rPr>
          <w:rFonts w:hint="eastAsia"/>
          <w:kern w:val="14"/>
        </w:rPr>
        <w:t>2006</w:t>
      </w:r>
      <w:r>
        <w:rPr>
          <w:rFonts w:hint="eastAsia"/>
          <w:kern w:val="14"/>
        </w:rPr>
        <w:t>年</w:t>
      </w:r>
      <w:r>
        <w:rPr>
          <w:rFonts w:hint="eastAsia"/>
          <w:kern w:val="14"/>
        </w:rPr>
        <w:t>2</w:t>
      </w:r>
      <w:r>
        <w:rPr>
          <w:rFonts w:hint="eastAsia"/>
          <w:kern w:val="14"/>
        </w:rPr>
        <w:t>月</w:t>
      </w:r>
      <w:r>
        <w:rPr>
          <w:rFonts w:hint="eastAsia"/>
          <w:kern w:val="14"/>
        </w:rPr>
        <w:t>14</w:t>
      </w:r>
      <w:r>
        <w:rPr>
          <w:rFonts w:hint="eastAsia"/>
          <w:kern w:val="14"/>
        </w:rPr>
        <w:t>日第</w:t>
      </w:r>
      <w:r>
        <w:rPr>
          <w:kern w:val="14"/>
        </w:rPr>
        <w:t>ISAK-261</w:t>
      </w:r>
      <w:r>
        <w:rPr>
          <w:rFonts w:hint="eastAsia"/>
          <w:kern w:val="14"/>
        </w:rPr>
        <w:t>号命令（</w:t>
      </w:r>
      <w:r>
        <w:rPr>
          <w:rFonts w:hint="eastAsia"/>
          <w:kern w:val="14"/>
        </w:rPr>
        <w:t>2006</w:t>
      </w:r>
      <w:r>
        <w:rPr>
          <w:rFonts w:hint="eastAsia"/>
          <w:kern w:val="14"/>
        </w:rPr>
        <w:t>年第</w:t>
      </w:r>
      <w:r>
        <w:rPr>
          <w:kern w:val="14"/>
        </w:rPr>
        <w:t>23-766</w:t>
      </w:r>
      <w:r>
        <w:rPr>
          <w:rFonts w:hint="eastAsia"/>
          <w:kern w:val="14"/>
        </w:rPr>
        <w:t>号</w:t>
      </w:r>
      <w:r>
        <w:rPr>
          <w:kern w:val="14"/>
        </w:rPr>
        <w:t>《政府公报》</w:t>
      </w:r>
      <w:r>
        <w:rPr>
          <w:rFonts w:hint="eastAsia"/>
          <w:kern w:val="14"/>
        </w:rPr>
        <w:t>），教育和科学部长还核准了关于制订儿童和青年家庭教育方案的方法建议，这些建议界定了制订和实施这种方案应遵循的原则以及内容要求等。编写了一份题为“制订儿童和青年家庭教育方案”的教学方法辅助材料。目前，教育和科学部设立了一个工作组，负责拟订一份关于宣传贯彻上述儿童和青年家庭教育方案方法建议的行动计划。教师职业发展中心为处理这些问题的教师定期举办培训课程和研讨班。</w:t>
      </w:r>
    </w:p>
    <w:p w:rsidR="00595751" w:rsidRDefault="00595751">
      <w:pPr>
        <w:pStyle w:val="H1"/>
      </w:pPr>
      <w:r>
        <w:rPr>
          <w:rFonts w:hint="eastAsia"/>
        </w:rPr>
        <w:t>第</w:t>
      </w:r>
      <w:r>
        <w:t>11</w:t>
      </w:r>
      <w:r>
        <w:rPr>
          <w:rFonts w:hint="eastAsia"/>
        </w:rPr>
        <w:t>条</w:t>
      </w:r>
    </w:p>
    <w:p w:rsidR="00595751" w:rsidRDefault="00595751">
      <w:pPr>
        <w:pStyle w:val="H23"/>
        <w:rPr>
          <w:b w:val="0"/>
          <w:bCs w:val="0"/>
          <w:lang w:val="en-GB"/>
        </w:rPr>
      </w:pPr>
      <w:r>
        <w:rPr>
          <w:rFonts w:hint="eastAsia"/>
          <w:b w:val="0"/>
          <w:bCs w:val="0"/>
          <w:lang w:val="en-GB"/>
        </w:rPr>
        <w:t>第</w:t>
      </w:r>
      <w:r>
        <w:rPr>
          <w:b w:val="0"/>
          <w:bCs w:val="0"/>
          <w:lang w:val="en-GB"/>
        </w:rPr>
        <w:t>1</w:t>
      </w:r>
      <w:r>
        <w:rPr>
          <w:rFonts w:hint="eastAsia"/>
          <w:b w:val="0"/>
          <w:bCs w:val="0"/>
          <w:lang w:val="en-GB"/>
        </w:rPr>
        <w:t>款</w:t>
      </w:r>
    </w:p>
    <w:p w:rsidR="00595751" w:rsidRDefault="00595751">
      <w:pPr>
        <w:pStyle w:val="H2"/>
        <w:rPr>
          <w:rFonts w:hint="eastAsia"/>
        </w:rPr>
      </w:pPr>
      <w:r>
        <w:rPr>
          <w:rFonts w:hint="eastAsia"/>
        </w:rPr>
        <w:t>（</w:t>
      </w:r>
      <w:r>
        <w:t>a</w:t>
      </w:r>
      <w:r>
        <w:rPr>
          <w:rFonts w:hint="eastAsia"/>
        </w:rPr>
        <w:t>）</w:t>
      </w:r>
    </w:p>
    <w:p w:rsidR="00595751" w:rsidRDefault="00595751">
      <w:pPr>
        <w:tabs>
          <w:tab w:val="left" w:pos="630"/>
        </w:tabs>
        <w:spacing w:after="240" w:line="360" w:lineRule="exact"/>
        <w:rPr>
          <w:kern w:val="14"/>
        </w:rPr>
      </w:pPr>
      <w:r>
        <w:rPr>
          <w:lang w:val="en-GB"/>
        </w:rPr>
        <w:t>128.</w:t>
      </w:r>
      <w:r>
        <w:rPr>
          <w:rFonts w:hint="eastAsia"/>
          <w:lang w:val="en-GB"/>
        </w:rPr>
        <w:tab/>
      </w:r>
      <w:r>
        <w:rPr>
          <w:kern w:val="14"/>
        </w:rPr>
        <w:t>2006</w:t>
      </w:r>
      <w:r>
        <w:rPr>
          <w:rFonts w:hint="eastAsia"/>
          <w:kern w:val="14"/>
        </w:rPr>
        <w:t>年，立陶宛通过了《就业支助法》。该法律旨在实现充分就业，减少社会排斥，加强社会凝聚力。该法律规定，就业支助系统的任务是：保持劳动力供需平衡，以确保劳动力市场的总体平衡，增加劳动适龄求职者的就业机会。该法律还提出了下述就业支助措施：一般就业支助服务；积极的劳动力市场政策措施；就业支助方案。《就业支助法》第</w:t>
      </w:r>
      <w:r>
        <w:rPr>
          <w:kern w:val="14"/>
        </w:rPr>
        <w:t>3</w:t>
      </w:r>
      <w:r>
        <w:rPr>
          <w:kern w:val="14"/>
        </w:rPr>
        <w:t>（</w:t>
      </w:r>
      <w:r>
        <w:rPr>
          <w:kern w:val="14"/>
        </w:rPr>
        <w:t>4</w:t>
      </w:r>
      <w:r>
        <w:rPr>
          <w:kern w:val="14"/>
        </w:rPr>
        <w:t>）</w:t>
      </w:r>
      <w:r>
        <w:rPr>
          <w:rFonts w:hint="eastAsia"/>
          <w:kern w:val="14"/>
        </w:rPr>
        <w:t>条规定，要想完成就业支助系统的任务和执行就业支助措施，就必须遵循男女机会均等原则和不歧视原则。</w:t>
      </w:r>
    </w:p>
    <w:p w:rsidR="00595751" w:rsidRDefault="00595751">
      <w:pPr>
        <w:tabs>
          <w:tab w:val="left" w:pos="630"/>
        </w:tabs>
        <w:spacing w:after="240" w:line="360" w:lineRule="exact"/>
        <w:rPr>
          <w:kern w:val="14"/>
        </w:rPr>
      </w:pPr>
      <w:r>
        <w:rPr>
          <w:lang w:val="en-GB"/>
        </w:rPr>
        <w:t>129.</w:t>
      </w:r>
      <w:r>
        <w:rPr>
          <w:rFonts w:hint="eastAsia"/>
          <w:lang w:val="en-GB"/>
        </w:rPr>
        <w:tab/>
      </w:r>
      <w:r>
        <w:rPr>
          <w:rFonts w:hint="eastAsia"/>
          <w:kern w:val="14"/>
        </w:rPr>
        <w:t>根据上述法律，下列人群有资格在劳动力市场获得额外支持：孕妇；由家庭选择，母亲（养母）或父亲（养父）；实际上在抚养一名</w:t>
      </w:r>
      <w:r>
        <w:rPr>
          <w:rFonts w:hint="eastAsia"/>
          <w:kern w:val="14"/>
        </w:rPr>
        <w:t>8</w:t>
      </w:r>
      <w:r>
        <w:rPr>
          <w:rFonts w:hint="eastAsia"/>
          <w:kern w:val="14"/>
        </w:rPr>
        <w:t>岁以下儿童或一名</w:t>
      </w:r>
      <w:r>
        <w:rPr>
          <w:rFonts w:hint="eastAsia"/>
          <w:kern w:val="14"/>
        </w:rPr>
        <w:t>18</w:t>
      </w:r>
      <w:r>
        <w:rPr>
          <w:rFonts w:hint="eastAsia"/>
          <w:kern w:val="14"/>
        </w:rPr>
        <w:t>岁以下残疾儿童，且在</w:t>
      </w:r>
      <w:r>
        <w:rPr>
          <w:rFonts w:hint="eastAsia"/>
          <w:kern w:val="14"/>
        </w:rPr>
        <w:t>2005</w:t>
      </w:r>
      <w:r>
        <w:rPr>
          <w:rFonts w:hint="eastAsia"/>
          <w:kern w:val="14"/>
        </w:rPr>
        <w:t>年</w:t>
      </w:r>
      <w:r>
        <w:rPr>
          <w:rFonts w:hint="eastAsia"/>
          <w:kern w:val="14"/>
        </w:rPr>
        <w:t>7</w:t>
      </w:r>
      <w:r>
        <w:rPr>
          <w:rFonts w:hint="eastAsia"/>
          <w:kern w:val="14"/>
        </w:rPr>
        <w:t>月</w:t>
      </w:r>
      <w:r>
        <w:rPr>
          <w:rFonts w:hint="eastAsia"/>
          <w:kern w:val="14"/>
        </w:rPr>
        <w:t>1</w:t>
      </w:r>
      <w:r>
        <w:rPr>
          <w:rFonts w:hint="eastAsia"/>
          <w:kern w:val="14"/>
        </w:rPr>
        <w:t>日以前已被正式确认为伤残的监护人或监管人；身为贩卖人口的受害者，已经完成心理社会康复和</w:t>
      </w:r>
      <w:r>
        <w:rPr>
          <w:rFonts w:hint="eastAsia"/>
          <w:kern w:val="14"/>
        </w:rPr>
        <w:t>/</w:t>
      </w:r>
      <w:r>
        <w:rPr>
          <w:rFonts w:hint="eastAsia"/>
          <w:kern w:val="14"/>
        </w:rPr>
        <w:t>或职业培训方案的人。</w:t>
      </w:r>
    </w:p>
    <w:p w:rsidR="00595751" w:rsidRDefault="00595751">
      <w:pPr>
        <w:tabs>
          <w:tab w:val="left" w:pos="630"/>
        </w:tabs>
        <w:spacing w:after="240" w:line="360" w:lineRule="exact"/>
        <w:rPr>
          <w:kern w:val="14"/>
        </w:rPr>
      </w:pPr>
      <w:r>
        <w:rPr>
          <w:lang w:val="en-GB"/>
        </w:rPr>
        <w:t>130.</w:t>
      </w:r>
      <w:r>
        <w:rPr>
          <w:rFonts w:hint="eastAsia"/>
          <w:lang w:val="en-GB"/>
        </w:rPr>
        <w:tab/>
      </w:r>
      <w:r>
        <w:rPr>
          <w:kern w:val="14"/>
        </w:rPr>
        <w:t>2004</w:t>
      </w:r>
      <w:r>
        <w:rPr>
          <w:rFonts w:hint="eastAsia"/>
          <w:kern w:val="14"/>
        </w:rPr>
        <w:t>年，立陶宛通过了《社会企业法》。该法律规定了已被赋予相关社会企业地位的法人因这种地位应承担的权利和义务，以及获得和失去该地位的依据和程序；确定了可能受雇于社会企业的目标群体；具体指明了社会企业雇用关系的特殊性；并且对赋予这些企业的国家补助金做了规定。该法律第</w:t>
      </w:r>
      <w:r>
        <w:rPr>
          <w:kern w:val="14"/>
        </w:rPr>
        <w:t>4</w:t>
      </w:r>
      <w:r>
        <w:rPr>
          <w:kern w:val="14"/>
        </w:rPr>
        <w:t>（</w:t>
      </w:r>
      <w:r>
        <w:rPr>
          <w:kern w:val="14"/>
        </w:rPr>
        <w:t>1</w:t>
      </w:r>
      <w:r>
        <w:rPr>
          <w:kern w:val="14"/>
        </w:rPr>
        <w:t>）（</w:t>
      </w:r>
      <w:r>
        <w:rPr>
          <w:kern w:val="14"/>
        </w:rPr>
        <w:t>4</w:t>
      </w:r>
      <w:r>
        <w:rPr>
          <w:kern w:val="14"/>
        </w:rPr>
        <w:t>）</w:t>
      </w:r>
      <w:r>
        <w:rPr>
          <w:rFonts w:hint="eastAsia"/>
          <w:kern w:val="14"/>
        </w:rPr>
        <w:t>条规定，如果母亲（或父亲）独自照料和抚养一名</w:t>
      </w:r>
      <w:r>
        <w:rPr>
          <w:rFonts w:hint="eastAsia"/>
          <w:kern w:val="14"/>
        </w:rPr>
        <w:t>8</w:t>
      </w:r>
      <w:r>
        <w:rPr>
          <w:rFonts w:hint="eastAsia"/>
          <w:kern w:val="14"/>
        </w:rPr>
        <w:t>岁以下的子女，而这位母亲（或父亲）自从在当地职业介绍所登记以来已经失业六个月以上，就应该支助这位母亲（或父亲）在社会企业就业。</w:t>
      </w:r>
    </w:p>
    <w:p w:rsidR="00595751" w:rsidRDefault="00595751">
      <w:pPr>
        <w:pStyle w:val="H2"/>
        <w:rPr>
          <w:rFonts w:hint="eastAsia"/>
        </w:rPr>
      </w:pPr>
      <w:r>
        <w:rPr>
          <w:rFonts w:hint="eastAsia"/>
        </w:rPr>
        <w:t>（</w:t>
      </w:r>
      <w:r>
        <w:t>b</w:t>
      </w:r>
      <w:r>
        <w:rPr>
          <w:rFonts w:hint="eastAsia"/>
        </w:rPr>
        <w:t>）</w:t>
      </w:r>
    </w:p>
    <w:p w:rsidR="00595751" w:rsidRDefault="00595751">
      <w:pPr>
        <w:tabs>
          <w:tab w:val="left" w:pos="630"/>
        </w:tabs>
        <w:spacing w:after="240" w:line="360" w:lineRule="exact"/>
        <w:rPr>
          <w:kern w:val="14"/>
        </w:rPr>
      </w:pPr>
      <w:r>
        <w:rPr>
          <w:lang w:val="en-GB"/>
        </w:rPr>
        <w:t>131.</w:t>
      </w:r>
      <w:r>
        <w:rPr>
          <w:rFonts w:hint="eastAsia"/>
          <w:lang w:val="en-GB"/>
        </w:rPr>
        <w:tab/>
      </w:r>
      <w:r>
        <w:rPr>
          <w:rFonts w:hint="eastAsia"/>
          <w:kern w:val="14"/>
        </w:rPr>
        <w:t>《</w:t>
      </w:r>
      <w:r>
        <w:rPr>
          <w:kern w:val="14"/>
        </w:rPr>
        <w:t>2005-2009</w:t>
      </w:r>
      <w:r>
        <w:rPr>
          <w:rFonts w:hint="eastAsia"/>
          <w:kern w:val="14"/>
        </w:rPr>
        <w:t>年国家男女机会均等方案》的主要目标之一，就是确保男女就业机会均等。《方案》的这一部分目的在于：改变立陶宛经济活动中男女角色的陈规定型观念，以便为男女调和其工作，包括在专业兵种服役与家庭责任的矛盾创造条件；使那些长期脱离劳动力市场之后想要重新开始其职业生涯的妇女以及老年妇女求职者有更多的就业机会；拓展妇女开创和发展企业的机会，促进妇女更积极地参与经济活动；激励雇主实行男女同工同酬；通过确保劳动力市场的两性平等促进社会伙伴关系并开展社会对话。</w:t>
      </w:r>
    </w:p>
    <w:p w:rsidR="00595751" w:rsidRDefault="00595751">
      <w:pPr>
        <w:tabs>
          <w:tab w:val="left" w:pos="630"/>
        </w:tabs>
        <w:spacing w:after="240" w:line="360" w:lineRule="exact"/>
        <w:rPr>
          <w:kern w:val="14"/>
        </w:rPr>
      </w:pPr>
      <w:r>
        <w:rPr>
          <w:lang w:val="en-GB"/>
        </w:rPr>
        <w:t>132.</w:t>
      </w:r>
      <w:r>
        <w:rPr>
          <w:rFonts w:hint="eastAsia"/>
          <w:lang w:val="en-GB"/>
        </w:rPr>
        <w:tab/>
      </w:r>
      <w:r>
        <w:rPr>
          <w:rFonts w:hint="eastAsia"/>
          <w:kern w:val="14"/>
        </w:rPr>
        <w:t>《</w:t>
      </w:r>
      <w:r>
        <w:rPr>
          <w:kern w:val="14"/>
        </w:rPr>
        <w:t>2005-2009</w:t>
      </w:r>
      <w:r>
        <w:rPr>
          <w:rFonts w:hint="eastAsia"/>
          <w:kern w:val="14"/>
        </w:rPr>
        <w:t>年国家男女机会均等方案》力争完成促进妇女创业的任务，这与联合国在减贫和就业领域确定的优先任务——即确保男女平等参与企业活动——是一致的。另外，上述任务也列入政府</w:t>
      </w:r>
      <w:r>
        <w:rPr>
          <w:rFonts w:hint="eastAsia"/>
          <w:kern w:val="14"/>
        </w:rPr>
        <w:t>2002</w:t>
      </w:r>
      <w:r>
        <w:rPr>
          <w:rFonts w:hint="eastAsia"/>
          <w:kern w:val="14"/>
        </w:rPr>
        <w:t>年</w:t>
      </w:r>
      <w:r>
        <w:rPr>
          <w:rFonts w:hint="eastAsia"/>
          <w:kern w:val="14"/>
        </w:rPr>
        <w:t>6</w:t>
      </w:r>
      <w:r>
        <w:rPr>
          <w:rFonts w:hint="eastAsia"/>
          <w:kern w:val="14"/>
        </w:rPr>
        <w:t>月</w:t>
      </w:r>
      <w:r>
        <w:rPr>
          <w:rFonts w:hint="eastAsia"/>
          <w:kern w:val="14"/>
        </w:rPr>
        <w:t>12</w:t>
      </w:r>
      <w:r>
        <w:rPr>
          <w:rFonts w:hint="eastAsia"/>
          <w:kern w:val="14"/>
        </w:rPr>
        <w:t>日第</w:t>
      </w:r>
      <w:r>
        <w:rPr>
          <w:rFonts w:hint="eastAsia"/>
          <w:kern w:val="14"/>
        </w:rPr>
        <w:t>853</w:t>
      </w:r>
      <w:r>
        <w:rPr>
          <w:rFonts w:hint="eastAsia"/>
          <w:kern w:val="14"/>
        </w:rPr>
        <w:t>号决议（</w:t>
      </w:r>
      <w:r>
        <w:rPr>
          <w:rFonts w:hint="eastAsia"/>
          <w:kern w:val="14"/>
        </w:rPr>
        <w:t>2002</w:t>
      </w:r>
      <w:r>
        <w:rPr>
          <w:rFonts w:hint="eastAsia"/>
          <w:kern w:val="14"/>
        </w:rPr>
        <w:t>年第</w:t>
      </w:r>
      <w:r>
        <w:rPr>
          <w:kern w:val="14"/>
        </w:rPr>
        <w:t>60-2424</w:t>
      </w:r>
      <w:r>
        <w:rPr>
          <w:rFonts w:hint="eastAsia"/>
          <w:kern w:val="14"/>
        </w:rPr>
        <w:t>号</w:t>
      </w:r>
      <w:r>
        <w:rPr>
          <w:kern w:val="14"/>
        </w:rPr>
        <w:t>《政府公报》</w:t>
      </w:r>
      <w:r>
        <w:rPr>
          <w:rFonts w:hint="eastAsia"/>
          <w:kern w:val="14"/>
        </w:rPr>
        <w:t>）核准的《</w:t>
      </w:r>
      <w:r>
        <w:rPr>
          <w:rFonts w:hint="eastAsia"/>
          <w:kern w:val="14"/>
        </w:rPr>
        <w:t>2015</w:t>
      </w:r>
      <w:r>
        <w:rPr>
          <w:rFonts w:hint="eastAsia"/>
          <w:kern w:val="14"/>
        </w:rPr>
        <w:t>年以前的国家经济发展长期目标》中规定的《</w:t>
      </w:r>
      <w:r>
        <w:rPr>
          <w:rFonts w:hint="eastAsia"/>
          <w:kern w:val="14"/>
        </w:rPr>
        <w:t>2015</w:t>
      </w:r>
      <w:r>
        <w:rPr>
          <w:rFonts w:hint="eastAsia"/>
          <w:kern w:val="14"/>
        </w:rPr>
        <w:t>年以前的中小型企业发展战略目标》以及旨在促进经济快速增长、竞争力、就业和人力资本投资的《国家里斯本战略执行方案》的有关措施中。</w:t>
      </w:r>
    </w:p>
    <w:p w:rsidR="00595751" w:rsidRDefault="00595751">
      <w:pPr>
        <w:tabs>
          <w:tab w:val="left" w:pos="630"/>
        </w:tabs>
        <w:spacing w:after="240" w:line="360" w:lineRule="exact"/>
        <w:rPr>
          <w:kern w:val="14"/>
        </w:rPr>
      </w:pPr>
      <w:r>
        <w:rPr>
          <w:lang w:val="en-GB"/>
        </w:rPr>
        <w:t>133.</w:t>
      </w:r>
      <w:r>
        <w:rPr>
          <w:rFonts w:hint="eastAsia"/>
          <w:lang w:val="en-GB"/>
        </w:rPr>
        <w:tab/>
      </w:r>
      <w:r>
        <w:rPr>
          <w:rFonts w:hint="eastAsia"/>
          <w:lang w:val="en-GB"/>
        </w:rPr>
        <w:t>立陶宛</w:t>
      </w:r>
      <w:r>
        <w:rPr>
          <w:rFonts w:hint="eastAsia"/>
          <w:kern w:val="14"/>
        </w:rPr>
        <w:t>正在提高妇女，尤其是农村妇女的受雇就业能力，并改善她们创办和发展企业的条件。妇女们正在积极地利用各种机会找工作或者创办私人企业。根据社会保障和劳动部下属的国家劳动力交流办公室的数据，</w:t>
      </w:r>
      <w:r>
        <w:rPr>
          <w:rFonts w:hint="eastAsia"/>
          <w:kern w:val="14"/>
        </w:rPr>
        <w:t>2006</w:t>
      </w:r>
      <w:r>
        <w:rPr>
          <w:rFonts w:hint="eastAsia"/>
          <w:kern w:val="14"/>
        </w:rPr>
        <w:t>年，总共有</w:t>
      </w:r>
      <w:r>
        <w:rPr>
          <w:kern w:val="14"/>
        </w:rPr>
        <w:t>10</w:t>
      </w:r>
      <w:r>
        <w:rPr>
          <w:rFonts w:hint="eastAsia"/>
          <w:kern w:val="14"/>
        </w:rPr>
        <w:t xml:space="preserve"> </w:t>
      </w:r>
      <w:r>
        <w:rPr>
          <w:kern w:val="14"/>
        </w:rPr>
        <w:t>4</w:t>
      </w:r>
      <w:r>
        <w:rPr>
          <w:rFonts w:hint="eastAsia"/>
          <w:kern w:val="14"/>
        </w:rPr>
        <w:t>00</w:t>
      </w:r>
      <w:r>
        <w:rPr>
          <w:rFonts w:hint="eastAsia"/>
          <w:kern w:val="14"/>
        </w:rPr>
        <w:t>名妇女（占</w:t>
      </w:r>
      <w:r>
        <w:rPr>
          <w:kern w:val="14"/>
        </w:rPr>
        <w:t>54%</w:t>
      </w:r>
      <w:r>
        <w:rPr>
          <w:rFonts w:hint="eastAsia"/>
          <w:kern w:val="14"/>
        </w:rPr>
        <w:t>）被推荐参加职业培训，其中有</w:t>
      </w:r>
      <w:r>
        <w:rPr>
          <w:rFonts w:hint="eastAsia"/>
          <w:kern w:val="14"/>
        </w:rPr>
        <w:t>1 800</w:t>
      </w:r>
      <w:r>
        <w:rPr>
          <w:rFonts w:hint="eastAsia"/>
          <w:kern w:val="14"/>
        </w:rPr>
        <w:t>名妇女是在脱离劳动力市场三年多以后在职业介绍所登记的，另有</w:t>
      </w:r>
      <w:r>
        <w:rPr>
          <w:rFonts w:hint="eastAsia"/>
          <w:kern w:val="14"/>
        </w:rPr>
        <w:t>1 200</w:t>
      </w:r>
      <w:r>
        <w:rPr>
          <w:rFonts w:hint="eastAsia"/>
          <w:kern w:val="14"/>
        </w:rPr>
        <w:t>名妇女年龄在</w:t>
      </w:r>
      <w:r>
        <w:rPr>
          <w:rFonts w:hint="eastAsia"/>
          <w:kern w:val="14"/>
        </w:rPr>
        <w:t>50</w:t>
      </w:r>
      <w:r>
        <w:rPr>
          <w:rFonts w:hint="eastAsia"/>
          <w:kern w:val="14"/>
        </w:rPr>
        <w:t>岁以上。为了提高其就业能力和更新技能，有</w:t>
      </w:r>
      <w:r>
        <w:rPr>
          <w:rFonts w:hint="eastAsia"/>
          <w:kern w:val="14"/>
        </w:rPr>
        <w:t>3 000</w:t>
      </w:r>
      <w:r>
        <w:rPr>
          <w:rFonts w:hint="eastAsia"/>
          <w:kern w:val="14"/>
        </w:rPr>
        <w:t>名妇女（占</w:t>
      </w:r>
      <w:r>
        <w:rPr>
          <w:kern w:val="14"/>
        </w:rPr>
        <w:t>73%</w:t>
      </w:r>
      <w:r>
        <w:rPr>
          <w:rFonts w:hint="eastAsia"/>
          <w:kern w:val="14"/>
        </w:rPr>
        <w:t>）被推荐参加专门为长期失业者开办的培训班，以更新其专业知识和实用技能，其中有</w:t>
      </w:r>
      <w:r>
        <w:rPr>
          <w:rFonts w:hint="eastAsia"/>
          <w:kern w:val="14"/>
        </w:rPr>
        <w:t>1 200</w:t>
      </w:r>
      <w:r>
        <w:rPr>
          <w:rFonts w:hint="eastAsia"/>
          <w:kern w:val="14"/>
        </w:rPr>
        <w:t>名妇女是在脱离劳动力市场三年多以后在职业介绍所登记的，另外还有</w:t>
      </w:r>
      <w:r>
        <w:rPr>
          <w:rFonts w:hint="eastAsia"/>
          <w:kern w:val="14"/>
        </w:rPr>
        <w:t>1 400</w:t>
      </w:r>
      <w:r>
        <w:rPr>
          <w:rFonts w:hint="eastAsia"/>
          <w:kern w:val="14"/>
        </w:rPr>
        <w:t>名妇女在</w:t>
      </w:r>
      <w:r>
        <w:rPr>
          <w:rFonts w:hint="eastAsia"/>
          <w:kern w:val="14"/>
        </w:rPr>
        <w:t>50</w:t>
      </w:r>
      <w:r>
        <w:rPr>
          <w:rFonts w:hint="eastAsia"/>
          <w:kern w:val="14"/>
        </w:rPr>
        <w:t>岁以上。</w:t>
      </w:r>
      <w:r>
        <w:rPr>
          <w:kern w:val="14"/>
        </w:rPr>
        <w:t>2006</w:t>
      </w:r>
      <w:r>
        <w:rPr>
          <w:rFonts w:hint="eastAsia"/>
          <w:kern w:val="14"/>
        </w:rPr>
        <w:t>年，总共有</w:t>
      </w:r>
      <w:r>
        <w:rPr>
          <w:rFonts w:hint="eastAsia"/>
          <w:kern w:val="14"/>
        </w:rPr>
        <w:t>4 400</w:t>
      </w:r>
      <w:r>
        <w:rPr>
          <w:rFonts w:hint="eastAsia"/>
          <w:kern w:val="14"/>
        </w:rPr>
        <w:t>名求职者完成了当地职业介绍所组织的工商业基础课程，其中包括</w:t>
      </w:r>
      <w:r>
        <w:rPr>
          <w:rFonts w:hint="eastAsia"/>
          <w:kern w:val="14"/>
        </w:rPr>
        <w:t>2 530</w:t>
      </w:r>
      <w:r>
        <w:rPr>
          <w:rFonts w:hint="eastAsia"/>
          <w:kern w:val="14"/>
        </w:rPr>
        <w:t>名妇女。</w:t>
      </w:r>
    </w:p>
    <w:p w:rsidR="00595751" w:rsidRDefault="00595751">
      <w:pPr>
        <w:tabs>
          <w:tab w:val="left" w:pos="630"/>
        </w:tabs>
        <w:spacing w:after="240" w:line="360" w:lineRule="exact"/>
        <w:rPr>
          <w:kern w:val="14"/>
        </w:rPr>
      </w:pPr>
      <w:bookmarkStart w:id="17" w:name="_Hlt182711149"/>
      <w:bookmarkStart w:id="18" w:name="_Hlt182711150"/>
      <w:r>
        <w:rPr>
          <w:rFonts w:eastAsia="FangSong_GB2312" w:hint="eastAsia"/>
          <w:lang w:val="en-GB"/>
        </w:rPr>
        <w:t>134.</w:t>
      </w:r>
      <w:r>
        <w:rPr>
          <w:rFonts w:eastAsia="FangSong_GB2312" w:hint="eastAsia"/>
          <w:lang w:val="en-GB"/>
        </w:rPr>
        <w:tab/>
      </w:r>
      <w:r>
        <w:rPr>
          <w:rFonts w:hint="eastAsia"/>
          <w:kern w:val="14"/>
        </w:rPr>
        <w:t>有越来越多的妇女在创办和发展自己的企业。自</w:t>
      </w:r>
      <w:r>
        <w:rPr>
          <w:kern w:val="14"/>
        </w:rPr>
        <w:t>2005</w:t>
      </w:r>
      <w:r>
        <w:rPr>
          <w:rFonts w:hint="eastAsia"/>
          <w:kern w:val="14"/>
        </w:rPr>
        <w:t>年以来，互联网门户网站</w:t>
      </w:r>
      <w:hyperlink r:id="rId17" w:history="1">
        <w:r>
          <w:rPr>
            <w:kern w:val="14"/>
          </w:rPr>
          <w:t>www.s</w:t>
        </w:r>
        <w:r>
          <w:rPr>
            <w:kern w:val="14"/>
          </w:rPr>
          <w:t>v</w:t>
        </w:r>
        <w:r>
          <w:rPr>
            <w:kern w:val="14"/>
          </w:rPr>
          <w:t>v.lt</w:t>
        </w:r>
      </w:hyperlink>
      <w:r>
        <w:rPr>
          <w:rFonts w:hint="eastAsia"/>
          <w:kern w:val="14"/>
        </w:rPr>
        <w:t>有一个专版叫“商界妇女”，专门报道妇女经商取得成功的故事，该网站讨论这方面的最新话题，提供欧洲联盟委员会和欧盟成员国旨在促进妇女创业新举措的相关信息。在这个版面上介绍项目的女企业家与他人交流经验：她们是如何创业的、在开创和发展企业中遇到什么问题、以及如何解决这些问题，并且对于作为一个女企业主必须具备哪些特点等问题各持己见。到目前为止，该网站总共登载了</w:t>
      </w:r>
      <w:r>
        <w:rPr>
          <w:rFonts w:hint="eastAsia"/>
          <w:kern w:val="14"/>
        </w:rPr>
        <w:t>70</w:t>
      </w:r>
      <w:r>
        <w:rPr>
          <w:rFonts w:hint="eastAsia"/>
          <w:kern w:val="14"/>
        </w:rPr>
        <w:t>个成功案例。此外，在名为《商界妇女》的出版物上发表了</w:t>
      </w:r>
      <w:r>
        <w:rPr>
          <w:rFonts w:hint="eastAsia"/>
          <w:kern w:val="14"/>
        </w:rPr>
        <w:t>50</w:t>
      </w:r>
      <w:r>
        <w:rPr>
          <w:rFonts w:hint="eastAsia"/>
          <w:kern w:val="14"/>
        </w:rPr>
        <w:t>个成功案例。其中，女企业家分析了她们决心创办企业的原因，谈了她们对成功经营企业的关键因素的看法，并且提供了其他的相关信息。</w:t>
      </w:r>
    </w:p>
    <w:bookmarkEnd w:id="17"/>
    <w:bookmarkEnd w:id="18"/>
    <w:p w:rsidR="00595751" w:rsidRDefault="00595751">
      <w:pPr>
        <w:tabs>
          <w:tab w:val="left" w:pos="630"/>
        </w:tabs>
        <w:spacing w:after="240" w:line="360" w:lineRule="exact"/>
        <w:rPr>
          <w:kern w:val="14"/>
        </w:rPr>
      </w:pPr>
      <w:r>
        <w:rPr>
          <w:lang w:val="en-GB"/>
        </w:rPr>
        <w:t>135.</w:t>
      </w:r>
      <w:r>
        <w:rPr>
          <w:rFonts w:hint="eastAsia"/>
          <w:lang w:val="en-GB"/>
        </w:rPr>
        <w:tab/>
      </w:r>
      <w:r>
        <w:rPr>
          <w:rFonts w:hint="eastAsia"/>
          <w:kern w:val="14"/>
        </w:rPr>
        <w:t>在支持妇女企业方面，各商业信息中心组织了面向各县女企业家的宣传运动。应邀参加相关活动的有女企业家和想要创办企业的妇女，还有被推选并获奖的当年最佳企业家。在运动期间，制作并免费散发了大多数女企业家成功事迹的小册子。</w:t>
      </w:r>
    </w:p>
    <w:p w:rsidR="00595751" w:rsidRDefault="00595751">
      <w:pPr>
        <w:tabs>
          <w:tab w:val="left" w:pos="630"/>
        </w:tabs>
        <w:spacing w:after="240" w:line="360" w:lineRule="exact"/>
        <w:rPr>
          <w:kern w:val="14"/>
        </w:rPr>
      </w:pPr>
      <w:r>
        <w:rPr>
          <w:lang w:val="en-GB"/>
        </w:rPr>
        <w:t>136.</w:t>
      </w:r>
      <w:r>
        <w:rPr>
          <w:rFonts w:hint="eastAsia"/>
          <w:lang w:val="en-GB"/>
        </w:rPr>
        <w:tab/>
      </w:r>
      <w:r>
        <w:rPr>
          <w:rFonts w:hint="eastAsia"/>
          <w:kern w:val="14"/>
        </w:rPr>
        <w:t>每年，立陶宛都向女企业家提供把握机会利用财政援助创办企业的信息、咨询和培训。各商业信息中心和企业孵化中心向现有的和潜在的女企业家提供商业信息和咨询服务，并组织商业信息传播活动以及关于如何创办和组织企业的培训班。</w:t>
      </w:r>
      <w:r>
        <w:rPr>
          <w:kern w:val="14"/>
        </w:rPr>
        <w:t>立陶宛</w:t>
      </w:r>
      <w:r>
        <w:rPr>
          <w:rFonts w:hint="eastAsia"/>
          <w:kern w:val="14"/>
        </w:rPr>
        <w:t>中小型企业发展署采访了</w:t>
      </w:r>
      <w:r>
        <w:rPr>
          <w:rFonts w:hint="eastAsia"/>
          <w:kern w:val="14"/>
        </w:rPr>
        <w:t>48</w:t>
      </w:r>
      <w:r>
        <w:rPr>
          <w:rFonts w:hint="eastAsia"/>
          <w:kern w:val="14"/>
        </w:rPr>
        <w:t>家商业信息中心。调查发现，</w:t>
      </w:r>
      <w:r>
        <w:rPr>
          <w:kern w:val="14"/>
        </w:rPr>
        <w:t>2006</w:t>
      </w:r>
      <w:r>
        <w:rPr>
          <w:rFonts w:hint="eastAsia"/>
          <w:kern w:val="14"/>
        </w:rPr>
        <w:t>年，妇女占这些中心客户总数（</w:t>
      </w:r>
      <w:r>
        <w:rPr>
          <w:kern w:val="14"/>
        </w:rPr>
        <w:t>12</w:t>
      </w:r>
      <w:r>
        <w:rPr>
          <w:rFonts w:hint="eastAsia"/>
          <w:kern w:val="14"/>
        </w:rPr>
        <w:t xml:space="preserve"> </w:t>
      </w:r>
      <w:r>
        <w:rPr>
          <w:kern w:val="14"/>
        </w:rPr>
        <w:t>810</w:t>
      </w:r>
      <w:r>
        <w:rPr>
          <w:rFonts w:hint="eastAsia"/>
          <w:kern w:val="14"/>
        </w:rPr>
        <w:t>个）的</w:t>
      </w:r>
      <w:r>
        <w:rPr>
          <w:kern w:val="14"/>
        </w:rPr>
        <w:t>59.89%</w:t>
      </w:r>
      <w:r>
        <w:rPr>
          <w:rFonts w:hint="eastAsia"/>
          <w:kern w:val="14"/>
        </w:rPr>
        <w:t>（参考：</w:t>
      </w:r>
      <w:r>
        <w:rPr>
          <w:rFonts w:hint="eastAsia"/>
          <w:kern w:val="14"/>
        </w:rPr>
        <w:t>2005</w:t>
      </w:r>
      <w:r>
        <w:rPr>
          <w:rFonts w:hint="eastAsia"/>
          <w:kern w:val="14"/>
        </w:rPr>
        <w:t>年为</w:t>
      </w:r>
      <w:r>
        <w:rPr>
          <w:kern w:val="14"/>
        </w:rPr>
        <w:t>10</w:t>
      </w:r>
      <w:r>
        <w:rPr>
          <w:rFonts w:hint="eastAsia"/>
          <w:kern w:val="14"/>
        </w:rPr>
        <w:t xml:space="preserve"> </w:t>
      </w:r>
      <w:r>
        <w:rPr>
          <w:kern w:val="14"/>
        </w:rPr>
        <w:t>817</w:t>
      </w:r>
      <w:r>
        <w:rPr>
          <w:rFonts w:hint="eastAsia"/>
          <w:kern w:val="14"/>
        </w:rPr>
        <w:t>个，占</w:t>
      </w:r>
      <w:r>
        <w:rPr>
          <w:kern w:val="14"/>
        </w:rPr>
        <w:t>59.75%</w:t>
      </w:r>
      <w:r>
        <w:rPr>
          <w:rFonts w:hint="eastAsia"/>
          <w:kern w:val="14"/>
        </w:rPr>
        <w:t>）。客户统计数据表明，不论在</w:t>
      </w:r>
      <w:r>
        <w:rPr>
          <w:rFonts w:hint="eastAsia"/>
          <w:kern w:val="14"/>
        </w:rPr>
        <w:t>2005</w:t>
      </w:r>
      <w:r>
        <w:rPr>
          <w:rFonts w:hint="eastAsia"/>
          <w:kern w:val="14"/>
        </w:rPr>
        <w:t>年还是在</w:t>
      </w:r>
      <w:r>
        <w:rPr>
          <w:rFonts w:hint="eastAsia"/>
          <w:kern w:val="14"/>
        </w:rPr>
        <w:t>2006</w:t>
      </w:r>
      <w:r>
        <w:rPr>
          <w:rFonts w:hint="eastAsia"/>
          <w:kern w:val="14"/>
        </w:rPr>
        <w:t>年，在利用商业培训机构的服务方面，女企业家远比男企业家积极。</w:t>
      </w:r>
    </w:p>
    <w:p w:rsidR="00595751" w:rsidRDefault="00595751">
      <w:pPr>
        <w:tabs>
          <w:tab w:val="left" w:pos="630"/>
        </w:tabs>
        <w:spacing w:after="240" w:line="360" w:lineRule="exact"/>
        <w:rPr>
          <w:kern w:val="14"/>
        </w:rPr>
      </w:pPr>
      <w:r>
        <w:rPr>
          <w:lang w:val="en-GB"/>
        </w:rPr>
        <w:t xml:space="preserve">137. </w:t>
      </w:r>
      <w:r>
        <w:rPr>
          <w:rFonts w:hint="eastAsia"/>
          <w:lang w:val="en-GB"/>
        </w:rPr>
        <w:tab/>
      </w:r>
      <w:r>
        <w:rPr>
          <w:kern w:val="14"/>
        </w:rPr>
        <w:t>立陶宛</w:t>
      </w:r>
      <w:r>
        <w:rPr>
          <w:rFonts w:hint="eastAsia"/>
          <w:kern w:val="14"/>
        </w:rPr>
        <w:t>的女企业家经常与国外同行交流经验。她们参加了欧洲促进妇女创业网的活动，传播有关</w:t>
      </w:r>
      <w:r>
        <w:rPr>
          <w:kern w:val="14"/>
        </w:rPr>
        <w:t>立陶宛</w:t>
      </w:r>
      <w:r>
        <w:rPr>
          <w:rFonts w:hint="eastAsia"/>
          <w:kern w:val="14"/>
        </w:rPr>
        <w:t>妇女企业状况的信息，以及宣传本国在促进妇女企业方面采取的举措。她们还执行与别国女企业家合作的联合项目。</w:t>
      </w:r>
    </w:p>
    <w:p w:rsidR="00595751" w:rsidRDefault="00595751">
      <w:pPr>
        <w:tabs>
          <w:tab w:val="left" w:pos="630"/>
        </w:tabs>
        <w:spacing w:after="240" w:line="360" w:lineRule="exact"/>
        <w:rPr>
          <w:kern w:val="14"/>
        </w:rPr>
      </w:pPr>
      <w:r>
        <w:rPr>
          <w:lang w:val="en-GB"/>
        </w:rPr>
        <w:t>138.</w:t>
      </w:r>
      <w:r>
        <w:rPr>
          <w:rFonts w:hint="eastAsia"/>
          <w:lang w:val="en-GB"/>
        </w:rPr>
        <w:tab/>
      </w:r>
      <w:r>
        <w:rPr>
          <w:rFonts w:hint="eastAsia"/>
          <w:lang w:val="en-GB"/>
        </w:rPr>
        <w:t>立陶宛</w:t>
      </w:r>
      <w:r>
        <w:rPr>
          <w:rFonts w:hint="eastAsia"/>
          <w:kern w:val="14"/>
        </w:rPr>
        <w:t>执行了许多由欧盟结构基金支助并由国家预算共同资助的、旨在促进妇女就业和创业的项目。其中一个项目是“平等高速公路：克莱佩达</w:t>
      </w:r>
      <w:r>
        <w:rPr>
          <w:rFonts w:hint="eastAsia"/>
          <w:kern w:val="14"/>
        </w:rPr>
        <w:t>-</w:t>
      </w:r>
      <w:r>
        <w:rPr>
          <w:rFonts w:hint="eastAsia"/>
          <w:kern w:val="14"/>
        </w:rPr>
        <w:t>维尔纽斯的发展伙伴关系”，是由欧洲共同体平等倡议支助的，自</w:t>
      </w:r>
      <w:r>
        <w:rPr>
          <w:rFonts w:hint="eastAsia"/>
          <w:kern w:val="14"/>
        </w:rPr>
        <w:t>2006</w:t>
      </w:r>
      <w:r>
        <w:rPr>
          <w:rFonts w:hint="eastAsia"/>
          <w:kern w:val="14"/>
        </w:rPr>
        <w:t>年以来，该项目一直在实施。该项目旨在帮助与劳动力市场失去联系的妇女重新融入积极的劳动生活。克莱佩达劳动力市场培训与咨询办公室充当该项目的协调机构。该项目的任务是：改进旨在打击对目标群体的社会排斥的措施；改进职业指导、社会化以及利用先进信息技术和电信工具的能力；在发达的培训方案的促动下，提高妇女在劳动力市场上的就业能力。其中有一个名为“个人情况介绍和职业生涯规划”的培训方案，就是专门为妇女和长期失业者设计的。参加这些项目的人有提前退休的妇女、少数民族妇女、长期失业妇女及其他妇女。</w:t>
      </w:r>
    </w:p>
    <w:p w:rsidR="00595751" w:rsidRDefault="00595751">
      <w:pPr>
        <w:tabs>
          <w:tab w:val="left" w:pos="630"/>
        </w:tabs>
        <w:spacing w:after="240" w:line="360" w:lineRule="exact"/>
        <w:rPr>
          <w:kern w:val="14"/>
        </w:rPr>
      </w:pPr>
      <w:r>
        <w:rPr>
          <w:lang w:val="en-GB"/>
        </w:rPr>
        <w:t>139.</w:t>
      </w:r>
      <w:r>
        <w:rPr>
          <w:rFonts w:hint="eastAsia"/>
          <w:lang w:val="en-GB"/>
        </w:rPr>
        <w:tab/>
      </w:r>
      <w:r>
        <w:rPr>
          <w:kern w:val="14"/>
        </w:rPr>
        <w:t>2006-2008</w:t>
      </w:r>
      <w:r>
        <w:rPr>
          <w:rFonts w:hint="eastAsia"/>
          <w:kern w:val="14"/>
        </w:rPr>
        <w:t>年，社会创新基金执行了一个由欧盟结构基金支助的“男女就业机会均等：措施、做法和发展动态”项目。该项目的总体目标是力争确保就业机会均等并确保其在区域一级的有效贯彻落实，同时确保监测这方面的发展变化。机会均等监察官办公室是该项目的参与者之一。这个项目的工作对象是：</w:t>
      </w:r>
      <w:r>
        <w:rPr>
          <w:rFonts w:hint="eastAsia"/>
          <w:kern w:val="14"/>
        </w:rPr>
        <w:t>10</w:t>
      </w:r>
      <w:r>
        <w:rPr>
          <w:rFonts w:hint="eastAsia"/>
          <w:kern w:val="14"/>
        </w:rPr>
        <w:t>个市政当局（每县一个）；负责人由各市成立的参与执行该项目的男女机会均等公共委员会成员；市级非政府组织和工会组织代表；市级雇主组织代表担任。该项目的主要执行者是非政府组织保护妇女人权联盟；自</w:t>
      </w:r>
      <w:r>
        <w:rPr>
          <w:rFonts w:hint="eastAsia"/>
          <w:kern w:val="14"/>
        </w:rPr>
        <w:t>2000</w:t>
      </w:r>
      <w:r>
        <w:rPr>
          <w:rFonts w:hint="eastAsia"/>
          <w:kern w:val="14"/>
        </w:rPr>
        <w:t>年以来，该联盟的活动一直由社会创新基金会协调。</w:t>
      </w:r>
    </w:p>
    <w:p w:rsidR="00595751" w:rsidRDefault="00595751">
      <w:pPr>
        <w:tabs>
          <w:tab w:val="left" w:pos="630"/>
        </w:tabs>
        <w:spacing w:after="240" w:line="360" w:lineRule="exact"/>
        <w:rPr>
          <w:kern w:val="14"/>
        </w:rPr>
      </w:pPr>
      <w:r>
        <w:rPr>
          <w:lang w:val="en-GB"/>
        </w:rPr>
        <w:t xml:space="preserve">140. </w:t>
      </w:r>
      <w:r>
        <w:rPr>
          <w:rFonts w:hint="eastAsia"/>
          <w:lang w:val="en-GB"/>
        </w:rPr>
        <w:tab/>
      </w:r>
      <w:r>
        <w:rPr>
          <w:kern w:val="14"/>
        </w:rPr>
        <w:t>妇女问题信息中心</w:t>
      </w:r>
      <w:r>
        <w:rPr>
          <w:rFonts w:hint="eastAsia"/>
          <w:kern w:val="14"/>
        </w:rPr>
        <w:t>执行了一个由欧盟结构基金支助的项目，名为“我们做生意吧”（旨在促进维尔纽斯、克莱佩达和乌泰纳三县的妇女创业，确保男女有平等的机会参与经商和劳动力市场）。该项目的总体目标是通过向立陶宛妇女提供必要的知识并培养其创办和发展个人企业的意愿，使其能够在劳动力市场占有平等的地位。这个项目有助于提高妇女的经济独立性和创业精神，有助于她们树立雄心壮志，在商界担任高级管理职位，积极参与非传统部门和选择非传统职业。该项目还有助于减少劳动力市场的水平隔离。</w:t>
      </w:r>
    </w:p>
    <w:p w:rsidR="00595751" w:rsidRDefault="00595751">
      <w:pPr>
        <w:tabs>
          <w:tab w:val="left" w:pos="630"/>
        </w:tabs>
        <w:spacing w:after="240" w:line="360" w:lineRule="exact"/>
        <w:rPr>
          <w:kern w:val="14"/>
        </w:rPr>
      </w:pPr>
      <w:r>
        <w:rPr>
          <w:lang w:val="en-GB"/>
        </w:rPr>
        <w:t>141.</w:t>
      </w:r>
      <w:r>
        <w:rPr>
          <w:rFonts w:hint="eastAsia"/>
          <w:lang w:val="en-GB"/>
        </w:rPr>
        <w:tab/>
      </w:r>
      <w:r>
        <w:rPr>
          <w:rFonts w:hint="eastAsia"/>
          <w:kern w:val="14"/>
        </w:rPr>
        <w:t>考纳斯劳动力市场培训和咨询办公室负责协调执行一个名为“在信息社会发展背景下促进妇女创业精神”的项目。该项目旨在促进长期脱离劳动力市场之后想重新开始职业生涯的妇女以及在重返劳动力市场时遇到困难的老年妇女的就业。作为该项目的一部分，立陶宛目前正在执行远程学习方案。该方案意在提高妇女在就业领域的求职技能，开展计算机基础扫盲，面对适应劳动力市场变化的需要增强妇女的主观能动性和积极进取态度。该项目下的其他措施包括组织面向目标群体和雇主的劳务交流会，以及组织区域一级的讲习班，以讨论和解决妇女面临的就业方面的问题。</w:t>
      </w:r>
    </w:p>
    <w:p w:rsidR="00595751" w:rsidRDefault="00595751">
      <w:pPr>
        <w:pStyle w:val="H2"/>
        <w:rPr>
          <w:rFonts w:hint="eastAsia"/>
        </w:rPr>
      </w:pPr>
      <w:r>
        <w:rPr>
          <w:rFonts w:hint="eastAsia"/>
        </w:rPr>
        <w:t>（</w:t>
      </w:r>
      <w:r>
        <w:t>c</w:t>
      </w:r>
      <w:r>
        <w:rPr>
          <w:rFonts w:hint="eastAsia"/>
        </w:rPr>
        <w:t>）</w:t>
      </w:r>
    </w:p>
    <w:p w:rsidR="00595751" w:rsidRDefault="00595751">
      <w:pPr>
        <w:tabs>
          <w:tab w:val="left" w:pos="630"/>
        </w:tabs>
        <w:spacing w:after="240" w:line="360" w:lineRule="exact"/>
        <w:rPr>
          <w:kern w:val="14"/>
        </w:rPr>
      </w:pPr>
      <w:r>
        <w:rPr>
          <w:lang w:val="en-GB"/>
        </w:rPr>
        <w:t>142.</w:t>
      </w:r>
      <w:r>
        <w:rPr>
          <w:rFonts w:hint="eastAsia"/>
          <w:lang w:val="en-GB"/>
        </w:rPr>
        <w:tab/>
      </w:r>
      <w:r>
        <w:rPr>
          <w:kern w:val="14"/>
        </w:rPr>
        <w:t>2005</w:t>
      </w:r>
      <w:r>
        <w:rPr>
          <w:rFonts w:hint="eastAsia"/>
          <w:kern w:val="14"/>
        </w:rPr>
        <w:t>年</w:t>
      </w:r>
      <w:r>
        <w:rPr>
          <w:rFonts w:hint="eastAsia"/>
          <w:kern w:val="14"/>
        </w:rPr>
        <w:t>7</w:t>
      </w:r>
      <w:r>
        <w:rPr>
          <w:rFonts w:hint="eastAsia"/>
          <w:kern w:val="14"/>
        </w:rPr>
        <w:t>月</w:t>
      </w:r>
      <w:r>
        <w:rPr>
          <w:rFonts w:hint="eastAsia"/>
          <w:kern w:val="14"/>
        </w:rPr>
        <w:t>5</w:t>
      </w:r>
      <w:r>
        <w:rPr>
          <w:rFonts w:hint="eastAsia"/>
          <w:kern w:val="14"/>
        </w:rPr>
        <w:t>日，《男女机会均等法》第</w:t>
      </w:r>
      <w:r>
        <w:rPr>
          <w:kern w:val="14"/>
        </w:rPr>
        <w:t>5</w:t>
      </w:r>
      <w:r>
        <w:rPr>
          <w:rFonts w:hint="eastAsia"/>
          <w:kern w:val="14"/>
        </w:rPr>
        <w:t>条增补了如下条文，雇主有义务不仅确保工作场所的平等条件，而且确保雇员有同样的机会提升任职资格，接受再培训，并获得实际工作经验。</w:t>
      </w:r>
    </w:p>
    <w:p w:rsidR="00595751" w:rsidRDefault="00595751">
      <w:pPr>
        <w:tabs>
          <w:tab w:val="left" w:pos="630"/>
        </w:tabs>
        <w:spacing w:after="240" w:line="360" w:lineRule="exact"/>
        <w:rPr>
          <w:kern w:val="14"/>
        </w:rPr>
      </w:pPr>
      <w:r>
        <w:rPr>
          <w:lang w:val="en-GB"/>
        </w:rPr>
        <w:t>143.</w:t>
      </w:r>
      <w:r>
        <w:rPr>
          <w:rFonts w:hint="eastAsia"/>
          <w:lang w:val="en-GB"/>
        </w:rPr>
        <w:tab/>
      </w:r>
      <w:r>
        <w:rPr>
          <w:rFonts w:hint="eastAsia"/>
          <w:kern w:val="14"/>
        </w:rPr>
        <w:t>作为《</w:t>
      </w:r>
      <w:r>
        <w:rPr>
          <w:kern w:val="14"/>
        </w:rPr>
        <w:t>2005-2009</w:t>
      </w:r>
      <w:r>
        <w:rPr>
          <w:rFonts w:hint="eastAsia"/>
          <w:kern w:val="14"/>
        </w:rPr>
        <w:t>年国家男女机会均等方案》的部分措施，为长期脱离劳动力市场之后重新参加劳动的妇女以及老年妇女举办各种培训，目的在于提高她们的就业能力，并更新其实用技能和能力。</w:t>
      </w:r>
      <w:r>
        <w:rPr>
          <w:rFonts w:hint="eastAsia"/>
          <w:kern w:val="14"/>
        </w:rPr>
        <w:t>2005</w:t>
      </w:r>
      <w:r>
        <w:rPr>
          <w:rFonts w:hint="eastAsia"/>
          <w:kern w:val="14"/>
        </w:rPr>
        <w:t>年，</w:t>
      </w:r>
      <w:r>
        <w:rPr>
          <w:kern w:val="14"/>
        </w:rPr>
        <w:t>立陶宛</w:t>
      </w:r>
      <w:r>
        <w:rPr>
          <w:rFonts w:hint="eastAsia"/>
          <w:kern w:val="14"/>
        </w:rPr>
        <w:t>社会保障和劳动部下属的劳动力市场培训局（以下称劳动力市场培训局）的各个地方劳动力市场培训与咨询办公室总共向</w:t>
      </w:r>
      <w:r>
        <w:rPr>
          <w:rFonts w:hint="eastAsia"/>
          <w:kern w:val="14"/>
        </w:rPr>
        <w:t>53 000</w:t>
      </w:r>
      <w:r>
        <w:rPr>
          <w:rFonts w:hint="eastAsia"/>
          <w:kern w:val="14"/>
        </w:rPr>
        <w:t>名成年人（其中包括</w:t>
      </w:r>
      <w:r>
        <w:rPr>
          <w:rFonts w:hint="eastAsia"/>
          <w:kern w:val="14"/>
        </w:rPr>
        <w:t>34 400</w:t>
      </w:r>
      <w:r>
        <w:rPr>
          <w:rFonts w:hint="eastAsia"/>
          <w:kern w:val="14"/>
        </w:rPr>
        <w:t>名妇女）提供了咨询服务；</w:t>
      </w:r>
      <w:r>
        <w:rPr>
          <w:rFonts w:hint="eastAsia"/>
          <w:kern w:val="14"/>
        </w:rPr>
        <w:t>2006</w:t>
      </w:r>
      <w:r>
        <w:rPr>
          <w:rFonts w:hint="eastAsia"/>
          <w:kern w:val="14"/>
        </w:rPr>
        <w:t>年获得咨询服务的成年人为</w:t>
      </w:r>
      <w:r>
        <w:rPr>
          <w:kern w:val="14"/>
        </w:rPr>
        <w:t>46</w:t>
      </w:r>
      <w:r>
        <w:rPr>
          <w:rFonts w:hint="eastAsia"/>
          <w:kern w:val="14"/>
        </w:rPr>
        <w:t xml:space="preserve"> </w:t>
      </w:r>
      <w:r>
        <w:rPr>
          <w:kern w:val="14"/>
        </w:rPr>
        <w:t>2</w:t>
      </w:r>
      <w:r>
        <w:rPr>
          <w:rFonts w:hint="eastAsia"/>
          <w:kern w:val="14"/>
        </w:rPr>
        <w:t>00</w:t>
      </w:r>
      <w:r>
        <w:rPr>
          <w:rFonts w:hint="eastAsia"/>
          <w:kern w:val="14"/>
        </w:rPr>
        <w:t>人（其中包括</w:t>
      </w:r>
      <w:r>
        <w:rPr>
          <w:kern w:val="14"/>
        </w:rPr>
        <w:t>29</w:t>
      </w:r>
      <w:r>
        <w:rPr>
          <w:rFonts w:hint="eastAsia"/>
          <w:kern w:val="14"/>
        </w:rPr>
        <w:t xml:space="preserve"> </w:t>
      </w:r>
      <w:r>
        <w:rPr>
          <w:kern w:val="14"/>
        </w:rPr>
        <w:t>8</w:t>
      </w:r>
      <w:r>
        <w:rPr>
          <w:rFonts w:hint="eastAsia"/>
          <w:kern w:val="14"/>
        </w:rPr>
        <w:t>00</w:t>
      </w:r>
      <w:r>
        <w:rPr>
          <w:rFonts w:hint="eastAsia"/>
          <w:kern w:val="14"/>
        </w:rPr>
        <w:t>名妇女）。劳动力市场培训局制订并执行了</w:t>
      </w:r>
      <w:r>
        <w:rPr>
          <w:rFonts w:hint="eastAsia"/>
          <w:kern w:val="14"/>
        </w:rPr>
        <w:t>30</w:t>
      </w:r>
      <w:r>
        <w:rPr>
          <w:rFonts w:hint="eastAsia"/>
          <w:kern w:val="14"/>
        </w:rPr>
        <w:t>多个小组咨询方案。这些方案根据各个目标群体（尤其是弱势群体）的需要相应地调整。</w:t>
      </w:r>
    </w:p>
    <w:p w:rsidR="00595751" w:rsidRDefault="00595751">
      <w:pPr>
        <w:tabs>
          <w:tab w:val="left" w:pos="630"/>
        </w:tabs>
        <w:spacing w:after="240" w:line="360" w:lineRule="exact"/>
        <w:rPr>
          <w:kern w:val="14"/>
        </w:rPr>
      </w:pPr>
      <w:r>
        <w:rPr>
          <w:lang w:val="en-GB"/>
        </w:rPr>
        <w:t>144.</w:t>
      </w:r>
      <w:r>
        <w:rPr>
          <w:rFonts w:hint="eastAsia"/>
          <w:lang w:val="en-GB"/>
        </w:rPr>
        <w:tab/>
      </w:r>
      <w:r>
        <w:rPr>
          <w:rFonts w:hint="eastAsia"/>
          <w:kern w:val="14"/>
        </w:rPr>
        <w:t>随着</w:t>
      </w:r>
      <w:r>
        <w:rPr>
          <w:rFonts w:hint="eastAsia"/>
          <w:kern w:val="14"/>
        </w:rPr>
        <w:t>2007</w:t>
      </w:r>
      <w:r>
        <w:rPr>
          <w:rFonts w:hint="eastAsia"/>
          <w:kern w:val="14"/>
        </w:rPr>
        <w:t>年</w:t>
      </w:r>
      <w:r>
        <w:rPr>
          <w:rFonts w:hint="eastAsia"/>
          <w:kern w:val="14"/>
        </w:rPr>
        <w:t>4</w:t>
      </w:r>
      <w:r>
        <w:rPr>
          <w:rFonts w:hint="eastAsia"/>
          <w:kern w:val="14"/>
        </w:rPr>
        <w:t>月</w:t>
      </w:r>
      <w:r>
        <w:rPr>
          <w:rFonts w:hint="eastAsia"/>
          <w:kern w:val="14"/>
        </w:rPr>
        <w:t>3</w:t>
      </w:r>
      <w:r>
        <w:rPr>
          <w:rFonts w:hint="eastAsia"/>
          <w:kern w:val="14"/>
        </w:rPr>
        <w:t>日通过《</w:t>
      </w:r>
      <w:r>
        <w:rPr>
          <w:kern w:val="14"/>
        </w:rPr>
        <w:t>立陶宛</w:t>
      </w:r>
      <w:r>
        <w:rPr>
          <w:rFonts w:hint="eastAsia"/>
          <w:kern w:val="14"/>
        </w:rPr>
        <w:t>共和国职业教育和培训法》修正案，在职业培训系统中贯彻执行了机会均等原则：职业培训坚持社会公平，确保不论性别、种族、国籍、语言、出生、社会地位、宗教信仰或观点，人人平等；确保人人有平等的机会获得第一职业并为提高现有职业或获得新职业创造条件。</w:t>
      </w:r>
    </w:p>
    <w:p w:rsidR="00595751" w:rsidRDefault="00595751">
      <w:pPr>
        <w:pStyle w:val="H2"/>
        <w:rPr>
          <w:rFonts w:hint="eastAsia"/>
        </w:rPr>
      </w:pPr>
      <w:r>
        <w:rPr>
          <w:rFonts w:hint="eastAsia"/>
        </w:rPr>
        <w:t>（</w:t>
      </w:r>
      <w:r>
        <w:t>d</w:t>
      </w:r>
      <w:r>
        <w:rPr>
          <w:rFonts w:hint="eastAsia"/>
        </w:rPr>
        <w:t>）</w:t>
      </w:r>
    </w:p>
    <w:p w:rsidR="00595751" w:rsidRDefault="00595751">
      <w:pPr>
        <w:tabs>
          <w:tab w:val="left" w:pos="630"/>
        </w:tabs>
        <w:spacing w:after="240" w:line="360" w:lineRule="exact"/>
        <w:rPr>
          <w:kern w:val="14"/>
        </w:rPr>
      </w:pPr>
      <w:r>
        <w:rPr>
          <w:lang w:val="en-GB"/>
        </w:rPr>
        <w:t>145.</w:t>
      </w:r>
      <w:r>
        <w:rPr>
          <w:rFonts w:hint="eastAsia"/>
          <w:lang w:val="en-GB"/>
        </w:rPr>
        <w:tab/>
      </w:r>
      <w:r>
        <w:rPr>
          <w:kern w:val="14"/>
        </w:rPr>
        <w:t>2005</w:t>
      </w:r>
      <w:r>
        <w:rPr>
          <w:rFonts w:hint="eastAsia"/>
          <w:kern w:val="14"/>
        </w:rPr>
        <w:t>年</w:t>
      </w:r>
      <w:r>
        <w:rPr>
          <w:rFonts w:hint="eastAsia"/>
          <w:kern w:val="14"/>
        </w:rPr>
        <w:t>7</w:t>
      </w:r>
      <w:r>
        <w:rPr>
          <w:rFonts w:hint="eastAsia"/>
          <w:kern w:val="14"/>
        </w:rPr>
        <w:t>月</w:t>
      </w:r>
      <w:r>
        <w:rPr>
          <w:rFonts w:hint="eastAsia"/>
          <w:kern w:val="14"/>
        </w:rPr>
        <w:t>5</w:t>
      </w:r>
      <w:r>
        <w:rPr>
          <w:rFonts w:hint="eastAsia"/>
          <w:kern w:val="14"/>
        </w:rPr>
        <w:t>日，《男女机会均等法》第</w:t>
      </w:r>
      <w:r>
        <w:rPr>
          <w:rFonts w:hint="eastAsia"/>
          <w:kern w:val="14"/>
        </w:rPr>
        <w:t>6</w:t>
      </w:r>
      <w:r>
        <w:rPr>
          <w:rFonts w:hint="eastAsia"/>
          <w:kern w:val="14"/>
        </w:rPr>
        <w:t>条经过修正规定，如果雇主以性别为由不但对同等工作而且对同值工作提出了不够有利（或较为有利）的薪酬，即可将此种行为视为侵犯了男女权利平等。这一规定有利于缩小男女之间的工资和经济地位差距。</w:t>
      </w:r>
    </w:p>
    <w:p w:rsidR="00595751" w:rsidRDefault="00595751">
      <w:pPr>
        <w:tabs>
          <w:tab w:val="left" w:pos="630"/>
        </w:tabs>
        <w:spacing w:after="240" w:line="360" w:lineRule="exact"/>
        <w:rPr>
          <w:kern w:val="14"/>
        </w:rPr>
      </w:pPr>
      <w:r>
        <w:rPr>
          <w:lang w:val="en-GB"/>
        </w:rPr>
        <w:t>146.</w:t>
      </w:r>
      <w:r>
        <w:rPr>
          <w:rFonts w:hint="eastAsia"/>
          <w:lang w:val="en-GB"/>
        </w:rPr>
        <w:tab/>
      </w:r>
      <w:r>
        <w:rPr>
          <w:rFonts w:hint="eastAsia"/>
          <w:kern w:val="14"/>
        </w:rPr>
        <w:t>作为贯彻执行《</w:t>
      </w:r>
      <w:r>
        <w:rPr>
          <w:kern w:val="14"/>
        </w:rPr>
        <w:t>2005-2009</w:t>
      </w:r>
      <w:r>
        <w:rPr>
          <w:rFonts w:hint="eastAsia"/>
          <w:kern w:val="14"/>
        </w:rPr>
        <w:t>年国家男女机会均等方案》的一部分，立陶宛敦促雇主确定男女同工同酬或同值工作同等报酬原则。</w:t>
      </w:r>
      <w:r>
        <w:rPr>
          <w:kern w:val="14"/>
        </w:rPr>
        <w:t>2005</w:t>
      </w:r>
      <w:r>
        <w:rPr>
          <w:rFonts w:hint="eastAsia"/>
          <w:kern w:val="14"/>
        </w:rPr>
        <w:t>年，</w:t>
      </w:r>
      <w:r>
        <w:rPr>
          <w:kern w:val="14"/>
        </w:rPr>
        <w:t>立陶宛</w:t>
      </w:r>
      <w:r>
        <w:rPr>
          <w:rFonts w:hint="eastAsia"/>
          <w:kern w:val="14"/>
        </w:rPr>
        <w:t>共和国三方委员会与社会保障和劳动部及劳动力与社会研究所共同制订了《工作和工作岗位评价法》，其目的在于提高薪酬的透明度，以便于更加客观地评估各种工作（工作岗位）的复杂性及其在企业和组织中所处的等级，并且帮助确定个体经济实体和整个部门的不带有基于性别差别的基本工资税率。每年，有关方面都举办由来自各行业工会的最多</w:t>
      </w:r>
      <w:r>
        <w:rPr>
          <w:rFonts w:hint="eastAsia"/>
          <w:kern w:val="14"/>
        </w:rPr>
        <w:t>25</w:t>
      </w:r>
      <w:r>
        <w:rPr>
          <w:rFonts w:hint="eastAsia"/>
          <w:kern w:val="14"/>
        </w:rPr>
        <w:t>位代表以及私营公司的财务官员和人事经理参加的研讨会，对上述方法进行审议。</w:t>
      </w:r>
    </w:p>
    <w:p w:rsidR="00595751" w:rsidRDefault="00595751">
      <w:pPr>
        <w:tabs>
          <w:tab w:val="left" w:pos="630"/>
        </w:tabs>
        <w:spacing w:after="240" w:line="360" w:lineRule="exact"/>
        <w:rPr>
          <w:kern w:val="14"/>
        </w:rPr>
      </w:pPr>
      <w:r>
        <w:rPr>
          <w:lang w:val="en-GB"/>
        </w:rPr>
        <w:t>147.</w:t>
      </w:r>
      <w:r>
        <w:rPr>
          <w:rFonts w:hint="eastAsia"/>
          <w:lang w:val="en-GB"/>
        </w:rPr>
        <w:tab/>
      </w:r>
      <w:r>
        <w:rPr>
          <w:kern w:val="14"/>
        </w:rPr>
        <w:t>立陶宛</w:t>
      </w:r>
      <w:r>
        <w:rPr>
          <w:rFonts w:hint="eastAsia"/>
          <w:kern w:val="14"/>
        </w:rPr>
        <w:t>共和国的法律条文明确规定，男女必须实行同工同酬或同值工作同等报酬。</w:t>
      </w:r>
      <w:r>
        <w:rPr>
          <w:rFonts w:hint="eastAsia"/>
          <w:kern w:val="14"/>
        </w:rPr>
        <w:t>2005</w:t>
      </w:r>
      <w:r>
        <w:rPr>
          <w:rFonts w:hint="eastAsia"/>
          <w:kern w:val="14"/>
        </w:rPr>
        <w:t>年，在整个国民经济中，妇女的平均月工资总额相当于男子平均月工资的</w:t>
      </w:r>
      <w:r>
        <w:rPr>
          <w:kern w:val="14"/>
        </w:rPr>
        <w:t>82.4%</w:t>
      </w:r>
      <w:r>
        <w:rPr>
          <w:rFonts w:hint="eastAsia"/>
          <w:kern w:val="14"/>
        </w:rPr>
        <w:t>，</w:t>
      </w:r>
      <w:r>
        <w:rPr>
          <w:rFonts w:hint="eastAsia"/>
          <w:kern w:val="14"/>
        </w:rPr>
        <w:t>2006</w:t>
      </w:r>
      <w:r>
        <w:rPr>
          <w:rFonts w:hint="eastAsia"/>
          <w:kern w:val="14"/>
        </w:rPr>
        <w:t>年，该比率为</w:t>
      </w:r>
      <w:r>
        <w:rPr>
          <w:kern w:val="14"/>
        </w:rPr>
        <w:t>82.1%</w:t>
      </w:r>
      <w:r>
        <w:rPr>
          <w:rFonts w:hint="eastAsia"/>
          <w:kern w:val="14"/>
        </w:rPr>
        <w:t>。在私营部门，</w:t>
      </w:r>
      <w:r>
        <w:rPr>
          <w:rFonts w:hint="eastAsia"/>
          <w:kern w:val="14"/>
        </w:rPr>
        <w:t>2005</w:t>
      </w:r>
      <w:r>
        <w:rPr>
          <w:rFonts w:hint="eastAsia"/>
          <w:kern w:val="14"/>
        </w:rPr>
        <w:t>年，妇女的平均工资相当于男子平均工资的</w:t>
      </w:r>
      <w:r>
        <w:rPr>
          <w:kern w:val="14"/>
        </w:rPr>
        <w:t>82.2%</w:t>
      </w:r>
      <w:r>
        <w:rPr>
          <w:rFonts w:hint="eastAsia"/>
          <w:kern w:val="14"/>
        </w:rPr>
        <w:t>，</w:t>
      </w:r>
      <w:r>
        <w:rPr>
          <w:rFonts w:hint="eastAsia"/>
          <w:kern w:val="14"/>
        </w:rPr>
        <w:t>2006</w:t>
      </w:r>
      <w:r>
        <w:rPr>
          <w:rFonts w:hint="eastAsia"/>
          <w:kern w:val="14"/>
        </w:rPr>
        <w:t>年，该比率为</w:t>
      </w:r>
      <w:r>
        <w:rPr>
          <w:kern w:val="14"/>
        </w:rPr>
        <w:t>80.9%</w:t>
      </w:r>
      <w:r>
        <w:rPr>
          <w:rFonts w:hint="eastAsia"/>
          <w:kern w:val="14"/>
        </w:rPr>
        <w:t>。在公共部门，</w:t>
      </w:r>
      <w:r>
        <w:rPr>
          <w:rFonts w:hint="eastAsia"/>
          <w:kern w:val="14"/>
        </w:rPr>
        <w:t>2005</w:t>
      </w:r>
      <w:r>
        <w:rPr>
          <w:rFonts w:hint="eastAsia"/>
          <w:kern w:val="14"/>
        </w:rPr>
        <w:t>和</w:t>
      </w:r>
      <w:r>
        <w:rPr>
          <w:rFonts w:hint="eastAsia"/>
          <w:kern w:val="14"/>
        </w:rPr>
        <w:t>2006</w:t>
      </w:r>
      <w:r>
        <w:rPr>
          <w:rFonts w:hint="eastAsia"/>
          <w:kern w:val="14"/>
        </w:rPr>
        <w:t>年，该比率分别为</w:t>
      </w:r>
      <w:r>
        <w:rPr>
          <w:kern w:val="14"/>
        </w:rPr>
        <w:t>77.9%</w:t>
      </w:r>
      <w:r>
        <w:rPr>
          <w:rFonts w:hint="eastAsia"/>
          <w:kern w:val="14"/>
        </w:rPr>
        <w:t>和</w:t>
      </w:r>
      <w:r>
        <w:rPr>
          <w:kern w:val="14"/>
        </w:rPr>
        <w:t>78.9%</w:t>
      </w:r>
      <w:r>
        <w:rPr>
          <w:rFonts w:hint="eastAsia"/>
          <w:kern w:val="14"/>
        </w:rPr>
        <w:t>（见附件表</w:t>
      </w:r>
      <w:r>
        <w:rPr>
          <w:kern w:val="14"/>
        </w:rPr>
        <w:t>7</w:t>
      </w:r>
      <w:r>
        <w:rPr>
          <w:rFonts w:hint="eastAsia"/>
          <w:kern w:val="14"/>
        </w:rPr>
        <w:t>）。就男女工资差异而言，</w:t>
      </w:r>
      <w:r>
        <w:rPr>
          <w:kern w:val="14"/>
        </w:rPr>
        <w:t>立陶宛</w:t>
      </w:r>
      <w:r>
        <w:rPr>
          <w:rFonts w:hint="eastAsia"/>
          <w:kern w:val="14"/>
        </w:rPr>
        <w:t>位居欧盟平均水平。工资差异依然归因于劳动力市场的垂直和水平隔离。相对于男子而言，妇女往往担任较低的职位，并且在薪酬较低的经济部门工作。</w:t>
      </w:r>
    </w:p>
    <w:p w:rsidR="00595751" w:rsidRDefault="00595751">
      <w:pPr>
        <w:tabs>
          <w:tab w:val="left" w:pos="630"/>
        </w:tabs>
        <w:spacing w:after="240" w:line="360" w:lineRule="exact"/>
        <w:rPr>
          <w:kern w:val="14"/>
        </w:rPr>
      </w:pPr>
      <w:r>
        <w:rPr>
          <w:lang w:val="en-GB"/>
        </w:rPr>
        <w:t xml:space="preserve">148. </w:t>
      </w:r>
      <w:r>
        <w:rPr>
          <w:rFonts w:hint="eastAsia"/>
          <w:lang w:val="en-GB"/>
        </w:rPr>
        <w:tab/>
      </w:r>
      <w:r>
        <w:rPr>
          <w:rFonts w:hint="eastAsia"/>
          <w:kern w:val="14"/>
        </w:rPr>
        <w:t>与</w:t>
      </w:r>
      <w:r>
        <w:rPr>
          <w:rFonts w:hint="eastAsia"/>
          <w:kern w:val="14"/>
        </w:rPr>
        <w:t>2004</w:t>
      </w:r>
      <w:r>
        <w:rPr>
          <w:rFonts w:hint="eastAsia"/>
          <w:kern w:val="14"/>
        </w:rPr>
        <w:t>年相比，工资差异略有缩小，那时妇女的平均月工资总额相当于男子的</w:t>
      </w:r>
      <w:r>
        <w:rPr>
          <w:kern w:val="14"/>
        </w:rPr>
        <w:t>81.4%</w:t>
      </w:r>
      <w:r>
        <w:rPr>
          <w:rFonts w:hint="eastAsia"/>
          <w:kern w:val="14"/>
        </w:rPr>
        <w:t>。统计数据表明，以女性为主的经济部门的工资水平一般都低于以男性为主的部门。在保健和社会服务、教育、旅馆和餐饮业，以及在妇女占多数的经济部门，工资水平最低。在公共行政和国防、仓储和运输、电力、燃气和供水，也就是在男子占多数的经济部门，工资水平最高（见附件表</w:t>
      </w:r>
      <w:r>
        <w:rPr>
          <w:kern w:val="14"/>
        </w:rPr>
        <w:t>8</w:t>
      </w:r>
      <w:r>
        <w:rPr>
          <w:rFonts w:hint="eastAsia"/>
          <w:kern w:val="14"/>
        </w:rPr>
        <w:t>）。</w:t>
      </w:r>
    </w:p>
    <w:p w:rsidR="00595751" w:rsidRDefault="00595751">
      <w:pPr>
        <w:tabs>
          <w:tab w:val="left" w:pos="630"/>
        </w:tabs>
        <w:spacing w:after="240" w:line="360" w:lineRule="exact"/>
        <w:rPr>
          <w:kern w:val="14"/>
        </w:rPr>
      </w:pPr>
      <w:r>
        <w:rPr>
          <w:lang w:val="en-GB"/>
        </w:rPr>
        <w:t>149.</w:t>
      </w:r>
      <w:r>
        <w:rPr>
          <w:rFonts w:hint="eastAsia"/>
          <w:lang w:val="en-GB"/>
        </w:rPr>
        <w:tab/>
      </w:r>
      <w:r>
        <w:rPr>
          <w:rFonts w:hint="eastAsia"/>
          <w:kern w:val="14"/>
        </w:rPr>
        <w:t>对机会均等监察官办公室收到的投诉进行的分析结果表明，在牵涉性别歧视的所有投诉中，违反就业领域男女平等原则的投诉比率高达</w:t>
      </w:r>
      <w:r>
        <w:rPr>
          <w:kern w:val="14"/>
        </w:rPr>
        <w:t>50%</w:t>
      </w:r>
      <w:r>
        <w:rPr>
          <w:rFonts w:hint="eastAsia"/>
          <w:kern w:val="14"/>
        </w:rPr>
        <w:t>。通常，妇女投诉工资不平等和工作条件较差者居多。机会均等监察官办公室在对投诉进行调查之后，往往建议雇主终止这种歧视行为。而通常此种建议得到遵从。</w:t>
      </w:r>
    </w:p>
    <w:p w:rsidR="00595751" w:rsidRDefault="00595751">
      <w:pPr>
        <w:pStyle w:val="H2"/>
        <w:rPr>
          <w:rFonts w:hint="eastAsia"/>
        </w:rPr>
      </w:pPr>
      <w:r>
        <w:rPr>
          <w:rFonts w:hint="eastAsia"/>
        </w:rPr>
        <w:t>（</w:t>
      </w:r>
      <w:r>
        <w:t>e</w:t>
      </w:r>
      <w:r>
        <w:rPr>
          <w:rFonts w:hint="eastAsia"/>
        </w:rPr>
        <w:t>）</w:t>
      </w:r>
    </w:p>
    <w:p w:rsidR="00595751" w:rsidRDefault="00595751">
      <w:pPr>
        <w:tabs>
          <w:tab w:val="left" w:pos="630"/>
        </w:tabs>
        <w:spacing w:after="240" w:line="360" w:lineRule="exact"/>
        <w:rPr>
          <w:kern w:val="14"/>
        </w:rPr>
      </w:pPr>
      <w:r>
        <w:rPr>
          <w:lang w:val="en-GB"/>
        </w:rPr>
        <w:t>150.</w:t>
      </w:r>
      <w:r>
        <w:rPr>
          <w:rFonts w:hint="eastAsia"/>
          <w:lang w:val="en-GB"/>
        </w:rPr>
        <w:tab/>
      </w:r>
      <w:r>
        <w:rPr>
          <w:kern w:val="14"/>
        </w:rPr>
        <w:t>2005</w:t>
      </w:r>
      <w:r>
        <w:rPr>
          <w:rFonts w:hint="eastAsia"/>
          <w:kern w:val="14"/>
        </w:rPr>
        <w:t>年</w:t>
      </w:r>
      <w:r>
        <w:rPr>
          <w:rFonts w:hint="eastAsia"/>
          <w:kern w:val="14"/>
        </w:rPr>
        <w:t>1</w:t>
      </w:r>
      <w:r>
        <w:rPr>
          <w:rFonts w:hint="eastAsia"/>
          <w:kern w:val="14"/>
        </w:rPr>
        <w:t>月</w:t>
      </w:r>
      <w:r>
        <w:rPr>
          <w:rFonts w:hint="eastAsia"/>
          <w:kern w:val="14"/>
        </w:rPr>
        <w:t>1</w:t>
      </w:r>
      <w:r>
        <w:rPr>
          <w:rFonts w:hint="eastAsia"/>
          <w:kern w:val="14"/>
        </w:rPr>
        <w:t>日，《</w:t>
      </w:r>
      <w:r>
        <w:rPr>
          <w:kern w:val="14"/>
        </w:rPr>
        <w:t>立陶宛</w:t>
      </w:r>
      <w:r>
        <w:rPr>
          <w:rFonts w:hint="eastAsia"/>
          <w:kern w:val="14"/>
        </w:rPr>
        <w:t>共和国失业社会保险法》（</w:t>
      </w:r>
      <w:r>
        <w:rPr>
          <w:rFonts w:hint="eastAsia"/>
          <w:kern w:val="14"/>
        </w:rPr>
        <w:t>2004</w:t>
      </w:r>
      <w:r>
        <w:rPr>
          <w:rFonts w:hint="eastAsia"/>
          <w:kern w:val="14"/>
        </w:rPr>
        <w:t>年第</w:t>
      </w:r>
      <w:r>
        <w:rPr>
          <w:kern w:val="14"/>
        </w:rPr>
        <w:t>4-26</w:t>
      </w:r>
      <w:r>
        <w:rPr>
          <w:rFonts w:hint="eastAsia"/>
          <w:kern w:val="14"/>
        </w:rPr>
        <w:t>号</w:t>
      </w:r>
      <w:r>
        <w:rPr>
          <w:kern w:val="14"/>
        </w:rPr>
        <w:t>《政府公报》</w:t>
      </w:r>
      <w:r>
        <w:rPr>
          <w:rFonts w:hint="eastAsia"/>
          <w:kern w:val="14"/>
        </w:rPr>
        <w:t>）生效。该法律确立了失业社会保险领域的法律关系，失业保险所涵盖的人群类别，领取失业社会保险金的应享资格，这种保险金的授予、计算和支付程序，以及此类保险的融资、管理和责任。根据该法律，提高了跟以往工资挂钩的失业保险金金额，降低了有资格领取失业金所必须达到的最低就业记录标准。</w:t>
      </w:r>
    </w:p>
    <w:p w:rsidR="00595751" w:rsidRDefault="00595751">
      <w:pPr>
        <w:tabs>
          <w:tab w:val="left" w:pos="630"/>
        </w:tabs>
        <w:spacing w:after="240" w:line="360" w:lineRule="exact"/>
        <w:rPr>
          <w:kern w:val="14"/>
        </w:rPr>
      </w:pPr>
      <w:r>
        <w:rPr>
          <w:lang w:val="en-GB"/>
        </w:rPr>
        <w:t>151.</w:t>
      </w:r>
      <w:r>
        <w:rPr>
          <w:rFonts w:hint="eastAsia"/>
          <w:lang w:val="en-GB"/>
        </w:rPr>
        <w:tab/>
      </w:r>
      <w:r>
        <w:rPr>
          <w:rFonts w:hint="eastAsia"/>
          <w:lang w:val="en-GB"/>
        </w:rPr>
        <w:t>立陶宛</w:t>
      </w:r>
      <w:r>
        <w:rPr>
          <w:rFonts w:hint="eastAsia"/>
          <w:kern w:val="14"/>
        </w:rPr>
        <w:t>正在定期提高养恤金标准，从而在减少老年妇女的社会排斥方面发挥了特别重要的作用；鉴于领取养老金的老年妇女人数比男子人数多，这对老年妇女来说尤为重要。根据统计部的数据，在</w:t>
      </w:r>
      <w:r>
        <w:rPr>
          <w:kern w:val="14"/>
        </w:rPr>
        <w:t>60-64</w:t>
      </w:r>
      <w:r>
        <w:rPr>
          <w:rFonts w:hint="eastAsia"/>
          <w:kern w:val="14"/>
        </w:rPr>
        <w:t>岁的总人数中，妇女占</w:t>
      </w:r>
      <w:r>
        <w:rPr>
          <w:kern w:val="14"/>
        </w:rPr>
        <w:t>58.3%</w:t>
      </w:r>
      <w:r>
        <w:rPr>
          <w:rFonts w:hint="eastAsia"/>
          <w:kern w:val="14"/>
        </w:rPr>
        <w:t>。这种差异随着年龄的增长而逐渐拉大，在</w:t>
      </w:r>
      <w:r>
        <w:rPr>
          <w:rFonts w:hint="eastAsia"/>
          <w:kern w:val="14"/>
        </w:rPr>
        <w:t>95</w:t>
      </w:r>
      <w:r>
        <w:rPr>
          <w:rFonts w:hint="eastAsia"/>
          <w:kern w:val="14"/>
        </w:rPr>
        <w:t>岁以上年龄组中，该比例高达</w:t>
      </w:r>
      <w:r>
        <w:rPr>
          <w:kern w:val="14"/>
        </w:rPr>
        <w:t>70.1%</w:t>
      </w:r>
      <w:r>
        <w:rPr>
          <w:rFonts w:hint="eastAsia"/>
          <w:kern w:val="14"/>
        </w:rPr>
        <w:t>。</w:t>
      </w:r>
    </w:p>
    <w:p w:rsidR="00595751" w:rsidRDefault="00595751">
      <w:pPr>
        <w:tabs>
          <w:tab w:val="left" w:pos="630"/>
        </w:tabs>
        <w:spacing w:after="240" w:line="360" w:lineRule="exact"/>
        <w:rPr>
          <w:kern w:val="14"/>
        </w:rPr>
      </w:pPr>
      <w:r>
        <w:rPr>
          <w:lang w:val="en-GB"/>
        </w:rPr>
        <w:t>152.</w:t>
      </w:r>
      <w:r>
        <w:rPr>
          <w:rFonts w:hint="eastAsia"/>
          <w:lang w:val="en-GB"/>
        </w:rPr>
        <w:tab/>
      </w:r>
      <w:r>
        <w:rPr>
          <w:rFonts w:hint="eastAsia"/>
          <w:kern w:val="14"/>
        </w:rPr>
        <w:t>这里值得一提的是，</w:t>
      </w:r>
      <w:r>
        <w:rPr>
          <w:rFonts w:hint="eastAsia"/>
          <w:kern w:val="14"/>
        </w:rPr>
        <w:t>2005</w:t>
      </w:r>
      <w:r>
        <w:rPr>
          <w:rFonts w:hint="eastAsia"/>
          <w:kern w:val="14"/>
        </w:rPr>
        <w:t>年</w:t>
      </w:r>
      <w:r>
        <w:rPr>
          <w:rFonts w:hint="eastAsia"/>
          <w:kern w:val="14"/>
        </w:rPr>
        <w:t>5</w:t>
      </w:r>
      <w:r>
        <w:rPr>
          <w:rFonts w:hint="eastAsia"/>
          <w:kern w:val="14"/>
        </w:rPr>
        <w:t>月</w:t>
      </w:r>
      <w:r>
        <w:rPr>
          <w:rFonts w:hint="eastAsia"/>
          <w:kern w:val="14"/>
        </w:rPr>
        <w:t>25</w:t>
      </w:r>
      <w:r>
        <w:rPr>
          <w:rFonts w:hint="eastAsia"/>
          <w:kern w:val="14"/>
        </w:rPr>
        <w:t>日通过了政府第</w:t>
      </w:r>
      <w:r>
        <w:rPr>
          <w:rFonts w:hint="eastAsia"/>
          <w:kern w:val="14"/>
        </w:rPr>
        <w:t>584</w:t>
      </w:r>
      <w:r>
        <w:rPr>
          <w:rFonts w:hint="eastAsia"/>
          <w:kern w:val="14"/>
        </w:rPr>
        <w:t>号决议，“关于提高国家社会保险基本养恤金和批准</w:t>
      </w:r>
      <w:r>
        <w:rPr>
          <w:rFonts w:hint="eastAsia"/>
          <w:kern w:val="14"/>
        </w:rPr>
        <w:t>2005</w:t>
      </w:r>
      <w:r>
        <w:rPr>
          <w:rFonts w:hint="eastAsia"/>
          <w:kern w:val="14"/>
        </w:rPr>
        <w:t>年当年保险收入的新价值”（</w:t>
      </w:r>
      <w:r>
        <w:rPr>
          <w:rFonts w:hint="eastAsia"/>
          <w:kern w:val="14"/>
        </w:rPr>
        <w:t>2005</w:t>
      </w:r>
      <w:r>
        <w:rPr>
          <w:rFonts w:hint="eastAsia"/>
          <w:kern w:val="14"/>
        </w:rPr>
        <w:t>年第</w:t>
      </w:r>
      <w:r>
        <w:rPr>
          <w:kern w:val="14"/>
        </w:rPr>
        <w:t>67-2411</w:t>
      </w:r>
      <w:r>
        <w:rPr>
          <w:rFonts w:hint="eastAsia"/>
          <w:kern w:val="14"/>
        </w:rPr>
        <w:t>号</w:t>
      </w:r>
      <w:r>
        <w:rPr>
          <w:kern w:val="14"/>
        </w:rPr>
        <w:t>《政府公报》</w:t>
      </w:r>
      <w:r>
        <w:rPr>
          <w:rFonts w:hint="eastAsia"/>
          <w:kern w:val="14"/>
        </w:rPr>
        <w:t>）。该决议在</w:t>
      </w:r>
      <w:r>
        <w:rPr>
          <w:rFonts w:hint="eastAsia"/>
          <w:kern w:val="14"/>
        </w:rPr>
        <w:t>2005</w:t>
      </w:r>
      <w:r>
        <w:rPr>
          <w:rFonts w:hint="eastAsia"/>
          <w:kern w:val="14"/>
        </w:rPr>
        <w:t>年</w:t>
      </w:r>
      <w:r>
        <w:rPr>
          <w:rFonts w:hint="eastAsia"/>
          <w:kern w:val="14"/>
        </w:rPr>
        <w:t>7</w:t>
      </w:r>
      <w:r>
        <w:rPr>
          <w:rFonts w:hint="eastAsia"/>
          <w:kern w:val="14"/>
        </w:rPr>
        <w:t>月</w:t>
      </w:r>
      <w:r>
        <w:rPr>
          <w:rFonts w:hint="eastAsia"/>
          <w:kern w:val="14"/>
        </w:rPr>
        <w:t>1</w:t>
      </w:r>
      <w:r>
        <w:rPr>
          <w:rFonts w:hint="eastAsia"/>
          <w:kern w:val="14"/>
        </w:rPr>
        <w:t>日生效，国家社会保险基本养恤金（以下称基本养恤金）提高了</w:t>
      </w:r>
      <w:r>
        <w:rPr>
          <w:rFonts w:hint="eastAsia"/>
          <w:kern w:val="14"/>
        </w:rPr>
        <w:t>28</w:t>
      </w:r>
      <w:r>
        <w:rPr>
          <w:rFonts w:hint="eastAsia"/>
          <w:kern w:val="14"/>
        </w:rPr>
        <w:t>立特（从</w:t>
      </w:r>
      <w:r>
        <w:rPr>
          <w:rFonts w:hint="eastAsia"/>
          <w:kern w:val="14"/>
        </w:rPr>
        <w:t>172</w:t>
      </w:r>
      <w:r>
        <w:rPr>
          <w:kern w:val="14"/>
        </w:rPr>
        <w:t>立特</w:t>
      </w:r>
      <w:r>
        <w:rPr>
          <w:rFonts w:hint="eastAsia"/>
          <w:kern w:val="14"/>
        </w:rPr>
        <w:t>提高到</w:t>
      </w:r>
      <w:r>
        <w:rPr>
          <w:rFonts w:hint="eastAsia"/>
          <w:kern w:val="14"/>
        </w:rPr>
        <w:t>200</w:t>
      </w:r>
      <w:r>
        <w:rPr>
          <w:kern w:val="14"/>
        </w:rPr>
        <w:t>立特</w:t>
      </w:r>
      <w:r>
        <w:rPr>
          <w:rFonts w:hint="eastAsia"/>
          <w:kern w:val="14"/>
        </w:rPr>
        <w:t>），</w:t>
      </w:r>
      <w:r>
        <w:rPr>
          <w:rFonts w:hint="eastAsia"/>
          <w:kern w:val="14"/>
        </w:rPr>
        <w:t>2005</w:t>
      </w:r>
      <w:r>
        <w:rPr>
          <w:rFonts w:hint="eastAsia"/>
          <w:kern w:val="14"/>
        </w:rPr>
        <w:t>年当年的保险收入（以下称保险收入）提高了</w:t>
      </w:r>
      <w:r>
        <w:rPr>
          <w:rFonts w:hint="eastAsia"/>
          <w:kern w:val="14"/>
        </w:rPr>
        <w:t>94</w:t>
      </w:r>
      <w:r>
        <w:rPr>
          <w:rFonts w:hint="eastAsia"/>
          <w:kern w:val="14"/>
        </w:rPr>
        <w:t>立特（从</w:t>
      </w:r>
      <w:r>
        <w:rPr>
          <w:kern w:val="14"/>
        </w:rPr>
        <w:t>990</w:t>
      </w:r>
      <w:r>
        <w:rPr>
          <w:kern w:val="14"/>
        </w:rPr>
        <w:t>立特</w:t>
      </w:r>
      <w:r>
        <w:rPr>
          <w:rFonts w:hint="eastAsia"/>
          <w:kern w:val="14"/>
        </w:rPr>
        <w:t>增至</w:t>
      </w:r>
      <w:r>
        <w:rPr>
          <w:kern w:val="14"/>
        </w:rPr>
        <w:t>1</w:t>
      </w:r>
      <w:r>
        <w:rPr>
          <w:rFonts w:hint="eastAsia"/>
          <w:kern w:val="14"/>
        </w:rPr>
        <w:t xml:space="preserve"> </w:t>
      </w:r>
      <w:r>
        <w:rPr>
          <w:kern w:val="14"/>
        </w:rPr>
        <w:t>084</w:t>
      </w:r>
      <w:r>
        <w:rPr>
          <w:kern w:val="14"/>
        </w:rPr>
        <w:t>立特</w:t>
      </w:r>
      <w:r>
        <w:rPr>
          <w:rFonts w:hint="eastAsia"/>
          <w:kern w:val="14"/>
        </w:rPr>
        <w:t>）。基本养恤金和保险收入的增长给国家社会保险的所有受益人（总共</w:t>
      </w:r>
      <w:r>
        <w:rPr>
          <w:rFonts w:hint="eastAsia"/>
          <w:kern w:val="14"/>
        </w:rPr>
        <w:t>881</w:t>
      </w:r>
      <w:r>
        <w:rPr>
          <w:rFonts w:hint="eastAsia"/>
          <w:kern w:val="14"/>
        </w:rPr>
        <w:t>人）带来了好处。自</w:t>
      </w:r>
      <w:r>
        <w:rPr>
          <w:rFonts w:hint="eastAsia"/>
          <w:kern w:val="14"/>
        </w:rPr>
        <w:t>2005</w:t>
      </w:r>
      <w:r>
        <w:rPr>
          <w:rFonts w:hint="eastAsia"/>
          <w:kern w:val="14"/>
        </w:rPr>
        <w:t>年</w:t>
      </w:r>
      <w:r>
        <w:rPr>
          <w:rFonts w:hint="eastAsia"/>
          <w:kern w:val="14"/>
        </w:rPr>
        <w:t>7</w:t>
      </w:r>
      <w:r>
        <w:rPr>
          <w:rFonts w:hint="eastAsia"/>
          <w:kern w:val="14"/>
        </w:rPr>
        <w:t>月</w:t>
      </w:r>
      <w:r>
        <w:rPr>
          <w:rFonts w:hint="eastAsia"/>
          <w:kern w:val="14"/>
        </w:rPr>
        <w:t>1</w:t>
      </w:r>
      <w:r>
        <w:rPr>
          <w:rFonts w:hint="eastAsia"/>
          <w:kern w:val="14"/>
        </w:rPr>
        <w:t>日起，达到最低就业记录要求的养恤金领取人的养老金平均提高了</w:t>
      </w:r>
      <w:r>
        <w:rPr>
          <w:rFonts w:hint="eastAsia"/>
          <w:kern w:val="14"/>
        </w:rPr>
        <w:t>50</w:t>
      </w:r>
      <w:r>
        <w:rPr>
          <w:rFonts w:hint="eastAsia"/>
          <w:kern w:val="14"/>
        </w:rPr>
        <w:t>立特。基本养恤金的增长带动了国家社会援助福利金的增多（大约</w:t>
      </w:r>
      <w:r>
        <w:rPr>
          <w:rFonts w:hint="eastAsia"/>
          <w:kern w:val="14"/>
        </w:rPr>
        <w:t>80 000</w:t>
      </w:r>
      <w:r>
        <w:rPr>
          <w:rFonts w:hint="eastAsia"/>
          <w:kern w:val="14"/>
        </w:rPr>
        <w:t>名受益人）。这些救济金的发放对象为：残疾儿童和</w:t>
      </w:r>
      <w:r>
        <w:rPr>
          <w:rFonts w:hint="eastAsia"/>
          <w:kern w:val="14"/>
        </w:rPr>
        <w:t>24</w:t>
      </w:r>
      <w:r>
        <w:rPr>
          <w:rFonts w:hint="eastAsia"/>
          <w:kern w:val="14"/>
        </w:rPr>
        <w:t>岁以前被确认为伤残的人（包括自幼伤残者），另外还有这些残疾人的照料者和多子女妇女。这些人的救济金也与基本养恤金挂钩。社会援助福利金金额平均提高了</w:t>
      </w:r>
      <w:r>
        <w:rPr>
          <w:rFonts w:hint="eastAsia"/>
          <w:kern w:val="14"/>
        </w:rPr>
        <w:t>28</w:t>
      </w:r>
      <w:r>
        <w:rPr>
          <w:rFonts w:hint="eastAsia"/>
          <w:kern w:val="14"/>
        </w:rPr>
        <w:t>立特；而付给完全残疾人的护理津贴（约有</w:t>
      </w:r>
      <w:r>
        <w:rPr>
          <w:rFonts w:hint="eastAsia"/>
          <w:kern w:val="14"/>
        </w:rPr>
        <w:t>12 000</w:t>
      </w:r>
      <w:r>
        <w:rPr>
          <w:rFonts w:hint="eastAsia"/>
          <w:kern w:val="14"/>
        </w:rPr>
        <w:t>名受益人）增加了</w:t>
      </w:r>
      <w:r>
        <w:rPr>
          <w:rFonts w:hint="eastAsia"/>
          <w:kern w:val="14"/>
        </w:rPr>
        <w:t>42</w:t>
      </w:r>
      <w:r>
        <w:rPr>
          <w:rFonts w:hint="eastAsia"/>
          <w:kern w:val="14"/>
        </w:rPr>
        <w:t>立特。另外，向在立陶宛军队服役期间或在军事演习中致残的军官和军事人员发放的国家养恤金金额也提高了。</w:t>
      </w:r>
    </w:p>
    <w:p w:rsidR="00595751" w:rsidRDefault="00595751">
      <w:pPr>
        <w:tabs>
          <w:tab w:val="left" w:pos="630"/>
        </w:tabs>
        <w:spacing w:after="240" w:line="360" w:lineRule="exact"/>
        <w:rPr>
          <w:kern w:val="14"/>
        </w:rPr>
      </w:pPr>
      <w:r>
        <w:rPr>
          <w:lang w:val="en-GB"/>
        </w:rPr>
        <w:t>153.</w:t>
      </w:r>
      <w:r>
        <w:rPr>
          <w:rFonts w:hint="eastAsia"/>
          <w:lang w:val="en-GB"/>
        </w:rPr>
        <w:t xml:space="preserve"> </w:t>
      </w:r>
      <w:r>
        <w:rPr>
          <w:rFonts w:hint="eastAsia"/>
          <w:lang w:val="en-GB"/>
        </w:rPr>
        <w:tab/>
      </w:r>
      <w:r>
        <w:rPr>
          <w:rFonts w:hint="eastAsia"/>
          <w:lang w:val="en-GB"/>
        </w:rPr>
        <w:t>值得一提的</w:t>
      </w:r>
      <w:r>
        <w:rPr>
          <w:rFonts w:hint="eastAsia"/>
          <w:kern w:val="14"/>
        </w:rPr>
        <w:t>还有政府</w:t>
      </w:r>
      <w:r>
        <w:rPr>
          <w:rFonts w:hint="eastAsia"/>
          <w:kern w:val="14"/>
        </w:rPr>
        <w:t>2006</w:t>
      </w:r>
      <w:r>
        <w:rPr>
          <w:rFonts w:hint="eastAsia"/>
          <w:kern w:val="14"/>
        </w:rPr>
        <w:t>年</w:t>
      </w:r>
      <w:r>
        <w:rPr>
          <w:rFonts w:hint="eastAsia"/>
          <w:kern w:val="14"/>
        </w:rPr>
        <w:t>5</w:t>
      </w:r>
      <w:r>
        <w:rPr>
          <w:rFonts w:hint="eastAsia"/>
          <w:kern w:val="14"/>
        </w:rPr>
        <w:t>月</w:t>
      </w:r>
      <w:r>
        <w:rPr>
          <w:rFonts w:hint="eastAsia"/>
          <w:kern w:val="14"/>
        </w:rPr>
        <w:t>31</w:t>
      </w:r>
      <w:r>
        <w:rPr>
          <w:rFonts w:hint="eastAsia"/>
          <w:kern w:val="14"/>
        </w:rPr>
        <w:t>日第</w:t>
      </w:r>
      <w:r>
        <w:rPr>
          <w:kern w:val="14"/>
        </w:rPr>
        <w:t>512</w:t>
      </w:r>
      <w:r>
        <w:rPr>
          <w:rFonts w:hint="eastAsia"/>
          <w:kern w:val="14"/>
        </w:rPr>
        <w:t>号决议，“关于提高国家社会保险基本养恤金和批准</w:t>
      </w:r>
      <w:r>
        <w:rPr>
          <w:rFonts w:hint="eastAsia"/>
          <w:kern w:val="14"/>
        </w:rPr>
        <w:t>2006</w:t>
      </w:r>
      <w:r>
        <w:rPr>
          <w:rFonts w:hint="eastAsia"/>
          <w:kern w:val="14"/>
        </w:rPr>
        <w:t>年当年保险收入的新价值”（</w:t>
      </w:r>
      <w:r>
        <w:rPr>
          <w:rFonts w:hint="eastAsia"/>
          <w:kern w:val="14"/>
        </w:rPr>
        <w:t>2006</w:t>
      </w:r>
      <w:r>
        <w:rPr>
          <w:rFonts w:hint="eastAsia"/>
          <w:kern w:val="14"/>
        </w:rPr>
        <w:t>年第</w:t>
      </w:r>
      <w:r>
        <w:rPr>
          <w:kern w:val="14"/>
        </w:rPr>
        <w:t>62-2281</w:t>
      </w:r>
      <w:r>
        <w:rPr>
          <w:rFonts w:hint="eastAsia"/>
          <w:kern w:val="14"/>
        </w:rPr>
        <w:t>号</w:t>
      </w:r>
      <w:r>
        <w:rPr>
          <w:kern w:val="14"/>
        </w:rPr>
        <w:t>《政府公报》</w:t>
      </w:r>
      <w:r>
        <w:rPr>
          <w:rFonts w:hint="eastAsia"/>
          <w:kern w:val="14"/>
        </w:rPr>
        <w:t>）。该决议于</w:t>
      </w:r>
      <w:r>
        <w:rPr>
          <w:rFonts w:hint="eastAsia"/>
          <w:kern w:val="14"/>
        </w:rPr>
        <w:t>2006</w:t>
      </w:r>
      <w:r>
        <w:rPr>
          <w:rFonts w:hint="eastAsia"/>
          <w:kern w:val="14"/>
        </w:rPr>
        <w:t>年</w:t>
      </w:r>
      <w:r>
        <w:rPr>
          <w:rFonts w:hint="eastAsia"/>
          <w:kern w:val="14"/>
        </w:rPr>
        <w:t>7</w:t>
      </w:r>
      <w:r>
        <w:rPr>
          <w:rFonts w:hint="eastAsia"/>
          <w:kern w:val="14"/>
        </w:rPr>
        <w:t>月</w:t>
      </w:r>
      <w:r>
        <w:rPr>
          <w:rFonts w:hint="eastAsia"/>
          <w:kern w:val="14"/>
        </w:rPr>
        <w:t>1</w:t>
      </w:r>
      <w:r>
        <w:rPr>
          <w:rFonts w:hint="eastAsia"/>
          <w:kern w:val="14"/>
        </w:rPr>
        <w:t>日生效，基本养恤金因此提高了</w:t>
      </w:r>
      <w:r>
        <w:rPr>
          <w:rFonts w:hint="eastAsia"/>
          <w:kern w:val="14"/>
        </w:rPr>
        <w:t>30</w:t>
      </w:r>
      <w:r>
        <w:rPr>
          <w:rFonts w:hint="eastAsia"/>
          <w:kern w:val="14"/>
        </w:rPr>
        <w:t>立特（从</w:t>
      </w:r>
      <w:r>
        <w:rPr>
          <w:kern w:val="14"/>
        </w:rPr>
        <w:t>200</w:t>
      </w:r>
      <w:r>
        <w:rPr>
          <w:kern w:val="14"/>
        </w:rPr>
        <w:t>立特</w:t>
      </w:r>
      <w:r>
        <w:rPr>
          <w:rFonts w:hint="eastAsia"/>
          <w:kern w:val="14"/>
        </w:rPr>
        <w:t>提高到</w:t>
      </w:r>
      <w:r>
        <w:rPr>
          <w:kern w:val="14"/>
        </w:rPr>
        <w:t>230</w:t>
      </w:r>
      <w:r>
        <w:rPr>
          <w:kern w:val="14"/>
        </w:rPr>
        <w:t>立特</w:t>
      </w:r>
      <w:r>
        <w:rPr>
          <w:rFonts w:hint="eastAsia"/>
          <w:kern w:val="14"/>
        </w:rPr>
        <w:t>），</w:t>
      </w:r>
      <w:r>
        <w:rPr>
          <w:rFonts w:hint="eastAsia"/>
          <w:kern w:val="14"/>
        </w:rPr>
        <w:t>2006</w:t>
      </w:r>
      <w:r>
        <w:rPr>
          <w:rFonts w:hint="eastAsia"/>
          <w:kern w:val="14"/>
        </w:rPr>
        <w:t>年当年的保险收入提高了</w:t>
      </w:r>
      <w:r>
        <w:rPr>
          <w:kern w:val="14"/>
        </w:rPr>
        <w:t>128</w:t>
      </w:r>
      <w:r>
        <w:rPr>
          <w:rFonts w:hint="eastAsia"/>
          <w:kern w:val="14"/>
        </w:rPr>
        <w:t>立特（从</w:t>
      </w:r>
      <w:r>
        <w:rPr>
          <w:kern w:val="14"/>
        </w:rPr>
        <w:t>1</w:t>
      </w:r>
      <w:r>
        <w:rPr>
          <w:rFonts w:hint="eastAsia"/>
          <w:kern w:val="14"/>
        </w:rPr>
        <w:t xml:space="preserve"> </w:t>
      </w:r>
      <w:r>
        <w:rPr>
          <w:kern w:val="14"/>
        </w:rPr>
        <w:t>084</w:t>
      </w:r>
      <w:r>
        <w:rPr>
          <w:kern w:val="14"/>
        </w:rPr>
        <w:t>立特</w:t>
      </w:r>
      <w:r>
        <w:rPr>
          <w:rFonts w:hint="eastAsia"/>
          <w:kern w:val="14"/>
        </w:rPr>
        <w:t>提高到</w:t>
      </w:r>
      <w:r>
        <w:rPr>
          <w:kern w:val="14"/>
        </w:rPr>
        <w:t>1</w:t>
      </w:r>
      <w:r>
        <w:rPr>
          <w:rFonts w:hint="eastAsia"/>
          <w:kern w:val="14"/>
        </w:rPr>
        <w:t xml:space="preserve"> </w:t>
      </w:r>
      <w:r>
        <w:rPr>
          <w:kern w:val="14"/>
        </w:rPr>
        <w:t>212</w:t>
      </w:r>
      <w:r>
        <w:rPr>
          <w:kern w:val="14"/>
        </w:rPr>
        <w:t>立特</w:t>
      </w:r>
      <w:r>
        <w:rPr>
          <w:rFonts w:hint="eastAsia"/>
          <w:kern w:val="14"/>
        </w:rPr>
        <w:t>）。这些指标的增长使得国家社会保险养恤金的所有受益人都得到实惠（总共有</w:t>
      </w:r>
      <w:r>
        <w:rPr>
          <w:kern w:val="14"/>
        </w:rPr>
        <w:t>875</w:t>
      </w:r>
      <w:r>
        <w:rPr>
          <w:rFonts w:hint="eastAsia"/>
          <w:kern w:val="14"/>
        </w:rPr>
        <w:t xml:space="preserve"> 000</w:t>
      </w:r>
      <w:r>
        <w:rPr>
          <w:rFonts w:hint="eastAsia"/>
          <w:kern w:val="14"/>
        </w:rPr>
        <w:t>人，其中包括</w:t>
      </w:r>
      <w:r>
        <w:rPr>
          <w:kern w:val="14"/>
        </w:rPr>
        <w:t>589</w:t>
      </w:r>
      <w:r>
        <w:rPr>
          <w:rFonts w:hint="eastAsia"/>
          <w:kern w:val="14"/>
        </w:rPr>
        <w:t xml:space="preserve"> 000</w:t>
      </w:r>
      <w:r>
        <w:rPr>
          <w:rFonts w:hint="eastAsia"/>
          <w:kern w:val="14"/>
        </w:rPr>
        <w:t>名养老金领取人和</w:t>
      </w:r>
      <w:r>
        <w:rPr>
          <w:rFonts w:hint="eastAsia"/>
          <w:kern w:val="14"/>
        </w:rPr>
        <w:t>8 100</w:t>
      </w:r>
      <w:r>
        <w:rPr>
          <w:rFonts w:hint="eastAsia"/>
          <w:kern w:val="14"/>
        </w:rPr>
        <w:t>名</w:t>
      </w:r>
      <w:r>
        <w:rPr>
          <w:rFonts w:hint="eastAsia"/>
          <w:color w:val="000000"/>
          <w:kern w:val="14"/>
        </w:rPr>
        <w:t>老龄前养恤金</w:t>
      </w:r>
      <w:r>
        <w:rPr>
          <w:rFonts w:hint="eastAsia"/>
          <w:kern w:val="14"/>
        </w:rPr>
        <w:t>领取人、</w:t>
      </w:r>
      <w:r>
        <w:rPr>
          <w:kern w:val="14"/>
        </w:rPr>
        <w:t>210</w:t>
      </w:r>
      <w:r>
        <w:rPr>
          <w:rFonts w:hint="eastAsia"/>
          <w:kern w:val="14"/>
        </w:rPr>
        <w:t xml:space="preserve"> 000</w:t>
      </w:r>
      <w:r>
        <w:rPr>
          <w:rFonts w:hint="eastAsia"/>
          <w:kern w:val="14"/>
        </w:rPr>
        <w:t>名残疾人，</w:t>
      </w:r>
      <w:r>
        <w:rPr>
          <w:rFonts w:hint="eastAsia"/>
          <w:kern w:val="14"/>
        </w:rPr>
        <w:t>41 900</w:t>
      </w:r>
      <w:r>
        <w:rPr>
          <w:rFonts w:hint="eastAsia"/>
          <w:kern w:val="14"/>
        </w:rPr>
        <w:t>名孤儿、</w:t>
      </w:r>
      <w:r>
        <w:rPr>
          <w:rFonts w:hint="eastAsia"/>
          <w:kern w:val="14"/>
        </w:rPr>
        <w:t>15 300</w:t>
      </w:r>
      <w:r>
        <w:rPr>
          <w:rFonts w:hint="eastAsia"/>
          <w:kern w:val="14"/>
        </w:rPr>
        <w:t>名失去养家糊口者的养恤金领取人、</w:t>
      </w:r>
      <w:r>
        <w:rPr>
          <w:rFonts w:hint="eastAsia"/>
          <w:kern w:val="14"/>
        </w:rPr>
        <w:t>1 100</w:t>
      </w:r>
      <w:r>
        <w:rPr>
          <w:rFonts w:hint="eastAsia"/>
          <w:kern w:val="14"/>
        </w:rPr>
        <w:t>名退休金领取人，以及</w:t>
      </w:r>
      <w:r>
        <w:rPr>
          <w:rFonts w:hint="eastAsia"/>
          <w:kern w:val="14"/>
        </w:rPr>
        <w:t>9 000</w:t>
      </w:r>
      <w:r>
        <w:rPr>
          <w:rFonts w:hint="eastAsia"/>
          <w:kern w:val="14"/>
        </w:rPr>
        <w:t>名特殊工作条件补偿金领取人）。付给具备最低就业记录要求的人的平均养老金已从</w:t>
      </w:r>
      <w:r>
        <w:rPr>
          <w:rFonts w:hint="eastAsia"/>
          <w:kern w:val="14"/>
        </w:rPr>
        <w:t>2005</w:t>
      </w:r>
      <w:r>
        <w:rPr>
          <w:rFonts w:hint="eastAsia"/>
          <w:kern w:val="14"/>
        </w:rPr>
        <w:t>年</w:t>
      </w:r>
      <w:r>
        <w:rPr>
          <w:rFonts w:hint="eastAsia"/>
          <w:kern w:val="14"/>
        </w:rPr>
        <w:t>12</w:t>
      </w:r>
      <w:r>
        <w:rPr>
          <w:rFonts w:hint="eastAsia"/>
          <w:kern w:val="14"/>
        </w:rPr>
        <w:t>月的</w:t>
      </w:r>
      <w:r>
        <w:rPr>
          <w:rFonts w:hint="eastAsia"/>
          <w:kern w:val="14"/>
        </w:rPr>
        <w:t>446</w:t>
      </w:r>
      <w:r>
        <w:rPr>
          <w:rFonts w:hint="eastAsia"/>
          <w:kern w:val="14"/>
        </w:rPr>
        <w:t>立特提高到</w:t>
      </w:r>
      <w:r>
        <w:rPr>
          <w:rFonts w:hint="eastAsia"/>
          <w:kern w:val="14"/>
        </w:rPr>
        <w:t>2006</w:t>
      </w:r>
      <w:r>
        <w:rPr>
          <w:rFonts w:hint="eastAsia"/>
          <w:kern w:val="14"/>
        </w:rPr>
        <w:t>年</w:t>
      </w:r>
      <w:r>
        <w:rPr>
          <w:rFonts w:hint="eastAsia"/>
          <w:kern w:val="14"/>
        </w:rPr>
        <w:t>12</w:t>
      </w:r>
      <w:r>
        <w:rPr>
          <w:rFonts w:hint="eastAsia"/>
          <w:kern w:val="14"/>
        </w:rPr>
        <w:t>月的</w:t>
      </w:r>
      <w:r>
        <w:rPr>
          <w:rFonts w:hint="eastAsia"/>
          <w:kern w:val="14"/>
        </w:rPr>
        <w:t>517</w:t>
      </w:r>
      <w:r>
        <w:rPr>
          <w:rFonts w:hint="eastAsia"/>
          <w:kern w:val="14"/>
        </w:rPr>
        <w:t>立特，即提高了</w:t>
      </w:r>
      <w:r>
        <w:rPr>
          <w:rFonts w:hint="eastAsia"/>
          <w:kern w:val="14"/>
        </w:rPr>
        <w:t>71</w:t>
      </w:r>
      <w:r>
        <w:rPr>
          <w:rFonts w:hint="eastAsia"/>
          <w:kern w:val="14"/>
        </w:rPr>
        <w:t>立特（近</w:t>
      </w:r>
      <w:r>
        <w:rPr>
          <w:rFonts w:hint="eastAsia"/>
          <w:kern w:val="14"/>
        </w:rPr>
        <w:t>16%</w:t>
      </w:r>
      <w:r>
        <w:rPr>
          <w:rFonts w:hint="eastAsia"/>
          <w:kern w:val="14"/>
        </w:rPr>
        <w:t>）。基本养恤金的增长带动社会援助福利金平均增长了</w:t>
      </w:r>
      <w:r>
        <w:rPr>
          <w:rFonts w:hint="eastAsia"/>
          <w:kern w:val="14"/>
        </w:rPr>
        <w:t>30</w:t>
      </w:r>
      <w:r>
        <w:rPr>
          <w:rFonts w:hint="eastAsia"/>
          <w:kern w:val="14"/>
        </w:rPr>
        <w:t>立特。另外，向在立陶宛军队服役期间或在军事演习中致残的军官和军事人员发放的国家养恤金额也提高了。</w:t>
      </w:r>
    </w:p>
    <w:p w:rsidR="00595751" w:rsidRDefault="00595751">
      <w:pPr>
        <w:tabs>
          <w:tab w:val="left" w:pos="630"/>
        </w:tabs>
        <w:spacing w:after="240" w:line="360" w:lineRule="exact"/>
        <w:rPr>
          <w:kern w:val="14"/>
        </w:rPr>
      </w:pPr>
      <w:r>
        <w:rPr>
          <w:lang w:val="en-GB"/>
        </w:rPr>
        <w:t>15</w:t>
      </w:r>
      <w:r>
        <w:rPr>
          <w:rFonts w:hint="eastAsia"/>
          <w:lang w:val="en-GB"/>
        </w:rPr>
        <w:t>4</w:t>
      </w:r>
      <w:r>
        <w:rPr>
          <w:lang w:val="en-GB"/>
        </w:rPr>
        <w:t>.</w:t>
      </w:r>
      <w:r>
        <w:rPr>
          <w:rFonts w:hint="eastAsia"/>
          <w:lang w:val="en-GB"/>
        </w:rPr>
        <w:tab/>
      </w:r>
      <w:r>
        <w:rPr>
          <w:rFonts w:hint="eastAsia"/>
          <w:kern w:val="14"/>
        </w:rPr>
        <w:t>政府</w:t>
      </w:r>
      <w:r>
        <w:rPr>
          <w:rFonts w:hint="eastAsia"/>
          <w:kern w:val="14"/>
        </w:rPr>
        <w:t>2006</w:t>
      </w:r>
      <w:r>
        <w:rPr>
          <w:rFonts w:hint="eastAsia"/>
          <w:kern w:val="14"/>
        </w:rPr>
        <w:t>年</w:t>
      </w:r>
      <w:r>
        <w:rPr>
          <w:rFonts w:hint="eastAsia"/>
          <w:kern w:val="14"/>
        </w:rPr>
        <w:t>10</w:t>
      </w:r>
      <w:r>
        <w:rPr>
          <w:rFonts w:hint="eastAsia"/>
          <w:kern w:val="14"/>
        </w:rPr>
        <w:t>月</w:t>
      </w:r>
      <w:r>
        <w:rPr>
          <w:rFonts w:hint="eastAsia"/>
          <w:kern w:val="14"/>
        </w:rPr>
        <w:t>19</w:t>
      </w:r>
      <w:r>
        <w:rPr>
          <w:rFonts w:hint="eastAsia"/>
          <w:kern w:val="14"/>
        </w:rPr>
        <w:t>日第</w:t>
      </w:r>
      <w:r>
        <w:rPr>
          <w:rFonts w:hint="eastAsia"/>
          <w:kern w:val="14"/>
        </w:rPr>
        <w:t>1031</w:t>
      </w:r>
      <w:r>
        <w:rPr>
          <w:rFonts w:hint="eastAsia"/>
          <w:kern w:val="14"/>
        </w:rPr>
        <w:t>号决议（</w:t>
      </w:r>
      <w:r>
        <w:rPr>
          <w:rFonts w:hint="eastAsia"/>
          <w:kern w:val="14"/>
        </w:rPr>
        <w:t>2006</w:t>
      </w:r>
      <w:r>
        <w:rPr>
          <w:rFonts w:hint="eastAsia"/>
          <w:kern w:val="14"/>
        </w:rPr>
        <w:t>年第</w:t>
      </w:r>
      <w:r>
        <w:rPr>
          <w:kern w:val="14"/>
        </w:rPr>
        <w:t>113-4304</w:t>
      </w:r>
      <w:r>
        <w:rPr>
          <w:rFonts w:hint="eastAsia"/>
          <w:kern w:val="14"/>
        </w:rPr>
        <w:t>号</w:t>
      </w:r>
      <w:r>
        <w:rPr>
          <w:kern w:val="14"/>
        </w:rPr>
        <w:t>《政府公报》</w:t>
      </w:r>
      <w:r>
        <w:rPr>
          <w:rFonts w:hint="eastAsia"/>
          <w:kern w:val="14"/>
        </w:rPr>
        <w:t>）修正了政府</w:t>
      </w:r>
      <w:r>
        <w:rPr>
          <w:rFonts w:hint="eastAsia"/>
          <w:kern w:val="14"/>
        </w:rPr>
        <w:t>1994</w:t>
      </w:r>
      <w:r>
        <w:rPr>
          <w:rFonts w:hint="eastAsia"/>
          <w:kern w:val="14"/>
        </w:rPr>
        <w:t>年</w:t>
      </w:r>
      <w:r>
        <w:rPr>
          <w:rFonts w:hint="eastAsia"/>
          <w:kern w:val="14"/>
        </w:rPr>
        <w:t>11</w:t>
      </w:r>
      <w:r>
        <w:rPr>
          <w:rFonts w:hint="eastAsia"/>
          <w:kern w:val="14"/>
        </w:rPr>
        <w:t>月</w:t>
      </w:r>
      <w:r>
        <w:rPr>
          <w:rFonts w:hint="eastAsia"/>
          <w:kern w:val="14"/>
        </w:rPr>
        <w:t>18</w:t>
      </w:r>
      <w:r>
        <w:rPr>
          <w:rFonts w:hint="eastAsia"/>
          <w:kern w:val="14"/>
        </w:rPr>
        <w:t>日第</w:t>
      </w:r>
      <w:r>
        <w:rPr>
          <w:rFonts w:hint="eastAsia"/>
          <w:kern w:val="14"/>
        </w:rPr>
        <w:t>1156</w:t>
      </w:r>
      <w:r>
        <w:rPr>
          <w:rFonts w:hint="eastAsia"/>
          <w:kern w:val="14"/>
        </w:rPr>
        <w:t>号决议“关于批准授予和支付国家社会保险养恤金的程序”。据此，自</w:t>
      </w:r>
      <w:r>
        <w:rPr>
          <w:rFonts w:hint="eastAsia"/>
          <w:kern w:val="14"/>
        </w:rPr>
        <w:t>2006</w:t>
      </w:r>
      <w:r>
        <w:rPr>
          <w:rFonts w:hint="eastAsia"/>
          <w:kern w:val="14"/>
        </w:rPr>
        <w:t>年起，所有社会保险养恤金——老龄前养恤金除外——均在当月支付。现在特殊工作条件补偿金也在当月支付。这样，各种社会保险养恤金的支付程序便实现了统一。一旦养恤金改成在当月支付，以往领取上月养恤金的领取人就在一个月内领取两份付款。只有老龄前养恤金保留了支付上月款项的做法，因为此类养恤金与实际领取的保险收入挂钩。</w:t>
      </w:r>
    </w:p>
    <w:p w:rsidR="00595751" w:rsidRDefault="00595751">
      <w:pPr>
        <w:tabs>
          <w:tab w:val="left" w:pos="630"/>
        </w:tabs>
        <w:spacing w:after="240" w:line="360" w:lineRule="exact"/>
        <w:rPr>
          <w:kern w:val="14"/>
        </w:rPr>
      </w:pPr>
      <w:r>
        <w:rPr>
          <w:lang w:val="en-GB"/>
        </w:rPr>
        <w:t>155.</w:t>
      </w:r>
      <w:r>
        <w:rPr>
          <w:rFonts w:hint="eastAsia"/>
          <w:lang w:val="en-GB"/>
        </w:rPr>
        <w:tab/>
      </w:r>
      <w:r>
        <w:rPr>
          <w:rFonts w:hint="eastAsia"/>
          <w:kern w:val="14"/>
        </w:rPr>
        <w:t>2006</w:t>
      </w:r>
      <w:r>
        <w:rPr>
          <w:rFonts w:hint="eastAsia"/>
          <w:kern w:val="14"/>
        </w:rPr>
        <w:t>年通过的《立陶宛共和国职业养恤金累积法》（</w:t>
      </w:r>
      <w:r>
        <w:rPr>
          <w:rFonts w:hint="eastAsia"/>
          <w:kern w:val="14"/>
        </w:rPr>
        <w:t>2006</w:t>
      </w:r>
      <w:r>
        <w:rPr>
          <w:rFonts w:hint="eastAsia"/>
          <w:kern w:val="14"/>
        </w:rPr>
        <w:t>年第</w:t>
      </w:r>
      <w:r>
        <w:rPr>
          <w:kern w:val="14"/>
        </w:rPr>
        <w:t>82-3248</w:t>
      </w:r>
      <w:r>
        <w:rPr>
          <w:rFonts w:hint="eastAsia"/>
          <w:kern w:val="14"/>
        </w:rPr>
        <w:t>号</w:t>
      </w:r>
      <w:r>
        <w:rPr>
          <w:kern w:val="14"/>
        </w:rPr>
        <w:t>《政府公报》</w:t>
      </w:r>
      <w:r>
        <w:rPr>
          <w:rFonts w:hint="eastAsia"/>
          <w:kern w:val="14"/>
        </w:rPr>
        <w:t>）对职业养恤金的组织条件和程序做了规定。该法律旨在协调本国有关职业养恤金累积的立法与欧盟相关立法的关系。该法律第</w:t>
      </w:r>
      <w:r>
        <w:rPr>
          <w:kern w:val="14"/>
        </w:rPr>
        <w:t>23</w:t>
      </w:r>
      <w:r>
        <w:rPr>
          <w:kern w:val="14"/>
        </w:rPr>
        <w:t>（</w:t>
      </w:r>
      <w:r>
        <w:rPr>
          <w:kern w:val="14"/>
        </w:rPr>
        <w:t>1</w:t>
      </w:r>
      <w:r>
        <w:rPr>
          <w:kern w:val="14"/>
        </w:rPr>
        <w:t>）</w:t>
      </w:r>
      <w:r>
        <w:rPr>
          <w:rFonts w:hint="eastAsia"/>
          <w:kern w:val="14"/>
        </w:rPr>
        <w:t>条禁止在养恤金协会公司章程以及养恤基金管理细则中规定有悖于男女平等原则的参加条款和条件。</w:t>
      </w:r>
    </w:p>
    <w:p w:rsidR="00595751" w:rsidRDefault="00595751">
      <w:pPr>
        <w:tabs>
          <w:tab w:val="left" w:pos="630"/>
        </w:tabs>
        <w:spacing w:after="240" w:line="360" w:lineRule="exact"/>
        <w:rPr>
          <w:kern w:val="14"/>
        </w:rPr>
      </w:pPr>
      <w:r>
        <w:rPr>
          <w:lang w:val="en-GB"/>
        </w:rPr>
        <w:t>156.</w:t>
      </w:r>
      <w:r>
        <w:rPr>
          <w:rFonts w:hint="eastAsia"/>
          <w:lang w:val="en-GB"/>
        </w:rPr>
        <w:tab/>
      </w:r>
      <w:r>
        <w:rPr>
          <w:kern w:val="14"/>
        </w:rPr>
        <w:t>2005</w:t>
      </w:r>
      <w:r>
        <w:rPr>
          <w:rFonts w:hint="eastAsia"/>
          <w:kern w:val="14"/>
        </w:rPr>
        <w:t>年</w:t>
      </w:r>
      <w:r>
        <w:rPr>
          <w:rFonts w:hint="eastAsia"/>
          <w:kern w:val="14"/>
        </w:rPr>
        <w:t>5</w:t>
      </w:r>
      <w:r>
        <w:rPr>
          <w:rFonts w:hint="eastAsia"/>
          <w:kern w:val="14"/>
        </w:rPr>
        <w:t>月</w:t>
      </w:r>
      <w:r>
        <w:rPr>
          <w:rFonts w:hint="eastAsia"/>
          <w:kern w:val="14"/>
        </w:rPr>
        <w:t>19</w:t>
      </w:r>
      <w:r>
        <w:rPr>
          <w:rFonts w:hint="eastAsia"/>
          <w:kern w:val="14"/>
        </w:rPr>
        <w:t>日，立陶宛通过了《立陶宛共和国国家社会补助金法》新版本（</w:t>
      </w:r>
      <w:r>
        <w:rPr>
          <w:rFonts w:hint="eastAsia"/>
          <w:kern w:val="14"/>
        </w:rPr>
        <w:t>1994</w:t>
      </w:r>
      <w:r>
        <w:rPr>
          <w:rFonts w:hint="eastAsia"/>
          <w:kern w:val="14"/>
        </w:rPr>
        <w:t>年第</w:t>
      </w:r>
      <w:r>
        <w:rPr>
          <w:kern w:val="14"/>
        </w:rPr>
        <w:t>96-1873</w:t>
      </w:r>
      <w:r>
        <w:rPr>
          <w:rFonts w:hint="eastAsia"/>
          <w:kern w:val="14"/>
        </w:rPr>
        <w:t>号《政府公报》；</w:t>
      </w:r>
      <w:r>
        <w:rPr>
          <w:rFonts w:hint="eastAsia"/>
          <w:kern w:val="14"/>
        </w:rPr>
        <w:t>2005</w:t>
      </w:r>
      <w:r>
        <w:rPr>
          <w:rFonts w:hint="eastAsia"/>
          <w:kern w:val="14"/>
        </w:rPr>
        <w:t>年第</w:t>
      </w:r>
      <w:r>
        <w:rPr>
          <w:kern w:val="14"/>
        </w:rPr>
        <w:t>71-2556</w:t>
      </w:r>
      <w:r>
        <w:rPr>
          <w:rFonts w:hint="eastAsia"/>
          <w:kern w:val="14"/>
        </w:rPr>
        <w:t>号</w:t>
      </w:r>
      <w:r>
        <w:rPr>
          <w:kern w:val="14"/>
        </w:rPr>
        <w:t>《政府公报》</w:t>
      </w:r>
      <w:r>
        <w:rPr>
          <w:rFonts w:hint="eastAsia"/>
          <w:kern w:val="14"/>
        </w:rPr>
        <w:t>）。新版本于</w:t>
      </w:r>
      <w:r>
        <w:rPr>
          <w:rFonts w:hint="eastAsia"/>
          <w:kern w:val="14"/>
        </w:rPr>
        <w:t>2005</w:t>
      </w:r>
      <w:r>
        <w:rPr>
          <w:rFonts w:hint="eastAsia"/>
          <w:kern w:val="14"/>
        </w:rPr>
        <w:t>年</w:t>
      </w:r>
      <w:r>
        <w:rPr>
          <w:rFonts w:hint="eastAsia"/>
          <w:kern w:val="14"/>
        </w:rPr>
        <w:t>7</w:t>
      </w:r>
      <w:r>
        <w:rPr>
          <w:rFonts w:hint="eastAsia"/>
          <w:kern w:val="14"/>
        </w:rPr>
        <w:t>月</w:t>
      </w:r>
      <w:r>
        <w:rPr>
          <w:rFonts w:hint="eastAsia"/>
          <w:kern w:val="14"/>
        </w:rPr>
        <w:t>1</w:t>
      </w:r>
      <w:r>
        <w:rPr>
          <w:rFonts w:hint="eastAsia"/>
          <w:kern w:val="14"/>
        </w:rPr>
        <w:t>日生效。该法律的目的在于为那些因为该法律中规定的残疾、老年或其他缘故而有资格领取国家</w:t>
      </w:r>
      <w:r>
        <w:rPr>
          <w:rFonts w:hint="eastAsia"/>
          <w:color w:val="000000"/>
          <w:kern w:val="14"/>
        </w:rPr>
        <w:t>社会援助福利金</w:t>
      </w:r>
      <w:r>
        <w:rPr>
          <w:rFonts w:hint="eastAsia"/>
          <w:kern w:val="14"/>
        </w:rPr>
        <w:t>的人支付丧失劳动能力抚恤金而投保。该法律规定了国家社会补助金的种类、资金来源、合格的领取人，以及授予和支付这些补助金的条件和程序。自</w:t>
      </w:r>
      <w:r>
        <w:rPr>
          <w:rFonts w:hint="eastAsia"/>
          <w:kern w:val="14"/>
        </w:rPr>
        <w:t>2005</w:t>
      </w:r>
      <w:r>
        <w:rPr>
          <w:rFonts w:hint="eastAsia"/>
          <w:kern w:val="14"/>
        </w:rPr>
        <w:t>年</w:t>
      </w:r>
      <w:r>
        <w:rPr>
          <w:rFonts w:hint="eastAsia"/>
          <w:kern w:val="14"/>
        </w:rPr>
        <w:t>7</w:t>
      </w:r>
      <w:r>
        <w:rPr>
          <w:rFonts w:hint="eastAsia"/>
          <w:kern w:val="14"/>
        </w:rPr>
        <w:t>月</w:t>
      </w:r>
      <w:r>
        <w:rPr>
          <w:rFonts w:hint="eastAsia"/>
          <w:kern w:val="14"/>
        </w:rPr>
        <w:t>1</w:t>
      </w:r>
      <w:r>
        <w:rPr>
          <w:rFonts w:hint="eastAsia"/>
          <w:kern w:val="14"/>
        </w:rPr>
        <w:t>日起，向已经完全丧失劳动能力者或丧失</w:t>
      </w:r>
      <w:r>
        <w:rPr>
          <w:rFonts w:hint="eastAsia"/>
          <w:kern w:val="14"/>
        </w:rPr>
        <w:t>60%</w:t>
      </w:r>
      <w:r>
        <w:rPr>
          <w:rFonts w:hint="eastAsia"/>
          <w:kern w:val="14"/>
        </w:rPr>
        <w:t>以上劳动能力的部分丧失劳动能力者（</w:t>
      </w:r>
      <w:r>
        <w:rPr>
          <w:rFonts w:hint="eastAsia"/>
          <w:kern w:val="14"/>
        </w:rPr>
        <w:t>2005</w:t>
      </w:r>
      <w:r>
        <w:rPr>
          <w:rFonts w:hint="eastAsia"/>
          <w:kern w:val="14"/>
        </w:rPr>
        <w:t>年</w:t>
      </w:r>
      <w:r>
        <w:rPr>
          <w:rFonts w:hint="eastAsia"/>
          <w:kern w:val="14"/>
        </w:rPr>
        <w:t>7</w:t>
      </w:r>
      <w:r>
        <w:rPr>
          <w:rFonts w:hint="eastAsia"/>
          <w:kern w:val="14"/>
        </w:rPr>
        <w:t>月</w:t>
      </w:r>
      <w:r>
        <w:rPr>
          <w:rFonts w:hint="eastAsia"/>
          <w:kern w:val="14"/>
        </w:rPr>
        <w:t>1</w:t>
      </w:r>
      <w:r>
        <w:rPr>
          <w:rFonts w:hint="eastAsia"/>
          <w:kern w:val="14"/>
        </w:rPr>
        <w:t>日以前被确认为一类或二类伤残者）授予和支付社会补助金。自</w:t>
      </w:r>
      <w:r>
        <w:rPr>
          <w:kern w:val="14"/>
        </w:rPr>
        <w:t>2006</w:t>
      </w:r>
      <w:r>
        <w:rPr>
          <w:rFonts w:hint="eastAsia"/>
          <w:kern w:val="14"/>
        </w:rPr>
        <w:t>年</w:t>
      </w:r>
      <w:r>
        <w:rPr>
          <w:rFonts w:hint="eastAsia"/>
          <w:kern w:val="14"/>
        </w:rPr>
        <w:t>1</w:t>
      </w:r>
      <w:r>
        <w:rPr>
          <w:rFonts w:hint="eastAsia"/>
          <w:kern w:val="14"/>
        </w:rPr>
        <w:t>月</w:t>
      </w:r>
      <w:r>
        <w:rPr>
          <w:rFonts w:hint="eastAsia"/>
          <w:kern w:val="14"/>
        </w:rPr>
        <w:t>1</w:t>
      </w:r>
      <w:r>
        <w:rPr>
          <w:rFonts w:hint="eastAsia"/>
          <w:kern w:val="14"/>
        </w:rPr>
        <w:t>日起，达到应计养恤金年龄的人也可以领取社会援助福利金。已经丧失</w:t>
      </w:r>
      <w:r>
        <w:rPr>
          <w:kern w:val="14"/>
        </w:rPr>
        <w:t>75</w:t>
      </w:r>
      <w:r>
        <w:rPr>
          <w:rFonts w:hint="eastAsia"/>
          <w:kern w:val="14"/>
        </w:rPr>
        <w:t>%</w:t>
      </w:r>
      <w:r>
        <w:rPr>
          <w:rFonts w:hint="eastAsia"/>
          <w:kern w:val="14"/>
        </w:rPr>
        <w:t>至</w:t>
      </w:r>
      <w:r>
        <w:rPr>
          <w:kern w:val="14"/>
        </w:rPr>
        <w:t>100%</w:t>
      </w:r>
      <w:r>
        <w:rPr>
          <w:rFonts w:hint="eastAsia"/>
          <w:kern w:val="14"/>
        </w:rPr>
        <w:t>劳动能力的人（</w:t>
      </w:r>
      <w:r>
        <w:rPr>
          <w:kern w:val="14"/>
        </w:rPr>
        <w:t>2005</w:t>
      </w:r>
      <w:r>
        <w:rPr>
          <w:rFonts w:hint="eastAsia"/>
          <w:kern w:val="14"/>
        </w:rPr>
        <w:t>年</w:t>
      </w:r>
      <w:r>
        <w:rPr>
          <w:rFonts w:hint="eastAsia"/>
          <w:kern w:val="14"/>
        </w:rPr>
        <w:t>7</w:t>
      </w:r>
      <w:r>
        <w:rPr>
          <w:rFonts w:hint="eastAsia"/>
          <w:kern w:val="14"/>
        </w:rPr>
        <w:t>月</w:t>
      </w:r>
      <w:r>
        <w:rPr>
          <w:rFonts w:hint="eastAsia"/>
          <w:kern w:val="14"/>
        </w:rPr>
        <w:t>1</w:t>
      </w:r>
      <w:r>
        <w:rPr>
          <w:rFonts w:hint="eastAsia"/>
          <w:kern w:val="14"/>
        </w:rPr>
        <w:t>日以前被确认为一类伤残者）有资格领取相当于基本养恤金的社会援助福利金；而丧失</w:t>
      </w:r>
      <w:r>
        <w:rPr>
          <w:kern w:val="14"/>
        </w:rPr>
        <w:t>60</w:t>
      </w:r>
      <w:r>
        <w:rPr>
          <w:rFonts w:hint="eastAsia"/>
          <w:kern w:val="14"/>
        </w:rPr>
        <w:t>%</w:t>
      </w:r>
      <w:r>
        <w:rPr>
          <w:rFonts w:hint="eastAsia"/>
          <w:kern w:val="14"/>
        </w:rPr>
        <w:t>至</w:t>
      </w:r>
      <w:r>
        <w:rPr>
          <w:kern w:val="14"/>
        </w:rPr>
        <w:t>70%</w:t>
      </w:r>
      <w:r>
        <w:rPr>
          <w:rFonts w:hint="eastAsia"/>
          <w:kern w:val="14"/>
        </w:rPr>
        <w:t>劳动能力（</w:t>
      </w:r>
      <w:r>
        <w:rPr>
          <w:rFonts w:hint="eastAsia"/>
          <w:kern w:val="14"/>
        </w:rPr>
        <w:t>2005</w:t>
      </w:r>
      <w:r>
        <w:rPr>
          <w:rFonts w:hint="eastAsia"/>
          <w:kern w:val="14"/>
        </w:rPr>
        <w:t>年</w:t>
      </w:r>
      <w:r>
        <w:rPr>
          <w:rFonts w:hint="eastAsia"/>
          <w:kern w:val="14"/>
        </w:rPr>
        <w:t>7</w:t>
      </w:r>
      <w:r>
        <w:rPr>
          <w:rFonts w:hint="eastAsia"/>
          <w:kern w:val="14"/>
        </w:rPr>
        <w:t>月</w:t>
      </w:r>
      <w:r>
        <w:rPr>
          <w:rFonts w:hint="eastAsia"/>
          <w:kern w:val="14"/>
        </w:rPr>
        <w:t>1</w:t>
      </w:r>
      <w:r>
        <w:rPr>
          <w:rFonts w:hint="eastAsia"/>
          <w:kern w:val="14"/>
        </w:rPr>
        <w:t>日以前被确认为二类伤残）并且达到应计养恤金年龄的人，有资格领取相当于基本养恤金</w:t>
      </w:r>
      <w:r>
        <w:rPr>
          <w:rFonts w:hint="eastAsia"/>
          <w:kern w:val="14"/>
        </w:rPr>
        <w:t>90%</w:t>
      </w:r>
      <w:r>
        <w:rPr>
          <w:rFonts w:hint="eastAsia"/>
          <w:kern w:val="14"/>
        </w:rPr>
        <w:t>的社会援助福利金。养恤金（国家社会保险养恤金、国家养恤金、外国养恤金、或其他养恤金类福利金）低于社会援助福利金的人，可以得到社会援助福利金与实际养恤金和</w:t>
      </w:r>
      <w:r>
        <w:rPr>
          <w:rFonts w:hint="eastAsia"/>
          <w:kern w:val="14"/>
        </w:rPr>
        <w:t>/</w:t>
      </w:r>
      <w:r>
        <w:rPr>
          <w:rFonts w:hint="eastAsia"/>
          <w:kern w:val="14"/>
        </w:rPr>
        <w:t>或领取养恤金累积总额之间的差额补偿。</w:t>
      </w:r>
    </w:p>
    <w:p w:rsidR="00595751" w:rsidRDefault="00595751">
      <w:pPr>
        <w:tabs>
          <w:tab w:val="left" w:pos="630"/>
        </w:tabs>
        <w:spacing w:after="240" w:line="360" w:lineRule="exact"/>
        <w:rPr>
          <w:kern w:val="14"/>
        </w:rPr>
      </w:pPr>
      <w:r>
        <w:rPr>
          <w:lang w:val="en-GB"/>
        </w:rPr>
        <w:t>157.</w:t>
      </w:r>
      <w:r>
        <w:rPr>
          <w:rFonts w:hint="eastAsia"/>
          <w:lang w:val="en-GB"/>
        </w:rPr>
        <w:tab/>
      </w:r>
      <w:r>
        <w:rPr>
          <w:kern w:val="14"/>
        </w:rPr>
        <w:t>2004</w:t>
      </w:r>
      <w:r>
        <w:rPr>
          <w:rFonts w:hint="eastAsia"/>
          <w:kern w:val="14"/>
        </w:rPr>
        <w:t>年</w:t>
      </w:r>
      <w:r>
        <w:rPr>
          <w:rFonts w:hint="eastAsia"/>
          <w:kern w:val="14"/>
        </w:rPr>
        <w:t>5</w:t>
      </w:r>
      <w:r>
        <w:rPr>
          <w:rFonts w:hint="eastAsia"/>
          <w:kern w:val="14"/>
        </w:rPr>
        <w:t>月</w:t>
      </w:r>
      <w:r>
        <w:rPr>
          <w:rFonts w:hint="eastAsia"/>
          <w:kern w:val="14"/>
        </w:rPr>
        <w:t>11</w:t>
      </w:r>
      <w:r>
        <w:rPr>
          <w:rFonts w:hint="eastAsia"/>
          <w:kern w:val="14"/>
        </w:rPr>
        <w:t>日，《</w:t>
      </w:r>
      <w:r>
        <w:rPr>
          <w:kern w:val="14"/>
        </w:rPr>
        <w:t>立陶宛</w:t>
      </w:r>
      <w:r>
        <w:rPr>
          <w:rFonts w:hint="eastAsia"/>
          <w:kern w:val="14"/>
        </w:rPr>
        <w:t>共和国伤残人融入社会法》（</w:t>
      </w:r>
      <w:r>
        <w:rPr>
          <w:rFonts w:hint="eastAsia"/>
          <w:kern w:val="14"/>
        </w:rPr>
        <w:t>1991</w:t>
      </w:r>
      <w:r>
        <w:rPr>
          <w:rFonts w:hint="eastAsia"/>
          <w:kern w:val="14"/>
        </w:rPr>
        <w:t>年第</w:t>
      </w:r>
      <w:r>
        <w:rPr>
          <w:kern w:val="14"/>
        </w:rPr>
        <w:t>36-969</w:t>
      </w:r>
      <w:r>
        <w:rPr>
          <w:rFonts w:hint="eastAsia"/>
          <w:kern w:val="14"/>
        </w:rPr>
        <w:t>号</w:t>
      </w:r>
      <w:r>
        <w:rPr>
          <w:kern w:val="14"/>
        </w:rPr>
        <w:t>《政府公报》</w:t>
      </w:r>
      <w:r>
        <w:rPr>
          <w:rFonts w:hint="eastAsia"/>
          <w:kern w:val="14"/>
        </w:rPr>
        <w:t>）得到修正，并更名为《立陶宛共和国残疾人融入社会法》（</w:t>
      </w:r>
      <w:r>
        <w:rPr>
          <w:rFonts w:hint="eastAsia"/>
          <w:kern w:val="14"/>
        </w:rPr>
        <w:t>2004</w:t>
      </w:r>
      <w:r>
        <w:rPr>
          <w:rFonts w:hint="eastAsia"/>
          <w:kern w:val="14"/>
        </w:rPr>
        <w:t>年第</w:t>
      </w:r>
      <w:r>
        <w:rPr>
          <w:kern w:val="14"/>
        </w:rPr>
        <w:t>83-2983</w:t>
      </w:r>
      <w:r>
        <w:rPr>
          <w:rFonts w:hint="eastAsia"/>
          <w:kern w:val="14"/>
        </w:rPr>
        <w:t>号《政府公报》）。</w:t>
      </w:r>
      <w:r>
        <w:rPr>
          <w:rFonts w:hint="eastAsia"/>
          <w:kern w:val="14"/>
        </w:rPr>
        <w:t>2005</w:t>
      </w:r>
      <w:r>
        <w:rPr>
          <w:rFonts w:hint="eastAsia"/>
          <w:kern w:val="14"/>
        </w:rPr>
        <w:t>年</w:t>
      </w:r>
      <w:r>
        <w:rPr>
          <w:rFonts w:hint="eastAsia"/>
          <w:kern w:val="14"/>
        </w:rPr>
        <w:t>7</w:t>
      </w:r>
      <w:r>
        <w:rPr>
          <w:rFonts w:hint="eastAsia"/>
          <w:kern w:val="14"/>
        </w:rPr>
        <w:t>月</w:t>
      </w:r>
      <w:r>
        <w:rPr>
          <w:rFonts w:hint="eastAsia"/>
          <w:kern w:val="14"/>
        </w:rPr>
        <w:t>1</w:t>
      </w:r>
      <w:r>
        <w:rPr>
          <w:rFonts w:hint="eastAsia"/>
          <w:kern w:val="14"/>
        </w:rPr>
        <w:t>日生效的这项修正法律的主要目的是保障残疾人在社会上享有平等的权利和机会，确立残疾人社会融合的原则，规定这种社会融合制度及其前提条件，指定残疾人社会融合事务的负责机构，管理残疾和工作能力的评估，管理职业康复服务的提供，并且规定鉴别和满足特殊需要的原则。</w:t>
      </w:r>
    </w:p>
    <w:p w:rsidR="00595751" w:rsidRDefault="00595751">
      <w:pPr>
        <w:tabs>
          <w:tab w:val="left" w:pos="630"/>
        </w:tabs>
        <w:spacing w:after="240" w:line="360" w:lineRule="exact"/>
        <w:rPr>
          <w:kern w:val="14"/>
        </w:rPr>
      </w:pPr>
      <w:r>
        <w:rPr>
          <w:lang w:val="en-GB"/>
        </w:rPr>
        <w:t>158.</w:t>
      </w:r>
      <w:r>
        <w:rPr>
          <w:rFonts w:hint="eastAsia"/>
          <w:lang w:val="en-GB"/>
        </w:rPr>
        <w:tab/>
      </w:r>
      <w:r>
        <w:rPr>
          <w:rFonts w:hint="eastAsia"/>
          <w:kern w:val="14"/>
        </w:rPr>
        <w:t>该法律推出了新的概念和术语：用“残疾人”和“残疾”概念取代了以往的“伤残人”和“伤残”概念。这就消除了以往强调残疾人特殊性的歧视性条款，并且从法律上强化了残疾人在社会中的平等权利和机会。</w:t>
      </w:r>
    </w:p>
    <w:p w:rsidR="00595751" w:rsidRDefault="00595751">
      <w:pPr>
        <w:tabs>
          <w:tab w:val="left" w:pos="630"/>
        </w:tabs>
        <w:spacing w:after="240" w:line="360" w:lineRule="exact"/>
        <w:rPr>
          <w:kern w:val="14"/>
        </w:rPr>
      </w:pPr>
      <w:r>
        <w:rPr>
          <w:lang w:val="en-GB"/>
        </w:rPr>
        <w:t>159.</w:t>
      </w:r>
      <w:r>
        <w:rPr>
          <w:rFonts w:hint="eastAsia"/>
          <w:lang w:val="en-GB"/>
        </w:rPr>
        <w:tab/>
      </w:r>
      <w:r>
        <w:rPr>
          <w:rFonts w:hint="eastAsia"/>
          <w:kern w:val="14"/>
        </w:rPr>
        <w:t>该法律推出了一个评估残疾程度和劳动能力的新制度：即用劳动能力水平取代了伤残类别。评估残疾和劳动能力的任务，已交给一个机构，即社会保障和劳动部下属的残疾和劳动能力评估办公室来完成。</w:t>
      </w:r>
    </w:p>
    <w:p w:rsidR="00595751" w:rsidRDefault="00595751">
      <w:pPr>
        <w:tabs>
          <w:tab w:val="left" w:pos="630"/>
        </w:tabs>
        <w:spacing w:after="240" w:line="360" w:lineRule="exact"/>
        <w:rPr>
          <w:kern w:val="14"/>
        </w:rPr>
      </w:pPr>
      <w:r>
        <w:rPr>
          <w:lang w:val="en-GB"/>
        </w:rPr>
        <w:t>160.</w:t>
      </w:r>
      <w:r>
        <w:rPr>
          <w:rFonts w:hint="eastAsia"/>
          <w:lang w:val="en-GB"/>
        </w:rPr>
        <w:tab/>
      </w:r>
      <w:r>
        <w:rPr>
          <w:kern w:val="14"/>
        </w:rPr>
        <w:t>2005</w:t>
      </w:r>
      <w:r>
        <w:rPr>
          <w:rFonts w:hint="eastAsia"/>
          <w:kern w:val="14"/>
        </w:rPr>
        <w:t>年</w:t>
      </w:r>
      <w:r>
        <w:rPr>
          <w:rFonts w:hint="eastAsia"/>
          <w:kern w:val="14"/>
        </w:rPr>
        <w:t>5</w:t>
      </w:r>
      <w:r>
        <w:rPr>
          <w:rFonts w:hint="eastAsia"/>
          <w:kern w:val="14"/>
        </w:rPr>
        <w:t>月</w:t>
      </w:r>
      <w:r>
        <w:rPr>
          <w:rFonts w:hint="eastAsia"/>
          <w:kern w:val="14"/>
        </w:rPr>
        <w:t>19</w:t>
      </w:r>
      <w:r>
        <w:rPr>
          <w:rFonts w:hint="eastAsia"/>
          <w:kern w:val="14"/>
        </w:rPr>
        <w:t>日，立陶宛通过了《立陶宛共和国国家社会保险养恤金法》的新版本（</w:t>
      </w:r>
      <w:r>
        <w:rPr>
          <w:rFonts w:hint="eastAsia"/>
          <w:kern w:val="14"/>
        </w:rPr>
        <w:t>2005</w:t>
      </w:r>
      <w:r>
        <w:rPr>
          <w:rFonts w:hint="eastAsia"/>
          <w:kern w:val="14"/>
        </w:rPr>
        <w:t>年第</w:t>
      </w:r>
      <w:r>
        <w:rPr>
          <w:kern w:val="14"/>
        </w:rPr>
        <w:t>71-2555</w:t>
      </w:r>
      <w:r>
        <w:rPr>
          <w:rFonts w:hint="eastAsia"/>
          <w:kern w:val="14"/>
        </w:rPr>
        <w:t>号</w:t>
      </w:r>
      <w:r>
        <w:rPr>
          <w:kern w:val="14"/>
        </w:rPr>
        <w:t>《政府公报》</w:t>
      </w:r>
      <w:r>
        <w:rPr>
          <w:rFonts w:hint="eastAsia"/>
          <w:kern w:val="14"/>
        </w:rPr>
        <w:t>），并于</w:t>
      </w:r>
      <w:r>
        <w:rPr>
          <w:rFonts w:hint="eastAsia"/>
          <w:kern w:val="14"/>
        </w:rPr>
        <w:t>2005</w:t>
      </w:r>
      <w:r>
        <w:rPr>
          <w:rFonts w:hint="eastAsia"/>
          <w:kern w:val="14"/>
        </w:rPr>
        <w:t>年</w:t>
      </w:r>
      <w:r>
        <w:rPr>
          <w:rFonts w:hint="eastAsia"/>
          <w:kern w:val="14"/>
        </w:rPr>
        <w:t>7</w:t>
      </w:r>
      <w:r>
        <w:rPr>
          <w:rFonts w:hint="eastAsia"/>
          <w:kern w:val="14"/>
        </w:rPr>
        <w:t>月</w:t>
      </w:r>
      <w:r>
        <w:rPr>
          <w:rFonts w:hint="eastAsia"/>
          <w:kern w:val="14"/>
        </w:rPr>
        <w:t>1</w:t>
      </w:r>
      <w:r>
        <w:rPr>
          <w:rFonts w:hint="eastAsia"/>
          <w:kern w:val="14"/>
        </w:rPr>
        <w:t>日生效。该法律规定，根据劳动能力水平而不是伤残类别来确定劳动适龄残疾人，并据此授予并支付给这些人丧失劳动能力抚恤金。</w:t>
      </w:r>
    </w:p>
    <w:p w:rsidR="00595751" w:rsidRDefault="00595751">
      <w:pPr>
        <w:tabs>
          <w:tab w:val="left" w:pos="630"/>
        </w:tabs>
        <w:spacing w:after="240" w:line="360" w:lineRule="exact"/>
        <w:rPr>
          <w:kern w:val="14"/>
        </w:rPr>
      </w:pPr>
      <w:r>
        <w:rPr>
          <w:lang w:val="en-GB"/>
        </w:rPr>
        <w:t>161.</w:t>
      </w:r>
      <w:r>
        <w:rPr>
          <w:rFonts w:hint="eastAsia"/>
          <w:lang w:val="en-GB"/>
        </w:rPr>
        <w:tab/>
      </w:r>
      <w:r>
        <w:rPr>
          <w:rFonts w:hint="eastAsia"/>
          <w:kern w:val="14"/>
        </w:rPr>
        <w:t>如果某人——不论男女——因为某些缘故不能劳动并因此没有被国家社会保险所涵盖，国家就会给予他</w:t>
      </w:r>
      <w:r>
        <w:rPr>
          <w:rFonts w:hint="eastAsia"/>
          <w:kern w:val="14"/>
        </w:rPr>
        <w:t>/</w:t>
      </w:r>
      <w:r>
        <w:rPr>
          <w:rFonts w:hint="eastAsia"/>
          <w:kern w:val="14"/>
        </w:rPr>
        <w:t>她一定的社会保障。如果某人在家中照料残疾人，该人就会得到由国家预算出资的国家社会保险养恤金的基本金额。已有人建议，自</w:t>
      </w:r>
      <w:r>
        <w:rPr>
          <w:rFonts w:hint="eastAsia"/>
          <w:kern w:val="14"/>
        </w:rPr>
        <w:t>2008</w:t>
      </w:r>
      <w:r>
        <w:rPr>
          <w:rFonts w:hint="eastAsia"/>
          <w:kern w:val="14"/>
        </w:rPr>
        <w:t>年</w:t>
      </w:r>
      <w:r>
        <w:rPr>
          <w:rFonts w:hint="eastAsia"/>
          <w:kern w:val="14"/>
        </w:rPr>
        <w:t>1</w:t>
      </w:r>
      <w:r>
        <w:rPr>
          <w:rFonts w:hint="eastAsia"/>
          <w:kern w:val="14"/>
        </w:rPr>
        <w:t>月</w:t>
      </w:r>
      <w:r>
        <w:rPr>
          <w:rFonts w:hint="eastAsia"/>
          <w:kern w:val="14"/>
        </w:rPr>
        <w:t>1</w:t>
      </w:r>
      <w:r>
        <w:rPr>
          <w:rFonts w:hint="eastAsia"/>
          <w:kern w:val="14"/>
        </w:rPr>
        <w:t>日起，应为这种人享受全额国家社会保险养恤金并由失业社会保险所覆盖而投保。国家预算基金还出资为孩子满</w:t>
      </w:r>
      <w:r>
        <w:rPr>
          <w:rFonts w:hint="eastAsia"/>
          <w:kern w:val="14"/>
        </w:rPr>
        <w:t>3</w:t>
      </w:r>
      <w:r>
        <w:rPr>
          <w:rFonts w:hint="eastAsia"/>
          <w:kern w:val="14"/>
        </w:rPr>
        <w:t>岁之前休育儿假的父</w:t>
      </w:r>
      <w:r>
        <w:rPr>
          <w:rFonts w:hint="eastAsia"/>
          <w:kern w:val="14"/>
        </w:rPr>
        <w:t>/</w:t>
      </w:r>
      <w:r>
        <w:rPr>
          <w:rFonts w:hint="eastAsia"/>
          <w:kern w:val="14"/>
        </w:rPr>
        <w:t>母亲或监护人领取国家社会保险基本部分而投保。自</w:t>
      </w:r>
      <w:r>
        <w:rPr>
          <w:rFonts w:hint="eastAsia"/>
          <w:kern w:val="14"/>
        </w:rPr>
        <w:t>2008</w:t>
      </w:r>
      <w:r>
        <w:rPr>
          <w:rFonts w:hint="eastAsia"/>
          <w:kern w:val="14"/>
        </w:rPr>
        <w:t>年</w:t>
      </w:r>
      <w:r>
        <w:rPr>
          <w:rFonts w:hint="eastAsia"/>
          <w:kern w:val="14"/>
        </w:rPr>
        <w:t>1</w:t>
      </w:r>
      <w:r>
        <w:rPr>
          <w:rFonts w:hint="eastAsia"/>
          <w:kern w:val="14"/>
        </w:rPr>
        <w:t>月</w:t>
      </w:r>
      <w:r>
        <w:rPr>
          <w:rFonts w:hint="eastAsia"/>
          <w:kern w:val="14"/>
        </w:rPr>
        <w:t>1</w:t>
      </w:r>
      <w:r>
        <w:rPr>
          <w:rFonts w:hint="eastAsia"/>
          <w:kern w:val="14"/>
        </w:rPr>
        <w:t>日起，将为这些人领取全额国家社会保险养恤金并由失业社会保险所覆盖而投保。</w:t>
      </w:r>
    </w:p>
    <w:p w:rsidR="00595751" w:rsidRDefault="00595751">
      <w:pPr>
        <w:tabs>
          <w:tab w:val="left" w:pos="630"/>
        </w:tabs>
        <w:spacing w:after="240" w:line="360" w:lineRule="exact"/>
        <w:rPr>
          <w:kern w:val="14"/>
        </w:rPr>
      </w:pPr>
      <w:r>
        <w:rPr>
          <w:lang w:val="en-GB"/>
        </w:rPr>
        <w:t>162.</w:t>
      </w:r>
      <w:r>
        <w:rPr>
          <w:rFonts w:hint="eastAsia"/>
          <w:lang w:val="en-GB"/>
        </w:rPr>
        <w:tab/>
      </w:r>
      <w:r>
        <w:rPr>
          <w:rFonts w:hint="eastAsia"/>
          <w:kern w:val="14"/>
        </w:rPr>
        <w:t>为了有效而且高效地满足向残疾人提供助残技术产品的需求，社会保障和劳动部制订了《</w:t>
      </w:r>
      <w:r>
        <w:rPr>
          <w:kern w:val="14"/>
        </w:rPr>
        <w:t>2004-2010</w:t>
      </w:r>
      <w:r>
        <w:rPr>
          <w:rFonts w:hint="eastAsia"/>
          <w:kern w:val="14"/>
        </w:rPr>
        <w:t>年向残疾人提供助残技术产品战略》，该战略已获得社会保障和劳动部</w:t>
      </w:r>
      <w:r>
        <w:rPr>
          <w:rFonts w:hint="eastAsia"/>
          <w:kern w:val="14"/>
        </w:rPr>
        <w:t>2004</w:t>
      </w:r>
      <w:r>
        <w:rPr>
          <w:rFonts w:hint="eastAsia"/>
          <w:kern w:val="14"/>
        </w:rPr>
        <w:t>年</w:t>
      </w:r>
      <w:r>
        <w:rPr>
          <w:rFonts w:hint="eastAsia"/>
          <w:kern w:val="14"/>
        </w:rPr>
        <w:t>4</w:t>
      </w:r>
      <w:r>
        <w:rPr>
          <w:rFonts w:hint="eastAsia"/>
          <w:kern w:val="14"/>
        </w:rPr>
        <w:t>月</w:t>
      </w:r>
      <w:r>
        <w:rPr>
          <w:rFonts w:hint="eastAsia"/>
          <w:kern w:val="14"/>
        </w:rPr>
        <w:t>30</w:t>
      </w:r>
      <w:r>
        <w:rPr>
          <w:rFonts w:hint="eastAsia"/>
          <w:kern w:val="14"/>
        </w:rPr>
        <w:t>日第</w:t>
      </w:r>
      <w:r>
        <w:rPr>
          <w:kern w:val="14"/>
        </w:rPr>
        <w:t>A1-114</w:t>
      </w:r>
      <w:r>
        <w:rPr>
          <w:rFonts w:hint="eastAsia"/>
          <w:kern w:val="14"/>
        </w:rPr>
        <w:t>号命令（</w:t>
      </w:r>
      <w:r>
        <w:rPr>
          <w:rFonts w:hint="eastAsia"/>
          <w:kern w:val="14"/>
        </w:rPr>
        <w:t>2004</w:t>
      </w:r>
      <w:r>
        <w:rPr>
          <w:rFonts w:hint="eastAsia"/>
          <w:kern w:val="14"/>
        </w:rPr>
        <w:t>年第</w:t>
      </w:r>
      <w:r>
        <w:rPr>
          <w:kern w:val="14"/>
        </w:rPr>
        <w:t>78-2725</w:t>
      </w:r>
      <w:r>
        <w:rPr>
          <w:rFonts w:hint="eastAsia"/>
          <w:kern w:val="14"/>
        </w:rPr>
        <w:t>号</w:t>
      </w:r>
      <w:r>
        <w:rPr>
          <w:kern w:val="14"/>
        </w:rPr>
        <w:t>《政府公报》</w:t>
      </w:r>
      <w:r>
        <w:rPr>
          <w:rFonts w:hint="eastAsia"/>
          <w:kern w:val="14"/>
        </w:rPr>
        <w:t>）的核准。该战略的总体目标是建立一个通用的法律、经济和组织体系，通过更有效地利用国家预算资源，更好地向患有视听和行动残障人士提供助残技术产品，并为其医疗、社会和职业康复提供便利。执行该战略的主要目标是：改进法律制度，通过向残疾人提供助残技术产品，尽可能有效地满足残疾人的特殊需要；通过在各县建立地方办事处，评估并提高现有服务的质量；确保更加有效地利用国家预算资源。作为执行该战略的一部分，社会保障和劳动部下属的助残技术产品中心于</w:t>
      </w:r>
      <w:r>
        <w:rPr>
          <w:rFonts w:hint="eastAsia"/>
          <w:kern w:val="14"/>
        </w:rPr>
        <w:t>2005</w:t>
      </w:r>
      <w:r>
        <w:rPr>
          <w:rFonts w:hint="eastAsia"/>
          <w:kern w:val="14"/>
        </w:rPr>
        <w:t>年开设了两个区域办事处。</w:t>
      </w:r>
      <w:r>
        <w:rPr>
          <w:rFonts w:hint="eastAsia"/>
          <w:kern w:val="14"/>
        </w:rPr>
        <w:t>2005</w:t>
      </w:r>
      <w:r>
        <w:rPr>
          <w:rFonts w:hint="eastAsia"/>
          <w:kern w:val="14"/>
        </w:rPr>
        <w:t>年，助残技术产品中心总共开办了</w:t>
      </w:r>
      <w:r>
        <w:rPr>
          <w:rFonts w:hint="eastAsia"/>
          <w:kern w:val="14"/>
        </w:rPr>
        <w:t>4</w:t>
      </w:r>
      <w:r>
        <w:rPr>
          <w:rFonts w:hint="eastAsia"/>
          <w:kern w:val="14"/>
        </w:rPr>
        <w:t>家区域办事处，</w:t>
      </w:r>
      <w:r>
        <w:rPr>
          <w:rFonts w:hint="eastAsia"/>
          <w:kern w:val="14"/>
        </w:rPr>
        <w:t>2006</w:t>
      </w:r>
      <w:r>
        <w:rPr>
          <w:rFonts w:hint="eastAsia"/>
          <w:kern w:val="14"/>
        </w:rPr>
        <w:t>年开办了</w:t>
      </w:r>
      <w:r>
        <w:rPr>
          <w:rFonts w:hint="eastAsia"/>
          <w:kern w:val="14"/>
        </w:rPr>
        <w:t>6</w:t>
      </w:r>
      <w:r>
        <w:rPr>
          <w:rFonts w:hint="eastAsia"/>
          <w:kern w:val="14"/>
        </w:rPr>
        <w:t>家办事处。</w:t>
      </w:r>
    </w:p>
    <w:p w:rsidR="00595751" w:rsidRDefault="00595751">
      <w:pPr>
        <w:tabs>
          <w:tab w:val="left" w:pos="630"/>
        </w:tabs>
        <w:spacing w:after="240" w:line="360" w:lineRule="exact"/>
        <w:rPr>
          <w:kern w:val="14"/>
        </w:rPr>
      </w:pPr>
      <w:r>
        <w:rPr>
          <w:lang w:val="en-GB"/>
        </w:rPr>
        <w:t>163.</w:t>
      </w:r>
      <w:r>
        <w:rPr>
          <w:rFonts w:hint="eastAsia"/>
          <w:lang w:val="en-GB"/>
        </w:rPr>
        <w:tab/>
      </w:r>
      <w:r>
        <w:rPr>
          <w:rFonts w:hint="eastAsia"/>
          <w:kern w:val="14"/>
        </w:rPr>
        <w:t>2005</w:t>
      </w:r>
      <w:r>
        <w:rPr>
          <w:rFonts w:hint="eastAsia"/>
          <w:kern w:val="14"/>
        </w:rPr>
        <w:t>年，作为《</w:t>
      </w:r>
      <w:r>
        <w:rPr>
          <w:kern w:val="14"/>
        </w:rPr>
        <w:t>2004-2010</w:t>
      </w:r>
      <w:r>
        <w:rPr>
          <w:rFonts w:hint="eastAsia"/>
          <w:kern w:val="14"/>
        </w:rPr>
        <w:t>年向残疾人提供助残技术产品战略》的一部分，各方进一步努力向残疾人提供助残技术产品。</w:t>
      </w:r>
      <w:r>
        <w:rPr>
          <w:rFonts w:hint="eastAsia"/>
          <w:kern w:val="14"/>
        </w:rPr>
        <w:t>2005</w:t>
      </w:r>
      <w:r>
        <w:rPr>
          <w:rFonts w:hint="eastAsia"/>
          <w:kern w:val="14"/>
        </w:rPr>
        <w:t>年，启动了采购助残技术产品的公共采购程序。国家预算为此拨款</w:t>
      </w:r>
      <w:r>
        <w:rPr>
          <w:kern w:val="14"/>
        </w:rPr>
        <w:t>620</w:t>
      </w:r>
      <w:r>
        <w:rPr>
          <w:rFonts w:hint="eastAsia"/>
          <w:kern w:val="14"/>
        </w:rPr>
        <w:t>万</w:t>
      </w:r>
      <w:r>
        <w:rPr>
          <w:kern w:val="14"/>
        </w:rPr>
        <w:t>立特</w:t>
      </w:r>
      <w:r>
        <w:rPr>
          <w:rFonts w:hint="eastAsia"/>
          <w:kern w:val="14"/>
        </w:rPr>
        <w:t>。</w:t>
      </w:r>
      <w:r>
        <w:rPr>
          <w:kern w:val="14"/>
        </w:rPr>
        <w:t>2005</w:t>
      </w:r>
      <w:r>
        <w:rPr>
          <w:rFonts w:hint="eastAsia"/>
          <w:kern w:val="14"/>
        </w:rPr>
        <w:t>年，总共采购了</w:t>
      </w:r>
      <w:r>
        <w:rPr>
          <w:kern w:val="14"/>
        </w:rPr>
        <w:t>4</w:t>
      </w:r>
      <w:r>
        <w:rPr>
          <w:rFonts w:hint="eastAsia"/>
          <w:kern w:val="14"/>
        </w:rPr>
        <w:t xml:space="preserve"> </w:t>
      </w:r>
      <w:r>
        <w:rPr>
          <w:kern w:val="14"/>
        </w:rPr>
        <w:t>052</w:t>
      </w:r>
      <w:r>
        <w:rPr>
          <w:rFonts w:hint="eastAsia"/>
          <w:kern w:val="14"/>
        </w:rPr>
        <w:t>件助残技术产品，其中</w:t>
      </w:r>
      <w:r>
        <w:rPr>
          <w:kern w:val="14"/>
        </w:rPr>
        <w:t>3</w:t>
      </w:r>
      <w:r>
        <w:rPr>
          <w:rFonts w:hint="eastAsia"/>
          <w:kern w:val="14"/>
        </w:rPr>
        <w:t xml:space="preserve"> </w:t>
      </w:r>
      <w:r>
        <w:rPr>
          <w:kern w:val="14"/>
        </w:rPr>
        <w:t>354</w:t>
      </w:r>
      <w:r>
        <w:rPr>
          <w:rFonts w:hint="eastAsia"/>
          <w:kern w:val="14"/>
        </w:rPr>
        <w:t>件助残技术产品是供成年人使用的，包括</w:t>
      </w:r>
      <w:r>
        <w:rPr>
          <w:rFonts w:hint="eastAsia"/>
          <w:kern w:val="14"/>
        </w:rPr>
        <w:t>27</w:t>
      </w:r>
      <w:r>
        <w:rPr>
          <w:rFonts w:hint="eastAsia"/>
          <w:kern w:val="14"/>
        </w:rPr>
        <w:t>辆电动轮椅；另外</w:t>
      </w:r>
      <w:r>
        <w:rPr>
          <w:kern w:val="14"/>
        </w:rPr>
        <w:t>698</w:t>
      </w:r>
      <w:r>
        <w:rPr>
          <w:rFonts w:hint="eastAsia"/>
          <w:kern w:val="14"/>
        </w:rPr>
        <w:t>件助残技术产品是供儿童使用的。根据签订的维修和定制合同，提供了价值</w:t>
      </w:r>
      <w:r>
        <w:rPr>
          <w:kern w:val="14"/>
        </w:rPr>
        <w:t>283</w:t>
      </w:r>
      <w:r>
        <w:rPr>
          <w:rFonts w:hint="eastAsia"/>
          <w:kern w:val="14"/>
        </w:rPr>
        <w:t xml:space="preserve"> </w:t>
      </w:r>
      <w:r>
        <w:rPr>
          <w:kern w:val="14"/>
        </w:rPr>
        <w:t>840</w:t>
      </w:r>
      <w:r>
        <w:rPr>
          <w:kern w:val="14"/>
        </w:rPr>
        <w:t>立特</w:t>
      </w:r>
      <w:r>
        <w:rPr>
          <w:rFonts w:hint="eastAsia"/>
          <w:kern w:val="14"/>
        </w:rPr>
        <w:t>的维修服务，修理和定制的助残技术产品共计</w:t>
      </w:r>
      <w:r>
        <w:rPr>
          <w:kern w:val="14"/>
        </w:rPr>
        <w:t>2</w:t>
      </w:r>
      <w:r>
        <w:rPr>
          <w:rFonts w:hint="eastAsia"/>
          <w:kern w:val="14"/>
        </w:rPr>
        <w:t xml:space="preserve"> </w:t>
      </w:r>
      <w:r>
        <w:rPr>
          <w:kern w:val="14"/>
        </w:rPr>
        <w:t>341</w:t>
      </w:r>
      <w:r>
        <w:rPr>
          <w:rFonts w:hint="eastAsia"/>
          <w:kern w:val="14"/>
        </w:rPr>
        <w:t>件。</w:t>
      </w:r>
      <w:r>
        <w:rPr>
          <w:kern w:val="14"/>
        </w:rPr>
        <w:t>2005</w:t>
      </w:r>
      <w:r>
        <w:rPr>
          <w:rFonts w:hint="eastAsia"/>
          <w:kern w:val="14"/>
        </w:rPr>
        <w:t>年，总共向</w:t>
      </w:r>
      <w:r>
        <w:rPr>
          <w:kern w:val="14"/>
        </w:rPr>
        <w:t>22</w:t>
      </w:r>
      <w:r>
        <w:rPr>
          <w:rFonts w:hint="eastAsia"/>
          <w:kern w:val="14"/>
        </w:rPr>
        <w:t xml:space="preserve"> 000</w:t>
      </w:r>
      <w:r>
        <w:rPr>
          <w:rFonts w:hint="eastAsia"/>
          <w:kern w:val="14"/>
        </w:rPr>
        <w:t>人提供了助残技术产品。大约有</w:t>
      </w:r>
      <w:r>
        <w:rPr>
          <w:kern w:val="14"/>
        </w:rPr>
        <w:t>90%</w:t>
      </w:r>
      <w:r>
        <w:rPr>
          <w:rFonts w:hint="eastAsia"/>
          <w:kern w:val="14"/>
        </w:rPr>
        <w:t>的补偿性助残技术产品需求得到了满足。</w:t>
      </w:r>
    </w:p>
    <w:p w:rsidR="00595751" w:rsidRDefault="00595751">
      <w:pPr>
        <w:tabs>
          <w:tab w:val="left" w:pos="630"/>
        </w:tabs>
        <w:spacing w:after="240" w:line="360" w:lineRule="exact"/>
        <w:rPr>
          <w:kern w:val="14"/>
        </w:rPr>
      </w:pPr>
      <w:r>
        <w:rPr>
          <w:lang w:val="en-GB"/>
        </w:rPr>
        <w:t>164.</w:t>
      </w:r>
      <w:r>
        <w:rPr>
          <w:rFonts w:hint="eastAsia"/>
          <w:lang w:val="en-GB"/>
        </w:rPr>
        <w:tab/>
      </w:r>
      <w:r>
        <w:rPr>
          <w:kern w:val="14"/>
        </w:rPr>
        <w:t>2006</w:t>
      </w:r>
      <w:r>
        <w:rPr>
          <w:rFonts w:hint="eastAsia"/>
          <w:kern w:val="14"/>
        </w:rPr>
        <w:t>年，国家预算为助残技术产品拨款共计</w:t>
      </w:r>
      <w:r>
        <w:rPr>
          <w:rFonts w:hint="eastAsia"/>
          <w:kern w:val="14"/>
        </w:rPr>
        <w:t>650</w:t>
      </w:r>
      <w:r>
        <w:rPr>
          <w:rFonts w:hint="eastAsia"/>
          <w:kern w:val="14"/>
        </w:rPr>
        <w:t>万立特。用这些钱采购了</w:t>
      </w:r>
      <w:r>
        <w:rPr>
          <w:kern w:val="14"/>
        </w:rPr>
        <w:t>21</w:t>
      </w:r>
      <w:r>
        <w:rPr>
          <w:rFonts w:hint="eastAsia"/>
          <w:kern w:val="14"/>
        </w:rPr>
        <w:t xml:space="preserve"> </w:t>
      </w:r>
      <w:r>
        <w:rPr>
          <w:kern w:val="14"/>
        </w:rPr>
        <w:t>733</w:t>
      </w:r>
      <w:r>
        <w:rPr>
          <w:rFonts w:hint="eastAsia"/>
          <w:kern w:val="14"/>
        </w:rPr>
        <w:t>件助残技术产品，向两位购买了新式电动轮椅的残疾人支付了补偿金，发放了</w:t>
      </w:r>
      <w:r>
        <w:rPr>
          <w:kern w:val="14"/>
        </w:rPr>
        <w:t>26</w:t>
      </w:r>
      <w:r>
        <w:rPr>
          <w:rFonts w:hint="eastAsia"/>
          <w:kern w:val="14"/>
        </w:rPr>
        <w:t xml:space="preserve"> </w:t>
      </w:r>
      <w:r>
        <w:rPr>
          <w:kern w:val="14"/>
        </w:rPr>
        <w:t>370</w:t>
      </w:r>
      <w:r>
        <w:rPr>
          <w:rFonts w:hint="eastAsia"/>
          <w:kern w:val="14"/>
        </w:rPr>
        <w:t>件助残技术产品，修理和定制了</w:t>
      </w:r>
      <w:r>
        <w:rPr>
          <w:kern w:val="14"/>
        </w:rPr>
        <w:t>2</w:t>
      </w:r>
      <w:r>
        <w:rPr>
          <w:rFonts w:hint="eastAsia"/>
          <w:kern w:val="14"/>
        </w:rPr>
        <w:t xml:space="preserve"> </w:t>
      </w:r>
      <w:r>
        <w:rPr>
          <w:kern w:val="14"/>
        </w:rPr>
        <w:t>549</w:t>
      </w:r>
      <w:r>
        <w:rPr>
          <w:rFonts w:hint="eastAsia"/>
          <w:kern w:val="14"/>
        </w:rPr>
        <w:t>件助残技术产品，采购并发放了</w:t>
      </w:r>
      <w:r>
        <w:rPr>
          <w:rFonts w:hint="eastAsia"/>
          <w:kern w:val="14"/>
        </w:rPr>
        <w:t>44</w:t>
      </w:r>
      <w:r>
        <w:rPr>
          <w:rFonts w:hint="eastAsia"/>
          <w:kern w:val="14"/>
        </w:rPr>
        <w:t>辆电动轮椅。自</w:t>
      </w:r>
      <w:r>
        <w:rPr>
          <w:kern w:val="14"/>
        </w:rPr>
        <w:t>2006</w:t>
      </w:r>
      <w:r>
        <w:rPr>
          <w:rFonts w:hint="eastAsia"/>
          <w:kern w:val="14"/>
        </w:rPr>
        <w:t>年起，电动轮椅不但向成年人提供，也向</w:t>
      </w:r>
      <w:r>
        <w:rPr>
          <w:rFonts w:hint="eastAsia"/>
          <w:kern w:val="14"/>
        </w:rPr>
        <w:t>14</w:t>
      </w:r>
      <w:r>
        <w:rPr>
          <w:rFonts w:hint="eastAsia"/>
          <w:kern w:val="14"/>
        </w:rPr>
        <w:t>岁以上的儿童提供。</w:t>
      </w:r>
      <w:r>
        <w:rPr>
          <w:kern w:val="14"/>
        </w:rPr>
        <w:t>2006</w:t>
      </w:r>
      <w:r>
        <w:rPr>
          <w:rFonts w:hint="eastAsia"/>
          <w:kern w:val="14"/>
        </w:rPr>
        <w:t>年，总共向</w:t>
      </w:r>
      <w:r>
        <w:rPr>
          <w:kern w:val="14"/>
        </w:rPr>
        <w:t>22</w:t>
      </w:r>
      <w:r>
        <w:rPr>
          <w:rFonts w:hint="eastAsia"/>
          <w:kern w:val="14"/>
        </w:rPr>
        <w:t xml:space="preserve"> 000</w:t>
      </w:r>
      <w:r>
        <w:rPr>
          <w:rFonts w:hint="eastAsia"/>
          <w:kern w:val="14"/>
        </w:rPr>
        <w:t>多人提供了助残技术产品。大约有</w:t>
      </w:r>
      <w:r>
        <w:rPr>
          <w:kern w:val="14"/>
        </w:rPr>
        <w:t>90%</w:t>
      </w:r>
      <w:r>
        <w:rPr>
          <w:rFonts w:hint="eastAsia"/>
          <w:kern w:val="14"/>
        </w:rPr>
        <w:t>的补偿性助残技术产品需求得到了满足。</w:t>
      </w:r>
    </w:p>
    <w:p w:rsidR="00595751" w:rsidRDefault="00595751">
      <w:pPr>
        <w:tabs>
          <w:tab w:val="left" w:pos="630"/>
        </w:tabs>
        <w:spacing w:after="240" w:line="360" w:lineRule="exact"/>
        <w:rPr>
          <w:color w:val="000000"/>
          <w:kern w:val="14"/>
        </w:rPr>
      </w:pPr>
      <w:r>
        <w:rPr>
          <w:color w:val="000000"/>
          <w:lang w:val="en-GB"/>
        </w:rPr>
        <w:t xml:space="preserve">165. </w:t>
      </w:r>
      <w:r>
        <w:rPr>
          <w:rFonts w:hint="eastAsia"/>
          <w:color w:val="000000"/>
          <w:lang w:val="en-GB"/>
        </w:rPr>
        <w:tab/>
      </w:r>
      <w:r>
        <w:rPr>
          <w:rFonts w:hint="eastAsia"/>
          <w:color w:val="000000"/>
          <w:kern w:val="14"/>
        </w:rPr>
        <w:t>根据《</w:t>
      </w:r>
      <w:r>
        <w:rPr>
          <w:color w:val="000000"/>
          <w:kern w:val="14"/>
        </w:rPr>
        <w:t>立陶宛</w:t>
      </w:r>
      <w:r>
        <w:rPr>
          <w:rFonts w:hint="eastAsia"/>
          <w:color w:val="000000"/>
          <w:kern w:val="14"/>
        </w:rPr>
        <w:t>共和国残疾人融入社会法》，政府通过</w:t>
      </w:r>
      <w:r>
        <w:rPr>
          <w:rFonts w:hint="eastAsia"/>
          <w:color w:val="000000"/>
          <w:kern w:val="14"/>
        </w:rPr>
        <w:t>2005</w:t>
      </w:r>
      <w:r>
        <w:rPr>
          <w:rFonts w:hint="eastAsia"/>
          <w:color w:val="000000"/>
          <w:kern w:val="14"/>
        </w:rPr>
        <w:t>年</w:t>
      </w:r>
      <w:r>
        <w:rPr>
          <w:rFonts w:hint="eastAsia"/>
          <w:color w:val="000000"/>
          <w:kern w:val="14"/>
        </w:rPr>
        <w:t>12</w:t>
      </w:r>
      <w:r>
        <w:rPr>
          <w:rFonts w:hint="eastAsia"/>
          <w:color w:val="000000"/>
          <w:kern w:val="14"/>
        </w:rPr>
        <w:t>月</w:t>
      </w:r>
      <w:r>
        <w:rPr>
          <w:rFonts w:hint="eastAsia"/>
          <w:color w:val="000000"/>
          <w:kern w:val="14"/>
        </w:rPr>
        <w:t>23</w:t>
      </w:r>
      <w:r>
        <w:rPr>
          <w:rFonts w:hint="eastAsia"/>
          <w:color w:val="000000"/>
          <w:kern w:val="14"/>
        </w:rPr>
        <w:t>日第</w:t>
      </w:r>
      <w:r>
        <w:rPr>
          <w:rFonts w:hint="eastAsia"/>
          <w:color w:val="000000"/>
          <w:kern w:val="14"/>
        </w:rPr>
        <w:t>1426</w:t>
      </w:r>
      <w:r>
        <w:rPr>
          <w:rFonts w:hint="eastAsia"/>
          <w:color w:val="000000"/>
          <w:kern w:val="14"/>
        </w:rPr>
        <w:t>号决议（</w:t>
      </w:r>
      <w:r>
        <w:rPr>
          <w:rFonts w:hint="eastAsia"/>
          <w:color w:val="000000"/>
          <w:kern w:val="14"/>
        </w:rPr>
        <w:t>2005</w:t>
      </w:r>
      <w:r>
        <w:rPr>
          <w:rFonts w:hint="eastAsia"/>
          <w:color w:val="000000"/>
          <w:kern w:val="14"/>
        </w:rPr>
        <w:t>年第</w:t>
      </w:r>
      <w:r>
        <w:rPr>
          <w:color w:val="000000"/>
          <w:kern w:val="14"/>
        </w:rPr>
        <w:t>152-5603</w:t>
      </w:r>
      <w:r>
        <w:rPr>
          <w:rFonts w:hint="eastAsia"/>
          <w:color w:val="000000"/>
          <w:kern w:val="14"/>
        </w:rPr>
        <w:t>号</w:t>
      </w:r>
      <w:r>
        <w:rPr>
          <w:color w:val="000000"/>
          <w:kern w:val="14"/>
        </w:rPr>
        <w:t>《政府公报》</w:t>
      </w:r>
      <w:r>
        <w:rPr>
          <w:rFonts w:hint="eastAsia"/>
          <w:color w:val="000000"/>
          <w:kern w:val="14"/>
        </w:rPr>
        <w:t>）核准了《社会保障和劳动部下属的残疾人理事会管理条例》。根据政府</w:t>
      </w:r>
      <w:r>
        <w:rPr>
          <w:rFonts w:hint="eastAsia"/>
          <w:color w:val="000000"/>
          <w:kern w:val="14"/>
        </w:rPr>
        <w:t>2005</w:t>
      </w:r>
      <w:r>
        <w:rPr>
          <w:rFonts w:hint="eastAsia"/>
          <w:color w:val="000000"/>
          <w:kern w:val="14"/>
        </w:rPr>
        <w:t>年</w:t>
      </w:r>
      <w:r>
        <w:rPr>
          <w:rFonts w:hint="eastAsia"/>
          <w:color w:val="000000"/>
          <w:kern w:val="14"/>
        </w:rPr>
        <w:t>12</w:t>
      </w:r>
      <w:r>
        <w:rPr>
          <w:rFonts w:hint="eastAsia"/>
          <w:color w:val="000000"/>
          <w:kern w:val="14"/>
        </w:rPr>
        <w:t>月</w:t>
      </w:r>
      <w:r>
        <w:rPr>
          <w:rFonts w:hint="eastAsia"/>
          <w:color w:val="000000"/>
          <w:kern w:val="14"/>
        </w:rPr>
        <w:t>23</w:t>
      </w:r>
      <w:r>
        <w:rPr>
          <w:rFonts w:hint="eastAsia"/>
          <w:color w:val="000000"/>
          <w:kern w:val="14"/>
        </w:rPr>
        <w:t>日第</w:t>
      </w:r>
      <w:r>
        <w:rPr>
          <w:rFonts w:hint="eastAsia"/>
          <w:color w:val="000000"/>
          <w:kern w:val="14"/>
        </w:rPr>
        <w:t>1423</w:t>
      </w:r>
      <w:r>
        <w:rPr>
          <w:rFonts w:hint="eastAsia"/>
          <w:color w:val="000000"/>
          <w:kern w:val="14"/>
        </w:rPr>
        <w:t>号决议（</w:t>
      </w:r>
      <w:r>
        <w:rPr>
          <w:rFonts w:hint="eastAsia"/>
          <w:color w:val="000000"/>
          <w:kern w:val="14"/>
        </w:rPr>
        <w:t>2005</w:t>
      </w:r>
      <w:r>
        <w:rPr>
          <w:rFonts w:hint="eastAsia"/>
          <w:color w:val="000000"/>
          <w:kern w:val="14"/>
        </w:rPr>
        <w:t>年第</w:t>
      </w:r>
      <w:r>
        <w:rPr>
          <w:color w:val="000000"/>
          <w:kern w:val="14"/>
        </w:rPr>
        <w:t>152-5600</w:t>
      </w:r>
      <w:r>
        <w:rPr>
          <w:rFonts w:hint="eastAsia"/>
          <w:color w:val="000000"/>
          <w:kern w:val="14"/>
        </w:rPr>
        <w:t>号</w:t>
      </w:r>
      <w:r>
        <w:rPr>
          <w:color w:val="000000"/>
          <w:kern w:val="14"/>
        </w:rPr>
        <w:t>《政府公报》</w:t>
      </w:r>
      <w:r>
        <w:rPr>
          <w:rFonts w:hint="eastAsia"/>
          <w:color w:val="000000"/>
          <w:kern w:val="14"/>
        </w:rPr>
        <w:t>），</w:t>
      </w:r>
      <w:r>
        <w:rPr>
          <w:color w:val="000000"/>
          <w:kern w:val="14"/>
        </w:rPr>
        <w:t>立陶宛</w:t>
      </w:r>
      <w:r>
        <w:rPr>
          <w:rFonts w:hint="eastAsia"/>
          <w:color w:val="000000"/>
          <w:kern w:val="14"/>
        </w:rPr>
        <w:t>共和国政府下属的立陶宛伤残人事务委员会更名为社会保障和劳动部残疾人管理司，社会保障和劳动部负责完成建立该司所需完成的任务。社会保障和劳动部下属的残疾人委员会和社会保障和劳动部残疾人管理司均自</w:t>
      </w:r>
      <w:r>
        <w:rPr>
          <w:rFonts w:hint="eastAsia"/>
          <w:color w:val="000000"/>
          <w:kern w:val="14"/>
        </w:rPr>
        <w:t>2006</w:t>
      </w:r>
      <w:r>
        <w:rPr>
          <w:rFonts w:hint="eastAsia"/>
          <w:color w:val="000000"/>
          <w:kern w:val="14"/>
        </w:rPr>
        <w:t>年</w:t>
      </w:r>
      <w:r>
        <w:rPr>
          <w:rFonts w:hint="eastAsia"/>
          <w:color w:val="000000"/>
          <w:kern w:val="14"/>
        </w:rPr>
        <w:t>1</w:t>
      </w:r>
      <w:r>
        <w:rPr>
          <w:rFonts w:hint="eastAsia"/>
          <w:color w:val="000000"/>
          <w:kern w:val="14"/>
        </w:rPr>
        <w:t>月</w:t>
      </w:r>
      <w:r>
        <w:rPr>
          <w:rFonts w:hint="eastAsia"/>
          <w:color w:val="000000"/>
          <w:kern w:val="14"/>
        </w:rPr>
        <w:t>1</w:t>
      </w:r>
      <w:r>
        <w:rPr>
          <w:rFonts w:hint="eastAsia"/>
          <w:color w:val="000000"/>
          <w:kern w:val="14"/>
        </w:rPr>
        <w:t>日起开始运作。这两家机构负责处理与残疾人有关的保健、社会保护、教育和培训、环境定制、就业、公共认识、体育、文化和娱乐领域的最重要问题。</w:t>
      </w:r>
    </w:p>
    <w:p w:rsidR="00595751" w:rsidRDefault="00595751">
      <w:pPr>
        <w:tabs>
          <w:tab w:val="left" w:pos="630"/>
        </w:tabs>
        <w:spacing w:after="240" w:line="360" w:lineRule="exact"/>
        <w:rPr>
          <w:kern w:val="14"/>
        </w:rPr>
      </w:pPr>
      <w:r>
        <w:rPr>
          <w:lang w:val="en-GB"/>
        </w:rPr>
        <w:t xml:space="preserve">166. </w:t>
      </w:r>
      <w:r>
        <w:rPr>
          <w:rFonts w:hint="eastAsia"/>
          <w:lang w:val="en-GB"/>
        </w:rPr>
        <w:tab/>
      </w:r>
      <w:r>
        <w:rPr>
          <w:rFonts w:hint="eastAsia"/>
          <w:kern w:val="14"/>
        </w:rPr>
        <w:t>截至</w:t>
      </w:r>
      <w:r>
        <w:rPr>
          <w:rFonts w:hint="eastAsia"/>
          <w:kern w:val="14"/>
        </w:rPr>
        <w:t>2007</w:t>
      </w:r>
      <w:r>
        <w:rPr>
          <w:rFonts w:hint="eastAsia"/>
          <w:kern w:val="14"/>
        </w:rPr>
        <w:t>年</w:t>
      </w:r>
      <w:r>
        <w:rPr>
          <w:rFonts w:hint="eastAsia"/>
          <w:kern w:val="14"/>
        </w:rPr>
        <w:t>1</w:t>
      </w:r>
      <w:r>
        <w:rPr>
          <w:rFonts w:hint="eastAsia"/>
          <w:kern w:val="14"/>
        </w:rPr>
        <w:t>月</w:t>
      </w:r>
      <w:r>
        <w:rPr>
          <w:rFonts w:hint="eastAsia"/>
          <w:kern w:val="14"/>
        </w:rPr>
        <w:t>1</w:t>
      </w:r>
      <w:r>
        <w:rPr>
          <w:rFonts w:hint="eastAsia"/>
          <w:kern w:val="14"/>
        </w:rPr>
        <w:t>日，共有</w:t>
      </w:r>
      <w:r>
        <w:rPr>
          <w:kern w:val="14"/>
        </w:rPr>
        <w:t>404</w:t>
      </w:r>
      <w:r>
        <w:rPr>
          <w:rFonts w:hint="eastAsia"/>
          <w:kern w:val="14"/>
        </w:rPr>
        <w:t xml:space="preserve"> </w:t>
      </w:r>
      <w:r>
        <w:rPr>
          <w:kern w:val="14"/>
        </w:rPr>
        <w:t>125</w:t>
      </w:r>
      <w:r>
        <w:rPr>
          <w:rFonts w:hint="eastAsia"/>
          <w:kern w:val="14"/>
        </w:rPr>
        <w:t>名妇女和</w:t>
      </w:r>
      <w:r>
        <w:rPr>
          <w:kern w:val="14"/>
        </w:rPr>
        <w:t>192</w:t>
      </w:r>
      <w:r>
        <w:rPr>
          <w:rFonts w:hint="eastAsia"/>
          <w:kern w:val="14"/>
        </w:rPr>
        <w:t xml:space="preserve"> </w:t>
      </w:r>
      <w:r>
        <w:rPr>
          <w:kern w:val="14"/>
        </w:rPr>
        <w:t>280</w:t>
      </w:r>
      <w:r>
        <w:rPr>
          <w:rFonts w:hint="eastAsia"/>
          <w:kern w:val="14"/>
        </w:rPr>
        <w:t>名男子领取了国家社会保险养老金；有</w:t>
      </w:r>
      <w:r>
        <w:rPr>
          <w:kern w:val="14"/>
        </w:rPr>
        <w:t>44</w:t>
      </w:r>
      <w:r>
        <w:rPr>
          <w:rFonts w:hint="eastAsia"/>
          <w:kern w:val="14"/>
        </w:rPr>
        <w:t xml:space="preserve"> </w:t>
      </w:r>
      <w:r>
        <w:rPr>
          <w:kern w:val="14"/>
        </w:rPr>
        <w:t>760</w:t>
      </w:r>
      <w:r>
        <w:rPr>
          <w:rFonts w:hint="eastAsia"/>
          <w:kern w:val="14"/>
        </w:rPr>
        <w:t>名妇女和</w:t>
      </w:r>
      <w:r>
        <w:rPr>
          <w:kern w:val="14"/>
        </w:rPr>
        <w:t>41</w:t>
      </w:r>
      <w:r>
        <w:rPr>
          <w:rFonts w:hint="eastAsia"/>
          <w:kern w:val="14"/>
        </w:rPr>
        <w:t xml:space="preserve"> </w:t>
      </w:r>
      <w:r>
        <w:rPr>
          <w:kern w:val="14"/>
        </w:rPr>
        <w:t>304</w:t>
      </w:r>
      <w:r>
        <w:rPr>
          <w:rFonts w:hint="eastAsia"/>
          <w:kern w:val="14"/>
        </w:rPr>
        <w:t>男子领取了国家社会保险劳动能力丧失抚恤金（</w:t>
      </w:r>
      <w:r>
        <w:rPr>
          <w:rFonts w:hint="eastAsia"/>
          <w:kern w:val="14"/>
        </w:rPr>
        <w:t>2005</w:t>
      </w:r>
      <w:r>
        <w:rPr>
          <w:rFonts w:hint="eastAsia"/>
          <w:kern w:val="14"/>
        </w:rPr>
        <w:t>年</w:t>
      </w:r>
      <w:r>
        <w:rPr>
          <w:rFonts w:hint="eastAsia"/>
          <w:kern w:val="14"/>
        </w:rPr>
        <w:t>7</w:t>
      </w:r>
      <w:r>
        <w:rPr>
          <w:rFonts w:hint="eastAsia"/>
          <w:kern w:val="14"/>
        </w:rPr>
        <w:t>月</w:t>
      </w:r>
      <w:r>
        <w:rPr>
          <w:rFonts w:hint="eastAsia"/>
          <w:kern w:val="14"/>
        </w:rPr>
        <w:t>1</w:t>
      </w:r>
      <w:r>
        <w:rPr>
          <w:rFonts w:hint="eastAsia"/>
          <w:kern w:val="14"/>
        </w:rPr>
        <w:t>日以前为“伤残抚恤金”）；还有</w:t>
      </w:r>
      <w:r>
        <w:rPr>
          <w:kern w:val="14"/>
        </w:rPr>
        <w:t>72</w:t>
      </w:r>
      <w:r>
        <w:rPr>
          <w:rFonts w:hint="eastAsia"/>
          <w:kern w:val="14"/>
        </w:rPr>
        <w:t xml:space="preserve"> </w:t>
      </w:r>
      <w:r>
        <w:rPr>
          <w:kern w:val="14"/>
        </w:rPr>
        <w:t>650</w:t>
      </w:r>
      <w:r>
        <w:rPr>
          <w:rFonts w:hint="eastAsia"/>
          <w:kern w:val="14"/>
        </w:rPr>
        <w:t>名妇女和</w:t>
      </w:r>
      <w:r>
        <w:rPr>
          <w:kern w:val="14"/>
        </w:rPr>
        <w:t>28</w:t>
      </w:r>
      <w:r>
        <w:rPr>
          <w:rFonts w:hint="eastAsia"/>
          <w:kern w:val="14"/>
        </w:rPr>
        <w:t xml:space="preserve"> </w:t>
      </w:r>
      <w:r>
        <w:rPr>
          <w:kern w:val="14"/>
        </w:rPr>
        <w:t>039</w:t>
      </w:r>
      <w:r>
        <w:rPr>
          <w:rFonts w:hint="eastAsia"/>
          <w:kern w:val="14"/>
        </w:rPr>
        <w:t>名男子领取了国家社会援助福利金。</w:t>
      </w:r>
    </w:p>
    <w:p w:rsidR="00595751" w:rsidRDefault="00595751">
      <w:pPr>
        <w:pStyle w:val="H2"/>
        <w:rPr>
          <w:rFonts w:hint="eastAsia"/>
        </w:rPr>
      </w:pPr>
      <w:r>
        <w:rPr>
          <w:rFonts w:hint="eastAsia"/>
        </w:rPr>
        <w:t>（</w:t>
      </w:r>
      <w:r>
        <w:t>f</w:t>
      </w:r>
      <w:r>
        <w:rPr>
          <w:rFonts w:hint="eastAsia"/>
        </w:rPr>
        <w:t>）</w:t>
      </w:r>
    </w:p>
    <w:p w:rsidR="00595751" w:rsidRDefault="00595751">
      <w:pPr>
        <w:tabs>
          <w:tab w:val="left" w:pos="630"/>
        </w:tabs>
        <w:spacing w:after="240" w:line="360" w:lineRule="exact"/>
        <w:rPr>
          <w:rFonts w:hint="eastAsia"/>
          <w:kern w:val="14"/>
        </w:rPr>
      </w:pPr>
      <w:r>
        <w:rPr>
          <w:lang w:val="en-GB"/>
        </w:rPr>
        <w:t xml:space="preserve">167. </w:t>
      </w:r>
      <w:r>
        <w:rPr>
          <w:rFonts w:hint="eastAsia"/>
          <w:lang w:val="en-GB"/>
        </w:rPr>
        <w:tab/>
      </w:r>
      <w:r>
        <w:rPr>
          <w:kern w:val="14"/>
        </w:rPr>
        <w:t>立陶宛</w:t>
      </w:r>
      <w:r>
        <w:rPr>
          <w:rFonts w:hint="eastAsia"/>
          <w:kern w:val="14"/>
        </w:rPr>
        <w:t>执行《公约》第</w:t>
      </w:r>
      <w:r>
        <w:rPr>
          <w:kern w:val="14"/>
        </w:rPr>
        <w:t>11</w:t>
      </w:r>
      <w:r>
        <w:rPr>
          <w:kern w:val="14"/>
        </w:rPr>
        <w:t>（</w:t>
      </w:r>
      <w:r>
        <w:rPr>
          <w:kern w:val="14"/>
        </w:rPr>
        <w:t>1</w:t>
      </w:r>
      <w:r>
        <w:rPr>
          <w:kern w:val="14"/>
        </w:rPr>
        <w:t>）（</w:t>
      </w:r>
      <w:r>
        <w:rPr>
          <w:kern w:val="14"/>
        </w:rPr>
        <w:t>f</w:t>
      </w:r>
      <w:r>
        <w:rPr>
          <w:kern w:val="14"/>
        </w:rPr>
        <w:t>）</w:t>
      </w:r>
      <w:r>
        <w:rPr>
          <w:rFonts w:hint="eastAsia"/>
          <w:kern w:val="14"/>
        </w:rPr>
        <w:t>条的情况，已由第三次定期报告介绍。</w:t>
      </w:r>
      <w:r>
        <w:rPr>
          <w:kern w:val="14"/>
        </w:rPr>
        <w:t>2005-2006</w:t>
      </w:r>
      <w:r>
        <w:rPr>
          <w:rFonts w:hint="eastAsia"/>
          <w:kern w:val="14"/>
        </w:rPr>
        <w:t>年，这一领域没有法律条文变化。</w:t>
      </w:r>
    </w:p>
    <w:p w:rsidR="00595751" w:rsidRDefault="00595751">
      <w:pPr>
        <w:pStyle w:val="H23"/>
        <w:rPr>
          <w:b w:val="0"/>
          <w:bCs w:val="0"/>
          <w:lang w:val="en-GB"/>
        </w:rPr>
      </w:pPr>
      <w:r>
        <w:rPr>
          <w:rFonts w:hint="eastAsia"/>
          <w:b w:val="0"/>
          <w:bCs w:val="0"/>
          <w:lang w:val="en-GB"/>
        </w:rPr>
        <w:t>第</w:t>
      </w:r>
      <w:r>
        <w:rPr>
          <w:b w:val="0"/>
          <w:bCs w:val="0"/>
          <w:lang w:val="en-GB"/>
        </w:rPr>
        <w:t>2</w:t>
      </w:r>
      <w:r>
        <w:rPr>
          <w:rFonts w:hint="eastAsia"/>
          <w:b w:val="0"/>
          <w:bCs w:val="0"/>
          <w:lang w:val="en-GB"/>
        </w:rPr>
        <w:t>款</w:t>
      </w:r>
    </w:p>
    <w:p w:rsidR="00595751" w:rsidRDefault="00595751">
      <w:pPr>
        <w:pStyle w:val="H2"/>
        <w:rPr>
          <w:rFonts w:hint="eastAsia"/>
        </w:rPr>
      </w:pPr>
      <w:r>
        <w:rPr>
          <w:rFonts w:hint="eastAsia"/>
        </w:rPr>
        <w:t>（</w:t>
      </w:r>
      <w:r>
        <w:t>a</w:t>
      </w:r>
      <w:r>
        <w:rPr>
          <w:rFonts w:hint="eastAsia"/>
        </w:rPr>
        <w:t>）</w:t>
      </w:r>
    </w:p>
    <w:p w:rsidR="00595751" w:rsidRDefault="00595751">
      <w:pPr>
        <w:tabs>
          <w:tab w:val="left" w:pos="630"/>
        </w:tabs>
        <w:spacing w:after="240" w:line="360" w:lineRule="exact"/>
        <w:rPr>
          <w:kern w:val="14"/>
        </w:rPr>
      </w:pPr>
      <w:r>
        <w:rPr>
          <w:lang w:val="en-GB"/>
        </w:rPr>
        <w:t>168.</w:t>
      </w:r>
      <w:r>
        <w:rPr>
          <w:rFonts w:hint="eastAsia"/>
          <w:lang w:val="en-GB"/>
        </w:rPr>
        <w:tab/>
      </w:r>
      <w:r>
        <w:rPr>
          <w:rFonts w:hint="eastAsia"/>
          <w:kern w:val="14"/>
        </w:rPr>
        <w:t>2005</w:t>
      </w:r>
      <w:r>
        <w:rPr>
          <w:rFonts w:hint="eastAsia"/>
          <w:kern w:val="14"/>
        </w:rPr>
        <w:t>年通过的《男女机会均等法修正案》（</w:t>
      </w:r>
      <w:r>
        <w:rPr>
          <w:rFonts w:hint="eastAsia"/>
          <w:kern w:val="14"/>
        </w:rPr>
        <w:t>2005</w:t>
      </w:r>
      <w:r>
        <w:rPr>
          <w:rFonts w:hint="eastAsia"/>
          <w:kern w:val="14"/>
        </w:rPr>
        <w:t>年</w:t>
      </w:r>
      <w:r>
        <w:rPr>
          <w:rFonts w:hint="eastAsia"/>
          <w:kern w:val="14"/>
        </w:rPr>
        <w:t>7</w:t>
      </w:r>
      <w:r>
        <w:rPr>
          <w:rFonts w:hint="eastAsia"/>
          <w:kern w:val="14"/>
        </w:rPr>
        <w:t>月</w:t>
      </w:r>
      <w:r>
        <w:rPr>
          <w:rFonts w:hint="eastAsia"/>
          <w:kern w:val="14"/>
        </w:rPr>
        <w:t>5</w:t>
      </w:r>
      <w:r>
        <w:rPr>
          <w:rFonts w:hint="eastAsia"/>
          <w:kern w:val="14"/>
        </w:rPr>
        <w:t>日第</w:t>
      </w:r>
      <w:r>
        <w:rPr>
          <w:kern w:val="14"/>
        </w:rPr>
        <w:t>X-304</w:t>
      </w:r>
      <w:r>
        <w:rPr>
          <w:rFonts w:hint="eastAsia"/>
          <w:kern w:val="14"/>
        </w:rPr>
        <w:t>号法律）规定，如果基于性别的歧视也与家庭或婚姻状况有关，应将其视为一种特别的歧视行为。</w:t>
      </w:r>
    </w:p>
    <w:p w:rsidR="00595751" w:rsidRDefault="00595751">
      <w:pPr>
        <w:pStyle w:val="H2"/>
        <w:rPr>
          <w:rFonts w:hint="eastAsia"/>
        </w:rPr>
      </w:pPr>
      <w:r>
        <w:rPr>
          <w:rFonts w:hint="eastAsia"/>
        </w:rPr>
        <w:t>（</w:t>
      </w:r>
      <w:r>
        <w:t>b</w:t>
      </w:r>
      <w:r>
        <w:rPr>
          <w:rFonts w:hint="eastAsia"/>
        </w:rPr>
        <w:t>）</w:t>
      </w:r>
    </w:p>
    <w:p w:rsidR="00595751" w:rsidRDefault="00595751">
      <w:pPr>
        <w:tabs>
          <w:tab w:val="left" w:pos="630"/>
        </w:tabs>
        <w:spacing w:after="240" w:line="360" w:lineRule="exact"/>
        <w:rPr>
          <w:kern w:val="14"/>
        </w:rPr>
      </w:pPr>
      <w:r>
        <w:rPr>
          <w:lang w:val="en-GB"/>
        </w:rPr>
        <w:t>169.</w:t>
      </w:r>
      <w:r>
        <w:rPr>
          <w:rFonts w:hint="eastAsia"/>
          <w:lang w:val="en-GB"/>
        </w:rPr>
        <w:tab/>
      </w:r>
      <w:r>
        <w:rPr>
          <w:rFonts w:hint="eastAsia"/>
          <w:kern w:val="14"/>
        </w:rPr>
        <w:t>自</w:t>
      </w:r>
      <w:r>
        <w:rPr>
          <w:rFonts w:hint="eastAsia"/>
          <w:kern w:val="14"/>
        </w:rPr>
        <w:t>2005</w:t>
      </w:r>
      <w:r>
        <w:rPr>
          <w:rFonts w:hint="eastAsia"/>
          <w:kern w:val="14"/>
        </w:rPr>
        <w:t>年</w:t>
      </w:r>
      <w:r>
        <w:rPr>
          <w:rFonts w:hint="eastAsia"/>
          <w:kern w:val="14"/>
        </w:rPr>
        <w:t>7</w:t>
      </w:r>
      <w:r>
        <w:rPr>
          <w:rFonts w:hint="eastAsia"/>
          <w:kern w:val="14"/>
        </w:rPr>
        <w:t>月</w:t>
      </w:r>
      <w:r>
        <w:rPr>
          <w:rFonts w:hint="eastAsia"/>
          <w:kern w:val="14"/>
        </w:rPr>
        <w:t>1</w:t>
      </w:r>
      <w:r>
        <w:rPr>
          <w:rFonts w:hint="eastAsia"/>
          <w:kern w:val="14"/>
        </w:rPr>
        <w:t>日起，立陶宛发放了社会援助孤儿津贴，而不论有资格享受该津贴的孤儿的已故生父母（或养父母）是否曾经永久居住在立陶宛共和国。在此之前，只有已故的生父母（或养父母）均为立陶宛共和国永久居民，立陶宛才准许向不能领取社会保险孤儿津贴的儿童发放社会援助孤儿津贴。</w:t>
      </w:r>
    </w:p>
    <w:p w:rsidR="00595751" w:rsidRDefault="00595751">
      <w:pPr>
        <w:tabs>
          <w:tab w:val="left" w:pos="630"/>
        </w:tabs>
        <w:spacing w:after="240" w:line="360" w:lineRule="exact"/>
        <w:rPr>
          <w:kern w:val="14"/>
        </w:rPr>
      </w:pPr>
      <w:r>
        <w:rPr>
          <w:lang w:val="en-GB"/>
        </w:rPr>
        <w:t>170.</w:t>
      </w:r>
      <w:r>
        <w:rPr>
          <w:rFonts w:hint="eastAsia"/>
          <w:lang w:val="en-GB"/>
        </w:rPr>
        <w:tab/>
      </w:r>
      <w:r>
        <w:rPr>
          <w:rFonts w:hint="eastAsia"/>
          <w:kern w:val="14"/>
        </w:rPr>
        <w:t>根据《立陶宛共和国儿童福利金法》（</w:t>
      </w:r>
      <w:r>
        <w:rPr>
          <w:rFonts w:hint="eastAsia"/>
          <w:kern w:val="14"/>
        </w:rPr>
        <w:t>1994</w:t>
      </w:r>
      <w:r>
        <w:rPr>
          <w:rFonts w:hint="eastAsia"/>
          <w:kern w:val="14"/>
        </w:rPr>
        <w:t>年第</w:t>
      </w:r>
      <w:r>
        <w:rPr>
          <w:kern w:val="14"/>
        </w:rPr>
        <w:t>89-1706</w:t>
      </w:r>
      <w:r>
        <w:rPr>
          <w:rFonts w:hint="eastAsia"/>
          <w:kern w:val="14"/>
        </w:rPr>
        <w:t>号</w:t>
      </w:r>
      <w:r>
        <w:rPr>
          <w:kern w:val="14"/>
        </w:rPr>
        <w:t>《政府公报》</w:t>
      </w:r>
      <w:r>
        <w:rPr>
          <w:rFonts w:hint="eastAsia"/>
          <w:kern w:val="14"/>
        </w:rPr>
        <w:t>；</w:t>
      </w:r>
      <w:r>
        <w:rPr>
          <w:rFonts w:hint="eastAsia"/>
          <w:kern w:val="14"/>
        </w:rPr>
        <w:t>2004</w:t>
      </w:r>
      <w:r>
        <w:rPr>
          <w:rFonts w:hint="eastAsia"/>
          <w:kern w:val="14"/>
        </w:rPr>
        <w:t>年第</w:t>
      </w:r>
      <w:r>
        <w:rPr>
          <w:kern w:val="14"/>
        </w:rPr>
        <w:t>88-3208</w:t>
      </w:r>
      <w:r>
        <w:rPr>
          <w:rFonts w:hint="eastAsia"/>
          <w:kern w:val="14"/>
        </w:rPr>
        <w:t>号《政府公报》），立陶宛在</w:t>
      </w:r>
      <w:r>
        <w:rPr>
          <w:rFonts w:hint="eastAsia"/>
          <w:kern w:val="14"/>
        </w:rPr>
        <w:t>2007</w:t>
      </w:r>
      <w:r>
        <w:rPr>
          <w:rFonts w:hint="eastAsia"/>
          <w:kern w:val="14"/>
        </w:rPr>
        <w:t>年继续发放儿童福利金。自</w:t>
      </w:r>
      <w:r>
        <w:rPr>
          <w:rFonts w:hint="eastAsia"/>
          <w:kern w:val="14"/>
        </w:rPr>
        <w:t>2004</w:t>
      </w:r>
      <w:r>
        <w:rPr>
          <w:rFonts w:hint="eastAsia"/>
          <w:kern w:val="14"/>
        </w:rPr>
        <w:t>年</w:t>
      </w:r>
      <w:r>
        <w:rPr>
          <w:rFonts w:hint="eastAsia"/>
          <w:kern w:val="14"/>
        </w:rPr>
        <w:t>7</w:t>
      </w:r>
      <w:r>
        <w:rPr>
          <w:rFonts w:hint="eastAsia"/>
          <w:kern w:val="14"/>
        </w:rPr>
        <w:t>月</w:t>
      </w:r>
      <w:r>
        <w:rPr>
          <w:rFonts w:hint="eastAsia"/>
          <w:kern w:val="14"/>
        </w:rPr>
        <w:t>1</w:t>
      </w:r>
      <w:r>
        <w:rPr>
          <w:rFonts w:hint="eastAsia"/>
          <w:kern w:val="14"/>
        </w:rPr>
        <w:t>日起，此项补助金可以发放给抚养一到两个</w:t>
      </w:r>
      <w:r>
        <w:rPr>
          <w:rFonts w:hint="eastAsia"/>
          <w:kern w:val="14"/>
        </w:rPr>
        <w:t>7</w:t>
      </w:r>
      <w:r>
        <w:rPr>
          <w:rFonts w:hint="eastAsia"/>
          <w:kern w:val="14"/>
        </w:rPr>
        <w:t>岁以下子女的家庭，以及有</w:t>
      </w:r>
      <w:r>
        <w:rPr>
          <w:rFonts w:hint="eastAsia"/>
          <w:kern w:val="14"/>
        </w:rPr>
        <w:t>3</w:t>
      </w:r>
      <w:r>
        <w:rPr>
          <w:rFonts w:hint="eastAsia"/>
          <w:kern w:val="14"/>
        </w:rPr>
        <w:t>个或以上</w:t>
      </w:r>
      <w:r>
        <w:rPr>
          <w:rFonts w:hint="eastAsia"/>
          <w:kern w:val="14"/>
        </w:rPr>
        <w:t>18</w:t>
      </w:r>
      <w:r>
        <w:rPr>
          <w:rFonts w:hint="eastAsia"/>
          <w:kern w:val="14"/>
        </w:rPr>
        <w:t>岁至</w:t>
      </w:r>
      <w:r>
        <w:rPr>
          <w:rFonts w:hint="eastAsia"/>
          <w:kern w:val="14"/>
        </w:rPr>
        <w:t>24</w:t>
      </w:r>
      <w:r>
        <w:rPr>
          <w:rFonts w:hint="eastAsia"/>
          <w:kern w:val="14"/>
        </w:rPr>
        <w:t>岁子女的家庭，直到他们完成学业为止，但在年满</w:t>
      </w:r>
      <w:r>
        <w:rPr>
          <w:rFonts w:hint="eastAsia"/>
          <w:kern w:val="14"/>
        </w:rPr>
        <w:t>24</w:t>
      </w:r>
      <w:r>
        <w:rPr>
          <w:rFonts w:hint="eastAsia"/>
          <w:kern w:val="14"/>
        </w:rPr>
        <w:t>岁以后无论如何都不再发放。自</w:t>
      </w:r>
      <w:r>
        <w:rPr>
          <w:rFonts w:hint="eastAsia"/>
          <w:kern w:val="14"/>
        </w:rPr>
        <w:t>2006</w:t>
      </w:r>
      <w:r>
        <w:rPr>
          <w:rFonts w:hint="eastAsia"/>
          <w:kern w:val="14"/>
        </w:rPr>
        <w:t>年</w:t>
      </w:r>
      <w:r>
        <w:rPr>
          <w:rFonts w:hint="eastAsia"/>
          <w:kern w:val="14"/>
        </w:rPr>
        <w:t>9</w:t>
      </w:r>
      <w:r>
        <w:rPr>
          <w:rFonts w:hint="eastAsia"/>
          <w:kern w:val="14"/>
        </w:rPr>
        <w:t>月</w:t>
      </w:r>
      <w:r>
        <w:rPr>
          <w:rFonts w:hint="eastAsia"/>
          <w:kern w:val="14"/>
        </w:rPr>
        <w:t>1</w:t>
      </w:r>
      <w:r>
        <w:rPr>
          <w:rFonts w:hint="eastAsia"/>
          <w:kern w:val="14"/>
        </w:rPr>
        <w:t>日起，向</w:t>
      </w:r>
      <w:r>
        <w:rPr>
          <w:rFonts w:hint="eastAsia"/>
          <w:kern w:val="14"/>
        </w:rPr>
        <w:t>7</w:t>
      </w:r>
      <w:r>
        <w:rPr>
          <w:rFonts w:hint="eastAsia"/>
          <w:kern w:val="14"/>
        </w:rPr>
        <w:t>至</w:t>
      </w:r>
      <w:r>
        <w:rPr>
          <w:rFonts w:hint="eastAsia"/>
          <w:kern w:val="14"/>
        </w:rPr>
        <w:t>9</w:t>
      </w:r>
      <w:r>
        <w:rPr>
          <w:rFonts w:hint="eastAsia"/>
          <w:kern w:val="14"/>
        </w:rPr>
        <w:t>岁的儿童发放的儿童福利金相当于最低生活费的</w:t>
      </w:r>
      <w:r>
        <w:rPr>
          <w:rFonts w:hint="eastAsia"/>
          <w:kern w:val="14"/>
        </w:rPr>
        <w:t>40%</w:t>
      </w:r>
      <w:r>
        <w:rPr>
          <w:rFonts w:hint="eastAsia"/>
          <w:kern w:val="14"/>
        </w:rPr>
        <w:t>。目前，根据《立陶宛共和国儿童福利金法》，对从出生到</w:t>
      </w:r>
      <w:r>
        <w:rPr>
          <w:rFonts w:hint="eastAsia"/>
          <w:kern w:val="14"/>
        </w:rPr>
        <w:t>3</w:t>
      </w:r>
      <w:r>
        <w:rPr>
          <w:rFonts w:hint="eastAsia"/>
          <w:kern w:val="14"/>
        </w:rPr>
        <w:t>岁的儿童每月发放相当于最低生活费</w:t>
      </w:r>
      <w:r>
        <w:rPr>
          <w:kern w:val="14"/>
        </w:rPr>
        <w:t>75</w:t>
      </w:r>
      <w:r>
        <w:rPr>
          <w:rFonts w:hint="eastAsia"/>
          <w:kern w:val="14"/>
        </w:rPr>
        <w:t>%</w:t>
      </w:r>
      <w:r>
        <w:rPr>
          <w:rFonts w:hint="eastAsia"/>
          <w:kern w:val="14"/>
        </w:rPr>
        <w:t>（</w:t>
      </w:r>
      <w:r>
        <w:rPr>
          <w:kern w:val="14"/>
        </w:rPr>
        <w:t>97.5</w:t>
      </w:r>
      <w:r>
        <w:rPr>
          <w:rFonts w:hint="eastAsia"/>
          <w:kern w:val="14"/>
        </w:rPr>
        <w:t>立特）的儿童福利金，对</w:t>
      </w:r>
      <w:r>
        <w:rPr>
          <w:rFonts w:hint="eastAsia"/>
          <w:kern w:val="14"/>
        </w:rPr>
        <w:t>3</w:t>
      </w:r>
      <w:r>
        <w:rPr>
          <w:rFonts w:hint="eastAsia"/>
          <w:kern w:val="14"/>
        </w:rPr>
        <w:t>至</w:t>
      </w:r>
      <w:r>
        <w:rPr>
          <w:rFonts w:hint="eastAsia"/>
          <w:kern w:val="14"/>
        </w:rPr>
        <w:t>9</w:t>
      </w:r>
      <w:r>
        <w:rPr>
          <w:rFonts w:hint="eastAsia"/>
          <w:kern w:val="14"/>
        </w:rPr>
        <w:t>岁的儿童每月发放相当于最低生活费</w:t>
      </w:r>
      <w:r>
        <w:rPr>
          <w:rFonts w:hint="eastAsia"/>
          <w:kern w:val="14"/>
        </w:rPr>
        <w:t>40%</w:t>
      </w:r>
      <w:r>
        <w:rPr>
          <w:rFonts w:hint="eastAsia"/>
          <w:kern w:val="14"/>
        </w:rPr>
        <w:t>（</w:t>
      </w:r>
      <w:r>
        <w:rPr>
          <w:kern w:val="14"/>
        </w:rPr>
        <w:t>52</w:t>
      </w:r>
      <w:r>
        <w:rPr>
          <w:rFonts w:hint="eastAsia"/>
          <w:kern w:val="14"/>
        </w:rPr>
        <w:t>立特）的儿童福利金。抚养</w:t>
      </w:r>
      <w:r>
        <w:rPr>
          <w:rFonts w:hint="eastAsia"/>
          <w:kern w:val="14"/>
        </w:rPr>
        <w:t>3</w:t>
      </w:r>
      <w:r>
        <w:rPr>
          <w:rFonts w:hint="eastAsia"/>
          <w:kern w:val="14"/>
        </w:rPr>
        <w:t>个或以上儿童的家庭有资格按照以下标准每月领取儿童福利金：每个</w:t>
      </w:r>
      <w:r>
        <w:rPr>
          <w:rFonts w:hint="eastAsia"/>
          <w:kern w:val="14"/>
        </w:rPr>
        <w:t>3</w:t>
      </w:r>
      <w:r>
        <w:rPr>
          <w:rFonts w:hint="eastAsia"/>
          <w:kern w:val="14"/>
        </w:rPr>
        <w:t>岁以下儿童，最低生活费</w:t>
      </w:r>
      <w:r>
        <w:rPr>
          <w:rFonts w:hint="eastAsia"/>
          <w:kern w:val="14"/>
        </w:rPr>
        <w:t>110%</w:t>
      </w:r>
      <w:r>
        <w:rPr>
          <w:rFonts w:hint="eastAsia"/>
          <w:kern w:val="14"/>
        </w:rPr>
        <w:t>（</w:t>
      </w:r>
      <w:r>
        <w:rPr>
          <w:kern w:val="14"/>
        </w:rPr>
        <w:t>143</w:t>
      </w:r>
      <w:r>
        <w:rPr>
          <w:rFonts w:hint="eastAsia"/>
          <w:kern w:val="14"/>
        </w:rPr>
        <w:t>立特）；每名</w:t>
      </w:r>
      <w:r>
        <w:rPr>
          <w:rFonts w:hint="eastAsia"/>
          <w:kern w:val="14"/>
        </w:rPr>
        <w:t>3</w:t>
      </w:r>
      <w:r>
        <w:rPr>
          <w:rFonts w:hint="eastAsia"/>
          <w:kern w:val="14"/>
        </w:rPr>
        <w:t>至</w:t>
      </w:r>
      <w:r>
        <w:rPr>
          <w:rFonts w:hint="eastAsia"/>
          <w:kern w:val="14"/>
        </w:rPr>
        <w:t>8</w:t>
      </w:r>
      <w:r>
        <w:rPr>
          <w:rFonts w:hint="eastAsia"/>
          <w:kern w:val="14"/>
        </w:rPr>
        <w:t>岁的儿童以及</w:t>
      </w:r>
      <w:r>
        <w:rPr>
          <w:rFonts w:hint="eastAsia"/>
          <w:kern w:val="14"/>
        </w:rPr>
        <w:t>8</w:t>
      </w:r>
      <w:r>
        <w:rPr>
          <w:rFonts w:hint="eastAsia"/>
          <w:kern w:val="14"/>
        </w:rPr>
        <w:t>岁以上但不超过</w:t>
      </w:r>
      <w:r>
        <w:rPr>
          <w:rFonts w:hint="eastAsia"/>
          <w:kern w:val="14"/>
        </w:rPr>
        <w:t>24</w:t>
      </w:r>
      <w:r>
        <w:rPr>
          <w:rFonts w:hint="eastAsia"/>
          <w:kern w:val="14"/>
        </w:rPr>
        <w:t>岁的全日制学生，最低生活费</w:t>
      </w:r>
      <w:r>
        <w:rPr>
          <w:rFonts w:hint="eastAsia"/>
          <w:kern w:val="14"/>
        </w:rPr>
        <w:t>40%</w:t>
      </w:r>
      <w:r>
        <w:rPr>
          <w:rFonts w:hint="eastAsia"/>
          <w:kern w:val="14"/>
        </w:rPr>
        <w:t>（</w:t>
      </w:r>
      <w:r>
        <w:rPr>
          <w:kern w:val="14"/>
        </w:rPr>
        <w:t>52</w:t>
      </w:r>
      <w:r>
        <w:rPr>
          <w:rFonts w:hint="eastAsia"/>
          <w:kern w:val="14"/>
        </w:rPr>
        <w:t>立特）。</w:t>
      </w:r>
    </w:p>
    <w:p w:rsidR="00595751" w:rsidRDefault="00595751">
      <w:pPr>
        <w:tabs>
          <w:tab w:val="left" w:pos="630"/>
        </w:tabs>
        <w:spacing w:after="240" w:line="360" w:lineRule="exact"/>
        <w:rPr>
          <w:kern w:val="14"/>
        </w:rPr>
      </w:pPr>
      <w:r>
        <w:rPr>
          <w:lang w:val="en-GB"/>
        </w:rPr>
        <w:t>171.</w:t>
      </w:r>
      <w:r>
        <w:rPr>
          <w:rFonts w:hint="eastAsia"/>
          <w:lang w:val="en-GB"/>
        </w:rPr>
        <w:tab/>
      </w:r>
      <w:r>
        <w:rPr>
          <w:rFonts w:hint="eastAsia"/>
          <w:kern w:val="14"/>
        </w:rPr>
        <w:t>业经政府</w:t>
      </w:r>
      <w:r>
        <w:rPr>
          <w:rFonts w:hint="eastAsia"/>
          <w:kern w:val="14"/>
        </w:rPr>
        <w:t>2006</w:t>
      </w:r>
      <w:r>
        <w:rPr>
          <w:rFonts w:hint="eastAsia"/>
          <w:kern w:val="14"/>
        </w:rPr>
        <w:t>年</w:t>
      </w:r>
      <w:r>
        <w:rPr>
          <w:rFonts w:hint="eastAsia"/>
          <w:kern w:val="14"/>
        </w:rPr>
        <w:t>10</w:t>
      </w:r>
      <w:r>
        <w:rPr>
          <w:rFonts w:hint="eastAsia"/>
          <w:kern w:val="14"/>
        </w:rPr>
        <w:t>月</w:t>
      </w:r>
      <w:r>
        <w:rPr>
          <w:rFonts w:hint="eastAsia"/>
          <w:kern w:val="14"/>
        </w:rPr>
        <w:t>17</w:t>
      </w:r>
      <w:r>
        <w:rPr>
          <w:rFonts w:hint="eastAsia"/>
          <w:kern w:val="14"/>
        </w:rPr>
        <w:t>日第</w:t>
      </w:r>
      <w:r>
        <w:rPr>
          <w:rFonts w:hint="eastAsia"/>
          <w:kern w:val="14"/>
        </w:rPr>
        <w:t>1020</w:t>
      </w:r>
      <w:r>
        <w:rPr>
          <w:rFonts w:hint="eastAsia"/>
          <w:kern w:val="14"/>
        </w:rPr>
        <w:t>号决议（</w:t>
      </w:r>
      <w:r>
        <w:rPr>
          <w:rFonts w:hint="eastAsia"/>
          <w:kern w:val="14"/>
        </w:rPr>
        <w:t>2006</w:t>
      </w:r>
      <w:r>
        <w:rPr>
          <w:rFonts w:hint="eastAsia"/>
          <w:kern w:val="14"/>
        </w:rPr>
        <w:t>年第</w:t>
      </w:r>
      <w:r>
        <w:rPr>
          <w:kern w:val="14"/>
        </w:rPr>
        <w:t>112-4273</w:t>
      </w:r>
      <w:r>
        <w:rPr>
          <w:rFonts w:hint="eastAsia"/>
          <w:kern w:val="14"/>
        </w:rPr>
        <w:t>号</w:t>
      </w:r>
      <w:r>
        <w:rPr>
          <w:kern w:val="14"/>
        </w:rPr>
        <w:t>《政府公报》</w:t>
      </w:r>
      <w:r>
        <w:rPr>
          <w:rFonts w:hint="eastAsia"/>
          <w:kern w:val="14"/>
        </w:rPr>
        <w:t>）核准的“</w:t>
      </w:r>
      <w:r>
        <w:rPr>
          <w:kern w:val="14"/>
        </w:rPr>
        <w:t>2006-2008</w:t>
      </w:r>
      <w:r>
        <w:rPr>
          <w:rFonts w:hint="eastAsia"/>
          <w:kern w:val="14"/>
        </w:rPr>
        <w:t>年</w:t>
      </w:r>
      <w:r>
        <w:rPr>
          <w:kern w:val="14"/>
        </w:rPr>
        <w:t>立陶宛</w:t>
      </w:r>
      <w:r>
        <w:rPr>
          <w:rFonts w:hint="eastAsia"/>
          <w:kern w:val="14"/>
        </w:rPr>
        <w:t>共和国政府方案实施措施”之一，就是朝着向</w:t>
      </w:r>
      <w:r>
        <w:rPr>
          <w:rFonts w:hint="eastAsia"/>
          <w:kern w:val="14"/>
        </w:rPr>
        <w:t>18</w:t>
      </w:r>
      <w:r>
        <w:rPr>
          <w:rFonts w:hint="eastAsia"/>
          <w:kern w:val="14"/>
        </w:rPr>
        <w:t>岁以下或者直到完成全日制普通教育学业以前的所有儿童发放儿童福利金的目标过渡（第</w:t>
      </w:r>
      <w:r>
        <w:rPr>
          <w:rFonts w:hint="eastAsia"/>
          <w:kern w:val="14"/>
        </w:rPr>
        <w:t>59</w:t>
      </w:r>
      <w:r>
        <w:rPr>
          <w:rFonts w:hint="eastAsia"/>
          <w:kern w:val="14"/>
        </w:rPr>
        <w:t>项措施，表</w:t>
      </w:r>
      <w:r>
        <w:rPr>
          <w:rFonts w:hint="eastAsia"/>
          <w:kern w:val="14"/>
        </w:rPr>
        <w:t>2</w:t>
      </w:r>
      <w:r>
        <w:rPr>
          <w:rFonts w:hint="eastAsia"/>
          <w:kern w:val="14"/>
        </w:rPr>
        <w:t>）。为了兑现上述承诺，已将儿童福利金的发放范围扩大到涵盖</w:t>
      </w:r>
      <w:r>
        <w:rPr>
          <w:rFonts w:hint="eastAsia"/>
          <w:kern w:val="14"/>
        </w:rPr>
        <w:t>12</w:t>
      </w:r>
      <w:r>
        <w:rPr>
          <w:rFonts w:hint="eastAsia"/>
          <w:kern w:val="14"/>
        </w:rPr>
        <w:t>岁以下的儿童；这些补助金的发放规定适用于</w:t>
      </w:r>
      <w:r>
        <w:rPr>
          <w:rFonts w:hint="eastAsia"/>
          <w:kern w:val="14"/>
        </w:rPr>
        <w:t>2007</w:t>
      </w:r>
      <w:r>
        <w:rPr>
          <w:rFonts w:hint="eastAsia"/>
          <w:kern w:val="14"/>
        </w:rPr>
        <w:t>年</w:t>
      </w:r>
      <w:r>
        <w:rPr>
          <w:rFonts w:hint="eastAsia"/>
          <w:kern w:val="14"/>
        </w:rPr>
        <w:t>9</w:t>
      </w:r>
      <w:r>
        <w:rPr>
          <w:rFonts w:hint="eastAsia"/>
          <w:kern w:val="14"/>
        </w:rPr>
        <w:t>月</w:t>
      </w:r>
      <w:r>
        <w:rPr>
          <w:rFonts w:hint="eastAsia"/>
          <w:kern w:val="14"/>
        </w:rPr>
        <w:t>1</w:t>
      </w:r>
      <w:r>
        <w:rPr>
          <w:rFonts w:hint="eastAsia"/>
          <w:kern w:val="14"/>
        </w:rPr>
        <w:t>日至</w:t>
      </w:r>
      <w:r>
        <w:rPr>
          <w:rFonts w:hint="eastAsia"/>
          <w:kern w:val="14"/>
        </w:rPr>
        <w:t>2007</w:t>
      </w:r>
      <w:r>
        <w:rPr>
          <w:rFonts w:hint="eastAsia"/>
          <w:kern w:val="14"/>
        </w:rPr>
        <w:t>年</w:t>
      </w:r>
      <w:r>
        <w:rPr>
          <w:rFonts w:hint="eastAsia"/>
          <w:kern w:val="14"/>
        </w:rPr>
        <w:t>12</w:t>
      </w:r>
      <w:r>
        <w:rPr>
          <w:rFonts w:hint="eastAsia"/>
          <w:kern w:val="14"/>
        </w:rPr>
        <w:t>月</w:t>
      </w:r>
      <w:r>
        <w:rPr>
          <w:rFonts w:hint="eastAsia"/>
          <w:kern w:val="14"/>
        </w:rPr>
        <w:t>31</w:t>
      </w:r>
      <w:r>
        <w:rPr>
          <w:rFonts w:hint="eastAsia"/>
          <w:kern w:val="14"/>
        </w:rPr>
        <w:t>日这段时间，同时牢记：根据议会于</w:t>
      </w:r>
      <w:r>
        <w:rPr>
          <w:rFonts w:hint="eastAsia"/>
          <w:kern w:val="14"/>
        </w:rPr>
        <w:t>2007</w:t>
      </w:r>
      <w:r>
        <w:rPr>
          <w:rFonts w:hint="eastAsia"/>
          <w:kern w:val="14"/>
        </w:rPr>
        <w:t>年</w:t>
      </w:r>
      <w:r>
        <w:rPr>
          <w:rFonts w:hint="eastAsia"/>
          <w:kern w:val="14"/>
        </w:rPr>
        <w:t>6</w:t>
      </w:r>
      <w:r>
        <w:rPr>
          <w:rFonts w:hint="eastAsia"/>
          <w:kern w:val="14"/>
        </w:rPr>
        <w:t>月</w:t>
      </w:r>
      <w:r>
        <w:rPr>
          <w:rFonts w:hint="eastAsia"/>
          <w:kern w:val="14"/>
        </w:rPr>
        <w:t>5</w:t>
      </w:r>
      <w:r>
        <w:rPr>
          <w:rFonts w:hint="eastAsia"/>
          <w:kern w:val="14"/>
        </w:rPr>
        <w:t>日通过的对《儿童福利金法》第</w:t>
      </w:r>
      <w:r>
        <w:rPr>
          <w:rFonts w:hint="eastAsia"/>
          <w:kern w:val="14"/>
        </w:rPr>
        <w:t>22</w:t>
      </w:r>
      <w:r>
        <w:rPr>
          <w:rFonts w:hint="eastAsia"/>
          <w:kern w:val="14"/>
        </w:rPr>
        <w:t>条的修正案，从</w:t>
      </w:r>
      <w:r>
        <w:rPr>
          <w:rFonts w:hint="eastAsia"/>
          <w:kern w:val="14"/>
        </w:rPr>
        <w:t>2008</w:t>
      </w:r>
      <w:r>
        <w:rPr>
          <w:rFonts w:hint="eastAsia"/>
          <w:kern w:val="14"/>
        </w:rPr>
        <w:t>年</w:t>
      </w:r>
      <w:r>
        <w:rPr>
          <w:rFonts w:hint="eastAsia"/>
          <w:kern w:val="14"/>
        </w:rPr>
        <w:t>1</w:t>
      </w:r>
      <w:r>
        <w:rPr>
          <w:rFonts w:hint="eastAsia"/>
          <w:kern w:val="14"/>
        </w:rPr>
        <w:t>月</w:t>
      </w:r>
      <w:r>
        <w:rPr>
          <w:rFonts w:hint="eastAsia"/>
          <w:kern w:val="14"/>
        </w:rPr>
        <w:t>1</w:t>
      </w:r>
      <w:r>
        <w:rPr>
          <w:rFonts w:hint="eastAsia"/>
          <w:kern w:val="14"/>
        </w:rPr>
        <w:t>日起，将向</w:t>
      </w:r>
      <w:r>
        <w:rPr>
          <w:rFonts w:hint="eastAsia"/>
          <w:kern w:val="14"/>
        </w:rPr>
        <w:t>18</w:t>
      </w:r>
      <w:r>
        <w:rPr>
          <w:rFonts w:hint="eastAsia"/>
          <w:kern w:val="14"/>
        </w:rPr>
        <w:t>岁以下或者直到完成全日制普通教育学业的所有儿童发放儿童福利金。</w:t>
      </w:r>
    </w:p>
    <w:p w:rsidR="00595751" w:rsidRDefault="00595751">
      <w:pPr>
        <w:tabs>
          <w:tab w:val="left" w:pos="630"/>
        </w:tabs>
        <w:spacing w:after="240" w:line="360" w:lineRule="exact"/>
        <w:rPr>
          <w:kern w:val="14"/>
        </w:rPr>
      </w:pPr>
      <w:r>
        <w:rPr>
          <w:lang w:val="en-GB"/>
        </w:rPr>
        <w:t>172.</w:t>
      </w:r>
      <w:r>
        <w:rPr>
          <w:rFonts w:hint="eastAsia"/>
          <w:lang w:val="en-GB"/>
        </w:rPr>
        <w:tab/>
      </w:r>
      <w:r>
        <w:rPr>
          <w:rFonts w:hint="eastAsia"/>
          <w:kern w:val="14"/>
        </w:rPr>
        <w:t>2007</w:t>
      </w:r>
      <w:r>
        <w:rPr>
          <w:rFonts w:hint="eastAsia"/>
          <w:kern w:val="14"/>
        </w:rPr>
        <w:t>年，国家预算拨款</w:t>
      </w:r>
      <w:r>
        <w:rPr>
          <w:kern w:val="14"/>
        </w:rPr>
        <w:t>2</w:t>
      </w:r>
      <w:r>
        <w:rPr>
          <w:rFonts w:hint="eastAsia"/>
          <w:kern w:val="14"/>
        </w:rPr>
        <w:t xml:space="preserve"> </w:t>
      </w:r>
      <w:r>
        <w:rPr>
          <w:kern w:val="14"/>
        </w:rPr>
        <w:t>32</w:t>
      </w:r>
      <w:r>
        <w:rPr>
          <w:rFonts w:hint="eastAsia"/>
          <w:kern w:val="14"/>
        </w:rPr>
        <w:t>0</w:t>
      </w:r>
      <w:r>
        <w:rPr>
          <w:rFonts w:hint="eastAsia"/>
          <w:kern w:val="14"/>
        </w:rPr>
        <w:t>万</w:t>
      </w:r>
      <w:r>
        <w:rPr>
          <w:kern w:val="14"/>
        </w:rPr>
        <w:t>立特</w:t>
      </w:r>
      <w:r>
        <w:rPr>
          <w:rFonts w:hint="eastAsia"/>
          <w:kern w:val="14"/>
        </w:rPr>
        <w:t>，用于从</w:t>
      </w:r>
      <w:r>
        <w:rPr>
          <w:rFonts w:hint="eastAsia"/>
          <w:kern w:val="14"/>
        </w:rPr>
        <w:t>2007</w:t>
      </w:r>
      <w:r>
        <w:rPr>
          <w:rFonts w:hint="eastAsia"/>
          <w:kern w:val="14"/>
        </w:rPr>
        <w:t>年</w:t>
      </w:r>
      <w:r>
        <w:rPr>
          <w:rFonts w:hint="eastAsia"/>
          <w:kern w:val="14"/>
        </w:rPr>
        <w:t>9</w:t>
      </w:r>
      <w:r>
        <w:rPr>
          <w:rFonts w:hint="eastAsia"/>
          <w:kern w:val="14"/>
        </w:rPr>
        <w:t>月</w:t>
      </w:r>
      <w:r>
        <w:rPr>
          <w:rFonts w:hint="eastAsia"/>
          <w:kern w:val="14"/>
        </w:rPr>
        <w:t>1</w:t>
      </w:r>
      <w:r>
        <w:rPr>
          <w:rFonts w:hint="eastAsia"/>
          <w:kern w:val="14"/>
        </w:rPr>
        <w:t>日向</w:t>
      </w:r>
      <w:r>
        <w:rPr>
          <w:rFonts w:hint="eastAsia"/>
          <w:kern w:val="14"/>
        </w:rPr>
        <w:t>9</w:t>
      </w:r>
      <w:r>
        <w:rPr>
          <w:rFonts w:hint="eastAsia"/>
          <w:kern w:val="14"/>
        </w:rPr>
        <w:t>至</w:t>
      </w:r>
      <w:r>
        <w:rPr>
          <w:rFonts w:hint="eastAsia"/>
          <w:kern w:val="14"/>
        </w:rPr>
        <w:t>12</w:t>
      </w:r>
      <w:r>
        <w:rPr>
          <w:rFonts w:hint="eastAsia"/>
          <w:kern w:val="14"/>
        </w:rPr>
        <w:t>岁的儿童支付儿童福利金以及相关的行政费用。目前，平均每月向大约</w:t>
      </w:r>
      <w:r>
        <w:rPr>
          <w:kern w:val="14"/>
        </w:rPr>
        <w:t>35</w:t>
      </w:r>
      <w:r>
        <w:rPr>
          <w:rFonts w:hint="eastAsia"/>
          <w:kern w:val="14"/>
        </w:rPr>
        <w:t>万</w:t>
      </w:r>
      <w:r>
        <w:rPr>
          <w:rFonts w:hint="eastAsia"/>
          <w:kern w:val="14"/>
        </w:rPr>
        <w:t>9</w:t>
      </w:r>
      <w:r>
        <w:rPr>
          <w:rFonts w:hint="eastAsia"/>
          <w:kern w:val="14"/>
        </w:rPr>
        <w:t>岁以下</w:t>
      </w:r>
      <w:r>
        <w:rPr>
          <w:kern w:val="14"/>
        </w:rPr>
        <w:t>立陶宛</w:t>
      </w:r>
      <w:r>
        <w:rPr>
          <w:rFonts w:hint="eastAsia"/>
          <w:kern w:val="14"/>
        </w:rPr>
        <w:t>儿童发放儿童福利金。自</w:t>
      </w:r>
      <w:r>
        <w:rPr>
          <w:kern w:val="14"/>
        </w:rPr>
        <w:t>2007</w:t>
      </w:r>
      <w:r>
        <w:rPr>
          <w:rFonts w:hint="eastAsia"/>
          <w:kern w:val="14"/>
        </w:rPr>
        <w:t>年</w:t>
      </w:r>
      <w:r>
        <w:rPr>
          <w:rFonts w:hint="eastAsia"/>
          <w:kern w:val="14"/>
        </w:rPr>
        <w:t>9</w:t>
      </w:r>
      <w:r>
        <w:rPr>
          <w:rFonts w:hint="eastAsia"/>
          <w:kern w:val="14"/>
        </w:rPr>
        <w:t>月</w:t>
      </w:r>
      <w:r>
        <w:rPr>
          <w:rFonts w:hint="eastAsia"/>
          <w:kern w:val="14"/>
        </w:rPr>
        <w:t>1</w:t>
      </w:r>
      <w:r>
        <w:rPr>
          <w:rFonts w:hint="eastAsia"/>
          <w:kern w:val="14"/>
        </w:rPr>
        <w:t>日起，领取儿童福利金的儿童又新增了</w:t>
      </w:r>
      <w:r>
        <w:rPr>
          <w:kern w:val="14"/>
        </w:rPr>
        <w:t>10</w:t>
      </w:r>
      <w:r>
        <w:rPr>
          <w:rFonts w:hint="eastAsia"/>
          <w:kern w:val="14"/>
        </w:rPr>
        <w:t>.</w:t>
      </w:r>
      <w:r>
        <w:rPr>
          <w:kern w:val="14"/>
        </w:rPr>
        <w:t>5</w:t>
      </w:r>
      <w:r>
        <w:rPr>
          <w:rFonts w:hint="eastAsia"/>
          <w:kern w:val="14"/>
        </w:rPr>
        <w:t>万人。从某人具备领取补助金资格之日起批准其领取并向其发放儿童福利金，但不得早于出具所需文件之前</w:t>
      </w:r>
      <w:r>
        <w:rPr>
          <w:rFonts w:hint="eastAsia"/>
          <w:kern w:val="14"/>
        </w:rPr>
        <w:t>12</w:t>
      </w:r>
      <w:r>
        <w:rPr>
          <w:rFonts w:hint="eastAsia"/>
          <w:kern w:val="14"/>
        </w:rPr>
        <w:t>个月。此项补助金申请书必须在当事人声明的居住地的市政府的社会援助办公室存档。</w:t>
      </w:r>
    </w:p>
    <w:p w:rsidR="00595751" w:rsidRDefault="00595751">
      <w:pPr>
        <w:pStyle w:val="H2"/>
      </w:pPr>
      <w:r>
        <w:rPr>
          <w:rFonts w:hint="eastAsia"/>
        </w:rPr>
        <w:t>（</w:t>
      </w:r>
      <w:r>
        <w:t>c</w:t>
      </w:r>
      <w:r>
        <w:rPr>
          <w:rFonts w:hint="eastAsia"/>
        </w:rPr>
        <w:t>）</w:t>
      </w:r>
    </w:p>
    <w:p w:rsidR="00595751" w:rsidRDefault="00595751">
      <w:pPr>
        <w:tabs>
          <w:tab w:val="left" w:pos="630"/>
        </w:tabs>
        <w:spacing w:after="240" w:line="360" w:lineRule="exact"/>
        <w:rPr>
          <w:kern w:val="14"/>
        </w:rPr>
      </w:pPr>
      <w:r>
        <w:rPr>
          <w:lang w:val="en-GB"/>
        </w:rPr>
        <w:t>173.</w:t>
      </w:r>
      <w:r>
        <w:rPr>
          <w:rFonts w:hint="eastAsia"/>
          <w:lang w:val="en-GB"/>
        </w:rPr>
        <w:t xml:space="preserve"> </w:t>
      </w:r>
      <w:r>
        <w:rPr>
          <w:rFonts w:hint="eastAsia"/>
          <w:lang w:val="en-GB"/>
        </w:rPr>
        <w:tab/>
      </w:r>
      <w:r>
        <w:rPr>
          <w:kern w:val="14"/>
        </w:rPr>
        <w:t>2006</w:t>
      </w:r>
      <w:r>
        <w:rPr>
          <w:rFonts w:hint="eastAsia"/>
          <w:kern w:val="14"/>
        </w:rPr>
        <w:t>年，</w:t>
      </w:r>
      <w:r>
        <w:rPr>
          <w:kern w:val="14"/>
        </w:rPr>
        <w:t>议会</w:t>
      </w:r>
      <w:r>
        <w:rPr>
          <w:rFonts w:hint="eastAsia"/>
          <w:kern w:val="14"/>
        </w:rPr>
        <w:t>通过了《立陶宛共和国社会服务法》（</w:t>
      </w:r>
      <w:r>
        <w:rPr>
          <w:rFonts w:hint="eastAsia"/>
          <w:kern w:val="14"/>
        </w:rPr>
        <w:t>2006</w:t>
      </w:r>
      <w:r>
        <w:rPr>
          <w:rFonts w:hint="eastAsia"/>
          <w:kern w:val="14"/>
        </w:rPr>
        <w:t>年第</w:t>
      </w:r>
      <w:r>
        <w:rPr>
          <w:kern w:val="14"/>
        </w:rPr>
        <w:t>17-589</w:t>
      </w:r>
      <w:r>
        <w:rPr>
          <w:rFonts w:hint="eastAsia"/>
          <w:kern w:val="14"/>
        </w:rPr>
        <w:t>号</w:t>
      </w:r>
      <w:r>
        <w:rPr>
          <w:kern w:val="14"/>
        </w:rPr>
        <w:t>《政府公报》</w:t>
      </w:r>
      <w:r>
        <w:rPr>
          <w:rFonts w:hint="eastAsia"/>
          <w:kern w:val="14"/>
        </w:rPr>
        <w:t>）。根据这项法律，与子女一起生活的老年人或残疾人有资格按照同独居者一样的条件领取国家补助。该法律旨在促进社会服务的多样性，扩大这些服务的普及率并保证服务质量。</w:t>
      </w:r>
    </w:p>
    <w:p w:rsidR="00595751" w:rsidRDefault="00595751">
      <w:pPr>
        <w:tabs>
          <w:tab w:val="left" w:pos="630"/>
        </w:tabs>
        <w:spacing w:after="240" w:line="360" w:lineRule="exact"/>
        <w:rPr>
          <w:kern w:val="14"/>
        </w:rPr>
      </w:pPr>
      <w:r>
        <w:rPr>
          <w:rFonts w:hint="eastAsia"/>
          <w:lang w:val="en-GB"/>
        </w:rPr>
        <w:t>174.</w:t>
      </w:r>
      <w:r>
        <w:rPr>
          <w:rFonts w:hint="eastAsia"/>
          <w:lang w:val="en-GB"/>
        </w:rPr>
        <w:tab/>
      </w:r>
      <w:r>
        <w:rPr>
          <w:kern w:val="14"/>
        </w:rPr>
        <w:t>2006</w:t>
      </w:r>
      <w:r>
        <w:rPr>
          <w:rFonts w:hint="eastAsia"/>
          <w:kern w:val="14"/>
        </w:rPr>
        <w:t>年，各医疗机构的住院部、日间服务福利中心、暴力受害者危机处理中心以及为无家可归者准备的寄宿设施总共向</w:t>
      </w:r>
      <w:r>
        <w:rPr>
          <w:kern w:val="14"/>
        </w:rPr>
        <w:t>11</w:t>
      </w:r>
      <w:r>
        <w:rPr>
          <w:rFonts w:hint="eastAsia"/>
          <w:kern w:val="14"/>
        </w:rPr>
        <w:t>.</w:t>
      </w:r>
      <w:r>
        <w:rPr>
          <w:kern w:val="14"/>
        </w:rPr>
        <w:t>4</w:t>
      </w:r>
      <w:r>
        <w:rPr>
          <w:rFonts w:hint="eastAsia"/>
          <w:kern w:val="14"/>
        </w:rPr>
        <w:t>万人提供了社会服务。大约有</w:t>
      </w:r>
      <w:r>
        <w:rPr>
          <w:rFonts w:hint="eastAsia"/>
          <w:kern w:val="14"/>
        </w:rPr>
        <w:t>8 000</w:t>
      </w:r>
      <w:r>
        <w:rPr>
          <w:rFonts w:hint="eastAsia"/>
          <w:kern w:val="14"/>
        </w:rPr>
        <w:t>名残疾人和老年人（其中农村人占</w:t>
      </w:r>
      <w:r>
        <w:rPr>
          <w:rFonts w:hint="eastAsia"/>
          <w:kern w:val="14"/>
        </w:rPr>
        <w:t>40%</w:t>
      </w:r>
      <w:r>
        <w:rPr>
          <w:rFonts w:hint="eastAsia"/>
          <w:kern w:val="14"/>
        </w:rPr>
        <w:t>）在自己家里接受社会服务。另有</w:t>
      </w:r>
      <w:r>
        <w:rPr>
          <w:kern w:val="14"/>
        </w:rPr>
        <w:t>10</w:t>
      </w:r>
      <w:r>
        <w:rPr>
          <w:rFonts w:hint="eastAsia"/>
          <w:kern w:val="14"/>
        </w:rPr>
        <w:t>万人获得免费食品和基本生活必需品以及交通服务，这些服务的受益者有</w:t>
      </w:r>
      <w:r>
        <w:rPr>
          <w:kern w:val="14"/>
        </w:rPr>
        <w:t>40%</w:t>
      </w:r>
      <w:r>
        <w:rPr>
          <w:rFonts w:hint="eastAsia"/>
          <w:kern w:val="14"/>
        </w:rPr>
        <w:t>生活在农村。在过去三年里，社会服务受益者人数几乎增长了一倍。在这个领域，通过门诊服务的发展，人们有机会在社区接受必要的社会服务，不必住在社会护理机构，在自己家里即可得到照料，这是头等重要的事情。在日间护理中心得到社会服务的人数大幅增长。</w:t>
      </w:r>
      <w:r>
        <w:rPr>
          <w:kern w:val="14"/>
        </w:rPr>
        <w:t>2003</w:t>
      </w:r>
      <w:r>
        <w:rPr>
          <w:rFonts w:hint="eastAsia"/>
          <w:kern w:val="14"/>
        </w:rPr>
        <w:t>年，各日间护理中心接纳的残疾人、儿童和老年人大约有</w:t>
      </w:r>
      <w:r>
        <w:rPr>
          <w:rFonts w:hint="eastAsia"/>
          <w:kern w:val="14"/>
        </w:rPr>
        <w:t>34 000</w:t>
      </w:r>
      <w:r>
        <w:rPr>
          <w:rFonts w:hint="eastAsia"/>
          <w:kern w:val="14"/>
        </w:rPr>
        <w:t>人，而在</w:t>
      </w:r>
      <w:r>
        <w:rPr>
          <w:rFonts w:hint="eastAsia"/>
          <w:kern w:val="14"/>
        </w:rPr>
        <w:t>2006</w:t>
      </w:r>
      <w:r>
        <w:rPr>
          <w:rFonts w:hint="eastAsia"/>
          <w:kern w:val="14"/>
        </w:rPr>
        <w:t>年该数字已经增长到</w:t>
      </w:r>
      <w:r>
        <w:rPr>
          <w:rFonts w:hint="eastAsia"/>
          <w:kern w:val="14"/>
        </w:rPr>
        <w:t>9</w:t>
      </w:r>
      <w:r>
        <w:rPr>
          <w:rFonts w:hint="eastAsia"/>
          <w:kern w:val="14"/>
        </w:rPr>
        <w:t>万多人。同期，残疾人日间护理中心也从</w:t>
      </w:r>
      <w:r>
        <w:rPr>
          <w:rFonts w:hint="eastAsia"/>
          <w:kern w:val="14"/>
        </w:rPr>
        <w:t>2003</w:t>
      </w:r>
      <w:r>
        <w:rPr>
          <w:rFonts w:hint="eastAsia"/>
          <w:kern w:val="14"/>
        </w:rPr>
        <w:t>年的</w:t>
      </w:r>
      <w:r>
        <w:rPr>
          <w:rFonts w:hint="eastAsia"/>
          <w:kern w:val="14"/>
        </w:rPr>
        <w:t>59</w:t>
      </w:r>
      <w:r>
        <w:rPr>
          <w:rFonts w:hint="eastAsia"/>
          <w:kern w:val="14"/>
        </w:rPr>
        <w:t>所增加到</w:t>
      </w:r>
      <w:r>
        <w:rPr>
          <w:rFonts w:hint="eastAsia"/>
          <w:kern w:val="14"/>
        </w:rPr>
        <w:t>2005</w:t>
      </w:r>
      <w:r>
        <w:rPr>
          <w:rFonts w:hint="eastAsia"/>
          <w:kern w:val="14"/>
        </w:rPr>
        <w:t>年的</w:t>
      </w:r>
      <w:r>
        <w:rPr>
          <w:rFonts w:hint="eastAsia"/>
          <w:kern w:val="14"/>
        </w:rPr>
        <w:t>92</w:t>
      </w:r>
      <w:r>
        <w:rPr>
          <w:rFonts w:hint="eastAsia"/>
          <w:kern w:val="14"/>
        </w:rPr>
        <w:t>所。</w:t>
      </w:r>
      <w:r>
        <w:rPr>
          <w:rFonts w:hint="eastAsia"/>
          <w:kern w:val="14"/>
        </w:rPr>
        <w:t>2003</w:t>
      </w:r>
      <w:r>
        <w:rPr>
          <w:rFonts w:hint="eastAsia"/>
          <w:kern w:val="14"/>
        </w:rPr>
        <w:t>年，有</w:t>
      </w:r>
      <w:r>
        <w:rPr>
          <w:kern w:val="14"/>
        </w:rPr>
        <w:t>17</w:t>
      </w:r>
      <w:r>
        <w:rPr>
          <w:rFonts w:hint="eastAsia"/>
          <w:kern w:val="14"/>
        </w:rPr>
        <w:t xml:space="preserve"> </w:t>
      </w:r>
      <w:r>
        <w:rPr>
          <w:kern w:val="14"/>
        </w:rPr>
        <w:t>5</w:t>
      </w:r>
      <w:r>
        <w:rPr>
          <w:rFonts w:hint="eastAsia"/>
          <w:kern w:val="14"/>
        </w:rPr>
        <w:t>00</w:t>
      </w:r>
      <w:r>
        <w:rPr>
          <w:rFonts w:hint="eastAsia"/>
          <w:kern w:val="14"/>
        </w:rPr>
        <w:t>名成年人和</w:t>
      </w:r>
      <w:r>
        <w:rPr>
          <w:kern w:val="14"/>
        </w:rPr>
        <w:t>9</w:t>
      </w:r>
      <w:r>
        <w:rPr>
          <w:rFonts w:hint="eastAsia"/>
          <w:kern w:val="14"/>
        </w:rPr>
        <w:t>00</w:t>
      </w:r>
      <w:r>
        <w:rPr>
          <w:rFonts w:hint="eastAsia"/>
          <w:kern w:val="14"/>
        </w:rPr>
        <w:t>名儿童得到这种服务，而在</w:t>
      </w:r>
      <w:r>
        <w:rPr>
          <w:rFonts w:hint="eastAsia"/>
          <w:kern w:val="14"/>
        </w:rPr>
        <w:t>2006</w:t>
      </w:r>
      <w:r>
        <w:rPr>
          <w:rFonts w:hint="eastAsia"/>
          <w:kern w:val="14"/>
        </w:rPr>
        <w:t>年得到这种服务的有</w:t>
      </w:r>
      <w:r>
        <w:rPr>
          <w:kern w:val="14"/>
        </w:rPr>
        <w:t>49</w:t>
      </w:r>
      <w:r>
        <w:rPr>
          <w:rFonts w:hint="eastAsia"/>
          <w:kern w:val="14"/>
        </w:rPr>
        <w:t xml:space="preserve"> </w:t>
      </w:r>
      <w:r>
        <w:rPr>
          <w:kern w:val="14"/>
        </w:rPr>
        <w:t>3</w:t>
      </w:r>
      <w:r>
        <w:rPr>
          <w:rFonts w:hint="eastAsia"/>
          <w:kern w:val="14"/>
        </w:rPr>
        <w:t>00</w:t>
      </w:r>
      <w:r>
        <w:rPr>
          <w:rFonts w:hint="eastAsia"/>
          <w:kern w:val="14"/>
        </w:rPr>
        <w:t>名成年人和</w:t>
      </w:r>
      <w:r>
        <w:rPr>
          <w:kern w:val="14"/>
        </w:rPr>
        <w:t>5</w:t>
      </w:r>
      <w:r>
        <w:rPr>
          <w:rFonts w:hint="eastAsia"/>
          <w:kern w:val="14"/>
        </w:rPr>
        <w:t xml:space="preserve"> </w:t>
      </w:r>
      <w:r>
        <w:rPr>
          <w:kern w:val="14"/>
        </w:rPr>
        <w:t>8</w:t>
      </w:r>
      <w:r>
        <w:rPr>
          <w:rFonts w:hint="eastAsia"/>
          <w:kern w:val="14"/>
        </w:rPr>
        <w:t>00</w:t>
      </w:r>
      <w:r>
        <w:rPr>
          <w:rFonts w:hint="eastAsia"/>
          <w:kern w:val="14"/>
        </w:rPr>
        <w:t>名儿童。儿童日托中心的数量也在迅速增长：从</w:t>
      </w:r>
      <w:r>
        <w:rPr>
          <w:rFonts w:hint="eastAsia"/>
          <w:kern w:val="14"/>
        </w:rPr>
        <w:t>2001</w:t>
      </w:r>
      <w:r>
        <w:rPr>
          <w:rFonts w:hint="eastAsia"/>
          <w:kern w:val="14"/>
        </w:rPr>
        <w:t>年的</w:t>
      </w:r>
      <w:r>
        <w:rPr>
          <w:kern w:val="14"/>
        </w:rPr>
        <w:t>17</w:t>
      </w:r>
      <w:r>
        <w:rPr>
          <w:rFonts w:hint="eastAsia"/>
          <w:kern w:val="14"/>
        </w:rPr>
        <w:t>所增至目前的</w:t>
      </w:r>
      <w:r>
        <w:rPr>
          <w:kern w:val="14"/>
        </w:rPr>
        <w:t>120</w:t>
      </w:r>
      <w:r>
        <w:rPr>
          <w:rFonts w:hint="eastAsia"/>
          <w:kern w:val="14"/>
        </w:rPr>
        <w:t>所。门诊社会服务的发展（日间社会护理中心、老年人和残疾人之家、家庭支助和危机处理中心）部分得到欧盟结构基金的资助。</w:t>
      </w:r>
      <w:r>
        <w:rPr>
          <w:kern w:val="14"/>
        </w:rPr>
        <w:t>2004-2006</w:t>
      </w:r>
      <w:r>
        <w:rPr>
          <w:rFonts w:hint="eastAsia"/>
          <w:kern w:val="14"/>
        </w:rPr>
        <w:t>年间，欧洲区域发展基金拨款</w:t>
      </w:r>
      <w:r>
        <w:rPr>
          <w:kern w:val="14"/>
        </w:rPr>
        <w:t>5</w:t>
      </w:r>
      <w:r>
        <w:rPr>
          <w:rFonts w:hint="eastAsia"/>
          <w:kern w:val="14"/>
        </w:rPr>
        <w:t xml:space="preserve"> </w:t>
      </w:r>
      <w:r>
        <w:rPr>
          <w:kern w:val="14"/>
        </w:rPr>
        <w:t>37</w:t>
      </w:r>
      <w:r>
        <w:rPr>
          <w:rFonts w:hint="eastAsia"/>
          <w:kern w:val="14"/>
        </w:rPr>
        <w:t>0</w:t>
      </w:r>
      <w:r>
        <w:rPr>
          <w:rFonts w:hint="eastAsia"/>
          <w:kern w:val="14"/>
        </w:rPr>
        <w:t>万</w:t>
      </w:r>
      <w:r>
        <w:rPr>
          <w:kern w:val="14"/>
        </w:rPr>
        <w:t>立特</w:t>
      </w:r>
      <w:r>
        <w:rPr>
          <w:rFonts w:hint="eastAsia"/>
          <w:kern w:val="14"/>
        </w:rPr>
        <w:t>，用于支持社会服务项目。欧洲区域发展基金计划在</w:t>
      </w:r>
      <w:r>
        <w:rPr>
          <w:kern w:val="14"/>
        </w:rPr>
        <w:t>2007-2013</w:t>
      </w:r>
      <w:r>
        <w:rPr>
          <w:rFonts w:hint="eastAsia"/>
          <w:kern w:val="14"/>
        </w:rPr>
        <w:t>年间为发展社会服务拨款约</w:t>
      </w:r>
      <w:r>
        <w:rPr>
          <w:kern w:val="14"/>
        </w:rPr>
        <w:t>1</w:t>
      </w:r>
      <w:r>
        <w:rPr>
          <w:rFonts w:hint="eastAsia"/>
          <w:kern w:val="14"/>
        </w:rPr>
        <w:t>.</w:t>
      </w:r>
      <w:r>
        <w:rPr>
          <w:kern w:val="14"/>
        </w:rPr>
        <w:t>52</w:t>
      </w:r>
      <w:r>
        <w:rPr>
          <w:rFonts w:hint="eastAsia"/>
          <w:kern w:val="14"/>
        </w:rPr>
        <w:t>亿</w:t>
      </w:r>
      <w:r>
        <w:rPr>
          <w:kern w:val="14"/>
        </w:rPr>
        <w:t>立特</w:t>
      </w:r>
      <w:r>
        <w:rPr>
          <w:rFonts w:hint="eastAsia"/>
          <w:kern w:val="14"/>
        </w:rPr>
        <w:t>。</w:t>
      </w:r>
    </w:p>
    <w:p w:rsidR="00595751" w:rsidRDefault="00595751">
      <w:pPr>
        <w:tabs>
          <w:tab w:val="left" w:pos="630"/>
        </w:tabs>
        <w:spacing w:after="240" w:line="360" w:lineRule="exact"/>
        <w:rPr>
          <w:rFonts w:hint="eastAsia"/>
          <w:kern w:val="14"/>
        </w:rPr>
      </w:pPr>
      <w:r>
        <w:rPr>
          <w:rFonts w:hint="eastAsia"/>
          <w:lang w:val="en-GB"/>
        </w:rPr>
        <w:t xml:space="preserve">175. </w:t>
      </w:r>
      <w:r>
        <w:rPr>
          <w:rFonts w:hint="eastAsia"/>
          <w:lang w:val="en-GB"/>
        </w:rPr>
        <w:tab/>
      </w:r>
      <w:r>
        <w:rPr>
          <w:rFonts w:hint="eastAsia"/>
          <w:kern w:val="14"/>
        </w:rPr>
        <w:t>政府</w:t>
      </w:r>
      <w:r>
        <w:rPr>
          <w:kern w:val="14"/>
        </w:rPr>
        <w:t>2007</w:t>
      </w:r>
      <w:r>
        <w:rPr>
          <w:rFonts w:hint="eastAsia"/>
          <w:kern w:val="14"/>
        </w:rPr>
        <w:t>年</w:t>
      </w:r>
      <w:r>
        <w:rPr>
          <w:rFonts w:hint="eastAsia"/>
          <w:kern w:val="14"/>
        </w:rPr>
        <w:t>8</w:t>
      </w:r>
      <w:r>
        <w:rPr>
          <w:rFonts w:hint="eastAsia"/>
          <w:kern w:val="14"/>
        </w:rPr>
        <w:t>月</w:t>
      </w:r>
      <w:r>
        <w:rPr>
          <w:rFonts w:hint="eastAsia"/>
          <w:kern w:val="14"/>
        </w:rPr>
        <w:t>8</w:t>
      </w:r>
      <w:r>
        <w:rPr>
          <w:rFonts w:hint="eastAsia"/>
          <w:kern w:val="14"/>
        </w:rPr>
        <w:t>日第</w:t>
      </w:r>
      <w:r>
        <w:rPr>
          <w:rFonts w:hint="eastAsia"/>
          <w:kern w:val="14"/>
        </w:rPr>
        <w:t>854</w:t>
      </w:r>
      <w:r>
        <w:rPr>
          <w:rFonts w:hint="eastAsia"/>
          <w:kern w:val="14"/>
        </w:rPr>
        <w:t>号决议修正了政府</w:t>
      </w:r>
      <w:r>
        <w:rPr>
          <w:rFonts w:hint="eastAsia"/>
          <w:kern w:val="14"/>
        </w:rPr>
        <w:t>2005</w:t>
      </w:r>
      <w:r>
        <w:rPr>
          <w:rFonts w:hint="eastAsia"/>
          <w:kern w:val="14"/>
        </w:rPr>
        <w:t>年</w:t>
      </w:r>
      <w:r>
        <w:rPr>
          <w:rFonts w:hint="eastAsia"/>
          <w:kern w:val="14"/>
        </w:rPr>
        <w:t>11</w:t>
      </w:r>
      <w:r>
        <w:rPr>
          <w:rFonts w:hint="eastAsia"/>
          <w:kern w:val="14"/>
        </w:rPr>
        <w:t>月</w:t>
      </w:r>
      <w:r>
        <w:rPr>
          <w:rFonts w:hint="eastAsia"/>
          <w:kern w:val="14"/>
        </w:rPr>
        <w:t>22</w:t>
      </w:r>
      <w:r>
        <w:rPr>
          <w:rFonts w:hint="eastAsia"/>
          <w:kern w:val="14"/>
        </w:rPr>
        <w:t>日第</w:t>
      </w:r>
      <w:r>
        <w:rPr>
          <w:rFonts w:hint="eastAsia"/>
          <w:kern w:val="14"/>
        </w:rPr>
        <w:t>1270</w:t>
      </w:r>
      <w:r>
        <w:rPr>
          <w:rFonts w:hint="eastAsia"/>
          <w:kern w:val="14"/>
        </w:rPr>
        <w:t>号决议“关于《国家里斯本战略执行方案》”（</w:t>
      </w:r>
      <w:r>
        <w:rPr>
          <w:rFonts w:hint="eastAsia"/>
          <w:kern w:val="14"/>
        </w:rPr>
        <w:t>2007</w:t>
      </w:r>
      <w:r>
        <w:rPr>
          <w:rFonts w:hint="eastAsia"/>
          <w:kern w:val="14"/>
        </w:rPr>
        <w:t>年第</w:t>
      </w:r>
      <w:r>
        <w:rPr>
          <w:kern w:val="14"/>
        </w:rPr>
        <w:t>92-3699</w:t>
      </w:r>
      <w:r>
        <w:rPr>
          <w:rFonts w:hint="eastAsia"/>
          <w:kern w:val="14"/>
        </w:rPr>
        <w:t>号</w:t>
      </w:r>
      <w:r>
        <w:rPr>
          <w:kern w:val="14"/>
        </w:rPr>
        <w:t>《政府公报》</w:t>
      </w:r>
      <w:r>
        <w:rPr>
          <w:rFonts w:hint="eastAsia"/>
          <w:kern w:val="14"/>
        </w:rPr>
        <w:t>）。据此，《国家里斯本战略执行方案》于</w:t>
      </w:r>
      <w:r>
        <w:rPr>
          <w:rFonts w:hint="eastAsia"/>
          <w:kern w:val="14"/>
        </w:rPr>
        <w:t>2007</w:t>
      </w:r>
      <w:r>
        <w:rPr>
          <w:rFonts w:hint="eastAsia"/>
          <w:kern w:val="14"/>
        </w:rPr>
        <w:t>年增补了以社会性别主流化为宗旨的第</w:t>
      </w:r>
      <w:r>
        <w:rPr>
          <w:rFonts w:hint="eastAsia"/>
          <w:kern w:val="14"/>
        </w:rPr>
        <w:t>8.7</w:t>
      </w:r>
      <w:r>
        <w:rPr>
          <w:rFonts w:hint="eastAsia"/>
          <w:kern w:val="14"/>
        </w:rPr>
        <w:t>项措施，将社会责任纳入执行方案，从而为发展家庭友好型工作场所创造了条件。家庭友好型工作场所模式应当提供以下机会，即让儿童及其他受扶养人获得优质而方便的护理服务；制订灵活的工作安排；以及在雇主和工会或其他雇员代表当中开展男女平等宣传活动。对有关家庭友好型工作场所的发展项目的支助不仅来自国家预算，而且来自欧洲社会基金。</w:t>
      </w:r>
    </w:p>
    <w:p w:rsidR="00595751" w:rsidRDefault="00595751">
      <w:pPr>
        <w:pStyle w:val="H1"/>
        <w:spacing w:line="340" w:lineRule="exact"/>
        <w:rPr>
          <w:lang w:val="en-GB"/>
        </w:rPr>
      </w:pPr>
      <w:r>
        <w:rPr>
          <w:rFonts w:hint="eastAsia"/>
          <w:lang w:val="en-GB"/>
        </w:rPr>
        <w:t>第</w:t>
      </w:r>
      <w:r>
        <w:rPr>
          <w:lang w:val="en-GB"/>
        </w:rPr>
        <w:t>12</w:t>
      </w:r>
      <w:r>
        <w:rPr>
          <w:rFonts w:hint="eastAsia"/>
          <w:lang w:val="en-GB"/>
        </w:rPr>
        <w:t>条</w:t>
      </w:r>
    </w:p>
    <w:p w:rsidR="00595751" w:rsidRDefault="00595751">
      <w:pPr>
        <w:pStyle w:val="H23"/>
        <w:rPr>
          <w:b w:val="0"/>
          <w:bCs w:val="0"/>
          <w:lang w:val="en-GB"/>
        </w:rPr>
      </w:pPr>
      <w:r>
        <w:rPr>
          <w:rFonts w:hint="eastAsia"/>
          <w:b w:val="0"/>
          <w:bCs w:val="0"/>
          <w:lang w:val="en-GB"/>
        </w:rPr>
        <w:t>第</w:t>
      </w:r>
      <w:r>
        <w:rPr>
          <w:b w:val="0"/>
          <w:bCs w:val="0"/>
          <w:lang w:val="en-GB"/>
        </w:rPr>
        <w:t>1</w:t>
      </w:r>
      <w:r>
        <w:rPr>
          <w:rFonts w:hint="eastAsia"/>
          <w:b w:val="0"/>
          <w:bCs w:val="0"/>
          <w:lang w:val="en-GB"/>
        </w:rPr>
        <w:t>款</w:t>
      </w:r>
    </w:p>
    <w:p w:rsidR="00595751" w:rsidRDefault="00595751">
      <w:pPr>
        <w:tabs>
          <w:tab w:val="left" w:pos="630"/>
        </w:tabs>
        <w:spacing w:after="240" w:line="360" w:lineRule="exact"/>
        <w:rPr>
          <w:kern w:val="14"/>
        </w:rPr>
      </w:pPr>
      <w:r>
        <w:rPr>
          <w:rFonts w:hint="eastAsia"/>
          <w:lang w:val="en-GB"/>
        </w:rPr>
        <w:t>176.</w:t>
      </w:r>
      <w:r>
        <w:rPr>
          <w:rFonts w:hint="eastAsia"/>
          <w:lang w:val="en-GB"/>
        </w:rPr>
        <w:tab/>
      </w:r>
      <w:r>
        <w:rPr>
          <w:rFonts w:hint="eastAsia"/>
          <w:kern w:val="14"/>
        </w:rPr>
        <w:t>有关保健的法律不包含任何歧视性规定。在</w:t>
      </w:r>
      <w:r>
        <w:rPr>
          <w:kern w:val="14"/>
        </w:rPr>
        <w:t>立陶宛</w:t>
      </w:r>
      <w:r>
        <w:rPr>
          <w:rFonts w:hint="eastAsia"/>
          <w:kern w:val="14"/>
        </w:rPr>
        <w:t>，不论男女人人有权享受同样的保健护理，其中包括但不限于私营计划生育中心和国营保健机构提供的服务。</w:t>
      </w:r>
    </w:p>
    <w:p w:rsidR="00595751" w:rsidRDefault="00595751">
      <w:pPr>
        <w:tabs>
          <w:tab w:val="left" w:pos="630"/>
        </w:tabs>
        <w:spacing w:after="240" w:line="360" w:lineRule="exact"/>
        <w:rPr>
          <w:kern w:val="14"/>
        </w:rPr>
      </w:pPr>
      <w:r>
        <w:rPr>
          <w:rFonts w:hint="eastAsia"/>
          <w:lang w:val="en-GB"/>
        </w:rPr>
        <w:t>177.</w:t>
      </w:r>
      <w:r>
        <w:rPr>
          <w:rFonts w:hint="eastAsia"/>
          <w:lang w:val="en-GB"/>
        </w:rPr>
        <w:tab/>
      </w:r>
      <w:r>
        <w:rPr>
          <w:rFonts w:hint="eastAsia"/>
          <w:kern w:val="14"/>
        </w:rPr>
        <w:t>《</w:t>
      </w:r>
      <w:r>
        <w:rPr>
          <w:kern w:val="14"/>
        </w:rPr>
        <w:t>2005-2009</w:t>
      </w:r>
      <w:r>
        <w:rPr>
          <w:rFonts w:hint="eastAsia"/>
          <w:kern w:val="14"/>
        </w:rPr>
        <w:t>年国家男女机会均等方案》的目标之一，就是在保健领域确保男女机会均等。这方面的任务包括：应对妇女和男子特有的健康问题；谋求延长男子的预期寿命，即缩小男女预期寿命的差距；开展有关计划生育和生殖健康问题的宣传教育活动，尤其是在农村地区。</w:t>
      </w:r>
    </w:p>
    <w:p w:rsidR="00595751" w:rsidRDefault="00595751">
      <w:pPr>
        <w:tabs>
          <w:tab w:val="left" w:pos="630"/>
        </w:tabs>
        <w:spacing w:after="240" w:line="360" w:lineRule="exact"/>
        <w:rPr>
          <w:kern w:val="14"/>
        </w:rPr>
      </w:pPr>
      <w:r>
        <w:rPr>
          <w:rFonts w:hint="eastAsia"/>
          <w:lang w:val="en-GB"/>
        </w:rPr>
        <w:t>178.</w:t>
      </w:r>
      <w:r>
        <w:rPr>
          <w:rFonts w:hint="eastAsia"/>
          <w:lang w:val="en-GB"/>
        </w:rPr>
        <w:tab/>
      </w:r>
      <w:r>
        <w:rPr>
          <w:rFonts w:hint="eastAsia"/>
          <w:kern w:val="14"/>
        </w:rPr>
        <w:t>根据上述任务要求，立陶宛执行了各种具体措施。为了呼吁妇女关心自身的健康，尤其是采取预防癌症措施，各个医疗机构印刷并散发了一份题为“让妇女感到安全”的传单。在一个电视频道使用移动条形字幕，敦促妇女进行癌症检查。立陶宛经常在全国各大日报和区域报刊上发表相关的信息和咨询文章；同时在国家广播电台通过广告宣传疾病预防方案。</w:t>
      </w:r>
      <w:r>
        <w:rPr>
          <w:kern w:val="14"/>
        </w:rPr>
        <w:t>2006</w:t>
      </w:r>
      <w:r>
        <w:rPr>
          <w:rFonts w:hint="eastAsia"/>
          <w:kern w:val="14"/>
        </w:rPr>
        <w:t>年，有关方面印刷并散发了题为“家庭计划生育常识”和“计划生育与性传播疾病知识”的传单。</w:t>
      </w:r>
    </w:p>
    <w:p w:rsidR="00595751" w:rsidRDefault="00595751">
      <w:pPr>
        <w:tabs>
          <w:tab w:val="left" w:pos="630"/>
        </w:tabs>
        <w:spacing w:after="240" w:line="360" w:lineRule="exact"/>
        <w:rPr>
          <w:kern w:val="14"/>
        </w:rPr>
      </w:pPr>
      <w:r>
        <w:rPr>
          <w:rFonts w:hint="eastAsia"/>
          <w:lang w:val="en-GB"/>
        </w:rPr>
        <w:t>179.</w:t>
      </w:r>
      <w:r>
        <w:rPr>
          <w:rFonts w:hint="eastAsia"/>
          <w:lang w:val="en-GB"/>
        </w:rPr>
        <w:tab/>
      </w:r>
      <w:r>
        <w:rPr>
          <w:rFonts w:hint="eastAsia"/>
          <w:kern w:val="14"/>
        </w:rPr>
        <w:t>自</w:t>
      </w:r>
      <w:r>
        <w:rPr>
          <w:kern w:val="14"/>
        </w:rPr>
        <w:t>2004</w:t>
      </w:r>
      <w:r>
        <w:rPr>
          <w:rFonts w:hint="eastAsia"/>
          <w:kern w:val="14"/>
        </w:rPr>
        <w:t>年</w:t>
      </w:r>
      <w:r>
        <w:rPr>
          <w:rFonts w:hint="eastAsia"/>
          <w:kern w:val="14"/>
        </w:rPr>
        <w:t>7</w:t>
      </w:r>
      <w:r>
        <w:rPr>
          <w:rFonts w:hint="eastAsia"/>
          <w:kern w:val="14"/>
        </w:rPr>
        <w:t>月以来，根据卫生部长</w:t>
      </w:r>
      <w:r>
        <w:rPr>
          <w:rFonts w:hint="eastAsia"/>
          <w:kern w:val="14"/>
        </w:rPr>
        <w:t>2004</w:t>
      </w:r>
      <w:r>
        <w:rPr>
          <w:rFonts w:hint="eastAsia"/>
          <w:kern w:val="14"/>
        </w:rPr>
        <w:t>年</w:t>
      </w:r>
      <w:r>
        <w:rPr>
          <w:rFonts w:hint="eastAsia"/>
          <w:kern w:val="14"/>
        </w:rPr>
        <w:t>6</w:t>
      </w:r>
      <w:r>
        <w:rPr>
          <w:rFonts w:hint="eastAsia"/>
          <w:kern w:val="14"/>
        </w:rPr>
        <w:t>月</w:t>
      </w:r>
      <w:r>
        <w:rPr>
          <w:rFonts w:hint="eastAsia"/>
          <w:kern w:val="14"/>
        </w:rPr>
        <w:t>30</w:t>
      </w:r>
      <w:r>
        <w:rPr>
          <w:rFonts w:hint="eastAsia"/>
          <w:kern w:val="14"/>
        </w:rPr>
        <w:t>日第</w:t>
      </w:r>
      <w:r>
        <w:rPr>
          <w:kern w:val="14"/>
        </w:rPr>
        <w:t>V-482</w:t>
      </w:r>
      <w:r>
        <w:rPr>
          <w:rFonts w:hint="eastAsia"/>
          <w:kern w:val="14"/>
        </w:rPr>
        <w:t>号命令，“关于批准用强制健康保险基金的预算资助预防宫颈癌的措施”（</w:t>
      </w:r>
      <w:r>
        <w:rPr>
          <w:rFonts w:hint="eastAsia"/>
          <w:kern w:val="14"/>
        </w:rPr>
        <w:t>2004</w:t>
      </w:r>
      <w:r>
        <w:rPr>
          <w:rFonts w:hint="eastAsia"/>
          <w:kern w:val="14"/>
        </w:rPr>
        <w:t>年第</w:t>
      </w:r>
      <w:r>
        <w:rPr>
          <w:kern w:val="14"/>
        </w:rPr>
        <w:t>104-3856</w:t>
      </w:r>
      <w:r>
        <w:rPr>
          <w:rFonts w:hint="eastAsia"/>
          <w:kern w:val="14"/>
        </w:rPr>
        <w:t>号</w:t>
      </w:r>
      <w:r>
        <w:rPr>
          <w:kern w:val="14"/>
        </w:rPr>
        <w:t>《政府公报》</w:t>
      </w:r>
      <w:r>
        <w:rPr>
          <w:rFonts w:hint="eastAsia"/>
          <w:kern w:val="14"/>
        </w:rPr>
        <w:t>），立陶宛在全国执行了宫颈癌检查方案。这是一项由国家支助的、以立陶宛境内所有</w:t>
      </w:r>
      <w:r>
        <w:rPr>
          <w:kern w:val="14"/>
        </w:rPr>
        <w:t>30</w:t>
      </w:r>
      <w:r>
        <w:rPr>
          <w:rFonts w:hint="eastAsia"/>
          <w:kern w:val="14"/>
        </w:rPr>
        <w:t>至</w:t>
      </w:r>
      <w:r>
        <w:rPr>
          <w:kern w:val="14"/>
        </w:rPr>
        <w:t>60</w:t>
      </w:r>
      <w:r>
        <w:rPr>
          <w:rFonts w:hint="eastAsia"/>
          <w:kern w:val="14"/>
        </w:rPr>
        <w:t>岁妇女为对象的防病方案。该方案体现了政府对妇女健康的长远关注：这种检查必须每三年重复一次。该方案由强制健康保险基金的预算支助，为此，</w:t>
      </w:r>
      <w:r>
        <w:rPr>
          <w:rFonts w:hint="eastAsia"/>
          <w:kern w:val="14"/>
        </w:rPr>
        <w:t>2004</w:t>
      </w:r>
      <w:r>
        <w:rPr>
          <w:rFonts w:hint="eastAsia"/>
          <w:kern w:val="14"/>
        </w:rPr>
        <w:t>年拨款</w:t>
      </w:r>
      <w:r>
        <w:rPr>
          <w:rFonts w:hint="eastAsia"/>
          <w:kern w:val="14"/>
        </w:rPr>
        <w:t>400</w:t>
      </w:r>
      <w:r>
        <w:rPr>
          <w:rFonts w:hint="eastAsia"/>
          <w:kern w:val="14"/>
        </w:rPr>
        <w:t>万立特，</w:t>
      </w:r>
      <w:r>
        <w:rPr>
          <w:rFonts w:hint="eastAsia"/>
          <w:kern w:val="14"/>
        </w:rPr>
        <w:t>2005</w:t>
      </w:r>
      <w:r>
        <w:rPr>
          <w:rFonts w:hint="eastAsia"/>
          <w:kern w:val="14"/>
        </w:rPr>
        <w:t>年拨款</w:t>
      </w:r>
      <w:r>
        <w:rPr>
          <w:rFonts w:hint="eastAsia"/>
          <w:kern w:val="14"/>
        </w:rPr>
        <w:t>400</w:t>
      </w:r>
      <w:r>
        <w:rPr>
          <w:rFonts w:hint="eastAsia"/>
          <w:kern w:val="14"/>
        </w:rPr>
        <w:t>万立特，</w:t>
      </w:r>
      <w:r>
        <w:rPr>
          <w:rFonts w:hint="eastAsia"/>
          <w:kern w:val="14"/>
        </w:rPr>
        <w:t>2006</w:t>
      </w:r>
      <w:r>
        <w:rPr>
          <w:rFonts w:hint="eastAsia"/>
          <w:kern w:val="14"/>
        </w:rPr>
        <w:t>年拨款</w:t>
      </w:r>
      <w:r>
        <w:rPr>
          <w:rFonts w:hint="eastAsia"/>
          <w:kern w:val="14"/>
        </w:rPr>
        <w:t>380</w:t>
      </w:r>
      <w:r>
        <w:rPr>
          <w:rFonts w:hint="eastAsia"/>
          <w:kern w:val="14"/>
        </w:rPr>
        <w:t>万立特。在两年半时间里，总共有</w:t>
      </w:r>
      <w:r>
        <w:rPr>
          <w:rFonts w:hint="eastAsia"/>
          <w:kern w:val="14"/>
        </w:rPr>
        <w:t>29.4</w:t>
      </w:r>
      <w:r>
        <w:rPr>
          <w:rFonts w:hint="eastAsia"/>
          <w:kern w:val="14"/>
        </w:rPr>
        <w:t>万妇女接受了检查，占</w:t>
      </w:r>
      <w:r>
        <w:rPr>
          <w:kern w:val="14"/>
        </w:rPr>
        <w:t>30</w:t>
      </w:r>
      <w:r>
        <w:rPr>
          <w:rFonts w:hint="eastAsia"/>
          <w:kern w:val="14"/>
        </w:rPr>
        <w:t>至</w:t>
      </w:r>
      <w:r>
        <w:rPr>
          <w:kern w:val="14"/>
        </w:rPr>
        <w:t>60</w:t>
      </w:r>
      <w:r>
        <w:rPr>
          <w:rFonts w:hint="eastAsia"/>
          <w:kern w:val="14"/>
        </w:rPr>
        <w:t>岁妇女总数的</w:t>
      </w:r>
      <w:r>
        <w:rPr>
          <w:kern w:val="14"/>
        </w:rPr>
        <w:t>39%</w:t>
      </w:r>
      <w:r>
        <w:rPr>
          <w:rFonts w:hint="eastAsia"/>
          <w:kern w:val="14"/>
        </w:rPr>
        <w:t>。原位宫颈癌与这个年龄的妇女诊断出的侵袭性癌症之比超过</w:t>
      </w:r>
      <w:r>
        <w:rPr>
          <w:rFonts w:hint="eastAsia"/>
          <w:kern w:val="14"/>
        </w:rPr>
        <w:t>50%</w:t>
      </w:r>
      <w:r>
        <w:rPr>
          <w:rFonts w:hint="eastAsia"/>
          <w:kern w:val="14"/>
        </w:rPr>
        <w:t>，由此证明了预防措施的实效，并且提高了人们对降低宫颈癌发病率和死亡率的期望。</w:t>
      </w:r>
    </w:p>
    <w:p w:rsidR="00595751" w:rsidRDefault="00595751">
      <w:pPr>
        <w:tabs>
          <w:tab w:val="left" w:pos="630"/>
        </w:tabs>
        <w:spacing w:after="240" w:line="360" w:lineRule="exact"/>
        <w:rPr>
          <w:kern w:val="14"/>
        </w:rPr>
      </w:pPr>
      <w:bookmarkStart w:id="19" w:name="_Hlt182901058"/>
      <w:bookmarkStart w:id="20" w:name="_Hlt182901059"/>
      <w:r>
        <w:rPr>
          <w:rFonts w:hint="eastAsia"/>
          <w:lang w:val="en-GB"/>
        </w:rPr>
        <w:t>180.</w:t>
      </w:r>
      <w:r>
        <w:rPr>
          <w:rFonts w:hint="eastAsia"/>
          <w:lang w:val="en-GB"/>
        </w:rPr>
        <w:tab/>
      </w:r>
      <w:r>
        <w:rPr>
          <w:rFonts w:hint="eastAsia"/>
          <w:kern w:val="14"/>
        </w:rPr>
        <w:t>根据卫生部长</w:t>
      </w:r>
      <w:r>
        <w:rPr>
          <w:rFonts w:hint="eastAsia"/>
          <w:kern w:val="14"/>
        </w:rPr>
        <w:t>2005</w:t>
      </w:r>
      <w:r>
        <w:rPr>
          <w:rFonts w:hint="eastAsia"/>
          <w:kern w:val="14"/>
        </w:rPr>
        <w:t>年</w:t>
      </w:r>
      <w:r>
        <w:rPr>
          <w:rFonts w:hint="eastAsia"/>
          <w:kern w:val="14"/>
        </w:rPr>
        <w:t>9</w:t>
      </w:r>
      <w:r>
        <w:rPr>
          <w:rFonts w:hint="eastAsia"/>
          <w:kern w:val="14"/>
        </w:rPr>
        <w:t>月</w:t>
      </w:r>
      <w:r>
        <w:rPr>
          <w:rFonts w:hint="eastAsia"/>
          <w:kern w:val="14"/>
        </w:rPr>
        <w:t>23</w:t>
      </w:r>
      <w:r>
        <w:rPr>
          <w:rFonts w:hint="eastAsia"/>
          <w:kern w:val="14"/>
        </w:rPr>
        <w:t>日第</w:t>
      </w:r>
      <w:r>
        <w:rPr>
          <w:kern w:val="14"/>
        </w:rPr>
        <w:t>V-729</w:t>
      </w:r>
      <w:r>
        <w:rPr>
          <w:rFonts w:hint="eastAsia"/>
          <w:kern w:val="14"/>
        </w:rPr>
        <w:t>号命令，“关于批准资助乳腺癌检查方案”（</w:t>
      </w:r>
      <w:r>
        <w:rPr>
          <w:rFonts w:hint="eastAsia"/>
          <w:kern w:val="14"/>
        </w:rPr>
        <w:t>2005</w:t>
      </w:r>
      <w:r>
        <w:rPr>
          <w:rFonts w:hint="eastAsia"/>
          <w:kern w:val="14"/>
        </w:rPr>
        <w:t>年第</w:t>
      </w:r>
      <w:r>
        <w:rPr>
          <w:kern w:val="14"/>
        </w:rPr>
        <w:t>1</w:t>
      </w:r>
      <w:r>
        <w:rPr>
          <w:rFonts w:hint="eastAsia"/>
          <w:kern w:val="14"/>
        </w:rPr>
        <w:t>17</w:t>
      </w:r>
      <w:r>
        <w:rPr>
          <w:kern w:val="14"/>
        </w:rPr>
        <w:t>-</w:t>
      </w:r>
      <w:r>
        <w:rPr>
          <w:rFonts w:hint="eastAsia"/>
          <w:kern w:val="14"/>
        </w:rPr>
        <w:t>4249</w:t>
      </w:r>
      <w:r>
        <w:rPr>
          <w:rFonts w:hint="eastAsia"/>
          <w:kern w:val="14"/>
        </w:rPr>
        <w:t>号</w:t>
      </w:r>
      <w:r>
        <w:rPr>
          <w:kern w:val="14"/>
        </w:rPr>
        <w:t>《政府公报》</w:t>
      </w:r>
      <w:r>
        <w:rPr>
          <w:rFonts w:hint="eastAsia"/>
          <w:kern w:val="14"/>
        </w:rPr>
        <w:t>），</w:t>
      </w:r>
      <w:r>
        <w:rPr>
          <w:kern w:val="14"/>
        </w:rPr>
        <w:t>2005</w:t>
      </w:r>
      <w:r>
        <w:rPr>
          <w:rFonts w:hint="eastAsia"/>
          <w:kern w:val="14"/>
        </w:rPr>
        <w:t>年</w:t>
      </w:r>
      <w:r>
        <w:rPr>
          <w:rFonts w:hint="eastAsia"/>
          <w:kern w:val="14"/>
        </w:rPr>
        <w:t>10</w:t>
      </w:r>
      <w:r>
        <w:rPr>
          <w:rFonts w:hint="eastAsia"/>
          <w:kern w:val="14"/>
        </w:rPr>
        <w:t>月，立陶宛启动了乳腺癌检查方案。据估计，参加该方案的妇女至少占</w:t>
      </w:r>
      <w:r>
        <w:rPr>
          <w:kern w:val="14"/>
        </w:rPr>
        <w:t>50</w:t>
      </w:r>
      <w:r>
        <w:rPr>
          <w:rFonts w:hint="eastAsia"/>
          <w:kern w:val="14"/>
        </w:rPr>
        <w:t>至</w:t>
      </w:r>
      <w:r>
        <w:rPr>
          <w:kern w:val="14"/>
        </w:rPr>
        <w:t>69</w:t>
      </w:r>
      <w:r>
        <w:rPr>
          <w:rFonts w:hint="eastAsia"/>
          <w:kern w:val="14"/>
        </w:rPr>
        <w:t>岁妇女人数的</w:t>
      </w:r>
      <w:r>
        <w:rPr>
          <w:kern w:val="14"/>
        </w:rPr>
        <w:t>60%</w:t>
      </w:r>
      <w:r>
        <w:rPr>
          <w:rFonts w:hint="eastAsia"/>
          <w:kern w:val="14"/>
        </w:rPr>
        <w:t>。该方案项下的服务由强制健康保险基金预算支助。据估计，在现有的技术能力和人力资源条件下，上述</w:t>
      </w:r>
      <w:r>
        <w:rPr>
          <w:kern w:val="14"/>
        </w:rPr>
        <w:t>60%</w:t>
      </w:r>
      <w:r>
        <w:rPr>
          <w:rFonts w:hint="eastAsia"/>
          <w:kern w:val="14"/>
        </w:rPr>
        <w:t>的妇女将在该方案启动后的五年内接受检查。在</w:t>
      </w:r>
      <w:r>
        <w:rPr>
          <w:kern w:val="14"/>
        </w:rPr>
        <w:t>立陶宛</w:t>
      </w:r>
      <w:r>
        <w:rPr>
          <w:rFonts w:hint="eastAsia"/>
          <w:kern w:val="14"/>
        </w:rPr>
        <w:t>，</w:t>
      </w:r>
      <w:r>
        <w:rPr>
          <w:kern w:val="14"/>
        </w:rPr>
        <w:t>50</w:t>
      </w:r>
      <w:r>
        <w:rPr>
          <w:rFonts w:hint="eastAsia"/>
          <w:kern w:val="14"/>
        </w:rPr>
        <w:t>至</w:t>
      </w:r>
      <w:r>
        <w:rPr>
          <w:kern w:val="14"/>
        </w:rPr>
        <w:t>69</w:t>
      </w:r>
      <w:r>
        <w:rPr>
          <w:rFonts w:hint="eastAsia"/>
          <w:kern w:val="14"/>
        </w:rPr>
        <w:t>岁的妇女人数为</w:t>
      </w:r>
      <w:r>
        <w:rPr>
          <w:kern w:val="14"/>
        </w:rPr>
        <w:t>41</w:t>
      </w:r>
      <w:r>
        <w:rPr>
          <w:rFonts w:hint="eastAsia"/>
          <w:kern w:val="14"/>
        </w:rPr>
        <w:t>.</w:t>
      </w:r>
      <w:r>
        <w:rPr>
          <w:kern w:val="14"/>
        </w:rPr>
        <w:t>8</w:t>
      </w:r>
      <w:r>
        <w:rPr>
          <w:rFonts w:hint="eastAsia"/>
          <w:kern w:val="14"/>
        </w:rPr>
        <w:t>万；因此，根据上面的估计数，在执行该方案的头一年将有</w:t>
      </w:r>
      <w:r>
        <w:rPr>
          <w:rFonts w:hint="eastAsia"/>
          <w:kern w:val="14"/>
        </w:rPr>
        <w:t>5</w:t>
      </w:r>
      <w:r>
        <w:rPr>
          <w:rFonts w:hint="eastAsia"/>
          <w:kern w:val="14"/>
        </w:rPr>
        <w:t>万妇女接受检查。强制健康保险基金预算为该方案提供的拨款</w:t>
      </w:r>
      <w:r>
        <w:rPr>
          <w:rFonts w:hint="eastAsia"/>
          <w:kern w:val="14"/>
        </w:rPr>
        <w:t>2005</w:t>
      </w:r>
      <w:r>
        <w:rPr>
          <w:rFonts w:hint="eastAsia"/>
          <w:kern w:val="14"/>
        </w:rPr>
        <w:t>年为</w:t>
      </w:r>
      <w:r>
        <w:rPr>
          <w:rFonts w:hint="eastAsia"/>
          <w:kern w:val="14"/>
        </w:rPr>
        <w:t>150</w:t>
      </w:r>
      <w:r>
        <w:rPr>
          <w:rFonts w:hint="eastAsia"/>
          <w:kern w:val="14"/>
        </w:rPr>
        <w:t>万立特，</w:t>
      </w:r>
      <w:r>
        <w:rPr>
          <w:rFonts w:hint="eastAsia"/>
          <w:kern w:val="14"/>
        </w:rPr>
        <w:t>2006</w:t>
      </w:r>
      <w:r>
        <w:rPr>
          <w:rFonts w:hint="eastAsia"/>
          <w:kern w:val="14"/>
        </w:rPr>
        <w:t>年为</w:t>
      </w:r>
      <w:r>
        <w:rPr>
          <w:rFonts w:hint="eastAsia"/>
          <w:kern w:val="14"/>
        </w:rPr>
        <w:t>250</w:t>
      </w:r>
      <w:r>
        <w:rPr>
          <w:rFonts w:hint="eastAsia"/>
          <w:kern w:val="14"/>
        </w:rPr>
        <w:t>万立特，</w:t>
      </w:r>
      <w:r>
        <w:rPr>
          <w:rFonts w:hint="eastAsia"/>
          <w:kern w:val="14"/>
        </w:rPr>
        <w:t>2007</w:t>
      </w:r>
      <w:r>
        <w:rPr>
          <w:rFonts w:hint="eastAsia"/>
          <w:kern w:val="14"/>
        </w:rPr>
        <w:t>年为</w:t>
      </w:r>
      <w:r>
        <w:rPr>
          <w:rFonts w:hint="eastAsia"/>
          <w:kern w:val="14"/>
        </w:rPr>
        <w:t>300</w:t>
      </w:r>
      <w:r>
        <w:rPr>
          <w:rFonts w:hint="eastAsia"/>
          <w:kern w:val="14"/>
        </w:rPr>
        <w:t>万立特。自该方案开始以来，</w:t>
      </w:r>
      <w:r>
        <w:rPr>
          <w:rFonts w:hint="eastAsia"/>
          <w:kern w:val="14"/>
        </w:rPr>
        <w:t>2005</w:t>
      </w:r>
      <w:r>
        <w:rPr>
          <w:rFonts w:hint="eastAsia"/>
          <w:kern w:val="14"/>
        </w:rPr>
        <w:t>年</w:t>
      </w:r>
      <w:r>
        <w:rPr>
          <w:rFonts w:hint="eastAsia"/>
          <w:kern w:val="14"/>
        </w:rPr>
        <w:t>10</w:t>
      </w:r>
      <w:r>
        <w:rPr>
          <w:rFonts w:hint="eastAsia"/>
          <w:kern w:val="14"/>
        </w:rPr>
        <w:t>月到</w:t>
      </w:r>
      <w:r>
        <w:rPr>
          <w:rFonts w:hint="eastAsia"/>
          <w:kern w:val="14"/>
        </w:rPr>
        <w:t>12</w:t>
      </w:r>
      <w:r>
        <w:rPr>
          <w:rFonts w:hint="eastAsia"/>
          <w:kern w:val="14"/>
        </w:rPr>
        <w:t>月，有</w:t>
      </w:r>
      <w:r>
        <w:rPr>
          <w:rFonts w:hint="eastAsia"/>
          <w:kern w:val="14"/>
        </w:rPr>
        <w:t>5 000</w:t>
      </w:r>
      <w:r>
        <w:rPr>
          <w:rFonts w:hint="eastAsia"/>
          <w:kern w:val="14"/>
        </w:rPr>
        <w:t>人接受检查；</w:t>
      </w:r>
      <w:r>
        <w:rPr>
          <w:rFonts w:hint="eastAsia"/>
          <w:kern w:val="14"/>
        </w:rPr>
        <w:t>2006</w:t>
      </w:r>
      <w:r>
        <w:rPr>
          <w:rFonts w:hint="eastAsia"/>
          <w:kern w:val="14"/>
        </w:rPr>
        <w:t>年有</w:t>
      </w:r>
      <w:r>
        <w:rPr>
          <w:rFonts w:hint="eastAsia"/>
          <w:kern w:val="14"/>
        </w:rPr>
        <w:t>48 000</w:t>
      </w:r>
      <w:r>
        <w:rPr>
          <w:rFonts w:hint="eastAsia"/>
          <w:kern w:val="14"/>
        </w:rPr>
        <w:t>名妇女接受检查。在执行该方案的</w:t>
      </w:r>
      <w:r>
        <w:rPr>
          <w:rFonts w:hint="eastAsia"/>
          <w:kern w:val="14"/>
        </w:rPr>
        <w:t>14</w:t>
      </w:r>
      <w:r>
        <w:rPr>
          <w:rFonts w:hint="eastAsia"/>
          <w:kern w:val="14"/>
        </w:rPr>
        <w:t>个月内（</w:t>
      </w:r>
      <w:r>
        <w:rPr>
          <w:rFonts w:hint="eastAsia"/>
          <w:kern w:val="14"/>
        </w:rPr>
        <w:t>2006</w:t>
      </w:r>
      <w:r>
        <w:rPr>
          <w:rFonts w:hint="eastAsia"/>
          <w:kern w:val="14"/>
        </w:rPr>
        <w:t>年</w:t>
      </w:r>
      <w:r>
        <w:rPr>
          <w:rFonts w:hint="eastAsia"/>
          <w:kern w:val="14"/>
        </w:rPr>
        <w:t>1</w:t>
      </w:r>
      <w:r>
        <w:rPr>
          <w:rFonts w:hint="eastAsia"/>
          <w:kern w:val="14"/>
        </w:rPr>
        <w:t>月至</w:t>
      </w:r>
      <w:r>
        <w:rPr>
          <w:rFonts w:hint="eastAsia"/>
          <w:kern w:val="14"/>
        </w:rPr>
        <w:t>2007</w:t>
      </w:r>
      <w:r>
        <w:rPr>
          <w:rFonts w:hint="eastAsia"/>
          <w:kern w:val="14"/>
        </w:rPr>
        <w:t>年</w:t>
      </w:r>
      <w:r>
        <w:rPr>
          <w:rFonts w:hint="eastAsia"/>
          <w:kern w:val="14"/>
        </w:rPr>
        <w:t>2</w:t>
      </w:r>
      <w:r>
        <w:rPr>
          <w:rFonts w:hint="eastAsia"/>
          <w:kern w:val="14"/>
        </w:rPr>
        <w:t>月），总共有</w:t>
      </w:r>
      <w:r>
        <w:rPr>
          <w:rFonts w:hint="eastAsia"/>
          <w:kern w:val="14"/>
        </w:rPr>
        <w:t>58 000</w:t>
      </w:r>
      <w:r>
        <w:rPr>
          <w:rFonts w:hint="eastAsia"/>
          <w:kern w:val="14"/>
        </w:rPr>
        <w:t>名该年龄段的妇女接受了检查。</w:t>
      </w:r>
    </w:p>
    <w:p w:rsidR="00595751" w:rsidRDefault="00595751">
      <w:pPr>
        <w:tabs>
          <w:tab w:val="left" w:pos="630"/>
        </w:tabs>
        <w:spacing w:after="240" w:line="360" w:lineRule="exact"/>
        <w:rPr>
          <w:kern w:val="14"/>
        </w:rPr>
      </w:pPr>
      <w:bookmarkStart w:id="21" w:name="_Hlt182902743"/>
      <w:bookmarkStart w:id="22" w:name="_Hlt182902744"/>
      <w:bookmarkEnd w:id="19"/>
      <w:bookmarkEnd w:id="20"/>
      <w:r>
        <w:rPr>
          <w:rFonts w:hint="eastAsia"/>
          <w:lang w:val="en-GB"/>
        </w:rPr>
        <w:t xml:space="preserve">181. </w:t>
      </w:r>
      <w:r>
        <w:rPr>
          <w:rFonts w:hint="eastAsia"/>
          <w:lang w:val="en-GB"/>
        </w:rPr>
        <w:tab/>
      </w:r>
      <w:r>
        <w:rPr>
          <w:rFonts w:hint="eastAsia"/>
          <w:lang w:val="en-GB"/>
        </w:rPr>
        <w:t>根据</w:t>
      </w:r>
      <w:r>
        <w:rPr>
          <w:rFonts w:hint="eastAsia"/>
          <w:kern w:val="14"/>
        </w:rPr>
        <w:t>2005</w:t>
      </w:r>
      <w:r>
        <w:rPr>
          <w:rFonts w:hint="eastAsia"/>
          <w:kern w:val="14"/>
        </w:rPr>
        <w:t>年</w:t>
      </w:r>
      <w:r>
        <w:rPr>
          <w:rFonts w:hint="eastAsia"/>
          <w:kern w:val="14"/>
        </w:rPr>
        <w:t>12</w:t>
      </w:r>
      <w:r>
        <w:rPr>
          <w:rFonts w:hint="eastAsia"/>
          <w:kern w:val="14"/>
        </w:rPr>
        <w:t>月</w:t>
      </w:r>
      <w:r>
        <w:rPr>
          <w:rFonts w:hint="eastAsia"/>
          <w:kern w:val="14"/>
        </w:rPr>
        <w:t>14</w:t>
      </w:r>
      <w:r>
        <w:rPr>
          <w:rFonts w:hint="eastAsia"/>
          <w:kern w:val="14"/>
        </w:rPr>
        <w:t>日第</w:t>
      </w:r>
      <w:r>
        <w:rPr>
          <w:kern w:val="14"/>
        </w:rPr>
        <w:t>V-973</w:t>
      </w:r>
      <w:r>
        <w:rPr>
          <w:rFonts w:hint="eastAsia"/>
          <w:kern w:val="14"/>
        </w:rPr>
        <w:t>号命令（</w:t>
      </w:r>
      <w:r>
        <w:rPr>
          <w:rFonts w:hint="eastAsia"/>
          <w:kern w:val="14"/>
        </w:rPr>
        <w:t>2005</w:t>
      </w:r>
      <w:r>
        <w:rPr>
          <w:rFonts w:hint="eastAsia"/>
          <w:kern w:val="14"/>
        </w:rPr>
        <w:t>年第</w:t>
      </w:r>
      <w:r>
        <w:rPr>
          <w:kern w:val="14"/>
        </w:rPr>
        <w:t>152-5617</w:t>
      </w:r>
      <w:r>
        <w:rPr>
          <w:rFonts w:hint="eastAsia"/>
          <w:kern w:val="14"/>
        </w:rPr>
        <w:t>号</w:t>
      </w:r>
      <w:r>
        <w:rPr>
          <w:kern w:val="14"/>
        </w:rPr>
        <w:t>《政府公报》</w:t>
      </w:r>
      <w:r>
        <w:rPr>
          <w:rFonts w:hint="eastAsia"/>
          <w:kern w:val="14"/>
        </w:rPr>
        <w:t>），强制健康保险委员会同意且卫生部长核准了资助前列腺癌早期诊断方案，此后，所有</w:t>
      </w:r>
      <w:r>
        <w:rPr>
          <w:kern w:val="14"/>
        </w:rPr>
        <w:t>50</w:t>
      </w:r>
      <w:r>
        <w:rPr>
          <w:rFonts w:hint="eastAsia"/>
          <w:kern w:val="14"/>
        </w:rPr>
        <w:t>至</w:t>
      </w:r>
      <w:r>
        <w:rPr>
          <w:kern w:val="14"/>
        </w:rPr>
        <w:t>75</w:t>
      </w:r>
      <w:r>
        <w:rPr>
          <w:rFonts w:hint="eastAsia"/>
          <w:kern w:val="14"/>
        </w:rPr>
        <w:t>岁的男子和</w:t>
      </w:r>
      <w:r>
        <w:rPr>
          <w:kern w:val="14"/>
        </w:rPr>
        <w:t>45</w:t>
      </w:r>
      <w:r>
        <w:rPr>
          <w:rFonts w:hint="eastAsia"/>
          <w:kern w:val="14"/>
        </w:rPr>
        <w:t>岁以上且父兄患有前列腺癌的男子均可免费参加检查。前列腺癌早期诊断方案的目的在于尽早诊断前列腺癌。</w:t>
      </w:r>
      <w:r>
        <w:rPr>
          <w:kern w:val="14"/>
        </w:rPr>
        <w:t>2006</w:t>
      </w:r>
      <w:r>
        <w:rPr>
          <w:rFonts w:hint="eastAsia"/>
          <w:kern w:val="14"/>
        </w:rPr>
        <w:t>年，强制健康保险基金预算为执行该方案拨款</w:t>
      </w:r>
      <w:r>
        <w:rPr>
          <w:kern w:val="14"/>
        </w:rPr>
        <w:t>4</w:t>
      </w:r>
      <w:r>
        <w:rPr>
          <w:rFonts w:hint="eastAsia"/>
          <w:kern w:val="14"/>
        </w:rPr>
        <w:t xml:space="preserve"> </w:t>
      </w:r>
      <w:r>
        <w:rPr>
          <w:kern w:val="14"/>
        </w:rPr>
        <w:t>77</w:t>
      </w:r>
      <w:r>
        <w:rPr>
          <w:rFonts w:hint="eastAsia"/>
          <w:kern w:val="14"/>
        </w:rPr>
        <w:t>0</w:t>
      </w:r>
      <w:r>
        <w:rPr>
          <w:rFonts w:hint="eastAsia"/>
          <w:kern w:val="14"/>
        </w:rPr>
        <w:t>万</w:t>
      </w:r>
      <w:r>
        <w:rPr>
          <w:kern w:val="14"/>
        </w:rPr>
        <w:t>立特</w:t>
      </w:r>
      <w:r>
        <w:rPr>
          <w:rFonts w:hint="eastAsia"/>
          <w:kern w:val="14"/>
        </w:rPr>
        <w:t>。</w:t>
      </w:r>
    </w:p>
    <w:bookmarkEnd w:id="21"/>
    <w:bookmarkEnd w:id="22"/>
    <w:p w:rsidR="00595751" w:rsidRDefault="00595751">
      <w:pPr>
        <w:tabs>
          <w:tab w:val="left" w:pos="630"/>
        </w:tabs>
        <w:spacing w:after="240" w:line="360" w:lineRule="exact"/>
        <w:rPr>
          <w:kern w:val="14"/>
        </w:rPr>
      </w:pPr>
      <w:r>
        <w:rPr>
          <w:rFonts w:hint="eastAsia"/>
          <w:lang w:val="en-GB"/>
        </w:rPr>
        <w:t xml:space="preserve">182. </w:t>
      </w:r>
      <w:r>
        <w:rPr>
          <w:rFonts w:hint="eastAsia"/>
          <w:lang w:val="en-GB"/>
        </w:rPr>
        <w:tab/>
      </w:r>
      <w:r>
        <w:rPr>
          <w:rFonts w:hint="eastAsia"/>
          <w:kern w:val="14"/>
        </w:rPr>
        <w:t>在</w:t>
      </w:r>
      <w:r>
        <w:rPr>
          <w:kern w:val="14"/>
        </w:rPr>
        <w:t>立陶宛</w:t>
      </w:r>
      <w:r>
        <w:rPr>
          <w:rFonts w:hint="eastAsia"/>
          <w:kern w:val="14"/>
        </w:rPr>
        <w:t>，人们对避免办法的态度千差万别。根据</w:t>
      </w:r>
      <w:r>
        <w:rPr>
          <w:kern w:val="14"/>
        </w:rPr>
        <w:t>2003</w:t>
      </w:r>
      <w:r>
        <w:rPr>
          <w:rFonts w:hint="eastAsia"/>
          <w:kern w:val="14"/>
        </w:rPr>
        <w:t>年私营股份有限公司</w:t>
      </w:r>
      <w:r>
        <w:rPr>
          <w:kern w:val="14"/>
        </w:rPr>
        <w:t>Baltijos tyrimai</w:t>
      </w:r>
      <w:r>
        <w:rPr>
          <w:rFonts w:hint="eastAsia"/>
          <w:kern w:val="14"/>
        </w:rPr>
        <w:t>的调查结果，在</w:t>
      </w:r>
      <w:r>
        <w:rPr>
          <w:kern w:val="14"/>
        </w:rPr>
        <w:t>15</w:t>
      </w:r>
      <w:r>
        <w:rPr>
          <w:rFonts w:hint="eastAsia"/>
          <w:kern w:val="14"/>
        </w:rPr>
        <w:t>至</w:t>
      </w:r>
      <w:r>
        <w:rPr>
          <w:kern w:val="14"/>
        </w:rPr>
        <w:t>25</w:t>
      </w:r>
      <w:r>
        <w:rPr>
          <w:rFonts w:hint="eastAsia"/>
          <w:kern w:val="14"/>
        </w:rPr>
        <w:t>岁妇女中从来不采取避孕措施的占一半以上（</w:t>
      </w:r>
      <w:r>
        <w:rPr>
          <w:rFonts w:hint="eastAsia"/>
          <w:kern w:val="14"/>
        </w:rPr>
        <w:t>51%</w:t>
      </w:r>
      <w:r>
        <w:rPr>
          <w:rFonts w:hint="eastAsia"/>
          <w:kern w:val="14"/>
        </w:rPr>
        <w:t>）。该比率在其他年龄段较低：在</w:t>
      </w:r>
      <w:r>
        <w:rPr>
          <w:kern w:val="14"/>
        </w:rPr>
        <w:t>26</w:t>
      </w:r>
      <w:r>
        <w:rPr>
          <w:rFonts w:hint="eastAsia"/>
          <w:kern w:val="14"/>
        </w:rPr>
        <w:t>至</w:t>
      </w:r>
      <w:r>
        <w:rPr>
          <w:kern w:val="14"/>
        </w:rPr>
        <w:t>35</w:t>
      </w:r>
      <w:r>
        <w:rPr>
          <w:rFonts w:hint="eastAsia"/>
          <w:kern w:val="14"/>
        </w:rPr>
        <w:t>岁的妇女中不采取避孕措施的占</w:t>
      </w:r>
      <w:r>
        <w:rPr>
          <w:kern w:val="14"/>
        </w:rPr>
        <w:t>19%</w:t>
      </w:r>
      <w:r>
        <w:rPr>
          <w:rFonts w:hint="eastAsia"/>
          <w:kern w:val="14"/>
        </w:rPr>
        <w:t>；在</w:t>
      </w:r>
      <w:r>
        <w:rPr>
          <w:kern w:val="14"/>
        </w:rPr>
        <w:t>35</w:t>
      </w:r>
      <w:r>
        <w:rPr>
          <w:rFonts w:hint="eastAsia"/>
          <w:kern w:val="14"/>
        </w:rPr>
        <w:t>至</w:t>
      </w:r>
      <w:r>
        <w:rPr>
          <w:kern w:val="14"/>
        </w:rPr>
        <w:t>45</w:t>
      </w:r>
      <w:r>
        <w:rPr>
          <w:rFonts w:hint="eastAsia"/>
          <w:kern w:val="14"/>
        </w:rPr>
        <w:t>岁的妇女中占</w:t>
      </w:r>
      <w:r>
        <w:rPr>
          <w:kern w:val="14"/>
        </w:rPr>
        <w:t>32%</w:t>
      </w:r>
      <w:r>
        <w:rPr>
          <w:rFonts w:hint="eastAsia"/>
          <w:kern w:val="14"/>
        </w:rPr>
        <w:t>。在不采取避孕措施的受访者中，多达</w:t>
      </w:r>
      <w:r>
        <w:rPr>
          <w:kern w:val="14"/>
        </w:rPr>
        <w:t>33%</w:t>
      </w:r>
      <w:r>
        <w:rPr>
          <w:rFonts w:hint="eastAsia"/>
          <w:kern w:val="14"/>
        </w:rPr>
        <w:t>的人给不出任何不采取避孕措施的理由。根据这次调查结果，在性欲旺盛但不采取避孕措施的</w:t>
      </w:r>
      <w:r>
        <w:rPr>
          <w:kern w:val="14"/>
        </w:rPr>
        <w:t>立陶宛</w:t>
      </w:r>
      <w:r>
        <w:rPr>
          <w:rFonts w:hint="eastAsia"/>
          <w:kern w:val="14"/>
        </w:rPr>
        <w:t>妇女只有</w:t>
      </w:r>
      <w:r>
        <w:rPr>
          <w:kern w:val="14"/>
        </w:rPr>
        <w:t>1%</w:t>
      </w:r>
      <w:r>
        <w:rPr>
          <w:rFonts w:hint="eastAsia"/>
          <w:kern w:val="14"/>
        </w:rPr>
        <w:t>的人不堕胎，她们都在</w:t>
      </w:r>
      <w:r>
        <w:rPr>
          <w:kern w:val="14"/>
        </w:rPr>
        <w:t>26</w:t>
      </w:r>
      <w:r>
        <w:rPr>
          <w:rFonts w:hint="eastAsia"/>
          <w:kern w:val="14"/>
        </w:rPr>
        <w:t>至</w:t>
      </w:r>
      <w:r>
        <w:rPr>
          <w:kern w:val="14"/>
        </w:rPr>
        <w:t>35</w:t>
      </w:r>
      <w:r>
        <w:rPr>
          <w:rFonts w:hint="eastAsia"/>
          <w:kern w:val="14"/>
        </w:rPr>
        <w:t>岁之间。</w:t>
      </w:r>
    </w:p>
    <w:p w:rsidR="00595751" w:rsidRDefault="00595751">
      <w:pPr>
        <w:tabs>
          <w:tab w:val="left" w:pos="630"/>
        </w:tabs>
        <w:spacing w:after="240" w:line="360" w:lineRule="exact"/>
        <w:rPr>
          <w:kern w:val="14"/>
        </w:rPr>
      </w:pPr>
      <w:bookmarkStart w:id="23" w:name="_Hlt182904275"/>
      <w:bookmarkStart w:id="24" w:name="_Hlt182904276"/>
      <w:r>
        <w:rPr>
          <w:rFonts w:hint="eastAsia"/>
          <w:lang w:val="en-GB"/>
        </w:rPr>
        <w:t>183.</w:t>
      </w:r>
      <w:r>
        <w:rPr>
          <w:rFonts w:hint="eastAsia"/>
          <w:lang w:val="en-GB"/>
        </w:rPr>
        <w:tab/>
      </w:r>
      <w:r>
        <w:rPr>
          <w:rFonts w:hint="eastAsia"/>
          <w:kern w:val="14"/>
        </w:rPr>
        <w:t>在</w:t>
      </w:r>
      <w:r>
        <w:rPr>
          <w:kern w:val="14"/>
        </w:rPr>
        <w:t>立陶宛</w:t>
      </w:r>
      <w:r>
        <w:rPr>
          <w:rFonts w:hint="eastAsia"/>
          <w:kern w:val="14"/>
        </w:rPr>
        <w:t>，卫生部</w:t>
      </w:r>
      <w:r>
        <w:rPr>
          <w:rFonts w:hint="eastAsia"/>
          <w:kern w:val="14"/>
        </w:rPr>
        <w:t>1994</w:t>
      </w:r>
      <w:r>
        <w:rPr>
          <w:rFonts w:hint="eastAsia"/>
          <w:kern w:val="14"/>
        </w:rPr>
        <w:t>年</w:t>
      </w:r>
      <w:r>
        <w:rPr>
          <w:rFonts w:hint="eastAsia"/>
          <w:kern w:val="14"/>
        </w:rPr>
        <w:t>1</w:t>
      </w:r>
      <w:r>
        <w:rPr>
          <w:rFonts w:hint="eastAsia"/>
          <w:kern w:val="14"/>
        </w:rPr>
        <w:t>月</w:t>
      </w:r>
      <w:r>
        <w:rPr>
          <w:rFonts w:hint="eastAsia"/>
          <w:kern w:val="14"/>
        </w:rPr>
        <w:t>28</w:t>
      </w:r>
      <w:r>
        <w:rPr>
          <w:rFonts w:hint="eastAsia"/>
          <w:kern w:val="14"/>
        </w:rPr>
        <w:t>日第</w:t>
      </w:r>
      <w:r>
        <w:rPr>
          <w:rFonts w:hint="eastAsia"/>
          <w:kern w:val="14"/>
        </w:rPr>
        <w:t>50</w:t>
      </w:r>
      <w:r>
        <w:rPr>
          <w:rFonts w:hint="eastAsia"/>
          <w:kern w:val="14"/>
        </w:rPr>
        <w:t>号命令，“关于堕胎手术程序”（</w:t>
      </w:r>
      <w:r>
        <w:rPr>
          <w:rFonts w:hint="eastAsia"/>
          <w:kern w:val="14"/>
        </w:rPr>
        <w:t>1994</w:t>
      </w:r>
      <w:r>
        <w:rPr>
          <w:rFonts w:hint="eastAsia"/>
          <w:kern w:val="14"/>
        </w:rPr>
        <w:t>年第</w:t>
      </w:r>
      <w:r>
        <w:rPr>
          <w:kern w:val="14"/>
        </w:rPr>
        <w:t>18-299</w:t>
      </w:r>
      <w:r>
        <w:rPr>
          <w:rFonts w:hint="eastAsia"/>
          <w:kern w:val="14"/>
        </w:rPr>
        <w:t>号</w:t>
      </w:r>
      <w:r>
        <w:rPr>
          <w:kern w:val="14"/>
        </w:rPr>
        <w:t>《政府公报》</w:t>
      </w:r>
      <w:r>
        <w:rPr>
          <w:rFonts w:hint="eastAsia"/>
          <w:kern w:val="14"/>
        </w:rPr>
        <w:t>）管理堕胎办法。根据当事妇女的要求，在妊娠</w:t>
      </w:r>
      <w:r>
        <w:rPr>
          <w:rFonts w:hint="eastAsia"/>
          <w:kern w:val="14"/>
        </w:rPr>
        <w:t>12</w:t>
      </w:r>
      <w:r>
        <w:rPr>
          <w:rFonts w:hint="eastAsia"/>
          <w:kern w:val="14"/>
        </w:rPr>
        <w:t>周以前可以堕胎；在凭医嘱可在妊娠</w:t>
      </w:r>
      <w:r>
        <w:rPr>
          <w:rFonts w:hint="eastAsia"/>
          <w:kern w:val="14"/>
        </w:rPr>
        <w:t>22</w:t>
      </w:r>
      <w:r>
        <w:rPr>
          <w:rFonts w:hint="eastAsia"/>
          <w:kern w:val="14"/>
        </w:rPr>
        <w:t>周以前堕胎。</w:t>
      </w:r>
      <w:r>
        <w:rPr>
          <w:kern w:val="14"/>
        </w:rPr>
        <w:t>立陶宛</w:t>
      </w:r>
      <w:r>
        <w:rPr>
          <w:rFonts w:hint="eastAsia"/>
          <w:kern w:val="14"/>
        </w:rPr>
        <w:t>拥有一切安全堕胎设备，因此从未有过因堕胎致死的病例记录。本报告附件表</w:t>
      </w:r>
      <w:r>
        <w:rPr>
          <w:rFonts w:hint="eastAsia"/>
          <w:kern w:val="14"/>
        </w:rPr>
        <w:t>13</w:t>
      </w:r>
      <w:r>
        <w:rPr>
          <w:rFonts w:hint="eastAsia"/>
          <w:kern w:val="14"/>
        </w:rPr>
        <w:t>提供关于医疗堕胎动态的统计数据。</w:t>
      </w:r>
    </w:p>
    <w:bookmarkEnd w:id="23"/>
    <w:bookmarkEnd w:id="24"/>
    <w:p w:rsidR="00595751" w:rsidRDefault="00595751">
      <w:pPr>
        <w:pStyle w:val="H23"/>
        <w:rPr>
          <w:b w:val="0"/>
          <w:bCs w:val="0"/>
          <w:lang w:val="en-GB"/>
        </w:rPr>
      </w:pPr>
      <w:r>
        <w:rPr>
          <w:rFonts w:hint="eastAsia"/>
          <w:b w:val="0"/>
          <w:bCs w:val="0"/>
          <w:lang w:val="en-GB"/>
        </w:rPr>
        <w:t>第</w:t>
      </w:r>
      <w:r>
        <w:rPr>
          <w:b w:val="0"/>
          <w:bCs w:val="0"/>
          <w:lang w:val="en-GB"/>
        </w:rPr>
        <w:t>2</w:t>
      </w:r>
      <w:r>
        <w:rPr>
          <w:rFonts w:hint="eastAsia"/>
          <w:b w:val="0"/>
          <w:bCs w:val="0"/>
          <w:lang w:val="en-GB"/>
        </w:rPr>
        <w:t>款</w:t>
      </w:r>
    </w:p>
    <w:p w:rsidR="00595751" w:rsidRDefault="00595751">
      <w:pPr>
        <w:tabs>
          <w:tab w:val="left" w:pos="630"/>
        </w:tabs>
        <w:spacing w:after="240" w:line="360" w:lineRule="exact"/>
        <w:rPr>
          <w:kern w:val="14"/>
        </w:rPr>
      </w:pPr>
      <w:bookmarkStart w:id="25" w:name="_Hlt182905285"/>
      <w:bookmarkStart w:id="26" w:name="_Hlt182905286"/>
      <w:r>
        <w:rPr>
          <w:rFonts w:hint="eastAsia"/>
          <w:lang w:val="en-GB"/>
        </w:rPr>
        <w:t>184.</w:t>
      </w:r>
      <w:r>
        <w:rPr>
          <w:rFonts w:hint="eastAsia"/>
          <w:lang w:val="en-GB"/>
        </w:rPr>
        <w:tab/>
      </w:r>
      <w:r>
        <w:rPr>
          <w:rFonts w:hint="eastAsia"/>
          <w:kern w:val="14"/>
        </w:rPr>
        <w:t>卫生部长</w:t>
      </w:r>
      <w:r>
        <w:rPr>
          <w:rFonts w:hint="eastAsia"/>
          <w:kern w:val="14"/>
        </w:rPr>
        <w:t>1999</w:t>
      </w:r>
      <w:r>
        <w:rPr>
          <w:rFonts w:hint="eastAsia"/>
          <w:kern w:val="14"/>
        </w:rPr>
        <w:t>年</w:t>
      </w:r>
      <w:r>
        <w:rPr>
          <w:rFonts w:hint="eastAsia"/>
          <w:kern w:val="14"/>
        </w:rPr>
        <w:t>11</w:t>
      </w:r>
      <w:r>
        <w:rPr>
          <w:rFonts w:hint="eastAsia"/>
          <w:kern w:val="14"/>
        </w:rPr>
        <w:t>月</w:t>
      </w:r>
      <w:r>
        <w:rPr>
          <w:rFonts w:hint="eastAsia"/>
          <w:kern w:val="14"/>
        </w:rPr>
        <w:t>25</w:t>
      </w:r>
      <w:r>
        <w:rPr>
          <w:rFonts w:hint="eastAsia"/>
          <w:kern w:val="14"/>
        </w:rPr>
        <w:t>日第</w:t>
      </w:r>
      <w:r>
        <w:rPr>
          <w:rFonts w:hint="eastAsia"/>
          <w:kern w:val="14"/>
        </w:rPr>
        <w:t>510</w:t>
      </w:r>
      <w:r>
        <w:rPr>
          <w:rFonts w:hint="eastAsia"/>
          <w:kern w:val="14"/>
        </w:rPr>
        <w:t>号命令（</w:t>
      </w:r>
      <w:r>
        <w:rPr>
          <w:rFonts w:hint="eastAsia"/>
          <w:kern w:val="14"/>
        </w:rPr>
        <w:t>1999</w:t>
      </w:r>
      <w:r>
        <w:rPr>
          <w:rFonts w:hint="eastAsia"/>
          <w:kern w:val="14"/>
        </w:rPr>
        <w:t>年第</w:t>
      </w:r>
      <w:r>
        <w:rPr>
          <w:kern w:val="14"/>
        </w:rPr>
        <w:t>102-2936</w:t>
      </w:r>
      <w:r>
        <w:rPr>
          <w:rFonts w:hint="eastAsia"/>
          <w:kern w:val="14"/>
        </w:rPr>
        <w:t>号</w:t>
      </w:r>
      <w:r>
        <w:rPr>
          <w:kern w:val="14"/>
        </w:rPr>
        <w:t>《政府公报》</w:t>
      </w:r>
      <w:r>
        <w:rPr>
          <w:rFonts w:hint="eastAsia"/>
          <w:kern w:val="14"/>
        </w:rPr>
        <w:t>）核准了“孕妇和哺乳期妇女每日营养与能量摄入量建议”，规定了营养和能量摄入量标准，确保满足孕妇和哺乳期妇女的生理需要。</w:t>
      </w:r>
      <w:r>
        <w:rPr>
          <w:kern w:val="14"/>
        </w:rPr>
        <w:t>2005</w:t>
      </w:r>
      <w:r>
        <w:rPr>
          <w:rFonts w:hint="eastAsia"/>
          <w:kern w:val="14"/>
        </w:rPr>
        <w:t>年，国家营养中心公布了“新生儿和婴儿母乳喂养”方法指南（</w:t>
      </w:r>
      <w:r>
        <w:rPr>
          <w:rFonts w:hint="eastAsia"/>
          <w:kern w:val="14"/>
        </w:rPr>
        <w:t>2005</w:t>
      </w:r>
      <w:r>
        <w:rPr>
          <w:rFonts w:hint="eastAsia"/>
          <w:kern w:val="14"/>
        </w:rPr>
        <w:t>年，维尔纽斯）。卫生部向专业保健工作者推荐了该书，关于“哺乳期妇女的营养”的第三章专门为哺乳期妇女提出了营养建议。这些指导意见是专业保健工作者向妇女提供指导的依据。</w:t>
      </w:r>
    </w:p>
    <w:bookmarkEnd w:id="25"/>
    <w:bookmarkEnd w:id="26"/>
    <w:p w:rsidR="00595751" w:rsidRDefault="00595751">
      <w:pPr>
        <w:pStyle w:val="H1"/>
        <w:spacing w:line="340" w:lineRule="exact"/>
        <w:rPr>
          <w:lang w:val="en-GB"/>
        </w:rPr>
      </w:pPr>
      <w:r>
        <w:rPr>
          <w:rFonts w:hint="eastAsia"/>
          <w:lang w:val="en-GB"/>
        </w:rPr>
        <w:t>第</w:t>
      </w:r>
      <w:r>
        <w:rPr>
          <w:lang w:val="en-GB"/>
        </w:rPr>
        <w:t>13</w:t>
      </w:r>
      <w:r>
        <w:rPr>
          <w:rFonts w:hint="eastAsia"/>
          <w:lang w:val="en-GB"/>
        </w:rPr>
        <w:t>条</w:t>
      </w:r>
    </w:p>
    <w:p w:rsidR="00595751" w:rsidRDefault="00595751">
      <w:pPr>
        <w:pStyle w:val="H2"/>
        <w:rPr>
          <w:rFonts w:hint="eastAsia"/>
        </w:rPr>
      </w:pPr>
      <w:r>
        <w:rPr>
          <w:rFonts w:hint="eastAsia"/>
        </w:rPr>
        <w:t>（</w:t>
      </w:r>
      <w:r>
        <w:t>a</w:t>
      </w:r>
      <w:r>
        <w:rPr>
          <w:rFonts w:hint="eastAsia"/>
        </w:rPr>
        <w:t>）</w:t>
      </w:r>
    </w:p>
    <w:p w:rsidR="00595751" w:rsidRDefault="00595751">
      <w:pPr>
        <w:tabs>
          <w:tab w:val="left" w:pos="630"/>
        </w:tabs>
        <w:spacing w:after="240" w:line="360" w:lineRule="exact"/>
        <w:rPr>
          <w:kern w:val="14"/>
        </w:rPr>
      </w:pPr>
      <w:bookmarkStart w:id="27" w:name="_Hlt182906292"/>
      <w:bookmarkStart w:id="28" w:name="_Hlt182906293"/>
      <w:r>
        <w:rPr>
          <w:rFonts w:hint="eastAsia"/>
          <w:lang w:val="en-GB"/>
        </w:rPr>
        <w:t xml:space="preserve">185. </w:t>
      </w:r>
      <w:r>
        <w:rPr>
          <w:rFonts w:hint="eastAsia"/>
          <w:lang w:val="en-GB"/>
        </w:rPr>
        <w:tab/>
      </w:r>
      <w:r>
        <w:rPr>
          <w:kern w:val="14"/>
        </w:rPr>
        <w:t>2006</w:t>
      </w:r>
      <w:r>
        <w:rPr>
          <w:rFonts w:hint="eastAsia"/>
          <w:kern w:val="14"/>
        </w:rPr>
        <w:t>年</w:t>
      </w:r>
      <w:r>
        <w:rPr>
          <w:rFonts w:hint="eastAsia"/>
          <w:kern w:val="14"/>
        </w:rPr>
        <w:t>12</w:t>
      </w:r>
      <w:r>
        <w:rPr>
          <w:rFonts w:hint="eastAsia"/>
          <w:kern w:val="14"/>
        </w:rPr>
        <w:t>月</w:t>
      </w:r>
      <w:r>
        <w:rPr>
          <w:rFonts w:hint="eastAsia"/>
          <w:kern w:val="14"/>
        </w:rPr>
        <w:t>1</w:t>
      </w:r>
      <w:r>
        <w:rPr>
          <w:rFonts w:hint="eastAsia"/>
          <w:kern w:val="14"/>
        </w:rPr>
        <w:t>日，《</w:t>
      </w:r>
      <w:r>
        <w:rPr>
          <w:kern w:val="14"/>
        </w:rPr>
        <w:t>立陶宛</w:t>
      </w:r>
      <w:r>
        <w:rPr>
          <w:rFonts w:hint="eastAsia"/>
          <w:kern w:val="14"/>
        </w:rPr>
        <w:t>共和国低收入家庭（独居者）现金社会援助法》修正案（</w:t>
      </w:r>
      <w:r>
        <w:rPr>
          <w:rFonts w:hint="eastAsia"/>
          <w:kern w:val="14"/>
        </w:rPr>
        <w:t>2006</w:t>
      </w:r>
      <w:r>
        <w:rPr>
          <w:rFonts w:hint="eastAsia"/>
          <w:kern w:val="14"/>
        </w:rPr>
        <w:t>年第</w:t>
      </w:r>
      <w:r>
        <w:rPr>
          <w:kern w:val="14"/>
        </w:rPr>
        <w:t>130-4889</w:t>
      </w:r>
      <w:r>
        <w:rPr>
          <w:rFonts w:hint="eastAsia"/>
          <w:kern w:val="14"/>
        </w:rPr>
        <w:t>号</w:t>
      </w:r>
      <w:r>
        <w:rPr>
          <w:kern w:val="14"/>
        </w:rPr>
        <w:t>《政府公报》</w:t>
      </w:r>
      <w:r>
        <w:rPr>
          <w:rFonts w:hint="eastAsia"/>
          <w:kern w:val="14"/>
        </w:rPr>
        <w:t>）生效。经过修正的该法律扩大了有资格享受现金社会援助的穷人范围。为了确保农村地区的贫穷家庭得到现金社会援助，该法律还增补了如下规定：现金援助应发给单亲，或者在父母一方可能由于疾病、残疾、服刑或其他合理原因而未能照料相关子女时，发给正在抚养</w:t>
      </w:r>
      <w:r>
        <w:rPr>
          <w:rFonts w:hint="eastAsia"/>
          <w:kern w:val="14"/>
        </w:rPr>
        <w:t>14</w:t>
      </w:r>
      <w:r>
        <w:rPr>
          <w:rFonts w:hint="eastAsia"/>
          <w:kern w:val="14"/>
        </w:rPr>
        <w:t>岁以下子女并且耕种这个家庭拥有的或租赁的至少</w:t>
      </w:r>
      <w:r>
        <w:rPr>
          <w:rFonts w:hint="eastAsia"/>
          <w:kern w:val="14"/>
        </w:rPr>
        <w:t>2</w:t>
      </w:r>
      <w:r>
        <w:rPr>
          <w:rFonts w:hint="eastAsia"/>
          <w:kern w:val="14"/>
        </w:rPr>
        <w:t>公顷农田的另一方父母。根据该法律第</w:t>
      </w:r>
      <w:r>
        <w:rPr>
          <w:rFonts w:hint="eastAsia"/>
          <w:kern w:val="14"/>
        </w:rPr>
        <w:t>3</w:t>
      </w:r>
      <w:r>
        <w:rPr>
          <w:rFonts w:hint="eastAsia"/>
          <w:kern w:val="14"/>
        </w:rPr>
        <w:t>条，发给贫穷家庭或单身人士的现金援助包括社会福利以及取暖费和冷热自来水费补贴。</w:t>
      </w:r>
    </w:p>
    <w:bookmarkEnd w:id="27"/>
    <w:bookmarkEnd w:id="28"/>
    <w:p w:rsidR="00595751" w:rsidRDefault="00595751">
      <w:pPr>
        <w:tabs>
          <w:tab w:val="left" w:pos="630"/>
        </w:tabs>
        <w:spacing w:after="240" w:line="360" w:lineRule="exact"/>
        <w:rPr>
          <w:kern w:val="14"/>
        </w:rPr>
      </w:pPr>
      <w:r>
        <w:rPr>
          <w:rFonts w:hint="eastAsia"/>
          <w:lang w:val="en-GB"/>
        </w:rPr>
        <w:t xml:space="preserve">186. </w:t>
      </w:r>
      <w:r>
        <w:rPr>
          <w:rFonts w:hint="eastAsia"/>
          <w:lang w:val="en-GB"/>
        </w:rPr>
        <w:tab/>
      </w:r>
      <w:r>
        <w:rPr>
          <w:kern w:val="14"/>
        </w:rPr>
        <w:t>2006</w:t>
      </w:r>
      <w:r>
        <w:rPr>
          <w:rFonts w:hint="eastAsia"/>
          <w:kern w:val="14"/>
        </w:rPr>
        <w:t>年，立陶宛平均每月向</w:t>
      </w:r>
      <w:r>
        <w:rPr>
          <w:kern w:val="14"/>
        </w:rPr>
        <w:t>37</w:t>
      </w:r>
      <w:r>
        <w:rPr>
          <w:rFonts w:hint="eastAsia"/>
          <w:kern w:val="14"/>
        </w:rPr>
        <w:t xml:space="preserve"> </w:t>
      </w:r>
      <w:r>
        <w:rPr>
          <w:kern w:val="14"/>
        </w:rPr>
        <w:t>8</w:t>
      </w:r>
      <w:r>
        <w:rPr>
          <w:rFonts w:hint="eastAsia"/>
          <w:kern w:val="14"/>
        </w:rPr>
        <w:t>00</w:t>
      </w:r>
      <w:r>
        <w:rPr>
          <w:rFonts w:hint="eastAsia"/>
          <w:kern w:val="14"/>
        </w:rPr>
        <w:t>人（占立陶宛永久居民的</w:t>
      </w:r>
      <w:r>
        <w:rPr>
          <w:kern w:val="14"/>
        </w:rPr>
        <w:t>1.1%</w:t>
      </w:r>
      <w:r>
        <w:rPr>
          <w:rFonts w:hint="eastAsia"/>
          <w:kern w:val="14"/>
        </w:rPr>
        <w:t>）发放社会福利。与</w:t>
      </w:r>
      <w:r>
        <w:rPr>
          <w:kern w:val="14"/>
        </w:rPr>
        <w:t>2005</w:t>
      </w:r>
      <w:r>
        <w:rPr>
          <w:rFonts w:hint="eastAsia"/>
          <w:kern w:val="14"/>
        </w:rPr>
        <w:t>年相比，有资格领取社会福利的人数下降了</w:t>
      </w:r>
      <w:r>
        <w:rPr>
          <w:rFonts w:hint="eastAsia"/>
          <w:kern w:val="14"/>
        </w:rPr>
        <w:t>30%</w:t>
      </w:r>
      <w:r>
        <w:rPr>
          <w:rFonts w:hint="eastAsia"/>
          <w:kern w:val="14"/>
        </w:rPr>
        <w:t>。下降的主要原因是：居民收入明显增加（最低月工资、平均养老金和平均月工资都提高了），失业率下降以及移民。家庭社会福利为平均每人</w:t>
      </w:r>
      <w:r>
        <w:rPr>
          <w:rFonts w:hint="eastAsia"/>
          <w:kern w:val="14"/>
        </w:rPr>
        <w:t>96</w:t>
      </w:r>
      <w:r>
        <w:rPr>
          <w:rFonts w:hint="eastAsia"/>
          <w:kern w:val="14"/>
        </w:rPr>
        <w:t>立特（参考：</w:t>
      </w:r>
      <w:r>
        <w:rPr>
          <w:rFonts w:hint="eastAsia"/>
          <w:kern w:val="14"/>
        </w:rPr>
        <w:t>2005</w:t>
      </w:r>
      <w:r>
        <w:rPr>
          <w:rFonts w:hint="eastAsia"/>
          <w:kern w:val="14"/>
        </w:rPr>
        <w:t>年</w:t>
      </w:r>
      <w:r>
        <w:rPr>
          <w:rFonts w:hint="eastAsia"/>
          <w:kern w:val="14"/>
        </w:rPr>
        <w:t>81</w:t>
      </w:r>
      <w:r>
        <w:rPr>
          <w:rFonts w:hint="eastAsia"/>
          <w:kern w:val="14"/>
        </w:rPr>
        <w:t>立特）。</w:t>
      </w:r>
      <w:r>
        <w:rPr>
          <w:kern w:val="14"/>
        </w:rPr>
        <w:t>2006</w:t>
      </w:r>
      <w:r>
        <w:rPr>
          <w:rFonts w:hint="eastAsia"/>
          <w:kern w:val="14"/>
        </w:rPr>
        <w:t>年，平均每月向</w:t>
      </w:r>
      <w:r>
        <w:rPr>
          <w:kern w:val="14"/>
        </w:rPr>
        <w:t>96</w:t>
      </w:r>
      <w:r>
        <w:rPr>
          <w:rFonts w:hint="eastAsia"/>
          <w:kern w:val="14"/>
        </w:rPr>
        <w:t xml:space="preserve"> </w:t>
      </w:r>
      <w:r>
        <w:rPr>
          <w:kern w:val="14"/>
        </w:rPr>
        <w:t>1</w:t>
      </w:r>
      <w:r>
        <w:rPr>
          <w:rFonts w:hint="eastAsia"/>
          <w:kern w:val="14"/>
        </w:rPr>
        <w:t>00</w:t>
      </w:r>
      <w:r>
        <w:rPr>
          <w:rFonts w:hint="eastAsia"/>
          <w:kern w:val="14"/>
        </w:rPr>
        <w:t>人（占立陶宛永久居民的</w:t>
      </w:r>
      <w:r>
        <w:rPr>
          <w:kern w:val="14"/>
        </w:rPr>
        <w:t>2.8%</w:t>
      </w:r>
      <w:r>
        <w:rPr>
          <w:rFonts w:hint="eastAsia"/>
          <w:kern w:val="14"/>
        </w:rPr>
        <w:t>）发放取暖费和水费补贴。</w:t>
      </w:r>
    </w:p>
    <w:p w:rsidR="00595751" w:rsidRDefault="00595751">
      <w:pPr>
        <w:pStyle w:val="H2"/>
        <w:rPr>
          <w:rFonts w:hint="eastAsia"/>
        </w:rPr>
      </w:pPr>
      <w:r>
        <w:rPr>
          <w:rFonts w:hint="eastAsia"/>
        </w:rPr>
        <w:t>（</w:t>
      </w:r>
      <w:r>
        <w:t>b</w:t>
      </w:r>
      <w:r>
        <w:rPr>
          <w:rFonts w:hint="eastAsia"/>
        </w:rPr>
        <w:t>）</w:t>
      </w:r>
    </w:p>
    <w:p w:rsidR="00595751" w:rsidRDefault="00595751">
      <w:pPr>
        <w:tabs>
          <w:tab w:val="left" w:pos="630"/>
        </w:tabs>
        <w:spacing w:after="240" w:line="360" w:lineRule="exact"/>
        <w:rPr>
          <w:kern w:val="14"/>
        </w:rPr>
      </w:pPr>
      <w:r>
        <w:rPr>
          <w:rFonts w:hint="eastAsia"/>
          <w:lang w:val="en-GB"/>
        </w:rPr>
        <w:t xml:space="preserve">187. </w:t>
      </w:r>
      <w:r>
        <w:rPr>
          <w:rFonts w:hint="eastAsia"/>
          <w:lang w:val="en-GB"/>
        </w:rPr>
        <w:tab/>
      </w:r>
      <w:r>
        <w:rPr>
          <w:kern w:val="14"/>
        </w:rPr>
        <w:t>立陶宛</w:t>
      </w:r>
      <w:r>
        <w:rPr>
          <w:rFonts w:hint="eastAsia"/>
          <w:kern w:val="14"/>
        </w:rPr>
        <w:t>共和国管理银行和金融机构活动的现行立法没有任何基于性别限制借贷的规定。</w:t>
      </w:r>
    </w:p>
    <w:p w:rsidR="00595751" w:rsidRDefault="00073BCA">
      <w:pPr>
        <w:pStyle w:val="H2"/>
        <w:rPr>
          <w:rFonts w:hint="eastAsia"/>
        </w:rPr>
      </w:pPr>
      <w:r>
        <w:br w:type="page"/>
      </w:r>
      <w:r w:rsidR="00595751">
        <w:rPr>
          <w:rFonts w:hint="eastAsia"/>
        </w:rPr>
        <w:t>（</w:t>
      </w:r>
      <w:r w:rsidR="00595751">
        <w:t>c</w:t>
      </w:r>
      <w:r w:rsidR="00595751">
        <w:rPr>
          <w:rFonts w:hint="eastAsia"/>
        </w:rPr>
        <w:t>）</w:t>
      </w:r>
    </w:p>
    <w:p w:rsidR="00595751" w:rsidRDefault="00595751">
      <w:pPr>
        <w:tabs>
          <w:tab w:val="left" w:pos="630"/>
        </w:tabs>
        <w:spacing w:after="240" w:line="360" w:lineRule="exact"/>
        <w:rPr>
          <w:kern w:val="14"/>
        </w:rPr>
      </w:pPr>
      <w:r>
        <w:rPr>
          <w:rFonts w:hint="eastAsia"/>
          <w:lang w:val="en-GB"/>
        </w:rPr>
        <w:t xml:space="preserve">188. </w:t>
      </w:r>
      <w:r>
        <w:rPr>
          <w:rFonts w:hint="eastAsia"/>
          <w:lang w:val="en-GB"/>
        </w:rPr>
        <w:tab/>
      </w:r>
      <w:r>
        <w:rPr>
          <w:kern w:val="14"/>
        </w:rPr>
        <w:t>立陶宛</w:t>
      </w:r>
      <w:r>
        <w:rPr>
          <w:rFonts w:hint="eastAsia"/>
          <w:kern w:val="14"/>
        </w:rPr>
        <w:t>的立法没有限制妇女参加娱乐活动、体育运动和各方面的文化生活。</w:t>
      </w:r>
      <w:r>
        <w:rPr>
          <w:kern w:val="14"/>
        </w:rPr>
        <w:t>2004-2006</w:t>
      </w:r>
      <w:r>
        <w:rPr>
          <w:rFonts w:hint="eastAsia"/>
          <w:kern w:val="14"/>
        </w:rPr>
        <w:t>年，机会均等发展中心作为伙伴参加了由欧盟基金支助的国际项目“妇女和男性在体育和媒体中的形象”。该项目的协调机构是冰岛两性平等研究中心。该项目追求的目标如下：探讨男女参加体育运动的异同；促进体育方面陈规定型的性别观念的转变；对在塑造男女体育形象方面有影响力的人进行教育；围绕男女参与体育情况编写体育记者、训练员和教练员使用的培训教材，供他们日常使用；促进在欧洲一级讨论体育中的两性陈规定型观念。</w:t>
      </w:r>
    </w:p>
    <w:p w:rsidR="00595751" w:rsidRDefault="00595751">
      <w:pPr>
        <w:pStyle w:val="H1"/>
        <w:spacing w:line="340" w:lineRule="exact"/>
        <w:rPr>
          <w:lang w:val="en-GB"/>
        </w:rPr>
      </w:pPr>
      <w:r>
        <w:rPr>
          <w:rFonts w:hint="eastAsia"/>
          <w:lang w:val="en-GB"/>
        </w:rPr>
        <w:t>第</w:t>
      </w:r>
      <w:r>
        <w:rPr>
          <w:lang w:val="en-GB"/>
        </w:rPr>
        <w:t>14</w:t>
      </w:r>
      <w:r>
        <w:rPr>
          <w:rFonts w:hint="eastAsia"/>
          <w:lang w:val="en-GB"/>
        </w:rPr>
        <w:t>条</w:t>
      </w:r>
    </w:p>
    <w:p w:rsidR="00595751" w:rsidRDefault="00595751">
      <w:pPr>
        <w:pStyle w:val="H23"/>
        <w:rPr>
          <w:b w:val="0"/>
          <w:bCs w:val="0"/>
          <w:lang w:val="en-GB"/>
        </w:rPr>
      </w:pPr>
      <w:r>
        <w:rPr>
          <w:rFonts w:hint="eastAsia"/>
          <w:b w:val="0"/>
          <w:bCs w:val="0"/>
          <w:lang w:val="en-GB"/>
        </w:rPr>
        <w:t>第</w:t>
      </w:r>
      <w:r>
        <w:rPr>
          <w:b w:val="0"/>
          <w:bCs w:val="0"/>
          <w:lang w:val="en-GB"/>
        </w:rPr>
        <w:t>1</w:t>
      </w:r>
      <w:r>
        <w:rPr>
          <w:rFonts w:hint="eastAsia"/>
          <w:b w:val="0"/>
          <w:bCs w:val="0"/>
          <w:lang w:val="en-GB"/>
        </w:rPr>
        <w:t>款</w:t>
      </w:r>
    </w:p>
    <w:p w:rsidR="00595751" w:rsidRDefault="00595751">
      <w:pPr>
        <w:tabs>
          <w:tab w:val="left" w:pos="630"/>
        </w:tabs>
        <w:spacing w:after="240" w:line="360" w:lineRule="exact"/>
        <w:rPr>
          <w:kern w:val="14"/>
        </w:rPr>
      </w:pPr>
      <w:r>
        <w:rPr>
          <w:rFonts w:hint="eastAsia"/>
          <w:lang w:val="en-GB"/>
        </w:rPr>
        <w:t>189.</w:t>
      </w:r>
      <w:r>
        <w:rPr>
          <w:rFonts w:hint="eastAsia"/>
          <w:lang w:val="en-GB"/>
        </w:rPr>
        <w:tab/>
      </w:r>
      <w:r>
        <w:rPr>
          <w:rFonts w:hint="eastAsia"/>
          <w:kern w:val="14"/>
        </w:rPr>
        <w:t>作为执行《</w:t>
      </w:r>
      <w:r>
        <w:rPr>
          <w:kern w:val="14"/>
        </w:rPr>
        <w:t>2005-2009</w:t>
      </w:r>
      <w:r>
        <w:rPr>
          <w:rFonts w:hint="eastAsia"/>
          <w:kern w:val="14"/>
        </w:rPr>
        <w:t>年国家男女机会均等方案》中旨在促进农村妇女就业措施的一部分，立陶宛正向那些开始参与或已在从事农业或替代型商业活动的农村妇女提供咨询，并且每年组织相关的会议和其他活动。</w:t>
      </w:r>
      <w:r>
        <w:rPr>
          <w:kern w:val="14"/>
        </w:rPr>
        <w:t>2005-2006</w:t>
      </w:r>
      <w:r>
        <w:rPr>
          <w:rFonts w:hint="eastAsia"/>
          <w:kern w:val="14"/>
        </w:rPr>
        <w:t>年，</w:t>
      </w:r>
      <w:r>
        <w:rPr>
          <w:kern w:val="14"/>
        </w:rPr>
        <w:t>立陶宛</w:t>
      </w:r>
      <w:r>
        <w:rPr>
          <w:rFonts w:hint="eastAsia"/>
          <w:kern w:val="14"/>
        </w:rPr>
        <w:t>共和国农业公会组织了一次“农村妇女从商与前景”会议；立陶宛女农业商会派出的妇女代表参加了在拉脱维亚举行的第四届波罗的海国家农村妇女国际会议。有</w:t>
      </w:r>
      <w:r>
        <w:rPr>
          <w:kern w:val="14"/>
        </w:rPr>
        <w:t>35</w:t>
      </w:r>
      <w:r>
        <w:rPr>
          <w:rFonts w:hint="eastAsia"/>
          <w:kern w:val="14"/>
        </w:rPr>
        <w:t>名最活跃的农村女企业家参加了在意大利举行的欧洲小城</w:t>
      </w:r>
      <w:r>
        <w:rPr>
          <w:rFonts w:hint="eastAsia"/>
          <w:color w:val="000000"/>
          <w:kern w:val="14"/>
        </w:rPr>
        <w:t>镇和乡村节</w:t>
      </w:r>
      <w:r>
        <w:rPr>
          <w:rFonts w:hint="eastAsia"/>
          <w:kern w:val="14"/>
        </w:rPr>
        <w:t>。</w:t>
      </w:r>
      <w:r>
        <w:rPr>
          <w:kern w:val="14"/>
        </w:rPr>
        <w:t>立陶宛</w:t>
      </w:r>
      <w:r>
        <w:rPr>
          <w:rFonts w:hint="eastAsia"/>
          <w:kern w:val="14"/>
        </w:rPr>
        <w:t>女农民协会在农业部办公大楼举办了圣诞节手工艺品展销会。该协会还组织了一系列研讨会，如“立陶宛农村备选手工艺”和“提高农村生活质量”。大约有</w:t>
      </w:r>
      <w:r>
        <w:rPr>
          <w:rFonts w:hint="eastAsia"/>
          <w:kern w:val="14"/>
        </w:rPr>
        <w:t>800</w:t>
      </w:r>
      <w:r>
        <w:rPr>
          <w:rFonts w:hint="eastAsia"/>
          <w:kern w:val="14"/>
        </w:rPr>
        <w:t>名来自全国各县的妇女参加了这些研讨会。在研讨会上，与会者了解了通过发展非传统手工艺自己创业的机会和从欧洲结构基金获得资金以发展此类企业的机会，同时还聆听了有关农村基础设施发展措施的各种演讲。</w:t>
      </w:r>
    </w:p>
    <w:p w:rsidR="00595751" w:rsidRDefault="00595751">
      <w:pPr>
        <w:tabs>
          <w:tab w:val="left" w:pos="630"/>
        </w:tabs>
        <w:spacing w:after="240" w:line="360" w:lineRule="exact"/>
        <w:rPr>
          <w:kern w:val="14"/>
        </w:rPr>
      </w:pPr>
      <w:r>
        <w:rPr>
          <w:rFonts w:hint="eastAsia"/>
          <w:lang w:val="en-GB"/>
        </w:rPr>
        <w:t>190.</w:t>
      </w:r>
      <w:r>
        <w:rPr>
          <w:rFonts w:hint="eastAsia"/>
          <w:lang w:val="en-GB"/>
        </w:rPr>
        <w:tab/>
      </w:r>
      <w:r>
        <w:rPr>
          <w:kern w:val="14"/>
        </w:rPr>
        <w:t>2006</w:t>
      </w:r>
      <w:r>
        <w:rPr>
          <w:rFonts w:hint="eastAsia"/>
          <w:kern w:val="14"/>
        </w:rPr>
        <w:t>年，</w:t>
      </w:r>
      <w:r>
        <w:rPr>
          <w:kern w:val="14"/>
        </w:rPr>
        <w:t>立陶宛</w:t>
      </w:r>
      <w:r>
        <w:rPr>
          <w:rFonts w:hint="eastAsia"/>
          <w:kern w:val="14"/>
        </w:rPr>
        <w:t>女农民协会组织了许多宣传教育活动，以促进农村妇女的创业精神，讨论如何减少社会排斥问题，促进农村妇女的创业前景和可供选择的手工艺行当，加强社会伙伴关系，提高农村生活质量，参加以农村妇女为目标的国际项目。</w:t>
      </w:r>
      <w:r>
        <w:rPr>
          <w:kern w:val="14"/>
        </w:rPr>
        <w:t>2006</w:t>
      </w:r>
      <w:r>
        <w:rPr>
          <w:rFonts w:hint="eastAsia"/>
          <w:kern w:val="14"/>
        </w:rPr>
        <w:t>年，国家预算为此拨款</w:t>
      </w:r>
      <w:r>
        <w:rPr>
          <w:rFonts w:hint="eastAsia"/>
          <w:kern w:val="14"/>
        </w:rPr>
        <w:t>74 000</w:t>
      </w:r>
      <w:r>
        <w:rPr>
          <w:kern w:val="14"/>
        </w:rPr>
        <w:t>立特</w:t>
      </w:r>
      <w:r>
        <w:rPr>
          <w:rFonts w:hint="eastAsia"/>
          <w:kern w:val="14"/>
        </w:rPr>
        <w:t>，并用这笔经费组织了</w:t>
      </w:r>
      <w:r>
        <w:rPr>
          <w:rFonts w:hint="eastAsia"/>
          <w:kern w:val="14"/>
        </w:rPr>
        <w:t>30</w:t>
      </w:r>
      <w:r>
        <w:rPr>
          <w:rFonts w:hint="eastAsia"/>
          <w:kern w:val="14"/>
        </w:rPr>
        <w:t>项活动。</w:t>
      </w:r>
    </w:p>
    <w:p w:rsidR="00595751" w:rsidRDefault="00595751">
      <w:pPr>
        <w:tabs>
          <w:tab w:val="left" w:pos="630"/>
        </w:tabs>
        <w:spacing w:after="240" w:line="360" w:lineRule="exact"/>
        <w:rPr>
          <w:kern w:val="14"/>
        </w:rPr>
      </w:pPr>
      <w:r>
        <w:rPr>
          <w:rFonts w:hint="eastAsia"/>
          <w:lang w:val="en-GB"/>
        </w:rPr>
        <w:t>191.</w:t>
      </w:r>
      <w:r>
        <w:rPr>
          <w:rFonts w:hint="eastAsia"/>
          <w:lang w:val="en-GB"/>
        </w:rPr>
        <w:tab/>
      </w:r>
      <w:r>
        <w:rPr>
          <w:kern w:val="14"/>
        </w:rPr>
        <w:t>2006</w:t>
      </w:r>
      <w:r>
        <w:rPr>
          <w:rFonts w:hint="eastAsia"/>
          <w:kern w:val="14"/>
        </w:rPr>
        <w:t>年，</w:t>
      </w:r>
      <w:r>
        <w:rPr>
          <w:kern w:val="14"/>
        </w:rPr>
        <w:t>立陶宛</w:t>
      </w:r>
      <w:r>
        <w:rPr>
          <w:rFonts w:hint="eastAsia"/>
          <w:kern w:val="14"/>
        </w:rPr>
        <w:t>农业大学开展了一项研究，“制订措施以促进农村妇女就业和创业”。此项研究包括：根据欧盟成员国的经验，分析有关中小型企业的法律规定以及旨在促进农村人口（尤其是妇女）就业和创业的国家和市政战略发展文件，并且拟订旨在促进农村妇女就业和创业的各项措施。</w:t>
      </w:r>
    </w:p>
    <w:p w:rsidR="00595751" w:rsidRDefault="00595751">
      <w:pPr>
        <w:pStyle w:val="H23"/>
        <w:rPr>
          <w:b w:val="0"/>
          <w:bCs w:val="0"/>
          <w:lang w:val="en-GB"/>
        </w:rPr>
      </w:pPr>
      <w:r>
        <w:rPr>
          <w:rFonts w:hint="eastAsia"/>
          <w:b w:val="0"/>
          <w:bCs w:val="0"/>
          <w:lang w:val="en-GB"/>
        </w:rPr>
        <w:t>第</w:t>
      </w:r>
      <w:r>
        <w:rPr>
          <w:b w:val="0"/>
          <w:bCs w:val="0"/>
          <w:lang w:val="en-GB"/>
        </w:rPr>
        <w:t>2</w:t>
      </w:r>
      <w:r>
        <w:rPr>
          <w:rFonts w:hint="eastAsia"/>
          <w:b w:val="0"/>
          <w:bCs w:val="0"/>
          <w:lang w:val="en-GB"/>
        </w:rPr>
        <w:t>款</w:t>
      </w:r>
    </w:p>
    <w:p w:rsidR="00595751" w:rsidRDefault="00595751">
      <w:pPr>
        <w:pStyle w:val="H2"/>
        <w:rPr>
          <w:rFonts w:hint="eastAsia"/>
        </w:rPr>
      </w:pPr>
      <w:r>
        <w:rPr>
          <w:rFonts w:hint="eastAsia"/>
        </w:rPr>
        <w:t>（</w:t>
      </w:r>
      <w:r>
        <w:t>a</w:t>
      </w:r>
      <w:r>
        <w:rPr>
          <w:rFonts w:hint="eastAsia"/>
        </w:rPr>
        <w:t>）</w:t>
      </w:r>
    </w:p>
    <w:p w:rsidR="00595751" w:rsidRDefault="00595751">
      <w:pPr>
        <w:tabs>
          <w:tab w:val="left" w:pos="630"/>
        </w:tabs>
        <w:spacing w:after="240" w:line="360" w:lineRule="exact"/>
        <w:rPr>
          <w:kern w:val="14"/>
        </w:rPr>
      </w:pPr>
      <w:bookmarkStart w:id="29" w:name="_Hlt182968301"/>
      <w:bookmarkStart w:id="30" w:name="_Hlt182968302"/>
      <w:r>
        <w:rPr>
          <w:rFonts w:hint="eastAsia"/>
          <w:lang w:val="en-GB"/>
        </w:rPr>
        <w:t>192.</w:t>
      </w:r>
      <w:r>
        <w:rPr>
          <w:rFonts w:hint="eastAsia"/>
          <w:lang w:val="en-GB"/>
        </w:rPr>
        <w:tab/>
      </w:r>
      <w:r>
        <w:rPr>
          <w:rFonts w:hint="eastAsia"/>
          <w:kern w:val="14"/>
        </w:rPr>
        <w:t>议会</w:t>
      </w:r>
      <w:r>
        <w:rPr>
          <w:rFonts w:hint="eastAsia"/>
          <w:kern w:val="14"/>
        </w:rPr>
        <w:t>2000</w:t>
      </w:r>
      <w:r>
        <w:rPr>
          <w:rFonts w:hint="eastAsia"/>
          <w:kern w:val="14"/>
        </w:rPr>
        <w:t>年</w:t>
      </w:r>
      <w:r>
        <w:rPr>
          <w:rFonts w:hint="eastAsia"/>
          <w:kern w:val="14"/>
        </w:rPr>
        <w:t>6</w:t>
      </w:r>
      <w:r>
        <w:rPr>
          <w:rFonts w:hint="eastAsia"/>
          <w:kern w:val="14"/>
        </w:rPr>
        <w:t>月</w:t>
      </w:r>
      <w:r>
        <w:rPr>
          <w:rFonts w:hint="eastAsia"/>
          <w:kern w:val="14"/>
        </w:rPr>
        <w:t>13</w:t>
      </w:r>
      <w:r>
        <w:rPr>
          <w:rFonts w:hint="eastAsia"/>
          <w:kern w:val="14"/>
        </w:rPr>
        <w:t>日第</w:t>
      </w:r>
      <w:r>
        <w:rPr>
          <w:kern w:val="14"/>
        </w:rPr>
        <w:t>VIII-1728</w:t>
      </w:r>
      <w:r>
        <w:rPr>
          <w:rFonts w:hint="eastAsia"/>
          <w:kern w:val="14"/>
        </w:rPr>
        <w:t>号决议（</w:t>
      </w:r>
      <w:r>
        <w:rPr>
          <w:rFonts w:hint="eastAsia"/>
          <w:kern w:val="14"/>
        </w:rPr>
        <w:t>2000</w:t>
      </w:r>
      <w:r>
        <w:rPr>
          <w:rFonts w:hint="eastAsia"/>
          <w:kern w:val="14"/>
        </w:rPr>
        <w:t>年第</w:t>
      </w:r>
      <w:r>
        <w:rPr>
          <w:kern w:val="14"/>
        </w:rPr>
        <w:t>50-1435</w:t>
      </w:r>
      <w:r>
        <w:rPr>
          <w:rFonts w:hint="eastAsia"/>
          <w:kern w:val="14"/>
        </w:rPr>
        <w:t>号</w:t>
      </w:r>
      <w:r>
        <w:rPr>
          <w:kern w:val="14"/>
        </w:rPr>
        <w:t>《政府公报》</w:t>
      </w:r>
      <w:r>
        <w:rPr>
          <w:rFonts w:hint="eastAsia"/>
          <w:kern w:val="14"/>
        </w:rPr>
        <w:t>）核准了《农业和农村发展战略》中阐述的长远目标，其中包括可持续农村经济和社会发展、信息和知识社会以及提高公众对法律问题的认识。为了实现这些长期目标，立陶宛正在制订和执行相关的方案和措施。</w:t>
      </w:r>
    </w:p>
    <w:p w:rsidR="00595751" w:rsidRDefault="00595751">
      <w:pPr>
        <w:tabs>
          <w:tab w:val="left" w:pos="630"/>
        </w:tabs>
        <w:spacing w:after="240" w:line="360" w:lineRule="exact"/>
        <w:rPr>
          <w:kern w:val="14"/>
        </w:rPr>
      </w:pPr>
      <w:bookmarkStart w:id="31" w:name="_Hlt182968333"/>
      <w:bookmarkStart w:id="32" w:name="_Hlt182968334"/>
      <w:bookmarkEnd w:id="29"/>
      <w:bookmarkEnd w:id="30"/>
      <w:r>
        <w:rPr>
          <w:rFonts w:hint="eastAsia"/>
          <w:lang w:val="en-GB"/>
        </w:rPr>
        <w:t>193.</w:t>
      </w:r>
      <w:r>
        <w:rPr>
          <w:rFonts w:hint="eastAsia"/>
          <w:lang w:val="en-GB"/>
        </w:rPr>
        <w:tab/>
      </w:r>
      <w:r>
        <w:rPr>
          <w:rFonts w:hint="eastAsia"/>
          <w:kern w:val="14"/>
        </w:rPr>
        <w:t>为了执行政府</w:t>
      </w:r>
      <w:r>
        <w:rPr>
          <w:rFonts w:hint="eastAsia"/>
          <w:kern w:val="14"/>
        </w:rPr>
        <w:t>2006</w:t>
      </w:r>
      <w:r>
        <w:rPr>
          <w:rFonts w:hint="eastAsia"/>
          <w:kern w:val="14"/>
        </w:rPr>
        <w:t>年</w:t>
      </w:r>
      <w:r>
        <w:rPr>
          <w:rFonts w:hint="eastAsia"/>
          <w:kern w:val="14"/>
        </w:rPr>
        <w:t>6</w:t>
      </w:r>
      <w:r>
        <w:rPr>
          <w:rFonts w:hint="eastAsia"/>
          <w:kern w:val="14"/>
        </w:rPr>
        <w:t>月</w:t>
      </w:r>
      <w:r>
        <w:rPr>
          <w:rFonts w:hint="eastAsia"/>
          <w:kern w:val="14"/>
        </w:rPr>
        <w:t>19</w:t>
      </w:r>
      <w:r>
        <w:rPr>
          <w:rFonts w:hint="eastAsia"/>
          <w:kern w:val="14"/>
        </w:rPr>
        <w:t>日第</w:t>
      </w:r>
      <w:r>
        <w:rPr>
          <w:rFonts w:hint="eastAsia"/>
          <w:kern w:val="14"/>
        </w:rPr>
        <w:t>590</w:t>
      </w:r>
      <w:r>
        <w:rPr>
          <w:rFonts w:hint="eastAsia"/>
          <w:kern w:val="14"/>
        </w:rPr>
        <w:t>号决议（</w:t>
      </w:r>
      <w:r>
        <w:rPr>
          <w:rFonts w:hint="eastAsia"/>
          <w:kern w:val="14"/>
        </w:rPr>
        <w:t>2006</w:t>
      </w:r>
      <w:r>
        <w:rPr>
          <w:rFonts w:hint="eastAsia"/>
          <w:kern w:val="14"/>
        </w:rPr>
        <w:t>年第</w:t>
      </w:r>
      <w:r>
        <w:rPr>
          <w:kern w:val="14"/>
        </w:rPr>
        <w:t>70-2564</w:t>
      </w:r>
      <w:r>
        <w:rPr>
          <w:rFonts w:hint="eastAsia"/>
          <w:kern w:val="14"/>
        </w:rPr>
        <w:t>号</w:t>
      </w:r>
      <w:r>
        <w:rPr>
          <w:kern w:val="14"/>
        </w:rPr>
        <w:t>《政府公报》</w:t>
      </w:r>
      <w:r>
        <w:rPr>
          <w:rFonts w:hint="eastAsia"/>
          <w:kern w:val="14"/>
        </w:rPr>
        <w:t>）核准的《</w:t>
      </w:r>
      <w:r>
        <w:rPr>
          <w:kern w:val="14"/>
        </w:rPr>
        <w:t>2006-2008</w:t>
      </w:r>
      <w:r>
        <w:rPr>
          <w:rFonts w:hint="eastAsia"/>
          <w:kern w:val="14"/>
        </w:rPr>
        <w:t>年国家农村发展方案》，有关方面组织了以解决农村人面临的社会问题为宗旨的各种会议、研讨会和其他教育活动。</w:t>
      </w:r>
      <w:r>
        <w:rPr>
          <w:kern w:val="14"/>
        </w:rPr>
        <w:t>立陶宛</w:t>
      </w:r>
      <w:r>
        <w:rPr>
          <w:rFonts w:hint="eastAsia"/>
          <w:kern w:val="14"/>
        </w:rPr>
        <w:t>女农民协会经常为农村妇女举办教育宣传活动。</w:t>
      </w:r>
      <w:r>
        <w:rPr>
          <w:kern w:val="14"/>
        </w:rPr>
        <w:t>2005</w:t>
      </w:r>
      <w:r>
        <w:rPr>
          <w:rFonts w:hint="eastAsia"/>
          <w:kern w:val="14"/>
        </w:rPr>
        <w:t>年，该协会在全国各地举办了“促进农村妇女创业”的系列研讨会；举办了一次题为“减少农村妇女的社会排斥”的会议；另外还在全国</w:t>
      </w:r>
      <w:r>
        <w:rPr>
          <w:rFonts w:hint="eastAsia"/>
          <w:kern w:val="14"/>
        </w:rPr>
        <w:t>24</w:t>
      </w:r>
      <w:r>
        <w:rPr>
          <w:rFonts w:hint="eastAsia"/>
          <w:kern w:val="14"/>
        </w:rPr>
        <w:t>个区举办题为“现代农村家庭的价值观转变”的学习班。</w:t>
      </w:r>
      <w:r>
        <w:rPr>
          <w:kern w:val="14"/>
        </w:rPr>
        <w:t>2005</w:t>
      </w:r>
      <w:r>
        <w:rPr>
          <w:rFonts w:hint="eastAsia"/>
          <w:kern w:val="14"/>
        </w:rPr>
        <w:t>年，立陶宛举行了一次会议来讨论农村妇女的社会排斥问题；</w:t>
      </w:r>
      <w:r>
        <w:rPr>
          <w:kern w:val="14"/>
        </w:rPr>
        <w:t>立陶宛</w:t>
      </w:r>
      <w:r>
        <w:rPr>
          <w:rFonts w:hint="eastAsia"/>
          <w:kern w:val="14"/>
        </w:rPr>
        <w:t>女农民协会派女农民代表立陶宛参加了在爱沙尼亚举行的农村工艺品和手工艺品展销会。受农业部委托，</w:t>
      </w:r>
      <w:r>
        <w:rPr>
          <w:kern w:val="14"/>
        </w:rPr>
        <w:t>立陶宛</w:t>
      </w:r>
      <w:r>
        <w:rPr>
          <w:rFonts w:hint="eastAsia"/>
          <w:kern w:val="14"/>
        </w:rPr>
        <w:t>农村经济学研究所进行了一项关于促进农村妇女参与农村发展进程的研究。</w:t>
      </w:r>
    </w:p>
    <w:bookmarkEnd w:id="31"/>
    <w:bookmarkEnd w:id="32"/>
    <w:p w:rsidR="00595751" w:rsidRDefault="00595751">
      <w:pPr>
        <w:pStyle w:val="H2"/>
        <w:rPr>
          <w:rFonts w:hint="eastAsia"/>
        </w:rPr>
      </w:pPr>
      <w:r>
        <w:rPr>
          <w:rFonts w:hint="eastAsia"/>
        </w:rPr>
        <w:t>（</w:t>
      </w:r>
      <w:r>
        <w:t>c</w:t>
      </w:r>
      <w:r>
        <w:rPr>
          <w:rFonts w:hint="eastAsia"/>
        </w:rPr>
        <w:t>）</w:t>
      </w:r>
    </w:p>
    <w:p w:rsidR="00595751" w:rsidRDefault="00595751">
      <w:pPr>
        <w:tabs>
          <w:tab w:val="left" w:pos="630"/>
        </w:tabs>
        <w:spacing w:after="240" w:line="360" w:lineRule="exact"/>
        <w:rPr>
          <w:kern w:val="14"/>
        </w:rPr>
      </w:pPr>
      <w:r>
        <w:rPr>
          <w:rFonts w:hint="eastAsia"/>
          <w:lang w:val="en-GB"/>
        </w:rPr>
        <w:t>194.</w:t>
      </w:r>
      <w:r>
        <w:rPr>
          <w:rFonts w:hint="eastAsia"/>
          <w:lang w:val="en-GB"/>
        </w:rPr>
        <w:tab/>
      </w:r>
      <w:r>
        <w:rPr>
          <w:kern w:val="14"/>
        </w:rPr>
        <w:t>立陶宛</w:t>
      </w:r>
      <w:r>
        <w:rPr>
          <w:rFonts w:hint="eastAsia"/>
          <w:kern w:val="14"/>
        </w:rPr>
        <w:t>共和国的法律条文规定，必须确保不论男女人人享有社会保障。如果立陶宛共和国的居民依据雇用合同工作或者从事立陶宛法律条文规定的其他活动，从中挣得收入并且加入了适当种类的保险，他</w:t>
      </w:r>
      <w:r>
        <w:rPr>
          <w:rFonts w:hint="eastAsia"/>
          <w:kern w:val="14"/>
        </w:rPr>
        <w:t>/</w:t>
      </w:r>
      <w:r>
        <w:rPr>
          <w:rFonts w:hint="eastAsia"/>
          <w:kern w:val="14"/>
        </w:rPr>
        <w:t>她就有资格享受相关的社会保障（养恤金、医疗保险、妇产假、陪产假和其他福利）。《</w:t>
      </w:r>
      <w:r>
        <w:rPr>
          <w:kern w:val="14"/>
        </w:rPr>
        <w:t>立陶宛</w:t>
      </w:r>
      <w:r>
        <w:rPr>
          <w:rFonts w:hint="eastAsia"/>
          <w:kern w:val="14"/>
        </w:rPr>
        <w:t>共和国国家社会保险法》（</w:t>
      </w:r>
      <w:r>
        <w:rPr>
          <w:rFonts w:hint="eastAsia"/>
          <w:kern w:val="14"/>
        </w:rPr>
        <w:t>1991</w:t>
      </w:r>
      <w:r>
        <w:rPr>
          <w:rFonts w:hint="eastAsia"/>
          <w:kern w:val="14"/>
        </w:rPr>
        <w:t>年第</w:t>
      </w:r>
      <w:r>
        <w:rPr>
          <w:kern w:val="14"/>
        </w:rPr>
        <w:t>17-447</w:t>
      </w:r>
      <w:r>
        <w:rPr>
          <w:rFonts w:hint="eastAsia"/>
          <w:kern w:val="14"/>
        </w:rPr>
        <w:t>号</w:t>
      </w:r>
      <w:r>
        <w:rPr>
          <w:kern w:val="14"/>
        </w:rPr>
        <w:t>《政府公报》</w:t>
      </w:r>
      <w:r>
        <w:rPr>
          <w:rFonts w:hint="eastAsia"/>
          <w:kern w:val="14"/>
        </w:rPr>
        <w:t>；</w:t>
      </w:r>
      <w:r>
        <w:rPr>
          <w:rFonts w:hint="eastAsia"/>
          <w:kern w:val="14"/>
        </w:rPr>
        <w:t>2004</w:t>
      </w:r>
      <w:r>
        <w:rPr>
          <w:rFonts w:hint="eastAsia"/>
          <w:kern w:val="14"/>
        </w:rPr>
        <w:t>年第</w:t>
      </w:r>
      <w:r>
        <w:rPr>
          <w:kern w:val="14"/>
        </w:rPr>
        <w:t>171-6295</w:t>
      </w:r>
      <w:r>
        <w:rPr>
          <w:rFonts w:hint="eastAsia"/>
          <w:kern w:val="14"/>
        </w:rPr>
        <w:t>号《政府公报》）第</w:t>
      </w:r>
      <w:r>
        <w:rPr>
          <w:rFonts w:hint="eastAsia"/>
          <w:kern w:val="14"/>
        </w:rPr>
        <w:t>4</w:t>
      </w:r>
      <w:r>
        <w:rPr>
          <w:rFonts w:hint="eastAsia"/>
          <w:kern w:val="14"/>
        </w:rPr>
        <w:t>条具体规定了保险所涵盖的群体和保险种类。</w:t>
      </w:r>
    </w:p>
    <w:p w:rsidR="00595751" w:rsidRDefault="00595751">
      <w:pPr>
        <w:tabs>
          <w:tab w:val="left" w:pos="630"/>
        </w:tabs>
        <w:spacing w:after="240" w:line="360" w:lineRule="exact"/>
        <w:rPr>
          <w:kern w:val="14"/>
        </w:rPr>
      </w:pPr>
      <w:bookmarkStart w:id="33" w:name="_Hlt182972849"/>
      <w:bookmarkStart w:id="34" w:name="_Hlt182972850"/>
      <w:bookmarkStart w:id="35" w:name="_Hlt182972877"/>
      <w:bookmarkStart w:id="36" w:name="_Hlt182972878"/>
      <w:bookmarkStart w:id="37" w:name="_Hlt182972869"/>
      <w:bookmarkStart w:id="38" w:name="_Hlt182972870"/>
      <w:r>
        <w:rPr>
          <w:rFonts w:hint="eastAsia"/>
          <w:lang w:val="en-GB"/>
        </w:rPr>
        <w:t>195.</w:t>
      </w:r>
      <w:r>
        <w:rPr>
          <w:rFonts w:hint="eastAsia"/>
          <w:lang w:val="en-GB"/>
        </w:rPr>
        <w:tab/>
      </w:r>
      <w:r>
        <w:rPr>
          <w:rFonts w:hint="eastAsia"/>
          <w:kern w:val="14"/>
        </w:rPr>
        <w:t>不在社会保险自动覆盖的名单之列的人，有权在自愿基础上参加国家养老金保险和国家医疗及生育津贴社会保险。政府</w:t>
      </w:r>
      <w:r>
        <w:rPr>
          <w:rFonts w:hint="eastAsia"/>
          <w:kern w:val="14"/>
        </w:rPr>
        <w:t>2000</w:t>
      </w:r>
      <w:r>
        <w:rPr>
          <w:rFonts w:hint="eastAsia"/>
          <w:kern w:val="14"/>
        </w:rPr>
        <w:t>年</w:t>
      </w:r>
      <w:r>
        <w:rPr>
          <w:rFonts w:hint="eastAsia"/>
          <w:kern w:val="14"/>
        </w:rPr>
        <w:t>3</w:t>
      </w:r>
      <w:r>
        <w:rPr>
          <w:rFonts w:hint="eastAsia"/>
          <w:kern w:val="14"/>
        </w:rPr>
        <w:t>月</w:t>
      </w:r>
      <w:r>
        <w:rPr>
          <w:rFonts w:hint="eastAsia"/>
          <w:kern w:val="14"/>
        </w:rPr>
        <w:t>23</w:t>
      </w:r>
      <w:r>
        <w:rPr>
          <w:rFonts w:hint="eastAsia"/>
          <w:kern w:val="14"/>
        </w:rPr>
        <w:t>日第</w:t>
      </w:r>
      <w:r>
        <w:rPr>
          <w:rFonts w:hint="eastAsia"/>
          <w:kern w:val="14"/>
        </w:rPr>
        <w:t>339</w:t>
      </w:r>
      <w:r>
        <w:rPr>
          <w:rFonts w:hint="eastAsia"/>
          <w:kern w:val="14"/>
        </w:rPr>
        <w:t>号决议（</w:t>
      </w:r>
      <w:r>
        <w:rPr>
          <w:rFonts w:hint="eastAsia"/>
          <w:kern w:val="14"/>
        </w:rPr>
        <w:t>2000</w:t>
      </w:r>
      <w:r>
        <w:rPr>
          <w:rFonts w:hint="eastAsia"/>
          <w:kern w:val="14"/>
        </w:rPr>
        <w:t>年第</w:t>
      </w:r>
      <w:r>
        <w:rPr>
          <w:kern w:val="14"/>
        </w:rPr>
        <w:t>26-696</w:t>
      </w:r>
      <w:r>
        <w:rPr>
          <w:rFonts w:hint="eastAsia"/>
          <w:kern w:val="14"/>
        </w:rPr>
        <w:t>号</w:t>
      </w:r>
      <w:r>
        <w:rPr>
          <w:kern w:val="14"/>
        </w:rPr>
        <w:t>《政府公报》</w:t>
      </w:r>
      <w:r>
        <w:rPr>
          <w:rFonts w:hint="eastAsia"/>
          <w:kern w:val="14"/>
        </w:rPr>
        <w:t>）核准的《自愿的国家社会养老金保险管理细则》和政府</w:t>
      </w:r>
      <w:r>
        <w:rPr>
          <w:rFonts w:hint="eastAsia"/>
          <w:kern w:val="14"/>
        </w:rPr>
        <w:t>1997</w:t>
      </w:r>
      <w:r>
        <w:rPr>
          <w:rFonts w:hint="eastAsia"/>
          <w:kern w:val="14"/>
        </w:rPr>
        <w:t>年</w:t>
      </w:r>
      <w:r>
        <w:rPr>
          <w:rFonts w:hint="eastAsia"/>
          <w:kern w:val="14"/>
        </w:rPr>
        <w:t>10</w:t>
      </w:r>
      <w:r>
        <w:rPr>
          <w:rFonts w:hint="eastAsia"/>
          <w:kern w:val="14"/>
        </w:rPr>
        <w:t>月</w:t>
      </w:r>
      <w:r>
        <w:rPr>
          <w:rFonts w:hint="eastAsia"/>
          <w:kern w:val="14"/>
        </w:rPr>
        <w:t>28</w:t>
      </w:r>
      <w:r>
        <w:rPr>
          <w:rFonts w:hint="eastAsia"/>
          <w:kern w:val="14"/>
        </w:rPr>
        <w:t>日第</w:t>
      </w:r>
      <w:r>
        <w:rPr>
          <w:rFonts w:hint="eastAsia"/>
          <w:kern w:val="14"/>
        </w:rPr>
        <w:t>1191</w:t>
      </w:r>
      <w:r>
        <w:rPr>
          <w:rFonts w:hint="eastAsia"/>
          <w:kern w:val="14"/>
        </w:rPr>
        <w:t>号决议（</w:t>
      </w:r>
      <w:r>
        <w:rPr>
          <w:rFonts w:hint="eastAsia"/>
          <w:kern w:val="14"/>
        </w:rPr>
        <w:t>1997</w:t>
      </w:r>
      <w:r>
        <w:rPr>
          <w:rFonts w:hint="eastAsia"/>
          <w:kern w:val="14"/>
        </w:rPr>
        <w:t>年第</w:t>
      </w:r>
      <w:r>
        <w:rPr>
          <w:kern w:val="14"/>
        </w:rPr>
        <w:t>98-2497</w:t>
      </w:r>
      <w:r>
        <w:rPr>
          <w:rFonts w:hint="eastAsia"/>
          <w:kern w:val="14"/>
        </w:rPr>
        <w:t>号</w:t>
      </w:r>
      <w:r>
        <w:rPr>
          <w:kern w:val="14"/>
        </w:rPr>
        <w:t>《政府公报》</w:t>
      </w:r>
      <w:r>
        <w:rPr>
          <w:rFonts w:hint="eastAsia"/>
          <w:kern w:val="14"/>
        </w:rPr>
        <w:t>；</w:t>
      </w:r>
      <w:r>
        <w:rPr>
          <w:rFonts w:hint="eastAsia"/>
          <w:kern w:val="14"/>
        </w:rPr>
        <w:t>1999</w:t>
      </w:r>
      <w:r>
        <w:rPr>
          <w:rFonts w:hint="eastAsia"/>
          <w:kern w:val="14"/>
        </w:rPr>
        <w:t>年第</w:t>
      </w:r>
      <w:r>
        <w:rPr>
          <w:kern w:val="14"/>
        </w:rPr>
        <w:t>99-2862</w:t>
      </w:r>
      <w:r>
        <w:rPr>
          <w:rFonts w:hint="eastAsia"/>
          <w:kern w:val="14"/>
        </w:rPr>
        <w:t>号《政府公报》）核准的《自愿的疾病和生育津贴国家社会保险管理细则》分别规定了这些自愿保险的参保程序和条件。</w:t>
      </w:r>
    </w:p>
    <w:bookmarkEnd w:id="33"/>
    <w:bookmarkEnd w:id="34"/>
    <w:bookmarkEnd w:id="35"/>
    <w:bookmarkEnd w:id="36"/>
    <w:bookmarkEnd w:id="37"/>
    <w:bookmarkEnd w:id="38"/>
    <w:p w:rsidR="00595751" w:rsidRDefault="00595751">
      <w:pPr>
        <w:tabs>
          <w:tab w:val="left" w:pos="630"/>
        </w:tabs>
        <w:spacing w:after="240" w:line="360" w:lineRule="exact"/>
        <w:rPr>
          <w:kern w:val="14"/>
        </w:rPr>
      </w:pPr>
      <w:r>
        <w:rPr>
          <w:rFonts w:hint="eastAsia"/>
          <w:lang w:val="en-GB"/>
        </w:rPr>
        <w:t>196.</w:t>
      </w:r>
      <w:r>
        <w:rPr>
          <w:rFonts w:hint="eastAsia"/>
          <w:lang w:val="en-GB"/>
        </w:rPr>
        <w:tab/>
      </w:r>
      <w:r>
        <w:rPr>
          <w:rFonts w:hint="eastAsia"/>
          <w:kern w:val="14"/>
        </w:rPr>
        <w:t>自营职业者——不包括作为独资业主参与经济活动并持有商业执照的人——只能自动参加养老金社会保险的基本部分和养老金的补充部分。养老金补充部分的承保范围以有关人员的实际收入为条件。作为独资业主参与经济活动并持有商业执照者只能自动参加养老金社会保险的基本养老金部分。</w:t>
      </w:r>
    </w:p>
    <w:p w:rsidR="00595751" w:rsidRDefault="00595751">
      <w:pPr>
        <w:pStyle w:val="H2"/>
        <w:rPr>
          <w:rFonts w:hint="eastAsia"/>
        </w:rPr>
      </w:pPr>
      <w:r>
        <w:rPr>
          <w:rFonts w:hint="eastAsia"/>
        </w:rPr>
        <w:t>（</w:t>
      </w:r>
      <w:r>
        <w:t>d</w:t>
      </w:r>
      <w:r>
        <w:rPr>
          <w:rFonts w:hint="eastAsia"/>
        </w:rPr>
        <w:t>）</w:t>
      </w:r>
    </w:p>
    <w:p w:rsidR="00595751" w:rsidRDefault="00595751">
      <w:pPr>
        <w:tabs>
          <w:tab w:val="left" w:pos="630"/>
        </w:tabs>
        <w:spacing w:after="240" w:line="360" w:lineRule="exact"/>
        <w:rPr>
          <w:kern w:val="14"/>
        </w:rPr>
      </w:pPr>
      <w:r>
        <w:rPr>
          <w:rFonts w:hint="eastAsia"/>
          <w:lang w:val="en-GB"/>
        </w:rPr>
        <w:t>197.</w:t>
      </w:r>
      <w:r>
        <w:rPr>
          <w:rFonts w:hint="eastAsia"/>
          <w:lang w:val="en-GB"/>
        </w:rPr>
        <w:tab/>
      </w:r>
      <w:r>
        <w:rPr>
          <w:rFonts w:hint="eastAsia"/>
          <w:kern w:val="14"/>
        </w:rPr>
        <w:t>为了促进就业，设在农村地区的职业学校与当地社区合作，提供非正规的教育方案，贯彻执行满足本地需要的劳动力市场方案。把主要精力集中在改进职业培训的组织工作上。该领域的工作包括发展初级和继续职业培训的通用质量保证体系，改进课程大纲，以及将有关创业的课题纳入课程大纲。为了制订新的职业培训和学习课程，共有</w:t>
      </w:r>
      <w:r>
        <w:rPr>
          <w:rFonts w:hint="eastAsia"/>
          <w:kern w:val="14"/>
        </w:rPr>
        <w:t>54</w:t>
      </w:r>
      <w:r>
        <w:rPr>
          <w:rFonts w:hint="eastAsia"/>
          <w:kern w:val="14"/>
        </w:rPr>
        <w:t>个教育机构获得了欧洲社会基金的资助。职业培训质量评估程序已经更新。为了使职业培训更加适合劳动力市场的需要，现正在制订职业培训标准，并且正在调查特定经济部门对专业工作者的需求情况。</w:t>
      </w:r>
    </w:p>
    <w:p w:rsidR="00595751" w:rsidRDefault="00595751">
      <w:pPr>
        <w:tabs>
          <w:tab w:val="left" w:pos="630"/>
        </w:tabs>
        <w:spacing w:after="240" w:line="360" w:lineRule="exact"/>
        <w:rPr>
          <w:kern w:val="14"/>
        </w:rPr>
      </w:pPr>
      <w:r>
        <w:rPr>
          <w:rFonts w:hint="eastAsia"/>
          <w:lang w:val="en-GB"/>
        </w:rPr>
        <w:t>198.</w:t>
      </w:r>
      <w:r>
        <w:rPr>
          <w:rFonts w:hint="eastAsia"/>
          <w:lang w:val="en-GB"/>
        </w:rPr>
        <w:tab/>
      </w:r>
      <w:r>
        <w:rPr>
          <w:rFonts w:hint="eastAsia"/>
          <w:kern w:val="14"/>
        </w:rPr>
        <w:t>为了扩大幼儿和学前教育的普及率并将农村作为重点地区，立陶宛建立了</w:t>
      </w:r>
      <w:r>
        <w:rPr>
          <w:kern w:val="14"/>
        </w:rPr>
        <w:t>86</w:t>
      </w:r>
      <w:r>
        <w:rPr>
          <w:rFonts w:hint="eastAsia"/>
          <w:kern w:val="14"/>
        </w:rPr>
        <w:t>所幼儿和学前教育机构，其中</w:t>
      </w:r>
      <w:r>
        <w:rPr>
          <w:rFonts w:hint="eastAsia"/>
          <w:kern w:val="14"/>
        </w:rPr>
        <w:t>46</w:t>
      </w:r>
      <w:r>
        <w:rPr>
          <w:rFonts w:hint="eastAsia"/>
          <w:kern w:val="14"/>
        </w:rPr>
        <w:t>个设在农村地区；</w:t>
      </w:r>
      <w:r>
        <w:rPr>
          <w:kern w:val="14"/>
        </w:rPr>
        <w:t>85</w:t>
      </w:r>
      <w:r>
        <w:rPr>
          <w:rFonts w:hint="eastAsia"/>
          <w:kern w:val="14"/>
        </w:rPr>
        <w:t>个幼儿和学前教师职位得到财政支持，其中</w:t>
      </w:r>
      <w:r>
        <w:rPr>
          <w:rFonts w:hint="eastAsia"/>
          <w:kern w:val="14"/>
        </w:rPr>
        <w:t>37</w:t>
      </w:r>
      <w:r>
        <w:rPr>
          <w:rFonts w:hint="eastAsia"/>
          <w:kern w:val="14"/>
        </w:rPr>
        <w:t>个职位在农村地区。</w:t>
      </w:r>
    </w:p>
    <w:p w:rsidR="00595751" w:rsidRDefault="00595751">
      <w:pPr>
        <w:tabs>
          <w:tab w:val="left" w:pos="630"/>
        </w:tabs>
        <w:spacing w:after="240" w:line="360" w:lineRule="exact"/>
        <w:rPr>
          <w:kern w:val="14"/>
        </w:rPr>
      </w:pPr>
      <w:r>
        <w:rPr>
          <w:rFonts w:hint="eastAsia"/>
          <w:lang w:val="en-GB"/>
        </w:rPr>
        <w:t>199.</w:t>
      </w:r>
      <w:r>
        <w:rPr>
          <w:rFonts w:hint="eastAsia"/>
          <w:lang w:val="en-GB"/>
        </w:rPr>
        <w:tab/>
      </w:r>
      <w:r>
        <w:rPr>
          <w:rFonts w:hint="eastAsia"/>
          <w:kern w:val="14"/>
        </w:rPr>
        <w:t>这方面的工作包括促进对农村妇女进行有关男女平等问题的非正规教育；提供有关如何创办私人企业的信息；提高农村人关于男女机会均等的认识；向创办或发展农业企业或替代企业的农村妇女提供信息。为了推动农村妇女创业，立陶宛集中力量做好以下几方面的工作：对农村妇女创办企业提供指导和咨询；协助拟订商业战略；发展女企业家网络；为获得创办企业所需的小额贷款提供便利；在促进妇女创业方面加强中央与地方政策的协调一致。</w:t>
      </w:r>
    </w:p>
    <w:p w:rsidR="00595751" w:rsidRDefault="00595751">
      <w:pPr>
        <w:tabs>
          <w:tab w:val="left" w:pos="630"/>
        </w:tabs>
        <w:spacing w:after="240" w:line="360" w:lineRule="exact"/>
        <w:rPr>
          <w:kern w:val="14"/>
        </w:rPr>
      </w:pPr>
      <w:r>
        <w:rPr>
          <w:rFonts w:hint="eastAsia"/>
          <w:lang w:val="en-GB"/>
        </w:rPr>
        <w:t>200.</w:t>
      </w:r>
      <w:r>
        <w:rPr>
          <w:rFonts w:hint="eastAsia"/>
          <w:lang w:val="en-GB"/>
        </w:rPr>
        <w:tab/>
      </w:r>
      <w:r>
        <w:rPr>
          <w:rFonts w:hint="eastAsia"/>
          <w:kern w:val="14"/>
        </w:rPr>
        <w:t>非政府组织在减少社会排斥和促进农村妇女创业方面发挥了重要作用。以城镇为基地的</w:t>
      </w:r>
      <w:r>
        <w:rPr>
          <w:kern w:val="14"/>
        </w:rPr>
        <w:t>立陶宛</w:t>
      </w:r>
      <w:r>
        <w:rPr>
          <w:rFonts w:hint="eastAsia"/>
          <w:kern w:val="14"/>
        </w:rPr>
        <w:t>妇女组织也吸纳农村妇女参加她们的活动。一些妇女组织（如考纳斯县妇女就业信息中心）不但组织培训班，还帮助找工作。具体办法是：与雇主合作、收集工作岗位空缺信息，并指引失业妇女获得适当资格以应聘相关的空缺。在就业和培训方面，妇女组织与媒体、职业介绍所、劳动力市场和培训机构合作。</w:t>
      </w:r>
    </w:p>
    <w:p w:rsidR="00595751" w:rsidRDefault="00595751">
      <w:pPr>
        <w:pStyle w:val="H2"/>
        <w:rPr>
          <w:rFonts w:hint="eastAsia"/>
        </w:rPr>
      </w:pPr>
      <w:r>
        <w:rPr>
          <w:rFonts w:hint="eastAsia"/>
        </w:rPr>
        <w:t>（</w:t>
      </w:r>
      <w:r>
        <w:t>e</w:t>
      </w:r>
      <w:r>
        <w:rPr>
          <w:rFonts w:hint="eastAsia"/>
        </w:rPr>
        <w:t>）</w:t>
      </w:r>
    </w:p>
    <w:p w:rsidR="00595751" w:rsidRDefault="00595751">
      <w:pPr>
        <w:tabs>
          <w:tab w:val="left" w:pos="630"/>
        </w:tabs>
        <w:spacing w:after="240" w:line="360" w:lineRule="exact"/>
        <w:rPr>
          <w:kern w:val="14"/>
        </w:rPr>
      </w:pPr>
      <w:r>
        <w:rPr>
          <w:rFonts w:hint="eastAsia"/>
          <w:lang w:val="en-GB"/>
        </w:rPr>
        <w:t>201.</w:t>
      </w:r>
      <w:r>
        <w:rPr>
          <w:rFonts w:hint="eastAsia"/>
          <w:lang w:val="en-GB"/>
        </w:rPr>
        <w:tab/>
      </w:r>
      <w:r>
        <w:rPr>
          <w:rFonts w:hint="eastAsia"/>
          <w:lang w:val="en-GB"/>
        </w:rPr>
        <w:t>立陶宛</w:t>
      </w:r>
      <w:r>
        <w:rPr>
          <w:rFonts w:hint="eastAsia"/>
          <w:kern w:val="14"/>
        </w:rPr>
        <w:t>努力确保妇女有平等的机会自营职业，并扩大她们的经济机会。自</w:t>
      </w:r>
      <w:r>
        <w:rPr>
          <w:rFonts w:hint="eastAsia"/>
          <w:kern w:val="14"/>
        </w:rPr>
        <w:t>2004</w:t>
      </w:r>
      <w:r>
        <w:rPr>
          <w:rFonts w:hint="eastAsia"/>
          <w:kern w:val="14"/>
        </w:rPr>
        <w:t>年以来，地方就业倡议得到了财政支助。</w:t>
      </w:r>
      <w:r>
        <w:rPr>
          <w:kern w:val="14"/>
        </w:rPr>
        <w:t>2006</w:t>
      </w:r>
      <w:r>
        <w:rPr>
          <w:rFonts w:hint="eastAsia"/>
          <w:kern w:val="14"/>
        </w:rPr>
        <w:t>年，分别在</w:t>
      </w:r>
      <w:r>
        <w:rPr>
          <w:rFonts w:hint="eastAsia"/>
          <w:kern w:val="14"/>
        </w:rPr>
        <w:t>23</w:t>
      </w:r>
      <w:r>
        <w:rPr>
          <w:rFonts w:hint="eastAsia"/>
          <w:kern w:val="14"/>
        </w:rPr>
        <w:t>个市区执行了</w:t>
      </w:r>
      <w:r>
        <w:rPr>
          <w:kern w:val="14"/>
        </w:rPr>
        <w:t>43</w:t>
      </w:r>
      <w:r>
        <w:rPr>
          <w:rFonts w:hint="eastAsia"/>
          <w:kern w:val="14"/>
        </w:rPr>
        <w:t>项地方就业倡议，这些地方的劳动适龄群体失业率比全国总失业率高</w:t>
      </w:r>
      <w:r>
        <w:rPr>
          <w:kern w:val="14"/>
        </w:rPr>
        <w:t>1.35</w:t>
      </w:r>
      <w:r>
        <w:rPr>
          <w:rFonts w:hint="eastAsia"/>
          <w:kern w:val="14"/>
        </w:rPr>
        <w:t>倍。作为这些项目的一部分，有关方面设立了</w:t>
      </w:r>
      <w:r>
        <w:rPr>
          <w:kern w:val="14"/>
        </w:rPr>
        <w:t>278</w:t>
      </w:r>
      <w:r>
        <w:rPr>
          <w:rFonts w:hint="eastAsia"/>
          <w:kern w:val="14"/>
        </w:rPr>
        <w:t>个新工作岗位。在农村地区执行的项目占全部项目</w:t>
      </w:r>
      <w:r>
        <w:rPr>
          <w:kern w:val="14"/>
        </w:rPr>
        <w:t>44%</w:t>
      </w:r>
      <w:r>
        <w:rPr>
          <w:rFonts w:hint="eastAsia"/>
          <w:kern w:val="14"/>
        </w:rPr>
        <w:t>，这些项目帮助农村人创造了</w:t>
      </w:r>
      <w:r>
        <w:rPr>
          <w:kern w:val="14"/>
        </w:rPr>
        <w:t>110</w:t>
      </w:r>
      <w:r>
        <w:rPr>
          <w:rFonts w:hint="eastAsia"/>
          <w:kern w:val="14"/>
        </w:rPr>
        <w:t>个新就业岗位。这种项目促进了农村发展，因为大多数都与支持发展农村替代经济活动有关。这些新工作岗位空缺有</w:t>
      </w:r>
      <w:r>
        <w:rPr>
          <w:kern w:val="14"/>
        </w:rPr>
        <w:t>47%</w:t>
      </w:r>
      <w:r>
        <w:rPr>
          <w:rFonts w:hint="eastAsia"/>
          <w:kern w:val="14"/>
        </w:rPr>
        <w:t>是由妇女填充的，有</w:t>
      </w:r>
      <w:r>
        <w:rPr>
          <w:kern w:val="14"/>
        </w:rPr>
        <w:t>53%</w:t>
      </w:r>
      <w:r>
        <w:rPr>
          <w:rFonts w:hint="eastAsia"/>
          <w:kern w:val="14"/>
        </w:rPr>
        <w:t>是由男子填充的。为了雇用在劳动力市场上竞争有困难的人（往往由于个人不能控制的原因），由地方就业倡议创造的新岗位有</w:t>
      </w:r>
      <w:r>
        <w:rPr>
          <w:kern w:val="14"/>
        </w:rPr>
        <w:t>183</w:t>
      </w:r>
      <w:r>
        <w:rPr>
          <w:rFonts w:hint="eastAsia"/>
          <w:kern w:val="14"/>
        </w:rPr>
        <w:t>个由劳动力市场给予附加支持的失业者来填充（占雇员总人数的</w:t>
      </w:r>
      <w:r>
        <w:rPr>
          <w:kern w:val="14"/>
        </w:rPr>
        <w:t>66%</w:t>
      </w:r>
      <w:r>
        <w:rPr>
          <w:rFonts w:hint="eastAsia"/>
          <w:kern w:val="14"/>
        </w:rPr>
        <w:t>）。总的来说，</w:t>
      </w:r>
      <w:r>
        <w:rPr>
          <w:rFonts w:hint="eastAsia"/>
          <w:kern w:val="14"/>
        </w:rPr>
        <w:t>2006</w:t>
      </w:r>
      <w:r>
        <w:rPr>
          <w:rFonts w:hint="eastAsia"/>
          <w:kern w:val="14"/>
        </w:rPr>
        <w:t>年，由地方就业倡议创造的新工作岗位填充情况如下：</w:t>
      </w:r>
      <w:r>
        <w:rPr>
          <w:kern w:val="14"/>
        </w:rPr>
        <w:t>18%</w:t>
      </w:r>
      <w:r>
        <w:rPr>
          <w:rFonts w:hint="eastAsia"/>
          <w:kern w:val="14"/>
        </w:rPr>
        <w:t>由长期失业者填充；</w:t>
      </w:r>
      <w:r>
        <w:rPr>
          <w:kern w:val="14"/>
        </w:rPr>
        <w:t>17%</w:t>
      </w:r>
      <w:r>
        <w:rPr>
          <w:rFonts w:hint="eastAsia"/>
          <w:kern w:val="14"/>
        </w:rPr>
        <w:t>由</w:t>
      </w:r>
      <w:r>
        <w:rPr>
          <w:kern w:val="14"/>
        </w:rPr>
        <w:t>50</w:t>
      </w:r>
      <w:r>
        <w:rPr>
          <w:rFonts w:hint="eastAsia"/>
          <w:kern w:val="14"/>
        </w:rPr>
        <w:t>岁以上者填充；</w:t>
      </w:r>
      <w:r>
        <w:rPr>
          <w:kern w:val="14"/>
        </w:rPr>
        <w:t>13%</w:t>
      </w:r>
      <w:r>
        <w:rPr>
          <w:rFonts w:hint="eastAsia"/>
          <w:kern w:val="14"/>
        </w:rPr>
        <w:t>由那些在当地职业介绍所登记以前已经失业</w:t>
      </w:r>
      <w:r>
        <w:rPr>
          <w:rFonts w:hint="eastAsia"/>
          <w:kern w:val="14"/>
        </w:rPr>
        <w:t>2</w:t>
      </w:r>
      <w:r>
        <w:rPr>
          <w:rFonts w:hint="eastAsia"/>
          <w:kern w:val="14"/>
        </w:rPr>
        <w:t>年以上的人填充；</w:t>
      </w:r>
      <w:r>
        <w:rPr>
          <w:kern w:val="14"/>
        </w:rPr>
        <w:t>11%</w:t>
      </w:r>
      <w:r>
        <w:rPr>
          <w:rFonts w:hint="eastAsia"/>
          <w:kern w:val="14"/>
        </w:rPr>
        <w:t>由孕妇和照料</w:t>
      </w:r>
      <w:r>
        <w:rPr>
          <w:rFonts w:hint="eastAsia"/>
          <w:kern w:val="14"/>
        </w:rPr>
        <w:t>8</w:t>
      </w:r>
      <w:r>
        <w:rPr>
          <w:rFonts w:hint="eastAsia"/>
          <w:kern w:val="14"/>
        </w:rPr>
        <w:t>岁以下幼儿或</w:t>
      </w:r>
      <w:r>
        <w:rPr>
          <w:rFonts w:hint="eastAsia"/>
          <w:kern w:val="14"/>
        </w:rPr>
        <w:t>18</w:t>
      </w:r>
      <w:r>
        <w:rPr>
          <w:rFonts w:hint="eastAsia"/>
          <w:kern w:val="14"/>
        </w:rPr>
        <w:t>岁以下残疾子女的人填充；</w:t>
      </w:r>
      <w:r>
        <w:rPr>
          <w:kern w:val="14"/>
        </w:rPr>
        <w:t>6%</w:t>
      </w:r>
      <w:r>
        <w:rPr>
          <w:rFonts w:hint="eastAsia"/>
          <w:kern w:val="14"/>
        </w:rPr>
        <w:t>由刚刚得到职业并开始其职业生涯的人填充；还有</w:t>
      </w:r>
      <w:r>
        <w:rPr>
          <w:kern w:val="14"/>
        </w:rPr>
        <w:t>1%</w:t>
      </w:r>
      <w:r>
        <w:rPr>
          <w:rFonts w:hint="eastAsia"/>
          <w:kern w:val="14"/>
        </w:rPr>
        <w:t>由残疾人填充。</w:t>
      </w:r>
    </w:p>
    <w:p w:rsidR="00595751" w:rsidRDefault="00595751">
      <w:pPr>
        <w:tabs>
          <w:tab w:val="left" w:pos="630"/>
        </w:tabs>
        <w:spacing w:after="240" w:line="360" w:lineRule="exact"/>
        <w:rPr>
          <w:kern w:val="14"/>
        </w:rPr>
      </w:pPr>
      <w:r>
        <w:rPr>
          <w:rFonts w:hint="eastAsia"/>
          <w:lang w:val="en-GB"/>
        </w:rPr>
        <w:t>202.</w:t>
      </w:r>
      <w:r>
        <w:rPr>
          <w:rFonts w:hint="eastAsia"/>
          <w:lang w:val="en-GB"/>
        </w:rPr>
        <w:tab/>
      </w:r>
      <w:r>
        <w:rPr>
          <w:rFonts w:hint="eastAsia"/>
          <w:kern w:val="14"/>
        </w:rPr>
        <w:t>妇女们越来越积极地参与经济活动，女企业家人数也在与日俱增。在农村企业家中，妇女比率已经高达</w:t>
      </w:r>
      <w:r>
        <w:rPr>
          <w:kern w:val="14"/>
        </w:rPr>
        <w:t>30%</w:t>
      </w:r>
      <w:r>
        <w:rPr>
          <w:rFonts w:hint="eastAsia"/>
          <w:kern w:val="14"/>
        </w:rPr>
        <w:t>。她们愈来愈频繁地抓住机遇，创办或发展自己的企业，她们为促进经济增长和创造新的工作岗位做出贡献。</w:t>
      </w:r>
    </w:p>
    <w:p w:rsidR="00595751" w:rsidRDefault="00595751">
      <w:pPr>
        <w:tabs>
          <w:tab w:val="left" w:pos="630"/>
        </w:tabs>
        <w:spacing w:after="240" w:line="360" w:lineRule="exact"/>
        <w:rPr>
          <w:kern w:val="14"/>
        </w:rPr>
      </w:pPr>
      <w:r>
        <w:rPr>
          <w:rFonts w:hint="eastAsia"/>
          <w:lang w:val="en-GB"/>
        </w:rPr>
        <w:t>203.</w:t>
      </w:r>
      <w:r>
        <w:rPr>
          <w:rFonts w:hint="eastAsia"/>
          <w:lang w:val="en-GB"/>
        </w:rPr>
        <w:tab/>
      </w:r>
      <w:r>
        <w:rPr>
          <w:rFonts w:hint="eastAsia"/>
          <w:kern w:val="14"/>
        </w:rPr>
        <w:t>尽管乡村旅游业肯定是一种卓有成效的经济活动，但大多数农村妇女仍在从事传统的农业活动。</w:t>
      </w:r>
      <w:r>
        <w:rPr>
          <w:kern w:val="14"/>
        </w:rPr>
        <w:t>2005</w:t>
      </w:r>
      <w:r>
        <w:rPr>
          <w:rFonts w:hint="eastAsia"/>
          <w:kern w:val="14"/>
        </w:rPr>
        <w:t>年，在农场登记中心登记的</w:t>
      </w:r>
      <w:r>
        <w:rPr>
          <w:kern w:val="14"/>
        </w:rPr>
        <w:t>40%</w:t>
      </w:r>
      <w:r>
        <w:rPr>
          <w:rFonts w:hint="eastAsia"/>
          <w:kern w:val="14"/>
        </w:rPr>
        <w:t>的农场为妇女所有。农村妇女（与男子一样）拥有的农场一般都比较小（在</w:t>
      </w:r>
      <w:r>
        <w:rPr>
          <w:rFonts w:hint="eastAsia"/>
          <w:kern w:val="14"/>
        </w:rPr>
        <w:t>5</w:t>
      </w:r>
      <w:r>
        <w:rPr>
          <w:rFonts w:hint="eastAsia"/>
          <w:kern w:val="14"/>
        </w:rPr>
        <w:t>公顷以下或</w:t>
      </w:r>
      <w:r>
        <w:rPr>
          <w:rFonts w:hint="eastAsia"/>
          <w:kern w:val="14"/>
        </w:rPr>
        <w:t>5</w:t>
      </w:r>
      <w:r>
        <w:rPr>
          <w:rFonts w:hint="eastAsia"/>
          <w:kern w:val="14"/>
        </w:rPr>
        <w:t>至</w:t>
      </w:r>
      <w:r>
        <w:rPr>
          <w:rFonts w:hint="eastAsia"/>
          <w:kern w:val="14"/>
        </w:rPr>
        <w:t>9.9</w:t>
      </w:r>
      <w:r>
        <w:rPr>
          <w:rFonts w:hint="eastAsia"/>
          <w:kern w:val="14"/>
        </w:rPr>
        <w:t>公顷之间），这种规模的农场以妇女名义登记农场的</w:t>
      </w:r>
      <w:r>
        <w:rPr>
          <w:kern w:val="14"/>
        </w:rPr>
        <w:t>67%</w:t>
      </w:r>
      <w:r>
        <w:rPr>
          <w:rFonts w:hint="eastAsia"/>
          <w:kern w:val="14"/>
        </w:rPr>
        <w:t>。在立陶宛，妇女拥有的大农场很少，但这方面呈上升趋势。在</w:t>
      </w:r>
      <w:r>
        <w:rPr>
          <w:kern w:val="14"/>
        </w:rPr>
        <w:t>2000</w:t>
      </w:r>
      <w:r>
        <w:rPr>
          <w:rFonts w:hint="eastAsia"/>
          <w:kern w:val="14"/>
        </w:rPr>
        <w:t>年初到</w:t>
      </w:r>
      <w:r>
        <w:rPr>
          <w:kern w:val="14"/>
        </w:rPr>
        <w:t>2005</w:t>
      </w:r>
      <w:r>
        <w:rPr>
          <w:rFonts w:hint="eastAsia"/>
          <w:kern w:val="14"/>
        </w:rPr>
        <w:t>年末期间，妇女拥有的、规模在</w:t>
      </w:r>
      <w:r>
        <w:rPr>
          <w:kern w:val="14"/>
        </w:rPr>
        <w:t>50</w:t>
      </w:r>
      <w:r>
        <w:rPr>
          <w:rFonts w:hint="eastAsia"/>
          <w:kern w:val="14"/>
        </w:rPr>
        <w:t>至</w:t>
      </w:r>
      <w:r>
        <w:rPr>
          <w:kern w:val="14"/>
        </w:rPr>
        <w:t>99.9</w:t>
      </w:r>
      <w:r>
        <w:rPr>
          <w:rFonts w:hint="eastAsia"/>
          <w:kern w:val="14"/>
        </w:rPr>
        <w:t>公顷的农场数量增加了</w:t>
      </w:r>
      <w:r>
        <w:rPr>
          <w:kern w:val="14"/>
        </w:rPr>
        <w:t>1.5</w:t>
      </w:r>
      <w:r>
        <w:rPr>
          <w:rFonts w:hint="eastAsia"/>
          <w:kern w:val="14"/>
        </w:rPr>
        <w:t>倍；而规模超过</w:t>
      </w:r>
      <w:r>
        <w:rPr>
          <w:rFonts w:hint="eastAsia"/>
          <w:kern w:val="14"/>
        </w:rPr>
        <w:t>100</w:t>
      </w:r>
      <w:r>
        <w:rPr>
          <w:rFonts w:hint="eastAsia"/>
          <w:kern w:val="14"/>
        </w:rPr>
        <w:t>公顷的农场增加了</w:t>
      </w:r>
      <w:r>
        <w:rPr>
          <w:kern w:val="14"/>
        </w:rPr>
        <w:t>2.6</w:t>
      </w:r>
      <w:r>
        <w:rPr>
          <w:rFonts w:hint="eastAsia"/>
          <w:kern w:val="14"/>
        </w:rPr>
        <w:t>倍。</w:t>
      </w:r>
    </w:p>
    <w:p w:rsidR="00595751" w:rsidRDefault="00595751">
      <w:pPr>
        <w:pStyle w:val="H2"/>
        <w:rPr>
          <w:rFonts w:hint="eastAsia"/>
        </w:rPr>
      </w:pPr>
      <w:r>
        <w:rPr>
          <w:rFonts w:hint="eastAsia"/>
        </w:rPr>
        <w:t>（</w:t>
      </w:r>
      <w:r>
        <w:t>g</w:t>
      </w:r>
      <w:r>
        <w:rPr>
          <w:rFonts w:hint="eastAsia"/>
        </w:rPr>
        <w:t>）</w:t>
      </w:r>
    </w:p>
    <w:p w:rsidR="00595751" w:rsidRDefault="00595751">
      <w:pPr>
        <w:tabs>
          <w:tab w:val="left" w:pos="630"/>
        </w:tabs>
        <w:spacing w:after="240" w:line="360" w:lineRule="exact"/>
        <w:rPr>
          <w:kern w:val="14"/>
        </w:rPr>
      </w:pPr>
      <w:r>
        <w:rPr>
          <w:rFonts w:hint="eastAsia"/>
          <w:lang w:val="en-GB"/>
        </w:rPr>
        <w:t>204.</w:t>
      </w:r>
      <w:r>
        <w:rPr>
          <w:rFonts w:hint="eastAsia"/>
          <w:lang w:val="en-GB"/>
        </w:rPr>
        <w:tab/>
      </w:r>
      <w:r>
        <w:rPr>
          <w:rFonts w:hint="eastAsia"/>
          <w:kern w:val="14"/>
        </w:rPr>
        <w:t>农业得到了欧盟结构基金的资助，该基金的管理规则要求确保男女有平等的机会得到欧盟结构基金的支助，以发展其农场。</w:t>
      </w:r>
      <w:r>
        <w:rPr>
          <w:kern w:val="14"/>
        </w:rPr>
        <w:t>2005</w:t>
      </w:r>
      <w:r>
        <w:rPr>
          <w:rFonts w:hint="eastAsia"/>
          <w:kern w:val="14"/>
        </w:rPr>
        <w:t>年，该基金资助了</w:t>
      </w:r>
      <w:r>
        <w:rPr>
          <w:rFonts w:hint="eastAsia"/>
          <w:kern w:val="14"/>
        </w:rPr>
        <w:t>12</w:t>
      </w:r>
      <w:r>
        <w:rPr>
          <w:rFonts w:hint="eastAsia"/>
          <w:kern w:val="14"/>
        </w:rPr>
        <w:t>个农场的发展项目，其中半数是由妇女推荐的。在得到资助的所有农业投资项目中，妇女推荐的项目占</w:t>
      </w:r>
      <w:r>
        <w:rPr>
          <w:kern w:val="14"/>
        </w:rPr>
        <w:t>14%</w:t>
      </w:r>
      <w:r>
        <w:rPr>
          <w:rFonts w:hint="eastAsia"/>
          <w:kern w:val="14"/>
        </w:rPr>
        <w:t>。鼓励年轻的农村妇女扩大其农场。</w:t>
      </w:r>
      <w:r>
        <w:rPr>
          <w:rFonts w:hint="eastAsia"/>
          <w:kern w:val="14"/>
        </w:rPr>
        <w:t>2005</w:t>
      </w:r>
      <w:r>
        <w:rPr>
          <w:rFonts w:hint="eastAsia"/>
          <w:kern w:val="14"/>
        </w:rPr>
        <w:t>年，由妇女推荐的项目占年轻农场主推荐项目总数的</w:t>
      </w:r>
      <w:r>
        <w:rPr>
          <w:rFonts w:hint="eastAsia"/>
          <w:kern w:val="14"/>
        </w:rPr>
        <w:t>24%</w:t>
      </w:r>
      <w:r>
        <w:rPr>
          <w:rFonts w:hint="eastAsia"/>
          <w:kern w:val="14"/>
        </w:rPr>
        <w:t>。</w:t>
      </w:r>
    </w:p>
    <w:p w:rsidR="00595751" w:rsidRDefault="00595751">
      <w:pPr>
        <w:pStyle w:val="H2"/>
        <w:rPr>
          <w:rFonts w:hint="eastAsia"/>
        </w:rPr>
      </w:pPr>
      <w:r>
        <w:rPr>
          <w:rFonts w:hint="eastAsia"/>
        </w:rPr>
        <w:t>（</w:t>
      </w:r>
      <w:r>
        <w:t>h</w:t>
      </w:r>
      <w:r>
        <w:rPr>
          <w:rFonts w:hint="eastAsia"/>
        </w:rPr>
        <w:t>）</w:t>
      </w:r>
    </w:p>
    <w:p w:rsidR="00595751" w:rsidRDefault="00595751">
      <w:pPr>
        <w:tabs>
          <w:tab w:val="left" w:pos="630"/>
        </w:tabs>
        <w:spacing w:after="240" w:line="360" w:lineRule="exact"/>
        <w:rPr>
          <w:kern w:val="14"/>
        </w:rPr>
      </w:pPr>
      <w:r>
        <w:rPr>
          <w:rFonts w:hint="eastAsia"/>
          <w:lang w:val="en-GB"/>
        </w:rPr>
        <w:t>205.</w:t>
      </w:r>
      <w:r>
        <w:rPr>
          <w:rFonts w:hint="eastAsia"/>
          <w:lang w:val="en-GB"/>
        </w:rPr>
        <w:tab/>
      </w:r>
      <w:r>
        <w:rPr>
          <w:kern w:val="14"/>
        </w:rPr>
        <w:t>2005</w:t>
      </w:r>
      <w:r>
        <w:rPr>
          <w:rFonts w:hint="eastAsia"/>
          <w:kern w:val="14"/>
        </w:rPr>
        <w:t>年</w:t>
      </w:r>
      <w:r>
        <w:rPr>
          <w:rFonts w:hint="eastAsia"/>
          <w:kern w:val="14"/>
        </w:rPr>
        <w:t>7</w:t>
      </w:r>
      <w:r>
        <w:rPr>
          <w:rFonts w:hint="eastAsia"/>
          <w:kern w:val="14"/>
        </w:rPr>
        <w:t>月</w:t>
      </w:r>
      <w:r>
        <w:rPr>
          <w:rFonts w:hint="eastAsia"/>
          <w:kern w:val="14"/>
        </w:rPr>
        <w:t>5</w:t>
      </w:r>
      <w:r>
        <w:rPr>
          <w:rFonts w:hint="eastAsia"/>
          <w:kern w:val="14"/>
        </w:rPr>
        <w:t>日，《立陶宛共和国购置或租赁住房和整修多处住宅国家支助法》（</w:t>
      </w:r>
      <w:r>
        <w:rPr>
          <w:rFonts w:hint="eastAsia"/>
          <w:kern w:val="14"/>
        </w:rPr>
        <w:t>1992</w:t>
      </w:r>
      <w:r>
        <w:rPr>
          <w:rFonts w:hint="eastAsia"/>
          <w:kern w:val="14"/>
        </w:rPr>
        <w:t>年第</w:t>
      </w:r>
      <w:r>
        <w:rPr>
          <w:kern w:val="14"/>
        </w:rPr>
        <w:t>14-378</w:t>
      </w:r>
      <w:r>
        <w:rPr>
          <w:rFonts w:hint="eastAsia"/>
          <w:kern w:val="14"/>
        </w:rPr>
        <w:t>号</w:t>
      </w:r>
      <w:r>
        <w:rPr>
          <w:kern w:val="14"/>
        </w:rPr>
        <w:t>《政府公报》</w:t>
      </w:r>
      <w:r>
        <w:rPr>
          <w:rFonts w:hint="eastAsia"/>
          <w:kern w:val="14"/>
        </w:rPr>
        <w:t>；</w:t>
      </w:r>
      <w:r>
        <w:rPr>
          <w:rFonts w:hint="eastAsia"/>
          <w:kern w:val="14"/>
        </w:rPr>
        <w:t>2002</w:t>
      </w:r>
      <w:r>
        <w:rPr>
          <w:rFonts w:hint="eastAsia"/>
          <w:kern w:val="14"/>
        </w:rPr>
        <w:t>年第</w:t>
      </w:r>
      <w:r>
        <w:rPr>
          <w:kern w:val="14"/>
        </w:rPr>
        <w:t>116-5188</w:t>
      </w:r>
      <w:r>
        <w:rPr>
          <w:rFonts w:hint="eastAsia"/>
          <w:kern w:val="14"/>
        </w:rPr>
        <w:t>号</w:t>
      </w:r>
      <w:r>
        <w:rPr>
          <w:kern w:val="14"/>
        </w:rPr>
        <w:t>《政府公报》</w:t>
      </w:r>
      <w:r>
        <w:rPr>
          <w:rFonts w:hint="eastAsia"/>
          <w:kern w:val="14"/>
        </w:rPr>
        <w:t>）得到了修正（通过</w:t>
      </w:r>
      <w:r>
        <w:rPr>
          <w:rFonts w:hint="eastAsia"/>
          <w:kern w:val="14"/>
        </w:rPr>
        <w:t>2005</w:t>
      </w:r>
      <w:r>
        <w:rPr>
          <w:rFonts w:hint="eastAsia"/>
          <w:kern w:val="14"/>
        </w:rPr>
        <w:t>年</w:t>
      </w:r>
      <w:r>
        <w:rPr>
          <w:rFonts w:hint="eastAsia"/>
          <w:kern w:val="14"/>
        </w:rPr>
        <w:t>7</w:t>
      </w:r>
      <w:r>
        <w:rPr>
          <w:rFonts w:hint="eastAsia"/>
          <w:kern w:val="14"/>
        </w:rPr>
        <w:t>月</w:t>
      </w:r>
      <w:r>
        <w:rPr>
          <w:rFonts w:hint="eastAsia"/>
          <w:kern w:val="14"/>
        </w:rPr>
        <w:t>5</w:t>
      </w:r>
      <w:r>
        <w:rPr>
          <w:rFonts w:hint="eastAsia"/>
          <w:kern w:val="14"/>
        </w:rPr>
        <w:t>日第</w:t>
      </w:r>
      <w:r>
        <w:rPr>
          <w:kern w:val="14"/>
        </w:rPr>
        <w:t>X-319</w:t>
      </w:r>
      <w:r>
        <w:rPr>
          <w:rFonts w:hint="eastAsia"/>
          <w:kern w:val="14"/>
        </w:rPr>
        <w:t>号法律）。该法律管理国家对贫穷家庭或单身人士购置或租赁住房提供的支助。支助形式取决于持有的资产和所得的收入。购置住房的支助金可以发放给年轻家庭和大家庭（资助额为抵押资产或抵押资产差额的</w:t>
      </w:r>
      <w:r>
        <w:rPr>
          <w:rFonts w:hint="eastAsia"/>
          <w:kern w:val="14"/>
        </w:rPr>
        <w:t>10%</w:t>
      </w:r>
      <w:r>
        <w:rPr>
          <w:rFonts w:hint="eastAsia"/>
          <w:kern w:val="14"/>
        </w:rPr>
        <w:t>），亦可发放给残疾人和孤儿（资助额为抵押资产或抵押资产差额的</w:t>
      </w:r>
      <w:r>
        <w:rPr>
          <w:rFonts w:hint="eastAsia"/>
          <w:kern w:val="14"/>
        </w:rPr>
        <w:t>20%</w:t>
      </w:r>
      <w:r>
        <w:rPr>
          <w:rFonts w:hint="eastAsia"/>
          <w:kern w:val="14"/>
        </w:rPr>
        <w:t>）。</w:t>
      </w:r>
    </w:p>
    <w:p w:rsidR="00595751" w:rsidRDefault="00595751">
      <w:pPr>
        <w:tabs>
          <w:tab w:val="left" w:pos="630"/>
        </w:tabs>
        <w:spacing w:after="240" w:line="360" w:lineRule="exact"/>
        <w:rPr>
          <w:kern w:val="14"/>
        </w:rPr>
      </w:pPr>
      <w:bookmarkStart w:id="39" w:name="_Hlt182988018"/>
      <w:bookmarkStart w:id="40" w:name="_Hlt182988019"/>
      <w:bookmarkStart w:id="41" w:name="_Hlt182988051"/>
      <w:bookmarkStart w:id="42" w:name="_Hlt182988052"/>
      <w:r>
        <w:rPr>
          <w:rFonts w:hint="eastAsia"/>
          <w:lang w:val="en-GB"/>
        </w:rPr>
        <w:t>206.</w:t>
      </w:r>
      <w:r>
        <w:rPr>
          <w:rFonts w:hint="eastAsia"/>
          <w:lang w:val="en-GB"/>
        </w:rPr>
        <w:tab/>
      </w:r>
      <w:r>
        <w:rPr>
          <w:kern w:val="14"/>
        </w:rPr>
        <w:t>立陶宛</w:t>
      </w:r>
      <w:r>
        <w:rPr>
          <w:rFonts w:hint="eastAsia"/>
          <w:kern w:val="14"/>
        </w:rPr>
        <w:t>在供水方面存在着一定的城乡差距：农村地区不像城市地区那样容易得到这方面的服务。为了确保人人享有平等的机会获得供水和废水处理服务，</w:t>
      </w:r>
      <w:r>
        <w:rPr>
          <w:rFonts w:hint="eastAsia"/>
          <w:kern w:val="14"/>
        </w:rPr>
        <w:t>2006</w:t>
      </w:r>
      <w:r>
        <w:rPr>
          <w:rFonts w:hint="eastAsia"/>
          <w:kern w:val="14"/>
        </w:rPr>
        <w:t>年</w:t>
      </w:r>
      <w:r>
        <w:rPr>
          <w:rFonts w:hint="eastAsia"/>
          <w:kern w:val="14"/>
        </w:rPr>
        <w:t>7</w:t>
      </w:r>
      <w:r>
        <w:rPr>
          <w:rFonts w:hint="eastAsia"/>
          <w:kern w:val="14"/>
        </w:rPr>
        <w:t>月</w:t>
      </w:r>
      <w:r>
        <w:rPr>
          <w:rFonts w:hint="eastAsia"/>
          <w:kern w:val="14"/>
        </w:rPr>
        <w:t>13</w:t>
      </w:r>
      <w:r>
        <w:rPr>
          <w:rFonts w:hint="eastAsia"/>
          <w:kern w:val="14"/>
        </w:rPr>
        <w:t>日，立陶宛通过了两项法律：《立陶宛共和国饮水供应和废水处理法》（</w:t>
      </w:r>
      <w:r>
        <w:rPr>
          <w:rFonts w:hint="eastAsia"/>
          <w:kern w:val="14"/>
        </w:rPr>
        <w:t>2006</w:t>
      </w:r>
      <w:r>
        <w:rPr>
          <w:rFonts w:hint="eastAsia"/>
          <w:kern w:val="14"/>
        </w:rPr>
        <w:t>年第</w:t>
      </w:r>
      <w:r>
        <w:rPr>
          <w:kern w:val="14"/>
        </w:rPr>
        <w:t>82-3260</w:t>
      </w:r>
      <w:r>
        <w:rPr>
          <w:rFonts w:hint="eastAsia"/>
          <w:kern w:val="14"/>
        </w:rPr>
        <w:t>号</w:t>
      </w:r>
      <w:r>
        <w:rPr>
          <w:kern w:val="14"/>
        </w:rPr>
        <w:t>《政府公报》</w:t>
      </w:r>
      <w:r>
        <w:rPr>
          <w:rFonts w:hint="eastAsia"/>
          <w:kern w:val="14"/>
        </w:rPr>
        <w:t>）和《立陶宛共和国饮水供应和废水处理法的生效和实施法》（</w:t>
      </w:r>
      <w:r>
        <w:rPr>
          <w:rFonts w:hint="eastAsia"/>
          <w:kern w:val="14"/>
        </w:rPr>
        <w:t>2006</w:t>
      </w:r>
      <w:r>
        <w:rPr>
          <w:rFonts w:hint="eastAsia"/>
          <w:kern w:val="14"/>
        </w:rPr>
        <w:t>年第</w:t>
      </w:r>
      <w:r>
        <w:rPr>
          <w:kern w:val="14"/>
        </w:rPr>
        <w:t>82-3261</w:t>
      </w:r>
      <w:r>
        <w:rPr>
          <w:rFonts w:hint="eastAsia"/>
          <w:kern w:val="14"/>
        </w:rPr>
        <w:t>号</w:t>
      </w:r>
      <w:r>
        <w:rPr>
          <w:kern w:val="14"/>
        </w:rPr>
        <w:t>《政府公报》</w:t>
      </w:r>
      <w:r>
        <w:rPr>
          <w:rFonts w:hint="eastAsia"/>
          <w:kern w:val="14"/>
        </w:rPr>
        <w:t>）。这两项法律规定，到</w:t>
      </w:r>
      <w:r>
        <w:rPr>
          <w:rFonts w:hint="eastAsia"/>
          <w:kern w:val="14"/>
        </w:rPr>
        <w:t>2014</w:t>
      </w:r>
      <w:r>
        <w:rPr>
          <w:rFonts w:hint="eastAsia"/>
          <w:kern w:val="14"/>
        </w:rPr>
        <w:t>年</w:t>
      </w:r>
      <w:r>
        <w:rPr>
          <w:rFonts w:hint="eastAsia"/>
          <w:kern w:val="14"/>
        </w:rPr>
        <w:t>12</w:t>
      </w:r>
      <w:r>
        <w:rPr>
          <w:rFonts w:hint="eastAsia"/>
          <w:kern w:val="14"/>
        </w:rPr>
        <w:t>月</w:t>
      </w:r>
      <w:r>
        <w:rPr>
          <w:rFonts w:hint="eastAsia"/>
          <w:kern w:val="14"/>
        </w:rPr>
        <w:t>31</w:t>
      </w:r>
      <w:r>
        <w:rPr>
          <w:rFonts w:hint="eastAsia"/>
          <w:kern w:val="14"/>
        </w:rPr>
        <w:t>日，应确保公共水供应商的供水和废水处理服务的普及率至少达到覆盖每个城市人口的</w:t>
      </w:r>
      <w:r>
        <w:rPr>
          <w:kern w:val="14"/>
        </w:rPr>
        <w:t>95%</w:t>
      </w:r>
      <w:r>
        <w:rPr>
          <w:rFonts w:hint="eastAsia"/>
          <w:kern w:val="14"/>
        </w:rPr>
        <w:t>。</w:t>
      </w:r>
    </w:p>
    <w:bookmarkEnd w:id="39"/>
    <w:bookmarkEnd w:id="40"/>
    <w:bookmarkEnd w:id="41"/>
    <w:bookmarkEnd w:id="42"/>
    <w:p w:rsidR="00595751" w:rsidRDefault="00595751">
      <w:pPr>
        <w:tabs>
          <w:tab w:val="left" w:pos="630"/>
        </w:tabs>
        <w:spacing w:after="240" w:line="360" w:lineRule="exact"/>
        <w:rPr>
          <w:kern w:val="14"/>
        </w:rPr>
      </w:pPr>
      <w:r>
        <w:rPr>
          <w:rFonts w:hint="eastAsia"/>
          <w:lang w:val="en-GB"/>
        </w:rPr>
        <w:t>207.</w:t>
      </w:r>
      <w:r>
        <w:rPr>
          <w:rFonts w:hint="eastAsia"/>
          <w:lang w:val="en-GB"/>
        </w:rPr>
        <w:tab/>
      </w:r>
      <w:r>
        <w:rPr>
          <w:rFonts w:hint="eastAsia"/>
          <w:kern w:val="14"/>
        </w:rPr>
        <w:t>邮政和快递业务覆盖全国。所有居民不分男女或住址均可享受此类服务。根据截至</w:t>
      </w:r>
      <w:r>
        <w:rPr>
          <w:kern w:val="14"/>
        </w:rPr>
        <w:t>2006</w:t>
      </w:r>
      <w:r>
        <w:rPr>
          <w:rFonts w:hint="eastAsia"/>
          <w:kern w:val="14"/>
        </w:rPr>
        <w:t>年</w:t>
      </w:r>
      <w:r>
        <w:rPr>
          <w:rFonts w:hint="eastAsia"/>
          <w:kern w:val="14"/>
        </w:rPr>
        <w:t>12</w:t>
      </w:r>
      <w:r>
        <w:rPr>
          <w:rFonts w:hint="eastAsia"/>
          <w:kern w:val="14"/>
        </w:rPr>
        <w:t>月</w:t>
      </w:r>
      <w:r>
        <w:rPr>
          <w:rFonts w:hint="eastAsia"/>
          <w:kern w:val="14"/>
        </w:rPr>
        <w:t>31</w:t>
      </w:r>
      <w:r>
        <w:rPr>
          <w:rFonts w:hint="eastAsia"/>
          <w:kern w:val="14"/>
        </w:rPr>
        <w:t>日的数据，</w:t>
      </w:r>
      <w:r>
        <w:rPr>
          <w:kern w:val="14"/>
        </w:rPr>
        <w:t>立陶宛</w:t>
      </w:r>
      <w:r>
        <w:rPr>
          <w:rFonts w:hint="eastAsia"/>
          <w:kern w:val="14"/>
        </w:rPr>
        <w:t>共设立了</w:t>
      </w:r>
      <w:r>
        <w:rPr>
          <w:kern w:val="14"/>
        </w:rPr>
        <w:t>934</w:t>
      </w:r>
      <w:r>
        <w:rPr>
          <w:rFonts w:hint="eastAsia"/>
          <w:kern w:val="14"/>
        </w:rPr>
        <w:t>个固定邮政局（</w:t>
      </w:r>
      <w:r>
        <w:rPr>
          <w:rFonts w:hint="eastAsia"/>
          <w:kern w:val="14"/>
        </w:rPr>
        <w:t>225</w:t>
      </w:r>
      <w:r>
        <w:rPr>
          <w:rFonts w:hint="eastAsia"/>
          <w:kern w:val="14"/>
        </w:rPr>
        <w:t>个在城市，</w:t>
      </w:r>
      <w:r>
        <w:rPr>
          <w:rFonts w:hint="eastAsia"/>
          <w:kern w:val="14"/>
        </w:rPr>
        <w:t>709</w:t>
      </w:r>
      <w:r>
        <w:rPr>
          <w:rFonts w:hint="eastAsia"/>
          <w:kern w:val="14"/>
        </w:rPr>
        <w:t>个在农村），另外还有</w:t>
      </w:r>
      <w:r>
        <w:rPr>
          <w:rFonts w:hint="eastAsia"/>
          <w:kern w:val="14"/>
        </w:rPr>
        <w:t>14</w:t>
      </w:r>
      <w:r>
        <w:rPr>
          <w:rFonts w:hint="eastAsia"/>
          <w:kern w:val="14"/>
        </w:rPr>
        <w:t>个分局（</w:t>
      </w:r>
      <w:r>
        <w:rPr>
          <w:rFonts w:hint="eastAsia"/>
          <w:kern w:val="14"/>
        </w:rPr>
        <w:t>8</w:t>
      </w:r>
      <w:r>
        <w:rPr>
          <w:rFonts w:hint="eastAsia"/>
          <w:kern w:val="14"/>
        </w:rPr>
        <w:t>个在城市，</w:t>
      </w:r>
      <w:r>
        <w:rPr>
          <w:rFonts w:hint="eastAsia"/>
          <w:kern w:val="14"/>
        </w:rPr>
        <w:t>6</w:t>
      </w:r>
      <w:r>
        <w:rPr>
          <w:rFonts w:hint="eastAsia"/>
          <w:kern w:val="14"/>
        </w:rPr>
        <w:t>个在农村）和</w:t>
      </w:r>
      <w:r>
        <w:rPr>
          <w:kern w:val="14"/>
        </w:rPr>
        <w:t>6</w:t>
      </w:r>
      <w:r>
        <w:rPr>
          <w:rFonts w:hint="eastAsia"/>
          <w:kern w:val="14"/>
        </w:rPr>
        <w:t>个流动邮政所在营业，就是说，全国共有</w:t>
      </w:r>
      <w:r>
        <w:rPr>
          <w:kern w:val="14"/>
        </w:rPr>
        <w:t>940</w:t>
      </w:r>
      <w:r>
        <w:rPr>
          <w:rFonts w:hint="eastAsia"/>
          <w:kern w:val="14"/>
        </w:rPr>
        <w:t>个普遍邮政服务网点在运转。截至</w:t>
      </w:r>
      <w:r>
        <w:rPr>
          <w:rFonts w:hint="eastAsia"/>
          <w:kern w:val="14"/>
        </w:rPr>
        <w:t>2006</w:t>
      </w:r>
      <w:r>
        <w:rPr>
          <w:rFonts w:hint="eastAsia"/>
          <w:kern w:val="14"/>
        </w:rPr>
        <w:t>年</w:t>
      </w:r>
      <w:r>
        <w:rPr>
          <w:rFonts w:hint="eastAsia"/>
          <w:kern w:val="14"/>
        </w:rPr>
        <w:t>12</w:t>
      </w:r>
      <w:r>
        <w:rPr>
          <w:rFonts w:hint="eastAsia"/>
          <w:kern w:val="14"/>
        </w:rPr>
        <w:t>月</w:t>
      </w:r>
      <w:r>
        <w:rPr>
          <w:rFonts w:hint="eastAsia"/>
          <w:kern w:val="14"/>
        </w:rPr>
        <w:t>31</w:t>
      </w:r>
      <w:r>
        <w:rPr>
          <w:rFonts w:hint="eastAsia"/>
          <w:kern w:val="14"/>
        </w:rPr>
        <w:t>日，在邮政和快递市场上共有</w:t>
      </w:r>
      <w:r>
        <w:rPr>
          <w:rFonts w:hint="eastAsia"/>
          <w:kern w:val="14"/>
        </w:rPr>
        <w:t>77</w:t>
      </w:r>
      <w:r>
        <w:rPr>
          <w:rFonts w:hint="eastAsia"/>
          <w:kern w:val="14"/>
        </w:rPr>
        <w:t>个邮政和快递服务提供商在运营；其中</w:t>
      </w:r>
      <w:r>
        <w:rPr>
          <w:rFonts w:hint="eastAsia"/>
          <w:kern w:val="14"/>
        </w:rPr>
        <w:t>11</w:t>
      </w:r>
      <w:r>
        <w:rPr>
          <w:rFonts w:hint="eastAsia"/>
          <w:kern w:val="14"/>
        </w:rPr>
        <w:t>个持有提供邮政业务的执照。</w:t>
      </w:r>
      <w:r>
        <w:rPr>
          <w:kern w:val="14"/>
        </w:rPr>
        <w:t>2006</w:t>
      </w:r>
      <w:r>
        <w:rPr>
          <w:rFonts w:hint="eastAsia"/>
          <w:kern w:val="14"/>
        </w:rPr>
        <w:t>年</w:t>
      </w:r>
      <w:r>
        <w:rPr>
          <w:rFonts w:hint="eastAsia"/>
          <w:kern w:val="14"/>
        </w:rPr>
        <w:t>1</w:t>
      </w:r>
      <w:r>
        <w:rPr>
          <w:rFonts w:hint="eastAsia"/>
          <w:kern w:val="14"/>
        </w:rPr>
        <w:t>月</w:t>
      </w:r>
      <w:r>
        <w:rPr>
          <w:rFonts w:hint="eastAsia"/>
          <w:kern w:val="14"/>
        </w:rPr>
        <w:t>3</w:t>
      </w:r>
      <w:r>
        <w:rPr>
          <w:rFonts w:hint="eastAsia"/>
          <w:kern w:val="14"/>
        </w:rPr>
        <w:t>日，国营企业“</w:t>
      </w:r>
      <w:r>
        <w:rPr>
          <w:kern w:val="14"/>
        </w:rPr>
        <w:t>立陶宛</w:t>
      </w:r>
      <w:r>
        <w:rPr>
          <w:rFonts w:hint="eastAsia"/>
          <w:kern w:val="14"/>
        </w:rPr>
        <w:t>邮政”改组为公营有限公司。该公司为了确保畅通无阻地按照平等条件向全国任何目的地的每个人提供普遍邮政服务，正在对其业务管理系统实行集权管理，同时优化各种技术流程。</w:t>
      </w:r>
    </w:p>
    <w:p w:rsidR="00595751" w:rsidRDefault="00595751">
      <w:pPr>
        <w:tabs>
          <w:tab w:val="left" w:pos="630"/>
        </w:tabs>
        <w:spacing w:after="240" w:line="360" w:lineRule="exact"/>
        <w:rPr>
          <w:kern w:val="14"/>
        </w:rPr>
      </w:pPr>
      <w:r>
        <w:rPr>
          <w:rFonts w:hint="eastAsia"/>
          <w:lang w:val="en-GB"/>
        </w:rPr>
        <w:t>208.</w:t>
      </w:r>
      <w:r>
        <w:rPr>
          <w:rFonts w:hint="eastAsia"/>
          <w:lang w:val="en-GB"/>
        </w:rPr>
        <w:tab/>
      </w:r>
      <w:r>
        <w:rPr>
          <w:rFonts w:hint="eastAsia"/>
          <w:kern w:val="14"/>
        </w:rPr>
        <w:t>电子通信服务也是不分男女向立陶宛境内的所有人提供。根据统计部的数据，拥有个人计算机并使用互联网的家庭比率已从</w:t>
      </w:r>
      <w:r>
        <w:rPr>
          <w:rFonts w:hint="eastAsia"/>
          <w:kern w:val="14"/>
        </w:rPr>
        <w:t>2005</w:t>
      </w:r>
      <w:r>
        <w:rPr>
          <w:rFonts w:hint="eastAsia"/>
          <w:kern w:val="14"/>
        </w:rPr>
        <w:t>年第一季度的</w:t>
      </w:r>
      <w:r>
        <w:rPr>
          <w:rFonts w:hint="eastAsia"/>
          <w:kern w:val="14"/>
        </w:rPr>
        <w:t>29%</w:t>
      </w:r>
      <w:r>
        <w:rPr>
          <w:rFonts w:hint="eastAsia"/>
          <w:kern w:val="14"/>
        </w:rPr>
        <w:t>增至</w:t>
      </w:r>
      <w:r>
        <w:rPr>
          <w:rFonts w:hint="eastAsia"/>
          <w:kern w:val="14"/>
        </w:rPr>
        <w:t>2006</w:t>
      </w:r>
      <w:r>
        <w:rPr>
          <w:rFonts w:hint="eastAsia"/>
          <w:kern w:val="14"/>
        </w:rPr>
        <w:t>年第一季度的</w:t>
      </w:r>
      <w:r>
        <w:rPr>
          <w:kern w:val="14"/>
        </w:rPr>
        <w:t>36.5%</w:t>
      </w:r>
      <w:r>
        <w:rPr>
          <w:rFonts w:hint="eastAsia"/>
          <w:kern w:val="14"/>
        </w:rPr>
        <w:t>。宽带通信基础设施正在发展，以缩小大城市与边远地区之间的差距。这是由欧盟结构基金和国家预算资助的项目“农村地区信息技术宽带网（</w:t>
      </w:r>
      <w:r>
        <w:rPr>
          <w:kern w:val="14"/>
        </w:rPr>
        <w:t>RAIN</w:t>
      </w:r>
      <w:r>
        <w:rPr>
          <w:rFonts w:hint="eastAsia"/>
          <w:kern w:val="14"/>
        </w:rPr>
        <w:t>）”所追求的目标。计划到</w:t>
      </w:r>
      <w:r>
        <w:rPr>
          <w:rFonts w:hint="eastAsia"/>
          <w:kern w:val="14"/>
        </w:rPr>
        <w:t>2008</w:t>
      </w:r>
      <w:r>
        <w:rPr>
          <w:rFonts w:hint="eastAsia"/>
          <w:kern w:val="14"/>
        </w:rPr>
        <w:t>年底建成连通所有地方行政中心的宽带互联网通道，并安装当地的互联网通信节点。</w:t>
      </w:r>
    </w:p>
    <w:p w:rsidR="00595751" w:rsidRDefault="00595751">
      <w:pPr>
        <w:tabs>
          <w:tab w:val="left" w:pos="630"/>
        </w:tabs>
        <w:spacing w:after="240" w:line="360" w:lineRule="exact"/>
        <w:rPr>
          <w:kern w:val="14"/>
        </w:rPr>
      </w:pPr>
      <w:r>
        <w:rPr>
          <w:rFonts w:hint="eastAsia"/>
          <w:lang w:val="en-GB"/>
        </w:rPr>
        <w:t>209.</w:t>
      </w:r>
      <w:r>
        <w:rPr>
          <w:rFonts w:hint="eastAsia"/>
          <w:lang w:val="en-GB"/>
        </w:rPr>
        <w:tab/>
      </w:r>
      <w:r>
        <w:rPr>
          <w:rFonts w:hint="eastAsia"/>
          <w:kern w:val="14"/>
        </w:rPr>
        <w:t>为了促进在立陶宛使用互联网，从而提高生活水平并增强</w:t>
      </w:r>
      <w:r>
        <w:rPr>
          <w:kern w:val="14"/>
        </w:rPr>
        <w:t>立陶宛</w:t>
      </w:r>
      <w:r>
        <w:rPr>
          <w:rFonts w:hint="eastAsia"/>
          <w:kern w:val="14"/>
        </w:rPr>
        <w:t>在欧洲和世界的竞争力，工商企业和政府机构联合执行了“通向未来之窗”项目。该项目的主要目标是加速互联网在</w:t>
      </w:r>
      <w:r>
        <w:rPr>
          <w:kern w:val="14"/>
        </w:rPr>
        <w:t>立陶宛</w:t>
      </w:r>
      <w:r>
        <w:rPr>
          <w:rFonts w:hint="eastAsia"/>
          <w:kern w:val="14"/>
        </w:rPr>
        <w:t>的渗透，为公众组织互联网课程。仅在</w:t>
      </w:r>
      <w:r>
        <w:rPr>
          <w:kern w:val="14"/>
        </w:rPr>
        <w:t>2003</w:t>
      </w:r>
      <w:r>
        <w:rPr>
          <w:rFonts w:hint="eastAsia"/>
          <w:kern w:val="14"/>
        </w:rPr>
        <w:t>年，就有</w:t>
      </w:r>
      <w:r>
        <w:rPr>
          <w:rFonts w:hint="eastAsia"/>
          <w:kern w:val="14"/>
        </w:rPr>
        <w:t>2</w:t>
      </w:r>
      <w:r>
        <w:rPr>
          <w:rFonts w:hint="eastAsia"/>
          <w:kern w:val="14"/>
        </w:rPr>
        <w:t>万立陶宛人参加了在该项目下组织的互联网课程。由于人们对这些课程有浓厚兴趣，导致产生了相关的项目并且向欧盟结构基金申请资助。</w:t>
      </w:r>
      <w:r>
        <w:rPr>
          <w:rFonts w:hint="eastAsia"/>
          <w:kern w:val="14"/>
        </w:rPr>
        <w:t>2006</w:t>
      </w:r>
      <w:r>
        <w:rPr>
          <w:rFonts w:hint="eastAsia"/>
          <w:kern w:val="14"/>
        </w:rPr>
        <w:t>年欧盟核准资助组织互联网课程。预计在</w:t>
      </w:r>
      <w:r>
        <w:rPr>
          <w:kern w:val="14"/>
        </w:rPr>
        <w:t>2006-2008</w:t>
      </w:r>
      <w:r>
        <w:rPr>
          <w:rFonts w:hint="eastAsia"/>
          <w:kern w:val="14"/>
        </w:rPr>
        <w:t>年将向</w:t>
      </w:r>
      <w:r>
        <w:rPr>
          <w:rFonts w:hint="eastAsia"/>
          <w:kern w:val="14"/>
        </w:rPr>
        <w:t>5</w:t>
      </w:r>
      <w:r>
        <w:rPr>
          <w:rFonts w:hint="eastAsia"/>
          <w:kern w:val="14"/>
        </w:rPr>
        <w:t>万名立陶宛人传授基本互联网课程。为了尽量多培养农村人，这个由欧盟结构基金资助的项目将扩展到立陶宛全境。</w:t>
      </w:r>
    </w:p>
    <w:p w:rsidR="00595751" w:rsidRDefault="00595751">
      <w:pPr>
        <w:tabs>
          <w:tab w:val="left" w:pos="630"/>
        </w:tabs>
        <w:spacing w:after="240" w:line="360" w:lineRule="exact"/>
        <w:rPr>
          <w:kern w:val="14"/>
        </w:rPr>
      </w:pPr>
      <w:r>
        <w:rPr>
          <w:rFonts w:hint="eastAsia"/>
          <w:lang w:val="en-GB"/>
        </w:rPr>
        <w:t>210.</w:t>
      </w:r>
      <w:r>
        <w:rPr>
          <w:rFonts w:hint="eastAsia"/>
          <w:lang w:val="en-GB"/>
        </w:rPr>
        <w:tab/>
      </w:r>
      <w:r>
        <w:rPr>
          <w:rFonts w:hint="eastAsia"/>
          <w:kern w:val="14"/>
        </w:rPr>
        <w:t>立陶宛的移动电话市场正在迅速发展。根据统计部的数据，每百人持有的移动电话数量，</w:t>
      </w:r>
      <w:r>
        <w:rPr>
          <w:rFonts w:hint="eastAsia"/>
          <w:kern w:val="14"/>
        </w:rPr>
        <w:t>2000</w:t>
      </w:r>
      <w:r>
        <w:rPr>
          <w:rFonts w:hint="eastAsia"/>
          <w:kern w:val="14"/>
        </w:rPr>
        <w:t>年为</w:t>
      </w:r>
      <w:r>
        <w:rPr>
          <w:kern w:val="14"/>
        </w:rPr>
        <w:t>14.6</w:t>
      </w:r>
      <w:r>
        <w:rPr>
          <w:rFonts w:hint="eastAsia"/>
          <w:kern w:val="14"/>
        </w:rPr>
        <w:t>部；</w:t>
      </w:r>
      <w:r>
        <w:rPr>
          <w:kern w:val="14"/>
        </w:rPr>
        <w:t>200</w:t>
      </w:r>
      <w:r>
        <w:rPr>
          <w:rFonts w:hint="eastAsia"/>
          <w:kern w:val="14"/>
        </w:rPr>
        <w:t>5</w:t>
      </w:r>
      <w:r>
        <w:rPr>
          <w:rFonts w:hint="eastAsia"/>
          <w:kern w:val="14"/>
        </w:rPr>
        <w:t>年为</w:t>
      </w:r>
      <w:r>
        <w:rPr>
          <w:kern w:val="14"/>
        </w:rPr>
        <w:t>127.9</w:t>
      </w:r>
      <w:r>
        <w:rPr>
          <w:rFonts w:hint="eastAsia"/>
          <w:kern w:val="14"/>
        </w:rPr>
        <w:t>部；</w:t>
      </w:r>
      <w:r>
        <w:rPr>
          <w:kern w:val="14"/>
        </w:rPr>
        <w:t>200</w:t>
      </w:r>
      <w:r>
        <w:rPr>
          <w:rFonts w:hint="eastAsia"/>
          <w:kern w:val="14"/>
        </w:rPr>
        <w:t>6</w:t>
      </w:r>
      <w:r>
        <w:rPr>
          <w:rFonts w:hint="eastAsia"/>
          <w:kern w:val="14"/>
        </w:rPr>
        <w:t>年为</w:t>
      </w:r>
      <w:r>
        <w:rPr>
          <w:kern w:val="14"/>
        </w:rPr>
        <w:t>139.4</w:t>
      </w:r>
      <w:r>
        <w:rPr>
          <w:rFonts w:hint="eastAsia"/>
          <w:kern w:val="14"/>
        </w:rPr>
        <w:t>部。</w:t>
      </w:r>
      <w:r>
        <w:rPr>
          <w:kern w:val="14"/>
        </w:rPr>
        <w:t>2006</w:t>
      </w:r>
      <w:r>
        <w:rPr>
          <w:rFonts w:hint="eastAsia"/>
          <w:kern w:val="14"/>
        </w:rPr>
        <w:t>年，固定电话线路略有减少，因为新的固定电话服务提供商拥有的线路增多了。</w:t>
      </w:r>
      <w:r>
        <w:rPr>
          <w:kern w:val="14"/>
        </w:rPr>
        <w:t>2005</w:t>
      </w:r>
      <w:r>
        <w:rPr>
          <w:rFonts w:hint="eastAsia"/>
          <w:kern w:val="14"/>
        </w:rPr>
        <w:t>年，每百人占有</w:t>
      </w:r>
      <w:r>
        <w:rPr>
          <w:kern w:val="14"/>
        </w:rPr>
        <w:t>23.5</w:t>
      </w:r>
      <w:r>
        <w:rPr>
          <w:rFonts w:hint="eastAsia"/>
          <w:kern w:val="14"/>
        </w:rPr>
        <w:t>条固话线路。</w:t>
      </w:r>
      <w:r>
        <w:rPr>
          <w:rFonts w:hint="eastAsia"/>
          <w:kern w:val="14"/>
        </w:rPr>
        <w:t>2006</w:t>
      </w:r>
      <w:r>
        <w:rPr>
          <w:rFonts w:hint="eastAsia"/>
          <w:kern w:val="14"/>
        </w:rPr>
        <w:t>年，这个数字降至每百人</w:t>
      </w:r>
      <w:r>
        <w:rPr>
          <w:kern w:val="14"/>
        </w:rPr>
        <w:t>23.4</w:t>
      </w:r>
      <w:r>
        <w:rPr>
          <w:rFonts w:hint="eastAsia"/>
          <w:kern w:val="14"/>
        </w:rPr>
        <w:t>条线路。</w:t>
      </w:r>
    </w:p>
    <w:p w:rsidR="00595751" w:rsidRDefault="00595751">
      <w:pPr>
        <w:tabs>
          <w:tab w:val="left" w:pos="630"/>
        </w:tabs>
        <w:spacing w:after="240" w:line="360" w:lineRule="exact"/>
        <w:rPr>
          <w:kern w:val="14"/>
        </w:rPr>
      </w:pPr>
      <w:bookmarkStart w:id="43" w:name="_Hlt183229085"/>
      <w:bookmarkStart w:id="44" w:name="_Hlt183229086"/>
      <w:bookmarkStart w:id="45" w:name="_Hlt183229058"/>
      <w:bookmarkStart w:id="46" w:name="_Hlt183229059"/>
      <w:r>
        <w:rPr>
          <w:rFonts w:hint="eastAsia"/>
          <w:lang w:val="en-GB"/>
        </w:rPr>
        <w:t>211.</w:t>
      </w:r>
      <w:r>
        <w:rPr>
          <w:rFonts w:hint="eastAsia"/>
          <w:lang w:val="en-GB"/>
        </w:rPr>
        <w:tab/>
      </w:r>
      <w:r>
        <w:rPr>
          <w:rFonts w:hint="eastAsia"/>
          <w:lang w:val="en-GB"/>
        </w:rPr>
        <w:t>根据</w:t>
      </w:r>
      <w:r>
        <w:rPr>
          <w:kern w:val="14"/>
        </w:rPr>
        <w:t>2004</w:t>
      </w:r>
      <w:r>
        <w:rPr>
          <w:rFonts w:hint="eastAsia"/>
          <w:kern w:val="14"/>
        </w:rPr>
        <w:t>年</w:t>
      </w:r>
      <w:r>
        <w:rPr>
          <w:rFonts w:hint="eastAsia"/>
          <w:kern w:val="14"/>
        </w:rPr>
        <w:t>11</w:t>
      </w:r>
      <w:r>
        <w:rPr>
          <w:rFonts w:hint="eastAsia"/>
          <w:kern w:val="14"/>
        </w:rPr>
        <w:t>月</w:t>
      </w:r>
      <w:r>
        <w:rPr>
          <w:rFonts w:hint="eastAsia"/>
          <w:kern w:val="14"/>
        </w:rPr>
        <w:t>25</w:t>
      </w:r>
      <w:r>
        <w:rPr>
          <w:rFonts w:hint="eastAsia"/>
          <w:kern w:val="14"/>
        </w:rPr>
        <w:t>日第</w:t>
      </w:r>
      <w:r>
        <w:rPr>
          <w:rFonts w:hint="eastAsia"/>
          <w:kern w:val="14"/>
        </w:rPr>
        <w:t>1492</w:t>
      </w:r>
      <w:r>
        <w:rPr>
          <w:rFonts w:hint="eastAsia"/>
          <w:kern w:val="14"/>
        </w:rPr>
        <w:t>号决议（</w:t>
      </w:r>
      <w:r>
        <w:rPr>
          <w:rFonts w:hint="eastAsia"/>
          <w:kern w:val="14"/>
        </w:rPr>
        <w:t>2004</w:t>
      </w:r>
      <w:r>
        <w:rPr>
          <w:rFonts w:hint="eastAsia"/>
          <w:kern w:val="14"/>
        </w:rPr>
        <w:t>年第</w:t>
      </w:r>
      <w:r>
        <w:rPr>
          <w:kern w:val="14"/>
        </w:rPr>
        <w:t>171-6336</w:t>
      </w:r>
      <w:r>
        <w:rPr>
          <w:rFonts w:hint="eastAsia"/>
          <w:kern w:val="14"/>
        </w:rPr>
        <w:t>号</w:t>
      </w:r>
      <w:r>
        <w:rPr>
          <w:kern w:val="14"/>
        </w:rPr>
        <w:t>《政府公报》</w:t>
      </w:r>
      <w:r>
        <w:rPr>
          <w:rFonts w:hint="eastAsia"/>
          <w:kern w:val="14"/>
        </w:rPr>
        <w:t>），政府核准了《立陶宛数字电视过渡模式》，提出了向数字地面电视过渡的具体行动，执行机构，它们各自的职能，计划的措施及其完成期限。作为实施该模式的一部分，已计划</w:t>
      </w:r>
      <w:r>
        <w:rPr>
          <w:rFonts w:hint="eastAsia"/>
          <w:kern w:val="14"/>
        </w:rPr>
        <w:t>2007</w:t>
      </w:r>
      <w:r>
        <w:rPr>
          <w:rFonts w:hint="eastAsia"/>
          <w:kern w:val="14"/>
        </w:rPr>
        <w:t>年底以前在立陶宛的</w:t>
      </w:r>
      <w:r>
        <w:rPr>
          <w:rFonts w:hint="eastAsia"/>
          <w:kern w:val="14"/>
        </w:rPr>
        <w:t>5</w:t>
      </w:r>
      <w:r>
        <w:rPr>
          <w:rFonts w:hint="eastAsia"/>
          <w:kern w:val="14"/>
        </w:rPr>
        <w:t>个最大城市安装可以播放多达</w:t>
      </w:r>
      <w:r>
        <w:rPr>
          <w:rFonts w:hint="eastAsia"/>
          <w:kern w:val="14"/>
        </w:rPr>
        <w:t>40</w:t>
      </w:r>
      <w:r>
        <w:rPr>
          <w:rFonts w:hint="eastAsia"/>
          <w:kern w:val="14"/>
        </w:rPr>
        <w:t>个电视节目的数字电视发送器。定于</w:t>
      </w:r>
      <w:r>
        <w:rPr>
          <w:rFonts w:hint="eastAsia"/>
          <w:kern w:val="14"/>
        </w:rPr>
        <w:t>2012</w:t>
      </w:r>
      <w:r>
        <w:rPr>
          <w:rFonts w:hint="eastAsia"/>
          <w:kern w:val="14"/>
        </w:rPr>
        <w:t>年开始从模拟电视逐步转换到数字电视。</w:t>
      </w:r>
    </w:p>
    <w:bookmarkEnd w:id="43"/>
    <w:bookmarkEnd w:id="44"/>
    <w:bookmarkEnd w:id="45"/>
    <w:bookmarkEnd w:id="46"/>
    <w:p w:rsidR="00595751" w:rsidRDefault="00595751">
      <w:pPr>
        <w:tabs>
          <w:tab w:val="left" w:pos="630"/>
        </w:tabs>
        <w:spacing w:after="240" w:line="360" w:lineRule="exact"/>
        <w:rPr>
          <w:kern w:val="14"/>
        </w:rPr>
      </w:pPr>
      <w:r>
        <w:rPr>
          <w:rFonts w:hint="eastAsia"/>
          <w:lang w:val="en-GB"/>
        </w:rPr>
        <w:t>212.</w:t>
      </w:r>
      <w:r>
        <w:rPr>
          <w:rFonts w:hint="eastAsia"/>
          <w:lang w:val="en-GB"/>
        </w:rPr>
        <w:tab/>
      </w:r>
      <w:r>
        <w:rPr>
          <w:rFonts w:hint="eastAsia"/>
          <w:kern w:val="14"/>
        </w:rPr>
        <w:t>为了确保人人（包括农村人）可以获取科技信息，政府根据</w:t>
      </w:r>
      <w:r>
        <w:rPr>
          <w:rFonts w:hint="eastAsia"/>
          <w:kern w:val="14"/>
        </w:rPr>
        <w:t>2006</w:t>
      </w:r>
      <w:r>
        <w:rPr>
          <w:rFonts w:hint="eastAsia"/>
          <w:kern w:val="14"/>
        </w:rPr>
        <w:t>年</w:t>
      </w:r>
      <w:r>
        <w:rPr>
          <w:rFonts w:hint="eastAsia"/>
          <w:kern w:val="14"/>
        </w:rPr>
        <w:t>4</w:t>
      </w:r>
      <w:r>
        <w:rPr>
          <w:rFonts w:hint="eastAsia"/>
          <w:kern w:val="14"/>
        </w:rPr>
        <w:t>月</w:t>
      </w:r>
      <w:r>
        <w:rPr>
          <w:rFonts w:hint="eastAsia"/>
          <w:kern w:val="14"/>
        </w:rPr>
        <w:t>5</w:t>
      </w:r>
      <w:r>
        <w:rPr>
          <w:rFonts w:hint="eastAsia"/>
          <w:kern w:val="14"/>
        </w:rPr>
        <w:t>日第</w:t>
      </w:r>
      <w:r>
        <w:rPr>
          <w:rFonts w:hint="eastAsia"/>
          <w:kern w:val="14"/>
        </w:rPr>
        <w:t>335</w:t>
      </w:r>
      <w:r>
        <w:rPr>
          <w:rFonts w:hint="eastAsia"/>
          <w:kern w:val="14"/>
        </w:rPr>
        <w:t>号决议（</w:t>
      </w:r>
      <w:r>
        <w:rPr>
          <w:rFonts w:hint="eastAsia"/>
          <w:kern w:val="14"/>
        </w:rPr>
        <w:t>2006</w:t>
      </w:r>
      <w:r>
        <w:rPr>
          <w:rFonts w:hint="eastAsia"/>
          <w:kern w:val="14"/>
        </w:rPr>
        <w:t>年第</w:t>
      </w:r>
      <w:r>
        <w:rPr>
          <w:kern w:val="14"/>
        </w:rPr>
        <w:t>39-1394</w:t>
      </w:r>
      <w:r>
        <w:rPr>
          <w:rFonts w:hint="eastAsia"/>
          <w:kern w:val="14"/>
        </w:rPr>
        <w:t>号</w:t>
      </w:r>
      <w:r>
        <w:rPr>
          <w:kern w:val="14"/>
        </w:rPr>
        <w:t>《政府公报》</w:t>
      </w:r>
      <w:r>
        <w:rPr>
          <w:rFonts w:hint="eastAsia"/>
          <w:kern w:val="14"/>
        </w:rPr>
        <w:t>）核准了《</w:t>
      </w:r>
      <w:r>
        <w:rPr>
          <w:kern w:val="14"/>
        </w:rPr>
        <w:t>2006–2010</w:t>
      </w:r>
      <w:r>
        <w:rPr>
          <w:rFonts w:hint="eastAsia"/>
          <w:kern w:val="14"/>
        </w:rPr>
        <w:t>年</w:t>
      </w:r>
      <w:r>
        <w:rPr>
          <w:kern w:val="14"/>
        </w:rPr>
        <w:t>立陶宛</w:t>
      </w:r>
      <w:r>
        <w:rPr>
          <w:rFonts w:hint="eastAsia"/>
          <w:kern w:val="14"/>
        </w:rPr>
        <w:t>高等教育系统发展计划》，规定传播和普及科研信息以及立陶宛现有的技术信息。为了扩大各科研机构图书馆和地区图书馆的各种数据库的使用率，每年都划拨较大比例的预算，用作多媒体数据库的订购费（</w:t>
      </w:r>
      <w:r>
        <w:rPr>
          <w:rFonts w:hint="eastAsia"/>
          <w:kern w:val="14"/>
        </w:rPr>
        <w:t>2006</w:t>
      </w:r>
      <w:r>
        <w:rPr>
          <w:rFonts w:hint="eastAsia"/>
          <w:kern w:val="14"/>
        </w:rPr>
        <w:t>年拨款</w:t>
      </w:r>
      <w:r>
        <w:rPr>
          <w:kern w:val="14"/>
        </w:rPr>
        <w:t>1</w:t>
      </w:r>
      <w:r>
        <w:rPr>
          <w:rFonts w:hint="eastAsia"/>
          <w:kern w:val="14"/>
        </w:rPr>
        <w:t xml:space="preserve"> </w:t>
      </w:r>
      <w:r>
        <w:rPr>
          <w:kern w:val="14"/>
        </w:rPr>
        <w:t>806</w:t>
      </w:r>
      <w:r>
        <w:rPr>
          <w:rFonts w:hint="eastAsia"/>
          <w:kern w:val="14"/>
        </w:rPr>
        <w:t xml:space="preserve"> </w:t>
      </w:r>
      <w:r>
        <w:rPr>
          <w:kern w:val="14"/>
        </w:rPr>
        <w:t>000</w:t>
      </w:r>
      <w:r>
        <w:rPr>
          <w:kern w:val="14"/>
        </w:rPr>
        <w:t>立特</w:t>
      </w:r>
      <w:r>
        <w:rPr>
          <w:rFonts w:hint="eastAsia"/>
          <w:kern w:val="14"/>
        </w:rPr>
        <w:t>订购</w:t>
      </w:r>
      <w:r>
        <w:rPr>
          <w:rFonts w:hint="eastAsia"/>
          <w:kern w:val="14"/>
        </w:rPr>
        <w:t>20</w:t>
      </w:r>
      <w:r>
        <w:rPr>
          <w:rFonts w:hint="eastAsia"/>
          <w:kern w:val="14"/>
        </w:rPr>
        <w:t>个数据库）。</w:t>
      </w:r>
    </w:p>
    <w:p w:rsidR="00595751" w:rsidRDefault="00595751">
      <w:pPr>
        <w:tabs>
          <w:tab w:val="left" w:pos="630"/>
        </w:tabs>
        <w:spacing w:after="240" w:line="360" w:lineRule="exact"/>
        <w:jc w:val="center"/>
        <w:rPr>
          <w:rFonts w:eastAsia="SimHei"/>
          <w:color w:val="FF0000"/>
          <w:kern w:val="14"/>
          <w:sz w:val="24"/>
          <w:szCs w:val="24"/>
          <w:lang w:val="en-GB"/>
        </w:rPr>
      </w:pPr>
      <w:r>
        <w:rPr>
          <w:rFonts w:eastAsia="SimHei" w:hint="eastAsia"/>
          <w:color w:val="FF0000"/>
          <w:kern w:val="14"/>
          <w:sz w:val="24"/>
          <w:szCs w:val="24"/>
          <w:lang w:val="en-GB"/>
        </w:rPr>
        <w:t>第</w:t>
      </w:r>
      <w:r>
        <w:rPr>
          <w:rFonts w:eastAsia="SimHei"/>
          <w:color w:val="FF0000"/>
          <w:kern w:val="14"/>
          <w:sz w:val="24"/>
          <w:szCs w:val="24"/>
          <w:lang w:val="en-GB"/>
        </w:rPr>
        <w:t>15</w:t>
      </w:r>
      <w:r>
        <w:rPr>
          <w:rFonts w:eastAsia="SimHei" w:hint="eastAsia"/>
          <w:color w:val="FF0000"/>
          <w:kern w:val="14"/>
          <w:sz w:val="24"/>
          <w:szCs w:val="24"/>
          <w:lang w:val="en-GB"/>
        </w:rPr>
        <w:t>条</w:t>
      </w:r>
    </w:p>
    <w:p w:rsidR="00595751" w:rsidRDefault="00595751">
      <w:pPr>
        <w:pStyle w:val="H23"/>
        <w:rPr>
          <w:b w:val="0"/>
          <w:bCs w:val="0"/>
          <w:lang w:val="en-GB"/>
        </w:rPr>
      </w:pPr>
      <w:r>
        <w:rPr>
          <w:rFonts w:hint="eastAsia"/>
          <w:b w:val="0"/>
          <w:bCs w:val="0"/>
          <w:lang w:val="en-GB"/>
        </w:rPr>
        <w:t>第</w:t>
      </w:r>
      <w:r>
        <w:rPr>
          <w:b w:val="0"/>
          <w:bCs w:val="0"/>
          <w:lang w:val="en-GB"/>
        </w:rPr>
        <w:t>1</w:t>
      </w:r>
      <w:r>
        <w:rPr>
          <w:rFonts w:hint="eastAsia"/>
          <w:b w:val="0"/>
          <w:bCs w:val="0"/>
          <w:lang w:val="en-GB"/>
        </w:rPr>
        <w:t>、</w:t>
      </w:r>
      <w:r>
        <w:rPr>
          <w:b w:val="0"/>
          <w:bCs w:val="0"/>
          <w:lang w:val="en-GB"/>
        </w:rPr>
        <w:t>2</w:t>
      </w:r>
      <w:r>
        <w:rPr>
          <w:rFonts w:hint="eastAsia"/>
          <w:b w:val="0"/>
          <w:bCs w:val="0"/>
          <w:lang w:val="en-GB"/>
        </w:rPr>
        <w:t>、</w:t>
      </w:r>
      <w:r>
        <w:rPr>
          <w:b w:val="0"/>
          <w:bCs w:val="0"/>
          <w:lang w:val="en-GB"/>
        </w:rPr>
        <w:t>3</w:t>
      </w:r>
      <w:r>
        <w:rPr>
          <w:rFonts w:hint="eastAsia"/>
          <w:b w:val="0"/>
          <w:bCs w:val="0"/>
          <w:lang w:val="en-GB"/>
        </w:rPr>
        <w:t>款</w:t>
      </w:r>
    </w:p>
    <w:p w:rsidR="00595751" w:rsidRDefault="00595751">
      <w:pPr>
        <w:tabs>
          <w:tab w:val="left" w:pos="630"/>
        </w:tabs>
        <w:spacing w:after="240" w:line="360" w:lineRule="exact"/>
        <w:rPr>
          <w:kern w:val="14"/>
        </w:rPr>
      </w:pPr>
      <w:r>
        <w:rPr>
          <w:rFonts w:hint="eastAsia"/>
          <w:lang w:val="en-GB"/>
        </w:rPr>
        <w:t>213.</w:t>
      </w:r>
      <w:r>
        <w:rPr>
          <w:rFonts w:hint="eastAsia"/>
          <w:lang w:val="en-GB"/>
        </w:rPr>
        <w:tab/>
      </w:r>
      <w:r>
        <w:rPr>
          <w:rFonts w:hint="eastAsia"/>
          <w:kern w:val="14"/>
        </w:rPr>
        <w:t>关于</w:t>
      </w:r>
      <w:r>
        <w:rPr>
          <w:kern w:val="14"/>
        </w:rPr>
        <w:t>立陶宛</w:t>
      </w:r>
      <w:r>
        <w:rPr>
          <w:rFonts w:hint="eastAsia"/>
          <w:kern w:val="14"/>
        </w:rPr>
        <w:t>执行《公约》第</w:t>
      </w:r>
      <w:r>
        <w:rPr>
          <w:kern w:val="14"/>
        </w:rPr>
        <w:t>15</w:t>
      </w:r>
      <w:r>
        <w:rPr>
          <w:kern w:val="14"/>
        </w:rPr>
        <w:t>（</w:t>
      </w:r>
      <w:r>
        <w:rPr>
          <w:kern w:val="14"/>
        </w:rPr>
        <w:t>1</w:t>
      </w:r>
      <w:r>
        <w:rPr>
          <w:kern w:val="14"/>
        </w:rPr>
        <w:t>）</w:t>
      </w:r>
      <w:r>
        <w:rPr>
          <w:rFonts w:hint="eastAsia"/>
          <w:kern w:val="14"/>
        </w:rPr>
        <w:t>、第</w:t>
      </w:r>
      <w:r>
        <w:rPr>
          <w:kern w:val="14"/>
        </w:rPr>
        <w:t>15</w:t>
      </w:r>
      <w:r>
        <w:rPr>
          <w:kern w:val="14"/>
        </w:rPr>
        <w:t>（</w:t>
      </w:r>
      <w:r>
        <w:rPr>
          <w:kern w:val="14"/>
        </w:rPr>
        <w:t>2</w:t>
      </w:r>
      <w:r>
        <w:rPr>
          <w:kern w:val="14"/>
        </w:rPr>
        <w:t>）</w:t>
      </w:r>
      <w:r>
        <w:rPr>
          <w:rFonts w:hint="eastAsia"/>
          <w:kern w:val="14"/>
        </w:rPr>
        <w:t>和第</w:t>
      </w:r>
      <w:r>
        <w:rPr>
          <w:kern w:val="14"/>
        </w:rPr>
        <w:t>15</w:t>
      </w:r>
      <w:r>
        <w:rPr>
          <w:kern w:val="14"/>
        </w:rPr>
        <w:t>（</w:t>
      </w:r>
      <w:r>
        <w:rPr>
          <w:kern w:val="14"/>
        </w:rPr>
        <w:t>3</w:t>
      </w:r>
      <w:r>
        <w:rPr>
          <w:kern w:val="14"/>
        </w:rPr>
        <w:t>）</w:t>
      </w:r>
      <w:r>
        <w:rPr>
          <w:rFonts w:hint="eastAsia"/>
          <w:kern w:val="14"/>
        </w:rPr>
        <w:t>条的情况，第三次报告已经做了介绍。</w:t>
      </w:r>
      <w:r>
        <w:rPr>
          <w:kern w:val="14"/>
        </w:rPr>
        <w:t>2005-2006</w:t>
      </w:r>
      <w:r>
        <w:rPr>
          <w:rFonts w:hint="eastAsia"/>
          <w:kern w:val="14"/>
        </w:rPr>
        <w:t>年，该领域没有发生相关的法律法规变化。</w:t>
      </w:r>
    </w:p>
    <w:p w:rsidR="00595751" w:rsidRDefault="00595751">
      <w:pPr>
        <w:pStyle w:val="H23"/>
        <w:rPr>
          <w:b w:val="0"/>
          <w:bCs w:val="0"/>
          <w:lang w:val="en-GB"/>
        </w:rPr>
      </w:pPr>
      <w:r>
        <w:rPr>
          <w:rFonts w:hint="eastAsia"/>
          <w:b w:val="0"/>
          <w:bCs w:val="0"/>
          <w:lang w:val="en-GB"/>
        </w:rPr>
        <w:t>第</w:t>
      </w:r>
      <w:r>
        <w:rPr>
          <w:b w:val="0"/>
          <w:bCs w:val="0"/>
          <w:lang w:val="en-GB"/>
        </w:rPr>
        <w:t>4</w:t>
      </w:r>
      <w:r>
        <w:rPr>
          <w:rFonts w:hint="eastAsia"/>
          <w:b w:val="0"/>
          <w:bCs w:val="0"/>
          <w:lang w:val="en-GB"/>
        </w:rPr>
        <w:t>款</w:t>
      </w:r>
    </w:p>
    <w:p w:rsidR="00595751" w:rsidRDefault="00595751">
      <w:pPr>
        <w:tabs>
          <w:tab w:val="left" w:pos="630"/>
        </w:tabs>
        <w:spacing w:after="240" w:line="360" w:lineRule="exact"/>
        <w:rPr>
          <w:kern w:val="14"/>
        </w:rPr>
      </w:pPr>
      <w:r>
        <w:rPr>
          <w:rFonts w:hint="eastAsia"/>
          <w:lang w:val="en-GB"/>
        </w:rPr>
        <w:t>214.</w:t>
      </w:r>
      <w:r>
        <w:rPr>
          <w:rFonts w:hint="eastAsia"/>
          <w:lang w:val="en-GB"/>
        </w:rPr>
        <w:tab/>
      </w:r>
      <w:r>
        <w:rPr>
          <w:rFonts w:hint="eastAsia"/>
          <w:kern w:val="14"/>
        </w:rPr>
        <w:t>《宪法》第</w:t>
      </w:r>
      <w:r>
        <w:rPr>
          <w:kern w:val="14"/>
        </w:rPr>
        <w:t>32</w:t>
      </w:r>
      <w:r>
        <w:rPr>
          <w:rFonts w:hint="eastAsia"/>
          <w:kern w:val="14"/>
        </w:rPr>
        <w:t>条保障</w:t>
      </w:r>
      <w:r>
        <w:rPr>
          <w:kern w:val="14"/>
        </w:rPr>
        <w:t>立陶宛</w:t>
      </w:r>
      <w:r>
        <w:rPr>
          <w:rFonts w:hint="eastAsia"/>
          <w:kern w:val="14"/>
        </w:rPr>
        <w:t>共和国的公民不分男女人人有权在立陶宛境内自由迁移和选择其居住地，并有权自由离开</w:t>
      </w:r>
      <w:r>
        <w:rPr>
          <w:kern w:val="14"/>
        </w:rPr>
        <w:t>立陶宛</w:t>
      </w:r>
      <w:r>
        <w:rPr>
          <w:rFonts w:hint="eastAsia"/>
          <w:kern w:val="14"/>
        </w:rPr>
        <w:t>。除了法律规定之外，且除非是为了保卫国家安全、人民健康以及司法所必需，否则不得限制此种自由。</w:t>
      </w:r>
    </w:p>
    <w:p w:rsidR="00595751" w:rsidRDefault="00595751">
      <w:pPr>
        <w:tabs>
          <w:tab w:val="left" w:pos="630"/>
        </w:tabs>
        <w:spacing w:after="240" w:line="360" w:lineRule="exact"/>
        <w:rPr>
          <w:kern w:val="14"/>
        </w:rPr>
      </w:pPr>
      <w:r>
        <w:rPr>
          <w:rFonts w:hint="eastAsia"/>
          <w:lang w:val="en-GB"/>
        </w:rPr>
        <w:t>215.</w:t>
      </w:r>
      <w:r>
        <w:rPr>
          <w:rFonts w:hint="eastAsia"/>
          <w:lang w:val="en-GB"/>
        </w:rPr>
        <w:tab/>
      </w:r>
      <w:r>
        <w:rPr>
          <w:rFonts w:hint="eastAsia"/>
          <w:kern w:val="14"/>
        </w:rPr>
        <w:t>《</w:t>
      </w:r>
      <w:r>
        <w:rPr>
          <w:kern w:val="14"/>
        </w:rPr>
        <w:t>立陶宛</w:t>
      </w:r>
      <w:r>
        <w:rPr>
          <w:rFonts w:hint="eastAsia"/>
          <w:kern w:val="14"/>
        </w:rPr>
        <w:t>共和国外国人法律地位法》第</w:t>
      </w:r>
      <w:r>
        <w:rPr>
          <w:kern w:val="14"/>
        </w:rPr>
        <w:t>3</w:t>
      </w:r>
      <w:r>
        <w:rPr>
          <w:kern w:val="14"/>
        </w:rPr>
        <w:t>（</w:t>
      </w:r>
      <w:r>
        <w:rPr>
          <w:kern w:val="14"/>
        </w:rPr>
        <w:t>2</w:t>
      </w:r>
      <w:r>
        <w:rPr>
          <w:kern w:val="14"/>
        </w:rPr>
        <w:t>）</w:t>
      </w:r>
      <w:r>
        <w:rPr>
          <w:rFonts w:hint="eastAsia"/>
          <w:kern w:val="14"/>
        </w:rPr>
        <w:t>条规定，在立陶宛共和国境内的外国人，不论性别、种族、国籍、语言、出身、社会地位、宗教信仰、信念或观点，在法律面前一律平等。该法律第</w:t>
      </w:r>
      <w:r>
        <w:rPr>
          <w:rFonts w:hint="eastAsia"/>
          <w:kern w:val="14"/>
        </w:rPr>
        <w:t>24</w:t>
      </w:r>
      <w:r>
        <w:rPr>
          <w:rFonts w:hint="eastAsia"/>
          <w:kern w:val="14"/>
        </w:rPr>
        <w:t>条规定，获得立陶宛共和国居住许可证的外国人有权在居住许可证有效期内居住在立陶宛共和国领域内，有权选择和变更其在立陶宛共和国领域内的居住地，有权离开和再次进入立陶宛共和国。</w:t>
      </w:r>
    </w:p>
    <w:p w:rsidR="00595751" w:rsidRDefault="00595751">
      <w:pPr>
        <w:tabs>
          <w:tab w:val="left" w:pos="630"/>
        </w:tabs>
        <w:spacing w:after="240" w:line="360" w:lineRule="exact"/>
        <w:rPr>
          <w:kern w:val="14"/>
        </w:rPr>
      </w:pPr>
      <w:r>
        <w:rPr>
          <w:rFonts w:hint="eastAsia"/>
          <w:lang w:val="en-GB"/>
        </w:rPr>
        <w:t>216.</w:t>
      </w:r>
      <w:r>
        <w:rPr>
          <w:rFonts w:hint="eastAsia"/>
          <w:lang w:val="en-GB"/>
        </w:rPr>
        <w:tab/>
      </w:r>
      <w:r>
        <w:rPr>
          <w:rFonts w:hint="eastAsia"/>
          <w:kern w:val="14"/>
        </w:rPr>
        <w:t>上文第</w:t>
      </w:r>
      <w:r>
        <w:rPr>
          <w:kern w:val="14"/>
        </w:rPr>
        <w:t>215</w:t>
      </w:r>
      <w:r>
        <w:rPr>
          <w:rFonts w:hint="eastAsia"/>
          <w:kern w:val="14"/>
        </w:rPr>
        <w:t>段提及的法律保障所有外国人不论男女均有权与合法居留在立陶宛共和国的家属团聚。根据该法律第</w:t>
      </w:r>
      <w:r>
        <w:rPr>
          <w:kern w:val="14"/>
        </w:rPr>
        <w:t>2</w:t>
      </w:r>
      <w:r>
        <w:rPr>
          <w:kern w:val="14"/>
        </w:rPr>
        <w:t>（</w:t>
      </w:r>
      <w:r>
        <w:rPr>
          <w:kern w:val="14"/>
        </w:rPr>
        <w:t>27</w:t>
      </w:r>
      <w:r>
        <w:rPr>
          <w:kern w:val="14"/>
        </w:rPr>
        <w:t>）</w:t>
      </w:r>
      <w:r>
        <w:rPr>
          <w:rFonts w:hint="eastAsia"/>
          <w:kern w:val="14"/>
        </w:rPr>
        <w:t>条，家庭团聚是指不是欧洲联盟公民但是合法居住在立陶宛共和国的外国人的家庭成员在立陶宛共和国入境并居留，以维护家庭单位，而不论其家庭关系是在该外国人入境之前建立还是在入境之后建立的。可向该外国人的家属签发暂住证（第</w:t>
      </w:r>
      <w:r>
        <w:rPr>
          <w:kern w:val="14"/>
        </w:rPr>
        <w:t>40</w:t>
      </w:r>
      <w:r>
        <w:rPr>
          <w:kern w:val="14"/>
        </w:rPr>
        <w:t>（</w:t>
      </w:r>
      <w:r>
        <w:rPr>
          <w:kern w:val="14"/>
        </w:rPr>
        <w:t>1</w:t>
      </w:r>
      <w:r>
        <w:rPr>
          <w:kern w:val="14"/>
        </w:rPr>
        <w:t>）（</w:t>
      </w:r>
      <w:r>
        <w:rPr>
          <w:kern w:val="14"/>
        </w:rPr>
        <w:t>3</w:t>
      </w:r>
      <w:r>
        <w:rPr>
          <w:kern w:val="14"/>
        </w:rPr>
        <w:t>）</w:t>
      </w:r>
      <w:r>
        <w:rPr>
          <w:rFonts w:hint="eastAsia"/>
          <w:kern w:val="14"/>
        </w:rPr>
        <w:t>条和第</w:t>
      </w:r>
      <w:r>
        <w:rPr>
          <w:kern w:val="14"/>
        </w:rPr>
        <w:t>43</w:t>
      </w:r>
      <w:r>
        <w:rPr>
          <w:rFonts w:hint="eastAsia"/>
          <w:kern w:val="14"/>
        </w:rPr>
        <w:t>条）。</w:t>
      </w:r>
    </w:p>
    <w:p w:rsidR="00595751" w:rsidRDefault="00595751">
      <w:pPr>
        <w:tabs>
          <w:tab w:val="left" w:pos="630"/>
        </w:tabs>
        <w:spacing w:after="240" w:line="360" w:lineRule="exact"/>
        <w:jc w:val="center"/>
        <w:rPr>
          <w:rFonts w:eastAsia="SimHei"/>
          <w:color w:val="FF0000"/>
          <w:kern w:val="14"/>
          <w:sz w:val="24"/>
          <w:szCs w:val="24"/>
          <w:lang w:val="en-GB"/>
        </w:rPr>
      </w:pPr>
      <w:r>
        <w:rPr>
          <w:rFonts w:eastAsia="SimHei" w:hint="eastAsia"/>
          <w:color w:val="FF0000"/>
          <w:kern w:val="14"/>
          <w:sz w:val="24"/>
          <w:szCs w:val="24"/>
          <w:lang w:val="en-GB"/>
        </w:rPr>
        <w:t>第</w:t>
      </w:r>
      <w:r>
        <w:rPr>
          <w:rFonts w:eastAsia="SimHei"/>
          <w:color w:val="FF0000"/>
          <w:kern w:val="14"/>
          <w:sz w:val="24"/>
          <w:szCs w:val="24"/>
          <w:lang w:val="en-GB"/>
        </w:rPr>
        <w:t>16</w:t>
      </w:r>
      <w:r>
        <w:rPr>
          <w:rFonts w:eastAsia="SimHei" w:hint="eastAsia"/>
          <w:color w:val="FF0000"/>
          <w:kern w:val="14"/>
          <w:sz w:val="24"/>
          <w:szCs w:val="24"/>
          <w:lang w:val="en-GB"/>
        </w:rPr>
        <w:t>条</w:t>
      </w:r>
    </w:p>
    <w:p w:rsidR="00595751" w:rsidRDefault="00595751">
      <w:pPr>
        <w:tabs>
          <w:tab w:val="left" w:pos="630"/>
        </w:tabs>
        <w:spacing w:after="240" w:line="360" w:lineRule="exact"/>
        <w:rPr>
          <w:rFonts w:hint="eastAsia"/>
          <w:kern w:val="14"/>
        </w:rPr>
      </w:pPr>
      <w:r>
        <w:rPr>
          <w:rFonts w:hint="eastAsia"/>
          <w:kern w:val="14"/>
        </w:rPr>
        <w:t>217.</w:t>
      </w:r>
      <w:r>
        <w:rPr>
          <w:rFonts w:hint="eastAsia"/>
          <w:kern w:val="14"/>
        </w:rPr>
        <w:tab/>
      </w:r>
      <w:r>
        <w:rPr>
          <w:rFonts w:hint="eastAsia"/>
          <w:kern w:val="14"/>
        </w:rPr>
        <w:t>关于</w:t>
      </w:r>
      <w:r>
        <w:rPr>
          <w:kern w:val="14"/>
        </w:rPr>
        <w:t>立陶宛</w:t>
      </w:r>
      <w:r>
        <w:rPr>
          <w:rFonts w:hint="eastAsia"/>
          <w:kern w:val="14"/>
        </w:rPr>
        <w:t>执行《公约》第</w:t>
      </w:r>
      <w:r>
        <w:rPr>
          <w:kern w:val="14"/>
        </w:rPr>
        <w:t>1</w:t>
      </w:r>
      <w:r>
        <w:rPr>
          <w:rFonts w:hint="eastAsia"/>
          <w:kern w:val="14"/>
        </w:rPr>
        <w:t>6</w:t>
      </w:r>
      <w:r>
        <w:rPr>
          <w:rFonts w:hint="eastAsia"/>
          <w:kern w:val="14"/>
        </w:rPr>
        <w:t>条的情况，已由第三次报告介绍。</w:t>
      </w:r>
      <w:r>
        <w:rPr>
          <w:kern w:val="14"/>
        </w:rPr>
        <w:t>2005-2006</w:t>
      </w:r>
      <w:r>
        <w:rPr>
          <w:rFonts w:hint="eastAsia"/>
          <w:kern w:val="14"/>
        </w:rPr>
        <w:t>年，该领域没有法律法规方面的变化。</w:t>
      </w:r>
    </w:p>
    <w:p w:rsidR="00595751" w:rsidRDefault="00595751">
      <w:pPr>
        <w:pStyle w:val="H1"/>
        <w:rPr>
          <w:rFonts w:hint="eastAsia"/>
        </w:rPr>
      </w:pPr>
    </w:p>
    <w:p w:rsidR="00595751" w:rsidRDefault="00595751">
      <w:pPr>
        <w:pStyle w:val="H1"/>
        <w:rPr>
          <w:rFonts w:hint="eastAsia"/>
        </w:rPr>
      </w:pPr>
      <w:r>
        <w:rPr>
          <w:color w:val="000000"/>
          <w:szCs w:val="24"/>
        </w:rPr>
        <w:br w:type="page"/>
      </w:r>
      <w:r>
        <w:rPr>
          <w:rFonts w:hint="eastAsia"/>
        </w:rPr>
        <w:t>立陶宛共和国政府关于《联合国消除对妇女一切形式歧视公约》</w:t>
      </w:r>
      <w:r>
        <w:br/>
      </w:r>
      <w:r>
        <w:rPr>
          <w:rFonts w:hint="eastAsia"/>
        </w:rPr>
        <w:t>执行情况第四次报告附件</w:t>
      </w:r>
    </w:p>
    <w:p w:rsidR="00595751" w:rsidRDefault="00595751">
      <w:pPr>
        <w:spacing w:after="240" w:line="360" w:lineRule="exact"/>
        <w:jc w:val="center"/>
        <w:rPr>
          <w:rFonts w:eastAsia="SimHei"/>
          <w:caps/>
          <w:snapToGrid w:val="0"/>
          <w:color w:val="FF0000"/>
          <w:kern w:val="14"/>
          <w:lang w:val="en-GB"/>
        </w:rPr>
      </w:pPr>
      <w:r>
        <w:rPr>
          <w:rFonts w:eastAsia="SimHei" w:hint="eastAsia"/>
          <w:caps/>
          <w:snapToGrid w:val="0"/>
          <w:color w:val="FF0000"/>
          <w:kern w:val="14"/>
          <w:lang w:val="en-GB"/>
        </w:rPr>
        <w:t>表</w:t>
      </w:r>
      <w:r>
        <w:rPr>
          <w:rFonts w:eastAsia="SimHei"/>
          <w:caps/>
          <w:snapToGrid w:val="0"/>
          <w:color w:val="FF0000"/>
          <w:kern w:val="14"/>
          <w:lang w:val="en-GB"/>
        </w:rPr>
        <w:t xml:space="preserve">1. </w:t>
      </w:r>
      <w:r>
        <w:rPr>
          <w:rFonts w:eastAsia="SimHei" w:hint="eastAsia"/>
          <w:caps/>
          <w:snapToGrid w:val="0"/>
          <w:color w:val="FF0000"/>
          <w:kern w:val="14"/>
          <w:lang w:val="en-GB"/>
        </w:rPr>
        <w:t>犯罪行为的女性受害者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37"/>
        <w:gridCol w:w="1260"/>
        <w:gridCol w:w="1260"/>
        <w:gridCol w:w="1260"/>
        <w:gridCol w:w="1234"/>
      </w:tblGrid>
      <w:tr w:rsidR="00595751">
        <w:trPr>
          <w:cantSplit/>
          <w:trHeight w:val="20"/>
        </w:trPr>
        <w:tc>
          <w:tcPr>
            <w:tcW w:w="4737" w:type="dxa"/>
            <w:vMerge w:val="restart"/>
            <w:tcMar>
              <w:top w:w="28" w:type="dxa"/>
              <w:left w:w="57" w:type="dxa"/>
              <w:bottom w:w="28" w:type="dxa"/>
              <w:right w:w="57" w:type="dxa"/>
            </w:tcMar>
            <w:vAlign w:val="center"/>
          </w:tcPr>
          <w:p w:rsidR="00595751" w:rsidRDefault="00595751">
            <w:pPr>
              <w:spacing w:line="360" w:lineRule="exact"/>
              <w:rPr>
                <w:rFonts w:eastAsia="SimHei"/>
                <w:snapToGrid w:val="0"/>
                <w:color w:val="FF0000"/>
                <w:kern w:val="14"/>
                <w:sz w:val="18"/>
              </w:rPr>
            </w:pPr>
            <w:r>
              <w:rPr>
                <w:rFonts w:eastAsia="SimHei" w:hint="eastAsia"/>
                <w:snapToGrid w:val="0"/>
                <w:color w:val="FF0000"/>
                <w:kern w:val="14"/>
                <w:sz w:val="18"/>
              </w:rPr>
              <w:t>犯罪行为的女性受害者</w:t>
            </w:r>
          </w:p>
        </w:tc>
        <w:tc>
          <w:tcPr>
            <w:tcW w:w="2520" w:type="dxa"/>
            <w:gridSpan w:val="2"/>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受害者为配偶或同居者</w:t>
            </w:r>
          </w:p>
        </w:tc>
        <w:tc>
          <w:tcPr>
            <w:tcW w:w="2494" w:type="dxa"/>
            <w:gridSpan w:val="2"/>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受害者为子女或被领养儿童</w:t>
            </w:r>
          </w:p>
        </w:tc>
      </w:tr>
      <w:tr w:rsidR="00595751">
        <w:trPr>
          <w:cantSplit/>
          <w:trHeight w:val="20"/>
        </w:trPr>
        <w:tc>
          <w:tcPr>
            <w:tcW w:w="4737" w:type="dxa"/>
            <w:vMerge/>
            <w:tcMar>
              <w:top w:w="28" w:type="dxa"/>
              <w:left w:w="57" w:type="dxa"/>
              <w:bottom w:w="28" w:type="dxa"/>
              <w:right w:w="57" w:type="dxa"/>
            </w:tcMar>
            <w:vAlign w:val="center"/>
          </w:tcPr>
          <w:p w:rsidR="00595751" w:rsidRDefault="00595751">
            <w:pPr>
              <w:spacing w:line="360" w:lineRule="exact"/>
              <w:rPr>
                <w:rFonts w:eastAsia="SimHei"/>
                <w:snapToGrid w:val="0"/>
                <w:color w:val="FF0000"/>
                <w:kern w:val="14"/>
                <w:sz w:val="18"/>
              </w:rPr>
            </w:pPr>
          </w:p>
        </w:tc>
        <w:tc>
          <w:tcPr>
            <w:tcW w:w="1260" w:type="dxa"/>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snapToGrid w:val="0"/>
                <w:color w:val="FF0000"/>
                <w:kern w:val="14"/>
                <w:sz w:val="18"/>
              </w:rPr>
              <w:t>2005</w:t>
            </w:r>
            <w:r>
              <w:rPr>
                <w:rFonts w:eastAsia="SimHei" w:hint="eastAsia"/>
                <w:snapToGrid w:val="0"/>
                <w:color w:val="FF0000"/>
                <w:kern w:val="14"/>
                <w:sz w:val="18"/>
              </w:rPr>
              <w:t>年</w:t>
            </w:r>
          </w:p>
        </w:tc>
        <w:tc>
          <w:tcPr>
            <w:tcW w:w="1260" w:type="dxa"/>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snapToGrid w:val="0"/>
                <w:color w:val="FF0000"/>
                <w:kern w:val="14"/>
                <w:sz w:val="18"/>
              </w:rPr>
              <w:t>2006</w:t>
            </w:r>
            <w:r>
              <w:rPr>
                <w:rFonts w:eastAsia="SimHei" w:hint="eastAsia"/>
                <w:snapToGrid w:val="0"/>
                <w:color w:val="FF0000"/>
                <w:kern w:val="14"/>
                <w:sz w:val="18"/>
              </w:rPr>
              <w:t>年</w:t>
            </w:r>
          </w:p>
        </w:tc>
        <w:tc>
          <w:tcPr>
            <w:tcW w:w="1260" w:type="dxa"/>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snapToGrid w:val="0"/>
                <w:color w:val="FF0000"/>
                <w:kern w:val="14"/>
                <w:sz w:val="18"/>
              </w:rPr>
              <w:t>2005</w:t>
            </w:r>
            <w:r>
              <w:rPr>
                <w:rFonts w:eastAsia="SimHei" w:hint="eastAsia"/>
                <w:snapToGrid w:val="0"/>
                <w:color w:val="FF0000"/>
                <w:kern w:val="14"/>
                <w:sz w:val="18"/>
              </w:rPr>
              <w:t>年</w:t>
            </w:r>
          </w:p>
        </w:tc>
        <w:tc>
          <w:tcPr>
            <w:tcW w:w="1234" w:type="dxa"/>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snapToGrid w:val="0"/>
                <w:color w:val="FF0000"/>
                <w:kern w:val="14"/>
                <w:sz w:val="18"/>
              </w:rPr>
              <w:t>2006</w:t>
            </w:r>
            <w:r>
              <w:rPr>
                <w:rFonts w:eastAsia="SimHei" w:hint="eastAsia"/>
                <w:snapToGrid w:val="0"/>
                <w:color w:val="FF0000"/>
                <w:kern w:val="14"/>
                <w:sz w:val="18"/>
              </w:rPr>
              <w:t>年</w:t>
            </w:r>
          </w:p>
        </w:tc>
      </w:tr>
      <w:tr w:rsidR="00595751">
        <w:trPr>
          <w:cantSplit/>
          <w:trHeight w:val="20"/>
        </w:trPr>
        <w:tc>
          <w:tcPr>
            <w:tcW w:w="4737" w:type="dxa"/>
            <w:tcMar>
              <w:top w:w="28" w:type="dxa"/>
              <w:left w:w="57" w:type="dxa"/>
              <w:bottom w:w="28" w:type="dxa"/>
              <w:right w:w="57" w:type="dxa"/>
            </w:tcMar>
          </w:tcPr>
          <w:p w:rsidR="00595751" w:rsidRDefault="00595751">
            <w:pPr>
              <w:spacing w:line="360" w:lineRule="exact"/>
              <w:rPr>
                <w:rFonts w:hint="eastAsia"/>
                <w:snapToGrid w:val="0"/>
                <w:color w:val="000000"/>
                <w:kern w:val="14"/>
                <w:sz w:val="18"/>
              </w:rPr>
            </w:pPr>
            <w:r>
              <w:rPr>
                <w:rFonts w:hint="eastAsia"/>
                <w:snapToGrid w:val="0"/>
                <w:color w:val="000000"/>
                <w:kern w:val="14"/>
                <w:sz w:val="18"/>
              </w:rPr>
              <w:t>总人数</w:t>
            </w:r>
          </w:p>
        </w:tc>
        <w:tc>
          <w:tcPr>
            <w:tcW w:w="126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464</w:t>
            </w:r>
          </w:p>
        </w:tc>
        <w:tc>
          <w:tcPr>
            <w:tcW w:w="126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448</w:t>
            </w:r>
          </w:p>
        </w:tc>
        <w:tc>
          <w:tcPr>
            <w:tcW w:w="126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111</w:t>
            </w:r>
          </w:p>
        </w:tc>
        <w:tc>
          <w:tcPr>
            <w:tcW w:w="1234"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103</w:t>
            </w:r>
          </w:p>
        </w:tc>
      </w:tr>
      <w:tr w:rsidR="00595751">
        <w:trPr>
          <w:cantSplit/>
          <w:trHeight w:val="20"/>
        </w:trPr>
        <w:tc>
          <w:tcPr>
            <w:tcW w:w="4737" w:type="dxa"/>
            <w:tcMar>
              <w:top w:w="28" w:type="dxa"/>
              <w:left w:w="57" w:type="dxa"/>
              <w:bottom w:w="28" w:type="dxa"/>
              <w:right w:w="57" w:type="dxa"/>
            </w:tcMar>
          </w:tcPr>
          <w:p w:rsidR="00595751" w:rsidRDefault="00595751">
            <w:pPr>
              <w:spacing w:line="360" w:lineRule="exact"/>
              <w:rPr>
                <w:snapToGrid w:val="0"/>
                <w:color w:val="000000"/>
                <w:kern w:val="14"/>
                <w:sz w:val="18"/>
              </w:rPr>
            </w:pPr>
            <w:r>
              <w:rPr>
                <w:rFonts w:hint="eastAsia"/>
                <w:snapToGrid w:val="0"/>
                <w:color w:val="000000"/>
                <w:kern w:val="14"/>
                <w:sz w:val="18"/>
              </w:rPr>
              <w:t>农村地区人数</w:t>
            </w:r>
          </w:p>
        </w:tc>
        <w:tc>
          <w:tcPr>
            <w:tcW w:w="126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201</w:t>
            </w:r>
          </w:p>
        </w:tc>
        <w:tc>
          <w:tcPr>
            <w:tcW w:w="126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202</w:t>
            </w:r>
          </w:p>
        </w:tc>
        <w:tc>
          <w:tcPr>
            <w:tcW w:w="126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45</w:t>
            </w:r>
          </w:p>
        </w:tc>
        <w:tc>
          <w:tcPr>
            <w:tcW w:w="1234"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50</w:t>
            </w:r>
          </w:p>
        </w:tc>
      </w:tr>
      <w:tr w:rsidR="00595751">
        <w:trPr>
          <w:cantSplit/>
          <w:trHeight w:val="20"/>
        </w:trPr>
        <w:tc>
          <w:tcPr>
            <w:tcW w:w="4737" w:type="dxa"/>
            <w:tcMar>
              <w:top w:w="28" w:type="dxa"/>
              <w:left w:w="57" w:type="dxa"/>
              <w:bottom w:w="28" w:type="dxa"/>
              <w:right w:w="57" w:type="dxa"/>
            </w:tcMar>
          </w:tcPr>
          <w:p w:rsidR="00595751" w:rsidRDefault="00595751">
            <w:pPr>
              <w:spacing w:line="360" w:lineRule="exact"/>
              <w:rPr>
                <w:rFonts w:hint="eastAsia"/>
                <w:snapToGrid w:val="0"/>
                <w:color w:val="000000"/>
                <w:kern w:val="14"/>
                <w:sz w:val="18"/>
              </w:rPr>
            </w:pPr>
            <w:r>
              <w:rPr>
                <w:rFonts w:hint="eastAsia"/>
                <w:snapToGrid w:val="0"/>
                <w:color w:val="000000"/>
                <w:kern w:val="14"/>
                <w:sz w:val="18"/>
              </w:rPr>
              <w:t>遭受肉体暴力伤害者</w:t>
            </w:r>
          </w:p>
        </w:tc>
        <w:tc>
          <w:tcPr>
            <w:tcW w:w="126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265</w:t>
            </w:r>
          </w:p>
        </w:tc>
        <w:tc>
          <w:tcPr>
            <w:tcW w:w="126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273</w:t>
            </w:r>
          </w:p>
        </w:tc>
        <w:tc>
          <w:tcPr>
            <w:tcW w:w="126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49</w:t>
            </w:r>
          </w:p>
        </w:tc>
        <w:tc>
          <w:tcPr>
            <w:tcW w:w="1234"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43</w:t>
            </w:r>
          </w:p>
        </w:tc>
      </w:tr>
      <w:tr w:rsidR="00595751">
        <w:trPr>
          <w:cantSplit/>
          <w:trHeight w:val="20"/>
        </w:trPr>
        <w:tc>
          <w:tcPr>
            <w:tcW w:w="4737" w:type="dxa"/>
            <w:tcMar>
              <w:top w:w="28" w:type="dxa"/>
              <w:left w:w="57" w:type="dxa"/>
              <w:bottom w:w="28" w:type="dxa"/>
              <w:right w:w="57" w:type="dxa"/>
            </w:tcMar>
          </w:tcPr>
          <w:p w:rsidR="00595751" w:rsidRDefault="00595751">
            <w:pPr>
              <w:spacing w:line="360" w:lineRule="exact"/>
              <w:rPr>
                <w:rFonts w:hint="eastAsia"/>
                <w:snapToGrid w:val="0"/>
                <w:color w:val="000000"/>
                <w:kern w:val="14"/>
                <w:sz w:val="18"/>
              </w:rPr>
            </w:pPr>
            <w:r>
              <w:rPr>
                <w:rFonts w:hint="eastAsia"/>
                <w:snapToGrid w:val="0"/>
                <w:color w:val="000000"/>
                <w:kern w:val="14"/>
                <w:sz w:val="18"/>
              </w:rPr>
              <w:t>遭受性暴力伤害者</w:t>
            </w:r>
          </w:p>
        </w:tc>
        <w:tc>
          <w:tcPr>
            <w:tcW w:w="126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w:t>
            </w:r>
          </w:p>
        </w:tc>
        <w:tc>
          <w:tcPr>
            <w:tcW w:w="126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w:t>
            </w:r>
          </w:p>
        </w:tc>
        <w:tc>
          <w:tcPr>
            <w:tcW w:w="126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0</w:t>
            </w:r>
          </w:p>
        </w:tc>
        <w:tc>
          <w:tcPr>
            <w:tcW w:w="1234"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0</w:t>
            </w:r>
          </w:p>
        </w:tc>
      </w:tr>
      <w:tr w:rsidR="00595751">
        <w:trPr>
          <w:cantSplit/>
          <w:trHeight w:val="20"/>
        </w:trPr>
        <w:tc>
          <w:tcPr>
            <w:tcW w:w="4737" w:type="dxa"/>
            <w:tcMar>
              <w:top w:w="28" w:type="dxa"/>
              <w:left w:w="57" w:type="dxa"/>
              <w:bottom w:w="28" w:type="dxa"/>
              <w:right w:w="57" w:type="dxa"/>
            </w:tcMar>
          </w:tcPr>
          <w:p w:rsidR="00595751" w:rsidRDefault="00595751">
            <w:pPr>
              <w:spacing w:line="360" w:lineRule="exact"/>
              <w:rPr>
                <w:rFonts w:hint="eastAsia"/>
                <w:snapToGrid w:val="0"/>
                <w:color w:val="000000"/>
                <w:kern w:val="14"/>
                <w:sz w:val="18"/>
              </w:rPr>
            </w:pPr>
            <w:r>
              <w:rPr>
                <w:rFonts w:hint="eastAsia"/>
                <w:snapToGrid w:val="0"/>
                <w:color w:val="000000"/>
                <w:kern w:val="14"/>
                <w:sz w:val="18"/>
              </w:rPr>
              <w:t>遭受心理暴力伤害者</w:t>
            </w:r>
          </w:p>
        </w:tc>
        <w:tc>
          <w:tcPr>
            <w:tcW w:w="126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65</w:t>
            </w:r>
          </w:p>
        </w:tc>
        <w:tc>
          <w:tcPr>
            <w:tcW w:w="126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48</w:t>
            </w:r>
          </w:p>
        </w:tc>
        <w:tc>
          <w:tcPr>
            <w:tcW w:w="126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10</w:t>
            </w:r>
          </w:p>
        </w:tc>
        <w:tc>
          <w:tcPr>
            <w:tcW w:w="1234"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w:t>
            </w:r>
          </w:p>
        </w:tc>
      </w:tr>
    </w:tbl>
    <w:p w:rsidR="00595751" w:rsidRDefault="00595751">
      <w:pPr>
        <w:spacing w:line="360" w:lineRule="exact"/>
        <w:rPr>
          <w:rFonts w:hint="eastAsia"/>
          <w:color w:val="000000"/>
          <w:kern w:val="14"/>
          <w:sz w:val="18"/>
          <w:lang w:val="en-GB"/>
        </w:rPr>
      </w:pPr>
      <w:r>
        <w:rPr>
          <w:rFonts w:hint="eastAsia"/>
          <w:color w:val="000000"/>
          <w:kern w:val="14"/>
          <w:sz w:val="18"/>
          <w:lang w:val="en-GB"/>
        </w:rPr>
        <w:t>内政部下属的信息技术和通信司。</w:t>
      </w:r>
    </w:p>
    <w:p w:rsidR="00595751" w:rsidRDefault="00595751">
      <w:pPr>
        <w:rPr>
          <w:color w:val="000000"/>
          <w:lang w:val="en-GB"/>
        </w:rPr>
      </w:pPr>
    </w:p>
    <w:p w:rsidR="00595751" w:rsidRDefault="00595751">
      <w:pPr>
        <w:spacing w:after="240" w:line="360" w:lineRule="exact"/>
        <w:jc w:val="center"/>
        <w:rPr>
          <w:rFonts w:eastAsia="SimHei" w:hint="eastAsia"/>
          <w:caps/>
          <w:snapToGrid w:val="0"/>
          <w:color w:val="FF0000"/>
          <w:kern w:val="14"/>
          <w:lang w:val="en-GB"/>
        </w:rPr>
      </w:pPr>
      <w:r>
        <w:rPr>
          <w:rFonts w:eastAsia="SimHei" w:hint="eastAsia"/>
          <w:caps/>
          <w:snapToGrid w:val="0"/>
          <w:color w:val="FF0000"/>
          <w:kern w:val="14"/>
          <w:lang w:val="en-GB"/>
        </w:rPr>
        <w:t>表</w:t>
      </w:r>
      <w:r>
        <w:rPr>
          <w:rFonts w:eastAsia="SimHei" w:hint="eastAsia"/>
          <w:caps/>
          <w:snapToGrid w:val="0"/>
          <w:color w:val="FF0000"/>
          <w:kern w:val="14"/>
          <w:lang w:val="en-GB"/>
        </w:rPr>
        <w:t>2</w:t>
      </w:r>
      <w:r>
        <w:rPr>
          <w:rFonts w:eastAsia="SimHei"/>
          <w:caps/>
          <w:snapToGrid w:val="0"/>
          <w:color w:val="FF0000"/>
          <w:kern w:val="14"/>
          <w:lang w:val="en-GB"/>
        </w:rPr>
        <w:t>.</w:t>
      </w:r>
      <w:r>
        <w:rPr>
          <w:rFonts w:eastAsia="SimHei" w:hint="eastAsia"/>
          <w:caps/>
          <w:snapToGrid w:val="0"/>
          <w:color w:val="FF0000"/>
          <w:kern w:val="14"/>
          <w:lang w:val="en-GB"/>
        </w:rPr>
        <w:t xml:space="preserve"> </w:t>
      </w:r>
      <w:r>
        <w:rPr>
          <w:rFonts w:eastAsia="SimHei" w:hint="eastAsia"/>
          <w:caps/>
          <w:snapToGrid w:val="0"/>
          <w:color w:val="FF0000"/>
          <w:kern w:val="14"/>
          <w:lang w:val="en-GB"/>
        </w:rPr>
        <w:t>记录在案的犯罪行为的女性受害者</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709"/>
        <w:gridCol w:w="709"/>
        <w:gridCol w:w="1134"/>
        <w:gridCol w:w="1134"/>
        <w:gridCol w:w="708"/>
        <w:gridCol w:w="709"/>
        <w:gridCol w:w="1134"/>
        <w:gridCol w:w="1134"/>
      </w:tblGrid>
      <w:tr w:rsidR="00595751">
        <w:trPr>
          <w:cantSplit/>
        </w:trPr>
        <w:tc>
          <w:tcPr>
            <w:tcW w:w="2518" w:type="dxa"/>
            <w:vMerge w:val="restart"/>
          </w:tcPr>
          <w:p w:rsidR="00595751" w:rsidRDefault="00595751">
            <w:pPr>
              <w:spacing w:line="360" w:lineRule="exact"/>
              <w:rPr>
                <w:rFonts w:eastAsia="SimHei" w:hint="eastAsia"/>
                <w:snapToGrid w:val="0"/>
                <w:color w:val="FF0000"/>
                <w:kern w:val="14"/>
                <w:sz w:val="18"/>
              </w:rPr>
            </w:pPr>
            <w:r>
              <w:rPr>
                <w:rFonts w:eastAsia="SimHei" w:hint="eastAsia"/>
                <w:snapToGrid w:val="0"/>
                <w:color w:val="FF0000"/>
                <w:kern w:val="14"/>
                <w:sz w:val="18"/>
              </w:rPr>
              <w:t>《立陶宛共和国刑法典》</w:t>
            </w:r>
            <w:r>
              <w:rPr>
                <w:rFonts w:eastAsia="SimHei"/>
                <w:color w:val="FF0000"/>
                <w:kern w:val="14"/>
                <w:sz w:val="28"/>
              </w:rPr>
              <w:br/>
            </w:r>
            <w:r>
              <w:rPr>
                <w:rFonts w:eastAsia="SimHei" w:hint="eastAsia"/>
                <w:snapToGrid w:val="0"/>
                <w:color w:val="FF0000"/>
                <w:kern w:val="14"/>
                <w:sz w:val="18"/>
              </w:rPr>
              <w:t>条款</w:t>
            </w:r>
          </w:p>
        </w:tc>
        <w:tc>
          <w:tcPr>
            <w:tcW w:w="3686" w:type="dxa"/>
            <w:gridSpan w:val="4"/>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2005</w:t>
            </w:r>
            <w:r>
              <w:rPr>
                <w:rFonts w:eastAsia="SimHei" w:hint="eastAsia"/>
                <w:snapToGrid w:val="0"/>
                <w:color w:val="FF0000"/>
                <w:kern w:val="14"/>
                <w:sz w:val="18"/>
              </w:rPr>
              <w:t>年</w:t>
            </w:r>
          </w:p>
        </w:tc>
        <w:tc>
          <w:tcPr>
            <w:tcW w:w="3685" w:type="dxa"/>
            <w:gridSpan w:val="4"/>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2006</w:t>
            </w:r>
            <w:r>
              <w:rPr>
                <w:rFonts w:eastAsia="SimHei" w:hint="eastAsia"/>
                <w:snapToGrid w:val="0"/>
                <w:color w:val="FF0000"/>
                <w:kern w:val="14"/>
                <w:sz w:val="18"/>
              </w:rPr>
              <w:t>年</w:t>
            </w:r>
          </w:p>
        </w:tc>
      </w:tr>
      <w:tr w:rsidR="00595751">
        <w:trPr>
          <w:cantSplit/>
        </w:trPr>
        <w:tc>
          <w:tcPr>
            <w:tcW w:w="2518" w:type="dxa"/>
            <w:vMerge/>
          </w:tcPr>
          <w:p w:rsidR="00595751" w:rsidRDefault="00595751">
            <w:pPr>
              <w:spacing w:line="360" w:lineRule="exact"/>
              <w:rPr>
                <w:rFonts w:eastAsia="SimHei" w:hint="eastAsia"/>
                <w:snapToGrid w:val="0"/>
                <w:color w:val="FF0000"/>
                <w:kern w:val="14"/>
                <w:sz w:val="18"/>
              </w:rPr>
            </w:pPr>
          </w:p>
        </w:tc>
        <w:tc>
          <w:tcPr>
            <w:tcW w:w="709" w:type="dxa"/>
          </w:tcPr>
          <w:p w:rsidR="00595751" w:rsidRDefault="00595751">
            <w:pPr>
              <w:spacing w:line="360" w:lineRule="exact"/>
              <w:rPr>
                <w:rFonts w:eastAsia="SimHei" w:hint="eastAsia"/>
                <w:snapToGrid w:val="0"/>
                <w:color w:val="FF0000"/>
                <w:kern w:val="14"/>
                <w:sz w:val="18"/>
              </w:rPr>
            </w:pPr>
            <w:r>
              <w:rPr>
                <w:rFonts w:eastAsia="SimHei" w:hint="eastAsia"/>
                <w:snapToGrid w:val="0"/>
                <w:color w:val="FF0000"/>
                <w:kern w:val="14"/>
                <w:sz w:val="18"/>
              </w:rPr>
              <w:t>城市</w:t>
            </w:r>
          </w:p>
        </w:tc>
        <w:tc>
          <w:tcPr>
            <w:tcW w:w="709" w:type="dxa"/>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农村</w:t>
            </w:r>
          </w:p>
        </w:tc>
        <w:tc>
          <w:tcPr>
            <w:tcW w:w="1134" w:type="dxa"/>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17</w:t>
            </w:r>
            <w:r>
              <w:rPr>
                <w:rFonts w:eastAsia="SimHei" w:hint="eastAsia"/>
                <w:snapToGrid w:val="0"/>
                <w:color w:val="FF0000"/>
                <w:kern w:val="14"/>
                <w:sz w:val="18"/>
              </w:rPr>
              <w:t>岁以下</w:t>
            </w:r>
          </w:p>
        </w:tc>
        <w:tc>
          <w:tcPr>
            <w:tcW w:w="1134" w:type="dxa"/>
            <w:tcMar>
              <w:left w:w="28" w:type="dxa"/>
              <w:right w:w="28" w:type="dxa"/>
            </w:tcMa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18</w:t>
            </w:r>
            <w:r>
              <w:rPr>
                <w:rFonts w:eastAsia="SimHei" w:hint="eastAsia"/>
                <w:snapToGrid w:val="0"/>
                <w:color w:val="FF0000"/>
                <w:kern w:val="14"/>
                <w:sz w:val="18"/>
              </w:rPr>
              <w:t>岁及以上</w:t>
            </w:r>
          </w:p>
        </w:tc>
        <w:tc>
          <w:tcPr>
            <w:tcW w:w="708" w:type="dxa"/>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城市</w:t>
            </w:r>
          </w:p>
        </w:tc>
        <w:tc>
          <w:tcPr>
            <w:tcW w:w="709" w:type="dxa"/>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农村</w:t>
            </w:r>
          </w:p>
        </w:tc>
        <w:tc>
          <w:tcPr>
            <w:tcW w:w="1134" w:type="dxa"/>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17</w:t>
            </w:r>
            <w:r>
              <w:rPr>
                <w:rFonts w:eastAsia="SimHei" w:hint="eastAsia"/>
                <w:snapToGrid w:val="0"/>
                <w:color w:val="FF0000"/>
                <w:kern w:val="14"/>
                <w:sz w:val="18"/>
              </w:rPr>
              <w:t>岁以下</w:t>
            </w:r>
          </w:p>
        </w:tc>
        <w:tc>
          <w:tcPr>
            <w:tcW w:w="1134" w:type="dxa"/>
            <w:tcMar>
              <w:left w:w="28" w:type="dxa"/>
              <w:right w:w="28" w:type="dxa"/>
            </w:tcMa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18</w:t>
            </w:r>
            <w:r>
              <w:rPr>
                <w:rFonts w:eastAsia="SimHei" w:hint="eastAsia"/>
                <w:snapToGrid w:val="0"/>
                <w:color w:val="FF0000"/>
                <w:kern w:val="14"/>
                <w:sz w:val="18"/>
              </w:rPr>
              <w:t>岁及以上</w:t>
            </w:r>
          </w:p>
        </w:tc>
      </w:tr>
      <w:tr w:rsidR="00595751">
        <w:tc>
          <w:tcPr>
            <w:tcW w:w="2518" w:type="dxa"/>
          </w:tcPr>
          <w:p w:rsidR="00595751" w:rsidRDefault="00595751">
            <w:pPr>
              <w:spacing w:line="360" w:lineRule="exact"/>
              <w:rPr>
                <w:rFonts w:hint="eastAsia"/>
                <w:snapToGrid w:val="0"/>
                <w:color w:val="000000"/>
                <w:kern w:val="14"/>
                <w:sz w:val="18"/>
              </w:rPr>
            </w:pPr>
            <w:r>
              <w:rPr>
                <w:rFonts w:hint="eastAsia"/>
                <w:snapToGrid w:val="0"/>
                <w:color w:val="000000"/>
                <w:kern w:val="14"/>
                <w:sz w:val="18"/>
              </w:rPr>
              <w:t>第</w:t>
            </w:r>
            <w:r>
              <w:rPr>
                <w:rFonts w:hint="eastAsia"/>
                <w:snapToGrid w:val="0"/>
                <w:color w:val="000000"/>
                <w:kern w:val="14"/>
                <w:sz w:val="18"/>
              </w:rPr>
              <w:t>129</w:t>
            </w:r>
            <w:r>
              <w:rPr>
                <w:rFonts w:hint="eastAsia"/>
                <w:snapToGrid w:val="0"/>
                <w:color w:val="000000"/>
                <w:kern w:val="14"/>
                <w:sz w:val="18"/>
              </w:rPr>
              <w:t>条：谋杀</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56</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49</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3</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102</w:t>
            </w:r>
          </w:p>
        </w:tc>
        <w:tc>
          <w:tcPr>
            <w:tcW w:w="708"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45</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31</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2</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74</w:t>
            </w:r>
          </w:p>
        </w:tc>
      </w:tr>
      <w:tr w:rsidR="00595751">
        <w:tc>
          <w:tcPr>
            <w:tcW w:w="2518" w:type="dxa"/>
          </w:tcPr>
          <w:p w:rsidR="00595751" w:rsidRDefault="00595751">
            <w:pPr>
              <w:spacing w:line="360" w:lineRule="exact"/>
              <w:rPr>
                <w:rFonts w:hint="eastAsia"/>
                <w:snapToGrid w:val="0"/>
                <w:color w:val="000000"/>
                <w:kern w:val="14"/>
                <w:sz w:val="18"/>
              </w:rPr>
            </w:pPr>
            <w:r>
              <w:rPr>
                <w:rFonts w:hint="eastAsia"/>
                <w:snapToGrid w:val="0"/>
                <w:color w:val="000000"/>
                <w:kern w:val="14"/>
                <w:sz w:val="18"/>
              </w:rPr>
              <w:t>第</w:t>
            </w:r>
            <w:r>
              <w:rPr>
                <w:rFonts w:hint="eastAsia"/>
                <w:snapToGrid w:val="0"/>
                <w:color w:val="000000"/>
                <w:kern w:val="14"/>
                <w:sz w:val="18"/>
              </w:rPr>
              <w:t>130</w:t>
            </w:r>
            <w:r>
              <w:rPr>
                <w:rFonts w:hint="eastAsia"/>
                <w:snapToGrid w:val="0"/>
                <w:color w:val="000000"/>
                <w:kern w:val="14"/>
                <w:sz w:val="18"/>
              </w:rPr>
              <w:t>条：在极端精神错乱情况下谋杀</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0</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p>
        </w:tc>
        <w:tc>
          <w:tcPr>
            <w:tcW w:w="708" w:type="dxa"/>
          </w:tcPr>
          <w:p w:rsidR="00595751" w:rsidRDefault="00595751" w:rsidP="00DB491E">
            <w:pPr>
              <w:spacing w:line="360" w:lineRule="exact"/>
              <w:ind w:rightChars="100" w:right="31680"/>
              <w:jc w:val="right"/>
              <w:rPr>
                <w:rFonts w:hint="eastAsia"/>
                <w:snapToGrid w:val="0"/>
                <w:color w:val="000000"/>
                <w:kern w:val="14"/>
                <w:sz w:val="18"/>
              </w:rPr>
            </w:pP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0</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p>
        </w:tc>
      </w:tr>
      <w:tr w:rsidR="00595751">
        <w:tc>
          <w:tcPr>
            <w:tcW w:w="2518" w:type="dxa"/>
          </w:tcPr>
          <w:p w:rsidR="00595751" w:rsidRDefault="00595751">
            <w:pPr>
              <w:spacing w:line="360" w:lineRule="exact"/>
              <w:rPr>
                <w:rFonts w:hint="eastAsia"/>
                <w:snapToGrid w:val="0"/>
                <w:color w:val="000000"/>
                <w:kern w:val="14"/>
                <w:sz w:val="18"/>
              </w:rPr>
            </w:pPr>
            <w:r>
              <w:rPr>
                <w:rFonts w:hint="eastAsia"/>
                <w:snapToGrid w:val="0"/>
                <w:color w:val="000000"/>
                <w:kern w:val="14"/>
                <w:sz w:val="18"/>
              </w:rPr>
              <w:t>第</w:t>
            </w:r>
            <w:r>
              <w:rPr>
                <w:rFonts w:hint="eastAsia"/>
                <w:snapToGrid w:val="0"/>
                <w:color w:val="000000"/>
                <w:kern w:val="14"/>
                <w:sz w:val="18"/>
              </w:rPr>
              <w:t>135</w:t>
            </w:r>
            <w:r>
              <w:rPr>
                <w:rFonts w:hint="eastAsia"/>
                <w:snapToGrid w:val="0"/>
                <w:color w:val="000000"/>
                <w:kern w:val="14"/>
                <w:sz w:val="18"/>
              </w:rPr>
              <w:t>条：严重损害健康</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34</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22</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2</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54</w:t>
            </w:r>
          </w:p>
        </w:tc>
        <w:tc>
          <w:tcPr>
            <w:tcW w:w="708"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32</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23</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3</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52</w:t>
            </w:r>
          </w:p>
        </w:tc>
      </w:tr>
      <w:tr w:rsidR="00595751">
        <w:tc>
          <w:tcPr>
            <w:tcW w:w="2518" w:type="dxa"/>
          </w:tcPr>
          <w:p w:rsidR="00595751" w:rsidRDefault="00595751">
            <w:pPr>
              <w:spacing w:line="360" w:lineRule="exact"/>
              <w:rPr>
                <w:rFonts w:hint="eastAsia"/>
                <w:snapToGrid w:val="0"/>
                <w:color w:val="000000"/>
                <w:kern w:val="14"/>
                <w:sz w:val="18"/>
              </w:rPr>
            </w:pPr>
            <w:r>
              <w:rPr>
                <w:rFonts w:hint="eastAsia"/>
                <w:snapToGrid w:val="0"/>
                <w:color w:val="000000"/>
                <w:kern w:val="14"/>
                <w:sz w:val="18"/>
              </w:rPr>
              <w:t>第</w:t>
            </w:r>
            <w:r>
              <w:rPr>
                <w:rFonts w:hint="eastAsia"/>
                <w:snapToGrid w:val="0"/>
                <w:color w:val="000000"/>
                <w:kern w:val="14"/>
                <w:sz w:val="18"/>
              </w:rPr>
              <w:t>136</w:t>
            </w:r>
            <w:r>
              <w:rPr>
                <w:rFonts w:hint="eastAsia"/>
                <w:snapToGrid w:val="0"/>
                <w:color w:val="000000"/>
                <w:kern w:val="14"/>
                <w:sz w:val="18"/>
              </w:rPr>
              <w:t>条：在极端精神错乱情况下严重损害健康</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0</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p>
        </w:tc>
        <w:tc>
          <w:tcPr>
            <w:tcW w:w="708" w:type="dxa"/>
          </w:tcPr>
          <w:p w:rsidR="00595751" w:rsidRDefault="00595751" w:rsidP="00DB491E">
            <w:pPr>
              <w:spacing w:line="360" w:lineRule="exact"/>
              <w:ind w:rightChars="100" w:right="31680"/>
              <w:jc w:val="right"/>
              <w:rPr>
                <w:rFonts w:hint="eastAsia"/>
                <w:snapToGrid w:val="0"/>
                <w:color w:val="000000"/>
                <w:kern w:val="14"/>
                <w:sz w:val="18"/>
              </w:rPr>
            </w:pP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0</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p>
        </w:tc>
      </w:tr>
      <w:tr w:rsidR="00595751">
        <w:tc>
          <w:tcPr>
            <w:tcW w:w="2518" w:type="dxa"/>
          </w:tcPr>
          <w:p w:rsidR="00595751" w:rsidRDefault="00595751">
            <w:pPr>
              <w:spacing w:line="360" w:lineRule="exact"/>
              <w:rPr>
                <w:rFonts w:hint="eastAsia"/>
                <w:snapToGrid w:val="0"/>
                <w:color w:val="000000"/>
                <w:kern w:val="14"/>
                <w:sz w:val="18"/>
              </w:rPr>
            </w:pPr>
            <w:r>
              <w:rPr>
                <w:rFonts w:hint="eastAsia"/>
                <w:snapToGrid w:val="0"/>
                <w:color w:val="000000"/>
                <w:kern w:val="14"/>
                <w:sz w:val="18"/>
              </w:rPr>
              <w:t>第</w:t>
            </w:r>
            <w:r>
              <w:rPr>
                <w:rFonts w:hint="eastAsia"/>
                <w:snapToGrid w:val="0"/>
                <w:color w:val="000000"/>
                <w:kern w:val="14"/>
                <w:sz w:val="18"/>
              </w:rPr>
              <w:t>138</w:t>
            </w:r>
            <w:r>
              <w:rPr>
                <w:rFonts w:hint="eastAsia"/>
                <w:snapToGrid w:val="0"/>
                <w:color w:val="000000"/>
                <w:kern w:val="14"/>
                <w:sz w:val="18"/>
              </w:rPr>
              <w:t>条：轻微损害健康</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490</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254</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85</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659</w:t>
            </w:r>
          </w:p>
        </w:tc>
        <w:tc>
          <w:tcPr>
            <w:tcW w:w="708"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484</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246</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74</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656</w:t>
            </w:r>
          </w:p>
        </w:tc>
      </w:tr>
      <w:tr w:rsidR="00595751">
        <w:tc>
          <w:tcPr>
            <w:tcW w:w="2518" w:type="dxa"/>
          </w:tcPr>
          <w:p w:rsidR="00595751" w:rsidRDefault="00595751">
            <w:pPr>
              <w:spacing w:line="360" w:lineRule="exact"/>
              <w:rPr>
                <w:rFonts w:hint="eastAsia"/>
                <w:snapToGrid w:val="0"/>
                <w:color w:val="000000"/>
                <w:kern w:val="14"/>
                <w:sz w:val="18"/>
              </w:rPr>
            </w:pPr>
            <w:r>
              <w:rPr>
                <w:rFonts w:hint="eastAsia"/>
                <w:snapToGrid w:val="0"/>
                <w:color w:val="000000"/>
                <w:kern w:val="14"/>
                <w:sz w:val="18"/>
              </w:rPr>
              <w:t>第</w:t>
            </w:r>
            <w:r>
              <w:rPr>
                <w:rFonts w:hint="eastAsia"/>
                <w:snapToGrid w:val="0"/>
                <w:color w:val="000000"/>
                <w:kern w:val="14"/>
                <w:sz w:val="18"/>
              </w:rPr>
              <w:t>140</w:t>
            </w:r>
            <w:r>
              <w:rPr>
                <w:rFonts w:hint="eastAsia"/>
                <w:snapToGrid w:val="0"/>
                <w:color w:val="000000"/>
                <w:kern w:val="14"/>
                <w:sz w:val="18"/>
              </w:rPr>
              <w:t>条：殴打或轻微损害健康</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280</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162</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204</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238</w:t>
            </w:r>
          </w:p>
        </w:tc>
        <w:tc>
          <w:tcPr>
            <w:tcW w:w="708"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240</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119</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139</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220</w:t>
            </w:r>
          </w:p>
        </w:tc>
      </w:tr>
      <w:tr w:rsidR="00595751">
        <w:tc>
          <w:tcPr>
            <w:tcW w:w="2518" w:type="dxa"/>
          </w:tcPr>
          <w:p w:rsidR="00595751" w:rsidRDefault="00595751">
            <w:pPr>
              <w:spacing w:line="360" w:lineRule="exact"/>
              <w:rPr>
                <w:rFonts w:hint="eastAsia"/>
                <w:snapToGrid w:val="0"/>
                <w:color w:val="000000"/>
                <w:kern w:val="14"/>
                <w:sz w:val="18"/>
              </w:rPr>
            </w:pPr>
            <w:r>
              <w:rPr>
                <w:rFonts w:hint="eastAsia"/>
                <w:snapToGrid w:val="0"/>
                <w:color w:val="000000"/>
                <w:kern w:val="14"/>
                <w:sz w:val="18"/>
              </w:rPr>
              <w:t>第</w:t>
            </w:r>
            <w:r>
              <w:rPr>
                <w:rFonts w:hint="eastAsia"/>
                <w:snapToGrid w:val="0"/>
                <w:color w:val="000000"/>
                <w:kern w:val="14"/>
                <w:sz w:val="18"/>
              </w:rPr>
              <w:t>149</w:t>
            </w:r>
            <w:r>
              <w:rPr>
                <w:rFonts w:hint="eastAsia"/>
                <w:snapToGrid w:val="0"/>
                <w:color w:val="000000"/>
                <w:kern w:val="14"/>
                <w:sz w:val="18"/>
              </w:rPr>
              <w:t>条：强奸</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145</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120</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80</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185</w:t>
            </w:r>
          </w:p>
        </w:tc>
        <w:tc>
          <w:tcPr>
            <w:tcW w:w="708"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137</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114</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140</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111</w:t>
            </w:r>
          </w:p>
        </w:tc>
      </w:tr>
      <w:tr w:rsidR="00595751">
        <w:tc>
          <w:tcPr>
            <w:tcW w:w="2518" w:type="dxa"/>
          </w:tcPr>
          <w:p w:rsidR="00595751" w:rsidRDefault="00595751">
            <w:pPr>
              <w:spacing w:line="360" w:lineRule="exact"/>
              <w:rPr>
                <w:rFonts w:hint="eastAsia"/>
                <w:snapToGrid w:val="0"/>
                <w:color w:val="000000"/>
                <w:kern w:val="14"/>
                <w:sz w:val="18"/>
              </w:rPr>
            </w:pPr>
            <w:r>
              <w:rPr>
                <w:rFonts w:hint="eastAsia"/>
                <w:snapToGrid w:val="0"/>
                <w:color w:val="000000"/>
                <w:kern w:val="14"/>
                <w:sz w:val="18"/>
              </w:rPr>
              <w:t>第</w:t>
            </w:r>
            <w:r>
              <w:rPr>
                <w:rFonts w:hint="eastAsia"/>
                <w:snapToGrid w:val="0"/>
                <w:color w:val="000000"/>
                <w:kern w:val="14"/>
                <w:sz w:val="18"/>
              </w:rPr>
              <w:t>150</w:t>
            </w:r>
            <w:r>
              <w:rPr>
                <w:rFonts w:hint="eastAsia"/>
                <w:snapToGrid w:val="0"/>
                <w:color w:val="000000"/>
                <w:kern w:val="14"/>
                <w:sz w:val="18"/>
              </w:rPr>
              <w:t>条：性虐待</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112</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87</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67</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132</w:t>
            </w:r>
          </w:p>
        </w:tc>
        <w:tc>
          <w:tcPr>
            <w:tcW w:w="708"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67</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89</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97</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59</w:t>
            </w:r>
          </w:p>
        </w:tc>
      </w:tr>
      <w:tr w:rsidR="00595751">
        <w:tc>
          <w:tcPr>
            <w:tcW w:w="2518" w:type="dxa"/>
          </w:tcPr>
          <w:p w:rsidR="00595751" w:rsidRDefault="00595751">
            <w:pPr>
              <w:spacing w:line="360" w:lineRule="exact"/>
              <w:rPr>
                <w:rFonts w:hint="eastAsia"/>
                <w:snapToGrid w:val="0"/>
                <w:color w:val="000000"/>
                <w:kern w:val="14"/>
                <w:sz w:val="18"/>
              </w:rPr>
            </w:pPr>
            <w:r>
              <w:rPr>
                <w:rFonts w:hint="eastAsia"/>
                <w:snapToGrid w:val="0"/>
                <w:color w:val="000000"/>
                <w:kern w:val="14"/>
                <w:sz w:val="18"/>
              </w:rPr>
              <w:t>第</w:t>
            </w:r>
            <w:r>
              <w:rPr>
                <w:rFonts w:hint="eastAsia"/>
                <w:snapToGrid w:val="0"/>
                <w:color w:val="000000"/>
                <w:kern w:val="14"/>
                <w:sz w:val="18"/>
              </w:rPr>
              <w:t>151</w:t>
            </w:r>
            <w:r>
              <w:rPr>
                <w:rFonts w:hint="eastAsia"/>
                <w:snapToGrid w:val="0"/>
                <w:color w:val="000000"/>
                <w:kern w:val="14"/>
                <w:sz w:val="18"/>
              </w:rPr>
              <w:t>条：胁迫性交</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3</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2</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3</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2</w:t>
            </w:r>
          </w:p>
        </w:tc>
        <w:tc>
          <w:tcPr>
            <w:tcW w:w="708"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6</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5</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6</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5</w:t>
            </w:r>
          </w:p>
        </w:tc>
      </w:tr>
      <w:tr w:rsidR="00595751">
        <w:tc>
          <w:tcPr>
            <w:tcW w:w="2518" w:type="dxa"/>
          </w:tcPr>
          <w:p w:rsidR="00595751" w:rsidRDefault="00595751">
            <w:pPr>
              <w:spacing w:line="360" w:lineRule="exact"/>
              <w:rPr>
                <w:rFonts w:hint="eastAsia"/>
                <w:snapToGrid w:val="0"/>
                <w:color w:val="000000"/>
                <w:kern w:val="14"/>
                <w:sz w:val="18"/>
              </w:rPr>
            </w:pPr>
            <w:r>
              <w:rPr>
                <w:rFonts w:hint="eastAsia"/>
                <w:snapToGrid w:val="0"/>
                <w:color w:val="000000"/>
                <w:kern w:val="14"/>
                <w:sz w:val="18"/>
              </w:rPr>
              <w:t>第</w:t>
            </w:r>
            <w:r>
              <w:rPr>
                <w:rFonts w:hint="eastAsia"/>
                <w:snapToGrid w:val="0"/>
                <w:color w:val="000000"/>
                <w:kern w:val="14"/>
                <w:sz w:val="18"/>
              </w:rPr>
              <w:t>152</w:t>
            </w:r>
            <w:r>
              <w:rPr>
                <w:rFonts w:hint="eastAsia"/>
                <w:snapToGrid w:val="0"/>
                <w:color w:val="000000"/>
                <w:kern w:val="14"/>
                <w:sz w:val="18"/>
              </w:rPr>
              <w:t>条：性骚扰</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3</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1</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2</w:t>
            </w:r>
          </w:p>
        </w:tc>
        <w:tc>
          <w:tcPr>
            <w:tcW w:w="708"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2</w:t>
            </w:r>
          </w:p>
        </w:tc>
        <w:tc>
          <w:tcPr>
            <w:tcW w:w="709"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3</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3</w:t>
            </w:r>
          </w:p>
        </w:tc>
        <w:tc>
          <w:tcPr>
            <w:tcW w:w="1134" w:type="dxa"/>
          </w:tcPr>
          <w:p w:rsidR="00595751" w:rsidRDefault="00595751" w:rsidP="00DB491E">
            <w:pPr>
              <w:spacing w:line="360" w:lineRule="exact"/>
              <w:ind w:rightChars="100" w:right="31680"/>
              <w:jc w:val="right"/>
              <w:rPr>
                <w:rFonts w:hint="eastAsia"/>
                <w:snapToGrid w:val="0"/>
                <w:color w:val="000000"/>
                <w:kern w:val="14"/>
                <w:sz w:val="18"/>
              </w:rPr>
            </w:pPr>
            <w:r>
              <w:rPr>
                <w:rFonts w:hint="eastAsia"/>
                <w:snapToGrid w:val="0"/>
                <w:color w:val="000000"/>
                <w:kern w:val="14"/>
                <w:sz w:val="18"/>
              </w:rPr>
              <w:t>2</w:t>
            </w:r>
          </w:p>
        </w:tc>
      </w:tr>
    </w:tbl>
    <w:p w:rsidR="00595751" w:rsidRDefault="00595751">
      <w:pPr>
        <w:spacing w:line="360" w:lineRule="exact"/>
        <w:rPr>
          <w:rFonts w:hint="eastAsia"/>
          <w:color w:val="000000"/>
          <w:kern w:val="14"/>
          <w:sz w:val="18"/>
          <w:lang w:val="en-GB"/>
        </w:rPr>
      </w:pPr>
      <w:r>
        <w:rPr>
          <w:rFonts w:hint="eastAsia"/>
          <w:color w:val="000000"/>
          <w:kern w:val="14"/>
          <w:sz w:val="18"/>
          <w:lang w:val="en-GB"/>
        </w:rPr>
        <w:t>内政部下属的信息技术和通信司。</w:t>
      </w:r>
    </w:p>
    <w:p w:rsidR="00595751" w:rsidRDefault="00595751">
      <w:pPr>
        <w:rPr>
          <w:color w:val="000000"/>
          <w:lang w:val="en-GB"/>
        </w:rPr>
      </w:pPr>
    </w:p>
    <w:p w:rsidR="00595751" w:rsidRDefault="00595751">
      <w:pPr>
        <w:spacing w:after="240" w:line="360" w:lineRule="exact"/>
        <w:jc w:val="center"/>
        <w:rPr>
          <w:rFonts w:eastAsia="SimHei"/>
          <w:caps/>
          <w:snapToGrid w:val="0"/>
          <w:color w:val="FF0000"/>
          <w:kern w:val="14"/>
          <w:lang w:val="en-GB"/>
        </w:rPr>
      </w:pPr>
      <w:r>
        <w:rPr>
          <w:rFonts w:eastAsia="SimHei" w:hint="eastAsia"/>
          <w:caps/>
          <w:snapToGrid w:val="0"/>
          <w:color w:val="FF0000"/>
          <w:kern w:val="14"/>
          <w:lang w:val="en-GB"/>
        </w:rPr>
        <w:t>表</w:t>
      </w:r>
      <w:r>
        <w:rPr>
          <w:rFonts w:eastAsia="SimHei"/>
          <w:caps/>
          <w:snapToGrid w:val="0"/>
          <w:color w:val="FF0000"/>
          <w:kern w:val="14"/>
          <w:lang w:val="en-GB"/>
        </w:rPr>
        <w:t xml:space="preserve"> 3. </w:t>
      </w:r>
      <w:r>
        <w:rPr>
          <w:rFonts w:eastAsia="SimHei" w:hint="eastAsia"/>
          <w:caps/>
          <w:snapToGrid w:val="0"/>
          <w:color w:val="FF0000"/>
          <w:kern w:val="14"/>
          <w:lang w:val="en-GB"/>
        </w:rPr>
        <w:t>根据《立陶宛共和国刑法典》第</w:t>
      </w:r>
      <w:r>
        <w:rPr>
          <w:rFonts w:eastAsia="SimHei" w:hint="eastAsia"/>
          <w:caps/>
          <w:snapToGrid w:val="0"/>
          <w:color w:val="FF0000"/>
          <w:kern w:val="14"/>
          <w:lang w:val="en-GB"/>
        </w:rPr>
        <w:t>147</w:t>
      </w:r>
      <w:r>
        <w:rPr>
          <w:rFonts w:eastAsia="SimHei" w:hint="eastAsia"/>
          <w:caps/>
          <w:snapToGrid w:val="0"/>
          <w:color w:val="FF0000"/>
          <w:kern w:val="14"/>
          <w:lang w:val="en-GB"/>
        </w:rPr>
        <w:t>条“贩卖人口”整理的</w:t>
      </w:r>
      <w:r>
        <w:rPr>
          <w:rFonts w:eastAsia="SimHei"/>
          <w:caps/>
          <w:snapToGrid w:val="0"/>
          <w:color w:val="FF0000"/>
          <w:kern w:val="14"/>
          <w:lang w:val="en-GB"/>
        </w:rPr>
        <w:t>2005–2006</w:t>
      </w:r>
      <w:r>
        <w:rPr>
          <w:rFonts w:eastAsia="SimHei" w:hint="eastAsia"/>
          <w:caps/>
          <w:snapToGrid w:val="0"/>
          <w:color w:val="FF0000"/>
          <w:kern w:val="14"/>
          <w:lang w:val="en-GB"/>
        </w:rPr>
        <w:t>年数据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97"/>
        <w:gridCol w:w="2880"/>
        <w:gridCol w:w="2658"/>
      </w:tblGrid>
      <w:tr w:rsidR="00595751">
        <w:trPr>
          <w:cantSplit/>
          <w:trHeight w:val="20"/>
        </w:trPr>
        <w:tc>
          <w:tcPr>
            <w:tcW w:w="4197" w:type="dxa"/>
            <w:noWrap/>
            <w:tcMar>
              <w:top w:w="28" w:type="dxa"/>
              <w:left w:w="57" w:type="dxa"/>
              <w:bottom w:w="28" w:type="dxa"/>
              <w:right w:w="57" w:type="dxa"/>
            </w:tcMar>
            <w:vAlign w:val="center"/>
          </w:tcPr>
          <w:p w:rsidR="00595751" w:rsidRDefault="00595751">
            <w:pPr>
              <w:spacing w:line="360" w:lineRule="exact"/>
              <w:rPr>
                <w:rFonts w:eastAsia="SimHei"/>
                <w:snapToGrid w:val="0"/>
                <w:color w:val="FF0000"/>
                <w:kern w:val="14"/>
                <w:sz w:val="18"/>
              </w:rPr>
            </w:pPr>
            <w:r>
              <w:rPr>
                <w:rFonts w:eastAsia="SimHei" w:hint="eastAsia"/>
                <w:snapToGrid w:val="0"/>
                <w:color w:val="FF0000"/>
                <w:kern w:val="14"/>
                <w:sz w:val="18"/>
              </w:rPr>
              <w:t>关于“贩卖人口”条款</w:t>
            </w:r>
          </w:p>
        </w:tc>
        <w:tc>
          <w:tcPr>
            <w:tcW w:w="2880" w:type="dxa"/>
            <w:noWrap/>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snapToGrid w:val="0"/>
                <w:color w:val="FF0000"/>
                <w:kern w:val="14"/>
                <w:sz w:val="18"/>
              </w:rPr>
              <w:t>2005</w:t>
            </w:r>
            <w:r>
              <w:rPr>
                <w:rFonts w:eastAsia="SimHei" w:hint="eastAsia"/>
                <w:snapToGrid w:val="0"/>
                <w:color w:val="FF0000"/>
                <w:kern w:val="14"/>
                <w:sz w:val="18"/>
              </w:rPr>
              <w:t>年</w:t>
            </w:r>
          </w:p>
        </w:tc>
        <w:tc>
          <w:tcPr>
            <w:tcW w:w="2658" w:type="dxa"/>
            <w:noWrap/>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snapToGrid w:val="0"/>
                <w:color w:val="FF0000"/>
                <w:kern w:val="14"/>
                <w:sz w:val="18"/>
              </w:rPr>
              <w:t>2006</w:t>
            </w:r>
            <w:r>
              <w:rPr>
                <w:rFonts w:eastAsia="SimHei" w:hint="eastAsia"/>
                <w:snapToGrid w:val="0"/>
                <w:color w:val="FF0000"/>
                <w:kern w:val="14"/>
                <w:sz w:val="18"/>
              </w:rPr>
              <w:t>年</w:t>
            </w:r>
          </w:p>
        </w:tc>
      </w:tr>
      <w:tr w:rsidR="00595751">
        <w:trPr>
          <w:cantSplit/>
          <w:trHeight w:val="20"/>
        </w:trPr>
        <w:tc>
          <w:tcPr>
            <w:tcW w:w="4197" w:type="dxa"/>
            <w:noWrap/>
            <w:tcMar>
              <w:top w:w="28" w:type="dxa"/>
              <w:left w:w="57" w:type="dxa"/>
              <w:bottom w:w="28" w:type="dxa"/>
              <w:right w:w="57" w:type="dxa"/>
            </w:tcMar>
          </w:tcPr>
          <w:p w:rsidR="00595751" w:rsidRDefault="00595751">
            <w:pPr>
              <w:spacing w:line="360" w:lineRule="exact"/>
              <w:rPr>
                <w:snapToGrid w:val="0"/>
                <w:color w:val="000000"/>
                <w:kern w:val="14"/>
                <w:sz w:val="18"/>
              </w:rPr>
            </w:pPr>
            <w:r>
              <w:rPr>
                <w:rFonts w:hint="eastAsia"/>
                <w:snapToGrid w:val="0"/>
                <w:color w:val="000000"/>
                <w:kern w:val="14"/>
                <w:sz w:val="18"/>
              </w:rPr>
              <w:t>案件总数</w:t>
            </w:r>
          </w:p>
        </w:tc>
        <w:tc>
          <w:tcPr>
            <w:tcW w:w="2880"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32</w:t>
            </w:r>
          </w:p>
        </w:tc>
        <w:tc>
          <w:tcPr>
            <w:tcW w:w="2658"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26</w:t>
            </w:r>
          </w:p>
        </w:tc>
      </w:tr>
      <w:tr w:rsidR="00595751">
        <w:trPr>
          <w:cantSplit/>
          <w:trHeight w:val="20"/>
        </w:trPr>
        <w:tc>
          <w:tcPr>
            <w:tcW w:w="4197" w:type="dxa"/>
            <w:noWrap/>
            <w:tcMar>
              <w:top w:w="28" w:type="dxa"/>
              <w:left w:w="57" w:type="dxa"/>
              <w:bottom w:w="28" w:type="dxa"/>
              <w:right w:w="57" w:type="dxa"/>
            </w:tcMar>
          </w:tcPr>
          <w:p w:rsidR="00595751" w:rsidRDefault="00595751">
            <w:pPr>
              <w:spacing w:line="360" w:lineRule="exact"/>
              <w:rPr>
                <w:rFonts w:hint="eastAsia"/>
                <w:snapToGrid w:val="0"/>
                <w:color w:val="000000"/>
                <w:kern w:val="14"/>
                <w:sz w:val="18"/>
              </w:rPr>
            </w:pPr>
            <w:r>
              <w:rPr>
                <w:rFonts w:hint="eastAsia"/>
                <w:snapToGrid w:val="0"/>
                <w:color w:val="000000"/>
                <w:kern w:val="14"/>
                <w:sz w:val="18"/>
              </w:rPr>
              <w:t>起诉案件</w:t>
            </w:r>
          </w:p>
        </w:tc>
        <w:tc>
          <w:tcPr>
            <w:tcW w:w="2880"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18</w:t>
            </w:r>
          </w:p>
        </w:tc>
        <w:tc>
          <w:tcPr>
            <w:tcW w:w="2658"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21</w:t>
            </w:r>
          </w:p>
        </w:tc>
      </w:tr>
      <w:tr w:rsidR="00595751">
        <w:trPr>
          <w:cantSplit/>
          <w:trHeight w:val="20"/>
        </w:trPr>
        <w:tc>
          <w:tcPr>
            <w:tcW w:w="4197" w:type="dxa"/>
            <w:noWrap/>
            <w:tcMar>
              <w:top w:w="28" w:type="dxa"/>
              <w:left w:w="57" w:type="dxa"/>
              <w:bottom w:w="28" w:type="dxa"/>
              <w:right w:w="57" w:type="dxa"/>
            </w:tcMar>
          </w:tcPr>
          <w:p w:rsidR="00595751" w:rsidRDefault="00595751">
            <w:pPr>
              <w:spacing w:line="360" w:lineRule="exact"/>
              <w:rPr>
                <w:snapToGrid w:val="0"/>
                <w:color w:val="000000"/>
                <w:kern w:val="14"/>
                <w:sz w:val="18"/>
              </w:rPr>
            </w:pPr>
            <w:r>
              <w:rPr>
                <w:rFonts w:hint="eastAsia"/>
                <w:snapToGrid w:val="0"/>
                <w:color w:val="000000"/>
                <w:kern w:val="14"/>
                <w:sz w:val="18"/>
              </w:rPr>
              <w:t>审理案件</w:t>
            </w:r>
          </w:p>
        </w:tc>
        <w:tc>
          <w:tcPr>
            <w:tcW w:w="2880"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w:t>
            </w:r>
          </w:p>
        </w:tc>
        <w:tc>
          <w:tcPr>
            <w:tcW w:w="2658"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w:t>
            </w:r>
          </w:p>
        </w:tc>
      </w:tr>
      <w:tr w:rsidR="00595751">
        <w:trPr>
          <w:cantSplit/>
          <w:trHeight w:val="20"/>
        </w:trPr>
        <w:tc>
          <w:tcPr>
            <w:tcW w:w="4197" w:type="dxa"/>
            <w:noWrap/>
            <w:tcMar>
              <w:top w:w="28" w:type="dxa"/>
              <w:left w:w="57" w:type="dxa"/>
              <w:bottom w:w="28" w:type="dxa"/>
              <w:right w:w="57" w:type="dxa"/>
            </w:tcMar>
          </w:tcPr>
          <w:p w:rsidR="00595751" w:rsidRDefault="00595751">
            <w:pPr>
              <w:spacing w:line="360" w:lineRule="exact"/>
              <w:rPr>
                <w:rFonts w:hint="eastAsia"/>
                <w:snapToGrid w:val="0"/>
                <w:color w:val="000000"/>
                <w:kern w:val="14"/>
                <w:sz w:val="18"/>
              </w:rPr>
            </w:pPr>
            <w:r>
              <w:rPr>
                <w:rFonts w:hint="eastAsia"/>
                <w:snapToGrid w:val="0"/>
                <w:color w:val="000000"/>
                <w:kern w:val="14"/>
                <w:sz w:val="18"/>
              </w:rPr>
              <w:t>驳回案件</w:t>
            </w:r>
          </w:p>
        </w:tc>
        <w:tc>
          <w:tcPr>
            <w:tcW w:w="2880"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w:t>
            </w:r>
          </w:p>
        </w:tc>
        <w:tc>
          <w:tcPr>
            <w:tcW w:w="2658"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w:t>
            </w:r>
          </w:p>
        </w:tc>
      </w:tr>
      <w:tr w:rsidR="00595751">
        <w:trPr>
          <w:cantSplit/>
          <w:trHeight w:val="20"/>
        </w:trPr>
        <w:tc>
          <w:tcPr>
            <w:tcW w:w="4197" w:type="dxa"/>
            <w:noWrap/>
            <w:tcMar>
              <w:top w:w="28" w:type="dxa"/>
              <w:left w:w="57" w:type="dxa"/>
              <w:bottom w:w="28" w:type="dxa"/>
              <w:right w:w="57" w:type="dxa"/>
            </w:tcMar>
          </w:tcPr>
          <w:p w:rsidR="00595751" w:rsidRDefault="00595751">
            <w:pPr>
              <w:spacing w:line="360" w:lineRule="exact"/>
              <w:rPr>
                <w:snapToGrid w:val="0"/>
                <w:color w:val="000000"/>
                <w:kern w:val="14"/>
                <w:sz w:val="18"/>
              </w:rPr>
            </w:pPr>
            <w:r>
              <w:rPr>
                <w:rFonts w:hint="eastAsia"/>
                <w:snapToGrid w:val="0"/>
                <w:color w:val="000000"/>
                <w:kern w:val="14"/>
                <w:sz w:val="18"/>
              </w:rPr>
              <w:t>撤诉案件</w:t>
            </w:r>
          </w:p>
        </w:tc>
        <w:tc>
          <w:tcPr>
            <w:tcW w:w="2880"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w:t>
            </w:r>
          </w:p>
        </w:tc>
        <w:tc>
          <w:tcPr>
            <w:tcW w:w="2658"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w:t>
            </w:r>
          </w:p>
        </w:tc>
      </w:tr>
      <w:tr w:rsidR="00595751">
        <w:trPr>
          <w:cantSplit/>
          <w:trHeight w:val="20"/>
        </w:trPr>
        <w:tc>
          <w:tcPr>
            <w:tcW w:w="4197" w:type="dxa"/>
            <w:noWrap/>
            <w:tcMar>
              <w:top w:w="28" w:type="dxa"/>
              <w:left w:w="57" w:type="dxa"/>
              <w:bottom w:w="28" w:type="dxa"/>
              <w:right w:w="57" w:type="dxa"/>
            </w:tcMar>
          </w:tcPr>
          <w:p w:rsidR="00595751" w:rsidRDefault="00595751">
            <w:pPr>
              <w:spacing w:line="360" w:lineRule="exact"/>
              <w:rPr>
                <w:snapToGrid w:val="0"/>
                <w:color w:val="000000"/>
                <w:kern w:val="14"/>
                <w:sz w:val="18"/>
              </w:rPr>
            </w:pPr>
            <w:r>
              <w:rPr>
                <w:rFonts w:hint="eastAsia"/>
                <w:snapToGrid w:val="0"/>
                <w:color w:val="000000"/>
                <w:kern w:val="14"/>
                <w:sz w:val="18"/>
              </w:rPr>
              <w:t>执法部门确认的罪犯</w:t>
            </w:r>
          </w:p>
        </w:tc>
        <w:tc>
          <w:tcPr>
            <w:tcW w:w="2880"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43</w:t>
            </w:r>
          </w:p>
        </w:tc>
        <w:tc>
          <w:tcPr>
            <w:tcW w:w="2658"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33</w:t>
            </w:r>
          </w:p>
        </w:tc>
      </w:tr>
      <w:tr w:rsidR="00595751">
        <w:trPr>
          <w:cantSplit/>
          <w:trHeight w:val="20"/>
        </w:trPr>
        <w:tc>
          <w:tcPr>
            <w:tcW w:w="4197" w:type="dxa"/>
            <w:noWrap/>
            <w:tcMar>
              <w:top w:w="28" w:type="dxa"/>
              <w:left w:w="57" w:type="dxa"/>
              <w:bottom w:w="28" w:type="dxa"/>
              <w:right w:w="57" w:type="dxa"/>
            </w:tcMar>
          </w:tcPr>
          <w:p w:rsidR="00595751" w:rsidRDefault="00595751">
            <w:pPr>
              <w:spacing w:line="360" w:lineRule="exact"/>
              <w:rPr>
                <w:rFonts w:hint="eastAsia"/>
                <w:snapToGrid w:val="0"/>
                <w:color w:val="000000"/>
                <w:kern w:val="14"/>
                <w:sz w:val="18"/>
              </w:rPr>
            </w:pPr>
            <w:r>
              <w:rPr>
                <w:rFonts w:hint="eastAsia"/>
                <w:snapToGrid w:val="0"/>
                <w:color w:val="000000"/>
                <w:kern w:val="14"/>
                <w:sz w:val="18"/>
              </w:rPr>
              <w:t>嫌疑犯</w:t>
            </w:r>
          </w:p>
        </w:tc>
        <w:tc>
          <w:tcPr>
            <w:tcW w:w="2880"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21</w:t>
            </w:r>
          </w:p>
        </w:tc>
        <w:tc>
          <w:tcPr>
            <w:tcW w:w="2658"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19</w:t>
            </w:r>
          </w:p>
        </w:tc>
      </w:tr>
      <w:tr w:rsidR="00595751">
        <w:trPr>
          <w:cantSplit/>
          <w:trHeight w:val="20"/>
        </w:trPr>
        <w:tc>
          <w:tcPr>
            <w:tcW w:w="4197" w:type="dxa"/>
            <w:noWrap/>
            <w:tcMar>
              <w:top w:w="28" w:type="dxa"/>
              <w:left w:w="57" w:type="dxa"/>
              <w:bottom w:w="28" w:type="dxa"/>
              <w:right w:w="57" w:type="dxa"/>
            </w:tcMar>
          </w:tcPr>
          <w:p w:rsidR="00595751" w:rsidRDefault="00595751">
            <w:pPr>
              <w:spacing w:line="360" w:lineRule="exact"/>
              <w:rPr>
                <w:snapToGrid w:val="0"/>
                <w:color w:val="000000"/>
                <w:kern w:val="14"/>
                <w:sz w:val="18"/>
              </w:rPr>
            </w:pPr>
            <w:r>
              <w:rPr>
                <w:rFonts w:hint="eastAsia"/>
                <w:snapToGrid w:val="0"/>
                <w:color w:val="000000"/>
                <w:kern w:val="14"/>
                <w:sz w:val="18"/>
              </w:rPr>
              <w:t>执行部门确认的受害者</w:t>
            </w:r>
          </w:p>
        </w:tc>
        <w:tc>
          <w:tcPr>
            <w:tcW w:w="2880"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35</w:t>
            </w:r>
          </w:p>
        </w:tc>
        <w:tc>
          <w:tcPr>
            <w:tcW w:w="2658"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28</w:t>
            </w:r>
          </w:p>
        </w:tc>
      </w:tr>
      <w:tr w:rsidR="00595751">
        <w:trPr>
          <w:cantSplit/>
          <w:trHeight w:val="20"/>
        </w:trPr>
        <w:tc>
          <w:tcPr>
            <w:tcW w:w="4197" w:type="dxa"/>
            <w:noWrap/>
            <w:tcMar>
              <w:top w:w="28" w:type="dxa"/>
              <w:left w:w="57" w:type="dxa"/>
              <w:bottom w:w="28" w:type="dxa"/>
              <w:right w:w="57" w:type="dxa"/>
            </w:tcMar>
          </w:tcPr>
          <w:p w:rsidR="00595751" w:rsidRDefault="00595751">
            <w:pPr>
              <w:spacing w:line="360" w:lineRule="exact"/>
              <w:rPr>
                <w:snapToGrid w:val="0"/>
                <w:color w:val="000000"/>
                <w:kern w:val="14"/>
                <w:sz w:val="18"/>
              </w:rPr>
            </w:pPr>
            <w:r>
              <w:rPr>
                <w:rFonts w:hint="eastAsia"/>
                <w:snapToGrid w:val="0"/>
                <w:color w:val="000000"/>
                <w:kern w:val="14"/>
                <w:sz w:val="18"/>
              </w:rPr>
              <w:t>犯罪受害者</w:t>
            </w:r>
          </w:p>
        </w:tc>
        <w:tc>
          <w:tcPr>
            <w:tcW w:w="2880"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25</w:t>
            </w:r>
          </w:p>
        </w:tc>
        <w:tc>
          <w:tcPr>
            <w:tcW w:w="2658"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27</w:t>
            </w:r>
          </w:p>
        </w:tc>
      </w:tr>
      <w:tr w:rsidR="00595751">
        <w:trPr>
          <w:cantSplit/>
          <w:trHeight w:val="20"/>
        </w:trPr>
        <w:tc>
          <w:tcPr>
            <w:tcW w:w="4197" w:type="dxa"/>
            <w:noWrap/>
            <w:tcMar>
              <w:top w:w="28" w:type="dxa"/>
              <w:left w:w="57" w:type="dxa"/>
              <w:bottom w:w="28" w:type="dxa"/>
              <w:right w:w="57" w:type="dxa"/>
            </w:tcMar>
          </w:tcPr>
          <w:p w:rsidR="00595751" w:rsidRDefault="00595751">
            <w:pPr>
              <w:spacing w:line="360" w:lineRule="exact"/>
              <w:rPr>
                <w:rFonts w:hint="eastAsia"/>
                <w:snapToGrid w:val="0"/>
                <w:color w:val="000000"/>
                <w:kern w:val="14"/>
                <w:sz w:val="18"/>
              </w:rPr>
            </w:pPr>
            <w:r>
              <w:rPr>
                <w:rFonts w:hint="eastAsia"/>
                <w:snapToGrid w:val="0"/>
                <w:color w:val="000000"/>
                <w:kern w:val="14"/>
                <w:sz w:val="18"/>
              </w:rPr>
              <w:t>被定罪人</w:t>
            </w:r>
          </w:p>
        </w:tc>
        <w:tc>
          <w:tcPr>
            <w:tcW w:w="2880"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15</w:t>
            </w:r>
          </w:p>
        </w:tc>
        <w:tc>
          <w:tcPr>
            <w:tcW w:w="2658" w:type="dxa"/>
            <w:noWrap/>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10</w:t>
            </w:r>
          </w:p>
        </w:tc>
      </w:tr>
    </w:tbl>
    <w:p w:rsidR="00595751" w:rsidRDefault="00595751">
      <w:pPr>
        <w:spacing w:line="360" w:lineRule="exact"/>
        <w:rPr>
          <w:color w:val="000000"/>
          <w:kern w:val="14"/>
          <w:sz w:val="18"/>
          <w:lang w:val="en-GB"/>
        </w:rPr>
      </w:pPr>
      <w:r>
        <w:rPr>
          <w:rFonts w:hint="eastAsia"/>
          <w:color w:val="000000"/>
          <w:kern w:val="14"/>
          <w:sz w:val="18"/>
          <w:lang w:val="en-GB"/>
        </w:rPr>
        <w:t>内政部。</w:t>
      </w:r>
    </w:p>
    <w:p w:rsidR="00595751" w:rsidRDefault="00595751">
      <w:pPr>
        <w:rPr>
          <w:color w:val="000000"/>
          <w:lang w:val="en-GB"/>
        </w:rPr>
      </w:pPr>
    </w:p>
    <w:p w:rsidR="00595751" w:rsidRDefault="00595751">
      <w:pPr>
        <w:spacing w:after="240" w:line="360" w:lineRule="exact"/>
        <w:jc w:val="center"/>
        <w:rPr>
          <w:rFonts w:eastAsia="SimHei"/>
          <w:caps/>
          <w:snapToGrid w:val="0"/>
          <w:color w:val="FF0000"/>
          <w:kern w:val="14"/>
          <w:lang w:val="en-GB"/>
        </w:rPr>
      </w:pPr>
      <w:r>
        <w:rPr>
          <w:rFonts w:eastAsia="SimHei" w:hint="eastAsia"/>
          <w:caps/>
          <w:snapToGrid w:val="0"/>
          <w:color w:val="FF0000"/>
          <w:kern w:val="14"/>
          <w:lang w:val="en-GB"/>
        </w:rPr>
        <w:t>表</w:t>
      </w:r>
      <w:r>
        <w:rPr>
          <w:rFonts w:eastAsia="SimHei"/>
          <w:caps/>
          <w:snapToGrid w:val="0"/>
          <w:color w:val="FF0000"/>
          <w:kern w:val="14"/>
          <w:lang w:val="en-GB"/>
        </w:rPr>
        <w:t xml:space="preserve"> 4. </w:t>
      </w:r>
      <w:r>
        <w:rPr>
          <w:rFonts w:eastAsia="SimHei" w:hint="eastAsia"/>
          <w:caps/>
          <w:snapToGrid w:val="0"/>
          <w:color w:val="FF0000"/>
          <w:kern w:val="14"/>
          <w:lang w:val="en-GB"/>
        </w:rPr>
        <w:t xml:space="preserve">  </w:t>
      </w:r>
      <w:r>
        <w:rPr>
          <w:rFonts w:eastAsia="SimHei"/>
          <w:caps/>
          <w:snapToGrid w:val="0"/>
          <w:color w:val="FF0000"/>
          <w:kern w:val="14"/>
          <w:lang w:val="en-GB"/>
        </w:rPr>
        <w:t>2005–2006</w:t>
      </w:r>
      <w:r>
        <w:rPr>
          <w:rFonts w:eastAsia="SimHei" w:hint="eastAsia"/>
          <w:caps/>
          <w:snapToGrid w:val="0"/>
          <w:color w:val="FF0000"/>
          <w:kern w:val="14"/>
          <w:lang w:val="en-GB"/>
        </w:rPr>
        <w:t>年按工作职务类别和性别分列的公务员人数（不包括法定公员）</w:t>
      </w:r>
    </w:p>
    <w:tbl>
      <w:tblPr>
        <w:tblW w:w="97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72"/>
        <w:gridCol w:w="1588"/>
        <w:gridCol w:w="1588"/>
        <w:gridCol w:w="1588"/>
        <w:gridCol w:w="1588"/>
      </w:tblGrid>
      <w:tr w:rsidR="00595751">
        <w:trPr>
          <w:cantSplit/>
          <w:trHeight w:val="315"/>
        </w:trPr>
        <w:tc>
          <w:tcPr>
            <w:tcW w:w="3372" w:type="dxa"/>
            <w:vMerge w:val="restart"/>
            <w:vAlign w:val="center"/>
          </w:tcPr>
          <w:p w:rsidR="00595751" w:rsidRDefault="00595751">
            <w:pPr>
              <w:spacing w:line="360" w:lineRule="exact"/>
              <w:rPr>
                <w:rFonts w:eastAsia="SimHei"/>
                <w:snapToGrid w:val="0"/>
                <w:color w:val="FF0000"/>
                <w:kern w:val="14"/>
                <w:sz w:val="18"/>
              </w:rPr>
            </w:pPr>
            <w:r>
              <w:rPr>
                <w:rFonts w:eastAsia="SimHei" w:hint="eastAsia"/>
                <w:snapToGrid w:val="0"/>
                <w:color w:val="FF0000"/>
                <w:kern w:val="14"/>
                <w:sz w:val="18"/>
              </w:rPr>
              <w:t>工作职务类别</w:t>
            </w:r>
          </w:p>
        </w:tc>
        <w:tc>
          <w:tcPr>
            <w:tcW w:w="3176" w:type="dxa"/>
            <w:gridSpan w:val="2"/>
            <w:vAlign w:val="center"/>
          </w:tcPr>
          <w:p w:rsidR="00595751" w:rsidRDefault="00595751">
            <w:pPr>
              <w:spacing w:line="360" w:lineRule="exact"/>
              <w:jc w:val="center"/>
              <w:rPr>
                <w:rFonts w:eastAsia="SimHei" w:hint="eastAsia"/>
                <w:snapToGrid w:val="0"/>
                <w:color w:val="FF0000"/>
                <w:kern w:val="14"/>
                <w:sz w:val="18"/>
              </w:rPr>
            </w:pPr>
            <w:r>
              <w:rPr>
                <w:rFonts w:eastAsia="SimHei"/>
                <w:snapToGrid w:val="0"/>
                <w:color w:val="FF0000"/>
                <w:kern w:val="14"/>
                <w:sz w:val="18"/>
              </w:rPr>
              <w:t>2005</w:t>
            </w:r>
            <w:r>
              <w:rPr>
                <w:rFonts w:eastAsia="SimHei" w:hint="eastAsia"/>
                <w:snapToGrid w:val="0"/>
                <w:color w:val="FF0000"/>
                <w:kern w:val="14"/>
                <w:sz w:val="18"/>
              </w:rPr>
              <w:t>年</w:t>
            </w:r>
          </w:p>
        </w:tc>
        <w:tc>
          <w:tcPr>
            <w:tcW w:w="3176" w:type="dxa"/>
            <w:gridSpan w:val="2"/>
            <w:vAlign w:val="center"/>
          </w:tcPr>
          <w:p w:rsidR="00595751" w:rsidRDefault="00595751">
            <w:pPr>
              <w:spacing w:line="360" w:lineRule="exact"/>
              <w:jc w:val="center"/>
              <w:rPr>
                <w:rFonts w:eastAsia="SimHei" w:hint="eastAsia"/>
                <w:snapToGrid w:val="0"/>
                <w:color w:val="FF0000"/>
                <w:kern w:val="14"/>
                <w:sz w:val="18"/>
              </w:rPr>
            </w:pPr>
            <w:r>
              <w:rPr>
                <w:rFonts w:eastAsia="SimHei"/>
                <w:snapToGrid w:val="0"/>
                <w:color w:val="FF0000"/>
                <w:kern w:val="14"/>
                <w:sz w:val="18"/>
              </w:rPr>
              <w:t>2006</w:t>
            </w:r>
            <w:r>
              <w:rPr>
                <w:rFonts w:eastAsia="SimHei" w:hint="eastAsia"/>
                <w:snapToGrid w:val="0"/>
                <w:color w:val="FF0000"/>
                <w:kern w:val="14"/>
                <w:sz w:val="18"/>
              </w:rPr>
              <w:t>年</w:t>
            </w:r>
          </w:p>
        </w:tc>
      </w:tr>
      <w:tr w:rsidR="00595751">
        <w:trPr>
          <w:cantSplit/>
          <w:trHeight w:val="315"/>
        </w:trPr>
        <w:tc>
          <w:tcPr>
            <w:tcW w:w="3372" w:type="dxa"/>
            <w:vMerge/>
            <w:vAlign w:val="center"/>
          </w:tcPr>
          <w:p w:rsidR="00595751" w:rsidRDefault="00595751">
            <w:pPr>
              <w:spacing w:line="360" w:lineRule="exact"/>
              <w:rPr>
                <w:rFonts w:eastAsia="SimHei"/>
                <w:snapToGrid w:val="0"/>
                <w:color w:val="FF0000"/>
                <w:kern w:val="14"/>
                <w:sz w:val="18"/>
              </w:rPr>
            </w:pPr>
          </w:p>
        </w:tc>
        <w:tc>
          <w:tcPr>
            <w:tcW w:w="1588" w:type="dxa"/>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人数</w:t>
            </w:r>
          </w:p>
        </w:tc>
        <w:tc>
          <w:tcPr>
            <w:tcW w:w="1588" w:type="dxa"/>
            <w:vAlign w:val="center"/>
          </w:tcPr>
          <w:p w:rsidR="00595751" w:rsidRDefault="00595751">
            <w:pPr>
              <w:spacing w:line="360" w:lineRule="exact"/>
              <w:jc w:val="center"/>
              <w:rPr>
                <w:rFonts w:eastAsia="SimHei"/>
                <w:snapToGrid w:val="0"/>
                <w:color w:val="FF0000"/>
                <w:kern w:val="14"/>
                <w:sz w:val="18"/>
              </w:rPr>
            </w:pPr>
            <w:r>
              <w:rPr>
                <w:rFonts w:eastAsia="SimHei"/>
                <w:snapToGrid w:val="0"/>
                <w:color w:val="FF0000"/>
                <w:kern w:val="14"/>
                <w:sz w:val="18"/>
              </w:rPr>
              <w:t>%</w:t>
            </w:r>
          </w:p>
        </w:tc>
        <w:tc>
          <w:tcPr>
            <w:tcW w:w="1588" w:type="dxa"/>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人数</w:t>
            </w:r>
          </w:p>
        </w:tc>
        <w:tc>
          <w:tcPr>
            <w:tcW w:w="1588" w:type="dxa"/>
            <w:vAlign w:val="center"/>
          </w:tcPr>
          <w:p w:rsidR="00595751" w:rsidRDefault="00595751">
            <w:pPr>
              <w:spacing w:line="360" w:lineRule="exact"/>
              <w:jc w:val="center"/>
              <w:rPr>
                <w:rFonts w:eastAsia="SimHei"/>
                <w:snapToGrid w:val="0"/>
                <w:color w:val="FF0000"/>
                <w:kern w:val="14"/>
                <w:sz w:val="18"/>
              </w:rPr>
            </w:pPr>
            <w:r>
              <w:rPr>
                <w:rFonts w:eastAsia="SimHei"/>
                <w:snapToGrid w:val="0"/>
                <w:color w:val="FF0000"/>
                <w:kern w:val="14"/>
                <w:sz w:val="18"/>
              </w:rPr>
              <w:t>%</w:t>
            </w:r>
          </w:p>
        </w:tc>
      </w:tr>
      <w:tr w:rsidR="00595751">
        <w:trPr>
          <w:trHeight w:val="315"/>
        </w:trPr>
        <w:tc>
          <w:tcPr>
            <w:tcW w:w="3372" w:type="dxa"/>
            <w:vAlign w:val="center"/>
          </w:tcPr>
          <w:p w:rsidR="00595751" w:rsidRDefault="00595751">
            <w:pPr>
              <w:spacing w:line="360" w:lineRule="exact"/>
              <w:rPr>
                <w:rFonts w:eastAsia="SimHei"/>
                <w:snapToGrid w:val="0"/>
                <w:color w:val="FF0000"/>
                <w:kern w:val="14"/>
                <w:sz w:val="18"/>
              </w:rPr>
            </w:pPr>
            <w:r>
              <w:rPr>
                <w:rFonts w:eastAsia="SimHei" w:hint="eastAsia"/>
                <w:snapToGrid w:val="0"/>
                <w:color w:val="FF0000"/>
                <w:kern w:val="14"/>
                <w:sz w:val="18"/>
              </w:rPr>
              <w:t>政治（个人）机要公务员</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481</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100</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769</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100</w:t>
            </w:r>
          </w:p>
        </w:tc>
      </w:tr>
      <w:tr w:rsidR="00595751">
        <w:trPr>
          <w:trHeight w:val="315"/>
        </w:trPr>
        <w:tc>
          <w:tcPr>
            <w:tcW w:w="3372" w:type="dxa"/>
            <w:vAlign w:val="center"/>
          </w:tcPr>
          <w:p w:rsidR="00595751" w:rsidRDefault="00595751">
            <w:pPr>
              <w:spacing w:line="360" w:lineRule="exact"/>
              <w:rPr>
                <w:rFonts w:eastAsia="SimHei"/>
                <w:snapToGrid w:val="0"/>
                <w:color w:val="FF0000"/>
                <w:kern w:val="14"/>
                <w:sz w:val="18"/>
              </w:rPr>
            </w:pPr>
            <w:r>
              <w:rPr>
                <w:rFonts w:eastAsia="SimHei" w:hint="eastAsia"/>
                <w:snapToGrid w:val="0"/>
                <w:color w:val="FF0000"/>
                <w:kern w:val="14"/>
                <w:sz w:val="18"/>
              </w:rPr>
              <w:t>女</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254</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53</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460</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60</w:t>
            </w:r>
          </w:p>
        </w:tc>
      </w:tr>
      <w:tr w:rsidR="00595751">
        <w:trPr>
          <w:trHeight w:val="315"/>
        </w:trPr>
        <w:tc>
          <w:tcPr>
            <w:tcW w:w="3372" w:type="dxa"/>
            <w:vAlign w:val="center"/>
          </w:tcPr>
          <w:p w:rsidR="00595751" w:rsidRDefault="00595751">
            <w:pPr>
              <w:spacing w:line="360" w:lineRule="exact"/>
              <w:rPr>
                <w:rFonts w:eastAsia="SimHei" w:hint="eastAsia"/>
                <w:snapToGrid w:val="0"/>
                <w:color w:val="FF0000"/>
                <w:kern w:val="14"/>
                <w:sz w:val="18"/>
              </w:rPr>
            </w:pPr>
            <w:r>
              <w:rPr>
                <w:rFonts w:eastAsia="SimHei" w:hint="eastAsia"/>
                <w:snapToGrid w:val="0"/>
                <w:color w:val="FF0000"/>
                <w:kern w:val="14"/>
                <w:sz w:val="18"/>
              </w:rPr>
              <w:t>男</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227</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47</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309</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40</w:t>
            </w:r>
          </w:p>
        </w:tc>
      </w:tr>
      <w:tr w:rsidR="00595751">
        <w:trPr>
          <w:trHeight w:val="315"/>
        </w:trPr>
        <w:tc>
          <w:tcPr>
            <w:tcW w:w="3372" w:type="dxa"/>
            <w:vAlign w:val="center"/>
          </w:tcPr>
          <w:p w:rsidR="00595751" w:rsidRDefault="00595751">
            <w:pPr>
              <w:spacing w:line="360" w:lineRule="exact"/>
              <w:rPr>
                <w:rFonts w:eastAsia="SimHei"/>
                <w:snapToGrid w:val="0"/>
                <w:color w:val="FF0000"/>
                <w:kern w:val="14"/>
                <w:sz w:val="18"/>
              </w:rPr>
            </w:pPr>
            <w:r>
              <w:rPr>
                <w:rFonts w:eastAsia="SimHei" w:hint="eastAsia"/>
                <w:snapToGrid w:val="0"/>
                <w:color w:val="FF0000"/>
                <w:kern w:val="14"/>
                <w:sz w:val="18"/>
              </w:rPr>
              <w:t>职业公务员</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20</w:t>
            </w:r>
            <w:r>
              <w:rPr>
                <w:rFonts w:hint="eastAsia"/>
                <w:snapToGrid w:val="0"/>
                <w:color w:val="000000"/>
                <w:kern w:val="14"/>
                <w:sz w:val="18"/>
              </w:rPr>
              <w:t xml:space="preserve"> </w:t>
            </w:r>
            <w:r>
              <w:rPr>
                <w:snapToGrid w:val="0"/>
                <w:color w:val="000000"/>
                <w:kern w:val="14"/>
                <w:sz w:val="18"/>
              </w:rPr>
              <w:t>878</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100</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23</w:t>
            </w:r>
            <w:r>
              <w:rPr>
                <w:rFonts w:hint="eastAsia"/>
                <w:snapToGrid w:val="0"/>
                <w:color w:val="000000"/>
                <w:kern w:val="14"/>
                <w:sz w:val="18"/>
              </w:rPr>
              <w:t xml:space="preserve"> </w:t>
            </w:r>
            <w:r>
              <w:rPr>
                <w:snapToGrid w:val="0"/>
                <w:color w:val="000000"/>
                <w:kern w:val="14"/>
                <w:sz w:val="18"/>
              </w:rPr>
              <w:t>555</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100</w:t>
            </w:r>
          </w:p>
        </w:tc>
      </w:tr>
      <w:tr w:rsidR="00595751">
        <w:trPr>
          <w:trHeight w:val="315"/>
        </w:trPr>
        <w:tc>
          <w:tcPr>
            <w:tcW w:w="3372" w:type="dxa"/>
            <w:vAlign w:val="center"/>
          </w:tcPr>
          <w:p w:rsidR="00595751" w:rsidRDefault="00595751">
            <w:pPr>
              <w:spacing w:line="360" w:lineRule="exact"/>
              <w:rPr>
                <w:rFonts w:eastAsia="SimHei"/>
                <w:snapToGrid w:val="0"/>
                <w:color w:val="FF0000"/>
                <w:kern w:val="14"/>
                <w:sz w:val="18"/>
              </w:rPr>
            </w:pPr>
            <w:r>
              <w:rPr>
                <w:rFonts w:eastAsia="SimHei" w:hint="eastAsia"/>
                <w:snapToGrid w:val="0"/>
                <w:color w:val="FF0000"/>
                <w:kern w:val="14"/>
                <w:sz w:val="18"/>
              </w:rPr>
              <w:t>女</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14</w:t>
            </w:r>
            <w:r>
              <w:rPr>
                <w:rFonts w:hint="eastAsia"/>
                <w:snapToGrid w:val="0"/>
                <w:color w:val="000000"/>
                <w:kern w:val="14"/>
                <w:sz w:val="18"/>
              </w:rPr>
              <w:t xml:space="preserve"> </w:t>
            </w:r>
            <w:r>
              <w:rPr>
                <w:snapToGrid w:val="0"/>
                <w:color w:val="000000"/>
                <w:kern w:val="14"/>
                <w:sz w:val="18"/>
              </w:rPr>
              <w:t>667</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70</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17</w:t>
            </w:r>
            <w:r>
              <w:rPr>
                <w:rFonts w:hint="eastAsia"/>
                <w:snapToGrid w:val="0"/>
                <w:color w:val="000000"/>
                <w:kern w:val="14"/>
                <w:sz w:val="18"/>
              </w:rPr>
              <w:t xml:space="preserve"> </w:t>
            </w:r>
            <w:r>
              <w:rPr>
                <w:snapToGrid w:val="0"/>
                <w:color w:val="000000"/>
                <w:kern w:val="14"/>
                <w:sz w:val="18"/>
              </w:rPr>
              <w:t>056</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72</w:t>
            </w:r>
          </w:p>
        </w:tc>
      </w:tr>
      <w:tr w:rsidR="00595751">
        <w:trPr>
          <w:trHeight w:val="315"/>
        </w:trPr>
        <w:tc>
          <w:tcPr>
            <w:tcW w:w="3372" w:type="dxa"/>
            <w:vAlign w:val="center"/>
          </w:tcPr>
          <w:p w:rsidR="00595751" w:rsidRDefault="00595751">
            <w:pPr>
              <w:spacing w:line="360" w:lineRule="exact"/>
              <w:rPr>
                <w:rFonts w:eastAsia="SimHei" w:hint="eastAsia"/>
                <w:snapToGrid w:val="0"/>
                <w:color w:val="FF0000"/>
                <w:kern w:val="14"/>
                <w:sz w:val="18"/>
              </w:rPr>
            </w:pPr>
            <w:r>
              <w:rPr>
                <w:rFonts w:eastAsia="SimHei" w:hint="eastAsia"/>
                <w:snapToGrid w:val="0"/>
                <w:color w:val="FF0000"/>
                <w:kern w:val="14"/>
                <w:sz w:val="18"/>
              </w:rPr>
              <w:t>男</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w:t>
            </w:r>
            <w:r>
              <w:rPr>
                <w:rFonts w:hint="eastAsia"/>
                <w:snapToGrid w:val="0"/>
                <w:color w:val="000000"/>
                <w:kern w:val="14"/>
                <w:sz w:val="18"/>
              </w:rPr>
              <w:t xml:space="preserve"> </w:t>
            </w:r>
            <w:r>
              <w:rPr>
                <w:snapToGrid w:val="0"/>
                <w:color w:val="000000"/>
                <w:kern w:val="14"/>
                <w:sz w:val="18"/>
              </w:rPr>
              <w:t>211</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30</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w:t>
            </w:r>
            <w:r>
              <w:rPr>
                <w:rFonts w:hint="eastAsia"/>
                <w:snapToGrid w:val="0"/>
                <w:color w:val="000000"/>
                <w:kern w:val="14"/>
                <w:sz w:val="18"/>
              </w:rPr>
              <w:t xml:space="preserve"> </w:t>
            </w:r>
            <w:r>
              <w:rPr>
                <w:snapToGrid w:val="0"/>
                <w:color w:val="000000"/>
                <w:kern w:val="14"/>
                <w:sz w:val="18"/>
              </w:rPr>
              <w:t>499</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28</w:t>
            </w:r>
          </w:p>
        </w:tc>
      </w:tr>
      <w:tr w:rsidR="00595751">
        <w:trPr>
          <w:trHeight w:val="315"/>
        </w:trPr>
        <w:tc>
          <w:tcPr>
            <w:tcW w:w="3372" w:type="dxa"/>
            <w:vAlign w:val="center"/>
          </w:tcPr>
          <w:p w:rsidR="00595751" w:rsidRDefault="00595751">
            <w:pPr>
              <w:spacing w:line="360" w:lineRule="exact"/>
              <w:rPr>
                <w:rFonts w:eastAsia="SimHei"/>
                <w:snapToGrid w:val="0"/>
                <w:color w:val="FF0000"/>
                <w:kern w:val="14"/>
                <w:sz w:val="18"/>
              </w:rPr>
            </w:pPr>
            <w:r>
              <w:rPr>
                <w:rFonts w:eastAsia="SimHei" w:hint="eastAsia"/>
                <w:snapToGrid w:val="0"/>
                <w:color w:val="FF0000"/>
                <w:kern w:val="14"/>
                <w:sz w:val="18"/>
              </w:rPr>
              <w:t>机构管理人</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458</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100</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466</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100</w:t>
            </w:r>
          </w:p>
        </w:tc>
      </w:tr>
      <w:tr w:rsidR="00595751">
        <w:trPr>
          <w:trHeight w:val="315"/>
        </w:trPr>
        <w:tc>
          <w:tcPr>
            <w:tcW w:w="3372" w:type="dxa"/>
            <w:vAlign w:val="center"/>
          </w:tcPr>
          <w:p w:rsidR="00595751" w:rsidRDefault="00595751">
            <w:pPr>
              <w:spacing w:line="360" w:lineRule="exact"/>
              <w:rPr>
                <w:rFonts w:eastAsia="SimHei"/>
                <w:snapToGrid w:val="0"/>
                <w:color w:val="FF0000"/>
                <w:kern w:val="14"/>
                <w:sz w:val="18"/>
              </w:rPr>
            </w:pPr>
            <w:r>
              <w:rPr>
                <w:rFonts w:eastAsia="SimHei" w:hint="eastAsia"/>
                <w:snapToGrid w:val="0"/>
                <w:color w:val="FF0000"/>
                <w:kern w:val="14"/>
                <w:sz w:val="18"/>
              </w:rPr>
              <w:t>女</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144</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31</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147</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31</w:t>
            </w:r>
          </w:p>
        </w:tc>
      </w:tr>
      <w:tr w:rsidR="00595751">
        <w:trPr>
          <w:trHeight w:val="315"/>
        </w:trPr>
        <w:tc>
          <w:tcPr>
            <w:tcW w:w="3372" w:type="dxa"/>
            <w:vAlign w:val="center"/>
          </w:tcPr>
          <w:p w:rsidR="00595751" w:rsidRDefault="00595751">
            <w:pPr>
              <w:spacing w:line="360" w:lineRule="exact"/>
              <w:rPr>
                <w:rFonts w:eastAsia="SimHei" w:hint="eastAsia"/>
                <w:snapToGrid w:val="0"/>
                <w:color w:val="FF0000"/>
                <w:kern w:val="14"/>
                <w:sz w:val="18"/>
              </w:rPr>
            </w:pPr>
            <w:r>
              <w:rPr>
                <w:rFonts w:eastAsia="SimHei" w:hint="eastAsia"/>
                <w:snapToGrid w:val="0"/>
                <w:color w:val="FF0000"/>
                <w:kern w:val="14"/>
                <w:sz w:val="18"/>
              </w:rPr>
              <w:t>男</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314</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69</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319</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69</w:t>
            </w:r>
          </w:p>
        </w:tc>
      </w:tr>
      <w:tr w:rsidR="00595751">
        <w:trPr>
          <w:trHeight w:val="315"/>
        </w:trPr>
        <w:tc>
          <w:tcPr>
            <w:tcW w:w="3372" w:type="dxa"/>
            <w:vAlign w:val="center"/>
          </w:tcPr>
          <w:p w:rsidR="00595751" w:rsidRDefault="00595751">
            <w:pPr>
              <w:spacing w:line="360" w:lineRule="exact"/>
              <w:rPr>
                <w:rFonts w:eastAsia="SimHei" w:hint="eastAsia"/>
                <w:snapToGrid w:val="0"/>
                <w:color w:val="FF0000"/>
                <w:kern w:val="14"/>
                <w:sz w:val="18"/>
              </w:rPr>
            </w:pPr>
            <w:r>
              <w:rPr>
                <w:rFonts w:eastAsia="SimHei" w:hint="eastAsia"/>
                <w:snapToGrid w:val="0"/>
                <w:color w:val="FF0000"/>
                <w:kern w:val="14"/>
                <w:sz w:val="18"/>
              </w:rPr>
              <w:t>总计</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21</w:t>
            </w:r>
            <w:r>
              <w:rPr>
                <w:rFonts w:hint="eastAsia"/>
                <w:snapToGrid w:val="0"/>
                <w:color w:val="000000"/>
                <w:kern w:val="14"/>
                <w:sz w:val="18"/>
              </w:rPr>
              <w:t xml:space="preserve"> </w:t>
            </w:r>
            <w:r>
              <w:rPr>
                <w:snapToGrid w:val="0"/>
                <w:color w:val="000000"/>
                <w:kern w:val="14"/>
                <w:sz w:val="18"/>
              </w:rPr>
              <w:t>817</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100</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24</w:t>
            </w:r>
            <w:r>
              <w:rPr>
                <w:rFonts w:hint="eastAsia"/>
                <w:snapToGrid w:val="0"/>
                <w:color w:val="000000"/>
                <w:kern w:val="14"/>
                <w:sz w:val="18"/>
              </w:rPr>
              <w:t xml:space="preserve"> </w:t>
            </w:r>
            <w:r>
              <w:rPr>
                <w:snapToGrid w:val="0"/>
                <w:color w:val="000000"/>
                <w:kern w:val="14"/>
                <w:sz w:val="18"/>
              </w:rPr>
              <w:t>790</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100</w:t>
            </w:r>
          </w:p>
        </w:tc>
      </w:tr>
      <w:tr w:rsidR="00595751">
        <w:trPr>
          <w:trHeight w:val="315"/>
        </w:trPr>
        <w:tc>
          <w:tcPr>
            <w:tcW w:w="3372" w:type="dxa"/>
            <w:vAlign w:val="center"/>
          </w:tcPr>
          <w:p w:rsidR="00595751" w:rsidRDefault="00595751">
            <w:pPr>
              <w:spacing w:line="360" w:lineRule="exact"/>
              <w:rPr>
                <w:rFonts w:eastAsia="SimHei"/>
                <w:snapToGrid w:val="0"/>
                <w:color w:val="FF0000"/>
                <w:kern w:val="14"/>
                <w:sz w:val="18"/>
              </w:rPr>
            </w:pPr>
            <w:r>
              <w:rPr>
                <w:rFonts w:eastAsia="SimHei" w:hint="eastAsia"/>
                <w:snapToGrid w:val="0"/>
                <w:color w:val="FF0000"/>
                <w:kern w:val="14"/>
                <w:sz w:val="18"/>
              </w:rPr>
              <w:t>女</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15</w:t>
            </w:r>
            <w:r>
              <w:rPr>
                <w:rFonts w:hint="eastAsia"/>
                <w:snapToGrid w:val="0"/>
                <w:color w:val="000000"/>
                <w:kern w:val="14"/>
                <w:sz w:val="18"/>
              </w:rPr>
              <w:t xml:space="preserve"> </w:t>
            </w:r>
            <w:r>
              <w:rPr>
                <w:snapToGrid w:val="0"/>
                <w:color w:val="000000"/>
                <w:kern w:val="14"/>
                <w:sz w:val="18"/>
              </w:rPr>
              <w:t>065</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69</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17</w:t>
            </w:r>
            <w:r>
              <w:rPr>
                <w:rFonts w:hint="eastAsia"/>
                <w:snapToGrid w:val="0"/>
                <w:color w:val="000000"/>
                <w:kern w:val="14"/>
                <w:sz w:val="18"/>
              </w:rPr>
              <w:t xml:space="preserve"> </w:t>
            </w:r>
            <w:r>
              <w:rPr>
                <w:snapToGrid w:val="0"/>
                <w:color w:val="000000"/>
                <w:kern w:val="14"/>
                <w:sz w:val="18"/>
              </w:rPr>
              <w:t>663</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71</w:t>
            </w:r>
          </w:p>
        </w:tc>
      </w:tr>
      <w:tr w:rsidR="00595751">
        <w:trPr>
          <w:trHeight w:val="315"/>
        </w:trPr>
        <w:tc>
          <w:tcPr>
            <w:tcW w:w="3372" w:type="dxa"/>
            <w:vAlign w:val="center"/>
          </w:tcPr>
          <w:p w:rsidR="00595751" w:rsidRDefault="00595751">
            <w:pPr>
              <w:spacing w:line="360" w:lineRule="exact"/>
              <w:rPr>
                <w:rFonts w:eastAsia="SimHei" w:hint="eastAsia"/>
                <w:snapToGrid w:val="0"/>
                <w:color w:val="FF0000"/>
                <w:kern w:val="14"/>
                <w:sz w:val="18"/>
              </w:rPr>
            </w:pPr>
            <w:r>
              <w:rPr>
                <w:rFonts w:eastAsia="SimHei" w:hint="eastAsia"/>
                <w:snapToGrid w:val="0"/>
                <w:color w:val="FF0000"/>
                <w:kern w:val="14"/>
                <w:sz w:val="18"/>
              </w:rPr>
              <w:t>男</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w:t>
            </w:r>
            <w:r>
              <w:rPr>
                <w:rFonts w:hint="eastAsia"/>
                <w:snapToGrid w:val="0"/>
                <w:color w:val="000000"/>
                <w:kern w:val="14"/>
                <w:sz w:val="18"/>
              </w:rPr>
              <w:t xml:space="preserve"> </w:t>
            </w:r>
            <w:r>
              <w:rPr>
                <w:snapToGrid w:val="0"/>
                <w:color w:val="000000"/>
                <w:kern w:val="14"/>
                <w:sz w:val="18"/>
              </w:rPr>
              <w:t>752</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31</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w:t>
            </w:r>
            <w:r>
              <w:rPr>
                <w:rFonts w:hint="eastAsia"/>
                <w:snapToGrid w:val="0"/>
                <w:color w:val="000000"/>
                <w:kern w:val="14"/>
                <w:sz w:val="18"/>
              </w:rPr>
              <w:t xml:space="preserve"> </w:t>
            </w:r>
            <w:r>
              <w:rPr>
                <w:snapToGrid w:val="0"/>
                <w:color w:val="000000"/>
                <w:kern w:val="14"/>
                <w:sz w:val="18"/>
              </w:rPr>
              <w:t>127</w:t>
            </w:r>
          </w:p>
        </w:tc>
        <w:tc>
          <w:tcPr>
            <w:tcW w:w="1588" w:type="dxa"/>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29</w:t>
            </w:r>
          </w:p>
        </w:tc>
      </w:tr>
    </w:tbl>
    <w:p w:rsidR="00595751" w:rsidRDefault="00595751">
      <w:pPr>
        <w:spacing w:line="360" w:lineRule="exact"/>
        <w:rPr>
          <w:color w:val="000000"/>
          <w:kern w:val="14"/>
          <w:sz w:val="18"/>
          <w:lang w:val="en-GB"/>
        </w:rPr>
      </w:pPr>
      <w:r>
        <w:rPr>
          <w:rFonts w:hint="eastAsia"/>
          <w:color w:val="000000"/>
          <w:kern w:val="14"/>
          <w:sz w:val="18"/>
          <w:lang w:val="en-GB"/>
        </w:rPr>
        <w:t>公务员登记中心。</w:t>
      </w:r>
    </w:p>
    <w:p w:rsidR="00595751" w:rsidRDefault="00595751">
      <w:pPr>
        <w:spacing w:after="240" w:line="360" w:lineRule="exact"/>
        <w:jc w:val="center"/>
        <w:rPr>
          <w:rFonts w:eastAsia="SimHei"/>
          <w:caps/>
          <w:snapToGrid w:val="0"/>
          <w:color w:val="FF0000"/>
          <w:kern w:val="14"/>
          <w:lang w:val="en-GB"/>
        </w:rPr>
      </w:pPr>
      <w:r>
        <w:rPr>
          <w:rFonts w:eastAsia="SimHei" w:hint="eastAsia"/>
          <w:caps/>
          <w:snapToGrid w:val="0"/>
          <w:color w:val="FF0000"/>
          <w:kern w:val="14"/>
          <w:lang w:val="en-GB"/>
        </w:rPr>
        <w:t>表</w:t>
      </w:r>
      <w:r>
        <w:rPr>
          <w:rFonts w:eastAsia="SimHei"/>
          <w:caps/>
          <w:snapToGrid w:val="0"/>
          <w:color w:val="FF0000"/>
          <w:kern w:val="14"/>
          <w:lang w:val="en-GB"/>
        </w:rPr>
        <w:t xml:space="preserve"> 5. 2005–2007</w:t>
      </w:r>
      <w:r>
        <w:rPr>
          <w:rFonts w:eastAsia="SimHei" w:hint="eastAsia"/>
          <w:caps/>
          <w:snapToGrid w:val="0"/>
          <w:color w:val="FF0000"/>
          <w:kern w:val="14"/>
          <w:lang w:val="en-GB"/>
        </w:rPr>
        <w:t>年外交部门的妇女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28"/>
        <w:gridCol w:w="1074"/>
        <w:gridCol w:w="1074"/>
        <w:gridCol w:w="988"/>
      </w:tblGrid>
      <w:tr w:rsidR="00595751">
        <w:trPr>
          <w:cantSplit/>
          <w:trHeight w:val="20"/>
        </w:trPr>
        <w:tc>
          <w:tcPr>
            <w:tcW w:w="3426" w:type="pct"/>
            <w:vMerge w:val="restart"/>
            <w:noWrap/>
            <w:tcMar>
              <w:top w:w="28" w:type="dxa"/>
              <w:left w:w="57" w:type="dxa"/>
              <w:bottom w:w="28" w:type="dxa"/>
              <w:right w:w="57" w:type="dxa"/>
            </w:tcMar>
            <w:vAlign w:val="bottom"/>
          </w:tcPr>
          <w:p w:rsidR="00595751" w:rsidRDefault="00595751">
            <w:pPr>
              <w:spacing w:line="360" w:lineRule="exact"/>
              <w:rPr>
                <w:rFonts w:eastAsia="SimHei"/>
                <w:snapToGrid w:val="0"/>
                <w:color w:val="FF0000"/>
                <w:kern w:val="14"/>
                <w:sz w:val="18"/>
              </w:rPr>
            </w:pPr>
            <w:r>
              <w:rPr>
                <w:rFonts w:eastAsia="SimHei"/>
                <w:snapToGrid w:val="0"/>
                <w:color w:val="FF0000"/>
                <w:kern w:val="14"/>
                <w:sz w:val="18"/>
              </w:rPr>
              <w:t> </w:t>
            </w:r>
          </w:p>
        </w:tc>
        <w:tc>
          <w:tcPr>
            <w:tcW w:w="1574" w:type="pct"/>
            <w:gridSpan w:val="3"/>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雇员</w:t>
            </w:r>
          </w:p>
        </w:tc>
      </w:tr>
      <w:tr w:rsidR="00595751">
        <w:trPr>
          <w:cantSplit/>
          <w:trHeight w:val="20"/>
        </w:trPr>
        <w:tc>
          <w:tcPr>
            <w:tcW w:w="3426" w:type="pct"/>
            <w:vMerge/>
            <w:tcMar>
              <w:top w:w="28" w:type="dxa"/>
              <w:left w:w="57" w:type="dxa"/>
              <w:bottom w:w="28" w:type="dxa"/>
              <w:right w:w="57" w:type="dxa"/>
            </w:tcMar>
            <w:vAlign w:val="center"/>
          </w:tcPr>
          <w:p w:rsidR="00595751" w:rsidRDefault="00595751">
            <w:pPr>
              <w:spacing w:line="360" w:lineRule="exact"/>
              <w:rPr>
                <w:rFonts w:eastAsia="SimHei"/>
                <w:snapToGrid w:val="0"/>
                <w:color w:val="FF0000"/>
                <w:kern w:val="14"/>
                <w:sz w:val="18"/>
              </w:rPr>
            </w:pPr>
          </w:p>
        </w:tc>
        <w:tc>
          <w:tcPr>
            <w:tcW w:w="539" w:type="pct"/>
            <w:vMerge w:val="restart"/>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总数</w:t>
            </w:r>
          </w:p>
        </w:tc>
        <w:tc>
          <w:tcPr>
            <w:tcW w:w="1036" w:type="pct"/>
            <w:gridSpan w:val="2"/>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妇女</w:t>
            </w:r>
          </w:p>
        </w:tc>
      </w:tr>
      <w:tr w:rsidR="00595751">
        <w:trPr>
          <w:cantSplit/>
          <w:trHeight w:val="20"/>
        </w:trPr>
        <w:tc>
          <w:tcPr>
            <w:tcW w:w="3426" w:type="pct"/>
            <w:vMerge/>
            <w:tcMar>
              <w:top w:w="28" w:type="dxa"/>
              <w:left w:w="57" w:type="dxa"/>
              <w:bottom w:w="28" w:type="dxa"/>
              <w:right w:w="57" w:type="dxa"/>
            </w:tcMar>
            <w:vAlign w:val="center"/>
          </w:tcPr>
          <w:p w:rsidR="00595751" w:rsidRDefault="00595751">
            <w:pPr>
              <w:spacing w:line="360" w:lineRule="exact"/>
              <w:rPr>
                <w:rFonts w:eastAsia="SimHei"/>
                <w:snapToGrid w:val="0"/>
                <w:color w:val="FF0000"/>
                <w:kern w:val="14"/>
                <w:sz w:val="18"/>
              </w:rPr>
            </w:pPr>
          </w:p>
        </w:tc>
        <w:tc>
          <w:tcPr>
            <w:tcW w:w="539" w:type="pct"/>
            <w:vMerge/>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p>
        </w:tc>
        <w:tc>
          <w:tcPr>
            <w:tcW w:w="539"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人数</w:t>
            </w:r>
          </w:p>
        </w:tc>
        <w:tc>
          <w:tcPr>
            <w:tcW w:w="497" w:type="pct"/>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snapToGrid w:val="0"/>
                <w:color w:val="FF0000"/>
                <w:kern w:val="14"/>
                <w:sz w:val="18"/>
              </w:rPr>
              <w:t>%</w:t>
            </w:r>
          </w:p>
        </w:tc>
      </w:tr>
      <w:tr w:rsidR="00595751">
        <w:trPr>
          <w:cantSplit/>
          <w:trHeight w:val="20"/>
        </w:trPr>
        <w:tc>
          <w:tcPr>
            <w:tcW w:w="3426" w:type="pct"/>
            <w:noWrap/>
            <w:tcMar>
              <w:top w:w="28" w:type="dxa"/>
              <w:left w:w="57" w:type="dxa"/>
              <w:bottom w:w="28" w:type="dxa"/>
              <w:right w:w="57" w:type="dxa"/>
            </w:tcMar>
            <w:vAlign w:val="bottom"/>
          </w:tcPr>
          <w:p w:rsidR="00595751" w:rsidRDefault="00595751" w:rsidP="00DB491E">
            <w:pPr>
              <w:spacing w:line="360" w:lineRule="exact"/>
              <w:ind w:firstLineChars="200" w:firstLine="31680"/>
              <w:rPr>
                <w:rFonts w:eastAsia="SimHei"/>
                <w:snapToGrid w:val="0"/>
                <w:color w:val="FF0000"/>
                <w:kern w:val="14"/>
                <w:sz w:val="18"/>
              </w:rPr>
            </w:pPr>
            <w:r>
              <w:rPr>
                <w:rFonts w:eastAsia="SimHei"/>
                <w:snapToGrid w:val="0"/>
                <w:color w:val="FF0000"/>
                <w:kern w:val="14"/>
                <w:sz w:val="18"/>
              </w:rPr>
              <w:t>2005</w:t>
            </w:r>
            <w:r>
              <w:rPr>
                <w:rFonts w:eastAsia="SimHei" w:hint="eastAsia"/>
                <w:snapToGrid w:val="0"/>
                <w:color w:val="FF0000"/>
                <w:kern w:val="14"/>
                <w:sz w:val="18"/>
              </w:rPr>
              <w:t>年</w:t>
            </w:r>
            <w:r>
              <w:rPr>
                <w:rFonts w:eastAsia="SimHei" w:hint="eastAsia"/>
                <w:snapToGrid w:val="0"/>
                <w:color w:val="FF0000"/>
                <w:kern w:val="14"/>
                <w:sz w:val="18"/>
              </w:rPr>
              <w:t>3</w:t>
            </w:r>
            <w:r>
              <w:rPr>
                <w:rFonts w:eastAsia="SimHei" w:hint="eastAsia"/>
                <w:snapToGrid w:val="0"/>
                <w:color w:val="FF0000"/>
                <w:kern w:val="14"/>
                <w:sz w:val="18"/>
              </w:rPr>
              <w:t>月</w:t>
            </w:r>
            <w:r>
              <w:rPr>
                <w:rFonts w:eastAsia="SimHei"/>
                <w:snapToGrid w:val="0"/>
                <w:color w:val="FF0000"/>
                <w:kern w:val="14"/>
                <w:sz w:val="18"/>
              </w:rPr>
              <w:t xml:space="preserve"> </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p>
        </w:tc>
        <w:tc>
          <w:tcPr>
            <w:tcW w:w="49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p>
        </w:tc>
      </w:tr>
      <w:tr w:rsidR="00595751">
        <w:trPr>
          <w:cantSplit/>
          <w:trHeight w:val="20"/>
        </w:trPr>
        <w:tc>
          <w:tcPr>
            <w:tcW w:w="3426" w:type="pct"/>
            <w:noWrap/>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外交部门的雇员</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533</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283</w:t>
            </w:r>
          </w:p>
        </w:tc>
        <w:tc>
          <w:tcPr>
            <w:tcW w:w="49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53</w:t>
            </w:r>
          </w:p>
        </w:tc>
      </w:tr>
      <w:tr w:rsidR="00595751">
        <w:trPr>
          <w:cantSplit/>
          <w:trHeight w:val="20"/>
        </w:trPr>
        <w:tc>
          <w:tcPr>
            <w:tcW w:w="3426" w:type="pct"/>
            <w:noWrap/>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其中，担任驻外外交职务的雇员</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221</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90</w:t>
            </w:r>
          </w:p>
        </w:tc>
        <w:tc>
          <w:tcPr>
            <w:tcW w:w="49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41</w:t>
            </w:r>
          </w:p>
        </w:tc>
      </w:tr>
      <w:tr w:rsidR="00595751">
        <w:trPr>
          <w:cantSplit/>
          <w:trHeight w:val="20"/>
        </w:trPr>
        <w:tc>
          <w:tcPr>
            <w:tcW w:w="3426" w:type="pct"/>
            <w:noWrap/>
            <w:tcMar>
              <w:top w:w="28" w:type="dxa"/>
              <w:left w:w="57" w:type="dxa"/>
              <w:bottom w:w="28" w:type="dxa"/>
              <w:right w:w="57" w:type="dxa"/>
            </w:tcMar>
            <w:vAlign w:val="bottom"/>
          </w:tcPr>
          <w:p w:rsidR="00595751" w:rsidRDefault="00595751">
            <w:pPr>
              <w:spacing w:line="360" w:lineRule="exact"/>
              <w:rPr>
                <w:rFonts w:hint="eastAsia"/>
                <w:snapToGrid w:val="0"/>
                <w:color w:val="000000"/>
                <w:kern w:val="14"/>
                <w:sz w:val="18"/>
              </w:rPr>
            </w:pPr>
            <w:r>
              <w:rPr>
                <w:rFonts w:hint="eastAsia"/>
                <w:snapToGrid w:val="0"/>
                <w:color w:val="000000"/>
                <w:kern w:val="14"/>
                <w:sz w:val="18"/>
              </w:rPr>
              <w:t>其中，担任高级管理职务</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41</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w:t>
            </w:r>
          </w:p>
        </w:tc>
        <w:tc>
          <w:tcPr>
            <w:tcW w:w="49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10</w:t>
            </w:r>
          </w:p>
        </w:tc>
      </w:tr>
      <w:tr w:rsidR="00595751">
        <w:trPr>
          <w:cantSplit/>
          <w:trHeight w:val="20"/>
        </w:trPr>
        <w:tc>
          <w:tcPr>
            <w:tcW w:w="3426" w:type="pct"/>
            <w:noWrap/>
            <w:tcMar>
              <w:top w:w="28" w:type="dxa"/>
              <w:left w:w="57" w:type="dxa"/>
              <w:bottom w:w="28" w:type="dxa"/>
              <w:right w:w="57" w:type="dxa"/>
            </w:tcMar>
            <w:vAlign w:val="bottom"/>
          </w:tcPr>
          <w:p w:rsidR="00595751" w:rsidRDefault="00595751" w:rsidP="00DB491E">
            <w:pPr>
              <w:spacing w:line="360" w:lineRule="exact"/>
              <w:ind w:firstLineChars="200" w:firstLine="31680"/>
              <w:rPr>
                <w:rFonts w:eastAsia="SimHei"/>
                <w:snapToGrid w:val="0"/>
                <w:color w:val="FF0000"/>
                <w:kern w:val="14"/>
                <w:sz w:val="18"/>
              </w:rPr>
            </w:pPr>
            <w:r>
              <w:rPr>
                <w:rFonts w:eastAsia="SimHei"/>
                <w:snapToGrid w:val="0"/>
                <w:color w:val="FF0000"/>
                <w:kern w:val="14"/>
                <w:sz w:val="18"/>
              </w:rPr>
              <w:t>2006</w:t>
            </w:r>
            <w:r>
              <w:rPr>
                <w:rFonts w:eastAsia="SimHei" w:hint="eastAsia"/>
                <w:snapToGrid w:val="0"/>
                <w:color w:val="FF0000"/>
                <w:kern w:val="14"/>
                <w:sz w:val="18"/>
              </w:rPr>
              <w:t>年</w:t>
            </w:r>
            <w:r>
              <w:rPr>
                <w:rFonts w:eastAsia="SimHei" w:hint="eastAsia"/>
                <w:snapToGrid w:val="0"/>
                <w:color w:val="FF0000"/>
                <w:kern w:val="14"/>
                <w:sz w:val="18"/>
              </w:rPr>
              <w:t>3</w:t>
            </w:r>
            <w:r>
              <w:rPr>
                <w:rFonts w:eastAsia="SimHei" w:hint="eastAsia"/>
                <w:snapToGrid w:val="0"/>
                <w:color w:val="FF0000"/>
                <w:kern w:val="14"/>
                <w:sz w:val="18"/>
              </w:rPr>
              <w:t>月</w:t>
            </w:r>
            <w:r>
              <w:rPr>
                <w:rFonts w:eastAsia="SimHei"/>
                <w:snapToGrid w:val="0"/>
                <w:color w:val="FF0000"/>
                <w:kern w:val="14"/>
                <w:sz w:val="18"/>
              </w:rPr>
              <w:t xml:space="preserve"> </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p>
        </w:tc>
        <w:tc>
          <w:tcPr>
            <w:tcW w:w="49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p>
        </w:tc>
      </w:tr>
      <w:tr w:rsidR="00595751">
        <w:trPr>
          <w:cantSplit/>
          <w:trHeight w:val="20"/>
        </w:trPr>
        <w:tc>
          <w:tcPr>
            <w:tcW w:w="3426" w:type="pct"/>
            <w:noWrap/>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外交部门的雇员</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570</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293</w:t>
            </w:r>
          </w:p>
        </w:tc>
        <w:tc>
          <w:tcPr>
            <w:tcW w:w="49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51</w:t>
            </w:r>
          </w:p>
        </w:tc>
      </w:tr>
      <w:tr w:rsidR="00595751">
        <w:trPr>
          <w:cantSplit/>
          <w:trHeight w:val="20"/>
        </w:trPr>
        <w:tc>
          <w:tcPr>
            <w:tcW w:w="3426" w:type="pct"/>
            <w:noWrap/>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其中，担任驻外外交职务的雇员</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236</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89</w:t>
            </w:r>
          </w:p>
        </w:tc>
        <w:tc>
          <w:tcPr>
            <w:tcW w:w="49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38</w:t>
            </w:r>
          </w:p>
        </w:tc>
      </w:tr>
      <w:tr w:rsidR="00595751">
        <w:trPr>
          <w:cantSplit/>
          <w:trHeight w:val="20"/>
        </w:trPr>
        <w:tc>
          <w:tcPr>
            <w:tcW w:w="3426" w:type="pct"/>
            <w:noWrap/>
            <w:tcMar>
              <w:top w:w="28" w:type="dxa"/>
              <w:left w:w="57" w:type="dxa"/>
              <w:bottom w:w="28" w:type="dxa"/>
              <w:right w:w="57" w:type="dxa"/>
            </w:tcMar>
            <w:vAlign w:val="bottom"/>
          </w:tcPr>
          <w:p w:rsidR="00595751" w:rsidRDefault="00595751">
            <w:pPr>
              <w:spacing w:line="360" w:lineRule="exact"/>
              <w:rPr>
                <w:rFonts w:hint="eastAsia"/>
                <w:snapToGrid w:val="0"/>
                <w:color w:val="000000"/>
                <w:kern w:val="14"/>
                <w:sz w:val="18"/>
              </w:rPr>
            </w:pPr>
            <w:r>
              <w:rPr>
                <w:rFonts w:hint="eastAsia"/>
                <w:snapToGrid w:val="0"/>
                <w:color w:val="000000"/>
                <w:kern w:val="14"/>
                <w:sz w:val="18"/>
              </w:rPr>
              <w:t>其中，担任驻外外交职务的雇员</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44</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w:t>
            </w:r>
          </w:p>
        </w:tc>
        <w:tc>
          <w:tcPr>
            <w:tcW w:w="49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w:t>
            </w:r>
          </w:p>
        </w:tc>
      </w:tr>
      <w:tr w:rsidR="00595751">
        <w:trPr>
          <w:cantSplit/>
          <w:trHeight w:val="20"/>
        </w:trPr>
        <w:tc>
          <w:tcPr>
            <w:tcW w:w="3426" w:type="pct"/>
            <w:noWrap/>
            <w:tcMar>
              <w:top w:w="28" w:type="dxa"/>
              <w:left w:w="57" w:type="dxa"/>
              <w:bottom w:w="28" w:type="dxa"/>
              <w:right w:w="57" w:type="dxa"/>
            </w:tcMar>
            <w:vAlign w:val="bottom"/>
          </w:tcPr>
          <w:p w:rsidR="00595751" w:rsidRDefault="00595751" w:rsidP="00DB491E">
            <w:pPr>
              <w:spacing w:line="360" w:lineRule="exact"/>
              <w:ind w:firstLineChars="200" w:firstLine="31680"/>
              <w:rPr>
                <w:rFonts w:eastAsia="SimHei"/>
                <w:snapToGrid w:val="0"/>
                <w:color w:val="FF0000"/>
                <w:kern w:val="14"/>
                <w:sz w:val="18"/>
              </w:rPr>
            </w:pPr>
            <w:r>
              <w:rPr>
                <w:rFonts w:eastAsia="SimHei"/>
                <w:snapToGrid w:val="0"/>
                <w:color w:val="FF0000"/>
                <w:kern w:val="14"/>
                <w:sz w:val="18"/>
              </w:rPr>
              <w:t>2007</w:t>
            </w:r>
            <w:r>
              <w:rPr>
                <w:rFonts w:eastAsia="SimHei" w:hint="eastAsia"/>
                <w:snapToGrid w:val="0"/>
                <w:color w:val="FF0000"/>
                <w:kern w:val="14"/>
                <w:sz w:val="18"/>
              </w:rPr>
              <w:t>年</w:t>
            </w:r>
            <w:r>
              <w:rPr>
                <w:rFonts w:eastAsia="SimHei" w:hint="eastAsia"/>
                <w:snapToGrid w:val="0"/>
                <w:color w:val="FF0000"/>
                <w:kern w:val="14"/>
                <w:sz w:val="18"/>
              </w:rPr>
              <w:t>3</w:t>
            </w:r>
            <w:r>
              <w:rPr>
                <w:rFonts w:eastAsia="SimHei" w:hint="eastAsia"/>
                <w:snapToGrid w:val="0"/>
                <w:color w:val="FF0000"/>
                <w:kern w:val="14"/>
                <w:sz w:val="18"/>
              </w:rPr>
              <w:t>月</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p>
        </w:tc>
        <w:tc>
          <w:tcPr>
            <w:tcW w:w="49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p>
        </w:tc>
      </w:tr>
      <w:tr w:rsidR="00595751">
        <w:trPr>
          <w:cantSplit/>
          <w:trHeight w:val="20"/>
        </w:trPr>
        <w:tc>
          <w:tcPr>
            <w:tcW w:w="3426" w:type="pct"/>
            <w:noWrap/>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外交部门的雇员</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598</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315</w:t>
            </w:r>
          </w:p>
        </w:tc>
        <w:tc>
          <w:tcPr>
            <w:tcW w:w="49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53</w:t>
            </w:r>
          </w:p>
        </w:tc>
      </w:tr>
      <w:tr w:rsidR="00595751">
        <w:trPr>
          <w:cantSplit/>
          <w:trHeight w:val="20"/>
        </w:trPr>
        <w:tc>
          <w:tcPr>
            <w:tcW w:w="3426" w:type="pct"/>
            <w:noWrap/>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其中，担任驻外外交职务的雇员</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244</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94</w:t>
            </w:r>
          </w:p>
        </w:tc>
        <w:tc>
          <w:tcPr>
            <w:tcW w:w="49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38</w:t>
            </w:r>
          </w:p>
        </w:tc>
      </w:tr>
      <w:tr w:rsidR="00595751">
        <w:trPr>
          <w:cantSplit/>
          <w:trHeight w:val="20"/>
        </w:trPr>
        <w:tc>
          <w:tcPr>
            <w:tcW w:w="3426" w:type="pct"/>
            <w:noWrap/>
            <w:tcMar>
              <w:top w:w="28" w:type="dxa"/>
              <w:left w:w="57" w:type="dxa"/>
              <w:bottom w:w="28" w:type="dxa"/>
              <w:right w:w="57" w:type="dxa"/>
            </w:tcMar>
            <w:vAlign w:val="bottom"/>
          </w:tcPr>
          <w:p w:rsidR="00595751" w:rsidRDefault="00595751">
            <w:pPr>
              <w:spacing w:line="360" w:lineRule="exact"/>
              <w:rPr>
                <w:rFonts w:hint="eastAsia"/>
                <w:snapToGrid w:val="0"/>
                <w:color w:val="000000"/>
                <w:kern w:val="14"/>
                <w:sz w:val="18"/>
              </w:rPr>
            </w:pPr>
            <w:r>
              <w:rPr>
                <w:rFonts w:hint="eastAsia"/>
                <w:snapToGrid w:val="0"/>
                <w:color w:val="000000"/>
                <w:kern w:val="14"/>
                <w:sz w:val="18"/>
              </w:rPr>
              <w:t>其中，担任驻外外交职务的雇员</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43</w:t>
            </w:r>
          </w:p>
        </w:tc>
        <w:tc>
          <w:tcPr>
            <w:tcW w:w="53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w:t>
            </w:r>
          </w:p>
        </w:tc>
        <w:tc>
          <w:tcPr>
            <w:tcW w:w="49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16</w:t>
            </w:r>
          </w:p>
        </w:tc>
      </w:tr>
    </w:tbl>
    <w:p w:rsidR="00595751" w:rsidRDefault="00595751">
      <w:pPr>
        <w:spacing w:line="360" w:lineRule="exact"/>
        <w:rPr>
          <w:rFonts w:hint="eastAsia"/>
          <w:color w:val="000000"/>
          <w:kern w:val="14"/>
          <w:sz w:val="18"/>
          <w:lang w:val="en-GB"/>
        </w:rPr>
      </w:pPr>
      <w:r>
        <w:rPr>
          <w:rFonts w:hint="eastAsia"/>
          <w:color w:val="000000"/>
          <w:kern w:val="14"/>
          <w:sz w:val="18"/>
          <w:lang w:val="en-GB"/>
        </w:rPr>
        <w:t>外交部。</w:t>
      </w:r>
    </w:p>
    <w:p w:rsidR="00595751" w:rsidRDefault="00595751">
      <w:pPr>
        <w:rPr>
          <w:color w:val="000000"/>
          <w:lang w:val="en-GB"/>
        </w:rPr>
      </w:pPr>
    </w:p>
    <w:p w:rsidR="00595751" w:rsidRDefault="00595751">
      <w:pPr>
        <w:spacing w:after="240" w:line="360" w:lineRule="exact"/>
        <w:jc w:val="center"/>
        <w:rPr>
          <w:rFonts w:eastAsia="SimHei"/>
          <w:caps/>
          <w:snapToGrid w:val="0"/>
          <w:color w:val="FF0000"/>
          <w:kern w:val="14"/>
          <w:lang w:val="en-GB"/>
        </w:rPr>
      </w:pPr>
      <w:r>
        <w:rPr>
          <w:rFonts w:eastAsia="SimHei" w:hint="eastAsia"/>
          <w:caps/>
          <w:snapToGrid w:val="0"/>
          <w:color w:val="FF0000"/>
          <w:kern w:val="14"/>
          <w:lang w:val="en-GB"/>
        </w:rPr>
        <w:t>表</w:t>
      </w:r>
      <w:r>
        <w:rPr>
          <w:rFonts w:eastAsia="SimHei"/>
          <w:caps/>
          <w:snapToGrid w:val="0"/>
          <w:color w:val="FF0000"/>
          <w:kern w:val="14"/>
          <w:lang w:val="en-GB"/>
        </w:rPr>
        <w:t xml:space="preserve"> 6.  2005–2006</w:t>
      </w:r>
      <w:r>
        <w:rPr>
          <w:rFonts w:eastAsia="SimHei" w:hint="eastAsia"/>
          <w:caps/>
          <w:snapToGrid w:val="0"/>
          <w:color w:val="FF0000"/>
          <w:kern w:val="14"/>
          <w:lang w:val="en-GB"/>
        </w:rPr>
        <w:t>年大学毕业生（按学位分列）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2"/>
        <w:gridCol w:w="1132"/>
        <w:gridCol w:w="1092"/>
        <w:gridCol w:w="1146"/>
        <w:gridCol w:w="1092"/>
        <w:gridCol w:w="1146"/>
        <w:gridCol w:w="1072"/>
        <w:gridCol w:w="1140"/>
        <w:gridCol w:w="1022"/>
      </w:tblGrid>
      <w:tr w:rsidR="00595751">
        <w:trPr>
          <w:cantSplit/>
          <w:trHeight w:val="20"/>
        </w:trPr>
        <w:tc>
          <w:tcPr>
            <w:tcW w:w="563" w:type="pct"/>
            <w:vMerge w:val="restart"/>
            <w:tcMar>
              <w:top w:w="28" w:type="dxa"/>
              <w:left w:w="57" w:type="dxa"/>
              <w:bottom w:w="28" w:type="dxa"/>
              <w:right w:w="57" w:type="dxa"/>
            </w:tcMar>
            <w:vAlign w:val="center"/>
          </w:tcPr>
          <w:p w:rsidR="00595751" w:rsidRDefault="00595751">
            <w:pPr>
              <w:spacing w:line="360" w:lineRule="exact"/>
              <w:rPr>
                <w:rFonts w:eastAsia="SimHei"/>
                <w:snapToGrid w:val="0"/>
                <w:color w:val="FF0000"/>
                <w:kern w:val="14"/>
                <w:sz w:val="18"/>
              </w:rPr>
            </w:pPr>
            <w:r>
              <w:rPr>
                <w:rFonts w:eastAsia="SimHei" w:hint="eastAsia"/>
                <w:snapToGrid w:val="0"/>
                <w:color w:val="FF0000"/>
                <w:kern w:val="14"/>
                <w:sz w:val="18"/>
              </w:rPr>
              <w:t>年份</w:t>
            </w:r>
          </w:p>
        </w:tc>
        <w:tc>
          <w:tcPr>
            <w:tcW w:w="4437" w:type="pct"/>
            <w:gridSpan w:val="8"/>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毕业生人数</w:t>
            </w:r>
          </w:p>
        </w:tc>
      </w:tr>
      <w:tr w:rsidR="00595751">
        <w:trPr>
          <w:cantSplit/>
          <w:trHeight w:val="20"/>
        </w:trPr>
        <w:tc>
          <w:tcPr>
            <w:tcW w:w="563" w:type="pct"/>
            <w:vMerge/>
            <w:tcMar>
              <w:top w:w="28" w:type="dxa"/>
              <w:left w:w="57" w:type="dxa"/>
              <w:bottom w:w="28" w:type="dxa"/>
              <w:right w:w="57" w:type="dxa"/>
            </w:tcMar>
            <w:vAlign w:val="center"/>
          </w:tcPr>
          <w:p w:rsidR="00595751" w:rsidRDefault="00595751">
            <w:pPr>
              <w:spacing w:line="360" w:lineRule="exact"/>
              <w:rPr>
                <w:rFonts w:eastAsia="SimHei"/>
                <w:snapToGrid w:val="0"/>
                <w:color w:val="FF0000"/>
                <w:kern w:val="14"/>
                <w:sz w:val="18"/>
              </w:rPr>
            </w:pPr>
          </w:p>
        </w:tc>
        <w:tc>
          <w:tcPr>
            <w:tcW w:w="1116" w:type="pct"/>
            <w:gridSpan w:val="2"/>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学士学位</w:t>
            </w:r>
          </w:p>
        </w:tc>
        <w:tc>
          <w:tcPr>
            <w:tcW w:w="1123" w:type="pct"/>
            <w:gridSpan w:val="2"/>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硕士学位</w:t>
            </w:r>
          </w:p>
        </w:tc>
        <w:tc>
          <w:tcPr>
            <w:tcW w:w="1113" w:type="pct"/>
            <w:gridSpan w:val="2"/>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专业资格</w:t>
            </w:r>
          </w:p>
        </w:tc>
        <w:tc>
          <w:tcPr>
            <w:tcW w:w="1085" w:type="pct"/>
            <w:gridSpan w:val="2"/>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博士学位</w:t>
            </w:r>
          </w:p>
        </w:tc>
      </w:tr>
      <w:tr w:rsidR="00595751">
        <w:trPr>
          <w:cantSplit/>
          <w:trHeight w:val="20"/>
        </w:trPr>
        <w:tc>
          <w:tcPr>
            <w:tcW w:w="563" w:type="pct"/>
            <w:vMerge/>
            <w:tcMar>
              <w:top w:w="28" w:type="dxa"/>
              <w:left w:w="57" w:type="dxa"/>
              <w:bottom w:w="28" w:type="dxa"/>
              <w:right w:w="57" w:type="dxa"/>
            </w:tcMar>
            <w:vAlign w:val="center"/>
          </w:tcPr>
          <w:p w:rsidR="00595751" w:rsidRDefault="00595751">
            <w:pPr>
              <w:spacing w:line="360" w:lineRule="exact"/>
              <w:rPr>
                <w:rFonts w:eastAsia="SimHei"/>
                <w:snapToGrid w:val="0"/>
                <w:color w:val="FF0000"/>
                <w:kern w:val="14"/>
                <w:sz w:val="18"/>
              </w:rPr>
            </w:pPr>
          </w:p>
        </w:tc>
        <w:tc>
          <w:tcPr>
            <w:tcW w:w="568" w:type="pct"/>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女</w:t>
            </w:r>
          </w:p>
        </w:tc>
        <w:tc>
          <w:tcPr>
            <w:tcW w:w="548" w:type="pct"/>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男</w:t>
            </w:r>
          </w:p>
        </w:tc>
        <w:tc>
          <w:tcPr>
            <w:tcW w:w="575" w:type="pct"/>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女</w:t>
            </w:r>
          </w:p>
        </w:tc>
        <w:tc>
          <w:tcPr>
            <w:tcW w:w="548" w:type="pct"/>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男</w:t>
            </w:r>
          </w:p>
        </w:tc>
        <w:tc>
          <w:tcPr>
            <w:tcW w:w="575" w:type="pct"/>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女</w:t>
            </w:r>
          </w:p>
        </w:tc>
        <w:tc>
          <w:tcPr>
            <w:tcW w:w="537" w:type="pct"/>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男</w:t>
            </w:r>
          </w:p>
        </w:tc>
        <w:tc>
          <w:tcPr>
            <w:tcW w:w="572" w:type="pct"/>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女</w:t>
            </w:r>
          </w:p>
        </w:tc>
        <w:tc>
          <w:tcPr>
            <w:tcW w:w="513" w:type="pct"/>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男</w:t>
            </w:r>
          </w:p>
        </w:tc>
      </w:tr>
      <w:tr w:rsidR="00595751">
        <w:trPr>
          <w:cantSplit/>
          <w:trHeight w:val="20"/>
        </w:trPr>
        <w:tc>
          <w:tcPr>
            <w:tcW w:w="563" w:type="pct"/>
            <w:tcMar>
              <w:top w:w="28" w:type="dxa"/>
              <w:left w:w="57" w:type="dxa"/>
              <w:bottom w:w="28" w:type="dxa"/>
              <w:right w:w="57" w:type="dxa"/>
            </w:tcMar>
            <w:vAlign w:val="center"/>
          </w:tcPr>
          <w:p w:rsidR="00595751" w:rsidRDefault="00595751">
            <w:pPr>
              <w:spacing w:line="360" w:lineRule="exact"/>
              <w:rPr>
                <w:snapToGrid w:val="0"/>
                <w:color w:val="000000"/>
                <w:kern w:val="14"/>
                <w:sz w:val="18"/>
              </w:rPr>
            </w:pPr>
            <w:r>
              <w:rPr>
                <w:snapToGrid w:val="0"/>
                <w:color w:val="000000"/>
                <w:kern w:val="14"/>
                <w:sz w:val="18"/>
              </w:rPr>
              <w:t>2005</w:t>
            </w:r>
            <w:r>
              <w:rPr>
                <w:rFonts w:hint="eastAsia"/>
                <w:snapToGrid w:val="0"/>
                <w:color w:val="000000"/>
                <w:kern w:val="14"/>
                <w:sz w:val="18"/>
              </w:rPr>
              <w:t>年</w:t>
            </w:r>
          </w:p>
        </w:tc>
        <w:tc>
          <w:tcPr>
            <w:tcW w:w="568"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12</w:t>
            </w:r>
            <w:r>
              <w:rPr>
                <w:rFonts w:hint="eastAsia"/>
                <w:snapToGrid w:val="0"/>
                <w:color w:val="000000"/>
                <w:kern w:val="14"/>
                <w:sz w:val="18"/>
              </w:rPr>
              <w:t xml:space="preserve"> </w:t>
            </w:r>
            <w:r>
              <w:rPr>
                <w:snapToGrid w:val="0"/>
                <w:color w:val="000000"/>
                <w:kern w:val="14"/>
                <w:sz w:val="18"/>
              </w:rPr>
              <w:t>030</w:t>
            </w:r>
          </w:p>
        </w:tc>
        <w:tc>
          <w:tcPr>
            <w:tcW w:w="548"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w:t>
            </w:r>
            <w:r>
              <w:rPr>
                <w:rFonts w:hint="eastAsia"/>
                <w:snapToGrid w:val="0"/>
                <w:color w:val="000000"/>
                <w:kern w:val="14"/>
                <w:sz w:val="18"/>
              </w:rPr>
              <w:t xml:space="preserve"> </w:t>
            </w:r>
            <w:r>
              <w:rPr>
                <w:snapToGrid w:val="0"/>
                <w:color w:val="000000"/>
                <w:kern w:val="14"/>
                <w:sz w:val="18"/>
              </w:rPr>
              <w:t>282</w:t>
            </w:r>
          </w:p>
        </w:tc>
        <w:tc>
          <w:tcPr>
            <w:tcW w:w="575"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w:t>
            </w:r>
            <w:r>
              <w:rPr>
                <w:rFonts w:hint="eastAsia"/>
                <w:snapToGrid w:val="0"/>
                <w:color w:val="000000"/>
                <w:kern w:val="14"/>
                <w:sz w:val="18"/>
              </w:rPr>
              <w:t xml:space="preserve"> </w:t>
            </w:r>
            <w:r>
              <w:rPr>
                <w:snapToGrid w:val="0"/>
                <w:color w:val="000000"/>
                <w:kern w:val="14"/>
                <w:sz w:val="18"/>
              </w:rPr>
              <w:t>900</w:t>
            </w:r>
          </w:p>
        </w:tc>
        <w:tc>
          <w:tcPr>
            <w:tcW w:w="548"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w:t>
            </w:r>
            <w:r>
              <w:rPr>
                <w:rFonts w:hint="eastAsia"/>
                <w:snapToGrid w:val="0"/>
                <w:color w:val="000000"/>
                <w:kern w:val="14"/>
                <w:sz w:val="18"/>
              </w:rPr>
              <w:t xml:space="preserve"> </w:t>
            </w:r>
            <w:r>
              <w:rPr>
                <w:snapToGrid w:val="0"/>
                <w:color w:val="000000"/>
                <w:kern w:val="14"/>
                <w:sz w:val="18"/>
              </w:rPr>
              <w:t>587</w:t>
            </w:r>
          </w:p>
        </w:tc>
        <w:tc>
          <w:tcPr>
            <w:tcW w:w="575"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w:t>
            </w:r>
            <w:r>
              <w:rPr>
                <w:rFonts w:hint="eastAsia"/>
                <w:snapToGrid w:val="0"/>
                <w:color w:val="000000"/>
                <w:kern w:val="14"/>
                <w:sz w:val="18"/>
              </w:rPr>
              <w:t xml:space="preserve"> </w:t>
            </w:r>
            <w:r>
              <w:rPr>
                <w:snapToGrid w:val="0"/>
                <w:color w:val="000000"/>
                <w:kern w:val="14"/>
                <w:sz w:val="18"/>
              </w:rPr>
              <w:t>409</w:t>
            </w:r>
          </w:p>
        </w:tc>
        <w:tc>
          <w:tcPr>
            <w:tcW w:w="53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606</w:t>
            </w:r>
          </w:p>
        </w:tc>
        <w:tc>
          <w:tcPr>
            <w:tcW w:w="572"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158</w:t>
            </w:r>
          </w:p>
        </w:tc>
        <w:tc>
          <w:tcPr>
            <w:tcW w:w="513"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117</w:t>
            </w:r>
          </w:p>
        </w:tc>
      </w:tr>
      <w:tr w:rsidR="00595751">
        <w:trPr>
          <w:cantSplit/>
          <w:trHeight w:val="20"/>
        </w:trPr>
        <w:tc>
          <w:tcPr>
            <w:tcW w:w="563" w:type="pct"/>
            <w:tcMar>
              <w:top w:w="28" w:type="dxa"/>
              <w:left w:w="57" w:type="dxa"/>
              <w:bottom w:w="28" w:type="dxa"/>
              <w:right w:w="57" w:type="dxa"/>
            </w:tcMar>
            <w:vAlign w:val="center"/>
          </w:tcPr>
          <w:p w:rsidR="00595751" w:rsidRDefault="00595751">
            <w:pPr>
              <w:spacing w:line="360" w:lineRule="exact"/>
              <w:rPr>
                <w:snapToGrid w:val="0"/>
                <w:color w:val="000000"/>
                <w:kern w:val="14"/>
                <w:sz w:val="18"/>
              </w:rPr>
            </w:pPr>
            <w:r>
              <w:rPr>
                <w:snapToGrid w:val="0"/>
                <w:color w:val="000000"/>
                <w:kern w:val="14"/>
                <w:sz w:val="18"/>
              </w:rPr>
              <w:t>2006</w:t>
            </w:r>
            <w:r>
              <w:rPr>
                <w:rFonts w:hint="eastAsia"/>
                <w:snapToGrid w:val="0"/>
                <w:color w:val="000000"/>
                <w:kern w:val="14"/>
                <w:sz w:val="18"/>
              </w:rPr>
              <w:t>年</w:t>
            </w:r>
          </w:p>
        </w:tc>
        <w:tc>
          <w:tcPr>
            <w:tcW w:w="568"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13</w:t>
            </w:r>
            <w:r>
              <w:rPr>
                <w:rFonts w:hint="eastAsia"/>
                <w:snapToGrid w:val="0"/>
                <w:color w:val="000000"/>
                <w:kern w:val="14"/>
                <w:sz w:val="18"/>
              </w:rPr>
              <w:t xml:space="preserve"> </w:t>
            </w:r>
            <w:r>
              <w:rPr>
                <w:snapToGrid w:val="0"/>
                <w:color w:val="000000"/>
                <w:kern w:val="14"/>
                <w:sz w:val="18"/>
              </w:rPr>
              <w:t>642</w:t>
            </w:r>
          </w:p>
        </w:tc>
        <w:tc>
          <w:tcPr>
            <w:tcW w:w="548"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w:t>
            </w:r>
            <w:r>
              <w:rPr>
                <w:rFonts w:hint="eastAsia"/>
                <w:snapToGrid w:val="0"/>
                <w:color w:val="000000"/>
                <w:kern w:val="14"/>
                <w:sz w:val="18"/>
              </w:rPr>
              <w:t xml:space="preserve"> </w:t>
            </w:r>
            <w:r>
              <w:rPr>
                <w:snapToGrid w:val="0"/>
                <w:color w:val="000000"/>
                <w:kern w:val="14"/>
                <w:sz w:val="18"/>
              </w:rPr>
              <w:t>967</w:t>
            </w:r>
          </w:p>
        </w:tc>
        <w:tc>
          <w:tcPr>
            <w:tcW w:w="575"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w:t>
            </w:r>
            <w:r>
              <w:rPr>
                <w:rFonts w:hint="eastAsia"/>
                <w:snapToGrid w:val="0"/>
                <w:color w:val="000000"/>
                <w:kern w:val="14"/>
                <w:sz w:val="18"/>
              </w:rPr>
              <w:t xml:space="preserve"> </w:t>
            </w:r>
            <w:r>
              <w:rPr>
                <w:snapToGrid w:val="0"/>
                <w:color w:val="000000"/>
                <w:kern w:val="14"/>
                <w:sz w:val="18"/>
              </w:rPr>
              <w:t>788</w:t>
            </w:r>
          </w:p>
        </w:tc>
        <w:tc>
          <w:tcPr>
            <w:tcW w:w="548"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w:t>
            </w:r>
            <w:r>
              <w:rPr>
                <w:rFonts w:hint="eastAsia"/>
                <w:snapToGrid w:val="0"/>
                <w:color w:val="000000"/>
                <w:kern w:val="14"/>
                <w:sz w:val="18"/>
              </w:rPr>
              <w:t xml:space="preserve"> </w:t>
            </w:r>
            <w:r>
              <w:rPr>
                <w:snapToGrid w:val="0"/>
                <w:color w:val="000000"/>
                <w:kern w:val="14"/>
                <w:sz w:val="18"/>
              </w:rPr>
              <w:t>498</w:t>
            </w:r>
          </w:p>
        </w:tc>
        <w:tc>
          <w:tcPr>
            <w:tcW w:w="575"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w:t>
            </w:r>
            <w:r>
              <w:rPr>
                <w:rFonts w:hint="eastAsia"/>
                <w:snapToGrid w:val="0"/>
                <w:color w:val="000000"/>
                <w:kern w:val="14"/>
                <w:sz w:val="18"/>
              </w:rPr>
              <w:t xml:space="preserve"> </w:t>
            </w:r>
            <w:r>
              <w:rPr>
                <w:snapToGrid w:val="0"/>
                <w:color w:val="000000"/>
                <w:kern w:val="14"/>
                <w:sz w:val="18"/>
              </w:rPr>
              <w:t>424</w:t>
            </w:r>
          </w:p>
        </w:tc>
        <w:tc>
          <w:tcPr>
            <w:tcW w:w="53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525</w:t>
            </w:r>
          </w:p>
        </w:tc>
        <w:tc>
          <w:tcPr>
            <w:tcW w:w="572"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161</w:t>
            </w:r>
          </w:p>
        </w:tc>
        <w:tc>
          <w:tcPr>
            <w:tcW w:w="513"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115</w:t>
            </w:r>
          </w:p>
        </w:tc>
      </w:tr>
      <w:tr w:rsidR="00595751">
        <w:trPr>
          <w:cantSplit/>
          <w:trHeight w:val="20"/>
        </w:trPr>
        <w:tc>
          <w:tcPr>
            <w:tcW w:w="5000" w:type="pct"/>
            <w:gridSpan w:val="9"/>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性别分布，</w:t>
            </w:r>
            <w:r>
              <w:rPr>
                <w:rFonts w:eastAsia="SimHei"/>
                <w:snapToGrid w:val="0"/>
                <w:color w:val="FF0000"/>
                <w:kern w:val="14"/>
                <w:sz w:val="18"/>
              </w:rPr>
              <w:t xml:space="preserve"> %</w:t>
            </w:r>
          </w:p>
        </w:tc>
      </w:tr>
      <w:tr w:rsidR="00595751">
        <w:trPr>
          <w:cantSplit/>
          <w:trHeight w:val="20"/>
        </w:trPr>
        <w:tc>
          <w:tcPr>
            <w:tcW w:w="563" w:type="pct"/>
            <w:tcMar>
              <w:top w:w="28" w:type="dxa"/>
              <w:left w:w="57" w:type="dxa"/>
              <w:bottom w:w="28" w:type="dxa"/>
              <w:right w:w="57" w:type="dxa"/>
            </w:tcMar>
            <w:vAlign w:val="center"/>
          </w:tcPr>
          <w:p w:rsidR="00595751" w:rsidRDefault="00595751">
            <w:pPr>
              <w:spacing w:line="360" w:lineRule="exact"/>
              <w:rPr>
                <w:snapToGrid w:val="0"/>
                <w:color w:val="000000"/>
                <w:kern w:val="14"/>
                <w:sz w:val="18"/>
              </w:rPr>
            </w:pPr>
            <w:r>
              <w:rPr>
                <w:snapToGrid w:val="0"/>
                <w:color w:val="000000"/>
                <w:kern w:val="14"/>
                <w:sz w:val="18"/>
              </w:rPr>
              <w:t>2005</w:t>
            </w:r>
            <w:r>
              <w:rPr>
                <w:rFonts w:hint="eastAsia"/>
                <w:snapToGrid w:val="0"/>
                <w:color w:val="000000"/>
                <w:kern w:val="14"/>
                <w:sz w:val="18"/>
              </w:rPr>
              <w:t>年</w:t>
            </w:r>
          </w:p>
        </w:tc>
        <w:tc>
          <w:tcPr>
            <w:tcW w:w="568"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65.7</w:t>
            </w:r>
          </w:p>
        </w:tc>
        <w:tc>
          <w:tcPr>
            <w:tcW w:w="548"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34.3</w:t>
            </w:r>
          </w:p>
        </w:tc>
        <w:tc>
          <w:tcPr>
            <w:tcW w:w="575"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65.4</w:t>
            </w:r>
          </w:p>
        </w:tc>
        <w:tc>
          <w:tcPr>
            <w:tcW w:w="548"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34.6</w:t>
            </w:r>
          </w:p>
        </w:tc>
        <w:tc>
          <w:tcPr>
            <w:tcW w:w="575"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69.9</w:t>
            </w:r>
          </w:p>
        </w:tc>
        <w:tc>
          <w:tcPr>
            <w:tcW w:w="53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30.1</w:t>
            </w:r>
          </w:p>
        </w:tc>
        <w:tc>
          <w:tcPr>
            <w:tcW w:w="572"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57.5</w:t>
            </w:r>
          </w:p>
        </w:tc>
        <w:tc>
          <w:tcPr>
            <w:tcW w:w="513"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42.5</w:t>
            </w:r>
          </w:p>
        </w:tc>
      </w:tr>
      <w:tr w:rsidR="00595751">
        <w:trPr>
          <w:cantSplit/>
          <w:trHeight w:val="20"/>
        </w:trPr>
        <w:tc>
          <w:tcPr>
            <w:tcW w:w="563" w:type="pct"/>
            <w:tcMar>
              <w:top w:w="28" w:type="dxa"/>
              <w:left w:w="57" w:type="dxa"/>
              <w:bottom w:w="28" w:type="dxa"/>
              <w:right w:w="57" w:type="dxa"/>
            </w:tcMar>
            <w:vAlign w:val="center"/>
          </w:tcPr>
          <w:p w:rsidR="00595751" w:rsidRDefault="00595751">
            <w:pPr>
              <w:spacing w:line="360" w:lineRule="exact"/>
              <w:rPr>
                <w:snapToGrid w:val="0"/>
                <w:color w:val="000000"/>
                <w:kern w:val="14"/>
                <w:sz w:val="18"/>
              </w:rPr>
            </w:pPr>
            <w:r>
              <w:rPr>
                <w:snapToGrid w:val="0"/>
                <w:color w:val="000000"/>
                <w:kern w:val="14"/>
                <w:sz w:val="18"/>
              </w:rPr>
              <w:t>2006</w:t>
            </w:r>
            <w:r>
              <w:rPr>
                <w:rFonts w:hint="eastAsia"/>
                <w:snapToGrid w:val="0"/>
                <w:color w:val="000000"/>
                <w:kern w:val="14"/>
                <w:sz w:val="18"/>
              </w:rPr>
              <w:t>年</w:t>
            </w:r>
          </w:p>
        </w:tc>
        <w:tc>
          <w:tcPr>
            <w:tcW w:w="568"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66.2</w:t>
            </w:r>
          </w:p>
        </w:tc>
        <w:tc>
          <w:tcPr>
            <w:tcW w:w="548"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33.8</w:t>
            </w:r>
          </w:p>
        </w:tc>
        <w:tc>
          <w:tcPr>
            <w:tcW w:w="575"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65.7</w:t>
            </w:r>
          </w:p>
        </w:tc>
        <w:tc>
          <w:tcPr>
            <w:tcW w:w="548"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34.3</w:t>
            </w:r>
          </w:p>
        </w:tc>
        <w:tc>
          <w:tcPr>
            <w:tcW w:w="575"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73.1</w:t>
            </w:r>
          </w:p>
        </w:tc>
        <w:tc>
          <w:tcPr>
            <w:tcW w:w="53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26.9</w:t>
            </w:r>
          </w:p>
        </w:tc>
        <w:tc>
          <w:tcPr>
            <w:tcW w:w="572"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58.3</w:t>
            </w:r>
          </w:p>
        </w:tc>
        <w:tc>
          <w:tcPr>
            <w:tcW w:w="513"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41.7</w:t>
            </w:r>
          </w:p>
        </w:tc>
      </w:tr>
    </w:tbl>
    <w:p w:rsidR="00595751" w:rsidRDefault="00595751">
      <w:pPr>
        <w:spacing w:line="360" w:lineRule="exact"/>
        <w:rPr>
          <w:color w:val="000000"/>
          <w:kern w:val="14"/>
          <w:sz w:val="18"/>
          <w:lang w:val="en-GB"/>
        </w:rPr>
      </w:pPr>
      <w:r>
        <w:rPr>
          <w:rFonts w:hint="eastAsia"/>
          <w:color w:val="000000"/>
          <w:kern w:val="14"/>
          <w:sz w:val="18"/>
          <w:lang w:val="en-GB"/>
        </w:rPr>
        <w:t>立陶宛政府统计部。</w:t>
      </w:r>
    </w:p>
    <w:p w:rsidR="00595751" w:rsidRDefault="00595751">
      <w:pPr>
        <w:spacing w:after="240" w:line="240" w:lineRule="exact"/>
        <w:jc w:val="center"/>
        <w:rPr>
          <w:rFonts w:eastAsia="SimHei"/>
          <w:caps/>
          <w:snapToGrid w:val="0"/>
          <w:color w:val="FF0000"/>
          <w:kern w:val="14"/>
          <w:lang w:val="en-GB"/>
        </w:rPr>
      </w:pPr>
      <w:r>
        <w:rPr>
          <w:rFonts w:eastAsia="SimHei" w:hint="eastAsia"/>
          <w:caps/>
          <w:snapToGrid w:val="0"/>
          <w:color w:val="FF0000"/>
          <w:kern w:val="14"/>
          <w:lang w:val="en-GB"/>
        </w:rPr>
        <w:t>表</w:t>
      </w:r>
      <w:r>
        <w:rPr>
          <w:rFonts w:eastAsia="SimHei"/>
          <w:caps/>
          <w:snapToGrid w:val="0"/>
          <w:color w:val="FF0000"/>
          <w:kern w:val="14"/>
          <w:lang w:val="en-GB"/>
        </w:rPr>
        <w:t xml:space="preserve"> 7. </w:t>
      </w:r>
      <w:r>
        <w:rPr>
          <w:rFonts w:eastAsia="SimHei" w:hint="eastAsia"/>
          <w:caps/>
          <w:snapToGrid w:val="0"/>
          <w:color w:val="FF0000"/>
          <w:kern w:val="14"/>
          <w:lang w:val="en-GB"/>
        </w:rPr>
        <w:t>妇女平均月工资总额与男子平均月工资总额的比率</w:t>
      </w:r>
      <w:r>
        <w:rPr>
          <w:rFonts w:eastAsia="SimHei"/>
          <w:caps/>
          <w:snapToGrid w:val="0"/>
          <w:color w:val="FF0000"/>
          <w:kern w:val="14"/>
          <w:lang w:val="en-GB"/>
        </w:rPr>
        <w:t xml:space="preserve">* </w:t>
      </w:r>
    </w:p>
    <w:p w:rsidR="00595751" w:rsidRDefault="00595751">
      <w:pPr>
        <w:spacing w:after="240" w:line="240" w:lineRule="exact"/>
        <w:jc w:val="center"/>
        <w:rPr>
          <w:caps/>
          <w:snapToGrid w:val="0"/>
          <w:color w:val="000000"/>
          <w:kern w:val="14"/>
          <w:sz w:val="18"/>
          <w:lang w:val="en-GB"/>
        </w:rPr>
      </w:pPr>
      <w:r>
        <w:rPr>
          <w:caps/>
          <w:snapToGrid w:val="0"/>
          <w:color w:val="000000"/>
          <w:kern w:val="14"/>
          <w:sz w:val="18"/>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8"/>
        <w:gridCol w:w="2299"/>
        <w:gridCol w:w="2298"/>
        <w:gridCol w:w="2840"/>
      </w:tblGrid>
      <w:tr w:rsidR="00595751">
        <w:trPr>
          <w:cantSplit/>
          <w:trHeight w:val="20"/>
        </w:trPr>
        <w:tc>
          <w:tcPr>
            <w:tcW w:w="2298" w:type="dxa"/>
            <w:tcMar>
              <w:top w:w="28" w:type="dxa"/>
              <w:left w:w="57" w:type="dxa"/>
              <w:bottom w:w="28" w:type="dxa"/>
              <w:right w:w="57" w:type="dxa"/>
            </w:tcMar>
            <w:vAlign w:val="center"/>
          </w:tcPr>
          <w:p w:rsidR="00595751" w:rsidRDefault="00595751">
            <w:pPr>
              <w:spacing w:line="360" w:lineRule="exact"/>
              <w:rPr>
                <w:rFonts w:eastAsia="SimHei" w:hint="eastAsia"/>
                <w:snapToGrid w:val="0"/>
                <w:color w:val="FF0000"/>
                <w:kern w:val="14"/>
                <w:sz w:val="18"/>
              </w:rPr>
            </w:pPr>
            <w:r>
              <w:rPr>
                <w:rFonts w:eastAsia="SimHei" w:hint="eastAsia"/>
                <w:snapToGrid w:val="0"/>
                <w:color w:val="FF0000"/>
                <w:kern w:val="14"/>
                <w:sz w:val="18"/>
              </w:rPr>
              <w:t>年份</w:t>
            </w:r>
          </w:p>
        </w:tc>
        <w:tc>
          <w:tcPr>
            <w:tcW w:w="2299" w:type="dxa"/>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整个国民经济</w:t>
            </w:r>
          </w:p>
        </w:tc>
        <w:tc>
          <w:tcPr>
            <w:tcW w:w="2298" w:type="dxa"/>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公共部门</w:t>
            </w:r>
          </w:p>
        </w:tc>
        <w:tc>
          <w:tcPr>
            <w:tcW w:w="2840" w:type="dxa"/>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私营部门</w:t>
            </w:r>
          </w:p>
        </w:tc>
      </w:tr>
      <w:tr w:rsidR="00595751">
        <w:trPr>
          <w:cantSplit/>
          <w:trHeight w:val="20"/>
        </w:trPr>
        <w:tc>
          <w:tcPr>
            <w:tcW w:w="2298" w:type="dxa"/>
            <w:tcMar>
              <w:top w:w="28" w:type="dxa"/>
              <w:left w:w="57" w:type="dxa"/>
              <w:bottom w:w="28" w:type="dxa"/>
              <w:right w:w="57" w:type="dxa"/>
            </w:tcMar>
            <w:vAlign w:val="center"/>
          </w:tcPr>
          <w:p w:rsidR="00595751" w:rsidRDefault="00595751">
            <w:pPr>
              <w:spacing w:line="360" w:lineRule="exact"/>
              <w:rPr>
                <w:snapToGrid w:val="0"/>
                <w:color w:val="000000"/>
                <w:kern w:val="14"/>
                <w:sz w:val="18"/>
              </w:rPr>
            </w:pPr>
            <w:r>
              <w:rPr>
                <w:snapToGrid w:val="0"/>
                <w:color w:val="000000"/>
                <w:kern w:val="14"/>
                <w:sz w:val="18"/>
              </w:rPr>
              <w:t>2000</w:t>
            </w:r>
          </w:p>
        </w:tc>
        <w:tc>
          <w:tcPr>
            <w:tcW w:w="2299"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81.7</w:t>
            </w:r>
          </w:p>
        </w:tc>
        <w:tc>
          <w:tcPr>
            <w:tcW w:w="2298"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77</w:t>
            </w:r>
          </w:p>
        </w:tc>
        <w:tc>
          <w:tcPr>
            <w:tcW w:w="284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84.5</w:t>
            </w:r>
          </w:p>
        </w:tc>
      </w:tr>
      <w:tr w:rsidR="00595751">
        <w:trPr>
          <w:cantSplit/>
          <w:trHeight w:val="20"/>
        </w:trPr>
        <w:tc>
          <w:tcPr>
            <w:tcW w:w="2298" w:type="dxa"/>
            <w:tcMar>
              <w:top w:w="28" w:type="dxa"/>
              <w:left w:w="57" w:type="dxa"/>
              <w:bottom w:w="28" w:type="dxa"/>
              <w:right w:w="57" w:type="dxa"/>
            </w:tcMar>
            <w:vAlign w:val="center"/>
          </w:tcPr>
          <w:p w:rsidR="00595751" w:rsidRDefault="00595751">
            <w:pPr>
              <w:spacing w:line="360" w:lineRule="exact"/>
              <w:rPr>
                <w:snapToGrid w:val="0"/>
                <w:color w:val="000000"/>
                <w:kern w:val="14"/>
                <w:sz w:val="18"/>
              </w:rPr>
            </w:pPr>
            <w:r>
              <w:rPr>
                <w:snapToGrid w:val="0"/>
                <w:color w:val="000000"/>
                <w:kern w:val="14"/>
                <w:sz w:val="18"/>
              </w:rPr>
              <w:t>2005</w:t>
            </w:r>
          </w:p>
        </w:tc>
        <w:tc>
          <w:tcPr>
            <w:tcW w:w="2299"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82.4</w:t>
            </w:r>
          </w:p>
        </w:tc>
        <w:tc>
          <w:tcPr>
            <w:tcW w:w="2298"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77.9</w:t>
            </w:r>
          </w:p>
        </w:tc>
        <w:tc>
          <w:tcPr>
            <w:tcW w:w="284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82.2</w:t>
            </w:r>
          </w:p>
        </w:tc>
      </w:tr>
      <w:tr w:rsidR="00595751">
        <w:trPr>
          <w:cantSplit/>
          <w:trHeight w:val="20"/>
        </w:trPr>
        <w:tc>
          <w:tcPr>
            <w:tcW w:w="2298" w:type="dxa"/>
            <w:tcMar>
              <w:top w:w="28" w:type="dxa"/>
              <w:left w:w="57" w:type="dxa"/>
              <w:bottom w:w="28" w:type="dxa"/>
              <w:right w:w="57" w:type="dxa"/>
            </w:tcMar>
            <w:vAlign w:val="center"/>
          </w:tcPr>
          <w:p w:rsidR="00595751" w:rsidRDefault="00595751">
            <w:pPr>
              <w:spacing w:line="360" w:lineRule="exact"/>
              <w:rPr>
                <w:snapToGrid w:val="0"/>
                <w:color w:val="000000"/>
                <w:kern w:val="14"/>
                <w:sz w:val="18"/>
              </w:rPr>
            </w:pPr>
            <w:r>
              <w:rPr>
                <w:snapToGrid w:val="0"/>
                <w:color w:val="000000"/>
                <w:kern w:val="14"/>
                <w:sz w:val="18"/>
              </w:rPr>
              <w:t>2006</w:t>
            </w:r>
          </w:p>
        </w:tc>
        <w:tc>
          <w:tcPr>
            <w:tcW w:w="2299"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82.1</w:t>
            </w:r>
          </w:p>
        </w:tc>
        <w:tc>
          <w:tcPr>
            <w:tcW w:w="2298"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78.9</w:t>
            </w:r>
          </w:p>
        </w:tc>
        <w:tc>
          <w:tcPr>
            <w:tcW w:w="2840" w:type="dxa"/>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80.9</w:t>
            </w:r>
          </w:p>
        </w:tc>
      </w:tr>
    </w:tbl>
    <w:p w:rsidR="00595751" w:rsidRDefault="00595751">
      <w:pPr>
        <w:spacing w:line="360" w:lineRule="exact"/>
        <w:rPr>
          <w:rFonts w:hint="eastAsia"/>
          <w:color w:val="000000"/>
          <w:kern w:val="14"/>
          <w:sz w:val="18"/>
          <w:lang w:val="en-GB"/>
        </w:rPr>
      </w:pPr>
      <w:r>
        <w:rPr>
          <w:rFonts w:hint="eastAsia"/>
          <w:color w:val="000000"/>
          <w:kern w:val="14"/>
          <w:sz w:val="18"/>
          <w:lang w:val="en-GB"/>
        </w:rPr>
        <w:t>立陶宛政府统计部。</w:t>
      </w:r>
    </w:p>
    <w:p w:rsidR="00595751" w:rsidRDefault="00595751">
      <w:pPr>
        <w:spacing w:line="360" w:lineRule="exact"/>
        <w:rPr>
          <w:color w:val="000000"/>
          <w:kern w:val="14"/>
          <w:sz w:val="18"/>
          <w:lang w:val="en-GB"/>
        </w:rPr>
      </w:pPr>
      <w:r>
        <w:rPr>
          <w:color w:val="000000"/>
          <w:kern w:val="14"/>
          <w:sz w:val="18"/>
          <w:lang w:val="en-GB"/>
        </w:rPr>
        <w:t>*</w:t>
      </w:r>
      <w:r>
        <w:rPr>
          <w:rFonts w:hint="eastAsia"/>
          <w:color w:val="000000"/>
          <w:kern w:val="14"/>
          <w:sz w:val="18"/>
          <w:lang w:val="en-GB"/>
        </w:rPr>
        <w:t xml:space="preserve"> </w:t>
      </w:r>
      <w:r>
        <w:rPr>
          <w:rFonts w:hint="eastAsia"/>
          <w:color w:val="000000"/>
          <w:kern w:val="14"/>
          <w:sz w:val="18"/>
          <w:lang w:val="en-GB"/>
        </w:rPr>
        <w:t>不包括独资企业。</w:t>
      </w:r>
    </w:p>
    <w:p w:rsidR="00595751" w:rsidRDefault="00595751">
      <w:pPr>
        <w:rPr>
          <w:color w:val="000000"/>
          <w:lang w:val="en-GB"/>
        </w:rPr>
      </w:pPr>
    </w:p>
    <w:p w:rsidR="00595751" w:rsidRDefault="00595751">
      <w:pPr>
        <w:spacing w:after="240" w:line="240" w:lineRule="exact"/>
        <w:jc w:val="center"/>
        <w:rPr>
          <w:rFonts w:eastAsia="SimHei"/>
          <w:caps/>
          <w:snapToGrid w:val="0"/>
          <w:color w:val="FF0000"/>
          <w:kern w:val="14"/>
          <w:lang w:val="en-GB"/>
        </w:rPr>
      </w:pPr>
      <w:r>
        <w:rPr>
          <w:rFonts w:eastAsia="SimHei" w:hint="eastAsia"/>
          <w:caps/>
          <w:snapToGrid w:val="0"/>
          <w:color w:val="FF0000"/>
          <w:kern w:val="14"/>
          <w:lang w:val="en-GB"/>
        </w:rPr>
        <w:t>表</w:t>
      </w:r>
      <w:r>
        <w:rPr>
          <w:rFonts w:eastAsia="SimHei"/>
          <w:caps/>
          <w:snapToGrid w:val="0"/>
          <w:color w:val="FF0000"/>
          <w:kern w:val="14"/>
          <w:lang w:val="en-GB"/>
        </w:rPr>
        <w:t xml:space="preserve"> 8. </w:t>
      </w:r>
      <w:r>
        <w:rPr>
          <w:rFonts w:eastAsia="SimHei" w:hint="eastAsia"/>
          <w:caps/>
          <w:snapToGrid w:val="0"/>
          <w:color w:val="FF0000"/>
          <w:kern w:val="14"/>
          <w:lang w:val="en-GB"/>
        </w:rPr>
        <w:t xml:space="preserve"> </w:t>
      </w:r>
      <w:r>
        <w:rPr>
          <w:rFonts w:eastAsia="SimHei" w:hint="eastAsia"/>
          <w:caps/>
          <w:snapToGrid w:val="0"/>
          <w:color w:val="FF0000"/>
          <w:kern w:val="14"/>
          <w:lang w:val="en-GB"/>
        </w:rPr>
        <w:t>按经济活动类别分列的</w:t>
      </w:r>
      <w:r>
        <w:rPr>
          <w:rFonts w:eastAsia="SimHei"/>
          <w:caps/>
          <w:snapToGrid w:val="0"/>
          <w:color w:val="FF0000"/>
          <w:kern w:val="14"/>
          <w:lang w:val="en-GB"/>
        </w:rPr>
        <w:t>2006</w:t>
      </w:r>
      <w:r>
        <w:rPr>
          <w:rFonts w:eastAsia="SimHei" w:hint="eastAsia"/>
          <w:caps/>
          <w:snapToGrid w:val="0"/>
          <w:color w:val="FF0000"/>
          <w:kern w:val="14"/>
          <w:lang w:val="en-GB"/>
        </w:rPr>
        <w:t>年在整个国民经济中妇女平均月工资总额</w:t>
      </w:r>
      <w:r>
        <w:rPr>
          <w:rFonts w:eastAsia="SimHei"/>
          <w:color w:val="FF0000"/>
          <w:kern w:val="14"/>
          <w:sz w:val="28"/>
        </w:rPr>
        <w:br/>
      </w:r>
      <w:r>
        <w:rPr>
          <w:rFonts w:eastAsia="SimHei" w:hint="eastAsia"/>
          <w:caps/>
          <w:snapToGrid w:val="0"/>
          <w:color w:val="FF0000"/>
          <w:kern w:val="14"/>
          <w:lang w:val="en-GB"/>
        </w:rPr>
        <w:t>与男子平均月工资总额的比率</w:t>
      </w:r>
      <w:r>
        <w:rPr>
          <w:rFonts w:eastAsia="SimHei"/>
          <w:caps/>
          <w:snapToGrid w:val="0"/>
          <w:color w:val="FF0000"/>
          <w:kern w:val="14"/>
          <w:lang w:val="en-GB"/>
        </w:rPr>
        <w:t>*</w:t>
      </w:r>
    </w:p>
    <w:p w:rsidR="00595751" w:rsidRDefault="00595751">
      <w:pPr>
        <w:spacing w:after="240" w:line="240" w:lineRule="exact"/>
        <w:jc w:val="center"/>
        <w:rPr>
          <w:caps/>
          <w:snapToGrid w:val="0"/>
          <w:color w:val="000000"/>
          <w:kern w:val="14"/>
          <w:sz w:val="18"/>
          <w:lang w:val="en-GB"/>
        </w:rPr>
      </w:pPr>
      <w:r>
        <w:rPr>
          <w:caps/>
          <w:snapToGrid w:val="0"/>
          <w:color w:val="000000"/>
          <w:kern w:val="14"/>
          <w:sz w:val="18"/>
          <w:lang w:val="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3"/>
        <w:gridCol w:w="1164"/>
        <w:gridCol w:w="1397"/>
        <w:gridCol w:w="1240"/>
      </w:tblGrid>
      <w:tr w:rsidR="00595751">
        <w:trPr>
          <w:cantSplit/>
          <w:trHeight w:val="20"/>
          <w:tblHeader/>
        </w:trPr>
        <w:tc>
          <w:tcPr>
            <w:tcW w:w="3093" w:type="pct"/>
            <w:vMerge w:val="restart"/>
            <w:tcMar>
              <w:top w:w="28" w:type="dxa"/>
              <w:left w:w="57" w:type="dxa"/>
              <w:bottom w:w="28" w:type="dxa"/>
              <w:right w:w="57" w:type="dxa"/>
            </w:tcMar>
          </w:tcPr>
          <w:p w:rsidR="00595751" w:rsidRDefault="00595751">
            <w:pPr>
              <w:spacing w:line="360" w:lineRule="exact"/>
              <w:jc w:val="center"/>
              <w:rPr>
                <w:rFonts w:eastAsia="SimHei"/>
                <w:snapToGrid w:val="0"/>
                <w:color w:val="FF0000"/>
                <w:kern w:val="14"/>
                <w:sz w:val="18"/>
              </w:rPr>
            </w:pPr>
          </w:p>
        </w:tc>
        <w:tc>
          <w:tcPr>
            <w:tcW w:w="584" w:type="pct"/>
            <w:vMerge w:val="restart"/>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总计</w:t>
            </w:r>
          </w:p>
        </w:tc>
        <w:tc>
          <w:tcPr>
            <w:tcW w:w="1323" w:type="pct"/>
            <w:gridSpan w:val="2"/>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其中</w:t>
            </w:r>
          </w:p>
        </w:tc>
      </w:tr>
      <w:tr w:rsidR="00595751">
        <w:trPr>
          <w:cantSplit/>
          <w:trHeight w:val="20"/>
          <w:tblHeader/>
        </w:trPr>
        <w:tc>
          <w:tcPr>
            <w:tcW w:w="3093" w:type="pct"/>
            <w:vMerge/>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p>
        </w:tc>
        <w:tc>
          <w:tcPr>
            <w:tcW w:w="584" w:type="pct"/>
            <w:vMerge/>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p>
        </w:tc>
        <w:tc>
          <w:tcPr>
            <w:tcW w:w="701" w:type="pct"/>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蓝领妇女</w:t>
            </w:r>
          </w:p>
        </w:tc>
        <w:tc>
          <w:tcPr>
            <w:tcW w:w="622" w:type="pct"/>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白领妇女</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总计</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82.1</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70.2</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72.7</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农业、狩猎和林业</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86.2</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89.6</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74.5</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渔业</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92.6</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77.3</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73.3</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采矿和采石</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90.5</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62.6</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58.9</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制造业</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74</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73.6</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68.1</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供电、供气和供水</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85.8</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80.9</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70.1</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rPr>
                <w:rFonts w:hint="eastAsia"/>
                <w:snapToGrid w:val="0"/>
                <w:color w:val="000000"/>
                <w:kern w:val="14"/>
                <w:sz w:val="18"/>
              </w:rPr>
            </w:pPr>
            <w:r>
              <w:rPr>
                <w:rFonts w:hint="eastAsia"/>
                <w:snapToGrid w:val="0"/>
                <w:color w:val="000000"/>
                <w:kern w:val="14"/>
                <w:sz w:val="18"/>
              </w:rPr>
              <w:t>建筑业</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88.6</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75.2</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69</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批发和零售业；机动车和摩托车维修；个人和家庭用品修理</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79.6</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84.5</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69.5</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旅馆和餐馆</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81.8</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85.7</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82</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rPr>
                <w:rFonts w:hint="eastAsia"/>
                <w:snapToGrid w:val="0"/>
                <w:color w:val="000000"/>
                <w:kern w:val="14"/>
                <w:sz w:val="18"/>
              </w:rPr>
            </w:pPr>
            <w:r>
              <w:rPr>
                <w:rFonts w:hint="eastAsia"/>
                <w:snapToGrid w:val="0"/>
                <w:color w:val="000000"/>
                <w:kern w:val="14"/>
                <w:sz w:val="18"/>
              </w:rPr>
              <w:t>运输、仓储和通信</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95.2</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93.3</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65.2</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rPr>
                <w:rFonts w:hint="eastAsia"/>
                <w:snapToGrid w:val="0"/>
                <w:color w:val="000000"/>
                <w:kern w:val="14"/>
                <w:sz w:val="18"/>
              </w:rPr>
            </w:pPr>
            <w:r>
              <w:rPr>
                <w:rFonts w:hint="eastAsia"/>
                <w:snapToGrid w:val="0"/>
                <w:color w:val="000000"/>
                <w:kern w:val="14"/>
                <w:sz w:val="18"/>
              </w:rPr>
              <w:t>金融中介</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58.2</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54.5</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58</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ind w:firstLine="180"/>
              <w:rPr>
                <w:snapToGrid w:val="0"/>
                <w:color w:val="000000"/>
                <w:kern w:val="14"/>
                <w:sz w:val="18"/>
              </w:rPr>
            </w:pPr>
            <w:r>
              <w:rPr>
                <w:rFonts w:hint="eastAsia"/>
                <w:snapToGrid w:val="0"/>
                <w:color w:val="000000"/>
                <w:kern w:val="14"/>
                <w:sz w:val="18"/>
              </w:rPr>
              <w:t>现金中介</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52.8</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56.3</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52.3</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ind w:firstLine="180"/>
              <w:rPr>
                <w:snapToGrid w:val="0"/>
                <w:color w:val="000000"/>
                <w:kern w:val="14"/>
                <w:sz w:val="18"/>
              </w:rPr>
            </w:pPr>
            <w:r>
              <w:rPr>
                <w:rFonts w:hint="eastAsia"/>
                <w:snapToGrid w:val="0"/>
                <w:color w:val="000000"/>
                <w:kern w:val="14"/>
                <w:sz w:val="18"/>
              </w:rPr>
              <w:t>保险和养恤金财政资源积累，强制性社会保障除外</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66.8</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55</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66.8</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ind w:firstLine="180"/>
              <w:rPr>
                <w:snapToGrid w:val="0"/>
                <w:color w:val="000000"/>
                <w:kern w:val="14"/>
                <w:sz w:val="18"/>
              </w:rPr>
            </w:pPr>
            <w:r>
              <w:rPr>
                <w:rFonts w:hint="eastAsia"/>
                <w:snapToGrid w:val="0"/>
                <w:color w:val="000000"/>
                <w:kern w:val="14"/>
                <w:sz w:val="18"/>
              </w:rPr>
              <w:t>房地产、租赁和其他商业活动</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90.1</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75.1</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90.8</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ind w:firstLine="180"/>
              <w:rPr>
                <w:snapToGrid w:val="0"/>
                <w:color w:val="000000"/>
                <w:kern w:val="14"/>
                <w:sz w:val="18"/>
              </w:rPr>
            </w:pPr>
            <w:r>
              <w:rPr>
                <w:rFonts w:hint="eastAsia"/>
                <w:snapToGrid w:val="0"/>
                <w:color w:val="000000"/>
                <w:kern w:val="14"/>
                <w:sz w:val="18"/>
              </w:rPr>
              <w:t>研究与发展</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79.8</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79.5</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76.6</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公共行政和防务；强制性社会保障</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94.7</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89.2</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91.7</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ind w:firstLine="180"/>
              <w:rPr>
                <w:snapToGrid w:val="0"/>
                <w:color w:val="000000"/>
                <w:kern w:val="14"/>
                <w:sz w:val="18"/>
              </w:rPr>
            </w:pPr>
            <w:r>
              <w:rPr>
                <w:rFonts w:hint="eastAsia"/>
                <w:snapToGrid w:val="0"/>
                <w:color w:val="000000"/>
                <w:kern w:val="14"/>
                <w:sz w:val="18"/>
              </w:rPr>
              <w:t>国家行政及社区的经济和社会政策</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82.6</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76.4</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78.2</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ind w:firstLine="180"/>
              <w:rPr>
                <w:snapToGrid w:val="0"/>
                <w:color w:val="000000"/>
                <w:kern w:val="14"/>
                <w:sz w:val="18"/>
              </w:rPr>
            </w:pPr>
            <w:r>
              <w:rPr>
                <w:rFonts w:hint="eastAsia"/>
                <w:snapToGrid w:val="0"/>
                <w:color w:val="000000"/>
                <w:kern w:val="14"/>
                <w:sz w:val="18"/>
              </w:rPr>
              <w:t>中央行政机构的立法和执行活动</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85.9</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76.2</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82.8</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ind w:firstLine="180"/>
              <w:rPr>
                <w:snapToGrid w:val="0"/>
                <w:color w:val="000000"/>
                <w:kern w:val="14"/>
                <w:sz w:val="18"/>
              </w:rPr>
            </w:pPr>
            <w:r>
              <w:rPr>
                <w:rFonts w:hint="eastAsia"/>
                <w:snapToGrid w:val="0"/>
                <w:color w:val="000000"/>
                <w:kern w:val="14"/>
                <w:sz w:val="18"/>
              </w:rPr>
              <w:t>提供社会服务</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95.5</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98</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94.3</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ind w:firstLine="180"/>
              <w:rPr>
                <w:snapToGrid w:val="0"/>
                <w:color w:val="000000"/>
                <w:kern w:val="14"/>
                <w:sz w:val="18"/>
              </w:rPr>
            </w:pPr>
            <w:r>
              <w:rPr>
                <w:rFonts w:hint="eastAsia"/>
                <w:snapToGrid w:val="0"/>
                <w:color w:val="000000"/>
                <w:kern w:val="14"/>
                <w:sz w:val="18"/>
              </w:rPr>
              <w:t>强制性社会保障活动</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100.4</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87.8</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78.7</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教育</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95.5</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90</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84.9</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ind w:firstLine="180"/>
              <w:rPr>
                <w:snapToGrid w:val="0"/>
                <w:color w:val="000000"/>
                <w:kern w:val="14"/>
                <w:sz w:val="18"/>
              </w:rPr>
            </w:pPr>
            <w:r>
              <w:rPr>
                <w:rFonts w:hint="eastAsia"/>
                <w:snapToGrid w:val="0"/>
                <w:color w:val="000000"/>
                <w:kern w:val="14"/>
                <w:sz w:val="18"/>
              </w:rPr>
              <w:t>普通中等教育</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119.4</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94.3</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104.2</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ind w:firstLine="180"/>
              <w:rPr>
                <w:snapToGrid w:val="0"/>
                <w:color w:val="000000"/>
                <w:kern w:val="14"/>
                <w:sz w:val="18"/>
              </w:rPr>
            </w:pPr>
            <w:r>
              <w:rPr>
                <w:rFonts w:hint="eastAsia"/>
                <w:snapToGrid w:val="0"/>
                <w:color w:val="000000"/>
                <w:kern w:val="14"/>
                <w:sz w:val="18"/>
              </w:rPr>
              <w:t>大学教育</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74.3</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80</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74.4</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保健和社会工作</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78.2</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84</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63.3</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ind w:firstLine="180"/>
              <w:rPr>
                <w:snapToGrid w:val="0"/>
                <w:color w:val="000000"/>
                <w:kern w:val="14"/>
                <w:sz w:val="18"/>
              </w:rPr>
            </w:pPr>
            <w:r>
              <w:rPr>
                <w:rFonts w:hint="eastAsia"/>
                <w:snapToGrid w:val="0"/>
                <w:color w:val="000000"/>
                <w:kern w:val="14"/>
                <w:sz w:val="18"/>
              </w:rPr>
              <w:t>人的保健活动</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77.3</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80.7</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61.7</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ind w:firstLine="180"/>
              <w:rPr>
                <w:snapToGrid w:val="0"/>
                <w:color w:val="000000"/>
                <w:kern w:val="14"/>
                <w:sz w:val="18"/>
              </w:rPr>
            </w:pPr>
            <w:r>
              <w:rPr>
                <w:rFonts w:hint="eastAsia"/>
                <w:snapToGrid w:val="0"/>
                <w:color w:val="000000"/>
                <w:kern w:val="14"/>
                <w:sz w:val="18"/>
              </w:rPr>
              <w:t>社会工作活动</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95.8</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98.5</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81.8</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其他社区、社会和个人服务活动</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86.8</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69.3</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82.1</w:t>
            </w:r>
          </w:p>
        </w:tc>
      </w:tr>
      <w:tr w:rsidR="00595751">
        <w:trPr>
          <w:cantSplit/>
          <w:trHeight w:val="20"/>
        </w:trPr>
        <w:tc>
          <w:tcPr>
            <w:tcW w:w="3093" w:type="pct"/>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娱乐、文化和体育活动</w:t>
            </w:r>
          </w:p>
        </w:tc>
        <w:tc>
          <w:tcPr>
            <w:tcW w:w="58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87.8</w:t>
            </w:r>
          </w:p>
        </w:tc>
        <w:tc>
          <w:tcPr>
            <w:tcW w:w="70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84.9</w:t>
            </w:r>
          </w:p>
        </w:tc>
        <w:tc>
          <w:tcPr>
            <w:tcW w:w="6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84.3</w:t>
            </w:r>
          </w:p>
        </w:tc>
      </w:tr>
    </w:tbl>
    <w:p w:rsidR="00595751" w:rsidRDefault="00595751">
      <w:pPr>
        <w:spacing w:line="360" w:lineRule="exact"/>
        <w:rPr>
          <w:rFonts w:hint="eastAsia"/>
          <w:color w:val="000000"/>
          <w:kern w:val="14"/>
          <w:sz w:val="18"/>
          <w:lang w:val="en-GB"/>
        </w:rPr>
      </w:pPr>
      <w:r>
        <w:rPr>
          <w:rFonts w:hint="eastAsia"/>
          <w:color w:val="000000"/>
          <w:kern w:val="14"/>
          <w:sz w:val="18"/>
          <w:lang w:val="en-GB"/>
        </w:rPr>
        <w:t>立陶宛政府统计部。</w:t>
      </w:r>
    </w:p>
    <w:p w:rsidR="00595751" w:rsidRDefault="00595751">
      <w:pPr>
        <w:spacing w:line="360" w:lineRule="exact"/>
        <w:rPr>
          <w:rFonts w:hint="eastAsia"/>
          <w:color w:val="000000"/>
          <w:kern w:val="14"/>
          <w:sz w:val="18"/>
          <w:lang w:val="en-GB"/>
        </w:rPr>
      </w:pPr>
      <w:r>
        <w:rPr>
          <w:color w:val="000000"/>
          <w:kern w:val="14"/>
          <w:sz w:val="18"/>
          <w:lang w:val="en-GB"/>
        </w:rPr>
        <w:t>*</w:t>
      </w:r>
      <w:r>
        <w:rPr>
          <w:rFonts w:hint="eastAsia"/>
          <w:color w:val="000000"/>
          <w:kern w:val="14"/>
          <w:sz w:val="18"/>
          <w:lang w:val="en-GB"/>
        </w:rPr>
        <w:t xml:space="preserve"> </w:t>
      </w:r>
      <w:r>
        <w:rPr>
          <w:rFonts w:hint="eastAsia"/>
          <w:color w:val="000000"/>
          <w:kern w:val="14"/>
          <w:sz w:val="18"/>
          <w:lang w:val="en-GB"/>
        </w:rPr>
        <w:t>不包括独资企业。</w:t>
      </w:r>
    </w:p>
    <w:p w:rsidR="00595751" w:rsidRDefault="00595751">
      <w:pPr>
        <w:rPr>
          <w:color w:val="000000"/>
          <w:lang w:val="en-GB"/>
        </w:rPr>
      </w:pPr>
    </w:p>
    <w:p w:rsidR="00595751" w:rsidRDefault="00595751">
      <w:pPr>
        <w:spacing w:after="240" w:line="240" w:lineRule="exact"/>
        <w:jc w:val="center"/>
        <w:rPr>
          <w:rFonts w:eastAsia="SimHei"/>
          <w:caps/>
          <w:snapToGrid w:val="0"/>
          <w:color w:val="FF0000"/>
          <w:kern w:val="14"/>
          <w:lang w:val="en-GB"/>
        </w:rPr>
      </w:pPr>
      <w:r>
        <w:rPr>
          <w:rFonts w:eastAsia="SimHei" w:hint="eastAsia"/>
          <w:caps/>
          <w:snapToGrid w:val="0"/>
          <w:color w:val="FF0000"/>
          <w:kern w:val="14"/>
          <w:lang w:val="en-GB"/>
        </w:rPr>
        <w:t>表</w:t>
      </w:r>
      <w:r>
        <w:rPr>
          <w:rFonts w:eastAsia="SimHei"/>
          <w:caps/>
          <w:snapToGrid w:val="0"/>
          <w:color w:val="FF0000"/>
          <w:kern w:val="14"/>
          <w:lang w:val="en-GB"/>
        </w:rPr>
        <w:t xml:space="preserve"> 9. </w:t>
      </w:r>
      <w:r>
        <w:rPr>
          <w:rFonts w:eastAsia="SimHei" w:hint="eastAsia"/>
          <w:caps/>
          <w:snapToGrid w:val="0"/>
          <w:color w:val="FF0000"/>
          <w:kern w:val="14"/>
          <w:lang w:val="en-GB"/>
        </w:rPr>
        <w:t>2005</w:t>
      </w:r>
      <w:r>
        <w:rPr>
          <w:rFonts w:eastAsia="SimHei" w:hint="eastAsia"/>
          <w:caps/>
          <w:snapToGrid w:val="0"/>
          <w:color w:val="FF0000"/>
          <w:kern w:val="14"/>
          <w:lang w:val="en-GB"/>
        </w:rPr>
        <w:t>年就业人口（按部门分列）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7"/>
        <w:gridCol w:w="1493"/>
        <w:gridCol w:w="1301"/>
        <w:gridCol w:w="1265"/>
        <w:gridCol w:w="1277"/>
        <w:gridCol w:w="1277"/>
        <w:gridCol w:w="1124"/>
      </w:tblGrid>
      <w:tr w:rsidR="00595751">
        <w:trPr>
          <w:cantSplit/>
          <w:trHeight w:val="20"/>
        </w:trPr>
        <w:tc>
          <w:tcPr>
            <w:tcW w:w="1117" w:type="pct"/>
            <w:vMerge w:val="restart"/>
            <w:shd w:val="clear" w:color="auto" w:fill="FFFFFF"/>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p>
        </w:tc>
        <w:tc>
          <w:tcPr>
            <w:tcW w:w="1402" w:type="pct"/>
            <w:gridSpan w:val="2"/>
            <w:shd w:val="clear" w:color="auto" w:fill="FFFFFF"/>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女</w:t>
            </w:r>
          </w:p>
        </w:tc>
        <w:tc>
          <w:tcPr>
            <w:tcW w:w="1275" w:type="pct"/>
            <w:gridSpan w:val="2"/>
            <w:shd w:val="clear" w:color="auto" w:fill="FFFFFF"/>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男</w:t>
            </w:r>
          </w:p>
        </w:tc>
        <w:tc>
          <w:tcPr>
            <w:tcW w:w="1206" w:type="pct"/>
            <w:gridSpan w:val="2"/>
            <w:shd w:val="clear" w:color="auto" w:fill="FFFFFF"/>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性别分布</w:t>
            </w:r>
            <w:r>
              <w:rPr>
                <w:rFonts w:eastAsia="SimHei"/>
                <w:snapToGrid w:val="0"/>
                <w:color w:val="FF0000"/>
                <w:kern w:val="14"/>
                <w:sz w:val="18"/>
              </w:rPr>
              <w:t xml:space="preserve"> %</w:t>
            </w:r>
          </w:p>
        </w:tc>
      </w:tr>
      <w:tr w:rsidR="00595751">
        <w:trPr>
          <w:cantSplit/>
          <w:trHeight w:val="20"/>
        </w:trPr>
        <w:tc>
          <w:tcPr>
            <w:tcW w:w="1117" w:type="pct"/>
            <w:vMerge/>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p>
        </w:tc>
        <w:tc>
          <w:tcPr>
            <w:tcW w:w="749" w:type="pct"/>
            <w:shd w:val="clear" w:color="auto" w:fill="FFFFFF"/>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千</w:t>
            </w:r>
          </w:p>
        </w:tc>
        <w:tc>
          <w:tcPr>
            <w:tcW w:w="652" w:type="pct"/>
            <w:shd w:val="clear" w:color="auto" w:fill="FFFFFF"/>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snapToGrid w:val="0"/>
                <w:color w:val="FF0000"/>
                <w:kern w:val="14"/>
                <w:sz w:val="18"/>
              </w:rPr>
              <w:t>%</w:t>
            </w:r>
          </w:p>
        </w:tc>
        <w:tc>
          <w:tcPr>
            <w:tcW w:w="635" w:type="pct"/>
            <w:shd w:val="clear" w:color="auto" w:fill="FFFFFF"/>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千</w:t>
            </w:r>
          </w:p>
        </w:tc>
        <w:tc>
          <w:tcPr>
            <w:tcW w:w="641" w:type="pct"/>
            <w:shd w:val="clear" w:color="auto" w:fill="FFFFFF"/>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snapToGrid w:val="0"/>
                <w:color w:val="FF0000"/>
                <w:kern w:val="14"/>
                <w:sz w:val="18"/>
              </w:rPr>
              <w:t>%</w:t>
            </w:r>
          </w:p>
        </w:tc>
        <w:tc>
          <w:tcPr>
            <w:tcW w:w="641" w:type="pct"/>
            <w:shd w:val="clear" w:color="auto" w:fill="FFFFFF"/>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女</w:t>
            </w:r>
          </w:p>
        </w:tc>
        <w:tc>
          <w:tcPr>
            <w:tcW w:w="565" w:type="pct"/>
            <w:shd w:val="clear" w:color="auto" w:fill="FFFFFF"/>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男</w:t>
            </w:r>
          </w:p>
        </w:tc>
      </w:tr>
      <w:tr w:rsidR="00595751">
        <w:trPr>
          <w:cantSplit/>
          <w:trHeight w:val="20"/>
        </w:trPr>
        <w:tc>
          <w:tcPr>
            <w:tcW w:w="1117" w:type="pct"/>
            <w:shd w:val="clear" w:color="auto" w:fill="FFFFFF"/>
            <w:tcMar>
              <w:top w:w="28" w:type="dxa"/>
              <w:left w:w="57" w:type="dxa"/>
              <w:bottom w:w="28" w:type="dxa"/>
              <w:right w:w="57" w:type="dxa"/>
            </w:tcMar>
            <w:vAlign w:val="center"/>
          </w:tcPr>
          <w:p w:rsidR="00595751" w:rsidRDefault="00595751">
            <w:pPr>
              <w:spacing w:line="360" w:lineRule="exact"/>
              <w:rPr>
                <w:snapToGrid w:val="0"/>
                <w:color w:val="000000"/>
                <w:kern w:val="14"/>
                <w:sz w:val="18"/>
              </w:rPr>
            </w:pPr>
            <w:r>
              <w:rPr>
                <w:rFonts w:hint="eastAsia"/>
                <w:snapToGrid w:val="0"/>
                <w:color w:val="000000"/>
                <w:kern w:val="14"/>
                <w:sz w:val="18"/>
              </w:rPr>
              <w:t>公共部门</w:t>
            </w:r>
          </w:p>
        </w:tc>
        <w:tc>
          <w:tcPr>
            <w:tcW w:w="749" w:type="pct"/>
            <w:shd w:val="clear" w:color="auto" w:fill="FFFFFF"/>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265.1</w:t>
            </w:r>
          </w:p>
        </w:tc>
        <w:tc>
          <w:tcPr>
            <w:tcW w:w="652" w:type="pct"/>
            <w:shd w:val="clear" w:color="auto" w:fill="FFFFFF"/>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36.7</w:t>
            </w:r>
          </w:p>
        </w:tc>
        <w:tc>
          <w:tcPr>
            <w:tcW w:w="635" w:type="pct"/>
            <w:shd w:val="clear" w:color="auto" w:fill="FFFFFF"/>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143</w:t>
            </w:r>
          </w:p>
        </w:tc>
        <w:tc>
          <w:tcPr>
            <w:tcW w:w="641" w:type="pct"/>
            <w:shd w:val="clear" w:color="auto" w:fill="FFFFFF"/>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19</w:t>
            </w:r>
          </w:p>
        </w:tc>
        <w:tc>
          <w:tcPr>
            <w:tcW w:w="641" w:type="pct"/>
            <w:shd w:val="clear" w:color="auto" w:fill="FFFFFF"/>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65</w:t>
            </w:r>
          </w:p>
        </w:tc>
        <w:tc>
          <w:tcPr>
            <w:tcW w:w="565" w:type="pct"/>
            <w:shd w:val="clear" w:color="auto" w:fill="FFFFFF"/>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35</w:t>
            </w:r>
          </w:p>
        </w:tc>
      </w:tr>
      <w:tr w:rsidR="00595751">
        <w:trPr>
          <w:cantSplit/>
          <w:trHeight w:val="20"/>
        </w:trPr>
        <w:tc>
          <w:tcPr>
            <w:tcW w:w="1117" w:type="pct"/>
            <w:shd w:val="clear" w:color="auto" w:fill="FFFFFF"/>
            <w:tcMar>
              <w:top w:w="28" w:type="dxa"/>
              <w:left w:w="57" w:type="dxa"/>
              <w:bottom w:w="28" w:type="dxa"/>
              <w:right w:w="57" w:type="dxa"/>
            </w:tcMar>
            <w:vAlign w:val="center"/>
          </w:tcPr>
          <w:p w:rsidR="00595751" w:rsidRDefault="00595751">
            <w:pPr>
              <w:spacing w:line="360" w:lineRule="exact"/>
              <w:rPr>
                <w:snapToGrid w:val="0"/>
                <w:color w:val="000000"/>
                <w:kern w:val="14"/>
                <w:sz w:val="18"/>
              </w:rPr>
            </w:pPr>
            <w:r>
              <w:rPr>
                <w:rFonts w:hint="eastAsia"/>
                <w:snapToGrid w:val="0"/>
                <w:color w:val="000000"/>
                <w:kern w:val="14"/>
                <w:sz w:val="18"/>
              </w:rPr>
              <w:t>私营部门</w:t>
            </w:r>
          </w:p>
        </w:tc>
        <w:tc>
          <w:tcPr>
            <w:tcW w:w="749" w:type="pct"/>
            <w:shd w:val="clear" w:color="auto" w:fill="FFFFFF"/>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457.9</w:t>
            </w:r>
          </w:p>
        </w:tc>
        <w:tc>
          <w:tcPr>
            <w:tcW w:w="652" w:type="pct"/>
            <w:shd w:val="clear" w:color="auto" w:fill="FFFFFF"/>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63.3</w:t>
            </w:r>
          </w:p>
        </w:tc>
        <w:tc>
          <w:tcPr>
            <w:tcW w:w="635" w:type="pct"/>
            <w:shd w:val="clear" w:color="auto" w:fill="FFFFFF"/>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608</w:t>
            </w:r>
          </w:p>
        </w:tc>
        <w:tc>
          <w:tcPr>
            <w:tcW w:w="641" w:type="pct"/>
            <w:shd w:val="clear" w:color="auto" w:fill="FFFFFF"/>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81</w:t>
            </w:r>
          </w:p>
        </w:tc>
        <w:tc>
          <w:tcPr>
            <w:tcW w:w="641" w:type="pct"/>
            <w:shd w:val="clear" w:color="auto" w:fill="FFFFFF"/>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43</w:t>
            </w:r>
          </w:p>
        </w:tc>
        <w:tc>
          <w:tcPr>
            <w:tcW w:w="565" w:type="pct"/>
            <w:shd w:val="clear" w:color="auto" w:fill="FFFFFF"/>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57</w:t>
            </w:r>
          </w:p>
        </w:tc>
      </w:tr>
    </w:tbl>
    <w:p w:rsidR="00595751" w:rsidRDefault="00595751">
      <w:pPr>
        <w:spacing w:line="360" w:lineRule="exact"/>
        <w:rPr>
          <w:color w:val="000000"/>
          <w:kern w:val="14"/>
          <w:sz w:val="18"/>
          <w:lang w:val="en-GB"/>
        </w:rPr>
      </w:pPr>
      <w:r>
        <w:rPr>
          <w:rFonts w:hint="eastAsia"/>
          <w:color w:val="000000"/>
          <w:kern w:val="14"/>
          <w:sz w:val="18"/>
          <w:lang w:val="en-GB"/>
        </w:rPr>
        <w:t>立陶宛政府统计部。</w:t>
      </w:r>
    </w:p>
    <w:p w:rsidR="00595751" w:rsidRDefault="00595751">
      <w:pPr>
        <w:rPr>
          <w:color w:val="000000"/>
          <w:lang w:val="en-GB"/>
        </w:rPr>
      </w:pPr>
    </w:p>
    <w:p w:rsidR="00595751" w:rsidRDefault="00595751">
      <w:pPr>
        <w:spacing w:after="240" w:line="240" w:lineRule="exact"/>
        <w:jc w:val="center"/>
        <w:rPr>
          <w:rFonts w:eastAsia="SimHei" w:hint="eastAsia"/>
          <w:caps/>
          <w:snapToGrid w:val="0"/>
          <w:color w:val="FF0000"/>
          <w:kern w:val="14"/>
          <w:lang w:val="en-GB"/>
        </w:rPr>
      </w:pPr>
      <w:r>
        <w:rPr>
          <w:rFonts w:eastAsia="SimHei"/>
          <w:caps/>
          <w:snapToGrid w:val="0"/>
          <w:color w:val="FF0000"/>
          <w:kern w:val="14"/>
          <w:lang w:val="en-GB"/>
        </w:rPr>
        <w:br w:type="page"/>
      </w:r>
      <w:r>
        <w:rPr>
          <w:rFonts w:eastAsia="SimHei" w:hint="eastAsia"/>
          <w:caps/>
          <w:snapToGrid w:val="0"/>
          <w:color w:val="FF0000"/>
          <w:kern w:val="14"/>
          <w:lang w:val="en-GB"/>
        </w:rPr>
        <w:t>表</w:t>
      </w:r>
      <w:r>
        <w:rPr>
          <w:rFonts w:eastAsia="SimHei"/>
          <w:caps/>
          <w:snapToGrid w:val="0"/>
          <w:color w:val="FF0000"/>
          <w:kern w:val="14"/>
          <w:lang w:val="en-GB"/>
        </w:rPr>
        <w:t xml:space="preserve"> </w:t>
      </w:r>
      <w:r>
        <w:rPr>
          <w:rFonts w:eastAsia="SimHei" w:hint="eastAsia"/>
          <w:caps/>
          <w:snapToGrid w:val="0"/>
          <w:color w:val="FF0000"/>
          <w:kern w:val="14"/>
          <w:lang w:val="en-GB"/>
        </w:rPr>
        <w:t>10</w:t>
      </w:r>
      <w:r>
        <w:rPr>
          <w:rFonts w:eastAsia="SimHei"/>
          <w:caps/>
          <w:snapToGrid w:val="0"/>
          <w:color w:val="FF0000"/>
          <w:kern w:val="14"/>
          <w:lang w:val="en-GB"/>
        </w:rPr>
        <w:t xml:space="preserve">. </w:t>
      </w:r>
      <w:r>
        <w:rPr>
          <w:rFonts w:eastAsia="SimHei" w:hint="eastAsia"/>
          <w:caps/>
          <w:snapToGrid w:val="0"/>
          <w:color w:val="FF0000"/>
          <w:kern w:val="14"/>
          <w:lang w:val="en-GB"/>
        </w:rPr>
        <w:t xml:space="preserve"> 2006</w:t>
      </w:r>
      <w:r>
        <w:rPr>
          <w:rFonts w:eastAsia="SimHei" w:hint="eastAsia"/>
          <w:caps/>
          <w:snapToGrid w:val="0"/>
          <w:color w:val="FF0000"/>
          <w:kern w:val="14"/>
          <w:lang w:val="en-GB"/>
        </w:rPr>
        <w:t>年就业人口（按部门分列）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7"/>
        <w:gridCol w:w="1509"/>
        <w:gridCol w:w="1277"/>
        <w:gridCol w:w="1301"/>
        <w:gridCol w:w="1277"/>
        <w:gridCol w:w="1339"/>
        <w:gridCol w:w="1084"/>
      </w:tblGrid>
      <w:tr w:rsidR="00595751">
        <w:trPr>
          <w:cantSplit/>
          <w:trHeight w:val="20"/>
        </w:trPr>
        <w:tc>
          <w:tcPr>
            <w:tcW w:w="1092" w:type="pct"/>
            <w:vMerge w:val="restart"/>
            <w:tcMar>
              <w:top w:w="28" w:type="dxa"/>
              <w:left w:w="57" w:type="dxa"/>
              <w:bottom w:w="28" w:type="dxa"/>
              <w:right w:w="57" w:type="dxa"/>
            </w:tcMar>
            <w:vAlign w:val="center"/>
          </w:tcPr>
          <w:p w:rsidR="00595751" w:rsidRDefault="00595751">
            <w:pPr>
              <w:tabs>
                <w:tab w:val="left" w:pos="3960"/>
              </w:tabs>
              <w:jc w:val="center"/>
              <w:rPr>
                <w:sz w:val="24"/>
                <w:szCs w:val="24"/>
              </w:rPr>
            </w:pPr>
          </w:p>
        </w:tc>
        <w:tc>
          <w:tcPr>
            <w:tcW w:w="1398" w:type="pct"/>
            <w:gridSpan w:val="2"/>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女</w:t>
            </w:r>
          </w:p>
        </w:tc>
        <w:tc>
          <w:tcPr>
            <w:tcW w:w="1294" w:type="pct"/>
            <w:gridSpan w:val="2"/>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男</w:t>
            </w:r>
          </w:p>
        </w:tc>
        <w:tc>
          <w:tcPr>
            <w:tcW w:w="1217" w:type="pct"/>
            <w:gridSpan w:val="2"/>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性别分布</w:t>
            </w:r>
            <w:r>
              <w:rPr>
                <w:rFonts w:eastAsia="SimHei"/>
                <w:snapToGrid w:val="0"/>
                <w:color w:val="FF0000"/>
                <w:kern w:val="14"/>
                <w:sz w:val="18"/>
              </w:rPr>
              <w:t xml:space="preserve"> %</w:t>
            </w:r>
          </w:p>
        </w:tc>
      </w:tr>
      <w:tr w:rsidR="00595751">
        <w:trPr>
          <w:cantSplit/>
          <w:trHeight w:val="20"/>
        </w:trPr>
        <w:tc>
          <w:tcPr>
            <w:tcW w:w="1092" w:type="pct"/>
            <w:vMerge/>
            <w:tcMar>
              <w:top w:w="28" w:type="dxa"/>
              <w:left w:w="57" w:type="dxa"/>
              <w:bottom w:w="28" w:type="dxa"/>
              <w:right w:w="57" w:type="dxa"/>
            </w:tcMar>
            <w:vAlign w:val="center"/>
          </w:tcPr>
          <w:p w:rsidR="00595751" w:rsidRDefault="00595751">
            <w:pPr>
              <w:tabs>
                <w:tab w:val="left" w:pos="3960"/>
              </w:tabs>
              <w:jc w:val="center"/>
              <w:rPr>
                <w:sz w:val="24"/>
                <w:szCs w:val="24"/>
              </w:rPr>
            </w:pPr>
          </w:p>
        </w:tc>
        <w:tc>
          <w:tcPr>
            <w:tcW w:w="757"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千</w:t>
            </w:r>
          </w:p>
        </w:tc>
        <w:tc>
          <w:tcPr>
            <w:tcW w:w="640" w:type="pct"/>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snapToGrid w:val="0"/>
                <w:color w:val="FF0000"/>
                <w:kern w:val="14"/>
                <w:sz w:val="18"/>
              </w:rPr>
              <w:t>%</w:t>
            </w:r>
          </w:p>
        </w:tc>
        <w:tc>
          <w:tcPr>
            <w:tcW w:w="653"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千</w:t>
            </w:r>
          </w:p>
        </w:tc>
        <w:tc>
          <w:tcPr>
            <w:tcW w:w="640" w:type="pct"/>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snapToGrid w:val="0"/>
                <w:color w:val="FF0000"/>
                <w:kern w:val="14"/>
                <w:sz w:val="18"/>
              </w:rPr>
              <w:t>%</w:t>
            </w:r>
          </w:p>
        </w:tc>
        <w:tc>
          <w:tcPr>
            <w:tcW w:w="672"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女</w:t>
            </w:r>
          </w:p>
        </w:tc>
        <w:tc>
          <w:tcPr>
            <w:tcW w:w="545"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男</w:t>
            </w:r>
          </w:p>
        </w:tc>
      </w:tr>
      <w:tr w:rsidR="00595751">
        <w:trPr>
          <w:cantSplit/>
          <w:trHeight w:val="20"/>
        </w:trPr>
        <w:tc>
          <w:tcPr>
            <w:tcW w:w="1092" w:type="pct"/>
            <w:tcMar>
              <w:top w:w="28" w:type="dxa"/>
              <w:left w:w="57" w:type="dxa"/>
              <w:bottom w:w="28" w:type="dxa"/>
              <w:right w:w="57" w:type="dxa"/>
            </w:tcMar>
            <w:vAlign w:val="center"/>
          </w:tcPr>
          <w:p w:rsidR="00595751" w:rsidRDefault="00595751">
            <w:pPr>
              <w:spacing w:line="360" w:lineRule="exact"/>
              <w:rPr>
                <w:snapToGrid w:val="0"/>
                <w:color w:val="000000"/>
                <w:kern w:val="14"/>
                <w:sz w:val="18"/>
              </w:rPr>
            </w:pPr>
            <w:r>
              <w:rPr>
                <w:rFonts w:hint="eastAsia"/>
                <w:snapToGrid w:val="0"/>
                <w:color w:val="000000"/>
                <w:kern w:val="14"/>
                <w:sz w:val="18"/>
              </w:rPr>
              <w:t>公共部门</w:t>
            </w:r>
          </w:p>
        </w:tc>
        <w:tc>
          <w:tcPr>
            <w:tcW w:w="75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267.1</w:t>
            </w:r>
          </w:p>
        </w:tc>
        <w:tc>
          <w:tcPr>
            <w:tcW w:w="640"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35.9</w:t>
            </w:r>
          </w:p>
        </w:tc>
        <w:tc>
          <w:tcPr>
            <w:tcW w:w="653"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127.4</w:t>
            </w:r>
          </w:p>
        </w:tc>
        <w:tc>
          <w:tcPr>
            <w:tcW w:w="640"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16.9</w:t>
            </w:r>
          </w:p>
        </w:tc>
        <w:tc>
          <w:tcPr>
            <w:tcW w:w="672"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67.7</w:t>
            </w:r>
          </w:p>
        </w:tc>
        <w:tc>
          <w:tcPr>
            <w:tcW w:w="545"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32.3</w:t>
            </w:r>
          </w:p>
        </w:tc>
      </w:tr>
      <w:tr w:rsidR="00595751">
        <w:trPr>
          <w:cantSplit/>
          <w:trHeight w:val="20"/>
        </w:trPr>
        <w:tc>
          <w:tcPr>
            <w:tcW w:w="1092" w:type="pct"/>
            <w:tcMar>
              <w:top w:w="28" w:type="dxa"/>
              <w:left w:w="57" w:type="dxa"/>
              <w:bottom w:w="28" w:type="dxa"/>
              <w:right w:w="57" w:type="dxa"/>
            </w:tcMar>
            <w:vAlign w:val="center"/>
          </w:tcPr>
          <w:p w:rsidR="00595751" w:rsidRDefault="00595751">
            <w:pPr>
              <w:spacing w:line="360" w:lineRule="exact"/>
              <w:rPr>
                <w:snapToGrid w:val="0"/>
                <w:color w:val="000000"/>
                <w:kern w:val="14"/>
                <w:sz w:val="18"/>
              </w:rPr>
            </w:pPr>
            <w:r>
              <w:rPr>
                <w:rFonts w:hint="eastAsia"/>
                <w:snapToGrid w:val="0"/>
                <w:color w:val="000000"/>
                <w:kern w:val="14"/>
                <w:sz w:val="18"/>
              </w:rPr>
              <w:t>私营部门</w:t>
            </w:r>
          </w:p>
        </w:tc>
        <w:tc>
          <w:tcPr>
            <w:tcW w:w="75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476.1</w:t>
            </w:r>
          </w:p>
        </w:tc>
        <w:tc>
          <w:tcPr>
            <w:tcW w:w="640"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64.1</w:t>
            </w:r>
          </w:p>
        </w:tc>
        <w:tc>
          <w:tcPr>
            <w:tcW w:w="653"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628.4</w:t>
            </w:r>
          </w:p>
        </w:tc>
        <w:tc>
          <w:tcPr>
            <w:tcW w:w="640"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83.1</w:t>
            </w:r>
          </w:p>
        </w:tc>
        <w:tc>
          <w:tcPr>
            <w:tcW w:w="672"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43.1</w:t>
            </w:r>
          </w:p>
        </w:tc>
        <w:tc>
          <w:tcPr>
            <w:tcW w:w="545"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56.9</w:t>
            </w:r>
          </w:p>
        </w:tc>
      </w:tr>
    </w:tbl>
    <w:p w:rsidR="00595751" w:rsidRDefault="00595751">
      <w:pPr>
        <w:spacing w:line="360" w:lineRule="exact"/>
        <w:rPr>
          <w:color w:val="000000"/>
          <w:kern w:val="14"/>
          <w:sz w:val="18"/>
          <w:lang w:val="en-GB"/>
        </w:rPr>
      </w:pPr>
      <w:r>
        <w:rPr>
          <w:rFonts w:hint="eastAsia"/>
          <w:color w:val="000000"/>
          <w:kern w:val="14"/>
          <w:sz w:val="18"/>
          <w:lang w:val="en-GB"/>
        </w:rPr>
        <w:t>立陶宛政府统计部。</w:t>
      </w:r>
    </w:p>
    <w:p w:rsidR="00595751" w:rsidRDefault="00595751">
      <w:pPr>
        <w:rPr>
          <w:color w:val="000000"/>
          <w:lang w:val="en-GB"/>
        </w:rPr>
      </w:pPr>
    </w:p>
    <w:p w:rsidR="00595751" w:rsidRDefault="00595751">
      <w:pPr>
        <w:spacing w:after="240" w:line="240" w:lineRule="exact"/>
        <w:jc w:val="center"/>
        <w:rPr>
          <w:rFonts w:eastAsia="SimHei"/>
          <w:caps/>
          <w:snapToGrid w:val="0"/>
          <w:color w:val="FF0000"/>
          <w:kern w:val="14"/>
          <w:lang w:val="en-GB"/>
        </w:rPr>
      </w:pPr>
      <w:r>
        <w:rPr>
          <w:rFonts w:eastAsia="SimHei" w:hint="eastAsia"/>
          <w:caps/>
          <w:snapToGrid w:val="0"/>
          <w:color w:val="FF0000"/>
          <w:kern w:val="14"/>
          <w:lang w:val="en-GB"/>
        </w:rPr>
        <w:t>表</w:t>
      </w:r>
      <w:r>
        <w:rPr>
          <w:rFonts w:eastAsia="SimHei"/>
          <w:caps/>
          <w:snapToGrid w:val="0"/>
          <w:color w:val="FF0000"/>
          <w:kern w:val="14"/>
          <w:lang w:val="en-GB"/>
        </w:rPr>
        <w:t xml:space="preserve"> 11.</w:t>
      </w:r>
      <w:r>
        <w:rPr>
          <w:rFonts w:eastAsia="SimHei" w:hint="eastAsia"/>
          <w:caps/>
          <w:snapToGrid w:val="0"/>
          <w:color w:val="FF0000"/>
          <w:kern w:val="14"/>
          <w:lang w:val="en-GB"/>
        </w:rPr>
        <w:t>劳动力、就业者和失业者人数</w:t>
      </w:r>
    </w:p>
    <w:p w:rsidR="00595751" w:rsidRDefault="00595751">
      <w:pPr>
        <w:spacing w:after="240" w:line="240" w:lineRule="exact"/>
        <w:jc w:val="center"/>
        <w:rPr>
          <w:rFonts w:hint="eastAsia"/>
          <w:caps/>
          <w:snapToGrid w:val="0"/>
          <w:color w:val="000000"/>
          <w:kern w:val="14"/>
          <w:sz w:val="18"/>
          <w:lang w:val="en-GB"/>
        </w:rPr>
      </w:pPr>
      <w:r>
        <w:rPr>
          <w:rFonts w:hint="eastAsia"/>
          <w:caps/>
          <w:snapToGrid w:val="0"/>
          <w:color w:val="000000"/>
          <w:kern w:val="14"/>
          <w:sz w:val="18"/>
          <w:lang w:val="en-GB"/>
        </w:rPr>
        <w:t>（以千计）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9"/>
        <w:gridCol w:w="1464"/>
        <w:gridCol w:w="1268"/>
        <w:gridCol w:w="1313"/>
        <w:gridCol w:w="1267"/>
        <w:gridCol w:w="1313"/>
        <w:gridCol w:w="1090"/>
      </w:tblGrid>
      <w:tr w:rsidR="00595751">
        <w:trPr>
          <w:cantSplit/>
          <w:trHeight w:val="20"/>
        </w:trPr>
        <w:tc>
          <w:tcPr>
            <w:tcW w:w="1128" w:type="pct"/>
            <w:vMerge w:val="restart"/>
            <w:tcMar>
              <w:top w:w="28" w:type="dxa"/>
              <w:left w:w="57" w:type="dxa"/>
              <w:bottom w:w="28" w:type="dxa"/>
              <w:right w:w="57" w:type="dxa"/>
            </w:tcMar>
          </w:tcPr>
          <w:p w:rsidR="00595751" w:rsidRDefault="00595751">
            <w:pPr>
              <w:spacing w:line="360" w:lineRule="exact"/>
              <w:jc w:val="center"/>
              <w:rPr>
                <w:rFonts w:eastAsia="SimHei"/>
                <w:snapToGrid w:val="0"/>
                <w:color w:val="FF0000"/>
                <w:kern w:val="14"/>
                <w:sz w:val="18"/>
              </w:rPr>
            </w:pPr>
            <w:r>
              <w:rPr>
                <w:rFonts w:eastAsia="SimHei"/>
                <w:snapToGrid w:val="0"/>
                <w:color w:val="FF0000"/>
                <w:kern w:val="14"/>
                <w:sz w:val="18"/>
              </w:rPr>
              <w:t> </w:t>
            </w:r>
          </w:p>
        </w:tc>
        <w:tc>
          <w:tcPr>
            <w:tcW w:w="1370" w:type="pct"/>
            <w:gridSpan w:val="2"/>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snapToGrid w:val="0"/>
                <w:color w:val="FF0000"/>
                <w:kern w:val="14"/>
                <w:sz w:val="18"/>
              </w:rPr>
              <w:t>2000</w:t>
            </w:r>
            <w:r>
              <w:rPr>
                <w:rFonts w:eastAsia="SimHei" w:hint="eastAsia"/>
                <w:snapToGrid w:val="0"/>
                <w:color w:val="FF0000"/>
                <w:kern w:val="14"/>
                <w:sz w:val="18"/>
              </w:rPr>
              <w:t>年</w:t>
            </w:r>
          </w:p>
        </w:tc>
        <w:tc>
          <w:tcPr>
            <w:tcW w:w="1295" w:type="pct"/>
            <w:gridSpan w:val="2"/>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snapToGrid w:val="0"/>
                <w:color w:val="FF0000"/>
                <w:kern w:val="14"/>
                <w:sz w:val="18"/>
              </w:rPr>
              <w:t>2005</w:t>
            </w:r>
            <w:r>
              <w:rPr>
                <w:rFonts w:eastAsia="SimHei" w:hint="eastAsia"/>
                <w:snapToGrid w:val="0"/>
                <w:color w:val="FF0000"/>
                <w:kern w:val="14"/>
                <w:sz w:val="18"/>
              </w:rPr>
              <w:t>年</w:t>
            </w:r>
          </w:p>
        </w:tc>
        <w:tc>
          <w:tcPr>
            <w:tcW w:w="1206" w:type="pct"/>
            <w:gridSpan w:val="2"/>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snapToGrid w:val="0"/>
                <w:color w:val="FF0000"/>
                <w:kern w:val="14"/>
                <w:sz w:val="18"/>
              </w:rPr>
              <w:t>2006</w:t>
            </w:r>
            <w:r>
              <w:rPr>
                <w:rFonts w:eastAsia="SimHei" w:hint="eastAsia"/>
                <w:snapToGrid w:val="0"/>
                <w:color w:val="FF0000"/>
                <w:kern w:val="14"/>
                <w:sz w:val="18"/>
              </w:rPr>
              <w:t>年</w:t>
            </w:r>
          </w:p>
        </w:tc>
      </w:tr>
      <w:tr w:rsidR="00595751">
        <w:trPr>
          <w:cantSplit/>
          <w:trHeight w:val="20"/>
        </w:trPr>
        <w:tc>
          <w:tcPr>
            <w:tcW w:w="1128" w:type="pct"/>
            <w:vMerge/>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p>
        </w:tc>
        <w:tc>
          <w:tcPr>
            <w:tcW w:w="734"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女</w:t>
            </w:r>
          </w:p>
        </w:tc>
        <w:tc>
          <w:tcPr>
            <w:tcW w:w="636"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男</w:t>
            </w:r>
          </w:p>
        </w:tc>
        <w:tc>
          <w:tcPr>
            <w:tcW w:w="659"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女</w:t>
            </w:r>
          </w:p>
        </w:tc>
        <w:tc>
          <w:tcPr>
            <w:tcW w:w="636"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男</w:t>
            </w:r>
          </w:p>
        </w:tc>
        <w:tc>
          <w:tcPr>
            <w:tcW w:w="659"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女</w:t>
            </w:r>
          </w:p>
        </w:tc>
        <w:tc>
          <w:tcPr>
            <w:tcW w:w="547"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男</w:t>
            </w:r>
          </w:p>
        </w:tc>
      </w:tr>
      <w:tr w:rsidR="00595751">
        <w:trPr>
          <w:cantSplit/>
          <w:trHeight w:val="20"/>
        </w:trPr>
        <w:tc>
          <w:tcPr>
            <w:tcW w:w="1128" w:type="pct"/>
            <w:tcMar>
              <w:top w:w="28" w:type="dxa"/>
              <w:left w:w="57" w:type="dxa"/>
              <w:bottom w:w="28" w:type="dxa"/>
              <w:right w:w="57" w:type="dxa"/>
            </w:tcMar>
          </w:tcPr>
          <w:p w:rsidR="00595751" w:rsidRDefault="00595751">
            <w:pPr>
              <w:spacing w:line="360" w:lineRule="exact"/>
              <w:rPr>
                <w:snapToGrid w:val="0"/>
                <w:color w:val="000000"/>
                <w:kern w:val="14"/>
                <w:sz w:val="18"/>
              </w:rPr>
            </w:pPr>
            <w:r>
              <w:rPr>
                <w:rFonts w:hint="eastAsia"/>
                <w:snapToGrid w:val="0"/>
                <w:color w:val="000000"/>
                <w:kern w:val="14"/>
                <w:sz w:val="18"/>
              </w:rPr>
              <w:t>劳动力总数</w:t>
            </w:r>
          </w:p>
        </w:tc>
        <w:tc>
          <w:tcPr>
            <w:tcW w:w="734"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826.5</w:t>
            </w:r>
          </w:p>
        </w:tc>
        <w:tc>
          <w:tcPr>
            <w:tcW w:w="636"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845</w:t>
            </w:r>
          </w:p>
        </w:tc>
        <w:tc>
          <w:tcPr>
            <w:tcW w:w="65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788.8</w:t>
            </w:r>
          </w:p>
        </w:tc>
        <w:tc>
          <w:tcPr>
            <w:tcW w:w="636"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818</w:t>
            </w:r>
          </w:p>
        </w:tc>
        <w:tc>
          <w:tcPr>
            <w:tcW w:w="65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785.7</w:t>
            </w:r>
          </w:p>
        </w:tc>
        <w:tc>
          <w:tcPr>
            <w:tcW w:w="54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802.6</w:t>
            </w:r>
          </w:p>
        </w:tc>
      </w:tr>
      <w:tr w:rsidR="00595751">
        <w:trPr>
          <w:cantSplit/>
          <w:trHeight w:val="20"/>
        </w:trPr>
        <w:tc>
          <w:tcPr>
            <w:tcW w:w="1128" w:type="pct"/>
            <w:tcMar>
              <w:top w:w="28" w:type="dxa"/>
              <w:left w:w="57" w:type="dxa"/>
              <w:bottom w:w="28" w:type="dxa"/>
              <w:right w:w="57" w:type="dxa"/>
            </w:tcMar>
          </w:tcPr>
          <w:p w:rsidR="00595751" w:rsidRDefault="00595751">
            <w:pPr>
              <w:spacing w:line="360" w:lineRule="exact"/>
              <w:rPr>
                <w:snapToGrid w:val="0"/>
                <w:color w:val="000000"/>
                <w:kern w:val="14"/>
                <w:sz w:val="18"/>
              </w:rPr>
            </w:pPr>
            <w:r>
              <w:rPr>
                <w:rFonts w:hint="eastAsia"/>
                <w:snapToGrid w:val="0"/>
                <w:color w:val="000000"/>
                <w:kern w:val="14"/>
                <w:sz w:val="18"/>
              </w:rPr>
              <w:t>就业人数</w:t>
            </w:r>
          </w:p>
        </w:tc>
        <w:tc>
          <w:tcPr>
            <w:tcW w:w="734"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711.3</w:t>
            </w:r>
          </w:p>
        </w:tc>
        <w:tc>
          <w:tcPr>
            <w:tcW w:w="636"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686.5</w:t>
            </w:r>
          </w:p>
        </w:tc>
        <w:tc>
          <w:tcPr>
            <w:tcW w:w="65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723</w:t>
            </w:r>
          </w:p>
        </w:tc>
        <w:tc>
          <w:tcPr>
            <w:tcW w:w="636"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750.9</w:t>
            </w:r>
          </w:p>
        </w:tc>
        <w:tc>
          <w:tcPr>
            <w:tcW w:w="65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743.2</w:t>
            </w:r>
          </w:p>
        </w:tc>
        <w:tc>
          <w:tcPr>
            <w:tcW w:w="54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755.8</w:t>
            </w:r>
          </w:p>
        </w:tc>
      </w:tr>
      <w:tr w:rsidR="00595751">
        <w:trPr>
          <w:cantSplit/>
          <w:trHeight w:val="20"/>
        </w:trPr>
        <w:tc>
          <w:tcPr>
            <w:tcW w:w="1128" w:type="pct"/>
            <w:tcMar>
              <w:top w:w="28" w:type="dxa"/>
              <w:left w:w="57" w:type="dxa"/>
              <w:bottom w:w="28" w:type="dxa"/>
              <w:right w:w="57" w:type="dxa"/>
            </w:tcMar>
          </w:tcPr>
          <w:p w:rsidR="00595751" w:rsidRDefault="00595751">
            <w:pPr>
              <w:spacing w:line="360" w:lineRule="exact"/>
              <w:rPr>
                <w:rFonts w:hint="eastAsia"/>
                <w:snapToGrid w:val="0"/>
                <w:color w:val="000000"/>
                <w:kern w:val="14"/>
                <w:sz w:val="18"/>
              </w:rPr>
            </w:pPr>
            <w:r>
              <w:rPr>
                <w:rFonts w:hint="eastAsia"/>
                <w:snapToGrid w:val="0"/>
                <w:color w:val="000000"/>
                <w:kern w:val="14"/>
                <w:sz w:val="18"/>
              </w:rPr>
              <w:t>失业人数</w:t>
            </w:r>
          </w:p>
        </w:tc>
        <w:tc>
          <w:tcPr>
            <w:tcW w:w="734"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115.2</w:t>
            </w:r>
          </w:p>
        </w:tc>
        <w:tc>
          <w:tcPr>
            <w:tcW w:w="636"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158.5</w:t>
            </w:r>
          </w:p>
        </w:tc>
        <w:tc>
          <w:tcPr>
            <w:tcW w:w="65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65.8</w:t>
            </w:r>
          </w:p>
        </w:tc>
        <w:tc>
          <w:tcPr>
            <w:tcW w:w="636"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67.1</w:t>
            </w:r>
          </w:p>
        </w:tc>
        <w:tc>
          <w:tcPr>
            <w:tcW w:w="659"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42.6</w:t>
            </w:r>
          </w:p>
        </w:tc>
        <w:tc>
          <w:tcPr>
            <w:tcW w:w="547" w:type="pct"/>
            <w:tcMar>
              <w:top w:w="28" w:type="dxa"/>
              <w:left w:w="57" w:type="dxa"/>
              <w:bottom w:w="28" w:type="dxa"/>
              <w:right w:w="57" w:type="dxa"/>
            </w:tcMar>
            <w:vAlign w:val="cente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46.7</w:t>
            </w:r>
          </w:p>
        </w:tc>
      </w:tr>
    </w:tbl>
    <w:p w:rsidR="00595751" w:rsidRDefault="00595751">
      <w:pPr>
        <w:spacing w:line="360" w:lineRule="exact"/>
        <w:rPr>
          <w:color w:val="000000"/>
          <w:kern w:val="14"/>
          <w:sz w:val="18"/>
          <w:lang w:val="en-GB"/>
        </w:rPr>
      </w:pPr>
      <w:r>
        <w:rPr>
          <w:rFonts w:hint="eastAsia"/>
          <w:color w:val="000000"/>
          <w:kern w:val="14"/>
          <w:sz w:val="18"/>
          <w:lang w:val="en-GB"/>
        </w:rPr>
        <w:t>立陶宛政府统计部。</w:t>
      </w:r>
    </w:p>
    <w:p w:rsidR="00595751" w:rsidRDefault="00595751">
      <w:pPr>
        <w:rPr>
          <w:color w:val="000000"/>
          <w:lang w:val="en-GB"/>
        </w:rPr>
      </w:pPr>
    </w:p>
    <w:p w:rsidR="00595751" w:rsidRDefault="00595751">
      <w:pPr>
        <w:spacing w:after="240" w:line="240" w:lineRule="exact"/>
        <w:jc w:val="center"/>
        <w:rPr>
          <w:rFonts w:eastAsia="SimHei"/>
          <w:caps/>
          <w:snapToGrid w:val="0"/>
          <w:color w:val="FF0000"/>
          <w:kern w:val="14"/>
          <w:lang w:val="en-GB"/>
        </w:rPr>
      </w:pPr>
      <w:r>
        <w:rPr>
          <w:rFonts w:eastAsia="SimHei" w:hint="eastAsia"/>
          <w:caps/>
          <w:snapToGrid w:val="0"/>
          <w:color w:val="FF0000"/>
          <w:kern w:val="14"/>
          <w:lang w:val="en-GB"/>
        </w:rPr>
        <w:t>表</w:t>
      </w:r>
      <w:r>
        <w:rPr>
          <w:rFonts w:eastAsia="SimHei"/>
          <w:caps/>
          <w:snapToGrid w:val="0"/>
          <w:color w:val="FF0000"/>
          <w:kern w:val="14"/>
          <w:lang w:val="en-GB"/>
        </w:rPr>
        <w:t xml:space="preserve"> 12. </w:t>
      </w:r>
      <w:r>
        <w:rPr>
          <w:rFonts w:eastAsia="SimHei" w:hint="eastAsia"/>
          <w:caps/>
          <w:snapToGrid w:val="0"/>
          <w:color w:val="FF0000"/>
          <w:kern w:val="14"/>
          <w:lang w:val="en-GB"/>
        </w:rPr>
        <w:t>劳动力活动率、就业率和失业率</w:t>
      </w:r>
    </w:p>
    <w:p w:rsidR="00595751" w:rsidRDefault="00595751">
      <w:pPr>
        <w:spacing w:after="240" w:line="240" w:lineRule="exact"/>
        <w:jc w:val="center"/>
        <w:rPr>
          <w:rFonts w:hint="eastAsia"/>
          <w:caps/>
          <w:snapToGrid w:val="0"/>
          <w:color w:val="000000"/>
          <w:kern w:val="14"/>
          <w:sz w:val="18"/>
          <w:lang w:val="en-GB"/>
        </w:rPr>
      </w:pPr>
      <w:r>
        <w:rPr>
          <w:rFonts w:hint="eastAsia"/>
          <w:caps/>
          <w:snapToGrid w:val="0"/>
          <w:color w:val="000000"/>
          <w:kern w:val="14"/>
          <w:sz w:val="18"/>
          <w:lang w:val="en-GB"/>
        </w:rPr>
        <w:t>（</w:t>
      </w:r>
      <w:r>
        <w:rPr>
          <w:caps/>
          <w:snapToGrid w:val="0"/>
          <w:color w:val="000000"/>
          <w:kern w:val="14"/>
          <w:sz w:val="18"/>
          <w:lang w:val="en-GB"/>
        </w:rPr>
        <w:t>%</w:t>
      </w:r>
      <w:r>
        <w:rPr>
          <w:rFonts w:hint="eastAsia"/>
          <w:caps/>
          <w:snapToGrid w:val="0"/>
          <w:color w:val="000000"/>
          <w:kern w:val="14"/>
          <w:sz w:val="18"/>
          <w:lang w:val="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2"/>
        <w:gridCol w:w="1293"/>
        <w:gridCol w:w="1283"/>
        <w:gridCol w:w="1098"/>
        <w:gridCol w:w="1040"/>
        <w:gridCol w:w="1230"/>
        <w:gridCol w:w="1078"/>
      </w:tblGrid>
      <w:tr w:rsidR="00595751">
        <w:trPr>
          <w:cantSplit/>
          <w:trHeight w:val="20"/>
        </w:trPr>
        <w:tc>
          <w:tcPr>
            <w:tcW w:w="1476" w:type="pct"/>
            <w:vMerge w:val="restart"/>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snapToGrid w:val="0"/>
                <w:color w:val="FF0000"/>
                <w:kern w:val="14"/>
                <w:sz w:val="18"/>
              </w:rPr>
              <w:t>15-64</w:t>
            </w:r>
            <w:r>
              <w:rPr>
                <w:rFonts w:eastAsia="SimHei" w:hint="eastAsia"/>
                <w:snapToGrid w:val="0"/>
                <w:color w:val="FF0000"/>
                <w:kern w:val="14"/>
                <w:sz w:val="18"/>
              </w:rPr>
              <w:t>岁</w:t>
            </w:r>
          </w:p>
        </w:tc>
        <w:tc>
          <w:tcPr>
            <w:tcW w:w="1293" w:type="pct"/>
            <w:gridSpan w:val="2"/>
            <w:tcMar>
              <w:top w:w="28" w:type="dxa"/>
              <w:left w:w="57" w:type="dxa"/>
              <w:bottom w:w="28" w:type="dxa"/>
              <w:right w:w="57" w:type="dxa"/>
            </w:tcMar>
          </w:tcPr>
          <w:p w:rsidR="00595751" w:rsidRDefault="00595751">
            <w:pPr>
              <w:spacing w:line="360" w:lineRule="exact"/>
              <w:jc w:val="center"/>
              <w:rPr>
                <w:rFonts w:eastAsia="SimHei" w:hint="eastAsia"/>
                <w:snapToGrid w:val="0"/>
                <w:color w:val="FF0000"/>
                <w:kern w:val="14"/>
                <w:sz w:val="18"/>
              </w:rPr>
            </w:pPr>
            <w:r>
              <w:rPr>
                <w:rFonts w:eastAsia="SimHei"/>
                <w:snapToGrid w:val="0"/>
                <w:color w:val="FF0000"/>
                <w:kern w:val="14"/>
                <w:sz w:val="18"/>
              </w:rPr>
              <w:t>2000</w:t>
            </w:r>
            <w:r>
              <w:rPr>
                <w:rFonts w:eastAsia="SimHei" w:hint="eastAsia"/>
                <w:snapToGrid w:val="0"/>
                <w:color w:val="FF0000"/>
                <w:kern w:val="14"/>
                <w:sz w:val="18"/>
              </w:rPr>
              <w:t>年</w:t>
            </w:r>
          </w:p>
        </w:tc>
        <w:tc>
          <w:tcPr>
            <w:tcW w:w="1073" w:type="pct"/>
            <w:gridSpan w:val="2"/>
            <w:tcMar>
              <w:top w:w="28" w:type="dxa"/>
              <w:left w:w="57" w:type="dxa"/>
              <w:bottom w:w="28" w:type="dxa"/>
              <w:right w:w="57" w:type="dxa"/>
            </w:tcMar>
          </w:tcPr>
          <w:p w:rsidR="00595751" w:rsidRDefault="00595751">
            <w:pPr>
              <w:spacing w:line="360" w:lineRule="exact"/>
              <w:jc w:val="center"/>
              <w:rPr>
                <w:rFonts w:eastAsia="SimHei" w:hint="eastAsia"/>
                <w:snapToGrid w:val="0"/>
                <w:color w:val="FF0000"/>
                <w:kern w:val="14"/>
                <w:sz w:val="18"/>
              </w:rPr>
            </w:pPr>
            <w:r>
              <w:rPr>
                <w:rFonts w:eastAsia="SimHei"/>
                <w:snapToGrid w:val="0"/>
                <w:color w:val="FF0000"/>
                <w:kern w:val="14"/>
                <w:sz w:val="18"/>
              </w:rPr>
              <w:t>2005</w:t>
            </w:r>
            <w:r>
              <w:rPr>
                <w:rFonts w:eastAsia="SimHei" w:hint="eastAsia"/>
                <w:snapToGrid w:val="0"/>
                <w:color w:val="FF0000"/>
                <w:kern w:val="14"/>
                <w:sz w:val="18"/>
              </w:rPr>
              <w:t>年</w:t>
            </w:r>
          </w:p>
        </w:tc>
        <w:tc>
          <w:tcPr>
            <w:tcW w:w="1159" w:type="pct"/>
            <w:gridSpan w:val="2"/>
            <w:tcMar>
              <w:top w:w="28" w:type="dxa"/>
              <w:left w:w="57" w:type="dxa"/>
              <w:bottom w:w="28" w:type="dxa"/>
              <w:right w:w="57" w:type="dxa"/>
            </w:tcMar>
          </w:tcPr>
          <w:p w:rsidR="00595751" w:rsidRDefault="00595751">
            <w:pPr>
              <w:spacing w:line="360" w:lineRule="exact"/>
              <w:jc w:val="center"/>
              <w:rPr>
                <w:rFonts w:eastAsia="SimHei" w:hint="eastAsia"/>
                <w:snapToGrid w:val="0"/>
                <w:color w:val="FF0000"/>
                <w:kern w:val="14"/>
                <w:sz w:val="18"/>
              </w:rPr>
            </w:pPr>
            <w:r>
              <w:rPr>
                <w:rFonts w:eastAsia="SimHei"/>
                <w:snapToGrid w:val="0"/>
                <w:color w:val="FF0000"/>
                <w:kern w:val="14"/>
                <w:sz w:val="18"/>
              </w:rPr>
              <w:t>2006</w:t>
            </w:r>
            <w:r>
              <w:rPr>
                <w:rFonts w:eastAsia="SimHei" w:hint="eastAsia"/>
                <w:snapToGrid w:val="0"/>
                <w:color w:val="FF0000"/>
                <w:kern w:val="14"/>
                <w:sz w:val="18"/>
              </w:rPr>
              <w:t>年</w:t>
            </w:r>
          </w:p>
        </w:tc>
      </w:tr>
      <w:tr w:rsidR="00595751">
        <w:trPr>
          <w:cantSplit/>
          <w:trHeight w:val="20"/>
        </w:trPr>
        <w:tc>
          <w:tcPr>
            <w:tcW w:w="1476" w:type="pct"/>
            <w:vMerge/>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p>
        </w:tc>
        <w:tc>
          <w:tcPr>
            <w:tcW w:w="649"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女</w:t>
            </w:r>
          </w:p>
        </w:tc>
        <w:tc>
          <w:tcPr>
            <w:tcW w:w="644"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男</w:t>
            </w:r>
          </w:p>
        </w:tc>
        <w:tc>
          <w:tcPr>
            <w:tcW w:w="551"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女</w:t>
            </w:r>
          </w:p>
        </w:tc>
        <w:tc>
          <w:tcPr>
            <w:tcW w:w="522"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男</w:t>
            </w:r>
          </w:p>
        </w:tc>
        <w:tc>
          <w:tcPr>
            <w:tcW w:w="617"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女</w:t>
            </w:r>
          </w:p>
        </w:tc>
        <w:tc>
          <w:tcPr>
            <w:tcW w:w="541" w:type="pct"/>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男</w:t>
            </w:r>
          </w:p>
        </w:tc>
      </w:tr>
      <w:tr w:rsidR="00595751">
        <w:trPr>
          <w:cantSplit/>
          <w:trHeight w:val="20"/>
        </w:trPr>
        <w:tc>
          <w:tcPr>
            <w:tcW w:w="1476" w:type="pct"/>
            <w:tcMar>
              <w:top w:w="28" w:type="dxa"/>
              <w:left w:w="57" w:type="dxa"/>
              <w:bottom w:w="28" w:type="dxa"/>
              <w:right w:w="57" w:type="dxa"/>
            </w:tcMar>
            <w:vAlign w:val="bottom"/>
          </w:tcPr>
          <w:p w:rsidR="00595751" w:rsidRDefault="00595751">
            <w:pPr>
              <w:spacing w:line="360" w:lineRule="exact"/>
              <w:rPr>
                <w:rFonts w:hint="eastAsia"/>
                <w:snapToGrid w:val="0"/>
                <w:color w:val="000000"/>
                <w:kern w:val="14"/>
                <w:sz w:val="18"/>
              </w:rPr>
            </w:pPr>
            <w:r>
              <w:rPr>
                <w:rFonts w:hint="eastAsia"/>
                <w:snapToGrid w:val="0"/>
                <w:color w:val="000000"/>
                <w:kern w:val="14"/>
                <w:sz w:val="18"/>
              </w:rPr>
              <w:t>劳动力活动率</w:t>
            </w:r>
          </w:p>
        </w:tc>
        <w:tc>
          <w:tcPr>
            <w:tcW w:w="649"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67.1</w:t>
            </w:r>
          </w:p>
        </w:tc>
        <w:tc>
          <w:tcPr>
            <w:tcW w:w="64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74.2</w:t>
            </w:r>
          </w:p>
        </w:tc>
        <w:tc>
          <w:tcPr>
            <w:tcW w:w="55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64.9</w:t>
            </w:r>
          </w:p>
        </w:tc>
        <w:tc>
          <w:tcPr>
            <w:tcW w:w="5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72</w:t>
            </w:r>
          </w:p>
        </w:tc>
        <w:tc>
          <w:tcPr>
            <w:tcW w:w="617"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64.6</w:t>
            </w:r>
          </w:p>
        </w:tc>
        <w:tc>
          <w:tcPr>
            <w:tcW w:w="54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70.5</w:t>
            </w:r>
          </w:p>
        </w:tc>
      </w:tr>
      <w:tr w:rsidR="00595751">
        <w:trPr>
          <w:cantSplit/>
          <w:trHeight w:val="20"/>
        </w:trPr>
        <w:tc>
          <w:tcPr>
            <w:tcW w:w="1476" w:type="pct"/>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就业率</w:t>
            </w:r>
          </w:p>
        </w:tc>
        <w:tc>
          <w:tcPr>
            <w:tcW w:w="649"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57.5</w:t>
            </w:r>
          </w:p>
        </w:tc>
        <w:tc>
          <w:tcPr>
            <w:tcW w:w="64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60.1</w:t>
            </w:r>
          </w:p>
        </w:tc>
        <w:tc>
          <w:tcPr>
            <w:tcW w:w="55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59.4</w:t>
            </w:r>
          </w:p>
        </w:tc>
        <w:tc>
          <w:tcPr>
            <w:tcW w:w="5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66</w:t>
            </w:r>
          </w:p>
        </w:tc>
        <w:tc>
          <w:tcPr>
            <w:tcW w:w="617"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61</w:t>
            </w:r>
          </w:p>
        </w:tc>
        <w:tc>
          <w:tcPr>
            <w:tcW w:w="54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66.3</w:t>
            </w:r>
          </w:p>
        </w:tc>
      </w:tr>
      <w:tr w:rsidR="00595751">
        <w:trPr>
          <w:cantSplit/>
          <w:trHeight w:val="20"/>
        </w:trPr>
        <w:tc>
          <w:tcPr>
            <w:tcW w:w="1476" w:type="pct"/>
            <w:tcMar>
              <w:top w:w="28" w:type="dxa"/>
              <w:left w:w="57" w:type="dxa"/>
              <w:bottom w:w="28" w:type="dxa"/>
              <w:right w:w="57" w:type="dxa"/>
            </w:tcMar>
            <w:vAlign w:val="bottom"/>
          </w:tcPr>
          <w:p w:rsidR="00595751" w:rsidRDefault="00595751">
            <w:pPr>
              <w:spacing w:line="360" w:lineRule="exact"/>
              <w:rPr>
                <w:snapToGrid w:val="0"/>
                <w:color w:val="000000"/>
                <w:kern w:val="14"/>
                <w:sz w:val="18"/>
              </w:rPr>
            </w:pPr>
            <w:r>
              <w:rPr>
                <w:rFonts w:hint="eastAsia"/>
                <w:snapToGrid w:val="0"/>
                <w:color w:val="000000"/>
                <w:kern w:val="14"/>
                <w:sz w:val="18"/>
              </w:rPr>
              <w:t>失业率</w:t>
            </w:r>
            <w:r>
              <w:rPr>
                <w:snapToGrid w:val="0"/>
                <w:color w:val="000000"/>
                <w:kern w:val="14"/>
                <w:sz w:val="18"/>
              </w:rPr>
              <w:t>*</w:t>
            </w:r>
          </w:p>
        </w:tc>
        <w:tc>
          <w:tcPr>
            <w:tcW w:w="649"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13.9</w:t>
            </w:r>
          </w:p>
        </w:tc>
        <w:tc>
          <w:tcPr>
            <w:tcW w:w="644"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18.8</w:t>
            </w:r>
          </w:p>
        </w:tc>
        <w:tc>
          <w:tcPr>
            <w:tcW w:w="55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8.3</w:t>
            </w:r>
          </w:p>
        </w:tc>
        <w:tc>
          <w:tcPr>
            <w:tcW w:w="522"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8.2</w:t>
            </w:r>
          </w:p>
        </w:tc>
        <w:tc>
          <w:tcPr>
            <w:tcW w:w="617"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5.4</w:t>
            </w:r>
          </w:p>
        </w:tc>
        <w:tc>
          <w:tcPr>
            <w:tcW w:w="541" w:type="pct"/>
            <w:tcMar>
              <w:top w:w="28" w:type="dxa"/>
              <w:left w:w="57" w:type="dxa"/>
              <w:bottom w:w="28" w:type="dxa"/>
              <w:right w:w="57" w:type="dxa"/>
            </w:tcMar>
            <w:vAlign w:val="bottom"/>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5.8</w:t>
            </w:r>
          </w:p>
        </w:tc>
      </w:tr>
    </w:tbl>
    <w:p w:rsidR="00595751" w:rsidRDefault="00595751">
      <w:pPr>
        <w:spacing w:line="360" w:lineRule="exact"/>
        <w:rPr>
          <w:rFonts w:hint="eastAsia"/>
          <w:color w:val="000000"/>
          <w:kern w:val="14"/>
          <w:sz w:val="18"/>
          <w:lang w:val="en-GB"/>
        </w:rPr>
      </w:pPr>
      <w:r>
        <w:rPr>
          <w:rFonts w:hint="eastAsia"/>
          <w:color w:val="000000"/>
          <w:kern w:val="14"/>
          <w:sz w:val="18"/>
          <w:lang w:val="en-GB"/>
        </w:rPr>
        <w:t>立陶宛政府统计部。</w:t>
      </w:r>
    </w:p>
    <w:p w:rsidR="00595751" w:rsidRDefault="00595751">
      <w:pPr>
        <w:spacing w:line="360" w:lineRule="exact"/>
        <w:rPr>
          <w:rFonts w:hint="eastAsia"/>
          <w:color w:val="000000"/>
          <w:kern w:val="14"/>
          <w:sz w:val="18"/>
          <w:lang w:val="en-GB"/>
        </w:rPr>
      </w:pPr>
      <w:r>
        <w:rPr>
          <w:color w:val="000000"/>
          <w:kern w:val="14"/>
          <w:sz w:val="18"/>
          <w:lang w:val="en-GB"/>
        </w:rPr>
        <w:t>*</w:t>
      </w:r>
      <w:r>
        <w:rPr>
          <w:rFonts w:hint="eastAsia"/>
          <w:color w:val="000000"/>
          <w:kern w:val="14"/>
          <w:sz w:val="18"/>
          <w:lang w:val="en-GB"/>
        </w:rPr>
        <w:t xml:space="preserve"> </w:t>
      </w:r>
      <w:r>
        <w:rPr>
          <w:rFonts w:hint="eastAsia"/>
          <w:color w:val="000000"/>
          <w:kern w:val="14"/>
          <w:sz w:val="18"/>
          <w:lang w:val="en-GB"/>
        </w:rPr>
        <w:t>计算</w:t>
      </w:r>
      <w:r>
        <w:rPr>
          <w:rFonts w:hint="eastAsia"/>
          <w:color w:val="000000"/>
          <w:kern w:val="14"/>
          <w:sz w:val="18"/>
          <w:lang w:val="en-GB"/>
        </w:rPr>
        <w:t>15</w:t>
      </w:r>
      <w:r>
        <w:rPr>
          <w:rFonts w:hint="eastAsia"/>
          <w:color w:val="000000"/>
          <w:kern w:val="14"/>
          <w:sz w:val="18"/>
          <w:lang w:val="en-GB"/>
        </w:rPr>
        <w:t>岁及以上人口。</w:t>
      </w:r>
    </w:p>
    <w:p w:rsidR="00595751" w:rsidRDefault="00595751">
      <w:pPr>
        <w:tabs>
          <w:tab w:val="left" w:pos="900"/>
          <w:tab w:val="left" w:pos="1440"/>
          <w:tab w:val="left" w:pos="2592"/>
          <w:tab w:val="left" w:pos="3240"/>
          <w:tab w:val="left" w:pos="3888"/>
          <w:tab w:val="left" w:pos="3960"/>
          <w:tab w:val="left" w:pos="5185"/>
          <w:tab w:val="left" w:pos="6481"/>
          <w:tab w:val="left" w:pos="7777"/>
          <w:tab w:val="left" w:pos="9072"/>
          <w:tab w:val="left" w:pos="10335"/>
        </w:tabs>
        <w:suppressAutoHyphens/>
        <w:rPr>
          <w:rFonts w:hint="eastAsia"/>
          <w:sz w:val="24"/>
          <w:szCs w:val="24"/>
        </w:rPr>
      </w:pPr>
    </w:p>
    <w:p w:rsidR="00595751" w:rsidRDefault="00595751">
      <w:pPr>
        <w:spacing w:after="240" w:line="240" w:lineRule="exact"/>
        <w:jc w:val="center"/>
        <w:rPr>
          <w:rFonts w:eastAsia="SimHei"/>
          <w:caps/>
          <w:snapToGrid w:val="0"/>
          <w:color w:val="FF0000"/>
          <w:kern w:val="14"/>
          <w:lang w:val="en-GB"/>
        </w:rPr>
      </w:pPr>
      <w:r>
        <w:rPr>
          <w:rFonts w:eastAsia="SimHei"/>
          <w:caps/>
          <w:snapToGrid w:val="0"/>
          <w:color w:val="FF0000"/>
          <w:kern w:val="14"/>
          <w:lang w:val="en-GB"/>
        </w:rPr>
        <w:br w:type="page"/>
      </w:r>
      <w:r>
        <w:rPr>
          <w:rFonts w:eastAsia="SimHei" w:hint="eastAsia"/>
          <w:caps/>
          <w:snapToGrid w:val="0"/>
          <w:color w:val="FF0000"/>
          <w:kern w:val="14"/>
          <w:lang w:val="en-GB"/>
        </w:rPr>
        <w:t>表</w:t>
      </w:r>
      <w:r>
        <w:rPr>
          <w:rFonts w:eastAsia="SimHei"/>
          <w:caps/>
          <w:snapToGrid w:val="0"/>
          <w:color w:val="FF0000"/>
          <w:kern w:val="14"/>
          <w:lang w:val="en-GB"/>
        </w:rPr>
        <w:t xml:space="preserve"> 13. </w:t>
      </w:r>
      <w:r>
        <w:rPr>
          <w:rFonts w:eastAsia="SimHei" w:hint="eastAsia"/>
          <w:caps/>
          <w:snapToGrid w:val="0"/>
          <w:color w:val="FF0000"/>
          <w:kern w:val="14"/>
          <w:lang w:val="en-GB"/>
        </w:rPr>
        <w:t>立陶宛医疗堕胎动态</w:t>
      </w:r>
    </w:p>
    <w:p w:rsidR="00595751" w:rsidRDefault="00595751">
      <w:pPr>
        <w:spacing w:after="240" w:line="240" w:lineRule="exact"/>
        <w:jc w:val="center"/>
        <w:rPr>
          <w:rFonts w:hint="eastAsia"/>
          <w:caps/>
          <w:snapToGrid w:val="0"/>
          <w:color w:val="000000"/>
          <w:kern w:val="14"/>
          <w:sz w:val="18"/>
          <w:lang w:val="en-GB"/>
        </w:rPr>
      </w:pPr>
      <w:r>
        <w:rPr>
          <w:rFonts w:hint="eastAsia"/>
          <w:caps/>
          <w:snapToGrid w:val="0"/>
          <w:color w:val="000000"/>
          <w:kern w:val="14"/>
          <w:sz w:val="18"/>
          <w:lang w:val="en-GB"/>
        </w:rPr>
        <w:t>（按给定单位计算）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8"/>
        <w:gridCol w:w="2299"/>
        <w:gridCol w:w="2618"/>
        <w:gridCol w:w="2520"/>
      </w:tblGrid>
      <w:tr w:rsidR="00595751">
        <w:trPr>
          <w:cantSplit/>
          <w:trHeight w:val="20"/>
        </w:trPr>
        <w:tc>
          <w:tcPr>
            <w:tcW w:w="2298" w:type="dxa"/>
            <w:vMerge w:val="restart"/>
            <w:shd w:val="clear" w:color="auto" w:fill="FFFFFF"/>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年份</w:t>
            </w:r>
          </w:p>
        </w:tc>
        <w:tc>
          <w:tcPr>
            <w:tcW w:w="7437" w:type="dxa"/>
            <w:gridSpan w:val="3"/>
            <w:shd w:val="clear" w:color="auto" w:fill="FFFFFF"/>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医疗堕胎</w:t>
            </w:r>
          </w:p>
        </w:tc>
      </w:tr>
      <w:tr w:rsidR="00595751">
        <w:trPr>
          <w:cantSplit/>
          <w:trHeight w:val="20"/>
        </w:trPr>
        <w:tc>
          <w:tcPr>
            <w:tcW w:w="2298" w:type="dxa"/>
            <w:vMerge/>
            <w:shd w:val="clear" w:color="auto" w:fill="FFFFFF"/>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p>
        </w:tc>
        <w:tc>
          <w:tcPr>
            <w:tcW w:w="2299" w:type="dxa"/>
            <w:shd w:val="clear" w:color="auto" w:fill="FFFFFF"/>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每</w:t>
            </w:r>
            <w:r>
              <w:rPr>
                <w:rFonts w:eastAsia="SimHei"/>
                <w:snapToGrid w:val="0"/>
                <w:color w:val="FF0000"/>
                <w:kern w:val="14"/>
                <w:sz w:val="18"/>
              </w:rPr>
              <w:t xml:space="preserve">100 </w:t>
            </w:r>
            <w:r>
              <w:rPr>
                <w:rFonts w:eastAsia="SimHei" w:hint="eastAsia"/>
                <w:snapToGrid w:val="0"/>
                <w:color w:val="FF0000"/>
                <w:kern w:val="14"/>
                <w:sz w:val="18"/>
              </w:rPr>
              <w:t>名活产</w:t>
            </w:r>
          </w:p>
        </w:tc>
        <w:tc>
          <w:tcPr>
            <w:tcW w:w="2618" w:type="dxa"/>
            <w:shd w:val="clear" w:color="auto" w:fill="FFFFFF"/>
            <w:tcMar>
              <w:top w:w="28" w:type="dxa"/>
              <w:left w:w="57" w:type="dxa"/>
              <w:bottom w:w="28" w:type="dxa"/>
              <w:right w:w="57" w:type="dxa"/>
            </w:tcMar>
            <w:vAlign w:val="center"/>
          </w:tcPr>
          <w:p w:rsidR="00595751" w:rsidRDefault="00595751">
            <w:pPr>
              <w:spacing w:line="360" w:lineRule="exact"/>
              <w:jc w:val="center"/>
              <w:rPr>
                <w:rFonts w:eastAsia="SimHei" w:hint="eastAsia"/>
                <w:snapToGrid w:val="0"/>
                <w:color w:val="FF0000"/>
                <w:kern w:val="14"/>
                <w:sz w:val="18"/>
              </w:rPr>
            </w:pPr>
            <w:r>
              <w:rPr>
                <w:rFonts w:eastAsia="SimHei" w:hint="eastAsia"/>
                <w:snapToGrid w:val="0"/>
                <w:color w:val="FF0000"/>
                <w:kern w:val="14"/>
                <w:sz w:val="18"/>
              </w:rPr>
              <w:t>每</w:t>
            </w:r>
            <w:r>
              <w:rPr>
                <w:rFonts w:eastAsia="SimHei"/>
                <w:snapToGrid w:val="0"/>
                <w:color w:val="FF0000"/>
                <w:kern w:val="14"/>
                <w:sz w:val="18"/>
              </w:rPr>
              <w:t>1</w:t>
            </w:r>
            <w:r>
              <w:rPr>
                <w:rFonts w:eastAsia="SimHei" w:hint="eastAsia"/>
                <w:snapToGrid w:val="0"/>
                <w:color w:val="FF0000"/>
                <w:kern w:val="14"/>
                <w:sz w:val="18"/>
              </w:rPr>
              <w:t xml:space="preserve"> </w:t>
            </w:r>
            <w:r>
              <w:rPr>
                <w:rFonts w:eastAsia="SimHei"/>
                <w:snapToGrid w:val="0"/>
                <w:color w:val="FF0000"/>
                <w:kern w:val="14"/>
                <w:sz w:val="18"/>
              </w:rPr>
              <w:t xml:space="preserve">000 </w:t>
            </w:r>
            <w:r>
              <w:rPr>
                <w:rFonts w:eastAsia="SimHei" w:hint="eastAsia"/>
                <w:snapToGrid w:val="0"/>
                <w:color w:val="FF0000"/>
                <w:kern w:val="14"/>
                <w:sz w:val="18"/>
              </w:rPr>
              <w:t>名育龄妇女（</w:t>
            </w:r>
            <w:r>
              <w:rPr>
                <w:rFonts w:eastAsia="SimHei"/>
                <w:snapToGrid w:val="0"/>
                <w:color w:val="FF0000"/>
                <w:kern w:val="14"/>
                <w:sz w:val="18"/>
              </w:rPr>
              <w:t>15-49</w:t>
            </w:r>
            <w:r>
              <w:rPr>
                <w:rFonts w:eastAsia="SimHei" w:hint="eastAsia"/>
                <w:snapToGrid w:val="0"/>
                <w:color w:val="FF0000"/>
                <w:kern w:val="14"/>
                <w:sz w:val="18"/>
              </w:rPr>
              <w:t>岁）</w:t>
            </w:r>
          </w:p>
        </w:tc>
        <w:tc>
          <w:tcPr>
            <w:tcW w:w="2520" w:type="dxa"/>
            <w:shd w:val="clear" w:color="auto" w:fill="FFFFFF"/>
            <w:tcMar>
              <w:top w:w="28" w:type="dxa"/>
              <w:left w:w="57" w:type="dxa"/>
              <w:bottom w:w="28" w:type="dxa"/>
              <w:right w:w="57" w:type="dxa"/>
            </w:tcMar>
            <w:vAlign w:val="center"/>
          </w:tcPr>
          <w:p w:rsidR="00595751" w:rsidRDefault="00595751">
            <w:pPr>
              <w:spacing w:line="360" w:lineRule="exact"/>
              <w:jc w:val="center"/>
              <w:rPr>
                <w:rFonts w:eastAsia="SimHei"/>
                <w:snapToGrid w:val="0"/>
                <w:color w:val="FF0000"/>
                <w:kern w:val="14"/>
                <w:sz w:val="18"/>
              </w:rPr>
            </w:pPr>
            <w:r>
              <w:rPr>
                <w:rFonts w:eastAsia="SimHei" w:hint="eastAsia"/>
                <w:snapToGrid w:val="0"/>
                <w:color w:val="FF0000"/>
                <w:kern w:val="14"/>
                <w:sz w:val="18"/>
              </w:rPr>
              <w:t>绝对人数</w:t>
            </w:r>
          </w:p>
        </w:tc>
      </w:tr>
      <w:tr w:rsidR="00595751">
        <w:trPr>
          <w:cantSplit/>
          <w:trHeight w:val="20"/>
        </w:trPr>
        <w:tc>
          <w:tcPr>
            <w:tcW w:w="2298" w:type="dxa"/>
            <w:shd w:val="clear" w:color="auto" w:fill="FFFFFF"/>
            <w:tcMar>
              <w:top w:w="28" w:type="dxa"/>
              <w:left w:w="57" w:type="dxa"/>
              <w:bottom w:w="28" w:type="dxa"/>
              <w:right w:w="57" w:type="dxa"/>
            </w:tcMar>
          </w:tcPr>
          <w:p w:rsidR="00595751" w:rsidRDefault="00595751">
            <w:pPr>
              <w:spacing w:line="360" w:lineRule="exact"/>
              <w:rPr>
                <w:snapToGrid w:val="0"/>
                <w:color w:val="000000"/>
                <w:kern w:val="14"/>
                <w:sz w:val="18"/>
              </w:rPr>
            </w:pPr>
            <w:r>
              <w:rPr>
                <w:snapToGrid w:val="0"/>
                <w:color w:val="000000"/>
                <w:kern w:val="14"/>
                <w:sz w:val="18"/>
              </w:rPr>
              <w:t>1997</w:t>
            </w:r>
          </w:p>
        </w:tc>
        <w:tc>
          <w:tcPr>
            <w:tcW w:w="2299"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60.1</w:t>
            </w:r>
          </w:p>
        </w:tc>
        <w:tc>
          <w:tcPr>
            <w:tcW w:w="2618"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25.3</w:t>
            </w:r>
          </w:p>
        </w:tc>
        <w:tc>
          <w:tcPr>
            <w:tcW w:w="2520"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22</w:t>
            </w:r>
            <w:r>
              <w:rPr>
                <w:rFonts w:hint="eastAsia"/>
                <w:snapToGrid w:val="0"/>
                <w:color w:val="000000"/>
                <w:kern w:val="14"/>
                <w:sz w:val="18"/>
              </w:rPr>
              <w:t xml:space="preserve"> </w:t>
            </w:r>
            <w:r>
              <w:rPr>
                <w:snapToGrid w:val="0"/>
                <w:color w:val="000000"/>
                <w:kern w:val="14"/>
                <w:sz w:val="18"/>
              </w:rPr>
              <w:t>680</w:t>
            </w:r>
          </w:p>
        </w:tc>
      </w:tr>
      <w:tr w:rsidR="00595751">
        <w:trPr>
          <w:cantSplit/>
          <w:trHeight w:val="20"/>
        </w:trPr>
        <w:tc>
          <w:tcPr>
            <w:tcW w:w="2298" w:type="dxa"/>
            <w:shd w:val="clear" w:color="auto" w:fill="FFFFFF"/>
            <w:tcMar>
              <w:top w:w="28" w:type="dxa"/>
              <w:left w:w="57" w:type="dxa"/>
              <w:bottom w:w="28" w:type="dxa"/>
              <w:right w:w="57" w:type="dxa"/>
            </w:tcMar>
          </w:tcPr>
          <w:p w:rsidR="00595751" w:rsidRDefault="00595751">
            <w:pPr>
              <w:spacing w:line="360" w:lineRule="exact"/>
              <w:rPr>
                <w:snapToGrid w:val="0"/>
                <w:color w:val="000000"/>
                <w:kern w:val="14"/>
                <w:sz w:val="18"/>
              </w:rPr>
            </w:pPr>
            <w:r>
              <w:rPr>
                <w:snapToGrid w:val="0"/>
                <w:color w:val="000000"/>
                <w:kern w:val="14"/>
                <w:sz w:val="18"/>
              </w:rPr>
              <w:t>1998</w:t>
            </w:r>
          </w:p>
        </w:tc>
        <w:tc>
          <w:tcPr>
            <w:tcW w:w="2299"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56.9</w:t>
            </w:r>
          </w:p>
        </w:tc>
        <w:tc>
          <w:tcPr>
            <w:tcW w:w="2618"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23.5</w:t>
            </w:r>
          </w:p>
        </w:tc>
        <w:tc>
          <w:tcPr>
            <w:tcW w:w="2520"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21</w:t>
            </w:r>
            <w:r>
              <w:rPr>
                <w:rFonts w:hint="eastAsia"/>
                <w:snapToGrid w:val="0"/>
                <w:color w:val="000000"/>
                <w:kern w:val="14"/>
                <w:sz w:val="18"/>
              </w:rPr>
              <w:t xml:space="preserve"> </w:t>
            </w:r>
            <w:r>
              <w:rPr>
                <w:snapToGrid w:val="0"/>
                <w:color w:val="000000"/>
                <w:kern w:val="14"/>
                <w:sz w:val="18"/>
              </w:rPr>
              <w:t>022</w:t>
            </w:r>
          </w:p>
        </w:tc>
      </w:tr>
      <w:tr w:rsidR="00595751">
        <w:trPr>
          <w:cantSplit/>
          <w:trHeight w:val="20"/>
        </w:trPr>
        <w:tc>
          <w:tcPr>
            <w:tcW w:w="2298" w:type="dxa"/>
            <w:shd w:val="clear" w:color="auto" w:fill="FFFFFF"/>
            <w:tcMar>
              <w:top w:w="28" w:type="dxa"/>
              <w:left w:w="57" w:type="dxa"/>
              <w:bottom w:w="28" w:type="dxa"/>
              <w:right w:w="57" w:type="dxa"/>
            </w:tcMar>
          </w:tcPr>
          <w:p w:rsidR="00595751" w:rsidRDefault="00595751">
            <w:pPr>
              <w:spacing w:line="360" w:lineRule="exact"/>
              <w:rPr>
                <w:snapToGrid w:val="0"/>
                <w:color w:val="000000"/>
                <w:kern w:val="14"/>
                <w:sz w:val="18"/>
              </w:rPr>
            </w:pPr>
            <w:r>
              <w:rPr>
                <w:snapToGrid w:val="0"/>
                <w:color w:val="000000"/>
                <w:kern w:val="14"/>
                <w:sz w:val="18"/>
              </w:rPr>
              <w:t>1999</w:t>
            </w:r>
          </w:p>
        </w:tc>
        <w:tc>
          <w:tcPr>
            <w:tcW w:w="2299"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52.2</w:t>
            </w:r>
          </w:p>
        </w:tc>
        <w:tc>
          <w:tcPr>
            <w:tcW w:w="2618"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21.2</w:t>
            </w:r>
          </w:p>
        </w:tc>
        <w:tc>
          <w:tcPr>
            <w:tcW w:w="2520"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18</w:t>
            </w:r>
            <w:r>
              <w:rPr>
                <w:rFonts w:hint="eastAsia"/>
                <w:snapToGrid w:val="0"/>
                <w:color w:val="000000"/>
                <w:kern w:val="14"/>
                <w:sz w:val="18"/>
              </w:rPr>
              <w:t xml:space="preserve"> </w:t>
            </w:r>
            <w:r>
              <w:rPr>
                <w:snapToGrid w:val="0"/>
                <w:color w:val="000000"/>
                <w:kern w:val="14"/>
                <w:sz w:val="18"/>
              </w:rPr>
              <w:t>846</w:t>
            </w:r>
          </w:p>
        </w:tc>
      </w:tr>
      <w:tr w:rsidR="00595751">
        <w:trPr>
          <w:cantSplit/>
          <w:trHeight w:val="20"/>
        </w:trPr>
        <w:tc>
          <w:tcPr>
            <w:tcW w:w="2298" w:type="dxa"/>
            <w:shd w:val="clear" w:color="auto" w:fill="FFFFFF"/>
            <w:tcMar>
              <w:top w:w="28" w:type="dxa"/>
              <w:left w:w="57" w:type="dxa"/>
              <w:bottom w:w="28" w:type="dxa"/>
              <w:right w:w="57" w:type="dxa"/>
            </w:tcMar>
          </w:tcPr>
          <w:p w:rsidR="00595751" w:rsidRDefault="00595751">
            <w:pPr>
              <w:spacing w:line="360" w:lineRule="exact"/>
              <w:rPr>
                <w:snapToGrid w:val="0"/>
                <w:color w:val="000000"/>
                <w:kern w:val="14"/>
                <w:sz w:val="18"/>
              </w:rPr>
            </w:pPr>
            <w:r>
              <w:rPr>
                <w:snapToGrid w:val="0"/>
                <w:color w:val="000000"/>
                <w:kern w:val="14"/>
                <w:sz w:val="18"/>
              </w:rPr>
              <w:t>2000</w:t>
            </w:r>
          </w:p>
        </w:tc>
        <w:tc>
          <w:tcPr>
            <w:tcW w:w="2299"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48.1</w:t>
            </w:r>
          </w:p>
        </w:tc>
        <w:tc>
          <w:tcPr>
            <w:tcW w:w="2618"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18.4</w:t>
            </w:r>
          </w:p>
        </w:tc>
        <w:tc>
          <w:tcPr>
            <w:tcW w:w="2520"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16</w:t>
            </w:r>
            <w:r>
              <w:rPr>
                <w:rFonts w:hint="eastAsia"/>
                <w:snapToGrid w:val="0"/>
                <w:color w:val="000000"/>
                <w:kern w:val="14"/>
                <w:sz w:val="18"/>
              </w:rPr>
              <w:t xml:space="preserve"> </w:t>
            </w:r>
            <w:r>
              <w:rPr>
                <w:snapToGrid w:val="0"/>
                <w:color w:val="000000"/>
                <w:kern w:val="14"/>
                <w:sz w:val="18"/>
              </w:rPr>
              <w:t>259</w:t>
            </w:r>
          </w:p>
        </w:tc>
      </w:tr>
      <w:tr w:rsidR="00595751">
        <w:trPr>
          <w:cantSplit/>
          <w:trHeight w:val="20"/>
        </w:trPr>
        <w:tc>
          <w:tcPr>
            <w:tcW w:w="2298" w:type="dxa"/>
            <w:shd w:val="clear" w:color="auto" w:fill="FFFFFF"/>
            <w:tcMar>
              <w:top w:w="28" w:type="dxa"/>
              <w:left w:w="57" w:type="dxa"/>
              <w:bottom w:w="28" w:type="dxa"/>
              <w:right w:w="57" w:type="dxa"/>
            </w:tcMar>
          </w:tcPr>
          <w:p w:rsidR="00595751" w:rsidRDefault="00595751">
            <w:pPr>
              <w:spacing w:line="360" w:lineRule="exact"/>
              <w:rPr>
                <w:snapToGrid w:val="0"/>
                <w:color w:val="000000"/>
                <w:kern w:val="14"/>
                <w:sz w:val="18"/>
              </w:rPr>
            </w:pPr>
            <w:r>
              <w:rPr>
                <w:snapToGrid w:val="0"/>
                <w:color w:val="000000"/>
                <w:kern w:val="14"/>
                <w:sz w:val="18"/>
              </w:rPr>
              <w:t>2001</w:t>
            </w:r>
          </w:p>
        </w:tc>
        <w:tc>
          <w:tcPr>
            <w:tcW w:w="2299"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44</w:t>
            </w:r>
          </w:p>
        </w:tc>
        <w:tc>
          <w:tcPr>
            <w:tcW w:w="2618"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15.5</w:t>
            </w:r>
          </w:p>
        </w:tc>
        <w:tc>
          <w:tcPr>
            <w:tcW w:w="2520"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13</w:t>
            </w:r>
            <w:r>
              <w:rPr>
                <w:rFonts w:hint="eastAsia"/>
                <w:snapToGrid w:val="0"/>
                <w:color w:val="000000"/>
                <w:kern w:val="14"/>
                <w:sz w:val="18"/>
              </w:rPr>
              <w:t xml:space="preserve"> </w:t>
            </w:r>
            <w:r>
              <w:rPr>
                <w:snapToGrid w:val="0"/>
                <w:color w:val="000000"/>
                <w:kern w:val="14"/>
                <w:sz w:val="18"/>
              </w:rPr>
              <w:t>677</w:t>
            </w:r>
          </w:p>
        </w:tc>
      </w:tr>
      <w:tr w:rsidR="00595751">
        <w:trPr>
          <w:cantSplit/>
          <w:trHeight w:val="20"/>
        </w:trPr>
        <w:tc>
          <w:tcPr>
            <w:tcW w:w="2298" w:type="dxa"/>
            <w:shd w:val="clear" w:color="auto" w:fill="FFFFFF"/>
            <w:tcMar>
              <w:top w:w="28" w:type="dxa"/>
              <w:left w:w="57" w:type="dxa"/>
              <w:bottom w:w="28" w:type="dxa"/>
              <w:right w:w="57" w:type="dxa"/>
            </w:tcMar>
          </w:tcPr>
          <w:p w:rsidR="00595751" w:rsidRDefault="00595751">
            <w:pPr>
              <w:spacing w:line="360" w:lineRule="exact"/>
              <w:rPr>
                <w:snapToGrid w:val="0"/>
                <w:color w:val="000000"/>
                <w:kern w:val="14"/>
                <w:sz w:val="18"/>
              </w:rPr>
            </w:pPr>
            <w:r>
              <w:rPr>
                <w:snapToGrid w:val="0"/>
                <w:color w:val="000000"/>
                <w:kern w:val="14"/>
                <w:sz w:val="18"/>
              </w:rPr>
              <w:t>2002</w:t>
            </w:r>
          </w:p>
        </w:tc>
        <w:tc>
          <w:tcPr>
            <w:tcW w:w="2299"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42.5</w:t>
            </w:r>
          </w:p>
        </w:tc>
        <w:tc>
          <w:tcPr>
            <w:tcW w:w="2618"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14.1</w:t>
            </w:r>
          </w:p>
        </w:tc>
        <w:tc>
          <w:tcPr>
            <w:tcW w:w="2520"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12</w:t>
            </w:r>
            <w:r>
              <w:rPr>
                <w:rFonts w:hint="eastAsia"/>
                <w:snapToGrid w:val="0"/>
                <w:color w:val="000000"/>
                <w:kern w:val="14"/>
                <w:sz w:val="18"/>
              </w:rPr>
              <w:t xml:space="preserve"> </w:t>
            </w:r>
            <w:r>
              <w:rPr>
                <w:snapToGrid w:val="0"/>
                <w:color w:val="000000"/>
                <w:kern w:val="14"/>
                <w:sz w:val="18"/>
              </w:rPr>
              <w:t>495</w:t>
            </w:r>
          </w:p>
        </w:tc>
      </w:tr>
      <w:tr w:rsidR="00595751">
        <w:trPr>
          <w:cantSplit/>
          <w:trHeight w:val="20"/>
        </w:trPr>
        <w:tc>
          <w:tcPr>
            <w:tcW w:w="2298" w:type="dxa"/>
            <w:shd w:val="clear" w:color="auto" w:fill="FFFFFF"/>
            <w:tcMar>
              <w:top w:w="28" w:type="dxa"/>
              <w:left w:w="57" w:type="dxa"/>
              <w:bottom w:w="28" w:type="dxa"/>
              <w:right w:w="57" w:type="dxa"/>
            </w:tcMar>
          </w:tcPr>
          <w:p w:rsidR="00595751" w:rsidRDefault="00595751">
            <w:pPr>
              <w:spacing w:line="360" w:lineRule="exact"/>
              <w:rPr>
                <w:snapToGrid w:val="0"/>
                <w:color w:val="000000"/>
                <w:kern w:val="14"/>
                <w:sz w:val="18"/>
              </w:rPr>
            </w:pPr>
            <w:r>
              <w:rPr>
                <w:snapToGrid w:val="0"/>
                <w:color w:val="000000"/>
                <w:kern w:val="14"/>
                <w:sz w:val="18"/>
              </w:rPr>
              <w:t>2003</w:t>
            </w:r>
          </w:p>
        </w:tc>
        <w:tc>
          <w:tcPr>
            <w:tcW w:w="2299"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38.7</w:t>
            </w:r>
          </w:p>
        </w:tc>
        <w:tc>
          <w:tcPr>
            <w:tcW w:w="2618"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12.9</w:t>
            </w:r>
          </w:p>
        </w:tc>
        <w:tc>
          <w:tcPr>
            <w:tcW w:w="2520"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11</w:t>
            </w:r>
            <w:r>
              <w:rPr>
                <w:rFonts w:hint="eastAsia"/>
                <w:snapToGrid w:val="0"/>
                <w:color w:val="000000"/>
                <w:kern w:val="14"/>
                <w:sz w:val="18"/>
              </w:rPr>
              <w:t xml:space="preserve"> </w:t>
            </w:r>
            <w:r>
              <w:rPr>
                <w:snapToGrid w:val="0"/>
                <w:color w:val="000000"/>
                <w:kern w:val="14"/>
                <w:sz w:val="18"/>
              </w:rPr>
              <w:t>513</w:t>
            </w:r>
          </w:p>
        </w:tc>
      </w:tr>
      <w:tr w:rsidR="00595751">
        <w:trPr>
          <w:cantSplit/>
          <w:trHeight w:val="20"/>
        </w:trPr>
        <w:tc>
          <w:tcPr>
            <w:tcW w:w="2298" w:type="dxa"/>
            <w:shd w:val="clear" w:color="auto" w:fill="FFFFFF"/>
            <w:tcMar>
              <w:top w:w="28" w:type="dxa"/>
              <w:left w:w="57" w:type="dxa"/>
              <w:bottom w:w="28" w:type="dxa"/>
              <w:right w:w="57" w:type="dxa"/>
            </w:tcMar>
          </w:tcPr>
          <w:p w:rsidR="00595751" w:rsidRDefault="00595751">
            <w:pPr>
              <w:spacing w:line="360" w:lineRule="exact"/>
              <w:rPr>
                <w:snapToGrid w:val="0"/>
                <w:color w:val="000000"/>
                <w:kern w:val="14"/>
                <w:sz w:val="18"/>
              </w:rPr>
            </w:pPr>
            <w:r>
              <w:rPr>
                <w:snapToGrid w:val="0"/>
                <w:color w:val="000000"/>
                <w:kern w:val="14"/>
                <w:sz w:val="18"/>
              </w:rPr>
              <w:t>2004</w:t>
            </w:r>
          </w:p>
        </w:tc>
        <w:tc>
          <w:tcPr>
            <w:tcW w:w="2299"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36.1</w:t>
            </w:r>
          </w:p>
        </w:tc>
        <w:tc>
          <w:tcPr>
            <w:tcW w:w="2618"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12</w:t>
            </w:r>
          </w:p>
        </w:tc>
        <w:tc>
          <w:tcPr>
            <w:tcW w:w="2520"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10</w:t>
            </w:r>
            <w:r>
              <w:rPr>
                <w:rFonts w:hint="eastAsia"/>
                <w:snapToGrid w:val="0"/>
                <w:color w:val="000000"/>
                <w:kern w:val="14"/>
                <w:sz w:val="18"/>
              </w:rPr>
              <w:t xml:space="preserve"> </w:t>
            </w:r>
            <w:r>
              <w:rPr>
                <w:snapToGrid w:val="0"/>
                <w:color w:val="000000"/>
                <w:kern w:val="14"/>
                <w:sz w:val="18"/>
              </w:rPr>
              <w:t>644</w:t>
            </w:r>
          </w:p>
        </w:tc>
      </w:tr>
      <w:tr w:rsidR="00595751">
        <w:trPr>
          <w:cantSplit/>
          <w:trHeight w:val="20"/>
        </w:trPr>
        <w:tc>
          <w:tcPr>
            <w:tcW w:w="2298" w:type="dxa"/>
            <w:shd w:val="clear" w:color="auto" w:fill="FFFFFF"/>
            <w:tcMar>
              <w:top w:w="28" w:type="dxa"/>
              <w:left w:w="57" w:type="dxa"/>
              <w:bottom w:w="28" w:type="dxa"/>
              <w:right w:w="57" w:type="dxa"/>
            </w:tcMar>
          </w:tcPr>
          <w:p w:rsidR="00595751" w:rsidRDefault="00595751">
            <w:pPr>
              <w:spacing w:line="360" w:lineRule="exact"/>
              <w:rPr>
                <w:snapToGrid w:val="0"/>
                <w:color w:val="000000"/>
                <w:kern w:val="14"/>
                <w:sz w:val="18"/>
              </w:rPr>
            </w:pPr>
            <w:r>
              <w:rPr>
                <w:snapToGrid w:val="0"/>
                <w:color w:val="000000"/>
                <w:kern w:val="14"/>
                <w:sz w:val="18"/>
              </w:rPr>
              <w:t>2005</w:t>
            </w:r>
          </w:p>
        </w:tc>
        <w:tc>
          <w:tcPr>
            <w:tcW w:w="2299"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34.2</w:t>
            </w:r>
          </w:p>
        </w:tc>
        <w:tc>
          <w:tcPr>
            <w:tcW w:w="2618"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11.2</w:t>
            </w:r>
          </w:p>
        </w:tc>
        <w:tc>
          <w:tcPr>
            <w:tcW w:w="2520"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w:t>
            </w:r>
            <w:r>
              <w:rPr>
                <w:rFonts w:hint="eastAsia"/>
                <w:snapToGrid w:val="0"/>
                <w:color w:val="000000"/>
                <w:kern w:val="14"/>
                <w:sz w:val="18"/>
              </w:rPr>
              <w:t xml:space="preserve"> </w:t>
            </w:r>
            <w:r>
              <w:rPr>
                <w:snapToGrid w:val="0"/>
                <w:color w:val="000000"/>
                <w:kern w:val="14"/>
                <w:sz w:val="18"/>
              </w:rPr>
              <w:t>972</w:t>
            </w:r>
          </w:p>
        </w:tc>
      </w:tr>
      <w:tr w:rsidR="00595751">
        <w:trPr>
          <w:cantSplit/>
          <w:trHeight w:val="20"/>
        </w:trPr>
        <w:tc>
          <w:tcPr>
            <w:tcW w:w="2298" w:type="dxa"/>
            <w:shd w:val="clear" w:color="auto" w:fill="FFFFFF"/>
            <w:tcMar>
              <w:top w:w="28" w:type="dxa"/>
              <w:left w:w="57" w:type="dxa"/>
              <w:bottom w:w="28" w:type="dxa"/>
              <w:right w:w="57" w:type="dxa"/>
            </w:tcMar>
          </w:tcPr>
          <w:p w:rsidR="00595751" w:rsidRDefault="00595751">
            <w:pPr>
              <w:spacing w:line="360" w:lineRule="exact"/>
              <w:rPr>
                <w:snapToGrid w:val="0"/>
                <w:color w:val="000000"/>
                <w:kern w:val="14"/>
                <w:sz w:val="18"/>
              </w:rPr>
            </w:pPr>
            <w:r>
              <w:rPr>
                <w:snapToGrid w:val="0"/>
                <w:color w:val="000000"/>
                <w:kern w:val="14"/>
                <w:sz w:val="18"/>
              </w:rPr>
              <w:t>2006*</w:t>
            </w:r>
          </w:p>
        </w:tc>
        <w:tc>
          <w:tcPr>
            <w:tcW w:w="2299"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32.8</w:t>
            </w:r>
          </w:p>
        </w:tc>
        <w:tc>
          <w:tcPr>
            <w:tcW w:w="2618"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10.8</w:t>
            </w:r>
          </w:p>
        </w:tc>
        <w:tc>
          <w:tcPr>
            <w:tcW w:w="2520" w:type="dxa"/>
            <w:shd w:val="clear" w:color="auto" w:fill="FFFFFF"/>
            <w:tcMar>
              <w:top w:w="28" w:type="dxa"/>
              <w:left w:w="57" w:type="dxa"/>
              <w:bottom w:w="28" w:type="dxa"/>
              <w:right w:w="57" w:type="dxa"/>
            </w:tcMar>
          </w:tcPr>
          <w:p w:rsidR="00595751" w:rsidRDefault="00595751" w:rsidP="00DB491E">
            <w:pPr>
              <w:spacing w:line="360" w:lineRule="exact"/>
              <w:ind w:rightChars="100" w:right="31680"/>
              <w:jc w:val="right"/>
              <w:rPr>
                <w:snapToGrid w:val="0"/>
                <w:color w:val="000000"/>
                <w:kern w:val="14"/>
                <w:sz w:val="18"/>
              </w:rPr>
            </w:pPr>
            <w:r>
              <w:rPr>
                <w:snapToGrid w:val="0"/>
                <w:color w:val="000000"/>
                <w:kern w:val="14"/>
                <w:sz w:val="18"/>
              </w:rPr>
              <w:t>9</w:t>
            </w:r>
            <w:r>
              <w:rPr>
                <w:rFonts w:hint="eastAsia"/>
                <w:snapToGrid w:val="0"/>
                <w:color w:val="000000"/>
                <w:kern w:val="14"/>
                <w:sz w:val="18"/>
              </w:rPr>
              <w:t xml:space="preserve"> </w:t>
            </w:r>
            <w:r>
              <w:rPr>
                <w:snapToGrid w:val="0"/>
                <w:color w:val="000000"/>
                <w:kern w:val="14"/>
                <w:sz w:val="18"/>
              </w:rPr>
              <w:t>536</w:t>
            </w:r>
          </w:p>
        </w:tc>
      </w:tr>
    </w:tbl>
    <w:p w:rsidR="00595751" w:rsidRDefault="00595751">
      <w:pPr>
        <w:spacing w:line="360" w:lineRule="exact"/>
        <w:rPr>
          <w:rFonts w:hint="eastAsia"/>
          <w:color w:val="000000"/>
          <w:kern w:val="14"/>
          <w:sz w:val="18"/>
          <w:lang w:val="en-GB"/>
        </w:rPr>
      </w:pPr>
      <w:r>
        <w:rPr>
          <w:rFonts w:hint="eastAsia"/>
          <w:color w:val="000000"/>
          <w:kern w:val="14"/>
          <w:sz w:val="18"/>
          <w:lang w:val="en-GB"/>
        </w:rPr>
        <w:t>立陶宛卫生信息中心和立陶宛政府统计部。</w:t>
      </w:r>
    </w:p>
    <w:p w:rsidR="00595751" w:rsidRDefault="00595751">
      <w:pPr>
        <w:spacing w:line="360" w:lineRule="exact"/>
        <w:rPr>
          <w:rFonts w:hint="eastAsia"/>
          <w:color w:val="000000"/>
          <w:kern w:val="14"/>
          <w:sz w:val="18"/>
          <w:lang w:val="en-GB"/>
        </w:rPr>
      </w:pPr>
      <w:r>
        <w:rPr>
          <w:color w:val="000000"/>
          <w:kern w:val="14"/>
          <w:sz w:val="18"/>
          <w:lang w:val="en-GB"/>
        </w:rPr>
        <w:t>*</w:t>
      </w:r>
      <w:r>
        <w:rPr>
          <w:rFonts w:hint="eastAsia"/>
          <w:color w:val="000000"/>
          <w:kern w:val="14"/>
          <w:sz w:val="18"/>
          <w:lang w:val="en-GB"/>
        </w:rPr>
        <w:t xml:space="preserve"> </w:t>
      </w:r>
      <w:r>
        <w:rPr>
          <w:rFonts w:hint="eastAsia"/>
          <w:color w:val="000000"/>
          <w:kern w:val="14"/>
          <w:sz w:val="18"/>
          <w:lang w:val="en-GB"/>
        </w:rPr>
        <w:t>初步数据</w:t>
      </w:r>
    </w:p>
    <w:p w:rsidR="00595751" w:rsidRPr="00073BCA" w:rsidRDefault="00073BCA" w:rsidP="00073BCA">
      <w:pPr>
        <w:autoSpaceDE w:val="0"/>
        <w:autoSpaceDN w:val="0"/>
        <w:spacing w:line="240" w:lineRule="auto"/>
        <w:rPr>
          <w:rFonts w:hint="eastAsia"/>
          <w:color w:val="000000"/>
          <w:sz w:val="20"/>
          <w:szCs w:val="24"/>
        </w:rPr>
      </w:pPr>
      <w:r>
        <w:rPr>
          <w:rFonts w:hint="eastAsia"/>
          <w:noProof/>
          <w:color w:val="000000"/>
          <w:sz w:val="20"/>
          <w:szCs w:val="24"/>
        </w:rPr>
        <w:pict>
          <v:line id="_x0000_s1354" style="position:absolute;left:0;text-align:left;z-index:1;mso-position-horizontal:center" from="0,30pt" to="1in,30pt" strokeweight=".25pt"/>
        </w:pict>
      </w:r>
    </w:p>
    <w:sectPr w:rsidR="00595751" w:rsidRPr="00073BCA">
      <w:headerReference w:type="even" r:id="rId18"/>
      <w:headerReference w:type="default" r:id="rId19"/>
      <w:footerReference w:type="even" r:id="rId20"/>
      <w:footerReference w:type="default" r:id="rId21"/>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03T18:56:00Z" w:initials="Start">
    <w:p w:rsidR="002D1510" w:rsidRDefault="002D1510">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NO&gt;&gt;N07</w:t>
      </w:r>
      <w:r>
        <w:rPr>
          <w:rFonts w:hint="eastAsia"/>
        </w:rPr>
        <w:t>64512</w:t>
      </w:r>
      <w:r>
        <w:t>C&lt;&lt;ODS JOB NO&gt;&gt;</w:t>
      </w:r>
    </w:p>
    <w:p w:rsidR="002D1510" w:rsidRDefault="002D1510">
      <w:pPr>
        <w:pStyle w:val="CommentText"/>
      </w:pPr>
      <w:r>
        <w:t>&lt;&lt;ODS DOC SYMBOL1&gt;&gt;CEDAW/C/</w:t>
      </w:r>
      <w:r>
        <w:rPr>
          <w:rFonts w:hint="eastAsia"/>
        </w:rPr>
        <w:t>LTU</w:t>
      </w:r>
      <w:r>
        <w:t>/</w:t>
      </w:r>
      <w:r>
        <w:rPr>
          <w:rFonts w:hint="eastAsia"/>
        </w:rPr>
        <w:t>4</w:t>
      </w:r>
      <w:r>
        <w:t>&lt;&lt;ODS DOC SYMBOL1&gt;&gt;</w:t>
      </w:r>
    </w:p>
    <w:p w:rsidR="002D1510" w:rsidRDefault="002D151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EFC" w:rsidRDefault="00BA0EFC">
      <w:r>
        <w:separator/>
      </w:r>
    </w:p>
  </w:endnote>
  <w:endnote w:type="continuationSeparator" w:id="0">
    <w:p w:rsidR="00BA0EFC" w:rsidRDefault="00BA0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Arial Unicode MS"/>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FangSong_GB2312">
    <w:altName w:val="仿宋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510" w:rsidRDefault="002D151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D1510" w:rsidRDefault="002D151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510" w:rsidRDefault="002D151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D1510" w:rsidRDefault="002D151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510" w:rsidRDefault="002D1510" w:rsidP="00DB491E">
    <w:pPr>
      <w:pBdr>
        <w:top w:val="single" w:sz="4" w:space="1" w:color="auto"/>
      </w:pBdr>
      <w:tabs>
        <w:tab w:val="left" w:pos="-720"/>
      </w:tabs>
      <w:ind w:lef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sz w:val="18"/>
        <w:szCs w:val="24"/>
      </w:rPr>
      <w:t>秘书处于</w:t>
    </w:r>
    <w:r>
      <w:rPr>
        <w:rFonts w:hint="eastAsia"/>
        <w:sz w:val="18"/>
        <w:szCs w:val="24"/>
      </w:rPr>
      <w:t>2007</w:t>
    </w:r>
    <w:r>
      <w:rPr>
        <w:rFonts w:hint="eastAsia"/>
        <w:sz w:val="18"/>
        <w:szCs w:val="24"/>
      </w:rPr>
      <w:t>年</w:t>
    </w:r>
    <w:r>
      <w:rPr>
        <w:rFonts w:hint="eastAsia"/>
        <w:sz w:val="18"/>
        <w:szCs w:val="24"/>
      </w:rPr>
      <w:t>12</w:t>
    </w:r>
    <w:r>
      <w:rPr>
        <w:rFonts w:hint="eastAsia"/>
        <w:sz w:val="18"/>
        <w:szCs w:val="24"/>
      </w:rPr>
      <w:t>月</w:t>
    </w:r>
    <w:r>
      <w:rPr>
        <w:rFonts w:hint="eastAsia"/>
        <w:sz w:val="18"/>
        <w:szCs w:val="24"/>
      </w:rPr>
      <w:t>13</w:t>
    </w:r>
    <w:r>
      <w:rPr>
        <w:rFonts w:hint="eastAsia"/>
        <w:sz w:val="18"/>
        <w:szCs w:val="24"/>
      </w:rPr>
      <w:t>日收到立陶宛的第四次定期报告。</w:t>
    </w:r>
  </w:p>
  <w:p w:rsidR="002D1510" w:rsidRDefault="002D1510" w:rsidP="00DB491E">
    <w:pPr>
      <w:pStyle w:val="FootnoteText"/>
      <w:spacing w:afterLines="50" w:after="120" w:line="260" w:lineRule="exact"/>
      <w:ind w:firstLineChars="200" w:firstLine="31680"/>
      <w:jc w:val="both"/>
      <w:rPr>
        <w:rFonts w:eastAsia="SimSun" w:hint="eastAsia"/>
        <w:szCs w:val="24"/>
      </w:rPr>
    </w:pPr>
    <w:r>
      <w:rPr>
        <w:rFonts w:eastAsia="SimSun" w:hint="eastAsia"/>
        <w:szCs w:val="24"/>
      </w:rPr>
      <w:t>关于立陶宛政府提交的初次报告，见</w:t>
    </w:r>
    <w:r>
      <w:rPr>
        <w:rFonts w:eastAsia="SimSun"/>
        <w:szCs w:val="24"/>
      </w:rPr>
      <w:t>CEDAW/C/LTU/1</w:t>
    </w:r>
    <w:r>
      <w:rPr>
        <w:rFonts w:eastAsia="SimSun" w:hint="eastAsia"/>
        <w:szCs w:val="24"/>
      </w:rPr>
      <w:t>，该报告由委员会第二十三届会议审议。关于第二次定期报告，见</w:t>
    </w:r>
    <w:r>
      <w:rPr>
        <w:rFonts w:eastAsia="SimSun"/>
        <w:szCs w:val="24"/>
      </w:rPr>
      <w:t>CEDAW/C/LTU/2</w:t>
    </w:r>
    <w:r>
      <w:rPr>
        <w:rFonts w:eastAsia="SimSun" w:hint="eastAsia"/>
        <w:szCs w:val="24"/>
      </w:rPr>
      <w:t>，该报告由委员会第十七届会议审议。关于第三次定期报告，见</w:t>
    </w:r>
    <w:r>
      <w:rPr>
        <w:rFonts w:eastAsia="SimSun"/>
        <w:szCs w:val="24"/>
      </w:rPr>
      <w:t>CEDAW/C/LTU/3</w:t>
    </w:r>
    <w:r>
      <w:rPr>
        <w:rFonts w:eastAsia="SimSun" w:hint="eastAsia"/>
        <w:szCs w:val="24"/>
      </w:rPr>
      <w:t>。</w:t>
    </w:r>
  </w:p>
  <w:p w:rsidR="002D1510" w:rsidRDefault="002D1510" w:rsidP="00DB491E">
    <w:pPr>
      <w:pStyle w:val="FootnoteText"/>
      <w:spacing w:afterLines="50" w:after="120" w:line="260" w:lineRule="exact"/>
      <w:ind w:firstLineChars="200" w:firstLine="31680"/>
      <w:jc w:val="both"/>
      <w:rPr>
        <w:rFonts w:eastAsia="SimSun" w:hint="eastAsia"/>
        <w:szCs w:val="24"/>
      </w:rPr>
    </w:pPr>
  </w:p>
  <w:p w:rsidR="002D1510" w:rsidRDefault="002D1510">
    <w:pPr>
      <w:pStyle w:val="FootnoteText"/>
      <w:spacing w:afterLines="50" w:after="120"/>
      <w:rPr>
        <w:b/>
        <w:bCs/>
        <w:sz w:val="21"/>
      </w:rPr>
    </w:pPr>
    <w:r>
      <w:rPr>
        <w:rFonts w:hint="eastAsia"/>
        <w:sz w:val="21"/>
      </w:rPr>
      <w:t>0</w:t>
    </w:r>
    <w:r>
      <w:rPr>
        <w:sz w:val="21"/>
      </w:rPr>
      <w:t>7</w:t>
    </w:r>
    <w:r>
      <w:rPr>
        <w:rFonts w:hint="eastAsia"/>
        <w:sz w:val="21"/>
      </w:rPr>
      <w:t>-64512</w:t>
    </w:r>
    <w:r>
      <w:rPr>
        <w:sz w:val="21"/>
      </w:rPr>
      <w:t>(</w:t>
    </w:r>
    <w:r>
      <w:rPr>
        <w:rFonts w:hint="eastAsia"/>
        <w:sz w:val="21"/>
      </w:rPr>
      <w:t>C</w:t>
    </w:r>
    <w:r>
      <w:rPr>
        <w:sz w:val="21"/>
      </w:rPr>
      <w:t>)    030308    030308</w:t>
    </w:r>
    <w:r>
      <w:rPr>
        <w:sz w:val="21"/>
      </w:rPr>
      <w:br/>
    </w:r>
    <w:r w:rsidRPr="00FD0290">
      <w:rPr>
        <w:rFonts w:ascii="Barcode 3 of 9 by request" w:hAnsi="Barcode 3 of 9 by request"/>
        <w:b/>
        <w:bCs/>
        <w:sz w:val="21"/>
      </w:rPr>
      <w:t>0764512C</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510" w:rsidRDefault="002D1510">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505039">
      <w:rPr>
        <w:rStyle w:val="PageNumber"/>
        <w:noProof/>
      </w:rPr>
      <w:t>50</w:t>
    </w:r>
    <w:r>
      <w:rPr>
        <w:rStyle w:val="PageNumber"/>
      </w:rPr>
      <w:fldChar w:fldCharType="end"/>
    </w:r>
  </w:p>
  <w:p w:rsidR="002D1510" w:rsidRDefault="002D1510">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510" w:rsidRDefault="002D1510">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505039">
      <w:rPr>
        <w:rStyle w:val="PageNumber"/>
        <w:noProof/>
      </w:rPr>
      <w:t>49</w:t>
    </w:r>
    <w:r>
      <w:rPr>
        <w:rStyle w:val="PageNumber"/>
      </w:rPr>
      <w:fldChar w:fldCharType="end"/>
    </w:r>
  </w:p>
  <w:p w:rsidR="002D1510" w:rsidRDefault="002D151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EFC" w:rsidRDefault="00BA0EFC">
      <w:r>
        <w:separator/>
      </w:r>
    </w:p>
  </w:footnote>
  <w:footnote w:type="continuationSeparator" w:id="0">
    <w:p w:rsidR="00BA0EFC" w:rsidRDefault="00BA0E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510" w:rsidRDefault="002D1510">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D1510">
                  <w:tblPrEx>
                    <w:tblCellMar>
                      <w:top w:w="0" w:type="dxa"/>
                      <w:bottom w:w="0" w:type="dxa"/>
                    </w:tblCellMar>
                  </w:tblPrEx>
                  <w:trPr>
                    <w:trHeight w:hRule="exact" w:val="864"/>
                  </w:trPr>
                  <w:tc>
                    <w:tcPr>
                      <w:tcW w:w="4838" w:type="dxa"/>
                      <w:tcBorders>
                        <w:bottom w:val="single" w:sz="4" w:space="0" w:color="auto"/>
                      </w:tcBorders>
                      <w:vAlign w:val="bottom"/>
                    </w:tcPr>
                    <w:p w:rsidR="002D1510" w:rsidRDefault="002D1510">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2D1510" w:rsidRDefault="002D1510">
                      <w:pPr>
                        <w:pStyle w:val="Header"/>
                        <w:pBdr>
                          <w:bottom w:val="none" w:sz="0" w:space="0" w:color="auto"/>
                        </w:pBdr>
                      </w:pPr>
                    </w:p>
                  </w:tc>
                </w:tr>
              </w:tbl>
              <w:p w:rsidR="002D1510" w:rsidRDefault="002D151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510" w:rsidRDefault="002D151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D1510">
                  <w:tblPrEx>
                    <w:tblCellMar>
                      <w:top w:w="0" w:type="dxa"/>
                      <w:bottom w:w="0" w:type="dxa"/>
                    </w:tblCellMar>
                  </w:tblPrEx>
                  <w:trPr>
                    <w:trHeight w:hRule="exact" w:val="864"/>
                  </w:trPr>
                  <w:tc>
                    <w:tcPr>
                      <w:tcW w:w="4838" w:type="dxa"/>
                      <w:tcBorders>
                        <w:bottom w:val="single" w:sz="4" w:space="0" w:color="auto"/>
                      </w:tcBorders>
                      <w:vAlign w:val="bottom"/>
                    </w:tcPr>
                    <w:p w:rsidR="002D1510" w:rsidRDefault="002D1510">
                      <w:pPr>
                        <w:pStyle w:val="Header"/>
                        <w:pBdr>
                          <w:bottom w:val="none" w:sz="0" w:space="0" w:color="auto"/>
                        </w:pBdr>
                      </w:pPr>
                    </w:p>
                  </w:tc>
                  <w:tc>
                    <w:tcPr>
                      <w:tcW w:w="5048" w:type="dxa"/>
                      <w:tcBorders>
                        <w:bottom w:val="single" w:sz="4" w:space="0" w:color="auto"/>
                      </w:tcBorders>
                      <w:vAlign w:val="bottom"/>
                    </w:tcPr>
                    <w:p w:rsidR="002D1510" w:rsidRDefault="002D1510">
                      <w:pPr>
                        <w:pStyle w:val="Header"/>
                        <w:pBdr>
                          <w:bottom w:val="none" w:sz="0" w:space="0" w:color="auto"/>
                        </w:pBdr>
                        <w:spacing w:after="80"/>
                        <w:jc w:val="right"/>
                        <w:rPr>
                          <w:rFonts w:hint="eastAsia"/>
                          <w:b/>
                        </w:rPr>
                      </w:pPr>
                      <w:r>
                        <w:rPr>
                          <w:b/>
                        </w:rPr>
                        <w:t>CEDAW/C/NLD/4</w:t>
                      </w:r>
                    </w:p>
                  </w:tc>
                </w:tr>
              </w:tbl>
              <w:p w:rsidR="002D1510" w:rsidRDefault="002D151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2D151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D1510" w:rsidRDefault="002D1510">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2D1510" w:rsidRDefault="002D1510">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2D1510" w:rsidRDefault="002D1510">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2D1510" w:rsidRDefault="002D1510">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LTU</w:t>
          </w:r>
          <w:r>
            <w:rPr>
              <w:position w:val="-4"/>
            </w:rPr>
            <w:t>/</w:t>
          </w:r>
          <w:r>
            <w:rPr>
              <w:rFonts w:hint="eastAsia"/>
              <w:position w:val="-4"/>
            </w:rPr>
            <w:t>4</w:t>
          </w:r>
        </w:p>
      </w:tc>
    </w:tr>
    <w:tr w:rsidR="002D1510">
      <w:tblPrEx>
        <w:tblCellMar>
          <w:top w:w="0" w:type="dxa"/>
          <w:bottom w:w="0" w:type="dxa"/>
        </w:tblCellMar>
      </w:tblPrEx>
      <w:trPr>
        <w:trHeight w:hRule="exact" w:val="2880"/>
      </w:trPr>
      <w:tc>
        <w:tcPr>
          <w:tcW w:w="1267" w:type="dxa"/>
          <w:tcBorders>
            <w:left w:val="nil"/>
            <w:bottom w:val="single" w:sz="12" w:space="0" w:color="auto"/>
            <w:right w:val="nil"/>
          </w:tcBorders>
        </w:tcPr>
        <w:p w:rsidR="002D1510" w:rsidRDefault="002D1510">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5.5pt;height:49.5pt" fillcolor="window">
                <v:imagedata r:id="rId1" o:title=""/>
              </v:shape>
            </w:pict>
          </w:r>
        </w:p>
        <w:p w:rsidR="002D1510" w:rsidRDefault="002D1510">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2D1510" w:rsidRDefault="002D1510">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2D1510" w:rsidRDefault="002D1510">
          <w:pPr>
            <w:pStyle w:val="Header"/>
            <w:pBdr>
              <w:bottom w:val="none" w:sz="0" w:space="0" w:color="auto"/>
            </w:pBdr>
            <w:spacing w:before="109"/>
          </w:pPr>
        </w:p>
      </w:tc>
      <w:tc>
        <w:tcPr>
          <w:tcW w:w="3199" w:type="dxa"/>
          <w:gridSpan w:val="2"/>
          <w:tcBorders>
            <w:left w:val="nil"/>
            <w:bottom w:val="single" w:sz="12" w:space="0" w:color="auto"/>
            <w:right w:val="nil"/>
          </w:tcBorders>
        </w:tcPr>
        <w:p w:rsidR="002D1510" w:rsidRDefault="002D1510">
          <w:pPr>
            <w:spacing w:before="240" w:line="240" w:lineRule="exact"/>
          </w:pPr>
          <w:r>
            <w:t>Distr.: General</w:t>
          </w:r>
        </w:p>
        <w:p w:rsidR="002D1510" w:rsidRDefault="002D1510">
          <w:pPr>
            <w:spacing w:line="240" w:lineRule="exact"/>
            <w:rPr>
              <w:rFonts w:hint="eastAsia"/>
            </w:rPr>
          </w:pPr>
          <w:r>
            <w:rPr>
              <w:rFonts w:hint="eastAsia"/>
            </w:rPr>
            <w:t>14</w:t>
          </w:r>
          <w:r>
            <w:t xml:space="preserve"> </w:t>
          </w:r>
          <w:r>
            <w:rPr>
              <w:rFonts w:hint="eastAsia"/>
            </w:rPr>
            <w:t xml:space="preserve">December </w:t>
          </w:r>
          <w:r>
            <w:t>2007</w:t>
          </w:r>
        </w:p>
        <w:p w:rsidR="002D1510" w:rsidRDefault="002D1510">
          <w:pPr>
            <w:spacing w:line="240" w:lineRule="exact"/>
          </w:pPr>
        </w:p>
        <w:p w:rsidR="002D1510" w:rsidRDefault="002D1510">
          <w:pPr>
            <w:spacing w:line="240" w:lineRule="exact"/>
          </w:pPr>
          <w:r>
            <w:t>Chinese</w:t>
          </w:r>
        </w:p>
        <w:p w:rsidR="002D1510" w:rsidRDefault="002D1510">
          <w:pPr>
            <w:spacing w:line="240" w:lineRule="exact"/>
          </w:pPr>
          <w:r>
            <w:t>Original: English</w:t>
          </w:r>
        </w:p>
      </w:tc>
    </w:tr>
  </w:tbl>
  <w:p w:rsidR="002D1510" w:rsidRDefault="002D1510">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510" w:rsidRDefault="002D1510">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D1510">
                  <w:tblPrEx>
                    <w:tblCellMar>
                      <w:top w:w="0" w:type="dxa"/>
                      <w:bottom w:w="0" w:type="dxa"/>
                    </w:tblCellMar>
                  </w:tblPrEx>
                  <w:trPr>
                    <w:trHeight w:hRule="exact" w:val="864"/>
                  </w:trPr>
                  <w:tc>
                    <w:tcPr>
                      <w:tcW w:w="4838" w:type="dxa"/>
                      <w:tcBorders>
                        <w:bottom w:val="single" w:sz="4" w:space="0" w:color="auto"/>
                      </w:tcBorders>
                      <w:vAlign w:val="bottom"/>
                    </w:tcPr>
                    <w:p w:rsidR="002D1510" w:rsidRDefault="002D1510">
                      <w:pPr>
                        <w:pStyle w:val="Header"/>
                        <w:pBdr>
                          <w:bottom w:val="none" w:sz="0" w:space="0" w:color="auto"/>
                        </w:pBdr>
                        <w:spacing w:after="80"/>
                        <w:jc w:val="both"/>
                        <w:rPr>
                          <w:rFonts w:hint="eastAsia"/>
                          <w:b/>
                        </w:rPr>
                      </w:pPr>
                      <w:r>
                        <w:rPr>
                          <w:b/>
                        </w:rPr>
                        <w:t>CEDAW/C</w:t>
                      </w:r>
                      <w:r>
                        <w:rPr>
                          <w:rFonts w:hint="eastAsia"/>
                          <w:b/>
                        </w:rPr>
                        <w:t>/LTU</w:t>
                      </w:r>
                      <w:r>
                        <w:rPr>
                          <w:b/>
                        </w:rPr>
                        <w:t>/</w:t>
                      </w:r>
                      <w:r>
                        <w:rPr>
                          <w:rFonts w:hint="eastAsia"/>
                          <w:b/>
                        </w:rPr>
                        <w:t>4</w:t>
                      </w:r>
                    </w:p>
                  </w:tc>
                  <w:tc>
                    <w:tcPr>
                      <w:tcW w:w="5048" w:type="dxa"/>
                      <w:tcBorders>
                        <w:bottom w:val="single" w:sz="4" w:space="0" w:color="auto"/>
                      </w:tcBorders>
                      <w:vAlign w:val="bottom"/>
                    </w:tcPr>
                    <w:p w:rsidR="002D1510" w:rsidRDefault="002D1510">
                      <w:pPr>
                        <w:pStyle w:val="Header"/>
                        <w:pBdr>
                          <w:bottom w:val="none" w:sz="0" w:space="0" w:color="auto"/>
                        </w:pBdr>
                      </w:pPr>
                    </w:p>
                  </w:tc>
                </w:tr>
              </w:tbl>
              <w:p w:rsidR="002D1510" w:rsidRDefault="002D151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510" w:rsidRDefault="002D151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D1510">
                  <w:tblPrEx>
                    <w:tblCellMar>
                      <w:top w:w="0" w:type="dxa"/>
                      <w:bottom w:w="0" w:type="dxa"/>
                    </w:tblCellMar>
                  </w:tblPrEx>
                  <w:trPr>
                    <w:trHeight w:hRule="exact" w:val="864"/>
                  </w:trPr>
                  <w:tc>
                    <w:tcPr>
                      <w:tcW w:w="4838" w:type="dxa"/>
                      <w:tcBorders>
                        <w:bottom w:val="single" w:sz="4" w:space="0" w:color="auto"/>
                      </w:tcBorders>
                      <w:vAlign w:val="bottom"/>
                    </w:tcPr>
                    <w:p w:rsidR="002D1510" w:rsidRDefault="002D1510">
                      <w:pPr>
                        <w:pStyle w:val="Header"/>
                        <w:pBdr>
                          <w:bottom w:val="none" w:sz="0" w:space="0" w:color="auto"/>
                        </w:pBdr>
                      </w:pPr>
                    </w:p>
                  </w:tc>
                  <w:tc>
                    <w:tcPr>
                      <w:tcW w:w="5048" w:type="dxa"/>
                      <w:tcBorders>
                        <w:bottom w:val="single" w:sz="4" w:space="0" w:color="auto"/>
                      </w:tcBorders>
                      <w:vAlign w:val="bottom"/>
                    </w:tcPr>
                    <w:p w:rsidR="002D1510" w:rsidRDefault="002D1510">
                      <w:pPr>
                        <w:pStyle w:val="Header"/>
                        <w:pBdr>
                          <w:bottom w:val="none" w:sz="0" w:space="0" w:color="auto"/>
                        </w:pBdr>
                        <w:spacing w:after="80"/>
                        <w:jc w:val="right"/>
                        <w:rPr>
                          <w:rFonts w:hint="eastAsia"/>
                          <w:b/>
                        </w:rPr>
                      </w:pPr>
                      <w:r>
                        <w:rPr>
                          <w:b/>
                        </w:rPr>
                        <w:t>CEDAW/C</w:t>
                      </w:r>
                      <w:r>
                        <w:rPr>
                          <w:rFonts w:hint="eastAsia"/>
                          <w:b/>
                        </w:rPr>
                        <w:t>/LTU</w:t>
                      </w:r>
                      <w:r>
                        <w:rPr>
                          <w:b/>
                        </w:rPr>
                        <w:t>/</w:t>
                      </w:r>
                      <w:r>
                        <w:rPr>
                          <w:rFonts w:hint="eastAsia"/>
                          <w:b/>
                        </w:rPr>
                        <w:t>4</w:t>
                      </w:r>
                    </w:p>
                  </w:tc>
                </w:tr>
              </w:tbl>
              <w:p w:rsidR="002D1510" w:rsidRDefault="002D151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ListNumber"/>
      <w:lvlText w:val="%1."/>
      <w:lvlJc w:val="left"/>
      <w:pPr>
        <w:tabs>
          <w:tab w:val="num" w:pos="360"/>
        </w:tabs>
        <w:ind w:left="360" w:hanging="360"/>
      </w:pPr>
    </w:lvl>
  </w:abstractNum>
  <w:abstractNum w:abstractNumId="1">
    <w:nsid w:val="FFFFFF89"/>
    <w:multiLevelType w:val="singleLevel"/>
    <w:tmpl w:val="4D80A6A0"/>
    <w:lvl w:ilvl="0">
      <w:start w:val="1"/>
      <w:numFmt w:val="bullet"/>
      <w:pStyle w:val="ListBullet"/>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4">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6">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7">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8">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5"/>
  </w:num>
  <w:num w:numId="2">
    <w:abstractNumId w:val="0"/>
  </w:num>
  <w:num w:numId="3">
    <w:abstractNumId w:val="1"/>
  </w:num>
  <w:num w:numId="4">
    <w:abstractNumId w:val="6"/>
  </w:num>
  <w:num w:numId="5">
    <w:abstractNumId w:val="3"/>
  </w:num>
  <w:num w:numId="6">
    <w:abstractNumId w:val="4"/>
  </w:num>
  <w:num w:numId="7">
    <w:abstractNumId w:val="7"/>
  </w:num>
  <w:num w:numId="8">
    <w:abstractNumId w:val="2"/>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46AC"/>
    <w:rsid w:val="00073BCA"/>
    <w:rsid w:val="002D1510"/>
    <w:rsid w:val="004373CF"/>
    <w:rsid w:val="00505039"/>
    <w:rsid w:val="00595751"/>
    <w:rsid w:val="00BA0EFC"/>
    <w:rsid w:val="00C046AC"/>
    <w:rsid w:val="00DB491E"/>
    <w:rsid w:val="00FD02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120" w:after="240" w:line="360" w:lineRule="exact"/>
      <w:jc w:val="center"/>
      <w:textAlignment w:val="auto"/>
      <w:outlineLvl w:val="0"/>
    </w:pPr>
    <w:rPr>
      <w:rFonts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jc w:val="center"/>
    </w:pPr>
    <w:rPr>
      <w:rFonts w:eastAsia="SimHei"/>
      <w:color w:val="FF0000"/>
      <w:kern w:val="14"/>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customStyle="1" w:styleId="10">
    <w:name w:val="批注框文本1"/>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ypewriter">
    <w:name w:val="Typewriter"/>
    <w:rPr>
      <w:rFonts w:ascii="Courier New" w:hAnsi="Courier New" w:cs="Courier New"/>
      <w:sz w:val="20"/>
      <w:szCs w:val="20"/>
    </w:rPr>
  </w:style>
  <w:style w:type="paragraph" w:customStyle="1" w:styleId="H23">
    <w:name w:val="_ H_2/3"/>
    <w:basedOn w:val="Normal"/>
    <w:next w:val="Normal"/>
    <w:pPr>
      <w:widowControl/>
      <w:adjustRightInd/>
      <w:spacing w:before="60" w:after="180" w:line="320" w:lineRule="exact"/>
      <w:jc w:val="center"/>
      <w:textAlignment w:val="auto"/>
      <w:outlineLvl w:val="1"/>
    </w:pPr>
    <w:rPr>
      <w:rFonts w:eastAsia="SimHei"/>
      <w:b/>
      <w:bCs/>
      <w:color w:val="FF0000"/>
      <w:spacing w:val="2"/>
      <w:kern w:val="14"/>
    </w:rPr>
  </w:style>
  <w:style w:type="paragraph" w:styleId="BalloonText">
    <w:name w:val="Balloon Text"/>
    <w:basedOn w:val="Normal"/>
    <w:semiHidden/>
    <w:rsid w:val="00C046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yperlink" Target="http://www.svv.lt" TargetMode="External"/><Relationship Id="rId2" Type="http://schemas.openxmlformats.org/officeDocument/2006/relationships/styles" Target="styles.xml"/><Relationship Id="rId16" Type="http://schemas.openxmlformats.org/officeDocument/2006/relationships/hyperlink" Target="http://www.darbaz.lt" TargetMode="Externa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aretusa.net"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8</TotalTime>
  <Pages>1</Pages>
  <Words>8110</Words>
  <Characters>46233</Characters>
  <Application>Microsoft Office Word</Application>
  <DocSecurity>4</DocSecurity>
  <Lines>385</Lines>
  <Paragraphs>108</Paragraphs>
  <ScaleCrop>false</ScaleCrop>
  <Company>infoll</Company>
  <LinksUpToDate>false</LinksUpToDate>
  <CharactersWithSpaces>54235</CharactersWithSpaces>
  <SharedDoc>false</SharedDoc>
  <HLinks>
    <vt:vector size="18" baseType="variant">
      <vt:variant>
        <vt:i4>7143548</vt:i4>
      </vt:variant>
      <vt:variant>
        <vt:i4>6</vt:i4>
      </vt:variant>
      <vt:variant>
        <vt:i4>0</vt:i4>
      </vt:variant>
      <vt:variant>
        <vt:i4>5</vt:i4>
      </vt:variant>
      <vt:variant>
        <vt:lpwstr>http://www.svv.lt/</vt:lpwstr>
      </vt:variant>
      <vt:variant>
        <vt:lpwstr/>
      </vt:variant>
      <vt:variant>
        <vt:i4>393285</vt:i4>
      </vt:variant>
      <vt:variant>
        <vt:i4>3</vt:i4>
      </vt:variant>
      <vt:variant>
        <vt:i4>0</vt:i4>
      </vt:variant>
      <vt:variant>
        <vt:i4>5</vt:i4>
      </vt:variant>
      <vt:variant>
        <vt:lpwstr>http://www.darbaz.lt/</vt:lpwstr>
      </vt:variant>
      <vt:variant>
        <vt:lpwstr/>
      </vt:variant>
      <vt:variant>
        <vt:i4>2162798</vt:i4>
      </vt:variant>
      <vt:variant>
        <vt:i4>0</vt:i4>
      </vt:variant>
      <vt:variant>
        <vt:i4>0</vt:i4>
      </vt:variant>
      <vt:variant>
        <vt:i4>5</vt:i4>
      </vt:variant>
      <vt:variant>
        <vt:lpwstr>http://www.aretusa.net/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Chuanzong.Du</cp:lastModifiedBy>
  <cp:revision>10</cp:revision>
  <cp:lastPrinted>2008-03-03T16:53:00Z</cp:lastPrinted>
  <dcterms:created xsi:type="dcterms:W3CDTF">2008-03-03T16:52:00Z</dcterms:created>
  <dcterms:modified xsi:type="dcterms:W3CDTF">2008-03-03T17:00:00Z</dcterms:modified>
</cp:coreProperties>
</file>