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BF" w:firstRow="1" w:lastRow="0" w:firstColumn="1" w:lastColumn="0" w:noHBand="0" w:noVBand="0"/>
      </w:tblPr>
      <w:tblGrid>
        <w:gridCol w:w="1142"/>
        <w:gridCol w:w="5436"/>
        <w:gridCol w:w="2814"/>
      </w:tblGrid>
      <w:tr w:rsidR="00000000">
        <w:tblPrEx>
          <w:tblCellMar>
            <w:top w:w="0" w:type="dxa"/>
            <w:left w:w="0" w:type="dxa"/>
            <w:bottom w:w="0" w:type="dxa"/>
            <w:right w:w="0" w:type="dxa"/>
          </w:tblCellMar>
        </w:tblPrEx>
        <w:tc>
          <w:tcPr>
            <w:tcW w:w="6578" w:type="dxa"/>
            <w:gridSpan w:val="2"/>
            <w:tcBorders>
              <w:bottom w:val="single" w:sz="12" w:space="0" w:color="auto"/>
            </w:tcBorders>
          </w:tcPr>
          <w:p w:rsidR="00000000" w:rsidRDefault="00000000">
            <w:pPr>
              <w:tabs>
                <w:tab w:val="left" w:pos="680"/>
                <w:tab w:val="left" w:pos="1134"/>
              </w:tabs>
              <w:spacing w:before="120" w:after="60"/>
              <w:rPr>
                <w:b/>
                <w:sz w:val="24"/>
                <w:lang w:val="ru-RU"/>
              </w:rPr>
            </w:pPr>
            <w:r>
              <w:rPr>
                <w:b/>
                <w:sz w:val="28"/>
                <w:lang w:val="ru-RU"/>
              </w:rPr>
              <w:t>Организация Объединенных Наций</w:t>
            </w:r>
          </w:p>
        </w:tc>
        <w:tc>
          <w:tcPr>
            <w:tcW w:w="2814" w:type="dxa"/>
            <w:tcBorders>
              <w:bottom w:val="single" w:sz="12" w:space="0" w:color="auto"/>
            </w:tcBorders>
          </w:tcPr>
          <w:p w:rsidR="00000000" w:rsidRDefault="00000000">
            <w:pPr>
              <w:tabs>
                <w:tab w:val="left" w:pos="680"/>
                <w:tab w:val="left" w:pos="1134"/>
              </w:tabs>
              <w:rPr>
                <w:b/>
                <w:sz w:val="24"/>
                <w:lang w:val="ru-RU"/>
              </w:rPr>
            </w:pPr>
            <w:r>
              <w:rPr>
                <w:b/>
                <w:sz w:val="40"/>
                <w:lang w:val="en-US"/>
              </w:rPr>
              <w:t>C</w:t>
            </w:r>
            <w:r>
              <w:rPr>
                <w:b/>
                <w:sz w:val="40"/>
                <w:lang w:val="en-US"/>
              </w:rPr>
              <w:t>E</w:t>
            </w:r>
            <w:r>
              <w:rPr>
                <w:b/>
                <w:sz w:val="40"/>
                <w:lang w:val="en-US"/>
              </w:rPr>
              <w:t>DAW</w:t>
            </w:r>
            <w:r>
              <w:rPr>
                <w:b/>
                <w:sz w:val="40"/>
                <w:lang w:val="ru-RU"/>
              </w:rPr>
              <w:t>/</w:t>
            </w:r>
            <w:r>
              <w:rPr>
                <w:sz w:val="22"/>
              </w:rPr>
              <w:t>C/CUB/</w:t>
            </w:r>
            <w:r>
              <w:t>5-6</w:t>
            </w:r>
          </w:p>
        </w:tc>
      </w:tr>
      <w:tr w:rsidR="00000000">
        <w:tblPrEx>
          <w:tblCellMar>
            <w:top w:w="0" w:type="dxa"/>
            <w:left w:w="0" w:type="dxa"/>
            <w:bottom w:w="0" w:type="dxa"/>
            <w:right w:w="0" w:type="dxa"/>
          </w:tblCellMar>
        </w:tblPrEx>
        <w:tc>
          <w:tcPr>
            <w:tcW w:w="1142" w:type="dxa"/>
            <w:tcBorders>
              <w:top w:val="single" w:sz="12" w:space="0" w:color="auto"/>
            </w:tcBorders>
          </w:tcPr>
          <w:p w:rsidR="00000000" w:rsidRDefault="00000000">
            <w:pPr>
              <w:tabs>
                <w:tab w:val="left" w:pos="680"/>
                <w:tab w:val="left" w:pos="1134"/>
              </w:tabs>
              <w:rPr>
                <w:b/>
                <w:sz w:val="24"/>
                <w:lang w:val="ru-RU"/>
              </w:rPr>
            </w:pPr>
          </w:p>
        </w:tc>
        <w:tc>
          <w:tcPr>
            <w:tcW w:w="5436" w:type="dxa"/>
            <w:tcBorders>
              <w:top w:val="single" w:sz="12" w:space="0" w:color="auto"/>
            </w:tcBorders>
          </w:tcPr>
          <w:p w:rsidR="00000000" w:rsidRDefault="00000000">
            <w:pPr>
              <w:tabs>
                <w:tab w:val="left" w:pos="680"/>
                <w:tab w:val="left" w:pos="1134"/>
              </w:tabs>
              <w:rPr>
                <w:b/>
                <w:sz w:val="24"/>
                <w:lang w:val="ru-RU"/>
              </w:rPr>
            </w:pPr>
          </w:p>
        </w:tc>
        <w:tc>
          <w:tcPr>
            <w:tcW w:w="2814" w:type="dxa"/>
            <w:tcBorders>
              <w:top w:val="single" w:sz="12" w:space="0" w:color="auto"/>
            </w:tcBorders>
          </w:tcPr>
          <w:p w:rsidR="00000000" w:rsidRDefault="00000000">
            <w:pPr>
              <w:tabs>
                <w:tab w:val="left" w:pos="680"/>
                <w:tab w:val="left" w:pos="1134"/>
              </w:tabs>
              <w:rPr>
                <w:b/>
                <w:sz w:val="24"/>
                <w:lang w:val="ru-RU"/>
              </w:rPr>
            </w:pPr>
          </w:p>
        </w:tc>
      </w:tr>
      <w:tr w:rsidR="00000000">
        <w:tblPrEx>
          <w:tblCellMar>
            <w:top w:w="0" w:type="dxa"/>
            <w:left w:w="0" w:type="dxa"/>
            <w:bottom w:w="0" w:type="dxa"/>
            <w:right w:w="0" w:type="dxa"/>
          </w:tblCellMar>
        </w:tblPrEx>
        <w:tc>
          <w:tcPr>
            <w:tcW w:w="1142" w:type="dxa"/>
            <w:tcBorders>
              <w:bottom w:val="single" w:sz="12" w:space="0" w:color="auto"/>
            </w:tcBorders>
          </w:tcPr>
          <w:p w:rsidR="00000000" w:rsidRDefault="00000000">
            <w:pPr>
              <w:tabs>
                <w:tab w:val="left" w:pos="680"/>
                <w:tab w:val="left" w:pos="1134"/>
              </w:tabs>
              <w:rPr>
                <w:b/>
                <w:sz w:val="24"/>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4.25pt" fillcolor="window">
                  <v:imagedata r:id="rId7" o:title="_unlogo"/>
                </v:shape>
              </w:pict>
            </w:r>
          </w:p>
        </w:tc>
        <w:tc>
          <w:tcPr>
            <w:tcW w:w="5436" w:type="dxa"/>
            <w:tcBorders>
              <w:bottom w:val="single" w:sz="12" w:space="0" w:color="auto"/>
            </w:tcBorders>
          </w:tcPr>
          <w:p w:rsidR="00000000" w:rsidRDefault="00000000">
            <w:pPr>
              <w:tabs>
                <w:tab w:val="left" w:pos="680"/>
                <w:tab w:val="left" w:pos="1134"/>
              </w:tabs>
              <w:rPr>
                <w:b/>
                <w:sz w:val="24"/>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814" w:type="dxa"/>
            <w:tcBorders>
              <w:bottom w:val="single" w:sz="12" w:space="0" w:color="auto"/>
            </w:tcBorders>
          </w:tcPr>
          <w:p w:rsidR="00000000" w:rsidRDefault="00000000">
            <w:pPr>
              <w:tabs>
                <w:tab w:val="left" w:pos="680"/>
                <w:tab w:val="left" w:pos="1134"/>
              </w:tabs>
              <w:spacing w:before="40"/>
              <w:jc w:val="both"/>
              <w:rPr>
                <w:sz w:val="22"/>
                <w:lang w:val="en-US"/>
              </w:rPr>
            </w:pPr>
            <w:r>
              <w:rPr>
                <w:sz w:val="22"/>
                <w:lang w:val="en-US"/>
              </w:rPr>
              <w:t>Distr.: General</w:t>
            </w:r>
          </w:p>
          <w:p w:rsidR="00000000" w:rsidRDefault="00000000">
            <w:pPr>
              <w:pStyle w:val="Header"/>
              <w:tabs>
                <w:tab w:val="left" w:pos="680"/>
                <w:tab w:val="left" w:pos="1134"/>
              </w:tabs>
              <w:spacing w:after="120"/>
              <w:jc w:val="both"/>
              <w:rPr>
                <w:sz w:val="22"/>
                <w:lang w:val="en-US"/>
              </w:rPr>
            </w:pPr>
            <w:r>
              <w:rPr>
                <w:sz w:val="22"/>
                <w:lang w:val="en-US"/>
              </w:rPr>
              <w:t>6 January 2006</w:t>
            </w:r>
          </w:p>
          <w:p w:rsidR="00000000" w:rsidRDefault="00000000">
            <w:pPr>
              <w:pStyle w:val="Heading9"/>
              <w:tabs>
                <w:tab w:val="left" w:pos="680"/>
                <w:tab w:val="left" w:pos="1134"/>
              </w:tabs>
              <w:spacing w:before="0" w:after="0"/>
              <w:jc w:val="both"/>
              <w:rPr>
                <w:rFonts w:ascii="Times New Roman" w:hAnsi="Times New Roman"/>
                <w:lang w:val="en-US"/>
              </w:rPr>
            </w:pPr>
            <w:r>
              <w:rPr>
                <w:rFonts w:ascii="Times New Roman" w:hAnsi="Times New Roman"/>
                <w:lang w:val="en-US"/>
              </w:rPr>
              <w:t>Russian</w:t>
            </w:r>
          </w:p>
          <w:p w:rsidR="00000000" w:rsidRDefault="00000000">
            <w:pPr>
              <w:pStyle w:val="Heading9"/>
              <w:tabs>
                <w:tab w:val="left" w:pos="680"/>
                <w:tab w:val="left" w:pos="1134"/>
              </w:tabs>
              <w:spacing w:before="0"/>
              <w:jc w:val="both"/>
              <w:rPr>
                <w:rFonts w:ascii="Times New Roman" w:hAnsi="Times New Roman"/>
                <w:sz w:val="20"/>
                <w:lang w:val="en-US"/>
              </w:rPr>
            </w:pPr>
            <w:r>
              <w:rPr>
                <w:rFonts w:ascii="Times New Roman" w:hAnsi="Times New Roman"/>
                <w:lang w:val="en-US"/>
              </w:rPr>
              <w:t>Original: Spanish</w:t>
            </w:r>
          </w:p>
          <w:p w:rsidR="00000000" w:rsidRDefault="00000000">
            <w:pPr>
              <w:tabs>
                <w:tab w:val="left" w:pos="680"/>
                <w:tab w:val="left" w:pos="1134"/>
              </w:tabs>
              <w:jc w:val="both"/>
              <w:rPr>
                <w:lang w:val="en-US"/>
              </w:rPr>
            </w:pPr>
          </w:p>
          <w:p w:rsidR="00000000" w:rsidRDefault="00000000">
            <w:pPr>
              <w:tabs>
                <w:tab w:val="left" w:pos="680"/>
                <w:tab w:val="left" w:pos="1134"/>
              </w:tabs>
              <w:jc w:val="both"/>
              <w:rPr>
                <w:lang w:val="en-US"/>
              </w:rPr>
            </w:pPr>
          </w:p>
          <w:p w:rsidR="00000000" w:rsidRDefault="00000000">
            <w:pPr>
              <w:tabs>
                <w:tab w:val="left" w:pos="680"/>
                <w:tab w:val="left" w:pos="1134"/>
              </w:tabs>
              <w:rPr>
                <w:lang w:val="en-US"/>
              </w:rPr>
            </w:pPr>
          </w:p>
          <w:p w:rsidR="00000000" w:rsidRDefault="00000000">
            <w:pPr>
              <w:tabs>
                <w:tab w:val="left" w:pos="680"/>
                <w:tab w:val="left" w:pos="1134"/>
              </w:tabs>
              <w:jc w:val="both"/>
              <w:rPr>
                <w:lang w:val="en-US"/>
              </w:rPr>
            </w:pPr>
          </w:p>
          <w:p w:rsidR="00000000" w:rsidRDefault="00000000">
            <w:pPr>
              <w:tabs>
                <w:tab w:val="left" w:pos="680"/>
                <w:tab w:val="left" w:pos="1134"/>
              </w:tabs>
              <w:rPr>
                <w:b/>
                <w:sz w:val="24"/>
                <w:lang w:val="en-US"/>
              </w:rPr>
            </w:pPr>
          </w:p>
        </w:tc>
      </w:tr>
    </w:tbl>
    <w:p w:rsidR="00000000" w:rsidRDefault="00000000">
      <w:pPr>
        <w:tabs>
          <w:tab w:val="left" w:pos="680"/>
          <w:tab w:val="left" w:pos="1134"/>
        </w:tabs>
        <w:spacing w:before="120" w:after="1080"/>
        <w:ind w:left="284" w:hanging="284"/>
        <w:rPr>
          <w:b/>
          <w:caps/>
          <w:sz w:val="24"/>
          <w:lang w:val="ru-RU"/>
        </w:rPr>
      </w:pPr>
      <w:commentRangeStart w:id="0"/>
      <w:r>
        <w:rPr>
          <w:b/>
          <w:sz w:val="24"/>
          <w:lang w:val="ru-RU"/>
        </w:rPr>
        <w:t xml:space="preserve">Комитет </w:t>
      </w:r>
      <w:commentRangeEnd w:id="0"/>
      <w:r>
        <w:rPr>
          <w:rStyle w:val="CommentReference"/>
          <w:vanish/>
        </w:rPr>
        <w:commentReference w:id="0"/>
      </w:r>
      <w:r>
        <w:rPr>
          <w:b/>
          <w:sz w:val="24"/>
          <w:lang w:val="ru-RU"/>
        </w:rPr>
        <w:t xml:space="preserve">по ликвидации дискриминации </w:t>
      </w:r>
      <w:r>
        <w:rPr>
          <w:b/>
          <w:sz w:val="24"/>
          <w:lang w:val="ru-RU"/>
        </w:rPr>
        <w:br/>
        <w:t>в отношении женщин</w:t>
      </w:r>
    </w:p>
    <w:p w:rsidR="00000000" w:rsidRDefault="00000000">
      <w:pPr>
        <w:tabs>
          <w:tab w:val="left" w:pos="680"/>
          <w:tab w:val="left" w:pos="1134"/>
        </w:tabs>
        <w:spacing w:after="720"/>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spacing w:after="1080"/>
        <w:jc w:val="center"/>
        <w:rPr>
          <w:sz w:val="24"/>
          <w:lang w:val="ru-RU"/>
        </w:rPr>
      </w:pPr>
      <w:r>
        <w:rPr>
          <w:sz w:val="24"/>
          <w:lang w:val="ru-RU"/>
        </w:rPr>
        <w:t>Объединенные пятый и шестой периодические доклады государств-участников</w:t>
      </w:r>
    </w:p>
    <w:p w:rsidR="00000000" w:rsidRDefault="00000000">
      <w:pPr>
        <w:pStyle w:val="BodyText"/>
        <w:tabs>
          <w:tab w:val="left" w:pos="680"/>
          <w:tab w:val="left" w:pos="1134"/>
        </w:tabs>
        <w:jc w:val="center"/>
        <w:rPr>
          <w:b/>
          <w:sz w:val="28"/>
        </w:rPr>
      </w:pPr>
      <w:r>
        <w:rPr>
          <w:b/>
          <w:sz w:val="28"/>
        </w:rPr>
        <w:t>Куба</w:t>
      </w:r>
      <w:r>
        <w:rPr>
          <w:rStyle w:val="FootnoteReference"/>
          <w:vertAlign w:val="baseline"/>
        </w:rPr>
        <w:footnoteReference w:customMarkFollows="1" w:id="1"/>
        <w:t>*</w:t>
      </w:r>
    </w:p>
    <w:p w:rsidR="00000000" w:rsidRDefault="00000000">
      <w:pPr>
        <w:pStyle w:val="Heading1"/>
        <w:rPr>
          <w:b w:val="0"/>
          <w:lang w:val="ru-RU"/>
        </w:rPr>
        <w:sectPr w:rsidR="00000000">
          <w:headerReference w:type="even" r:id="rId9"/>
          <w:headerReference w:type="default" r:id="rId10"/>
          <w:footerReference w:type="even" r:id="rId11"/>
          <w:footerReference w:type="default" r:id="rId12"/>
          <w:footerReference w:type="first" r:id="rId13"/>
          <w:pgSz w:w="12242" w:h="15842" w:code="1"/>
          <w:pgMar w:top="907" w:right="1418" w:bottom="1247" w:left="1418" w:header="0" w:footer="907" w:gutter="0"/>
          <w:pgNumType w:start="1"/>
          <w:cols w:space="720"/>
          <w:titlePg/>
        </w:sectPr>
      </w:pPr>
    </w:p>
    <w:p w:rsidR="00000000" w:rsidRDefault="00000000">
      <w:pPr>
        <w:pStyle w:val="BodyText"/>
        <w:jc w:val="center"/>
        <w:rPr>
          <w:b/>
        </w:rPr>
      </w:pPr>
      <w:r>
        <w:rPr>
          <w:b/>
        </w:rPr>
        <w:t>ПРЕДВАРИТЕЛЬНЫЕ ЗАМЕЧАНИЯ</w:t>
      </w:r>
    </w:p>
    <w:p w:rsidR="00000000" w:rsidRDefault="00000000">
      <w:pPr>
        <w:pStyle w:val="BodyText"/>
      </w:pPr>
      <w:r>
        <w:t>1.</w:t>
      </w:r>
      <w:r>
        <w:tab/>
        <w:t xml:space="preserve">Период, за который правительство Республики Куба представляет Комитету по ликвидации всех форм дискриминации в отношении женщин (КЛДОЖ) объединенные пятый и шестой периодические доклады, характеризуется важными качественными сдвигами как внутри страны, так и в той сложной международной ситуации, в которой вынужденно находится кубинский народ. </w:t>
      </w:r>
    </w:p>
    <w:p w:rsidR="00000000" w:rsidRDefault="00000000">
      <w:pPr>
        <w:pStyle w:val="BodyText"/>
      </w:pPr>
      <w:r>
        <w:t>2.</w:t>
      </w:r>
      <w:r>
        <w:tab/>
        <w:t xml:space="preserve">В то время как народ Кубы движется вперед по пути реализации масштабных социальных программ, направленных на расширение гражданского участия и углубление равенства и социальной справедливости – поистине революции в Революции, – его права на развитие, на свободное самоопределение и на мир все больше ставятся под угрозу со стороны внешних сил вследствие усиления блокады и ужесточения враждебной и агрессивной политики, которую администрация президента Соединенных Штатов Америки г-на Джорджа У. Буша в одностороннем порядке проводит в отношении женщин, детей и всего кубинского народа. </w:t>
      </w:r>
    </w:p>
    <w:p w:rsidR="00000000" w:rsidRDefault="00000000">
      <w:pPr>
        <w:pStyle w:val="BodyText"/>
      </w:pPr>
      <w:r>
        <w:t>3.</w:t>
      </w:r>
      <w:r>
        <w:tab/>
        <w:t xml:space="preserve">Настоящий доклад охватывает период с 1995 по 2004 год. Это десятилетие необходимо принять за точку отсчета при проведении анализа, чтобы иметь возможность объективно определить направленность и особенности пути, пройденного кубинским государством в ходе выполнения им своих обязательств в соответствии с Конвенцией и в ходе претворения в жизнь политической воли правительства и других государственных органов и негосударственных организаций Кубы, цель которой – добиться, чтобы женщинам Кубы было в полной мере обеспечено гендерное равенство. </w:t>
      </w:r>
    </w:p>
    <w:p w:rsidR="00000000" w:rsidRDefault="00000000">
      <w:pPr>
        <w:pStyle w:val="BodyText"/>
      </w:pPr>
      <w:r>
        <w:t>4.</w:t>
      </w:r>
      <w:r>
        <w:tab/>
        <w:t>1993 год стал самым тяжелым и тревожным за весь так называемый "особый период", который вынужденно переживает кубинский народ. В этом году в полной мере проявились те тяжелые последствия, которые имели для экономики, положения в сфере занятости, внешней торговли, финансовой ситуации и базовых социальных услуг страны распад Советского Союза (СССР) и прекращение деятельности Совета Экономической Взаимопомощи (СЭВ). На бывшие социалистические страны Восточной Европы приходилось 85 процентов внешней торговли Кубы.</w:t>
      </w:r>
    </w:p>
    <w:p w:rsidR="00000000" w:rsidRDefault="00000000">
      <w:pPr>
        <w:pStyle w:val="BodyText"/>
      </w:pPr>
      <w:r>
        <w:t>5.</w:t>
      </w:r>
      <w:r>
        <w:tab/>
        <w:t>Распад этого механизма международного разделения труда и экономической интеграции усугубился ужесточением блокады Кубы со стороны Соединенных Штатов, которая была закреплена такими законодательными актами, как сначала поправка Торричелли, а затем – закон Хелмса–Бэртона.</w:t>
      </w:r>
    </w:p>
    <w:p w:rsidR="00000000" w:rsidRDefault="00000000">
      <w:pPr>
        <w:pStyle w:val="BodyText"/>
      </w:pPr>
      <w:r>
        <w:t>6.</w:t>
      </w:r>
      <w:r>
        <w:tab/>
        <w:t xml:space="preserve">Многие аналитики тогда полагали, что Кубинская революция падет в результате того эффекта домино, который проявился в отношении стран так называемого реального социализма в Центральной и Восточной Европе, и что кубинский народ будет вынужден отказаться от избранной им модели альтернативного и независимого развития, поступившись своим суверенитетом в пользу империалистических устремлений к господству, которые питают силы, стоящие у власти в сверхдержавах, и согласившись принять навязанные большинству развивающихся стран модели неолиберальных экономических преобразований, приватизации и эксплуатации национальных богатств, что влечет за собой такие всем известные последствия, как усугубление бедности, маргинализация и неравенство. </w:t>
      </w:r>
    </w:p>
    <w:p w:rsidR="00000000" w:rsidRDefault="00000000">
      <w:pPr>
        <w:pStyle w:val="BodyText"/>
      </w:pPr>
      <w:r>
        <w:t>7.</w:t>
      </w:r>
      <w:r>
        <w:tab/>
        <w:t>Ряд стран, которые решили применить у себя рецепты, отвергнутые народом Кубы, или которые не могли им успешно противостоять, имеют сегодня дело с тяжкими последствиями провала неолиберальной политики. Бурный экономический рост, который, как обещали сторонники неолиберализма, будет иметь место, "как только рынок освободится от пут государства", на деле в последние шесть лет составил жалкие 1,3 процента, а ВВП на душу населения оказался в 2003 году на 1,5 процента ниже, чем в 1997 году.</w:t>
      </w:r>
    </w:p>
    <w:p w:rsidR="00000000" w:rsidRDefault="00000000">
      <w:pPr>
        <w:pStyle w:val="BodyText"/>
      </w:pPr>
      <w:r>
        <w:t>8.</w:t>
      </w:r>
      <w:r>
        <w:tab/>
        <w:t xml:space="preserve">Рассмотрев эту ситуацию на примере положения в сфере занятости, мы увидим, что в 2003 году уровень безработицы в Латиноамериканском регионе достиг 10,7 процента; это означало, что еще 700 тыс. человек пополнили армию городских безработных, численность которой близка сегодня к 17 млн. При этом рабочие места имеются сегодня в основном в теневом секторе экономики. Семь из каждых 10 вновь создаваемых рабочих мест относятся к этому сектору, для которого характерны сокращение реальной заработной платы, тяжелые условия труда и социальная незащищенность. По данным Экономической комиссии для Латинской Америки (ЭКЛА), в Латинской Америке насчитывается 227 млн. бедняков, что составляет 44 процента населения, и 92 млн. из них – из числа коренного населения. На конец 2003 года в регионе было на 20 млн. бедных больше, чем в 1997 году. </w:t>
      </w:r>
    </w:p>
    <w:p w:rsidR="00000000" w:rsidRDefault="00000000">
      <w:pPr>
        <w:pStyle w:val="BodyText"/>
      </w:pPr>
      <w:r>
        <w:t>9.</w:t>
      </w:r>
      <w:r>
        <w:tab/>
        <w:t xml:space="preserve">В ситуации бедности, нужды и социальной незащищенности больше всего страдают именно женщины, и это происходит не только в силу гендерных перекосов, присущих некоторым направлениям подобной политики, но и потому, что ее последствия по-разному сказываются на мужчинах и на женщинах в силу традиционного распределения и восприятия их ролей. Таким образом, имеет место коренное и очевидное противоречие между формальным провозглашением равенства прав и возможностей и реальным их обеспечением. </w:t>
      </w:r>
    </w:p>
    <w:p w:rsidR="00000000" w:rsidRDefault="00000000">
      <w:pPr>
        <w:pStyle w:val="BodyText"/>
      </w:pPr>
      <w:r>
        <w:t>10.</w:t>
      </w:r>
      <w:r>
        <w:tab/>
        <w:t xml:space="preserve">Нынешняя тяжелая в экономическом и социальном отношении международная ситуация усугубляется ухудшением политических отношений в рамках нового соотношения сил на международной арене, когда господствующее положение на ней занимает сверхдержава с гегемонистскими устремлениями и с претензиями на мировое господство, чье поведение исполнено агрессии, милитаризма и презрения к международному праву и к принципу многосторонности. </w:t>
      </w:r>
    </w:p>
    <w:p w:rsidR="00000000" w:rsidRDefault="00000000">
      <w:pPr>
        <w:pStyle w:val="BodyText"/>
      </w:pPr>
      <w:r>
        <w:t>11.</w:t>
      </w:r>
      <w:r>
        <w:tab/>
        <w:t xml:space="preserve">Разработка и отстаивание доктрин, подобных доктрине "превентивных ударов", и развязывание поистине грабительских империалистических войн лишают страны возможности на деле осуществлять суверенитет и самоопределение, поскольку этим странам угрожают, с одной стороны, экстремистские и фундаменталистские группировки, голод и нищета, а с другой – силы, рвущиеся к власти в государстве, которое обладает неоспоримым военным превосходством. </w:t>
      </w:r>
    </w:p>
    <w:p w:rsidR="00000000" w:rsidRDefault="00000000">
      <w:pPr>
        <w:pStyle w:val="BodyText"/>
      </w:pPr>
      <w:r>
        <w:t>12.</w:t>
      </w:r>
      <w:r>
        <w:tab/>
        <w:t>Используя циничные оправдания, такие как якобы приверженность делу обеспечения демократии и прав человека – тех самых, в которых отказано десяткам тысяч мирных граждан, погибающих от "умных" бомб, – необходимость уничтожения несуществующих арсеналов оружия массового поражения или пресечения вымышленных связей с теми или иными террористическими группировками, империалистическая сверхдержава развязывает войны, разрабатывает и производит новые виды вооружений и постоянно нагнетает обстановку страха и истерии, что является, вне всякого сомнения, еще одним фактором риска и дискриминации в отношении женщин и детей, живущих в зонах конфликтов или в странах, являющихся мишенью для угрозы нападения, исходящей от в высшей степени агрессивной администрации, которая прибегает к таким средствам недобросовестной пропаганды, как причисление стран к так называемой "оси зла".</w:t>
      </w:r>
    </w:p>
    <w:p w:rsidR="00000000" w:rsidRDefault="00000000">
      <w:pPr>
        <w:pStyle w:val="BodyText"/>
      </w:pPr>
      <w:r>
        <w:t>13.</w:t>
      </w:r>
      <w:r>
        <w:tab/>
        <w:t xml:space="preserve">Реальное положение дел на Кубе, и в частности ситуацию, в которой находятся женщины и дети, невозможно понять, не учитывая те тяжелые проблемы и угрозы, которые навязываются стране внешними силами. </w:t>
      </w:r>
    </w:p>
    <w:p w:rsidR="00000000" w:rsidRDefault="00000000">
      <w:pPr>
        <w:pStyle w:val="BodyText"/>
      </w:pPr>
      <w:r>
        <w:t>14.</w:t>
      </w:r>
      <w:r>
        <w:tab/>
        <w:t xml:space="preserve">Носящая характер геноцида экономическая, торговая и финансовая блокада, осуществляемая на протяжении свыше 40 лет сменявшими друг друга правительствами Соединенных Штатов против кубинского народа и значительно ужесточенная администрацией Буша, который в своей бредовой антикубинской политике дошел даже до посягательств на институт семьи, причинила экономике Кубы прямые убытки в сумме почти 80 млрд. долл. США и принесла кубинскому народу, и особенно женщинам, огромную материальную нужду, уменьшение количества и ухудшение качества имеющихся продовольственных продуктов и серьезные трудности в предоставлении медицинских и образовательных услуг, и это лишь некоторые из ее вредоносных последствий. </w:t>
      </w:r>
    </w:p>
    <w:p w:rsidR="00000000" w:rsidRDefault="00000000">
      <w:pPr>
        <w:pStyle w:val="BodyText"/>
      </w:pPr>
      <w:r>
        <w:t>15.</w:t>
      </w:r>
      <w:r>
        <w:tab/>
        <w:t xml:space="preserve">Несмотря на все эти трудности, политическая воля кубинского правительства и его осознанная готовность к сопротивлению, равно как и твердая решимость всего кубинского народа продолжать движение вперед, позволили реализовать основные цели политического и социального проекта, направленного на обеспечение справедливости и равенства, проекта, в рамках которого люди не только пользуются плодами тех огромных, последовательных перемен к лучшему в положении дел на Кубе и в условиях жизни ее граждан, мужчин и женщин, но и являются участниками и творцами этих перемен. </w:t>
      </w:r>
    </w:p>
    <w:p w:rsidR="00000000" w:rsidRDefault="00000000">
      <w:pPr>
        <w:pStyle w:val="BodyText"/>
      </w:pPr>
    </w:p>
    <w:p w:rsidR="00000000" w:rsidRDefault="00000000">
      <w:pPr>
        <w:pStyle w:val="BodyText"/>
        <w:jc w:val="center"/>
        <w:rPr>
          <w:b/>
        </w:rPr>
      </w:pPr>
      <w:r>
        <w:br w:type="page"/>
      </w:r>
      <w:r>
        <w:rPr>
          <w:b/>
        </w:rPr>
        <w:t>ВВЕДЕНИЕ</w:t>
      </w:r>
    </w:p>
    <w:p w:rsidR="00000000" w:rsidRDefault="00000000">
      <w:pPr>
        <w:pStyle w:val="BodyText"/>
      </w:pPr>
      <w:r>
        <w:t>16.</w:t>
      </w:r>
      <w:r>
        <w:tab/>
        <w:t xml:space="preserve">Куба, будучи первой страной, подписавшей </w:t>
      </w:r>
      <w:r>
        <w:rPr>
          <w:i/>
        </w:rPr>
        <w:t>Конвенцию о ликвидации всех форм дискриминации в отношении женщин</w:t>
      </w:r>
      <w:r>
        <w:t xml:space="preserve"> (далее – Конвенция), и второй страной, ратифицировавшей ее, строго придерживается в своем законодательстве и практике положений этого международного документа, в соответствии с которым в стране созданы все необходимые и достаточные условия, для того чтобы гарантировать и защищать права женщин во всех сферах жизни общества. </w:t>
      </w:r>
    </w:p>
    <w:p w:rsidR="00000000" w:rsidRDefault="00000000">
      <w:pPr>
        <w:pStyle w:val="BodyText"/>
      </w:pPr>
      <w:r>
        <w:t>17.</w:t>
      </w:r>
      <w:r>
        <w:tab/>
        <w:t xml:space="preserve">Правительство Республики Куба, как было признано Комитетом в ходе оценки четвертого периодического доклада, продемонстрировало свою политическую решимость поддержать Факультативный протокол к Конвенции, и сделало это, подписав 17 марта 2000 года Протокол в рамках 44-й очередной сессии Комиссии по положению женщин. </w:t>
      </w:r>
    </w:p>
    <w:p w:rsidR="00000000" w:rsidRDefault="00000000">
      <w:pPr>
        <w:pStyle w:val="BodyText"/>
      </w:pPr>
      <w:r>
        <w:t>18.</w:t>
      </w:r>
      <w:r>
        <w:tab/>
        <w:t xml:space="preserve">Женщины по-прежнему имеют возможность непосредственно пользоваться плодами успехов, достигнутых кубинским обществом в ходе осуществления государственной стратегии, направленной на расширение прав и возможностей и удовлетворение разнообразных потребностей различных слоев общества, в рамках справедливой социальной политики, основанной на участии, а также на равенстве прав, возможностей и перспектив. </w:t>
      </w:r>
    </w:p>
    <w:p w:rsidR="00000000" w:rsidRDefault="00000000">
      <w:pPr>
        <w:pStyle w:val="BodyText"/>
      </w:pPr>
      <w:r>
        <w:t>19.</w:t>
      </w:r>
      <w:r>
        <w:tab/>
        <w:t xml:space="preserve">Кубинцы, будучи действенными и активными участниками преобразовательных процессов, являются решающей силой, обеспечивающей экономическое, социальное, политическое и культурное развитие страны. </w:t>
      </w:r>
    </w:p>
    <w:p w:rsidR="00000000" w:rsidRDefault="00000000">
      <w:pPr>
        <w:pStyle w:val="BodyText"/>
      </w:pPr>
      <w:r>
        <w:t>20.</w:t>
      </w:r>
      <w:r>
        <w:tab/>
        <w:t>Правительство подготовило и направило объединенные второй и третий периодические доклады в Комитет по ликвидации всех форм дискриминации в отношении женщин в 1992 году. Комитету доклад был представлен в январе 1996 года. В 1995 году был подготовлен еще один доклад, который должен был стать четвертым, но был отнесен к категории дополнения к предыдущему, поскольку поступил еще до представления доклада в 1996 году. В 2000 году Куба представила Комитету свой четвертый периодический доклад.</w:t>
      </w:r>
    </w:p>
    <w:p w:rsidR="00000000" w:rsidRDefault="00000000">
      <w:pPr>
        <w:pStyle w:val="BodyText"/>
      </w:pPr>
      <w:r>
        <w:t>21.</w:t>
      </w:r>
      <w:r>
        <w:tab/>
        <w:t xml:space="preserve">В соответствии со статьей 18 Конвенции пришел срок представления Комитету по ликвидации всех форм дискриминации в отношении женщин пятого периодического доклада. Однако, учитывая нынешнее опоздание с рассмотрением одного из докладов (хотя он и готов, его невозможно представить в предусмотренный срок вследствие большой загруженности Комитета и связанных с этим задержек), было принято решение подготовить данный доклад в качестве объединенных пятого и шестого докладов. </w:t>
      </w:r>
    </w:p>
    <w:p w:rsidR="00000000" w:rsidRDefault="00000000">
      <w:pPr>
        <w:pStyle w:val="BodyText"/>
      </w:pPr>
      <w:r>
        <w:t>22.</w:t>
      </w:r>
      <w:r>
        <w:tab/>
        <w:t>Подготовка настоящего доклада велась в условиях постоянного повышения уровня координации, сотрудничества и согласованности между всеми центральными органами государственной власти и организациями гражданского общества Кубы, которые заинтересованы в реализации Конвенции о ликвидации всех форм дискриминации в отношении женщин и принимают участие в ее осуществлении.</w:t>
      </w:r>
    </w:p>
    <w:p w:rsidR="00000000" w:rsidRDefault="00000000">
      <w:pPr>
        <w:pStyle w:val="BodyText"/>
      </w:pPr>
      <w:r>
        <w:t>23.</w:t>
      </w:r>
      <w:r>
        <w:tab/>
        <w:t xml:space="preserve">В ходе рассмотрения третьего и четвертого докладов, представленных кубинским правительством, Комитет в своих заключениях признал негативные последствия закона Хелмса–Бэртона, а также экономической, торговой и финансовой блокады, осуществляемой правительством Соединенных Штатов в отношении Кубы, для всесторонней реализации Конвенции и принятой на конференции в Пекине Платформы действий. Эта блокада, которую абсолютно не приемлет подавляющее большинство государств – членов Организации Объединенных Наций (на 59-й сессии Генеральной Ассамблеи ООН проект резолюции по этому вопросу поддержали 179 государств), имеет все более тяжкие и суровые последствия для кубинских женщин. </w:t>
      </w:r>
    </w:p>
    <w:p w:rsidR="00000000" w:rsidRDefault="00000000">
      <w:pPr>
        <w:pStyle w:val="BodyText"/>
      </w:pPr>
      <w:r>
        <w:t>24.</w:t>
      </w:r>
      <w:r>
        <w:tab/>
        <w:t xml:space="preserve">В связи с этим следует напомнить о принятом в 1999 году Заявлении Национальной ассамблеи народной власти Республики Куба, в котором раскрывалась преступная и имеющая все признаки геноцида природа этой блокады и на основании весомых аргументов из сферы международного права утверждалось право народа Кубы требовать осуждения подобных мер. </w:t>
      </w:r>
    </w:p>
    <w:p w:rsidR="00000000" w:rsidRDefault="00000000">
      <w:pPr>
        <w:pStyle w:val="BodyText"/>
      </w:pPr>
      <w:r>
        <w:t>25.</w:t>
      </w:r>
      <w:r>
        <w:tab/>
        <w:t xml:space="preserve">Тяжелые последствия блокады сказались прежде всего на положении женщин и повседневной жизни их семей. Это проявляется в различных сферах, от самых обыденных до тех, которые представляют опасность для будущего развития страны. </w:t>
      </w:r>
    </w:p>
    <w:p w:rsidR="00000000" w:rsidRDefault="00000000">
      <w:pPr>
        <w:pStyle w:val="BodyText"/>
      </w:pPr>
      <w:r>
        <w:t>26.</w:t>
      </w:r>
      <w:r>
        <w:tab/>
        <w:t xml:space="preserve">Международный трибунал кубинских женщин против блокады, созванный Федерацией кубинских женщин, Институтом философии Академии наук и международной НПО "Эль тальер", основываясь на непредвзятом мнении авторитетного жюри в составе женщин и мужчин из разных стран мира, рассмотрел и принял решение в пользу истцов, подтвердив достоверность ряда фактов, свидетельствующих о причиненном ущербе. В ходе этих слушаний, состоявшихся в марте 2002 года, были предоставлены возможности для того, чтобы заслушать и обнародовать свидетельства кубинских женщин, которые свыше 40 лет изо дня в день сталкиваются с последствиями этой политики геноцида. Выступившие в качестве свидетелей должностные лица изложили причины, в силу которых кубинцы вынуждены жить и бороться, подобно участникам движения Сопротивления. </w:t>
      </w:r>
    </w:p>
    <w:p w:rsidR="00000000" w:rsidRDefault="00000000">
      <w:pPr>
        <w:pStyle w:val="BodyText"/>
      </w:pPr>
      <w:r>
        <w:t>27.</w:t>
      </w:r>
      <w:r>
        <w:tab/>
        <w:t>Кубинские женщины-специалисты, исследователи, ученые оказались в ущемленном положении в том, что касается контактов между специалистами и институтами, по мере того как существенно сужались возможности для получения технологий, оборудования и средств, которые позволили бы им с большей эффективностью участвовать в научном прогрессе, то есть в той сфере, где они трудятся и получают зарплату. Кроме того, они лишились возможности участвовать в учебных программах, курсах и специализированных мероприятиях, проводимых на базе лабораторий в Соединенных Штатах. Кубинские женщины-ученые страдают и от того, что им закрыт доступ к проектам, стипендиям и фондам, которые предоставляют международные организации и учреждения в научных и учебных заведениях США.</w:t>
      </w:r>
    </w:p>
    <w:p w:rsidR="00000000" w:rsidRDefault="00000000">
      <w:pPr>
        <w:pStyle w:val="BodyText"/>
      </w:pPr>
      <w:r>
        <w:t>28.</w:t>
      </w:r>
      <w:r>
        <w:tab/>
        <w:t>Последствия преступной блокады осложнили повседневную жизнь всех кубинок, и прежде всего сельских жительниц. Нехватка горючего, предметов санитарии и гигиены, средств транспорта и продуктов питания затрудняют, в числе всего прочего, возможность сочетать работу с семейными обязанностями и с уходом за детьми и сужают перспективы развития личности.</w:t>
      </w:r>
    </w:p>
    <w:p w:rsidR="00000000" w:rsidRDefault="00000000">
      <w:pPr>
        <w:pStyle w:val="BodyText"/>
      </w:pPr>
      <w:r>
        <w:t>29.</w:t>
      </w:r>
      <w:r>
        <w:tab/>
        <w:t xml:space="preserve">В этих условиях Куба по-прежнему осуществляет избранную ею стратегию выживания, сопротивления и развития во всех сферах экономической, политической и социальной жизни. Продолжалась реорганизация экономики, были изысканы новые подходы и решения, позволяющие максимально уменьшить ущерб, оптимизировать использование финансовых и людских ресурсов, сохранять достигнутое. </w:t>
      </w:r>
    </w:p>
    <w:p w:rsidR="00000000" w:rsidRDefault="00000000">
      <w:pPr>
        <w:pStyle w:val="BodyText"/>
      </w:pPr>
      <w:r>
        <w:t>30.</w:t>
      </w:r>
      <w:r>
        <w:tab/>
        <w:t xml:space="preserve">Перед лицом разного рода трудностей было продолжено создание и укрепление механизмов, направленных на конкретную защиту прав, условий жизни и положения женщин. В результате усилий со стороны правительства и народа Кубы продолжается рост показателей участия женщин в экономической и общественной жизни. </w:t>
      </w:r>
    </w:p>
    <w:p w:rsidR="00000000" w:rsidRDefault="00000000">
      <w:pPr>
        <w:pStyle w:val="BodyText"/>
      </w:pPr>
      <w:r>
        <w:t>31.</w:t>
      </w:r>
      <w:r>
        <w:tab/>
        <w:t>Удалось достичь существенных успехов в деле улучшения положения женщин, укрепления их независимости и увеличения их вклада в развитие страны, и полученные результаты представляют собой настоящий подвиг в этих международных условиях. На конец 2002 года число неработающих женщин сократилось на 4,5 процента. В то же время женщины составляли 44,7 процента работающего гражданского населения – самый высокий показатель участия женщин в экономической жизни страны, превышающий приведенные в предыдущем докладе данные по состоянию на 1999 год (43,9 процента).</w:t>
      </w:r>
    </w:p>
    <w:p w:rsidR="00000000" w:rsidRDefault="00000000">
      <w:pPr>
        <w:pStyle w:val="BodyText"/>
      </w:pPr>
      <w:r>
        <w:t>32.</w:t>
      </w:r>
      <w:r>
        <w:tab/>
        <w:t xml:space="preserve">Женщины составляют 64,7 процента выпускников высших учебных заведений и 66,4 процента специалистов со средним специальным и высшим образованием, и оба эти показателя выше тех, которые были приведены в предыдущем докладе. </w:t>
      </w:r>
    </w:p>
    <w:p w:rsidR="00000000" w:rsidRDefault="00000000">
      <w:pPr>
        <w:pStyle w:val="BodyText"/>
      </w:pPr>
      <w:r>
        <w:t>33.</w:t>
      </w:r>
      <w:r>
        <w:tab/>
        <w:t xml:space="preserve">Постоянно продолжалось увеличение числа женщин, занимающих руководящие посты всех уровней, что свидетельствует о все более широком их участии в политической жизни страны и в процессах принятия решений. В 1999 году женщины составляли 31,1 процента руководящих работников; на конец 2002 года этот показатель составил 34,8 процента и стал самым высоким за всю историю Кубы. </w:t>
      </w:r>
    </w:p>
    <w:p w:rsidR="00000000" w:rsidRDefault="00000000">
      <w:pPr>
        <w:pStyle w:val="BodyText"/>
      </w:pPr>
      <w:r>
        <w:t>34.</w:t>
      </w:r>
      <w:r>
        <w:tab/>
        <w:t xml:space="preserve">Шире, по сравнению с данными предыдущего доклада, представлены женщины и в судебной системе Кубы. В этой сфере женщины занимают высшие руководящие посты, в том числе пост вице-президента Народного верховного суда и пост заместителя министра юстиции, причем в этом Министерстве женщины занимают 40,4 процента руководящих должностей и 42,8 процента руководителей его провинциальных отделов. Следует также отметить, что женщины составляют 71,4 процента председателей судов провинций и что в целом в судах они составляют 66,3 процента профессиональных судей – этот показатель в сравнении с 49 процентами в 1999 году значительно вырос. В органах прокуратуры 71 процент прокуроров – женщины, что больше, чем в 1999 году (65 процентов), а что касается руководящих постов, то здесь женщины занимают 60 процентов из них в сравнении с 49 процентами в 1999 году. </w:t>
      </w:r>
    </w:p>
    <w:p w:rsidR="00000000" w:rsidRDefault="00000000">
      <w:pPr>
        <w:pStyle w:val="BodyText"/>
      </w:pPr>
      <w:r>
        <w:t>35.</w:t>
      </w:r>
      <w:r>
        <w:tab/>
        <w:t>Политика, проводимая кубинским правительством и направленная на улучшение положения женщин, наряду с работой, проводимой Федерацией кубинских женщин, позволила также добиться значительного прогресса в том, что касается представленности женщин в парламенте. В ходе последних всеобщих выборов, проводившихся в 2003 году, женщины получили 35,95 процента депутатских мест, тогда как в Национальной ассамблее народной власти предыдущего созыва женщины составляли 27,6 процента депутатов.</w:t>
      </w:r>
    </w:p>
    <w:p w:rsidR="00000000" w:rsidRDefault="00000000">
      <w:pPr>
        <w:pStyle w:val="BodyText"/>
      </w:pPr>
      <w:r>
        <w:t>36.</w:t>
      </w:r>
      <w:r>
        <w:tab/>
        <w:t>Несмотря на трудности, обусловленные стихийными бедствиями, блокадой со стороны Соединенных Штатов и мировым экономическим кризисом, в последние годы в стране продолжался рост валового внутреннего продукта (ВВП): в 2001 году он вырос на 3 процента и в 2002 году – на 1,1 процента. В 2002 году отмечалось количественное и качественное улучшение обеспечения населения продуктами питания и другими основными товарами социального назначения, а также медикаментами; менее чем за год были ликвидированы разрушения, причиненные ураганом "Мишель".</w:t>
      </w:r>
    </w:p>
    <w:p w:rsidR="00000000" w:rsidRDefault="00000000">
      <w:pPr>
        <w:pStyle w:val="BodyText"/>
      </w:pPr>
      <w:r>
        <w:t>37.</w:t>
      </w:r>
      <w:r>
        <w:tab/>
        <w:t xml:space="preserve">В докладе о результатах экономического развития за 2003 год, представленном Министерством экономики и планирования Национальной ассамблее, использованы принципиально новые критерии оценки, создающие более точную картину, нежели те разработанные применительно к рыночной экономике критерии, которые выдвигают на первое место макроэкономические показатели и оставляют вне поля зрения социальные аспекты, крайне важные для оценки масштабов и эффективности деятельности любого правительства, и которые позволяют дать лишь частичный и неполный анализ роста. В этом докладе приведены данные о результатах реализации стратегии, которая позволила выстоять и продолжить рост в условиях особого периода, когда возникли серьезные угрозы для перспектив экономического роста и сохранения социальных завоеваний, достигнутых к 1990 году. </w:t>
      </w:r>
    </w:p>
    <w:p w:rsidR="00000000" w:rsidRDefault="00000000">
      <w:pPr>
        <w:pStyle w:val="BodyText"/>
      </w:pPr>
      <w:r>
        <w:t>38.</w:t>
      </w:r>
      <w:r>
        <w:tab/>
        <w:t xml:space="preserve">В последние годы произошло коренное обновление всей социальной политики Кубинской революции; были достигнуты максимальные результаты при минимальных затратах ресурсов. В силе остались те гарантии и условия для социальной справедливости и равенства, за которые шла борьба на протяжении долгого времени. Благодаря этим программам обновляются и укрепляются принципы человеческой солидарности и создаются стратегические основы для будущего экономического роста. </w:t>
      </w:r>
    </w:p>
    <w:p w:rsidR="00000000" w:rsidRDefault="00000000">
      <w:pPr>
        <w:pStyle w:val="BodyText"/>
      </w:pPr>
      <w:r>
        <w:t>39.</w:t>
      </w:r>
      <w:r>
        <w:tab/>
        <w:t xml:space="preserve">Опыт Кубы показывает, что и в условиях низкого уровня экономического развития возможно более солидарное и справедливое общество и что даже в ситуации серьезной напряженности и крупных проблем могут быть заложены стратегические основы того, что в будущем станет обществом, основанным на знаниях. </w:t>
      </w:r>
    </w:p>
    <w:p w:rsidR="00000000" w:rsidRDefault="00000000">
      <w:pPr>
        <w:pStyle w:val="BodyText"/>
      </w:pPr>
      <w:r>
        <w:t>40.</w:t>
      </w:r>
      <w:r>
        <w:tab/>
        <w:t xml:space="preserve">Невысокий темп макроэкономического роста на Кубе сопровождался ускорением процессов социального развития с особым упором на всеобщий всесторонний культурный прогресс, и важные достижения в этой сфере подтверждают действенность принципов социальной справедливости и равенства, которые были руководящими в процессе революционных преобразований, предпринятых кубинским народом. Были созданы курсы комплексного повышения образовательного уровня для молодых людей, которые не учатся и не работают, и 63,4 процента обучающихся на этих курсах составляют женщины, получающих здесь специальность и одновременно повышающих свою самооценку. </w:t>
      </w:r>
    </w:p>
    <w:p w:rsidR="00000000" w:rsidRDefault="00000000">
      <w:pPr>
        <w:pStyle w:val="BodyText"/>
      </w:pPr>
      <w:r>
        <w:t>41.</w:t>
      </w:r>
      <w:r>
        <w:tab/>
        <w:t xml:space="preserve">К числу программ в сфере образования относятся создание учебных заведений для социальных работников, преподавателей в области искусств, и в частности искусства ваяния, внедрение аудиовизуальных средств для повышения качества образования, сокращение числа учащихся в классах, универсализация высшего образования, открытие двух телевизионных каналов, транслирующих кубинские образовательные передачи, улучшение качества телевизионной программы "Университет для всех", создание в деревнях, где нет электричества, залов для просмотра телевидения и видео, ускоренное развитие информационных технологий на основе массового внедрения компьютеров на всех ступенях образования и укрепления издательства "Либертад" с целью обеспечения школ атласами, словарями и энциклопедиями. </w:t>
      </w:r>
    </w:p>
    <w:p w:rsidR="00000000" w:rsidRDefault="00000000">
      <w:pPr>
        <w:pStyle w:val="BodyText"/>
      </w:pPr>
      <w:r>
        <w:t>42.</w:t>
      </w:r>
      <w:r>
        <w:tab/>
        <w:t xml:space="preserve">В сфере здравоохранения проводились в жизнь программы охраны материнского и детского здоровья, профилактики инфекционных и неинфекционных заболеваний, помощи пожилым людям, а также разрабатывались новые инициативы, такие как выявление детей, не получающих надлежащего питания, и оказание им помощи – им бесплатно предоставляется необходимое продовольствие. Кроме того, было проведено психосоциальное обследование инвалидов с целью больше узнать об их положении и улучшить качество оказываемой им помощи. </w:t>
      </w:r>
    </w:p>
    <w:p w:rsidR="00000000" w:rsidRDefault="00000000">
      <w:pPr>
        <w:pStyle w:val="BodyText"/>
      </w:pPr>
      <w:r>
        <w:t>43.</w:t>
      </w:r>
      <w:r>
        <w:tab/>
        <w:t xml:space="preserve">За рассматриваемый период удалось покончить с эпидемией лихорадки денге, которая продолжалась всего лишь 75 дней, и тем самым все силы нашего общества и его правительственные и неправительственные институты продемонстрировали готовность к координации своей деятельности. Это стало успешной проверкой мобилизационной готовности и эффективности работы социальных органов, активную роль в которых играют женщины. </w:t>
      </w:r>
    </w:p>
    <w:p w:rsidR="00000000" w:rsidRDefault="00000000">
      <w:pPr>
        <w:pStyle w:val="BodyText"/>
      </w:pPr>
      <w:r>
        <w:t>44.</w:t>
      </w:r>
      <w:r>
        <w:tab/>
        <w:t>На конец 2002 года численность населения Кубы составила 11 250 979 человек, из которых около 50 процентов – 5 626 954 человек – женщины [Исследования и данные о населении Кубы (Estudios y Datos sobre la Población cubana), май 2003 года].</w:t>
      </w:r>
    </w:p>
    <w:p w:rsidR="00000000" w:rsidRDefault="00000000">
      <w:pPr>
        <w:pStyle w:val="BodyText"/>
      </w:pPr>
      <w:r>
        <w:t>45.</w:t>
      </w:r>
      <w:r>
        <w:tab/>
        <w:t>Благодаря хорошо организованной медико-санитарной помощи и улучшению качества жизни населения в целом ожидаемая продолжительность жизни на Кубе достигла самых высоких в регионе показателей: 76,15 года – выше показателя 1999 года, составившего 74,7 года. С 2001 года этот показатель для женщин составляет 78,23 года, что на 4 года превышает ожидаемую продолжительность жизни для мужчин.</w:t>
      </w:r>
    </w:p>
    <w:p w:rsidR="00000000" w:rsidRDefault="00000000">
      <w:pPr>
        <w:pStyle w:val="BodyText"/>
      </w:pPr>
      <w:r>
        <w:t>46.</w:t>
      </w:r>
      <w:r>
        <w:tab/>
        <w:t xml:space="preserve">Фертильность продолжала оставаться на крайне низком уровне. Общий коэффициент фертильности составил в 2001 году 45,7 (на 1000 женщин детородного возраста) – самый низкий показатель с 1990 года, а общий коэффициент рождаемости (число детей на одну женщину) был равен 1,60 в 2001 и 1,63 в 2002 году. Общий коэффициент рождаемости слегка возрос, составив в 2001 году 0,78 (ребенка на одну женщину), а в 2002 году – 1,63. </w:t>
      </w:r>
    </w:p>
    <w:p w:rsidR="00000000" w:rsidRDefault="00000000">
      <w:pPr>
        <w:pStyle w:val="BodyText"/>
      </w:pPr>
      <w:r>
        <w:t>47.</w:t>
      </w:r>
      <w:r>
        <w:tab/>
        <w:t xml:space="preserve">Национальным механизмом, который занимается вопросами улучшения положения женщин и проведения в жизнь Конвенции, является Федерация кубинских женщин (ФКЖ) – неправительственная организация, имеющая специальный консультативный статус при Экономическом и Социальном Совете Организации Объединенных Наций (ЭКОСОС). </w:t>
      </w:r>
    </w:p>
    <w:p w:rsidR="00000000" w:rsidRDefault="00000000">
      <w:pPr>
        <w:pStyle w:val="BodyText"/>
      </w:pPr>
      <w:r>
        <w:t>48.</w:t>
      </w:r>
      <w:r>
        <w:tab/>
        <w:t xml:space="preserve">Когда Организация Объединенных Наций в рамках Десятилетия женщин (1976–1985 годы) предложила правительствам приступить к созданию национальных механизмов, серьезная и целенаправленная деятельность ФКЖ продолжалась уже на протяжении 16 лет, и Федерация накопила опыт практической работы, позволивший ей стать специализированной организацией, которая пользуется авторитетом в данной области и является необходимым и обязательным партнером правительства в деле разработки политики, программ и законов, касающихся женщин или влияющих на их положение, а также обладает полномочиями в силу того, что она объединяет в своих рядах большинство кубинских женщин. </w:t>
      </w:r>
    </w:p>
    <w:p w:rsidR="00000000" w:rsidRDefault="00000000">
      <w:pPr>
        <w:pStyle w:val="BodyText"/>
      </w:pPr>
      <w:r>
        <w:t>49.</w:t>
      </w:r>
      <w:r>
        <w:tab/>
        <w:t xml:space="preserve">Данная организация возникла по инициативе самих кубинских женщин, которые решили создать свою организацию и объединиться в ходе экономических, политических и социальных преобразований, начавшихся в стране после победы Революции в январе 1959 года. </w:t>
      </w:r>
    </w:p>
    <w:p w:rsidR="00000000" w:rsidRDefault="00000000">
      <w:pPr>
        <w:pStyle w:val="BodyText"/>
      </w:pPr>
      <w:r>
        <w:t>50.</w:t>
      </w:r>
      <w:r>
        <w:tab/>
        <w:t xml:space="preserve">В структуру ФКЖ входят Национальный комитет, 14 провинциальных и 169 муниципальных комитетов. На уровне общин женщины – члены ФКЖ, число которых в настоящее время превышает 4 млн. человек – 86,1 процента всех женщин страны старше 14 лет, – объединены в более чем 74 тыс. местных ячеек, образованных по территориальному принципу в местах их проживания. </w:t>
      </w:r>
    </w:p>
    <w:p w:rsidR="00000000" w:rsidRDefault="00000000">
      <w:pPr>
        <w:pStyle w:val="BodyText"/>
      </w:pPr>
      <w:r>
        <w:t>51.</w:t>
      </w:r>
      <w:r>
        <w:tab/>
        <w:t xml:space="preserve">ФКЖ координирует деятельность Национальной группы по предупреждению насилия в семье и помощи жертвам насилия и Национальной группы по делам семьи, а президент ФКЖ руководит работой Постоянной комиссии Национальной ассамблеи народной власти по проблемам молодежи и детей и женского равноправия. </w:t>
      </w:r>
    </w:p>
    <w:p w:rsidR="00000000" w:rsidRDefault="00000000">
      <w:pPr>
        <w:pStyle w:val="BodyText"/>
      </w:pPr>
      <w:r>
        <w:t>52.</w:t>
      </w:r>
      <w:r>
        <w:tab/>
        <w:t xml:space="preserve">ФКЖ находится на самофинансировании, получая взносы, ежеквартально переводимые ее членами, а также используя доходы от деятельности своего издательского дома, Центра профессионального обучения женщин и небольшой гостиницы. </w:t>
      </w:r>
    </w:p>
    <w:p w:rsidR="00000000" w:rsidRDefault="00000000">
      <w:pPr>
        <w:pStyle w:val="BodyText"/>
      </w:pPr>
    </w:p>
    <w:p w:rsidR="00000000" w:rsidRDefault="00000000">
      <w:pPr>
        <w:pStyle w:val="BodyText"/>
        <w:jc w:val="center"/>
        <w:rPr>
          <w:b/>
        </w:rPr>
      </w:pPr>
      <w:r>
        <w:rPr>
          <w:b/>
        </w:rPr>
        <w:t>СТАТЬЯ 1</w:t>
      </w:r>
    </w:p>
    <w:p w:rsidR="00000000" w:rsidRDefault="00000000">
      <w:pPr>
        <w:pStyle w:val="BodyText"/>
        <w:ind w:left="0" w:firstLine="0"/>
      </w:pPr>
      <w: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pStyle w:val="BodyText"/>
      </w:pPr>
      <w:r>
        <w:t>53.</w:t>
      </w:r>
      <w:r>
        <w:tab/>
        <w:t xml:space="preserve">Принцип равенства между мужчинами и женщинами закреплен в одной из статей </w:t>
      </w:r>
      <w:r>
        <w:rPr>
          <w:i/>
        </w:rPr>
        <w:t>Конституции Республики Куба</w:t>
      </w:r>
      <w:r>
        <w:t>, принятой 26 февраля 1976 года. В ходе проведенной в июле 1992 года конституционной реформы соответствующая формулировка была доработана путем внесения в нее некоторых изменений. Соответствующие принципы, закрепленные в Основном законе, – это не формальные заявления; они создают основу для последующего законодательства, защищающего интересы кубинских женщин, и гарантией осуществления этих принципов является прямо провозглашенная политическая воля кубинского государства.</w:t>
      </w:r>
    </w:p>
    <w:p w:rsidR="00000000" w:rsidRDefault="00000000">
      <w:pPr>
        <w:pStyle w:val="BodyText"/>
      </w:pPr>
      <w:r>
        <w:t>54.</w:t>
      </w:r>
      <w:r>
        <w:tab/>
        <w:t>В статье 41 главы "Равенство" Конституции Республики Куба говорится: "Все граждане имеют равные права и равные обязанности", а согласно статье 42, "дискриминация по признаку расы, цвета кожи, пола, национального происхождения, религиозных верований и любая другая, ущемляющая человеческое достоинство, запрещена и преследуется по закону". Далее говорится: "Государственные учреждения воспитывают у всех граждан с самого раннего возраста уважение к принципу равенства всех людей".</w:t>
      </w:r>
    </w:p>
    <w:p w:rsidR="00000000" w:rsidRDefault="00000000">
      <w:pPr>
        <w:pStyle w:val="BodyText"/>
      </w:pPr>
      <w:r>
        <w:t>55.</w:t>
      </w:r>
      <w:r>
        <w:tab/>
        <w:t>В статье 43 перечислены завоеванные права, которыми пользуются все граждане, мужчины и женщины, без какого бы то ни было различия.</w:t>
      </w:r>
    </w:p>
    <w:p w:rsidR="00000000" w:rsidRDefault="00000000">
      <w:pPr>
        <w:pStyle w:val="BodyText"/>
      </w:pPr>
      <w:r>
        <w:t>56.</w:t>
      </w:r>
      <w:r>
        <w:tab/>
        <w:t xml:space="preserve">В статье 44 устанавливается равенство прав женщин и мужчин в сферах экономических, политических, культурных, социальных и семейных отношений. Это свидетельствует о том, что в тексте Конституции содержится прямой запрет дискриминации, и подтверждает тот факт, что, утвердив принцип равенства и основные гарантии его соблюдения, Основной закон признает права женщин фундаментальными правами человека. </w:t>
      </w:r>
    </w:p>
    <w:p w:rsidR="00000000" w:rsidRDefault="00000000">
      <w:pPr>
        <w:pStyle w:val="BodyText"/>
        <w:rPr>
          <w:i/>
        </w:rPr>
      </w:pPr>
    </w:p>
    <w:p w:rsidR="00000000" w:rsidRDefault="00000000">
      <w:pPr>
        <w:pStyle w:val="BodyText"/>
        <w:keepNext/>
        <w:jc w:val="center"/>
        <w:rPr>
          <w:b/>
        </w:rPr>
      </w:pPr>
      <w:r>
        <w:rPr>
          <w:b/>
        </w:rPr>
        <w:t>СТАТЬЯ 2</w:t>
      </w:r>
    </w:p>
    <w:p w:rsidR="00000000" w:rsidRDefault="00000000">
      <w:pPr>
        <w:pStyle w:val="BodyText"/>
        <w:keepNext/>
        <w:jc w:val="left"/>
        <w:rPr>
          <w:i/>
        </w:rPr>
      </w:pPr>
      <w:r>
        <w:rPr>
          <w:i/>
        </w:rPr>
        <w:t>Конституционные и институциональные положения, гарантирующие реализацию Конвенции</w:t>
      </w:r>
    </w:p>
    <w:p w:rsidR="00000000" w:rsidRDefault="00000000">
      <w:pPr>
        <w:pStyle w:val="BodyText"/>
        <w:keepNext/>
        <w:ind w:left="0" w:firstLine="0"/>
      </w:pPr>
      <w: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000000" w:rsidRDefault="00000000">
      <w:pPr>
        <w:pStyle w:val="BodyText"/>
        <w:tabs>
          <w:tab w:val="clear" w:pos="907"/>
          <w:tab w:val="left" w:pos="1134"/>
        </w:tabs>
        <w:ind w:left="1134" w:hanging="1134"/>
      </w:pPr>
      <w:r>
        <w:rPr>
          <w:lang w:val="en-US"/>
        </w:rPr>
        <w:tab/>
      </w:r>
      <w:r>
        <w:t>а)</w:t>
      </w:r>
      <w:r>
        <w:tab/>
        <w:t xml:space="preserve">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 </w:t>
      </w:r>
    </w:p>
    <w:p w:rsidR="00000000" w:rsidRDefault="00000000">
      <w:pPr>
        <w:pStyle w:val="BodyText"/>
        <w:tabs>
          <w:tab w:val="clear" w:pos="907"/>
          <w:tab w:val="left" w:pos="1134"/>
        </w:tabs>
        <w:ind w:left="1134" w:hanging="1134"/>
      </w:pPr>
      <w:r>
        <w:rPr>
          <w:lang w:val="en-US"/>
        </w:rPr>
        <w:tab/>
        <w:t>b</w:t>
      </w:r>
      <w:r>
        <w:t>)</w:t>
      </w:r>
      <w:r>
        <w:tab/>
        <w:t xml:space="preserve">принимать соответствующие законодательные и другие меры, включая санкции, там, где это необходимо, запрещающие всякую дискриминацию в отношении женщин; </w:t>
      </w:r>
    </w:p>
    <w:p w:rsidR="00000000" w:rsidRDefault="00000000">
      <w:pPr>
        <w:pStyle w:val="BodyText"/>
        <w:tabs>
          <w:tab w:val="clear" w:pos="907"/>
          <w:tab w:val="left" w:pos="1134"/>
        </w:tabs>
        <w:ind w:left="1134" w:hanging="1134"/>
      </w:pPr>
      <w:r>
        <w:rPr>
          <w:lang w:val="en-US"/>
        </w:rPr>
        <w:tab/>
        <w:t>c</w:t>
      </w:r>
      <w:r>
        <w:t>)</w:t>
      </w:r>
      <w:r>
        <w:tab/>
        <w:t xml:space="preserve">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pStyle w:val="BodyText"/>
        <w:tabs>
          <w:tab w:val="clear" w:pos="907"/>
          <w:tab w:val="left" w:pos="1134"/>
        </w:tabs>
        <w:ind w:left="1134" w:hanging="1134"/>
      </w:pPr>
      <w:r>
        <w:rPr>
          <w:lang w:val="en-US"/>
        </w:rPr>
        <w:tab/>
        <w:t>d</w:t>
      </w:r>
      <w:r>
        <w:t>)</w:t>
      </w:r>
      <w:r>
        <w:tab/>
        <w:t xml:space="preserve">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 </w:t>
      </w:r>
    </w:p>
    <w:p w:rsidR="00000000" w:rsidRDefault="00000000">
      <w:pPr>
        <w:pStyle w:val="BodyText"/>
        <w:tabs>
          <w:tab w:val="clear" w:pos="907"/>
          <w:tab w:val="left" w:pos="1134"/>
        </w:tabs>
        <w:ind w:left="1134" w:hanging="1134"/>
      </w:pPr>
      <w:r>
        <w:rPr>
          <w:lang w:val="en-US"/>
        </w:rPr>
        <w:tab/>
        <w:t>e</w:t>
      </w:r>
      <w:r>
        <w:t>)</w:t>
      </w:r>
      <w:r>
        <w:tab/>
        <w:t xml:space="preserve">принимать все соответствующие меры для ликвидации дискриминации в отношении женщин со стороны какого-либо лица, организации или предприятия; </w:t>
      </w:r>
    </w:p>
    <w:p w:rsidR="00000000" w:rsidRDefault="00000000">
      <w:pPr>
        <w:pStyle w:val="BodyText"/>
        <w:tabs>
          <w:tab w:val="clear" w:pos="907"/>
          <w:tab w:val="left" w:pos="1134"/>
        </w:tabs>
        <w:ind w:left="1134" w:hanging="1134"/>
      </w:pPr>
      <w:r>
        <w:rPr>
          <w:lang w:val="en-US"/>
        </w:rPr>
        <w:tab/>
        <w:t>f</w:t>
      </w:r>
      <w:r>
        <w:t>)</w:t>
      </w:r>
      <w:r>
        <w:tab/>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000000" w:rsidRDefault="00000000">
      <w:pPr>
        <w:pStyle w:val="BodyText"/>
        <w:tabs>
          <w:tab w:val="clear" w:pos="907"/>
          <w:tab w:val="left" w:pos="1134"/>
        </w:tabs>
        <w:ind w:left="1134" w:hanging="1134"/>
      </w:pPr>
      <w:r>
        <w:rPr>
          <w:lang w:val="en-US"/>
        </w:rPr>
        <w:tab/>
        <w:t>g</w:t>
      </w:r>
      <w:r>
        <w:t>)</w:t>
      </w:r>
      <w: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BodyText"/>
      </w:pPr>
      <w:r>
        <w:t>57.</w:t>
      </w:r>
      <w:r>
        <w:tab/>
        <w:t xml:space="preserve">В статье 12 Конституции Кубы провозглашается </w:t>
      </w:r>
      <w:r>
        <w:rPr>
          <w:color w:val="000000"/>
        </w:rPr>
        <w:t xml:space="preserve">"уважение к принципам Устава Организации Объединенных Наций и других международных соглашений, в которых участвует Куба". Это означает, что национальное законодательство соответствует международным договорам, конвенциям и другим международным документам, подписанным Кубой. Гарантируется соблюдение этого принципа во всех сферах правовых отношений. </w:t>
      </w:r>
    </w:p>
    <w:p w:rsidR="00000000" w:rsidRDefault="00000000">
      <w:pPr>
        <w:pStyle w:val="BodyText"/>
      </w:pPr>
      <w:r>
        <w:t>58.</w:t>
      </w:r>
      <w:r>
        <w:tab/>
        <w:t xml:space="preserve">Тем не менее страна не стала дожидаться принятия международных документов или заявлений и планов действий Всемирных конференций, чтобы реализовать свою политическую волю в сфере защиты и обеспечения прав женщин. С 1960-х годов началось проведение в жизнь мер, программ и законов, разработанных на основе представления о взаимоотношениях между мужчинами и женщинами в обществе, в которых придавалось должное значение необходимости улучшения положения женщин, исходя из принципа не только равенства прав, но и равенства возможностей. Права на образование, на здравоохранение, на труд, на безопасность и на социальное обеспечение зачастую обеспечивались посредством мер </w:t>
      </w:r>
      <w:r>
        <w:rPr>
          <w:i/>
        </w:rPr>
        <w:t>"позитивной дискриминации"</w:t>
      </w:r>
      <w:r>
        <w:t xml:space="preserve">, которые позволяли выявлять и защищать потребности, интересы и чаяния кубинских женщин. </w:t>
      </w:r>
    </w:p>
    <w:p w:rsidR="00000000" w:rsidRDefault="00000000">
      <w:pPr>
        <w:pStyle w:val="BodyText"/>
      </w:pPr>
      <w:r>
        <w:t>59.</w:t>
      </w:r>
      <w:r>
        <w:tab/>
        <w:t xml:space="preserve">В связи с этим в Конституции говорится, что "государство гарантирует предоставление женщинам </w:t>
      </w:r>
      <w:r>
        <w:rPr>
          <w:color w:val="000000"/>
        </w:rPr>
        <w:t>наравне с мужчинами прав и возможностей в полной мере участвовать в процессах развития страны</w:t>
      </w:r>
      <w:r>
        <w:t>" и "</w:t>
      </w:r>
      <w:r>
        <w:rPr>
          <w:color w:val="000000"/>
        </w:rPr>
        <w:t>создает такие учреждения, как детские сады, школы продленного дня и школы-интернаты, дома престарелых и службы, обеспеч</w:t>
      </w:r>
      <w:r>
        <w:rPr>
          <w:color w:val="000000"/>
        </w:rPr>
        <w:t>и</w:t>
      </w:r>
      <w:r>
        <w:rPr>
          <w:color w:val="000000"/>
        </w:rPr>
        <w:t>вающие работающим членам семьи возможность выполнения их обязанностей".</w:t>
      </w:r>
    </w:p>
    <w:p w:rsidR="00000000" w:rsidRDefault="00000000">
      <w:pPr>
        <w:pStyle w:val="BodyText"/>
      </w:pPr>
      <w:r>
        <w:rPr>
          <w:color w:val="000000"/>
        </w:rPr>
        <w:t>60.</w:t>
      </w:r>
      <w:r>
        <w:rPr>
          <w:color w:val="000000"/>
        </w:rPr>
        <w:tab/>
        <w:t>Было также установлено, что, "проявляя заботу о здоровье трудящейся женщины и ее детей, государство предоставляет ей оплачиваемый отпуск в дородовой и послеродовой периоды, а также временно – условия труда, совместимые с материнством".</w:t>
      </w:r>
    </w:p>
    <w:p w:rsidR="00000000" w:rsidRDefault="00000000">
      <w:pPr>
        <w:pStyle w:val="BodyText"/>
      </w:pPr>
      <w:r>
        <w:t>61.</w:t>
      </w:r>
      <w:r>
        <w:tab/>
        <w:t>Во вновь принятых законах мужчинам и женщинам на условиях полного равноправия предоставляется возможность решать, кто будет заниматься уходом за новорожденным, как обязанности по уходу за ним будут распределены на протяжении первого года жизни ребенка и кто будет получать пособие по уходу за ребенком.</w:t>
      </w:r>
    </w:p>
    <w:p w:rsidR="00000000" w:rsidRDefault="00000000">
      <w:pPr>
        <w:pStyle w:val="BodyText"/>
      </w:pPr>
      <w:r>
        <w:t>62.</w:t>
      </w:r>
      <w:r>
        <w:tab/>
        <w:t>Важным проявлением политической воли стал тот факт, что благодаря конституционной реформе 1992 года было расширено и уточнено понятие "равенство" путем внесения изменений в формулировку соответствующей статьи; отмечалось, что "женщины и мужчины пользуются одинаковыми правами", поставив их тем самым на один уровень. В предыдущей редакции Конституции говорилось: "Женщины имеют такие же права и обязанности, как и мужчины…".</w:t>
      </w:r>
    </w:p>
    <w:p w:rsidR="00000000" w:rsidRDefault="00000000">
      <w:pPr>
        <w:pStyle w:val="BodyText"/>
      </w:pPr>
      <w:r>
        <w:t>63.</w:t>
      </w:r>
      <w:r>
        <w:tab/>
        <w:t xml:space="preserve">В ходе конституционной реформы были еще раз подтверждены институциональные основы, позволяющие женщинам пользоваться фундаментальными правами человека и реализовывать их. Для этого государство </w:t>
      </w:r>
      <w:r>
        <w:rPr>
          <w:color w:val="000000"/>
        </w:rPr>
        <w:t>создает такие учреждения, как детские сады, школы продленного дня и школы-интернаты, дома престарелых и службы, обеспеч</w:t>
      </w:r>
      <w:r>
        <w:rPr>
          <w:color w:val="000000"/>
        </w:rPr>
        <w:t>и</w:t>
      </w:r>
      <w:r>
        <w:rPr>
          <w:color w:val="000000"/>
        </w:rPr>
        <w:t>вающие работающим членам семьи возможность выполнения их обязанностей.</w:t>
      </w:r>
      <w:r>
        <w:t xml:space="preserve"> </w:t>
      </w:r>
    </w:p>
    <w:p w:rsidR="00000000" w:rsidRDefault="00000000">
      <w:pPr>
        <w:pStyle w:val="BodyText"/>
      </w:pPr>
      <w:r>
        <w:t>64.</w:t>
      </w:r>
      <w:r>
        <w:tab/>
        <w:t>Очень важным является следующее конституционное положение: "</w:t>
      </w:r>
      <w:r>
        <w:rPr>
          <w:color w:val="000000"/>
        </w:rPr>
        <w:t>Государство прилагает усилия к тому, чтобы создать все условия, необходимые для осуществления принципа равенства".</w:t>
      </w:r>
    </w:p>
    <w:p w:rsidR="00000000" w:rsidRDefault="00000000">
      <w:pPr>
        <w:pStyle w:val="BodyText"/>
      </w:pPr>
      <w:r>
        <w:rPr>
          <w:color w:val="000000"/>
        </w:rPr>
        <w:t>65.</w:t>
      </w:r>
      <w:r>
        <w:rPr>
          <w:color w:val="000000"/>
        </w:rPr>
        <w:tab/>
        <w:t>Ряд других глав Конституции, таких как "Гражданство", "Положение иностранцев", "Семья", "Обр</w:t>
      </w:r>
      <w:r>
        <w:rPr>
          <w:color w:val="000000"/>
        </w:rPr>
        <w:t>а</w:t>
      </w:r>
      <w:r>
        <w:rPr>
          <w:color w:val="000000"/>
        </w:rPr>
        <w:t>зование и культура", "Основные права и гарантии", наряду с главой "Равенство" составляют прав</w:t>
      </w:r>
      <w:r>
        <w:rPr>
          <w:color w:val="000000"/>
        </w:rPr>
        <w:t>о</w:t>
      </w:r>
      <w:r>
        <w:rPr>
          <w:color w:val="000000"/>
        </w:rPr>
        <w:t>вую основу разработки комплементарного законодательства, призванного обеспечить защиту интересов к</w:t>
      </w:r>
      <w:r>
        <w:rPr>
          <w:color w:val="000000"/>
        </w:rPr>
        <w:t>у</w:t>
      </w:r>
      <w:r>
        <w:rPr>
          <w:color w:val="000000"/>
        </w:rPr>
        <w:t>бинских женщин.</w:t>
      </w:r>
    </w:p>
    <w:p w:rsidR="00000000" w:rsidRDefault="00000000">
      <w:pPr>
        <w:pStyle w:val="BodyText"/>
      </w:pPr>
      <w:r>
        <w:rPr>
          <w:color w:val="000000"/>
        </w:rPr>
        <w:t>66.</w:t>
      </w:r>
      <w:r>
        <w:rPr>
          <w:color w:val="000000"/>
        </w:rPr>
        <w:tab/>
        <w:t xml:space="preserve">В то же время глава XIV Конституции, озаглавленная "Избирательная система", провозглашает в статье 131, что все правоспособные граждане имеют право участвовать в управлении государством и что, согласно статье 132, право голоса имеют все граждане, мужчины и женщины, достигшие 16 лет, за исключением предусмотренных законом ограничений. В статье 133 говорится также, что право быть избранными имеют </w:t>
      </w:r>
      <w:r>
        <w:t>кубинские граждане, мужчины и женщины, которые пользуются своими политическими правами во всей их полноте</w:t>
      </w:r>
      <w:r>
        <w:rPr>
          <w:color w:val="000000"/>
        </w:rPr>
        <w:t>. Эти положения были закреплены и получили дальнейшее правовое развитие в Законе о выборах № 72 от 29 октября 1992 года.</w:t>
      </w:r>
    </w:p>
    <w:p w:rsidR="00000000" w:rsidRDefault="00000000">
      <w:pPr>
        <w:pStyle w:val="BodyText"/>
      </w:pPr>
      <w:r>
        <w:rPr>
          <w:color w:val="000000"/>
        </w:rPr>
        <w:t>67.</w:t>
      </w:r>
      <w:r>
        <w:rPr>
          <w:color w:val="000000"/>
        </w:rPr>
        <w:tab/>
        <w:t>Особое политическое значение имеет статья 7 Конституции, согласно которой "кубинское социал</w:t>
      </w:r>
      <w:r>
        <w:rPr>
          <w:color w:val="000000"/>
        </w:rPr>
        <w:t>и</w:t>
      </w:r>
      <w:r>
        <w:rPr>
          <w:color w:val="000000"/>
        </w:rPr>
        <w:t>стическое государство признает и поддерживает массовые и другие общественные организации, возни</w:t>
      </w:r>
      <w:r>
        <w:rPr>
          <w:color w:val="000000"/>
        </w:rPr>
        <w:t>к</w:t>
      </w:r>
      <w:r>
        <w:rPr>
          <w:color w:val="000000"/>
        </w:rPr>
        <w:t xml:space="preserve">шие в ходе исторической борьбы нашего народа" – процесса, в котором женщины сыграли и продолжают играть ведущую роль. </w:t>
      </w:r>
    </w:p>
    <w:p w:rsidR="00000000" w:rsidRDefault="00000000">
      <w:pPr>
        <w:pStyle w:val="BodyText"/>
      </w:pPr>
      <w:r>
        <w:rPr>
          <w:color w:val="000000"/>
        </w:rPr>
        <w:t>68.</w:t>
      </w:r>
      <w:r>
        <w:rPr>
          <w:color w:val="000000"/>
        </w:rPr>
        <w:tab/>
        <w:t>Это конституционное положение стало важным фактором формирования представительной дем</w:t>
      </w:r>
      <w:r>
        <w:rPr>
          <w:color w:val="000000"/>
        </w:rPr>
        <w:t>о</w:t>
      </w:r>
      <w:r>
        <w:rPr>
          <w:color w:val="000000"/>
        </w:rPr>
        <w:t>кратии в стране. Через посредство общественных организаций, в которых женщины занимают значительное место и играют в</w:t>
      </w:r>
      <w:r>
        <w:rPr>
          <w:color w:val="000000"/>
        </w:rPr>
        <w:t>е</w:t>
      </w:r>
      <w:r>
        <w:rPr>
          <w:color w:val="000000"/>
        </w:rPr>
        <w:t>дущую роль, осуществляются различные виды деятельности на благо народа и в интересах п</w:t>
      </w:r>
      <w:r>
        <w:rPr>
          <w:color w:val="000000"/>
        </w:rPr>
        <w:t>о</w:t>
      </w:r>
      <w:r>
        <w:rPr>
          <w:color w:val="000000"/>
        </w:rPr>
        <w:t>литического и социального развития страны.</w:t>
      </w:r>
    </w:p>
    <w:p w:rsidR="00000000" w:rsidRDefault="00000000">
      <w:pPr>
        <w:pStyle w:val="BodyText"/>
      </w:pPr>
      <w:r>
        <w:rPr>
          <w:color w:val="000000"/>
        </w:rPr>
        <w:t>69.</w:t>
      </w:r>
      <w:r>
        <w:rPr>
          <w:color w:val="000000"/>
        </w:rPr>
        <w:tab/>
        <w:t>Массовые и другие общественные организации, не будучи государственными, действуют в качестве самостоятельных юридических лиц и имеют право законодательной инициативы. Авангардом этих организаций является Федерация кубинских женщин.</w:t>
      </w:r>
    </w:p>
    <w:p w:rsidR="00000000" w:rsidRDefault="00000000">
      <w:pPr>
        <w:pStyle w:val="BodyText"/>
      </w:pPr>
      <w:r>
        <w:rPr>
          <w:color w:val="000000"/>
        </w:rPr>
        <w:t>70.</w:t>
      </w:r>
      <w:r>
        <w:rPr>
          <w:color w:val="000000"/>
        </w:rPr>
        <w:tab/>
        <w:t>Постоянная комиссия по проблемам молодежи, детей и женского равноправия, являющаяся одной из ряда комиссий, учрежденных Национальной ассамблеей народной власти – высшим органом власти Кубы, – осуществляет важные консультативные, исследовательские, учебные, контрольные и другие функции, а также функции оценки, которые в совокупности служат делу защиты людей, имущества, правовых и моральных ценностей, составляющих их достояние. Эта комиссия также имеет право законодательной инициативы, и при ее участии разрабатывались и выносились на голосование проекты законов и постановлений, а также меры, призванные обеспечить проведение последних в жизнь.</w:t>
      </w:r>
    </w:p>
    <w:p w:rsidR="00000000" w:rsidRDefault="00000000">
      <w:pPr>
        <w:pStyle w:val="BodyText"/>
      </w:pPr>
    </w:p>
    <w:p w:rsidR="00000000" w:rsidRDefault="00000000">
      <w:pPr>
        <w:pStyle w:val="BodyText"/>
        <w:jc w:val="left"/>
        <w:rPr>
          <w:i/>
        </w:rPr>
      </w:pPr>
      <w:r>
        <w:rPr>
          <w:i/>
          <w:color w:val="000000"/>
        </w:rPr>
        <w:t>Правовые гарантии равенства женщин и недопущения дискриминации</w:t>
      </w:r>
    </w:p>
    <w:p w:rsidR="00000000" w:rsidRDefault="00000000">
      <w:pPr>
        <w:pStyle w:val="BodyText"/>
      </w:pPr>
      <w:r>
        <w:rPr>
          <w:color w:val="000000"/>
        </w:rPr>
        <w:t>71.</w:t>
      </w:r>
      <w:r>
        <w:rPr>
          <w:color w:val="000000"/>
        </w:rPr>
        <w:tab/>
        <w:t>В соответствии с указанными положениями Конституции был принят целый ряд законов и юридических норм, гарантирующих соблюдение основных прав человека лиц обоих полов – прав, имеющих, тем не менее, особое значение для женщин, таких как право на жизнь, на защиту их репродуктивных и сексуальных функций, на планирование размера семьи, на здравоохранение, на образование, на безопасность и социальное обеспечение, на жилище, на труд, на равное вознаграждение за равный и равноценный труд; право на занятие, в меру своих заслуг и возможностей, любых должностей в государственном аппарате, на производстве и в сфере услуг; а также право на развитие как личности, право выбирать и быть избранным и др.</w:t>
      </w:r>
    </w:p>
    <w:p w:rsidR="00000000" w:rsidRDefault="00000000">
      <w:pPr>
        <w:pStyle w:val="BodyText"/>
      </w:pPr>
      <w:r>
        <w:t>72.</w:t>
      </w:r>
      <w:r>
        <w:tab/>
        <w:t xml:space="preserve">Принятый Законом № 1289 от 14 февраля 1975 года </w:t>
      </w:r>
      <w:r>
        <w:rPr>
          <w:i/>
        </w:rPr>
        <w:t>Семейный кодекс</w:t>
      </w:r>
      <w:r>
        <w:t xml:space="preserve"> на протяжении почти 30 лет своего существования способствовал укреплению семьи как основной ячейки общества, расширению участия женщины во всех сферах жизни и равноправию сыновей и дочерей в семье. </w:t>
      </w:r>
    </w:p>
    <w:p w:rsidR="00000000" w:rsidRDefault="00000000">
      <w:pPr>
        <w:pStyle w:val="BodyText"/>
      </w:pPr>
      <w:r>
        <w:t>73.</w:t>
      </w:r>
      <w:r>
        <w:tab/>
        <w:t xml:space="preserve">В главе об отношениях супругов, в первом разделе "О правах и обязанностях супругов", закрепляется провозглашенный в Конституции принцип, согласно которому основой брака является равенство прав и обязанностей обоих супругов. Что касается осуществления родительских прав, то в статье 83 предусматривается, что воспитание детей является совместной обязанностью обоих родителей, которые имеют определенные права и несут определенные обязанности в соответствии с положениями статьи 85. </w:t>
      </w:r>
    </w:p>
    <w:p w:rsidR="00000000" w:rsidRDefault="00000000">
      <w:pPr>
        <w:pStyle w:val="BodyText"/>
      </w:pPr>
      <w:r>
        <w:t>74.</w:t>
      </w:r>
      <w:r>
        <w:tab/>
        <w:t xml:space="preserve">Указанные статьи имеют ярко выраженную гендерную направленность, и можно считать, что их задача – положить конец разделению домашнего труда на мужской и женский, являющемуся одним из наиболее прочных культурных устоев, который в наибольшей степени сказывается на положении женщин ввиду большого объема домашней работы, которую им приходится выполнять. </w:t>
      </w:r>
    </w:p>
    <w:p w:rsidR="00000000" w:rsidRDefault="00000000">
      <w:pPr>
        <w:pStyle w:val="BodyText"/>
      </w:pPr>
      <w:r>
        <w:t>75.</w:t>
      </w:r>
      <w:r>
        <w:tab/>
        <w:t xml:space="preserve">После принятия Семейного кодекса в некоторые его статьи были внесены поправки, имеющие целью его усовершенствование, с тем чтобы он стал правовым документом, сочетающим потребности развития человека с социальной справедливостью. Поправки в Семейный кодекс были внесены Законом № 9 от 22 августа 1997 года, Декретом-законом № 76 1984 года "Об усыновлении, домах ребенка и приемных семьях", вступившим в силу Законом № 51 1985 года "О регистрации актов гражданского состояния", в котором определены процедуры заключения брака и регистрации детей. </w:t>
      </w:r>
    </w:p>
    <w:p w:rsidR="00000000" w:rsidRDefault="00000000">
      <w:pPr>
        <w:pStyle w:val="BodyText"/>
      </w:pPr>
      <w:r>
        <w:t>76.</w:t>
      </w:r>
      <w:r>
        <w:tab/>
        <w:t xml:space="preserve">Новая ситуация, сложившаяся к настоящему времени в ходе социального развития, комплексный характер социальных отношений и наличие других документов, которые тем или иным образом затрагивают эти проблемы, требуют внесения дополнительных изменений в Семейный кодекс, чтобы при сохранении его духа можно было лучше реализовать некоторые его положения. С этой целью ведется работа по совершенствованию данного важного свода законов. </w:t>
      </w:r>
    </w:p>
    <w:p w:rsidR="00000000" w:rsidRDefault="00000000">
      <w:pPr>
        <w:pStyle w:val="BodyText"/>
      </w:pPr>
      <w:r>
        <w:t>77.</w:t>
      </w:r>
      <w:r>
        <w:tab/>
        <w:t xml:space="preserve">Кроме того, назрела необходимость учредить суды по делам семьи и разработать специальные процедуры, способствующие быстрому разрешению возникающих семейных конфликтов и обеспечивающие качественное и безопасное применение разнообразных подходов в данной весьма деликатной сфере. </w:t>
      </w:r>
    </w:p>
    <w:p w:rsidR="00000000" w:rsidRDefault="00000000">
      <w:pPr>
        <w:pStyle w:val="BodyText"/>
      </w:pPr>
      <w:r>
        <w:t>78.</w:t>
      </w:r>
      <w:r>
        <w:tab/>
        <w:t xml:space="preserve">В статьях 28–31 Закона № 59 от 16 июля 1987 года (Гражданского кодекса) регулируется правоспособность физических лиц, являющихся субъектами правоотношений. В нем запрещается дискриминация по признаку пола или по другому ущемляющему человеческое достоинство признаку. </w:t>
      </w:r>
    </w:p>
    <w:p w:rsidR="00000000" w:rsidRDefault="00000000">
      <w:pPr>
        <w:pStyle w:val="BodyText"/>
      </w:pPr>
      <w:r>
        <w:t>79.</w:t>
      </w:r>
      <w:r>
        <w:tab/>
        <w:t xml:space="preserve">Закон № 65 от 23 декабря 1988 года (Основной закон о жилище) предусматривает конкретные меры по защите женщин. Согласно статье 64 этого закона, собственнику жилища предоставляется право решать, кто именно может в нем жить, а в статье 65 говорится, что это право не может быть реализовано, помимо всего прочего, в отношении матери, имеющей одного или более детей от официального или гражданского брака с собственником жилья, если она занимается уходом за детьми и их воспитанием и не имеет другого жилья; а также в отношении матери, имеющей одного и более несовершеннолетних детей, проживших в этом жилище не менее трех лет, у которой нет другого жилья. </w:t>
      </w:r>
    </w:p>
    <w:p w:rsidR="00000000" w:rsidRDefault="00000000">
      <w:pPr>
        <w:pStyle w:val="BodyText"/>
      </w:pPr>
      <w:r>
        <w:t>80.</w:t>
      </w:r>
      <w:r>
        <w:tab/>
        <w:t>В настоящее время действует ряд юридических положений по вопросам трудового права, гарантирующих осуществление прав, признанных Конституцией, таких как право на труд, на отдых, на социальную защиту, на социальное обеспечение, а также, в числе прочих, на охрану, безопасность и гигиену труда, профессиональную подготовку и обучение и др.</w:t>
      </w:r>
    </w:p>
    <w:p w:rsidR="00000000" w:rsidRDefault="00000000">
      <w:pPr>
        <w:pStyle w:val="BodyText"/>
      </w:pPr>
      <w:r>
        <w:rPr>
          <w:color w:val="000000"/>
        </w:rPr>
        <w:t>81.</w:t>
      </w:r>
      <w:r>
        <w:rPr>
          <w:color w:val="000000"/>
        </w:rPr>
        <w:tab/>
        <w:t xml:space="preserve">Одним из первых законов, принятых непосредственно в интересах женщин, стал Закон 1962 года о создании детских садов, который обеспечил удовлетворение такой важной потребности, как уход за детьми первых лет жизни и их воспитание, что открыло женщинам доступ к труду и к учебе. Следует отметить, что уже тогда в его тексте речь шла о "благе трудящейся семьи", что подтверждает сказанное выше относительно гендерного подхода, на основании которого принимались законы о семье. </w:t>
      </w:r>
    </w:p>
    <w:p w:rsidR="00000000" w:rsidRDefault="00000000">
      <w:pPr>
        <w:pStyle w:val="BodyText"/>
      </w:pPr>
      <w:r>
        <w:t>82.</w:t>
      </w:r>
      <w:r>
        <w:tab/>
        <w:t xml:space="preserve">Были реализованы и другие меры по поддержке семьи, например предоставление работающим женщинам первоочередного права покупки продуктов питания и промышленных товаров, создание прачечных быстрого обслуживания, изменение графиков и увеличение часов работы бытовых служб, чтобы работающая женщина смогла воспользоваться ими во внерабочее время. </w:t>
      </w:r>
    </w:p>
    <w:p w:rsidR="00000000" w:rsidRDefault="00000000">
      <w:pPr>
        <w:pStyle w:val="BodyText"/>
      </w:pPr>
      <w:r>
        <w:t>83.</w:t>
      </w:r>
      <w:r>
        <w:tab/>
        <w:t>В статье 3 Закона № 49 от 28 декабря 1984 года (Трудового кодекса) были собраны и унифицированы руководящие принципы кубинского трудового права. В нем говорится, что "труд – это право, обязанность и дело чести каждого кубинца, и каждый работоспособный кубинец, независимо от расовой принадлежности, цвета кожи, пола, религии, политических убеждений и национального или социального происхождения, может получить работу, на которой он может вносить свой вклад в решение общественных задач и удовлетворять собственные потребности".</w:t>
      </w:r>
    </w:p>
    <w:p w:rsidR="00000000" w:rsidRDefault="00000000">
      <w:pPr>
        <w:pStyle w:val="BodyText"/>
      </w:pPr>
      <w:r>
        <w:t>84.</w:t>
      </w:r>
      <w:r>
        <w:tab/>
        <w:t>Специальные нормы установлены в отношении женского труда. В главе VIII Трудового кодекса, регулирующей вопросы труда женщин, имеются следующие разделы: рабочие места, предоставляемые преимущественно женщинам; условия труда женщин; специальные меры защиты женщин; и охрана материнства. Закон утверждает и признает значимость участия женщин в трудовой деятельности, равно как и их ответственную социальную роль – материнство.</w:t>
      </w:r>
    </w:p>
    <w:p w:rsidR="00000000" w:rsidRDefault="00000000">
      <w:pPr>
        <w:pStyle w:val="BodyText"/>
      </w:pPr>
      <w:r>
        <w:t>85.</w:t>
      </w:r>
      <w:r>
        <w:tab/>
        <w:t xml:space="preserve">Более чем за десять лет до принятия Трудового кодекса был принят </w:t>
      </w:r>
      <w:r>
        <w:rPr>
          <w:color w:val="000000"/>
        </w:rPr>
        <w:t>Закон № 1263 от 16 января 1974 года под названием "Закон об охране материнства трудящихся женщин", который действовал до августа 2003 года и в котором были определены этапы материнства и принципы защиты здоровья матери и ребенка в рамках медицинского обслуживания на производстве, а также ответственность предприятия за их соблюдение.</w:t>
      </w:r>
    </w:p>
    <w:p w:rsidR="00000000" w:rsidRDefault="00000000">
      <w:pPr>
        <w:pStyle w:val="BodyText"/>
      </w:pPr>
      <w:r>
        <w:rPr>
          <w:color w:val="000000"/>
        </w:rPr>
        <w:t>86.</w:t>
      </w:r>
      <w:r>
        <w:rPr>
          <w:color w:val="000000"/>
        </w:rPr>
        <w:tab/>
        <w:t>Закон об охране материнства трудящихся женщин и все положения Трудового кодекса и других законов о труде, касающиеся охраны материнства, представляют собой меры "позитивной дискриминации", способствовавшие на протяжении ряда лет защите прав, которые должны быть гарантированы работающим женщинам.</w:t>
      </w:r>
    </w:p>
    <w:p w:rsidR="00000000" w:rsidRDefault="00000000">
      <w:pPr>
        <w:pStyle w:val="BodyText"/>
      </w:pPr>
      <w:r>
        <w:t>87.</w:t>
      </w:r>
      <w:r>
        <w:tab/>
        <w:t>Законом было установлено – это положение сохранено и в ныне действующем законодательстве, – что беременная женщина в период беременности периодически проходит медицинское обследование и уходит в отпуск по беременности и родам по истечении 34 недель беременности, причем она получает оплачиваемый отпуск на период в 6 недель до родов и 12 недель после родов. В случае если ожидается рождение близнецов, оплачиваемый дородовой отпуск увеличивается до 8 недель, и он предоставляется по истечении 32 недель беременности.</w:t>
      </w:r>
    </w:p>
    <w:p w:rsidR="00000000" w:rsidRDefault="00000000">
      <w:pPr>
        <w:pStyle w:val="BodyText"/>
      </w:pPr>
      <w:r>
        <w:t>88.</w:t>
      </w:r>
      <w:r>
        <w:tab/>
        <w:t>Женщины имеют также право на дополнительные оплачиваемые свободные дни для лечения ребенка, и матери разрешается один раз в месяц посещать с ребенком педиатрическую медицинскую консультацию без потери в зарплате. Оплата отпуска, о котором говорилось выше, представляет собой денежное пособие в сумме, рассчитываемой на основании среднего недельного дохода, складывающегося из заработной платы и премий, который работающая женщина получала в течение 12 месяцев непосредственно до ухода в дородовой отпуск.</w:t>
      </w:r>
    </w:p>
    <w:p w:rsidR="00000000" w:rsidRDefault="00000000">
      <w:pPr>
        <w:pStyle w:val="BodyText"/>
      </w:pPr>
      <w:r>
        <w:t>89.</w:t>
      </w:r>
      <w:r>
        <w:tab/>
        <w:t xml:space="preserve">В 1991 году в Постановлении № 10 министра-председателя Комитета по труду и социальной защите (ныне Министерство труда) устанавливалось, что работающая мать, которая по причинам, связанным с уходом за ребенком, не смогла вернуться на работу, вправе по истечении послеродового отпуска дополнительно получить социальное пособие в сумме до 60 процентов ее заработной платы. Если по достижении ребенком 6 месяцев работница по-прежнему не может приступить к работе, она имеет право на неоплачиваемый отпуск, и при этом за ней сохраняется право на возвращение на прежнее рабочее место по достижении ребенком одного года. </w:t>
      </w:r>
    </w:p>
    <w:p w:rsidR="00000000" w:rsidRDefault="00000000">
      <w:pPr>
        <w:pStyle w:val="BodyText"/>
      </w:pPr>
      <w:r>
        <w:t>90.</w:t>
      </w:r>
      <w:r>
        <w:tab/>
        <w:t xml:space="preserve">Десять лет спустя в соответствии с решением XVIII съезда рабочего движения было принято Постановление № 11 от 30 апреля 2001 года, в основу которого было положено предыдущее постановление и которое предусматривает продление выплаты матери социального пособия в сумме до 60 процентов заработной платы на срок от завершения послеродового отпуска до достижения ребенком возраста одного года или ранее, если мать вновь выходит на работу. </w:t>
      </w:r>
    </w:p>
    <w:p w:rsidR="00000000" w:rsidRDefault="00000000">
      <w:pPr>
        <w:pStyle w:val="BodyText"/>
      </w:pPr>
      <w:r>
        <w:t>91.</w:t>
      </w:r>
      <w:r>
        <w:tab/>
        <w:t xml:space="preserve">Вышеупомянутый Закон о материнстве представляет собой бесспорный шаг вперед, однако накопленный опыт и проведенные исследования по вопросам материнства, отцовства и ухода за детьми свидетельствовали о необходимости внести в действующее законодательство некоторые дополнения и поправки, которые позволили бы распространить эти права и на работающих отцов, чтобы обеспечить им бóльшую степень защиты в соответствии с принципами нашего социалистического общества, с нынешними научными данными и с процессом изменения ролей мужчин и женщин в кубинском обществе. </w:t>
      </w:r>
    </w:p>
    <w:p w:rsidR="00000000" w:rsidRDefault="00000000">
      <w:pPr>
        <w:pStyle w:val="BodyText"/>
      </w:pPr>
      <w:r>
        <w:t>92.</w:t>
      </w:r>
      <w:r>
        <w:tab/>
        <w:t xml:space="preserve">Кроме того, необходимо было предусмотреть меры, которые обеспечивали бы надлежащую помощь несовершеннолетним в случае смерти матери и соответствующую экономическую помощь отцу, а также создание работающим матерям и отцам условий, позволяющих им осуществлять уход за детьми с физическими и психическими недостатками. </w:t>
      </w:r>
    </w:p>
    <w:p w:rsidR="00000000" w:rsidRDefault="00000000">
      <w:pPr>
        <w:pStyle w:val="BodyText"/>
      </w:pPr>
      <w:r>
        <w:t>93.</w:t>
      </w:r>
      <w:r>
        <w:tab/>
        <w:t>Именно поэтому 13 августа 2003 года был принят Декрет-закон № 234 "О материнстве работающих женщин", в котором был сохранен дух предшествующего закона, но при этом внесены существенные дополнения. Важнейшим из них является статья 16, которая гласит: "</w:t>
      </w:r>
      <w:r>
        <w:rPr>
          <w:i/>
        </w:rPr>
        <w:t>По завершении послеродового отпуска, а также периода грудного вскармливания, необходимого для обеспечения нормального развития ребенка, мать и отец могут принять решение о том, кто из них будет заниматься уходом за ребенком, и о том, каким образом будут распределены между ними эти обязанности до достижения ребенком возраста одного года, а также о том, кто будет получать социальное пособие, предусмотренное предыдущей статьей…</w:t>
      </w:r>
      <w:r>
        <w:t>"</w:t>
      </w:r>
      <w:r>
        <w:rPr>
          <w:i/>
        </w:rPr>
        <w:t xml:space="preserve">. </w:t>
      </w:r>
      <w:r>
        <w:t xml:space="preserve">Это предложение было выдвинуто совместно Министерством труда и социальной защиты и Федерацией кубинских женщин. </w:t>
      </w:r>
    </w:p>
    <w:p w:rsidR="00000000" w:rsidRDefault="00000000">
      <w:pPr>
        <w:pStyle w:val="BodyText"/>
        <w:rPr>
          <w:color w:val="000000"/>
        </w:rPr>
      </w:pPr>
      <w:r>
        <w:rPr>
          <w:color w:val="000000"/>
        </w:rPr>
        <w:t>94.</w:t>
      </w:r>
      <w:r>
        <w:rPr>
          <w:color w:val="000000"/>
        </w:rPr>
        <w:tab/>
        <w:t xml:space="preserve">Кроме того, на отца было распространено предоставленное в прежнем законе матери право на неоплачиваемый отпуск по уходу за несовершеннолетними детьми продолжительностью до 9 месяцев, если ребенок младше 1 года, и до 6 месяцев, если ребенок старше 1 года, но младше 16 лет. </w:t>
      </w:r>
    </w:p>
    <w:p w:rsidR="00000000" w:rsidRDefault="00000000">
      <w:pPr>
        <w:pStyle w:val="BodyText"/>
      </w:pPr>
      <w:r>
        <w:t>95.</w:t>
      </w:r>
      <w:r>
        <w:tab/>
        <w:t xml:space="preserve">Кроме того, работающие отец или мать несовершеннолетнего ребенка-инвалида с физическими, психическими или сенсорными нарушениями, который, в соответствии с медицинскими предписаниями, нуждается в специальном уходе, могут теперь получить неоплачиваемый отпуск после того, как ребенку исполнился один год, и до достижения им трехлетнего возраста. </w:t>
      </w:r>
    </w:p>
    <w:p w:rsidR="00000000" w:rsidRDefault="00000000">
      <w:pPr>
        <w:pStyle w:val="BodyText"/>
      </w:pPr>
      <w:r>
        <w:t>96.</w:t>
      </w:r>
      <w:r>
        <w:tab/>
        <w:t xml:space="preserve">Как можно видеть, новый Декрет-закон является значительным шагом вперед и существенно расширяет положения Семейного кодекса относительно совместной ответственности матери и отца за уход за ребенком, его защиту и воспитание, оказание ему помощи, любовь к нему и подготовку его к жизни, и их правом и долгом является соответствующее выполнение этих обязанностей, равно как и возможность получать глубокое удовлетворение от тесной взаимосвязи с детьми с самых ранних этапов их жизни. </w:t>
      </w:r>
    </w:p>
    <w:p w:rsidR="00000000" w:rsidRDefault="00000000">
      <w:pPr>
        <w:pStyle w:val="BodyText"/>
      </w:pPr>
      <w:r>
        <w:t>97.</w:t>
      </w:r>
      <w:r>
        <w:tab/>
        <w:t xml:space="preserve">Что же касается прав на охрану, безопасность и гигиену труда, то Закон № 13 от 27 февраля 1977 года и инструкция к нему устанавливают особые требования к условиям труда женщин, предусматривая для них запрет на такие виды труда, которые могут причинить вред их репродуктивной функции или нормальному развитию беременности, и возлагая на администрацию обязанность создавать соответствующие условия труда, которые содействовали бы участию женщин в трудовом процессе. </w:t>
      </w:r>
    </w:p>
    <w:p w:rsidR="00000000" w:rsidRDefault="00000000">
      <w:pPr>
        <w:pStyle w:val="BodyText"/>
      </w:pPr>
      <w:r>
        <w:t>98.</w:t>
      </w:r>
      <w:r>
        <w:tab/>
        <w:t xml:space="preserve">Закон предусматривает также, что беременные женщины и женщины, имеющие детей в возрасте до одного года, не могут привлекаться к сверхурочной работе, к работе две смены подряд и направляться в командировки за пределы того населенного пункта, где расположено место их работы; кроме того, если по состоянию здоровья женщина не может работать на занимаемой ею в данный момент должности, она, при наличии медицинского заключения, должна быть временно переведена на другую работу, соответствующую ее физическим возможностям. </w:t>
      </w:r>
    </w:p>
    <w:p w:rsidR="00000000" w:rsidRDefault="00000000">
      <w:pPr>
        <w:pStyle w:val="BodyText"/>
      </w:pPr>
      <w:r>
        <w:t>99.</w:t>
      </w:r>
      <w:r>
        <w:tab/>
        <w:t xml:space="preserve">Эти положения не исключают права женщины занимать, исходя из своих способностей и умений, рабочие места, требующие более сложных трудовых навыков. На первых этапах революционного процесса имел место излишний "протекционизм", когда женщины не допускались к работам, которые они были в состоянии выполнять, поскольку для этого требовались дополнительные усилия. </w:t>
      </w:r>
    </w:p>
    <w:p w:rsidR="00000000" w:rsidRDefault="00000000">
      <w:pPr>
        <w:pStyle w:val="BodyText"/>
      </w:pPr>
      <w:r>
        <w:t>100.</w:t>
      </w:r>
      <w:r>
        <w:tab/>
        <w:t>Технический прогресс снизил уровень рисков на рабочих местах, и это также способствовало пересмотру существовавших по этому вопросу представлений и норм таким образом, что препятствием для работы по той или иной специальности может стать только защита репродуктивной функции и материнства, но не сексистская тенденция запрещать женщинам выполнять определенные виды работ лишь потому, что они – женщины; Федерация кубинских женщин сыграла здесь важную роль в деле просвещения, убеждения государственных органов и контроля над ними. В этой сфере продолжается проведение научных исследований.</w:t>
      </w:r>
    </w:p>
    <w:p w:rsidR="00000000" w:rsidRDefault="00000000">
      <w:pPr>
        <w:pStyle w:val="BodyText"/>
      </w:pPr>
      <w:r>
        <w:t>101.</w:t>
      </w:r>
      <w:r>
        <w:tab/>
        <w:t>Для того чтобы не допустить нарушений и далее развивать достигнутые успехи в сфере занятости женщин, принятым в январе 1981 года Постановлением № 605 были созданы координационные комиссии по вопросам женской занятости. В их состав входят представители Министерства труда и социальной защиты, Профцентра трудящихся Кубы и Федерации кубинских женщин.</w:t>
      </w:r>
    </w:p>
    <w:p w:rsidR="00000000" w:rsidRDefault="00000000">
      <w:pPr>
        <w:pStyle w:val="BodyText"/>
      </w:pPr>
      <w:r>
        <w:t>102.</w:t>
      </w:r>
      <w:r>
        <w:tab/>
        <w:t xml:space="preserve">Принятым в 1988 году Постановлением № 51 было введено в действие Положение об осуществлении политики в сфере занятости, которым регулируется преимущественное право женщин занимать определенные рабочие места в случаях, когда необходимо предоставить работу тем из них, кто по ряду причин, в том числе ввиду отсутствия квалификации и по возрасту, испытывают сложности в трудоустройстве. </w:t>
      </w:r>
    </w:p>
    <w:p w:rsidR="00000000" w:rsidRDefault="00000000">
      <w:pPr>
        <w:pStyle w:val="BodyText"/>
      </w:pPr>
      <w:r>
        <w:t>103.</w:t>
      </w:r>
      <w:r>
        <w:tab/>
        <w:t>Куба ратифицировала конвенции Международной организации труда (МОТ) № 111 относительно дискриминации в области труда и занятий и № 100 о равном вознаграждении мужчин и женщин за труд равной ценности.</w:t>
      </w:r>
    </w:p>
    <w:p w:rsidR="00000000" w:rsidRDefault="00000000">
      <w:pPr>
        <w:pStyle w:val="BodyText"/>
      </w:pPr>
      <w:r>
        <w:t>104.</w:t>
      </w:r>
      <w:r>
        <w:tab/>
        <w:t>В сфере социальной защиты и социального обеспечения в 1963 году был принят Закон № 1100 "О социальной защите", в котором были закреплены принципы, направленные на защиту женщины. В 1979 году этот закон был заменен Законом № 24, в котором подтверждались и расширялись социальные льготы для трудящихся в целом и женщин в частности.</w:t>
      </w:r>
    </w:p>
    <w:p w:rsidR="00000000" w:rsidRDefault="00000000">
      <w:pPr>
        <w:pStyle w:val="BodyText"/>
      </w:pPr>
      <w:r>
        <w:t>105.</w:t>
      </w:r>
      <w:r>
        <w:tab/>
        <w:t xml:space="preserve">Закон № 24 "О социальной защите" от 28 августа 1979 года регулирует как порядок социальной защиты, так и нормы социального обеспечения, гарантируя необходимую защиту женщин и их семей. Этим законом оплачиваемый отпуск по беременности и родам отнесен к трудовой деятельности и учитывается при расчете трудового стажа женщин. </w:t>
      </w:r>
    </w:p>
    <w:p w:rsidR="00000000" w:rsidRDefault="00000000">
      <w:pPr>
        <w:pStyle w:val="BodyText"/>
      </w:pPr>
      <w:r>
        <w:t>106.</w:t>
      </w:r>
      <w:r>
        <w:tab/>
        <w:t xml:space="preserve">Кроме того, нормы социального обеспечения предусматривают оказание помощи матерям-одиночкам, испытывающим материальные трудности при уходе за ребенком и в его воспитании, работающим матерям, находящимся в неоплачиваемом отпуске по уходу за больным ребенком и не получающим в этот период материальных доходов, а также получающим временные пенсии вдовам, у которых окончился срок получения таких пенсий. </w:t>
      </w:r>
    </w:p>
    <w:p w:rsidR="00000000" w:rsidRDefault="00000000">
      <w:pPr>
        <w:pStyle w:val="BodyText"/>
      </w:pPr>
      <w:r>
        <w:t>107.</w:t>
      </w:r>
      <w:r>
        <w:tab/>
        <w:t>Сельские женщины пользуются теми же правами и несут те же обязанности, что и остальные женщины, в политической, гражданской, трудовой, семейной и прочих сферах жизни. Закон выделяет таких женщин в отдельную категорию лишь в тех конкретных вопросах, которые непосредственно касаются жизни в сельских районах. Эти вопросы конкретизированы на основании данных проведенных в 1980-е годы исследований и вследствие требований, выдвигавшихся на конгрессах ФКЖ и на Национальных съездах крестьянок и поддержанных директивами Национальной ассоциации мелких земледельцев (НАМЗ), принятыми ею совместно с ФКЖ, и направлены на обеспечение участия женщин в сфере производства в качестве рабочей силы и руководящих работников, и этот принцип осуществляется повсеместно, в том числе на высшем уровне руководства крестьянских организаций.</w:t>
      </w:r>
    </w:p>
    <w:p w:rsidR="00000000" w:rsidRDefault="00000000">
      <w:pPr>
        <w:pStyle w:val="BodyText"/>
      </w:pPr>
      <w:r>
        <w:t>108.</w:t>
      </w:r>
      <w:r>
        <w:tab/>
        <w:t>В сфере уголовного права следует отметить принятие в декабре 1987 года Закона № 62, вошедшего в новую редакцию Уголовного кодекса, с двумя поправками, внесенными в него Декретом-законом № 175 от 17 июня 1997 года и Законом № 87 от 16 февраля 1999 года; в Законе № 62 содержится ряд норм, направленных на защиту женщин.</w:t>
      </w:r>
    </w:p>
    <w:p w:rsidR="00000000" w:rsidRDefault="00000000">
      <w:pPr>
        <w:pStyle w:val="BodyText"/>
      </w:pPr>
      <w:r>
        <w:t>109.</w:t>
      </w:r>
      <w:r>
        <w:tab/>
        <w:t xml:space="preserve">Единственными видами преступлений, объектом или жертвой которых может быть только женщина, являются насилие (статья 298), изнасилование (статья 305) и незаконный аборт (статья 267). Два первых вида преступлений являются посягательствами на нормальные сексуальные отношения в семье, а последнее – преступлением против жизни и физической неприкосновенности. </w:t>
      </w:r>
    </w:p>
    <w:p w:rsidR="00000000" w:rsidRDefault="00000000">
      <w:pPr>
        <w:pStyle w:val="BodyText"/>
      </w:pPr>
      <w:r>
        <w:t>110.</w:t>
      </w:r>
      <w:r>
        <w:tab/>
        <w:t xml:space="preserve">В кубинском уголовном законодательстве понятие "честь женщины" не применяется в качестве критерия при квалификации преступления или определении виновности, что было весьма типично для законодательства до 1959 года. </w:t>
      </w:r>
    </w:p>
    <w:p w:rsidR="00000000" w:rsidRDefault="00000000">
      <w:pPr>
        <w:pStyle w:val="BodyText"/>
      </w:pPr>
      <w:r>
        <w:t>111.</w:t>
      </w:r>
      <w:r>
        <w:tab/>
        <w:t xml:space="preserve">Основополагающим принципом на Кубе является уважение сексуальных и репродуктивных прав женщин; женщина имеет право принимать решения и контролировать свою рождаемость. На Кубе услуги по производству абортов предоставляются специалистами-медиками в стационарах в условиях безопасности. </w:t>
      </w:r>
    </w:p>
    <w:p w:rsidR="00000000" w:rsidRDefault="00000000">
      <w:pPr>
        <w:pStyle w:val="BodyText"/>
      </w:pPr>
      <w:r>
        <w:t>112.</w:t>
      </w:r>
      <w:r>
        <w:tab/>
        <w:t>Прерывание беременности является медицинской услугой, которую бесплатно предоставляют в больницах. Параллельно проводится систематическая просветительская работа с целью формирования ответственных сексуальных отношений, чтобы партнеры располагали необходимой информацией и имели доступ к надлежащим методам контрацепции, а также чтобы аборт ни в коем случае не рассматривался как метод контрацепции, но только как крайняя мера в случае, если не удалось избежать нежелательной беременности.</w:t>
      </w:r>
    </w:p>
    <w:p w:rsidR="00000000" w:rsidRDefault="00000000">
      <w:pPr>
        <w:pStyle w:val="BodyText"/>
      </w:pPr>
      <w:r>
        <w:t>113.</w:t>
      </w:r>
      <w:r>
        <w:tab/>
        <w:t xml:space="preserve">Что касается защиты женщины и семьи от насилия, как психологического, так и физического, то в нашем Уголовном кодексе нет соответствующей особой главы или раздела, однако имеется ряд статей, в которых квалифицируются такого рода преступления и предусматриваются суровые меры наказания в отношении тех, кто их совершает. </w:t>
      </w:r>
    </w:p>
    <w:p w:rsidR="00000000" w:rsidRDefault="00000000">
      <w:pPr>
        <w:pStyle w:val="BodyText"/>
      </w:pPr>
      <w:r>
        <w:t>114.</w:t>
      </w:r>
      <w:r>
        <w:tab/>
        <w:t>В разделе VIII "Преступления против жизни и физической неприкосновенности" Уголовного кодекса предусмотрены наказания за такие виды преступлений, как умышленное убийство (статья 261), убийство (статьи 263 и 264), применение огнестрельного оружия против какого-либо лица (статья 265), незаконный аборт (статьи 267–271), причинение повреждений (статьи 272–274) и неоказание помощи несовершеннолетним, инвалидам и лицам, находящимся в беспомощном положении (статьи 275–278).</w:t>
      </w:r>
    </w:p>
    <w:p w:rsidR="00000000" w:rsidRDefault="00000000">
      <w:pPr>
        <w:pStyle w:val="BodyText"/>
      </w:pPr>
      <w:r>
        <w:t>115.</w:t>
      </w:r>
      <w:r>
        <w:tab/>
        <w:t xml:space="preserve">В разделе IX "Преступления против личных прав" выделяются такие преступления, как лишение свободы (статьи 279–283), угрозы (статьи 284–285), принуждение (статья 286) и преступление против равноправия (статья 295). </w:t>
      </w:r>
    </w:p>
    <w:p w:rsidR="00000000" w:rsidRDefault="00000000">
      <w:pPr>
        <w:pStyle w:val="BodyText"/>
      </w:pPr>
      <w:r>
        <w:t>116.</w:t>
      </w:r>
      <w:r>
        <w:tab/>
        <w:t>Статья 295 имеет особое значение, поскольку в ней говорится, что "</w:t>
      </w:r>
      <w:r>
        <w:rPr>
          <w:color w:val="000000"/>
        </w:rPr>
        <w:t>лишением свободы карается любое лицо, подвергающее дискриминации другое лицо либо содействующее подобной дискриминации или подстрекающее к ней, будь то путем оскорбительных проявлений в отношении пола, расы, цвета кожи или национальной принадлежности того или иного лица либо посредством действий, направленных на то, чтобы воспрепятствовать или затруднить данному лицу по причине его пола, расы, цвета кожи или национальной принадлежности реализацию или возможность воспользоваться равными правами, предусмотренными Конституцией…".</w:t>
      </w:r>
    </w:p>
    <w:p w:rsidR="00000000" w:rsidRDefault="00000000">
      <w:pPr>
        <w:pStyle w:val="BodyText"/>
      </w:pPr>
      <w:r>
        <w:t>117.</w:t>
      </w:r>
      <w:r>
        <w:tab/>
        <w:t>Наказанию подлежит также лицо, "</w:t>
      </w:r>
      <w:r>
        <w:rPr>
          <w:color w:val="000000"/>
        </w:rPr>
        <w:t>занимающееся распространением идей расового превосходства или расовой ненависти, совершающее акты насилия или подстрекающее к совершению подобных актов в отношении представителей другой расы или группы лиц иного цвета кожи или этнического происхождения".</w:t>
      </w:r>
    </w:p>
    <w:p w:rsidR="00000000" w:rsidRDefault="00000000">
      <w:pPr>
        <w:pStyle w:val="BodyText"/>
      </w:pPr>
      <w:r>
        <w:t>118.</w:t>
      </w:r>
      <w:r>
        <w:tab/>
        <w:t xml:space="preserve">Далее следует раздел XI "Преступления против нормального развития гендерных отношений, против семьи, детства и юношества", делящийся на три главы. В главе I "Преступления против нормального развития гендерных отношений" рассматриваются такие виды преступлений, как насилие (статья 298), педерастия с применением насилия (статья 299) и правонарушения на сексуальной почве (статьи 300 и 301); в Законе № 87 1999 года предусмотрено ужесточение наказаний за два первых вида преступлений. </w:t>
      </w:r>
    </w:p>
    <w:p w:rsidR="00000000" w:rsidRDefault="00000000">
      <w:pPr>
        <w:pStyle w:val="BodyText"/>
      </w:pPr>
      <w:r>
        <w:t>119.</w:t>
      </w:r>
      <w:r>
        <w:tab/>
        <w:t xml:space="preserve">Декретом-законом № 175 1997 года в эту главу введен такой состав преступления, как "вербовка и торговля людьми" (статья 302), причем наказание за это преступление может составить до 30 лет лишения свободы. Этот вид преступления был предусмотрен прежним Кодексом социальной защиты, однако в принятых в 1979 году (Закон № 21) и в 1987 году (Закон № 62) первом и втором Уголовных кодексах эти преступления не фигурировали. Поскольку подобные тяжкие преступления продолжают иметь тенденцию к росту во всем мире, хотя они и практически не затрагивают кубинское общество, возникла необходимость вновь ввести соответствующие положения в уголовное законодательство и предусмотреть суровые меры наказания за них. </w:t>
      </w:r>
    </w:p>
    <w:p w:rsidR="00000000" w:rsidRDefault="00000000">
      <w:pPr>
        <w:pStyle w:val="BodyText"/>
      </w:pPr>
      <w:r>
        <w:t>120.</w:t>
      </w:r>
      <w:r>
        <w:tab/>
        <w:t>Тем же самым Декретом-законом было введено понятие "сексуальное оскорбление" (статья 303), к которому относится также сексуальное домогательство.</w:t>
      </w:r>
    </w:p>
    <w:p w:rsidR="00000000" w:rsidRDefault="00000000">
      <w:pPr>
        <w:pStyle w:val="BodyText"/>
      </w:pPr>
      <w:r>
        <w:t>121.</w:t>
      </w:r>
      <w:r>
        <w:tab/>
        <w:t xml:space="preserve">В главе II определяются "преступления против нормального развития семьи": инцест (статья 304), изнасилование (статья 305), двоеженство/двоемужество (статья 306), незаконный брак (статья 307) и подмена ребенка (статья 308), а в главе III "Преступления против нормального развития детства и юношества" – растление несовершеннолетних (статьи 310–314), прочие деяния, препятствующие нормальному развитию несовершеннолетних (статья 315), и торговля несовершеннолетними (статья 316). </w:t>
      </w:r>
    </w:p>
    <w:p w:rsidR="00000000" w:rsidRDefault="00000000">
      <w:pPr>
        <w:pStyle w:val="BodyText"/>
      </w:pPr>
      <w:r>
        <w:t>122.</w:t>
      </w:r>
      <w:r>
        <w:tab/>
        <w:t xml:space="preserve">Меры наказания за такое преступление, как растление несовершеннолетних, были изменены и дополнены, вплоть до применения в отношении преступников смертной казни, Декретом-законом № 175, а позднее – Законом № 87. По предложению Федерации кубинских женщин в Закон № 87 был введен такой состав преступления, как торговля несовершеннолетними, чтобы предотвращать и сурово карать подобные отвратительные виды преступлений, хотя они пока практически не известны в нашей стране. </w:t>
      </w:r>
    </w:p>
    <w:p w:rsidR="00000000" w:rsidRDefault="00000000">
      <w:pPr>
        <w:pStyle w:val="BodyText"/>
      </w:pPr>
      <w:r>
        <w:t>123.</w:t>
      </w:r>
      <w:r>
        <w:tab/>
        <w:t xml:space="preserve">Именно Федерация кубинских женщин предложила Национальной ассамблее народной власти рассматривать в качестве </w:t>
      </w:r>
      <w:r>
        <w:rPr>
          <w:color w:val="000000"/>
        </w:rPr>
        <w:t>отягчающих обстоятельств при совершении насильственных преступных действий такие, как "супружеская" или "родственная связь" между преступником и его жертвой, причем под "родственной связью" подразумевается "кровное родство вплоть до четвертой степени включительно", а также "непрямое родство вплоть до второй степени включительно". Это предложение было реализовано путем принятия Закона № 87 1999 года. Подобные отягчающие обстоятельства принимаются во внимание только при совершении преступлений против жизни и физической неприкосновенности и против нормального развития гендерных отношений, против семьи, детства и юношества [пункт j) статьи 53 Уголовного кодекса]. На Кубе придается важное значение данной мере, поскольку насильственные действия в отношении члена семьи следует рассматривать как отягчающее обстоятельство, учитывая пагубные последствия таких деяний для нормального и адекватного развития.</w:t>
      </w:r>
    </w:p>
    <w:p w:rsidR="00000000" w:rsidRDefault="00000000">
      <w:pPr>
        <w:pStyle w:val="BodyText"/>
      </w:pPr>
      <w:r>
        <w:t>124.</w:t>
      </w:r>
      <w:r>
        <w:tab/>
        <w:t>Куба является участницей многих международных документов, направленных на борьбу с торговлей женщинами и детьми.</w:t>
      </w:r>
    </w:p>
    <w:p w:rsidR="00000000" w:rsidRDefault="00000000">
      <w:pPr>
        <w:pStyle w:val="BodyText"/>
      </w:pPr>
    </w:p>
    <w:p w:rsidR="00000000" w:rsidRDefault="00000000">
      <w:pPr>
        <w:pStyle w:val="BodyText"/>
        <w:jc w:val="left"/>
        <w:rPr>
          <w:i/>
        </w:rPr>
      </w:pPr>
      <w:r>
        <w:rPr>
          <w:i/>
          <w:color w:val="000000"/>
        </w:rPr>
        <w:t>Юридические гарантии прав женщин</w:t>
      </w:r>
    </w:p>
    <w:p w:rsidR="00000000" w:rsidRDefault="00000000">
      <w:pPr>
        <w:pStyle w:val="BodyText"/>
      </w:pPr>
      <w:r>
        <w:rPr>
          <w:color w:val="000000"/>
        </w:rPr>
        <w:t>125.</w:t>
      </w:r>
      <w:r>
        <w:rPr>
          <w:color w:val="000000"/>
        </w:rPr>
        <w:tab/>
        <w:t xml:space="preserve">Система правовых норм кубинского общества разработана таким образом, чтобы обеспечить комплексные гарантии реализации равноправия для всех граждан, и в частности для </w:t>
      </w:r>
      <w:r>
        <w:rPr>
          <w:color w:val="000000"/>
        </w:rPr>
        <w:br/>
        <w:t>женщин.</w:t>
      </w:r>
    </w:p>
    <w:p w:rsidR="00000000" w:rsidRDefault="00000000">
      <w:pPr>
        <w:pStyle w:val="BodyText"/>
      </w:pPr>
      <w:r>
        <w:t>126.</w:t>
      </w:r>
      <w:r>
        <w:tab/>
        <w:t>Основы защиты равноправия были заложены в принятой в 1976 году Конституции Республики, статья 63 которой гласит: "</w:t>
      </w:r>
      <w:r>
        <w:rPr>
          <w:color w:val="000000"/>
        </w:rPr>
        <w:t>Любой гражданин имеет право направлять заявления и жалобы властям и ожидать рассмотрения их и ответа на них по существу вопроса в установленные законом сроки".</w:t>
      </w:r>
    </w:p>
    <w:p w:rsidR="00000000" w:rsidRDefault="00000000">
      <w:pPr>
        <w:pStyle w:val="BodyText"/>
      </w:pPr>
      <w:r>
        <w:rPr>
          <w:color w:val="000000"/>
        </w:rPr>
        <w:t>127.</w:t>
      </w:r>
      <w:r>
        <w:rPr>
          <w:color w:val="000000"/>
        </w:rPr>
        <w:tab/>
        <w:t>В развитие этих положений был принят Закон № 1323 от 30 ноября 1976 года "Об организации государственного аппарата", в котором в разделе о функциях и полномочиях, общих для всех г</w:t>
      </w:r>
      <w:r>
        <w:rPr>
          <w:color w:val="000000"/>
        </w:rPr>
        <w:t>о</w:t>
      </w:r>
      <w:r>
        <w:rPr>
          <w:color w:val="000000"/>
        </w:rPr>
        <w:t>сударственных органов, содержится требование "в течение 60 дней рассматривать и давать ответы по существу на поступающие от граждан заявления и жалобы, прилагая усилия к тому, чтобы должным образом решать поставленные в них вопросы и принимать меры к устранению отмеченных недостатков". Та же формулировка соответствующей статьи воспроизводится в Декрете-законе № 67 от 19 апреля 1983 года, принятом в отмену вышеуказанного закона.</w:t>
      </w:r>
    </w:p>
    <w:p w:rsidR="00000000" w:rsidRDefault="00000000">
      <w:pPr>
        <w:pStyle w:val="BodyText"/>
      </w:pPr>
      <w:r>
        <w:rPr>
          <w:color w:val="000000"/>
        </w:rPr>
        <w:t>128.</w:t>
      </w:r>
      <w:r>
        <w:rPr>
          <w:color w:val="000000"/>
        </w:rPr>
        <w:tab/>
        <w:t xml:space="preserve">Согласно Закону № 83 от 11 июля 1997 года ("О прокуратуре"), были усовершенствованы и усилены механизмы правовой защиты граждан, которые предусматриваются главой III "Защита гражданских прав" раздела III данного Закона. </w:t>
      </w:r>
    </w:p>
    <w:p w:rsidR="00000000" w:rsidRDefault="00000000">
      <w:pPr>
        <w:pStyle w:val="BodyText"/>
      </w:pPr>
      <w:r>
        <w:t>129.</w:t>
      </w:r>
      <w:r>
        <w:tab/>
        <w:t>Соответствующие постановления представляют собой важный инструмент государственной защиты в случае нарушения гражданских прав, в том числе прав женщин.</w:t>
      </w:r>
    </w:p>
    <w:p w:rsidR="00000000" w:rsidRDefault="00000000">
      <w:pPr>
        <w:pStyle w:val="BodyText"/>
      </w:pPr>
      <w:r>
        <w:rPr>
          <w:color w:val="000000"/>
        </w:rPr>
        <w:t>130.</w:t>
      </w:r>
      <w:r>
        <w:rPr>
          <w:color w:val="000000"/>
        </w:rPr>
        <w:tab/>
        <w:t>Законодательно установленные в 1993 году принципы прокурорского надзора получили дальнейшее развитие с принятием нового закона, в соответствии с которым была создана система рассмотрения претензий и жалоб населения с учетом гендерных аспектов.</w:t>
      </w:r>
    </w:p>
    <w:p w:rsidR="00000000" w:rsidRDefault="00000000">
      <w:pPr>
        <w:pStyle w:val="BodyText"/>
      </w:pPr>
      <w:r>
        <w:rPr>
          <w:color w:val="000000"/>
        </w:rPr>
        <w:t>131.</w:t>
      </w:r>
      <w:r>
        <w:rPr>
          <w:color w:val="000000"/>
        </w:rPr>
        <w:tab/>
        <w:t>Очевидно, что в данной области кубинское законодательство переживает процесс непрерывного совершенствования. Рассмотрение той информации, которая содержится в поступающих от населения претензиях и жалобах, а также систематические консультации с общественностью представляют собой важнейшее средство применения правовых норм на практике.</w:t>
      </w:r>
    </w:p>
    <w:p w:rsidR="00000000" w:rsidRDefault="00000000">
      <w:pPr>
        <w:pStyle w:val="BodyText"/>
      </w:pPr>
      <w:r>
        <w:t>132.</w:t>
      </w:r>
      <w:r>
        <w:tab/>
        <w:t xml:space="preserve">Суды, со своей стороны, располагают организованной и четко структурированной системой, которая дает гражданам возможность обращаться в судебные органы, чтобы выразить недовольство действиями каких-либо из ее составных частей, подать жалобу или потребовать разъяснений. Ведущаяся статистика таких обращений на основе гендерного подхода свидетельствует о том, что не отмечено ни одного случая заявления о сексуальных домогательствах со стороны лиц, занимающих руководящие посты в трудовых коллективах. </w:t>
      </w:r>
    </w:p>
    <w:p w:rsidR="00000000" w:rsidRDefault="00000000">
      <w:pPr>
        <w:pStyle w:val="BodyText"/>
      </w:pPr>
      <w:r>
        <w:t>133.</w:t>
      </w:r>
      <w:r>
        <w:tab/>
        <w:t xml:space="preserve">Тем не менее следует вести систематическую и интенсивную информационно-пропагандистскую работу, чтобы женщины были лучше осведомлены о своих правах и могли реально и осознанно осуществлять их на практике. </w:t>
      </w:r>
    </w:p>
    <w:p w:rsidR="00000000" w:rsidRDefault="00000000">
      <w:pPr>
        <w:pStyle w:val="BodyText"/>
      </w:pPr>
      <w:r>
        <w:t>134.</w:t>
      </w:r>
      <w:r>
        <w:tab/>
        <w:t>Консультационные центры для женщин и семей, действующие во всех муниципалитетах страны и находящиеся в ведении Федерации кубинских женщин, являются тем местом, где можно обсудить разного рода вопросы и получить информацию; в этих центрах работают добровольцы, как мужчины, так и женщины, имеющие различные профессии и представляющие разные организации; эти центры выполняют, помимо прочего, такую важную функцию, как консультирование женщин и семей.</w:t>
      </w:r>
    </w:p>
    <w:p w:rsidR="00000000" w:rsidRDefault="00000000">
      <w:pPr>
        <w:pStyle w:val="BodyText"/>
      </w:pPr>
      <w:r>
        <w:t>135.</w:t>
      </w:r>
      <w:r>
        <w:tab/>
        <w:t>К настоящему времени разработан ряд информационно-пропагандистских материалов. Важно отметить, что за отчетный период удалось подготовить, при содействии представительства ЮНИСЕФ на Кубе, издание Конвенции о ликвидации всех форм дискриминации в отношении женщин с комментариями. Этот документ изучался в более чем 76 тыс. первичных организаций ФКЖ и имеется у них для консультации и справок. Кроме того, данный документ служит справочным материалом в консультационных центрах для женщин и семей и на кафедрах, изучающих женскую проблематику.</w:t>
      </w:r>
    </w:p>
    <w:p w:rsidR="00000000" w:rsidRDefault="00000000">
      <w:pPr>
        <w:pStyle w:val="BodyText"/>
        <w:spacing w:before="240"/>
        <w:ind w:left="0" w:firstLine="0"/>
        <w:jc w:val="left"/>
        <w:rPr>
          <w:i/>
        </w:rPr>
      </w:pPr>
      <w:r>
        <w:rPr>
          <w:i/>
          <w:color w:val="000000"/>
        </w:rPr>
        <w:t>Гарантии, содержащиеся в процессуальном, гражданском, административном и трудовом законодательстве</w:t>
      </w:r>
    </w:p>
    <w:p w:rsidR="00000000" w:rsidRDefault="00000000">
      <w:pPr>
        <w:pStyle w:val="BodyText"/>
      </w:pPr>
      <w:r>
        <w:rPr>
          <w:color w:val="000000"/>
        </w:rPr>
        <w:t>136.</w:t>
      </w:r>
      <w:r>
        <w:rPr>
          <w:color w:val="000000"/>
        </w:rPr>
        <w:tab/>
        <w:t>Правовая защита женщин в судах и компетентных государственных органах основана на общих принципах равенства сторон в гражданских, уголовных, административных и трудовых делах, согласно, в частности, Закону № 7 от 19 августа 1977 года "О порядке рассмотрения гражданских, админис</w:t>
      </w:r>
      <w:r>
        <w:rPr>
          <w:color w:val="000000"/>
        </w:rPr>
        <w:t>т</w:t>
      </w:r>
      <w:r>
        <w:rPr>
          <w:color w:val="000000"/>
        </w:rPr>
        <w:t>ративных и трудовых конфликтов" и в Законе № 5 от 13 августа 1977 года "Об уголовном судопроизводстве".</w:t>
      </w:r>
    </w:p>
    <w:p w:rsidR="00000000" w:rsidRDefault="00000000">
      <w:pPr>
        <w:pStyle w:val="BodyText"/>
      </w:pPr>
      <w:r>
        <w:rPr>
          <w:color w:val="000000"/>
        </w:rPr>
        <w:t>137.</w:t>
      </w:r>
      <w:r>
        <w:rPr>
          <w:color w:val="000000"/>
        </w:rPr>
        <w:tab/>
        <w:t>В Декрете-законе № 176 от 15 августа 1999 года "О применении трудового законодательства" были закреплены организационные принципы применения трудового законодательства на местах и пр</w:t>
      </w:r>
      <w:r>
        <w:rPr>
          <w:color w:val="000000"/>
        </w:rPr>
        <w:t>о</w:t>
      </w:r>
      <w:r>
        <w:rPr>
          <w:color w:val="000000"/>
        </w:rPr>
        <w:t>цедуры рассмотрения дел в народных судах, где также должен соблюдаться принцип равенства ст</w:t>
      </w:r>
      <w:r>
        <w:rPr>
          <w:color w:val="000000"/>
        </w:rPr>
        <w:t>о</w:t>
      </w:r>
      <w:r>
        <w:rPr>
          <w:color w:val="000000"/>
        </w:rPr>
        <w:t>рон.</w:t>
      </w:r>
    </w:p>
    <w:p w:rsidR="00000000" w:rsidRDefault="00000000">
      <w:pPr>
        <w:pStyle w:val="BodyText"/>
        <w:tabs>
          <w:tab w:val="clear" w:pos="567"/>
        </w:tabs>
        <w:spacing w:before="240"/>
        <w:ind w:left="0" w:firstLine="0"/>
        <w:jc w:val="left"/>
        <w:rPr>
          <w:i/>
        </w:rPr>
      </w:pPr>
      <w:r>
        <w:rPr>
          <w:i/>
          <w:color w:val="000000"/>
        </w:rPr>
        <w:t>Национальный план действий Республики Куба по претворению в жизнь решений четвертой Всемирной конференции ООН по положению женщин</w:t>
      </w:r>
    </w:p>
    <w:p w:rsidR="00000000" w:rsidRDefault="00000000">
      <w:pPr>
        <w:pStyle w:val="BodyText"/>
      </w:pPr>
      <w:r>
        <w:rPr>
          <w:color w:val="000000"/>
        </w:rPr>
        <w:t>138.</w:t>
      </w:r>
      <w:r>
        <w:rPr>
          <w:color w:val="000000"/>
        </w:rPr>
        <w:tab/>
        <w:t>На четвертой Всемирной конференции по положению женщин, а также на Всемирном форуме неправительственных организаций (НПО), проведенных в Пекине в сентябре 1995 года, кубинское правительство взяло на себя обязательство продолжать осуществление в стране принятой на Конференции Платформы действий, на основании которой был разработан Национальный план действий по претворению ее в жизнь. Это было сделано по предложению Федерации кубинских женщин, выдвинутому по итогам семинара под названием "Пекинская пла</w:t>
      </w:r>
      <w:r>
        <w:rPr>
          <w:color w:val="000000"/>
        </w:rPr>
        <w:t>т</w:t>
      </w:r>
      <w:r>
        <w:rPr>
          <w:color w:val="000000"/>
        </w:rPr>
        <w:t>форма действий и кубинские женщины в 2000 году". В семинаре приняли участие министры, главы или представители руководства государственных организаций, эксперты и представители НПО. В результате был принят Национальный план действий Республики Куба по претворению в жизнь решений четвертой Всемирной конференции ООН по положению женщин.</w:t>
      </w:r>
    </w:p>
    <w:p w:rsidR="00000000" w:rsidRDefault="00000000">
      <w:pPr>
        <w:pStyle w:val="BodyText"/>
      </w:pPr>
      <w:r>
        <w:t>139.</w:t>
      </w:r>
      <w:r>
        <w:tab/>
        <w:t xml:space="preserve">Данный План действий был утвержден постановлением Государственного совета и начал осуществляться с 7 апреля 1997 года. План включает 90 пунктов, которые позволяют провести в жизнь меры, предусматриваемые Пекинской платформой действий, с учетом реального положения, потребностей и интересов кубинских женщин. </w:t>
      </w:r>
    </w:p>
    <w:p w:rsidR="00000000" w:rsidRDefault="00000000">
      <w:pPr>
        <w:pStyle w:val="BodyText"/>
      </w:pPr>
      <w:r>
        <w:rPr>
          <w:color w:val="000000"/>
        </w:rPr>
        <w:t>140.</w:t>
      </w:r>
      <w:r>
        <w:rPr>
          <w:color w:val="000000"/>
        </w:rPr>
        <w:tab/>
        <w:t>В одной из статей преамбулы этого постановления говорится, что "</w:t>
      </w:r>
      <w:r>
        <w:rPr>
          <w:i/>
          <w:color w:val="000000"/>
        </w:rPr>
        <w:t>данный План действий, вопл</w:t>
      </w:r>
      <w:r>
        <w:rPr>
          <w:i/>
          <w:color w:val="000000"/>
        </w:rPr>
        <w:t>о</w:t>
      </w:r>
      <w:r>
        <w:rPr>
          <w:i/>
          <w:color w:val="000000"/>
        </w:rPr>
        <w:t>щающий в себе настрой и политическую волю кубинского государства, должен стать краеугольным камнем нашей политики по отношению к женщине, новым шагом вперед по пути осуществления принципа гендерного равенства в нашей стране</w:t>
      </w:r>
      <w:r>
        <w:rPr>
          <w:color w:val="000000"/>
        </w:rPr>
        <w:t>".</w:t>
      </w:r>
      <w:r>
        <w:t xml:space="preserve"> </w:t>
      </w:r>
    </w:p>
    <w:p w:rsidR="00000000" w:rsidRDefault="00000000">
      <w:pPr>
        <w:pStyle w:val="BodyText"/>
      </w:pPr>
      <w:r>
        <w:br w:type="page"/>
        <w:t>141.</w:t>
      </w:r>
      <w:r>
        <w:tab/>
        <w:t xml:space="preserve">За истекшие четыре года прошли уже два национальных семинара (в 1999 и 2001 годах) по вопросам осуществления задач, поставленных в Плане действий, и контроля и оценки этого процесса. В ходе семинаров каждое ведомство отчитывалось о выполнении возложенных на него задач. Была дана критическая оценка работы по разным направлениям и определены задачи на ближнюю и дальнюю перспективу. </w:t>
      </w:r>
    </w:p>
    <w:p w:rsidR="00000000" w:rsidRDefault="00000000">
      <w:pPr>
        <w:pStyle w:val="BodyText"/>
      </w:pPr>
      <w:r>
        <w:t>142.</w:t>
      </w:r>
      <w:r>
        <w:tab/>
        <w:t xml:space="preserve">В работе этих семинаров приняли участие </w:t>
      </w:r>
      <w:r>
        <w:rPr>
          <w:color w:val="000000"/>
        </w:rPr>
        <w:t xml:space="preserve">министры, руководители различных ведомств, учреждений и организаций, в том числе НПО, эксперты, члены секретариата и руководства Федерации кубинских женщин и приглашенные представители ряда других общественных организаций, имеющих отношение к данной проблематике и обладающих соответствующим опытом работы. </w:t>
      </w:r>
    </w:p>
    <w:p w:rsidR="00000000" w:rsidRDefault="00000000">
      <w:pPr>
        <w:pStyle w:val="BodyText"/>
      </w:pPr>
      <w:r>
        <w:rPr>
          <w:color w:val="000000"/>
        </w:rPr>
        <w:t>143.</w:t>
      </w:r>
      <w:r>
        <w:rPr>
          <w:color w:val="000000"/>
        </w:rPr>
        <w:tab/>
        <w:t>Были рассмотрены имеющиеся достижения в выполнении Национального плана действий и отмечено растущее осознание обществом его значимости. Были приняты содержащиеся в конкретных резолюциях решения, направленные на преодоление недостатков, и предложения по дальнейшему осуществлению принятых постановлений.</w:t>
      </w:r>
    </w:p>
    <w:p w:rsidR="00000000" w:rsidRDefault="00000000">
      <w:pPr>
        <w:pStyle w:val="BodyText"/>
      </w:pPr>
      <w:r>
        <w:t>144.</w:t>
      </w:r>
      <w:r>
        <w:tab/>
        <w:t xml:space="preserve">По результатам анализа </w:t>
      </w:r>
      <w:r>
        <w:rPr>
          <w:color w:val="000000"/>
        </w:rPr>
        <w:t xml:space="preserve">Национального плана действий по претворению в жизнь принятых в Пекине решений, рекомендаций </w:t>
      </w:r>
      <w:r>
        <w:rPr>
          <w:rFonts w:eastAsia="Batang"/>
        </w:rPr>
        <w:t xml:space="preserve">КЛДОЖ в отношении четвертого доклада Кубы, а также соглашений, достигнутых на других международных встречах и конференциях, были определены задачи, решение которых началось незамедлительно. При этом результаты исследования, проведенного Национальным статистическим управлением совместно с ЮНИФЕМ, – Опроса об использовании времени – позволили дать научную оценку степени участия всех членов семьи в домашней работе и разработать необходимые меры в этой области. </w:t>
      </w:r>
    </w:p>
    <w:p w:rsidR="00000000" w:rsidRDefault="00000000">
      <w:pPr>
        <w:pStyle w:val="BodyText"/>
        <w:rPr>
          <w:rFonts w:eastAsia="Batang"/>
        </w:rPr>
      </w:pPr>
      <w:r>
        <w:rPr>
          <w:rFonts w:eastAsia="Batang"/>
        </w:rPr>
        <w:t>145.</w:t>
      </w:r>
      <w:r>
        <w:rPr>
          <w:rFonts w:eastAsia="Batang"/>
        </w:rPr>
        <w:tab/>
        <w:t xml:space="preserve">В рамках реализации Программы развития местных людских ресурсов в провинции Гранма было проведено исследование по вопросам заработной платы с использованием гендерного подхода, и в настоящее время ведутся анализ и обобщение его результатов. Равным образом, в целях совершенствования инструментов, позволяющих оценить участие женщин в разных сферах, ведется разработка системы гендерных показателей. Кроме того, идет работа по совершенствованию статистических показателей в разбивке по полу относительно деятельности в сельскохозяйственной сфере, и в этих целях Институт исследований по вопросам труда провел исследование, данные которого в настоящее время обобщаются. </w:t>
      </w:r>
    </w:p>
    <w:p w:rsidR="00000000" w:rsidRDefault="00000000">
      <w:pPr>
        <w:pStyle w:val="BodyText"/>
        <w:rPr>
          <w:rFonts w:eastAsia="Batang"/>
        </w:rPr>
      </w:pPr>
    </w:p>
    <w:p w:rsidR="00000000" w:rsidRDefault="00000000">
      <w:pPr>
        <w:pStyle w:val="BodyText"/>
        <w:jc w:val="center"/>
        <w:rPr>
          <w:b/>
        </w:rPr>
      </w:pPr>
      <w:r>
        <w:rPr>
          <w:b/>
        </w:rPr>
        <w:t>СТАТЬЯ 3</w:t>
      </w:r>
    </w:p>
    <w:p w:rsidR="00000000" w:rsidRDefault="00000000">
      <w:pPr>
        <w:pStyle w:val="BodyText"/>
        <w:ind w:left="0" w:firstLine="0"/>
      </w:pPr>
      <w: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BodyText"/>
      </w:pPr>
      <w:r>
        <w:t>146.</w:t>
      </w:r>
      <w:r>
        <w:tab/>
        <w:t xml:space="preserve">Как было указано в предыдущем разделе, принятие Республикой Куба Плана действий является одним из проявлений политической воли к улучшению положения женщины. План стал действенным инструментом практической, концептуальной и методологической реализации кубинской стратегии по улучшению положения женщин. </w:t>
      </w:r>
    </w:p>
    <w:p w:rsidR="00000000" w:rsidRDefault="00000000">
      <w:pPr>
        <w:pStyle w:val="BodyText"/>
      </w:pPr>
      <w:r>
        <w:rPr>
          <w:color w:val="000000"/>
        </w:rPr>
        <w:t>147.</w:t>
      </w:r>
      <w:r>
        <w:rPr>
          <w:color w:val="000000"/>
        </w:rPr>
        <w:tab/>
        <w:t>Подтверждением этому служат положительные итоги проведения вышеупомянутых семинаров, призванных способствовать выполнению Национального плана действий, а также оценке достигнутых результатов. Опыт их проведения можно рассматривать как вклад Кубы в развитие сотрудничества между организациями гражданского общества и государственными органами, направленного на достижение общей цели – обеспечить на практике равноправие женщин в обществе.</w:t>
      </w:r>
    </w:p>
    <w:p w:rsidR="00000000" w:rsidRDefault="00000000">
      <w:pPr>
        <w:pStyle w:val="BodyText"/>
      </w:pPr>
      <w:r>
        <w:rPr>
          <w:color w:val="000000"/>
        </w:rPr>
        <w:t>148.</w:t>
      </w:r>
      <w:r>
        <w:rPr>
          <w:color w:val="000000"/>
        </w:rPr>
        <w:tab/>
        <w:t xml:space="preserve">Кубинское государство в Плане действий особо отмечает роль Федерации кубинских женщин, указывая, что "она сыграла выдающуюся роль как орган содействия улучшению положения кубинских женщин и защите их подлинных прав человека". </w:t>
      </w:r>
    </w:p>
    <w:p w:rsidR="00000000" w:rsidRDefault="00000000">
      <w:pPr>
        <w:pStyle w:val="BodyText"/>
      </w:pPr>
      <w:r>
        <w:t>149.</w:t>
      </w:r>
      <w:r>
        <w:tab/>
        <w:t xml:space="preserve">Созданная 43 года назад по воле самих женщин, </w:t>
      </w:r>
      <w:r>
        <w:rPr>
          <w:color w:val="000000"/>
        </w:rPr>
        <w:t xml:space="preserve">Федерация кубинских женщин накопила обширный опыт в деле защиты их интересов, равно как и в теоретическом развитии концепции равенства и учета гендерного фактора в жизни страны. </w:t>
      </w:r>
    </w:p>
    <w:p w:rsidR="00000000" w:rsidRDefault="00000000">
      <w:pPr>
        <w:pStyle w:val="BodyText"/>
      </w:pPr>
      <w:r>
        <w:rPr>
          <w:color w:val="000000"/>
        </w:rPr>
        <w:t>150.</w:t>
      </w:r>
      <w:r>
        <w:rPr>
          <w:color w:val="000000"/>
        </w:rPr>
        <w:tab/>
        <w:t>Одним из направлений деятельности Федерации кубинских женщин является взаимодействие с центральными государственными органами и другими институтами в деле осуществления ориентированных на население программ в таких областях, как комплексное вовлечение женщин во все сферы жизни общества: в производство, образ</w:t>
      </w:r>
      <w:r>
        <w:rPr>
          <w:color w:val="000000"/>
        </w:rPr>
        <w:t>о</w:t>
      </w:r>
      <w:r>
        <w:rPr>
          <w:color w:val="000000"/>
        </w:rPr>
        <w:t xml:space="preserve">вание, медицинское обслуживание, культуру, пропаганду и формирование новых ценностей в семейных отношениях и воспитание в духе этих ценностей. </w:t>
      </w:r>
    </w:p>
    <w:p w:rsidR="00000000" w:rsidRDefault="00000000">
      <w:pPr>
        <w:pStyle w:val="BodyText"/>
      </w:pPr>
      <w:r>
        <w:rPr>
          <w:color w:val="000000"/>
        </w:rPr>
        <w:t>151.</w:t>
      </w:r>
      <w:r>
        <w:rPr>
          <w:color w:val="000000"/>
        </w:rPr>
        <w:tab/>
        <w:t>Это взаимодействие проявляется и в усилиях Федерации кубинских женщин довести до сведения государственных органов поступающие в отделения ФКЖ претензии, жалобы и предложения женщин, оформить их надлежащим образом, направить по соответствующим каналам и добиться ответа по существу.</w:t>
      </w:r>
      <w:r>
        <w:t xml:space="preserve"> </w:t>
      </w:r>
    </w:p>
    <w:p w:rsidR="00000000" w:rsidRDefault="00000000">
      <w:pPr>
        <w:pStyle w:val="BodyText"/>
      </w:pPr>
      <w:r>
        <w:rPr>
          <w:color w:val="000000"/>
        </w:rPr>
        <w:t>152.</w:t>
      </w:r>
      <w:r>
        <w:rPr>
          <w:color w:val="000000"/>
        </w:rPr>
        <w:tab/>
        <w:t>Кубинские женщины объединены и в другие неправительственные, профессиональные и массовые организации, такие как Клуб журналистов по гендерной тематике при Союзе журналистов Кубы, Клуб по гендерным проблемам и вопросам культурного многообразия при Национальном союзе писателей и деятелей искусства Кубы, Организация женщин-ученых при Академии наук Кубы, кафедры по женской проблематике в высших учебных заведениях, "Высший совет дочерей акации", "Кубинское общество Ревекки" и многие другие.</w:t>
      </w:r>
    </w:p>
    <w:p w:rsidR="00000000" w:rsidRDefault="00000000">
      <w:pPr>
        <w:pStyle w:val="BodyText"/>
      </w:pPr>
      <w:r>
        <w:rPr>
          <w:color w:val="000000"/>
        </w:rPr>
        <w:t>153.</w:t>
      </w:r>
      <w:r>
        <w:rPr>
          <w:color w:val="000000"/>
        </w:rPr>
        <w:tab/>
        <w:t>Профцентр трудящихся Кубы, равно как и отдельные профсоюзы, имеет в своем составе женские отделы, специально занимающиеся проблемами трудящихся женщин. Женщины составляют 43,5 процента всех членов профсоюзов – на 5,1 процента больше, чем в предыдущий период.</w:t>
      </w:r>
    </w:p>
    <w:p w:rsidR="00000000" w:rsidRDefault="00000000">
      <w:pPr>
        <w:pStyle w:val="BodyText"/>
      </w:pPr>
      <w:r>
        <w:t>154.</w:t>
      </w:r>
      <w:r>
        <w:tab/>
        <w:t xml:space="preserve">Активизировалась деятельность организаций, о которых сообщалось в предыдущем докладе в связи с принимавшимися правительством мерами. К числу этих организаций, в частности, относятся </w:t>
      </w:r>
      <w:r>
        <w:rPr>
          <w:color w:val="000000"/>
        </w:rPr>
        <w:t xml:space="preserve">Национальная группа по предупреждению насилия в семье и помощи его жертвам, Программа помощи престарелым, женские комитеты при Министерстве сельского хозяйства. Министерством просвещения были организованы общинные курсы альтернативного образования для женщин. </w:t>
      </w:r>
    </w:p>
    <w:p w:rsidR="00000000" w:rsidRDefault="00000000">
      <w:pPr>
        <w:pStyle w:val="BodyText"/>
      </w:pPr>
      <w:r>
        <w:rPr>
          <w:color w:val="000000"/>
        </w:rPr>
        <w:t>155.</w:t>
      </w:r>
      <w:r>
        <w:rPr>
          <w:color w:val="000000"/>
        </w:rPr>
        <w:tab/>
        <w:t>За этот период была проведена реформа законодательства, имеющая целью расширить правовую базу защиты прав женщины, о чем уже говорилось выше, в разделе, посвященном выполнению статьи 2 Конвенции</w:t>
      </w:r>
      <w:r>
        <w:t xml:space="preserve">. </w:t>
      </w:r>
    </w:p>
    <w:p w:rsidR="00000000" w:rsidRDefault="00000000">
      <w:pPr>
        <w:pStyle w:val="BodyText"/>
        <w:spacing w:before="240"/>
        <w:jc w:val="center"/>
        <w:rPr>
          <w:b/>
        </w:rPr>
      </w:pPr>
      <w:r>
        <w:rPr>
          <w:b/>
        </w:rPr>
        <w:t>СТАТЬЯ 4</w:t>
      </w:r>
    </w:p>
    <w:p w:rsidR="00000000" w:rsidRDefault="00000000">
      <w:pPr>
        <w:pStyle w:val="BodyText"/>
        <w:ind w:left="0" w:firstLine="0"/>
      </w:pPr>
      <w:r>
        <w:t xml:space="preserve">1. </w:t>
      </w:r>
      <w: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BodyText"/>
        <w:ind w:left="0" w:firstLine="0"/>
      </w:pPr>
      <w:r>
        <w:t xml:space="preserve">2. </w:t>
      </w:r>
      <w: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000000" w:rsidRDefault="00000000">
      <w:pPr>
        <w:pStyle w:val="BodyText"/>
        <w:rPr>
          <w:color w:val="000000"/>
          <w:spacing w:val="-2"/>
        </w:rPr>
      </w:pPr>
      <w:r>
        <w:rPr>
          <w:color w:val="000000"/>
        </w:rPr>
        <w:t>156.</w:t>
      </w:r>
      <w:r>
        <w:rPr>
          <w:color w:val="000000"/>
        </w:rPr>
        <w:tab/>
      </w:r>
      <w:r>
        <w:rPr>
          <w:color w:val="000000"/>
          <w:spacing w:val="-2"/>
        </w:rPr>
        <w:t xml:space="preserve">Как было сказано выше в настоящем докладе, политика кубинского правительства после победы Революции была направлена на создание для мужчин и женщин равных возможностей активного участия в экономической, политической и социальной жизни страны. В отношении женщин были приняты конкретные меры по укреплению их позиций и статуса, поскольку от прежних времен они унаследовали проблемы, обусловленные их полом. </w:t>
      </w:r>
    </w:p>
    <w:p w:rsidR="00000000" w:rsidRDefault="00000000">
      <w:pPr>
        <w:pStyle w:val="BodyText"/>
      </w:pPr>
      <w:r>
        <w:rPr>
          <w:color w:val="000000"/>
        </w:rPr>
        <w:t>157.</w:t>
      </w:r>
      <w:r>
        <w:rPr>
          <w:color w:val="000000"/>
        </w:rPr>
        <w:tab/>
        <w:t>Осуществление стратегии, нацеленной на улучшение положения женщин в обществе, позволило достичь в последние 45 лет очевидных успехов в деле повышения статуса женщин и их социальной интеграции, о чем свидетельствует анализ данных об участии кубинских женщин в жизни общества на современном этапе. Еще сохраняется привычное, унаследованное от прошлых стереотипов распределение гендерных ролей и прежних культурных моделей, равно как и имеются объективные причины, не позволяющие быстро улучшить положение женщин. Специальные позитивные (временные) меры по обеспечению равенства между мужчинами и же</w:t>
      </w:r>
      <w:r>
        <w:rPr>
          <w:color w:val="000000"/>
        </w:rPr>
        <w:t>н</w:t>
      </w:r>
      <w:r>
        <w:rPr>
          <w:color w:val="000000"/>
        </w:rPr>
        <w:t>щинами применяются именно в тех сферах, где они необходимы.</w:t>
      </w:r>
    </w:p>
    <w:p w:rsidR="00000000" w:rsidRDefault="00000000">
      <w:pPr>
        <w:pStyle w:val="BodyText"/>
      </w:pPr>
      <w:r>
        <w:rPr>
          <w:color w:val="000000"/>
        </w:rPr>
        <w:t>158.</w:t>
      </w:r>
      <w:r>
        <w:rPr>
          <w:color w:val="000000"/>
        </w:rPr>
        <w:tab/>
        <w:t xml:space="preserve">Среди подобных мер (носящих, по сути, защитный, а не дискриминационный характер) фигурируют, в частности, меры по охране материнства, что соответствует реальному положению кубинской семьи в нынешних условиях. </w:t>
      </w:r>
    </w:p>
    <w:p w:rsidR="00000000" w:rsidRDefault="00000000">
      <w:pPr>
        <w:pStyle w:val="BodyText"/>
      </w:pPr>
      <w:r>
        <w:rPr>
          <w:color w:val="000000"/>
        </w:rPr>
        <w:t>159.</w:t>
      </w:r>
      <w:r>
        <w:rPr>
          <w:color w:val="000000"/>
        </w:rPr>
        <w:tab/>
        <w:t>Закон об охране материнства был принят 14 января 1974 года. В соответствии с этим Законом работающей женщине предоставляется отпуск по беременности и родам продолжительностью 12 недель с с</w:t>
      </w:r>
      <w:r>
        <w:rPr>
          <w:color w:val="000000"/>
        </w:rPr>
        <w:t>о</w:t>
      </w:r>
      <w:r>
        <w:rPr>
          <w:color w:val="000000"/>
        </w:rPr>
        <w:t>хранением заработной платы в полном объеме. В 1991 году, как только были созданы необходимые условия, женщинам была дана возможность продлить отпуск по беременности и родам на срок до шести месяцев, считая от даты рождения ребенка, с сохранением 60 процентов заработной платы. Кроме того, в данном Законе устанавливается право женщины на дополнительные шесть месяцев отпуска без сохранения содержания, причем в обоих случаях за женщиной сохраняется ее рабочее место. Как уже отмечалось, в 2003 году для обеспечения более справедливого разделения обязанностей между мужчиной и женщиной был принят Закон, дающий возможность распределить этот отпуск между ними.</w:t>
      </w:r>
    </w:p>
    <w:p w:rsidR="00000000" w:rsidRDefault="00000000">
      <w:pPr>
        <w:pStyle w:val="BodyText"/>
      </w:pPr>
      <w:r>
        <w:rPr>
          <w:color w:val="000000"/>
        </w:rPr>
        <w:t>160.</w:t>
      </w:r>
      <w:r>
        <w:rPr>
          <w:color w:val="000000"/>
        </w:rPr>
        <w:tab/>
        <w:t xml:space="preserve">Созданные в 1980-е годы </w:t>
      </w:r>
      <w:r>
        <w:rPr>
          <w:i/>
          <w:color w:val="000000"/>
        </w:rPr>
        <w:t>комиссии по женской занятости</w:t>
      </w:r>
      <w:r>
        <w:rPr>
          <w:color w:val="000000"/>
        </w:rPr>
        <w:t xml:space="preserve"> представляют собой еще один пример позитивных действий. Эти комиссии, возглавляемые представителями Министерства труда и социального обеспечения, в состав которых вошли также представители Профцентра трудящихся Кубы и Федерации кубинских женщин, были созданы как регулирующие органы, действующие в условиях новой политики в области занятости и имеющие целью не допустить снижения достигнутого уровня занятости женщин. В своей работе эти комиссии придерживаются принципа контроля за соблюдением, в числе прочего, антидискримин</w:t>
      </w:r>
      <w:r>
        <w:rPr>
          <w:color w:val="000000"/>
        </w:rPr>
        <w:t>а</w:t>
      </w:r>
      <w:r>
        <w:rPr>
          <w:color w:val="000000"/>
        </w:rPr>
        <w:t>ционного подхода в сфере трудовых отношений и создания для женщин благоприятных условий с целью повышения их профессиональной квалифик</w:t>
      </w:r>
      <w:r>
        <w:rPr>
          <w:color w:val="000000"/>
        </w:rPr>
        <w:t>а</w:t>
      </w:r>
      <w:r>
        <w:rPr>
          <w:color w:val="000000"/>
        </w:rPr>
        <w:t>ции.</w:t>
      </w:r>
    </w:p>
    <w:p w:rsidR="00000000" w:rsidRDefault="00000000">
      <w:pPr>
        <w:pStyle w:val="BodyText"/>
      </w:pPr>
      <w:r>
        <w:rPr>
          <w:color w:val="000000"/>
        </w:rPr>
        <w:t>161.</w:t>
      </w:r>
      <w:r>
        <w:rPr>
          <w:color w:val="000000"/>
        </w:rPr>
        <w:tab/>
        <w:t xml:space="preserve">Уже в 1990-е годы, в свете изменения экономических условий и ситуации в трудовой сфере в стране, а также с учетом того факта, что новая политика в этой сфере не отразилась на занятости женщин, которая, напротив, продемонстрировала тенденцию к более быстрому росту, нежели занятость мужчин, потребовалось пересмотреть и привести в соответствие цели и порядок функционирования этих комиссий. </w:t>
      </w:r>
    </w:p>
    <w:p w:rsidR="00000000" w:rsidRDefault="00000000">
      <w:pPr>
        <w:pStyle w:val="BodyText"/>
      </w:pPr>
      <w:r>
        <w:rPr>
          <w:color w:val="000000"/>
        </w:rPr>
        <w:t>162.</w:t>
      </w:r>
      <w:r>
        <w:rPr>
          <w:color w:val="000000"/>
        </w:rPr>
        <w:tab/>
        <w:t>Был принят ряд других мер, в частности, с целью обеспечить первостепенное внимание при найме на работу специалистам средней и высшей квалификации, являющимся составной частью источника квалифицированной рабочей силы.</w:t>
      </w:r>
    </w:p>
    <w:p w:rsidR="00000000" w:rsidRDefault="00000000">
      <w:pPr>
        <w:pStyle w:val="BodyText"/>
      </w:pPr>
      <w:r>
        <w:t>163.</w:t>
      </w:r>
      <w:r>
        <w:tab/>
        <w:t xml:space="preserve">Политические и административные органы власти страны разработали комплексную стратегию </w:t>
      </w:r>
      <w:r>
        <w:rPr>
          <w:color w:val="000000"/>
        </w:rPr>
        <w:t>привлечения женщин, которая подлежит выполнению всеми государственными органами, организациями и учреждениями. Эта стратегия является составной частью Национального плана действий по претворению в жизнь решений четвертой Всемирной конференции по положению женщин, и ее выполнение находится под контролем секретаря Совета министров.</w:t>
      </w:r>
    </w:p>
    <w:p w:rsidR="00000000" w:rsidRDefault="00000000">
      <w:pPr>
        <w:pStyle w:val="BodyText"/>
      </w:pPr>
      <w:r>
        <w:t>164.</w:t>
      </w:r>
      <w:r>
        <w:tab/>
        <w:t>В январе 2003 года вступило в силу специальное распоряжение исполнительного секретаря Совета министров о работе кадровых комиссий всех уровней, от центральной до муниципальных. По сути, это распоряжение предусматривает, что при заполнении любой вакансии в органах государственного управления половину представленных кандидатов на должность должны составлять женщины. Если на момент внесения предложения нет женщины, которую на равных условиях можно было бы выдвинуть в качестве кандидата, она должна быть включена в третье предложение. Если человек, вносящий предложения, считает невозможным включить в число кандидатов женщину, поскольку соответствующие варианты отсутствуют, он должен объяснить комиссии причины, по которым не была подобрана кандидатура женщины на данную должность.</w:t>
      </w:r>
    </w:p>
    <w:p w:rsidR="00000000" w:rsidRDefault="00000000">
      <w:pPr>
        <w:pStyle w:val="BodyText"/>
      </w:pPr>
      <w:r>
        <w:t>165.</w:t>
      </w:r>
      <w:r>
        <w:tab/>
        <w:t xml:space="preserve">В 2000 году женщины занимали 33,3 процента руководящих должностей всех уровней, а в 2002 году этот показатель возрос до 34,5 процента, став самым высоким за всю историю. В абсолютных показателях общее число женщин на руководящих должностях возросло до 95 314 человек, что свидетельствует о продолжающемся росте этого показателя. Тем не менее по-прежнему остается в силе утверждение, что во всех сферах деятельности есть одаренные и обладающие большим потенциалом женщины, благодаря чему существует великолепная возможность и далее повышать этот показатель. </w:t>
      </w:r>
    </w:p>
    <w:p w:rsidR="00000000" w:rsidRDefault="00000000">
      <w:pPr>
        <w:pStyle w:val="BodyText"/>
      </w:pPr>
      <w:r>
        <w:t>166.</w:t>
      </w:r>
      <w:r>
        <w:tab/>
        <w:t xml:space="preserve">Именно по этой причине в рамках стратегии привлечения женщин обеспечиваются общественное признание и пропаганда качеств, присущих женщине-руководителю, равно как и формируются новый образ </w:t>
      </w:r>
      <w:r>
        <w:rPr>
          <w:color w:val="000000"/>
        </w:rPr>
        <w:t>женщины на руководящем посту</w:t>
      </w:r>
      <w:r>
        <w:t>, отношение к нему, его восприятие и его престиж.</w:t>
      </w:r>
      <w:r>
        <w:rPr>
          <w:color w:val="000000"/>
        </w:rPr>
        <w:t xml:space="preserve"> </w:t>
      </w:r>
    </w:p>
    <w:p w:rsidR="00000000" w:rsidRDefault="00000000">
      <w:pPr>
        <w:pStyle w:val="BodyText"/>
      </w:pPr>
      <w:r>
        <w:rPr>
          <w:color w:val="000000"/>
        </w:rPr>
        <w:t>167.</w:t>
      </w:r>
      <w:r>
        <w:rPr>
          <w:color w:val="000000"/>
        </w:rPr>
        <w:tab/>
        <w:t xml:space="preserve">Совершенствование пропагандистской кампании, в которой особый акцент был сделан на возможностях женщин быть выдвинутыми, избираться и быть избранными в органы народной власти, и эффективное проведение такой кампании привели к значительному росту показателей представленности женщин, например, в кубинском парламенте, где женщин-депутатов на 9 больше, чем в парламенте предыдущего созыва. </w:t>
      </w:r>
    </w:p>
    <w:p w:rsidR="00000000" w:rsidRDefault="00000000">
      <w:pPr>
        <w:pStyle w:val="BodyText"/>
      </w:pPr>
      <w:r>
        <w:t>168.</w:t>
      </w:r>
      <w:r>
        <w:tab/>
        <w:t xml:space="preserve">Как отмечалось выше, кубинское правительство проводит последовательную политику, направленную на </w:t>
      </w:r>
      <w:r>
        <w:rPr>
          <w:color w:val="000000"/>
        </w:rPr>
        <w:t xml:space="preserve">рост числа женщин на руководящих постах, в рамках комплексной </w:t>
      </w:r>
      <w:r>
        <w:t xml:space="preserve">стратегии привлечения женщин. В русле данной стратегии –  увеличение представленности женщин в органах </w:t>
      </w:r>
      <w:r>
        <w:rPr>
          <w:i/>
        </w:rPr>
        <w:t>народной власти</w:t>
      </w:r>
      <w:r>
        <w:t xml:space="preserve"> всех уровней.</w:t>
      </w:r>
    </w:p>
    <w:p w:rsidR="00000000" w:rsidRDefault="00000000">
      <w:pPr>
        <w:pStyle w:val="BodyText"/>
      </w:pPr>
      <w:r>
        <w:t>169.</w:t>
      </w:r>
      <w:r>
        <w:tab/>
        <w:t xml:space="preserve">С этой целью на каждом этапе избирательной кампании принимались такие меры и действия, как изучение предварительных материалов на местном уровне, </w:t>
      </w:r>
      <w:r>
        <w:rPr>
          <w:color w:val="000000"/>
        </w:rPr>
        <w:t xml:space="preserve">создание и выпуск в эфир телевизионных роликов и радиопрограмм с целью увеличить число женщин в составе кандидатов и депутатов и активизировать их работу на соответствующих постах. </w:t>
      </w:r>
    </w:p>
    <w:p w:rsidR="00000000" w:rsidRDefault="00000000">
      <w:pPr>
        <w:pStyle w:val="BodyText"/>
      </w:pPr>
    </w:p>
    <w:p w:rsidR="00000000" w:rsidRDefault="00000000">
      <w:pPr>
        <w:pStyle w:val="BodyText"/>
        <w:jc w:val="center"/>
        <w:rPr>
          <w:b/>
        </w:rPr>
      </w:pPr>
      <w:r>
        <w:rPr>
          <w:b/>
        </w:rPr>
        <w:t>СТАТЬЯ 5</w:t>
      </w:r>
    </w:p>
    <w:p w:rsidR="00000000" w:rsidRDefault="00000000">
      <w:pPr>
        <w:pStyle w:val="BodyText"/>
      </w:pPr>
      <w:r>
        <w:t>Государства-участники принимают все соответствующие меры с целью:</w:t>
      </w:r>
    </w:p>
    <w:p w:rsidR="00000000" w:rsidRDefault="00000000">
      <w:pPr>
        <w:pStyle w:val="BodyText"/>
        <w:tabs>
          <w:tab w:val="clear" w:pos="907"/>
        </w:tabs>
        <w:ind w:left="1134"/>
      </w:pPr>
      <w:r>
        <w:t>а)</w:t>
      </w:r>
      <w:r>
        <w:tab/>
        <w:t xml:space="preserve">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 </w:t>
      </w:r>
    </w:p>
    <w:p w:rsidR="00000000" w:rsidRDefault="00000000">
      <w:pPr>
        <w:pStyle w:val="BodyText"/>
        <w:tabs>
          <w:tab w:val="clear" w:pos="907"/>
        </w:tabs>
        <w:ind w:left="1134"/>
      </w:pPr>
      <w:r>
        <w:rPr>
          <w:lang w:val="en-US"/>
        </w:rPr>
        <w:t>b</w:t>
      </w:r>
      <w:r>
        <w:t>)</w:t>
      </w:r>
      <w:r>
        <w:tab/>
        <w:t>обеспечить, чтобы семейное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BodyText"/>
        <w:rPr>
          <w:i/>
        </w:rPr>
      </w:pPr>
      <w:r>
        <w:t>170.</w:t>
      </w:r>
      <w:r>
        <w:tab/>
        <w:t xml:space="preserve">В ходе подготовки материалов в отношении данной статьи правительство Кубы учло рекомендации КЛДОЖ по результатам рассмотрения четвертого доклада. Комитет выразил </w:t>
      </w:r>
      <w:r>
        <w:rPr>
          <w:i/>
        </w:rPr>
        <w:t xml:space="preserve">"озабоченность в связи с сохранением стереотипов, касающихся роли женщин в семье и обществе, и сохранением культуры мужского шовинизма во многих областях общественной и частной жизни, что находит свое отражение, например, в том, что до сих пор во многих семьях отсутствует разделение обязанностей между членами семьи, и в относительно небольшом числе женщин на руководящих должностях". </w:t>
      </w:r>
      <w:r>
        <w:t xml:space="preserve">Кроме того, Комитет призвал правительство </w:t>
      </w:r>
      <w:r>
        <w:rPr>
          <w:i/>
        </w:rPr>
        <w:t>"продолжать принимать меры по решению проблемы сохранения стереотипов в кубинском обществе, в частности, и впредь предпринимать усилия, направленные на увеличение доли женщин на всех уровнях принятия решений, и …продолжать осуществлять последовательную оценку воздействия этих мер, а также выявлять недостатки и корректировать и совершенствовать эти меры соответствующим образом</w:t>
      </w:r>
      <w:r>
        <w:t>".</w:t>
      </w:r>
    </w:p>
    <w:p w:rsidR="00000000" w:rsidRDefault="00000000">
      <w:pPr>
        <w:pStyle w:val="BodyText"/>
        <w:rPr>
          <w:i/>
        </w:rPr>
      </w:pPr>
      <w:r>
        <w:t>171.</w:t>
      </w:r>
      <w:r>
        <w:tab/>
        <w:t xml:space="preserve">В </w:t>
      </w:r>
      <w:r>
        <w:rPr>
          <w:color w:val="000000"/>
        </w:rPr>
        <w:t>Национальном плане действий Республики Куба по претворению в жизнь решений Пекинской конференции говорится, что "кубинское государство в соответствии с проводимой им социальной политикой, принципом представительной демократии и в рамках неустанной работы по ликвидации всех форм классовой, гендерной и расовой дискриминации и угнетения проводит в жизнь с 1959 года Национальную стратегию развития, в которой четко и гармонично сочетаются экономические и социальные программы. В рамках этой политики правительство Кубы стало инициатором разработки и развития правовых, образовательных, экономических, политических, идеологических, культурных и социальных основ, гарантирующих мужчинам и женщинам равенство прав, перспектив и возможностей, трансформируя тем самым условия, способствующие дискриминации и подчинению, в которых веками находились кубинские женщины, и способствуя искоренению традиционных стереотипов в отношении представителей обоих полов и пересмотру их роли в обществе и в семье".</w:t>
      </w:r>
    </w:p>
    <w:p w:rsidR="00000000" w:rsidRDefault="00000000">
      <w:pPr>
        <w:pStyle w:val="BodyText"/>
      </w:pPr>
      <w:r>
        <w:t>172.</w:t>
      </w:r>
      <w:r>
        <w:tab/>
        <w:t>Изменения, определяемые социальным сознанием, не следуют автоматически за преобразованием экономических и правовых структур, хотя эти преобразования и играют решающую роль. Стереотипы, предрассудки, модели поведения и ценности сексистского характера, уходящие корнями в культурные традиции, изменяются в ходе сложного процесса, на который оказывают влияние политическая воля, законодательство, средства массовой информации, школа, семья, сложившиеся в общественном сознании представления и индивидуальные особенности каждого человека.</w:t>
      </w:r>
    </w:p>
    <w:p w:rsidR="00000000" w:rsidRDefault="00000000">
      <w:pPr>
        <w:pStyle w:val="BodyText"/>
      </w:pPr>
      <w:r>
        <w:t>173.</w:t>
      </w:r>
      <w:r>
        <w:tab/>
        <w:t xml:space="preserve">Исследования, проводимые представителями общественных наук, и сама жизнь показывают, что на Кубе общественные представления относительно того, что считать </w:t>
      </w:r>
      <w:r>
        <w:rPr>
          <w:i/>
        </w:rPr>
        <w:t>присущим</w:t>
      </w:r>
      <w:r>
        <w:t xml:space="preserve"> </w:t>
      </w:r>
      <w:r>
        <w:rPr>
          <w:i/>
        </w:rPr>
        <w:t xml:space="preserve">мужчинам </w:t>
      </w:r>
      <w:r>
        <w:t xml:space="preserve">и </w:t>
      </w:r>
      <w:r>
        <w:rPr>
          <w:i/>
        </w:rPr>
        <w:t>присущим</w:t>
      </w:r>
      <w:r>
        <w:t xml:space="preserve"> </w:t>
      </w:r>
      <w:r>
        <w:rPr>
          <w:i/>
        </w:rPr>
        <w:t>женщинам</w:t>
      </w:r>
      <w:r>
        <w:t xml:space="preserve">, изменяются как в общественной сфере, так и в частной жизни, уступая место представлениям, не носящим дискриминационного характера, и новым ролям женщин и мужчин (об этом идет речь в различных разделах настоящего доклада). Однако этот процесс не носит однородного характера, он проходит с различными вариациями, и различия здесь зависят от культурного уровня, возраста, местонахождения и других особенностей, определяемых конкретной ситуацией. Именно поэтому в кубинском обществе в процессе усвоения новых представлений сосуществуют установки сексистского и несексистского характера. </w:t>
      </w:r>
    </w:p>
    <w:p w:rsidR="00000000" w:rsidRDefault="00000000">
      <w:pPr>
        <w:pStyle w:val="BodyText"/>
      </w:pPr>
      <w:r>
        <w:t>174.</w:t>
      </w:r>
      <w:r>
        <w:tab/>
        <w:t xml:space="preserve">В целях улучшения своей работы, направленной на повышение качества жизни, кубинское правительство разрабатывало в течение последних пяти лет стратегию массированного внедрения среди кубинского населения всеобщей всесторонней культуры. Стратегия включает, в числе прочего, программы, реализуемые на уровне общин, открытие университетов во всех муниципалитетах страны, обеспечение доступа к информационно-коммуникационным технологиям. Женщины активно участвуют в реализации этих программ и пользуются их плодами, далеко выходящими за рамки только художественного или литературного просвещения и направленными на распространение культуры равноправия и недопущение изоляции путем обеспечения широкого доступа к знаниям. </w:t>
      </w:r>
    </w:p>
    <w:p w:rsidR="00000000" w:rsidRDefault="00000000">
      <w:pPr>
        <w:pStyle w:val="BodyText"/>
      </w:pPr>
    </w:p>
    <w:p w:rsidR="00000000" w:rsidRDefault="00000000">
      <w:pPr>
        <w:pStyle w:val="BodyText"/>
        <w:jc w:val="left"/>
        <w:rPr>
          <w:i/>
        </w:rPr>
      </w:pPr>
      <w:r>
        <w:rPr>
          <w:i/>
          <w:color w:val="000000"/>
        </w:rPr>
        <w:t>Конкретные действия по преодолению стереотипов</w:t>
      </w:r>
    </w:p>
    <w:p w:rsidR="00000000" w:rsidRDefault="00000000">
      <w:pPr>
        <w:pStyle w:val="BodyText"/>
      </w:pPr>
      <w:r>
        <w:t>175.</w:t>
      </w:r>
      <w:r>
        <w:tab/>
        <w:t>Хотя все меры, принимаемые с целью обеспечения широкого участия женщин в жизни общества, способствуют преодолению стереотипов, далее мы остановимся на основных элементах, которые определяют преобладающие в обществе представления о ценностях и ролях, сложившиеся в общественном сознании мифы, верования, а также общественную практику.</w:t>
      </w:r>
    </w:p>
    <w:p w:rsidR="00000000" w:rsidRDefault="00000000">
      <w:pPr>
        <w:pStyle w:val="BodyText"/>
      </w:pPr>
    </w:p>
    <w:p w:rsidR="00000000" w:rsidRDefault="00000000">
      <w:pPr>
        <w:pStyle w:val="BodyText"/>
        <w:keepNext/>
        <w:rPr>
          <w:i/>
        </w:rPr>
      </w:pPr>
      <w:r>
        <w:rPr>
          <w:i/>
        </w:rPr>
        <w:t>Средства массовой информации</w:t>
      </w:r>
    </w:p>
    <w:p w:rsidR="00000000" w:rsidRDefault="00000000">
      <w:pPr>
        <w:pStyle w:val="BodyText"/>
      </w:pPr>
      <w:r>
        <w:t>176.</w:t>
      </w:r>
      <w:r>
        <w:tab/>
        <w:t xml:space="preserve">Увеличилось и углубилось внимание, уделяемое профессиональной подготовке пропагандистов. Эта работа, проводимая совместно Кубинским институтом радиовещания и телевидения, Федерацией кубинских женщин и Союзом кубинских журналистов, позволила подготовить свыше 500 специалистов. </w:t>
      </w:r>
    </w:p>
    <w:p w:rsidR="00000000" w:rsidRDefault="00000000">
      <w:pPr>
        <w:pStyle w:val="BodyText"/>
      </w:pPr>
      <w:r>
        <w:t>177.</w:t>
      </w:r>
      <w:r>
        <w:tab/>
        <w:t xml:space="preserve">Создание в Международном институте журналистики имени Хосе Марти кафедры гендерных проблем и коммуникации расширило систему подготовки пропагандистов для всей страны. </w:t>
      </w:r>
    </w:p>
    <w:p w:rsidR="00000000" w:rsidRDefault="00000000">
      <w:pPr>
        <w:pStyle w:val="BodyText"/>
      </w:pPr>
      <w:r>
        <w:t>178.</w:t>
      </w:r>
      <w:r>
        <w:tab/>
        <w:t>Создание в Кубинском институте радиовещания и телевидения Межотраслевой и междисциплинарной рабочей группы, перед которой была поставлена задача отслеживать изображение и представленность женщин в средствах массовой информации и разрабатывать политику, способствующую созданию соответствующего действительности образа женщины, – еще одно направление деятельности, которую ведут средства массовой информации с целью дальнейшего содействия ликвидации стереотипов и предрассудков.</w:t>
      </w:r>
    </w:p>
    <w:p w:rsidR="00000000" w:rsidRDefault="00000000">
      <w:pPr>
        <w:pStyle w:val="BodyText"/>
      </w:pPr>
      <w:r>
        <w:t>179.</w:t>
      </w:r>
      <w:r>
        <w:tab/>
        <w:t xml:space="preserve">Еженедельная телевизионная передача "Когда женщина…", создаваемая при координации и поддержке со стороны Федерации кубинских женщин, обращает внимание общества на вопросы, связанные с объективными и субъективными факторами, которые оказывают влияние на дискриминационное отношение к женщинам. </w:t>
      </w:r>
    </w:p>
    <w:p w:rsidR="00000000" w:rsidRDefault="00000000">
      <w:pPr>
        <w:pStyle w:val="BodyText"/>
      </w:pPr>
      <w:r>
        <w:t>180.</w:t>
      </w:r>
      <w:r>
        <w:tab/>
        <w:t xml:space="preserve">Возобновление издания журнала "Женщины" и газеты "Девушка", выходящих ежеквартально тиражом 100 тыс. экземпляров, дает возможность обсуждать в обществе самые разные вопросы, касающиеся прав женщин и проблем современной кубинской семьи. </w:t>
      </w:r>
    </w:p>
    <w:p w:rsidR="00000000" w:rsidRDefault="00000000">
      <w:pPr>
        <w:pStyle w:val="BodyText"/>
      </w:pPr>
      <w:r>
        <w:t>181.</w:t>
      </w:r>
      <w:r>
        <w:tab/>
        <w:t xml:space="preserve">Введение в последние три года в программы обучения по курсу "Социальные взаимосвязи" тем, связанных с гендерной проблематикой, позволяет специалистам в этой области овладеть соответствующим аналитическим инструментарием. </w:t>
      </w:r>
    </w:p>
    <w:p w:rsidR="00000000" w:rsidRDefault="00000000">
      <w:pPr>
        <w:pStyle w:val="BodyText"/>
      </w:pPr>
      <w:r>
        <w:t>182.</w:t>
      </w:r>
      <w:r>
        <w:tab/>
        <w:t xml:space="preserve">Выпуск издательством "Ориенте" серии "Марипоза" с целью распространения результатов научных исследований по гендерным проблемам и произведений художественной литературы, посвященных женщинам, а также публикация другими издательствами материалов о положении и проблемах кубинских женщин становятся важными средствами социализации в стране, где средний уровень образования составляет девять классов. </w:t>
      </w:r>
    </w:p>
    <w:p w:rsidR="00000000" w:rsidRDefault="00000000">
      <w:pPr>
        <w:pStyle w:val="BodyText"/>
      </w:pPr>
      <w:r>
        <w:t>183.</w:t>
      </w:r>
      <w:r>
        <w:tab/>
        <w:t xml:space="preserve">Проведение десять лет назад Ибероамериканских встреч "Женщина и СМИ" дало возможность пропагандистам познакомиться с новыми тенденциями в журналистике, свободной от сексистских подходов. </w:t>
      </w:r>
    </w:p>
    <w:p w:rsidR="00000000" w:rsidRDefault="00000000">
      <w:pPr>
        <w:pStyle w:val="BodyText"/>
      </w:pPr>
      <w:r>
        <w:t>184.</w:t>
      </w:r>
      <w:r>
        <w:tab/>
        <w:t>Наличие в четырех цифровых газетах, выпускаемых на Кубе, разделов, посвященных женской теме, а также создание веб-сайта журнала "Женщины" способствовали освещению в средствах массовой информации новых вопросов, касающихся гендерного равенства.</w:t>
      </w:r>
    </w:p>
    <w:p w:rsidR="00000000" w:rsidRDefault="00000000">
      <w:pPr>
        <w:pStyle w:val="BodyText"/>
      </w:pPr>
      <w:r>
        <w:t>185.</w:t>
      </w:r>
      <w:r>
        <w:tab/>
        <w:t>Обучение пропагандистов по всей стране языку, свободному от сексистской терминологии, осуществляется при поддержке Организации Объединенных Наций по вопросам образования, науки и культуры (ЮНЕСКО), и в этой работе принимают участие специалисты самой высокой квалификации из различных институтов.</w:t>
      </w:r>
    </w:p>
    <w:p w:rsidR="00000000" w:rsidRDefault="00000000">
      <w:pPr>
        <w:pStyle w:val="BodyText"/>
      </w:pPr>
      <w:r>
        <w:t>186.</w:t>
      </w:r>
      <w:r>
        <w:tab/>
        <w:t xml:space="preserve">В кампаниях по освещению общественно значимых тем, проводившихся различными средствами массовой информации, основное внимание уделялось, в числе прочего, вопросам сознательного и ответственного отцовства и материнства, распределения домашних обязанностей в семье, недопущения насилия и полового воспитания. Высокохудожественным качеством и глубиной освещения тем отличалась кампания "За жизнь", координированием которой занимались Министерство образования, Кубинский институт радиовещания и телевидения, Федерация кубинских женщин и другие учреждения. </w:t>
      </w:r>
    </w:p>
    <w:p w:rsidR="00000000" w:rsidRDefault="00000000">
      <w:pPr>
        <w:pStyle w:val="BodyText"/>
        <w:rPr>
          <w:i/>
        </w:rPr>
      </w:pPr>
      <w:r>
        <w:rPr>
          <w:i/>
        </w:rPr>
        <w:t>Семья</w:t>
      </w:r>
    </w:p>
    <w:p w:rsidR="00000000" w:rsidRDefault="00000000">
      <w:pPr>
        <w:pStyle w:val="BodyText"/>
      </w:pPr>
      <w:r>
        <w:t>187.</w:t>
      </w:r>
      <w:r>
        <w:tab/>
        <w:t>Министерство культуры и Национальный центр культуры общежития разработали программы общественной работы в городских районах и сельских населенных пунктах по всей стране, в рамках которой проводятся семинары по повышению самооценки женщин и создаются "социальные спектакли", в которых сами жители в театрализованной форме представляют свои основные проблемы и обсуждают возможные пути их решения.</w:t>
      </w:r>
    </w:p>
    <w:p w:rsidR="00000000" w:rsidRDefault="00000000">
      <w:pPr>
        <w:pStyle w:val="BodyText"/>
      </w:pPr>
      <w:r>
        <w:t>188.</w:t>
      </w:r>
      <w:r>
        <w:tab/>
        <w:t xml:space="preserve">Деятельность 173 консультационных центров для женщин и семей позволила добиться количественных и качественных успехов в деле повышения ответственности семей, что способствует установлению равноправных и справедливых отношений между всеми членами семьи. </w:t>
      </w:r>
    </w:p>
    <w:p w:rsidR="00000000" w:rsidRDefault="00000000">
      <w:pPr>
        <w:pStyle w:val="BodyText"/>
      </w:pPr>
      <w:r>
        <w:t>189.</w:t>
      </w:r>
      <w:r>
        <w:tab/>
        <w:t xml:space="preserve">Народные советы органов народной власти и Федерация кубинских женщин организуют обсуждение на местах материала "Выбирать женщин в числе лучших" с целью обеспечить более широкое выдвижение женщин в качестве кандидатов в депутаты выборных органов народной власти, начиная с Национальной ассамблеи. Здесь важную роль призвана сыграть семья, чье понимание и сотрудничество помогут избранным женщинам достойно выполнять свои обязанности. </w:t>
      </w:r>
    </w:p>
    <w:p w:rsidR="00000000" w:rsidRDefault="00000000">
      <w:pPr>
        <w:pStyle w:val="BodyText"/>
        <w:rPr>
          <w:i/>
        </w:rPr>
      </w:pPr>
      <w:r>
        <w:rPr>
          <w:i/>
        </w:rPr>
        <w:t>Школа</w:t>
      </w:r>
    </w:p>
    <w:p w:rsidR="00000000" w:rsidRDefault="00000000">
      <w:pPr>
        <w:pStyle w:val="BodyText"/>
      </w:pPr>
      <w:r>
        <w:rPr>
          <w:color w:val="000000"/>
        </w:rPr>
        <w:t>190.</w:t>
      </w:r>
      <w:r>
        <w:rPr>
          <w:color w:val="000000"/>
        </w:rPr>
        <w:tab/>
        <w:t>Продолжаются научные разработки, направленные на то, чтобы образовательный процесс, учебные пособия и внеклассная деятельность способствовали воспитанию в духе недопущения сексизма и социальной изоляции.</w:t>
      </w:r>
    </w:p>
    <w:p w:rsidR="00000000" w:rsidRDefault="00000000">
      <w:pPr>
        <w:pStyle w:val="BodyText"/>
      </w:pPr>
      <w:r>
        <w:rPr>
          <w:color w:val="000000"/>
        </w:rPr>
        <w:t>191.</w:t>
      </w:r>
      <w:r>
        <w:rPr>
          <w:color w:val="000000"/>
        </w:rPr>
        <w:tab/>
        <w:t xml:space="preserve">Улучшение качества работы "Движения матерей и отцов в борьбе за образование" позволило повысить активность общин в содействии свободному от сексизма образовательному процессу, а школе, в свою очередь, – оказывать большее влияние на семью в этих вопросах. </w:t>
      </w:r>
    </w:p>
    <w:p w:rsidR="00000000" w:rsidRDefault="00000000">
      <w:pPr>
        <w:pStyle w:val="BodyText"/>
        <w:rPr>
          <w:i/>
        </w:rPr>
      </w:pPr>
      <w:r>
        <w:rPr>
          <w:i/>
        </w:rPr>
        <w:t>Законодательство</w:t>
      </w:r>
    </w:p>
    <w:p w:rsidR="00000000" w:rsidRDefault="00000000">
      <w:pPr>
        <w:pStyle w:val="BodyText"/>
      </w:pPr>
      <w:r>
        <w:t>192.</w:t>
      </w:r>
      <w:r>
        <w:tab/>
        <w:t xml:space="preserve">Внесение изменений в ныне действующий Закон о материнстве, позволяющих семье решать, кто именно – отец или мать – будет брать оплачиваемый отпуск по уходу за ребенком в возрасте от шести месяцев до одного года, представляет собой важную законодательную меру, направленную на изменение стереотипного представления о том, что только мать несет ответственность за воспитание детей, и позволяющую отцам также воспользоваться этим правом. </w:t>
      </w:r>
    </w:p>
    <w:p w:rsidR="00000000" w:rsidRDefault="00000000">
      <w:pPr>
        <w:pStyle w:val="BodyText"/>
        <w:keepNext/>
        <w:rPr>
          <w:i/>
        </w:rPr>
      </w:pPr>
      <w:r>
        <w:rPr>
          <w:i/>
        </w:rPr>
        <w:t>Механизмы оценки</w:t>
      </w:r>
    </w:p>
    <w:p w:rsidR="00000000" w:rsidRDefault="00000000">
      <w:pPr>
        <w:pStyle w:val="BodyText"/>
      </w:pPr>
      <w:r>
        <w:t>193.</w:t>
      </w:r>
      <w:r>
        <w:tab/>
        <w:t xml:space="preserve">Министерства, государственные органы и учреждения обязаны систематически информировать Государственный совет Республики Куба о том, каким образом политика, направленная на укрепление равенства прав и возможностей, отражается на положении мужчин и женщин. </w:t>
      </w:r>
    </w:p>
    <w:p w:rsidR="00000000" w:rsidRDefault="00000000">
      <w:pPr>
        <w:pStyle w:val="BodyText"/>
      </w:pPr>
      <w:r>
        <w:t>194.</w:t>
      </w:r>
      <w:r>
        <w:tab/>
        <w:t xml:space="preserve">Расширение масштабов исследований по гендерной проблематике в рамках общественных наук позволяет уже на стадии разработки, реализации и оценки политики, практических действий и социальных акций анализировать положение и возможности кубинских женщин, а также успехи, недостатки и проблемы кубинского общества в этой области. </w:t>
      </w:r>
    </w:p>
    <w:p w:rsidR="00000000" w:rsidRDefault="00000000">
      <w:pPr>
        <w:pStyle w:val="BodyText"/>
      </w:pPr>
      <w:r>
        <w:t>195.</w:t>
      </w:r>
      <w:r>
        <w:tab/>
        <w:t xml:space="preserve">Программа создания кафедр по проблемам женщин, реализация которой началась в 1990 году по инициативе Федерации кубинских женщин и при ее содействии, интересна своей направленностью на преобразование социокультурных представлений о гендерных отношениях. Эти кафедры, не являющиеся административными структурами, представляют собой группы лиц, интересующихся гендерной тематикой, и их создание стало еще одной мерой в рамках постоянной работы, направленной на упрочение позиций кубинских женщин и на удовлетворение их потребностей в стратегическом плане, поскольку речь идет прежде всего о том, чтобы обеспечить подготовку будущих учителей начальной и средней школы с учетом гендерных аспектов, чтобы те, в свою очередь, соответствующим образом вели обучение молодого поколения. </w:t>
      </w:r>
    </w:p>
    <w:p w:rsidR="00000000" w:rsidRDefault="00000000">
      <w:pPr>
        <w:pStyle w:val="BodyText"/>
      </w:pPr>
      <w:r>
        <w:t>196.</w:t>
      </w:r>
      <w:r>
        <w:tab/>
        <w:t xml:space="preserve">В Центрах высшего образования всех провинций страны действуют 23 такие кафедры. В их работе принимают участие более 700 специалистов, которые свою главную и основную цель видят в том, чтобы ввести гендерный подход в программы вузовского обучения, исследовательскую работу и в работу просветительских курсов на базе университетов. Эти кафедры проделали большую работу по преодолению гендерного неравноправия в образовании. </w:t>
      </w:r>
    </w:p>
    <w:p w:rsidR="00000000" w:rsidRDefault="00000000">
      <w:pPr>
        <w:pStyle w:val="BodyText"/>
      </w:pPr>
      <w:r>
        <w:t>197.</w:t>
      </w:r>
      <w:r>
        <w:tab/>
        <w:t xml:space="preserve">Что же касается учебной деятельности, то удалось добиться прогресса в деле включения гендерного подхода в такие важнейшие дисциплины и входящие в учебный план предметы, как, в числе прочего, половое воспитание на всех ступенях обучения (начиная с начального), общая педагогическая подготовка, психология, педагогика, философия и история, испаноязычная литература, социальные взаимосвязи, экономика и др. </w:t>
      </w:r>
    </w:p>
    <w:p w:rsidR="00000000" w:rsidRDefault="00000000">
      <w:pPr>
        <w:pStyle w:val="BodyText"/>
      </w:pPr>
      <w:r>
        <w:t>198.</w:t>
      </w:r>
      <w:r>
        <w:tab/>
        <w:t xml:space="preserve">Данные кафедры проводят курсы повышения квалификации, и за последние два года на них прошли обучение по гендерным проблемам около 7300 учителей из разных провинций страны. Эти учителя, в свою очередь, проводили беседы, семинары, занятия с группами учащихся, общинными активистами, государственными служащими и с другими категориями населения, с тем чтобы содействовать и помогать в осознании и распространении представлений о гендерном равноправии. В 2002 году около 3500 человек из числа этих групп (учителя, учащиеся и др.) приняли участие в том или ином проводимом кафедрами мероприятии по гендерной и относящейся к ней проблематике. </w:t>
      </w:r>
    </w:p>
    <w:p w:rsidR="00000000" w:rsidRDefault="00000000">
      <w:pPr>
        <w:pStyle w:val="BodyText"/>
      </w:pPr>
      <w:r>
        <w:t>199.</w:t>
      </w:r>
      <w:r>
        <w:tab/>
        <w:t>Кроме того, проводились учебные курсы по гендерной проблематике для учителей, технических специалистов, государственных служащих и общинных активистов. Одними из недавно возникших направлений деятельности являются подготовка женщин – дипломированных специалистов по гендерным проблемам и разработка учебной программы по этой тематике для подготовки аспирантов.</w:t>
      </w:r>
    </w:p>
    <w:p w:rsidR="00000000" w:rsidRDefault="00000000">
      <w:pPr>
        <w:pStyle w:val="BodyText"/>
      </w:pPr>
      <w:r>
        <w:t>200.</w:t>
      </w:r>
      <w:r>
        <w:tab/>
        <w:t xml:space="preserve">Осуществление исследований с использованием гендерного подхода позволяет оценить в количественном и качественном отношении достигнутые за отчетный период успехи. В 2002 году были проведены 5 таких исследований, под руководством специалистов кафедр по проблемам женщин подготовлены 6 кандидатских и 3 докторские диссертации по гендерной и смежной с ней проблематике. Наряду с этим научные исследования по гендерным проблемам проводили студенты, в том числе вне рамок учебных программ (были подготовлены 27 курсовых работ, 22 дипломные работы, 17 работ вне рамок учебных программ и 1 работа в рамках элективного курса). Подготовке преподавателей и учащихся по этой проблематике способствовали разработка и публикация Учебного руководства. </w:t>
      </w:r>
    </w:p>
    <w:p w:rsidR="00000000" w:rsidRDefault="00000000">
      <w:pPr>
        <w:pStyle w:val="BodyText"/>
      </w:pPr>
      <w:r>
        <w:t>201.</w:t>
      </w:r>
      <w:r>
        <w:tab/>
        <w:t>Работающие на кафедрах специалисты оказывают также техническую и методическую помощь по тематике гендерного равноправия различным учреждениям и организациям, делая особый упор на необходимость преодоления стереотипов. Важное значение имеют помощь, оказываемая работе консультационных центров для женщин и семей во всех провинциях, а также участие представителей кафедр в подготовке проектов с учетом гендерного подхода в рамках просветительской работы курсов на базе университетов.</w:t>
      </w:r>
    </w:p>
    <w:p w:rsidR="00000000" w:rsidRDefault="00000000">
      <w:pPr>
        <w:pStyle w:val="BodyText"/>
      </w:pPr>
      <w:r>
        <w:rPr>
          <w:color w:val="000000"/>
        </w:rPr>
        <w:t>202.</w:t>
      </w:r>
      <w:r>
        <w:rPr>
          <w:color w:val="000000"/>
        </w:rPr>
        <w:tab/>
      </w:r>
      <w:r>
        <w:rPr>
          <w:i/>
          <w:color w:val="000000"/>
        </w:rPr>
        <w:t>Исследовательский центр по проблемам женщин</w:t>
      </w:r>
      <w:r>
        <w:rPr>
          <w:color w:val="000000"/>
        </w:rPr>
        <w:t>, созданный при Федерации кубинских женщин, проводит и популяризирует исследования в области гендерного равенства, а также в других областях с позиций гендерной проблематики, ведет методическую координацию кафедральных программ и совместно с Министерством высшего образования осуществляет внедрение гендерного подхода в высшее образование. За отчетный период были проведены семинары-практикумы на национальном уровне и международный семинар с участием представителей кафедр, программ и исследовательских центров по проблемам женщин, в ходе которых речь шла об успехах, проблемах и перспективах внедрения гендерного подхода.</w:t>
      </w:r>
    </w:p>
    <w:p w:rsidR="00000000" w:rsidRDefault="00000000">
      <w:pPr>
        <w:pStyle w:val="BodyText"/>
      </w:pPr>
      <w:r>
        <w:t>203.</w:t>
      </w:r>
      <w:r>
        <w:tab/>
        <w:t xml:space="preserve">Необходимо отметить успешную совместную деятельность Исследовательского центра и Министерства просвещения: были разработаны требования к профессиональной подготовке преподавателей, и в их число удалось включить три положения, определяющие нормы подготовки будущих специалистов и направленные на искоренение гендерного неравноправия в образовании. Кроме того, был разработан сценарий телевизионной передачи, и представители Центра и Министерства участвовали в подготовке самой этой передачи, направленной на повышение профессионализма учителей начальных школ. Кроме того, в помощь учителям начальной школы были изданы газета и сборник лекций по гендерным проблемам. </w:t>
      </w:r>
    </w:p>
    <w:p w:rsidR="00000000" w:rsidRDefault="00000000">
      <w:pPr>
        <w:pStyle w:val="BodyText"/>
      </w:pPr>
      <w:r>
        <w:t>204.</w:t>
      </w:r>
      <w:r>
        <w:tab/>
        <w:t>Во всех муниципальных центрах страны действуют созданные ФКЖ консультационные центры для женщин и семей, которые совместно с вышеупомянутыми кафедрами ведут как на индивидуальном, так и на коллективном уровне работу с женщинами, семьями и общинами, исходя при этом из данных изучения их интересов и потребностей.</w:t>
      </w:r>
    </w:p>
    <w:p w:rsidR="00000000" w:rsidRDefault="00000000">
      <w:pPr>
        <w:pStyle w:val="BodyText"/>
      </w:pPr>
      <w:r>
        <w:t>205.</w:t>
      </w:r>
      <w:r>
        <w:tab/>
        <w:t xml:space="preserve">Всегда, независимо от своего конкретного содержания, большой интерес вызывают проводимые в этих центрах курсы по вопросам равенства. </w:t>
      </w:r>
    </w:p>
    <w:p w:rsidR="00000000" w:rsidRDefault="00000000">
      <w:pPr>
        <w:pStyle w:val="BodyText"/>
      </w:pPr>
      <w:r>
        <w:rPr>
          <w:color w:val="000000"/>
        </w:rPr>
        <w:t>206.</w:t>
      </w:r>
      <w:r>
        <w:rPr>
          <w:color w:val="000000"/>
        </w:rPr>
        <w:tab/>
        <w:t>В процессе непрерывного совершенствования национальной системы образования было, в частности, признано необходимым включать в ее программы различные аспекты полового воспитания; с первых лет учебы в ходе изучения природы и организма человека затрагиваются биологические и социально-этические аспекты этого вопроса.</w:t>
      </w:r>
    </w:p>
    <w:p w:rsidR="00000000" w:rsidRDefault="00000000">
      <w:pPr>
        <w:pStyle w:val="BodyText"/>
      </w:pPr>
      <w:r>
        <w:rPr>
          <w:color w:val="000000"/>
        </w:rPr>
        <w:t>207.</w:t>
      </w:r>
      <w:r>
        <w:rPr>
          <w:color w:val="000000"/>
        </w:rPr>
        <w:tab/>
        <w:t>В 1977 году была создана Национальная рабочая группа по вопросам полового воспитания, преобраз</w:t>
      </w:r>
      <w:r>
        <w:rPr>
          <w:color w:val="000000"/>
        </w:rPr>
        <w:t>о</w:t>
      </w:r>
      <w:r>
        <w:rPr>
          <w:color w:val="000000"/>
        </w:rPr>
        <w:t>ванная в 1989 году в Национальный центр по вопросам полового воспитания. В этом Центре работают представители министерств здравоохранения и просвещения, молодежных организаций и Федер</w:t>
      </w:r>
      <w:r>
        <w:rPr>
          <w:color w:val="000000"/>
        </w:rPr>
        <w:t>а</w:t>
      </w:r>
      <w:r>
        <w:rPr>
          <w:color w:val="000000"/>
        </w:rPr>
        <w:t>ции кубинских женщин. Кроме того, Центр поддерживает тесные рабочие контакты с Министе</w:t>
      </w:r>
      <w:r>
        <w:rPr>
          <w:color w:val="000000"/>
        </w:rPr>
        <w:t>р</w:t>
      </w:r>
      <w:r>
        <w:rPr>
          <w:color w:val="000000"/>
        </w:rPr>
        <w:t>ством культуры, Министерством высшего образования и другими ведомствами.</w:t>
      </w:r>
    </w:p>
    <w:p w:rsidR="00000000" w:rsidRDefault="00000000">
      <w:pPr>
        <w:pStyle w:val="BodyText"/>
      </w:pPr>
      <w:r>
        <w:rPr>
          <w:color w:val="000000"/>
        </w:rPr>
        <w:t>208.</w:t>
      </w:r>
      <w:r>
        <w:rPr>
          <w:color w:val="000000"/>
        </w:rPr>
        <w:tab/>
        <w:t xml:space="preserve">Активно работает </w:t>
      </w:r>
      <w:r>
        <w:rPr>
          <w:i/>
          <w:color w:val="000000"/>
        </w:rPr>
        <w:t>Постоянная комиссия Национальной ассамблеи народной власти по вопросам детства, юношества и равноправия женщин</w:t>
      </w:r>
      <w:r>
        <w:rPr>
          <w:color w:val="000000"/>
        </w:rPr>
        <w:t>, вносящая, помимо прочего, законодательные предложения, а также предложения о поправках к действующему законодательству.</w:t>
      </w:r>
    </w:p>
    <w:p w:rsidR="00000000" w:rsidRDefault="00000000">
      <w:pPr>
        <w:pStyle w:val="BodyText"/>
      </w:pPr>
      <w:r>
        <w:rPr>
          <w:color w:val="000000"/>
        </w:rPr>
        <w:t>209.</w:t>
      </w:r>
      <w:r>
        <w:rPr>
          <w:color w:val="000000"/>
        </w:rPr>
        <w:tab/>
        <w:t>В ходе выполнения совместной программы Министерства науки, технологии и охраны окружающей среды, Министерства просвещения и ФКЖ была выделена в качестве основной задача углубленного изучения проблем семьи и равенства с целью расширения базы для ведения, продолжения и поддержания на должном уровне работы, направленной на укрепление семьи как основной ячейки нашего общества.</w:t>
      </w:r>
    </w:p>
    <w:p w:rsidR="00000000" w:rsidRDefault="00000000">
      <w:pPr>
        <w:pStyle w:val="BodyText"/>
      </w:pPr>
      <w:r>
        <w:rPr>
          <w:color w:val="000000"/>
        </w:rPr>
        <w:t>210.</w:t>
      </w:r>
      <w:r>
        <w:rPr>
          <w:color w:val="000000"/>
        </w:rPr>
        <w:tab/>
        <w:t xml:space="preserve">Создана </w:t>
      </w:r>
      <w:r>
        <w:rPr>
          <w:i/>
          <w:color w:val="000000"/>
        </w:rPr>
        <w:t>Группа изучения проблем семьи</w:t>
      </w:r>
      <w:r>
        <w:rPr>
          <w:color w:val="000000"/>
        </w:rPr>
        <w:t>, деятельностью которой руководит Федерация кубинских женщин при участии Молодежного центра, Национального центра по вопросам полового воспитания, Комиссии по вопросам социальной защиты и предупреждения дискриминации, Центра социально-психологических исследований Министерства науки, Министерства юстиции, факультета психологии Гаванского университета и Министерства просвещения.</w:t>
      </w:r>
    </w:p>
    <w:p w:rsidR="00000000" w:rsidRDefault="00000000">
      <w:pPr>
        <w:pStyle w:val="BodyText"/>
      </w:pPr>
      <w:r>
        <w:rPr>
          <w:color w:val="000000"/>
        </w:rPr>
        <w:t>211.</w:t>
      </w:r>
      <w:r>
        <w:rPr>
          <w:color w:val="000000"/>
        </w:rPr>
        <w:tab/>
        <w:t>Все эти ведомства и организации ведут постоянную и систематическую деятельность по преодолению стереотипов, культурных, идеологических и психологических барьеров, существующих не только в масштабах всего общества, но и в рамках отдельной семьи, где также необходимо переосмысление социальных ролей. Ведется работа по формированию у каждого члена семьи понимания необходимости совместного ведения домашнего хозяйства, и это является основным н</w:t>
      </w:r>
      <w:r>
        <w:rPr>
          <w:color w:val="000000"/>
        </w:rPr>
        <w:t>а</w:t>
      </w:r>
      <w:r>
        <w:rPr>
          <w:color w:val="000000"/>
        </w:rPr>
        <w:t>правлением воспитательной деятельности. Основу всей этой работы составляет признание того, что гендерное равенство в полной мере достигается только в том случае, если этого принципа будет придерживаться каждая семья.</w:t>
      </w:r>
      <w:r>
        <w:t xml:space="preserve"> </w:t>
      </w:r>
    </w:p>
    <w:p w:rsidR="00000000" w:rsidRDefault="00000000">
      <w:pPr>
        <w:pStyle w:val="BodyText"/>
      </w:pPr>
    </w:p>
    <w:p w:rsidR="00000000" w:rsidRDefault="00000000">
      <w:pPr>
        <w:pStyle w:val="BodyText"/>
        <w:jc w:val="center"/>
        <w:rPr>
          <w:b/>
          <w:u w:val="single"/>
        </w:rPr>
      </w:pPr>
      <w:r>
        <w:rPr>
          <w:b/>
        </w:rPr>
        <w:t>СТАТЬЯ 6</w:t>
      </w:r>
    </w:p>
    <w:p w:rsidR="00000000" w:rsidRDefault="00000000">
      <w:pPr>
        <w:pStyle w:val="BodyText"/>
        <w:ind w:left="0" w:firstLine="0"/>
      </w:pPr>
      <w: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BodyText"/>
      </w:pPr>
      <w:r>
        <w:rPr>
          <w:color w:val="000000"/>
        </w:rPr>
        <w:t>212.</w:t>
      </w:r>
      <w:r>
        <w:rPr>
          <w:color w:val="000000"/>
        </w:rPr>
        <w:tab/>
        <w:t>До 1959 года каждое из сменяющих друг друга правительств тогдашней неоколониальной республики терпело и даже поощряло проституцию, несмотря на подписание международных соглашений о запрещении торговли женщинами и эксплуатации проституции женщин. Здесь следует учитывать особое пол</w:t>
      </w:r>
      <w:r>
        <w:rPr>
          <w:color w:val="000000"/>
        </w:rPr>
        <w:t>о</w:t>
      </w:r>
      <w:r>
        <w:rPr>
          <w:color w:val="000000"/>
        </w:rPr>
        <w:t>жение несчастных женщин, вынужденных заниматься проституцией, так как в те времена для большинства из них это был единственный способ выживания в стране, в которой царили недоедание, безработица и неграмотность населения и где 70 процентов женщин из тех немногих, что считались занятыми (12 процентов от общего числа), работали в качестве домашней прислуги.</w:t>
      </w:r>
    </w:p>
    <w:p w:rsidR="00000000" w:rsidRDefault="00000000">
      <w:pPr>
        <w:pStyle w:val="BodyText"/>
      </w:pPr>
      <w:r>
        <w:rPr>
          <w:color w:val="000000"/>
        </w:rPr>
        <w:t>213.</w:t>
      </w:r>
      <w:r>
        <w:rPr>
          <w:color w:val="000000"/>
        </w:rPr>
        <w:tab/>
        <w:t xml:space="preserve">С победой Революции исчезли экономические и социальные условия, породившие это явление и благоприятствовавшие ему, и были заложены основы для скорейшего перевоспитания и социальной реабилитации данной категории женщин – процесса, осуществленного с 1960 по 1965 год правительством Кубы при активном участии Федерации кубинских женщин. </w:t>
      </w:r>
    </w:p>
    <w:p w:rsidR="00000000" w:rsidRDefault="00000000">
      <w:pPr>
        <w:pStyle w:val="BodyText"/>
      </w:pPr>
      <w:r>
        <w:rPr>
          <w:color w:val="000000"/>
        </w:rPr>
        <w:t>214.</w:t>
      </w:r>
      <w:r>
        <w:rPr>
          <w:color w:val="000000"/>
        </w:rPr>
        <w:tab/>
        <w:t>Для этих женщин были созданы школы и профессионал</w:t>
      </w:r>
      <w:r>
        <w:rPr>
          <w:color w:val="000000"/>
        </w:rPr>
        <w:t>ь</w:t>
      </w:r>
      <w:r>
        <w:rPr>
          <w:color w:val="000000"/>
        </w:rPr>
        <w:t>ные училища, что позволило им в дальнейшем активно участвовать в жизни стр</w:t>
      </w:r>
      <w:r>
        <w:rPr>
          <w:color w:val="000000"/>
        </w:rPr>
        <w:t>а</w:t>
      </w:r>
      <w:r>
        <w:rPr>
          <w:color w:val="000000"/>
        </w:rPr>
        <w:t>ны, работая по разным специальностям. Все это позволило покончить с проституцией как с организованным социальным явлением.</w:t>
      </w:r>
    </w:p>
    <w:p w:rsidR="00000000" w:rsidRDefault="00000000">
      <w:pPr>
        <w:pStyle w:val="BodyText"/>
      </w:pPr>
      <w:r>
        <w:rPr>
          <w:color w:val="000000"/>
        </w:rPr>
        <w:t>215.</w:t>
      </w:r>
      <w:r>
        <w:rPr>
          <w:color w:val="000000"/>
        </w:rPr>
        <w:tab/>
        <w:t xml:space="preserve">К сожалению, в 1990-е годы в силу различных причин проституция вновь появилась в стране, уже с новой мотивацией и новыми характерными чертами. Теперь это явление тесно связано с бурным развитием иностранного туризма и его негативными сторонами. </w:t>
      </w:r>
    </w:p>
    <w:p w:rsidR="00000000" w:rsidRDefault="00000000">
      <w:pPr>
        <w:pStyle w:val="BodyText"/>
      </w:pPr>
      <w:r>
        <w:rPr>
          <w:color w:val="000000"/>
        </w:rPr>
        <w:t>216.</w:t>
      </w:r>
      <w:r>
        <w:rPr>
          <w:color w:val="000000"/>
        </w:rPr>
        <w:tab/>
        <w:t>Проституция на Кубе, не будучи широко распространенным социальным явлением и концентрируясь главным образом в центрах туризма, стала, тем не менее, объектом пристального внимания со стороны кубинского правительства и неправительственных организаций, которые ведут серьезную работу по установлению причин этого явления, поиску путей его искоренения и совершенствованию методов работы, позволяющих противостоять этому явлению и вести с ним борьбу.</w:t>
      </w:r>
    </w:p>
    <w:p w:rsidR="00000000" w:rsidRDefault="00000000">
      <w:pPr>
        <w:pStyle w:val="BodyText"/>
      </w:pPr>
      <w:r>
        <w:rPr>
          <w:color w:val="000000"/>
        </w:rPr>
        <w:t>217.</w:t>
      </w:r>
      <w:r>
        <w:rPr>
          <w:color w:val="000000"/>
        </w:rPr>
        <w:tab/>
        <w:t>В настоящее время, в период серьезных экономических трудностей, проституцией занимаются люди с недост</w:t>
      </w:r>
      <w:r>
        <w:rPr>
          <w:color w:val="000000"/>
        </w:rPr>
        <w:t>а</w:t>
      </w:r>
      <w:r>
        <w:rPr>
          <w:color w:val="000000"/>
        </w:rPr>
        <w:t>точно развитыми морально-этическими ценностями, заинтересованные в приобретении матер</w:t>
      </w:r>
      <w:r>
        <w:rPr>
          <w:color w:val="000000"/>
        </w:rPr>
        <w:t>и</w:t>
      </w:r>
      <w:r>
        <w:rPr>
          <w:color w:val="000000"/>
        </w:rPr>
        <w:t>альных благ и услуг, доступных только в обмен на свободно конвертируемую валюту.</w:t>
      </w:r>
    </w:p>
    <w:p w:rsidR="00000000" w:rsidRDefault="00000000">
      <w:pPr>
        <w:pStyle w:val="BodyText"/>
      </w:pPr>
      <w:r>
        <w:rPr>
          <w:color w:val="000000"/>
        </w:rPr>
        <w:t>218.</w:t>
      </w:r>
      <w:r>
        <w:rPr>
          <w:color w:val="000000"/>
        </w:rPr>
        <w:tab/>
        <w:t>Хлынувший в страну масштабный и постоянно растущий поток туристов, чреватый многими рисками, недостаточный опыт противостояния этим рискам, серьезные материальные трудности и лишения, а также немалое число семей, в которых уровень сознательности и ценностные ориентации изменяются не так быстро, как ожидалось, и не соответствуют темпам экономических, политических и социальных перемен в стране и которые поэтому не обеспечивают должного воспитания своих детей, – все это, в ряду прочих причин, привело к возрождению проституции.</w:t>
      </w:r>
    </w:p>
    <w:p w:rsidR="00000000" w:rsidRDefault="00000000">
      <w:pPr>
        <w:pStyle w:val="BodyText"/>
      </w:pPr>
      <w:r>
        <w:rPr>
          <w:color w:val="000000"/>
        </w:rPr>
        <w:t>219.</w:t>
      </w:r>
      <w:r>
        <w:rPr>
          <w:color w:val="000000"/>
        </w:rPr>
        <w:tab/>
        <w:t>Сегодняшние проститутки – это в большинстве своем представители молодого поколения, достаточно образованные, как и большинство населения страны, и имеющие хорошее здоровье, что также характерно для страны в целом. Эти люди, которые пользуются гарантированными правами и имеют все необходимое для жизни, но которые, тем не менее, решили заниматься проституцией, плохо поддаются перевоспитанию.</w:t>
      </w:r>
    </w:p>
    <w:p w:rsidR="00000000" w:rsidRDefault="00000000">
      <w:pPr>
        <w:pStyle w:val="BodyText"/>
      </w:pPr>
      <w:r>
        <w:rPr>
          <w:color w:val="000000"/>
        </w:rPr>
        <w:t>220.</w:t>
      </w:r>
      <w:r>
        <w:rPr>
          <w:color w:val="000000"/>
        </w:rPr>
        <w:tab/>
        <w:t>Кубинское правительство занимает четкую позицию нетерпимости в отношении проституции. Наша основная цель – предупреждать проституцию, бороться с ее причинами и проявлениями и создавать возможности для перевоспитания проституток путем комплексной работы по ориентации, убеждению, воспитанию, разъяснению и профилактике, проводимой дифференцированно в отношении групп молодежи и каждого молодого человека в отдельности. В ходе этой упорной работы по предупреждению и искоренению проституции учитывается, что в эту деятельность помимо самой проститутки вовлечены также ее сутенеры и клиенты.</w:t>
      </w:r>
    </w:p>
    <w:p w:rsidR="00000000" w:rsidRDefault="00000000">
      <w:pPr>
        <w:pStyle w:val="BodyText"/>
      </w:pPr>
      <w:r>
        <w:rPr>
          <w:color w:val="000000"/>
        </w:rPr>
        <w:t>221.</w:t>
      </w:r>
      <w:r>
        <w:rPr>
          <w:color w:val="000000"/>
        </w:rPr>
        <w:tab/>
        <w:t>В настойчивом стремлении кубинского общества искоренить проституцию необходимо отметить последов</w:t>
      </w:r>
      <w:r>
        <w:rPr>
          <w:color w:val="000000"/>
        </w:rPr>
        <w:t>а</w:t>
      </w:r>
      <w:r>
        <w:rPr>
          <w:color w:val="000000"/>
        </w:rPr>
        <w:t>тельную деятельность следующих организаций:</w:t>
      </w:r>
    </w:p>
    <w:p w:rsidR="00000000" w:rsidRDefault="00000000">
      <w:pPr>
        <w:pStyle w:val="BodyText"/>
        <w:ind w:left="0" w:firstLine="0"/>
        <w:rPr>
          <w:color w:val="000000"/>
        </w:rPr>
      </w:pPr>
      <w:r>
        <w:rPr>
          <w:color w:val="000000"/>
        </w:rPr>
        <w:t>1</w:t>
      </w:r>
      <w:r>
        <w:rPr>
          <w:color w:val="000000"/>
          <w:lang w:val="en-US"/>
        </w:rPr>
        <w:t>.</w:t>
      </w:r>
      <w:r>
        <w:rPr>
          <w:color w:val="000000"/>
        </w:rPr>
        <w:tab/>
        <w:t>Комиссия по вопросам социальной защиты и предупреждению ди</w:t>
      </w:r>
      <w:r>
        <w:rPr>
          <w:color w:val="000000"/>
        </w:rPr>
        <w:t>с</w:t>
      </w:r>
      <w:r>
        <w:rPr>
          <w:color w:val="000000"/>
        </w:rPr>
        <w:t>криминации, созданная в 1986 году, членами которой являются представители государственных учреждений Кубы (м</w:t>
      </w:r>
      <w:r>
        <w:rPr>
          <w:color w:val="000000"/>
        </w:rPr>
        <w:t>и</w:t>
      </w:r>
      <w:r>
        <w:rPr>
          <w:color w:val="000000"/>
        </w:rPr>
        <w:t>нистерств просвещения, здравоохранения, труда, внутренних дел и т. д.), а также политических и массовых организаций. Комиссия осуществляет свою деятельность на общенациональном, пр</w:t>
      </w:r>
      <w:r>
        <w:rPr>
          <w:color w:val="000000"/>
        </w:rPr>
        <w:t>о</w:t>
      </w:r>
      <w:r>
        <w:rPr>
          <w:color w:val="000000"/>
        </w:rPr>
        <w:t>винциальном и муниципальном уровнях.</w:t>
      </w:r>
    </w:p>
    <w:p w:rsidR="00000000" w:rsidRDefault="00000000">
      <w:pPr>
        <w:pStyle w:val="BodyText"/>
        <w:ind w:left="0" w:firstLine="0"/>
      </w:pPr>
      <w:r>
        <w:rPr>
          <w:color w:val="000000"/>
        </w:rPr>
        <w:t>2</w:t>
      </w:r>
      <w:r>
        <w:rPr>
          <w:color w:val="000000"/>
          <w:lang w:val="en-US"/>
        </w:rPr>
        <w:t>.</w:t>
      </w:r>
      <w:r>
        <w:rPr>
          <w:color w:val="000000"/>
        </w:rPr>
        <w:tab/>
        <w:t>Федерация кубинских женщин (ФКЖ), ведущая систематическую работу с каждой из зарегистрированных проституток, что представляется возможным только в политически и социально развитом обществе, где имеется женская организация с особой структурой, охватывающей каждый квартал, каждую общину, каждый населенный пункт.</w:t>
      </w:r>
    </w:p>
    <w:p w:rsidR="00000000" w:rsidRDefault="00000000">
      <w:pPr>
        <w:pStyle w:val="BodyText"/>
      </w:pPr>
      <w:r>
        <w:rPr>
          <w:color w:val="000000"/>
        </w:rPr>
        <w:t>222.</w:t>
      </w:r>
      <w:r>
        <w:rPr>
          <w:color w:val="000000"/>
        </w:rPr>
        <w:tab/>
        <w:t>Деятельность ФКЖ, которую осуществляют руководители местных организаций, активистки-добровольцы и социальные работники, ведется не только в отношении самих проституток, но и их семей и того социального окружения, в котором они живут, что усиливает положительное воздействие воспитательной работы с ними.</w:t>
      </w:r>
    </w:p>
    <w:p w:rsidR="00000000" w:rsidRDefault="00000000">
      <w:pPr>
        <w:pStyle w:val="BodyText"/>
      </w:pPr>
      <w:r>
        <w:rPr>
          <w:color w:val="000000"/>
        </w:rPr>
        <w:t>223.</w:t>
      </w:r>
      <w:r>
        <w:rPr>
          <w:color w:val="000000"/>
        </w:rPr>
        <w:tab/>
        <w:t>Результатом проводимых мероприятий стал отказ некоторых из этих женщин от занятий проституцией и даже поступление их на работу и учебу – на дневные или вечерние курсы.</w:t>
      </w:r>
    </w:p>
    <w:p w:rsidR="00000000" w:rsidRDefault="00000000">
      <w:pPr>
        <w:pStyle w:val="BodyText"/>
      </w:pPr>
      <w:r>
        <w:rPr>
          <w:color w:val="000000"/>
        </w:rPr>
        <w:t>224.</w:t>
      </w:r>
      <w:r>
        <w:rPr>
          <w:color w:val="000000"/>
        </w:rPr>
        <w:tab/>
        <w:t>Еще одним направлением деятельности, осуществляемой Федерацией, является профессиональная подготовка руководителей и работников сферы туризма в ходе методических семинаров, а также руководителей и активистов женских организаций и специалистов в разных областях, которые, пройдя обучение на этих семинарах, становятся сотрудниками консультационных центров для женщин и семей.</w:t>
      </w:r>
    </w:p>
    <w:p w:rsidR="00000000" w:rsidRDefault="00000000">
      <w:pPr>
        <w:pStyle w:val="BodyText"/>
      </w:pPr>
      <w:r>
        <w:rPr>
          <w:color w:val="000000"/>
        </w:rPr>
        <w:t>225.</w:t>
      </w:r>
      <w:r>
        <w:rPr>
          <w:color w:val="000000"/>
        </w:rPr>
        <w:tab/>
        <w:t>Кроме того, в течение последнего года проводились беседы с работниками ночных развлекательных центров по всей стране и с владельцами частных домов, сдающими их в аренду, с целью усиления мер, направленных на профилактику и искоренение проституции, сутенерства и наркомании, которые иногда там встречаются.</w:t>
      </w:r>
    </w:p>
    <w:p w:rsidR="00000000" w:rsidRDefault="00000000">
      <w:pPr>
        <w:pStyle w:val="BodyText"/>
      </w:pPr>
      <w:r>
        <w:t>226.</w:t>
      </w:r>
      <w:r>
        <w:tab/>
        <w:t xml:space="preserve">Совместно с Министерством просвещения проводится работа со школьниками и членами их семей, направленная на укрепление позитивных ценностей, а также на противостояние </w:t>
      </w:r>
      <w:r>
        <w:rPr>
          <w:color w:val="000000"/>
        </w:rPr>
        <w:t>сутенерству и проституции. Там, где это необходимо, с учащимися ведется индивидуальная социальная работа, и для этого принимаются, в числе прочего, меры по подготовке и обучению школьных учителей.</w:t>
      </w:r>
    </w:p>
    <w:p w:rsidR="00000000" w:rsidRDefault="00000000">
      <w:pPr>
        <w:pStyle w:val="BodyText"/>
      </w:pPr>
      <w:r>
        <w:t>227.</w:t>
      </w:r>
      <w:r>
        <w:tab/>
        <w:t xml:space="preserve">ФКЖ готовит материалы для обсуждения в общинах с участием семей. Одновременно проводятся консультации с участием женщин – добровольных руководителей первичных организаций, направленные на укрепление проводимой ими работы по профилактике и оказанию социального содействия. </w:t>
      </w:r>
    </w:p>
    <w:p w:rsidR="00000000" w:rsidRDefault="00000000">
      <w:pPr>
        <w:pStyle w:val="BodyText"/>
      </w:pPr>
      <w:r>
        <w:rPr>
          <w:color w:val="000000"/>
        </w:rPr>
        <w:t>228.</w:t>
      </w:r>
      <w:r>
        <w:rPr>
          <w:color w:val="000000"/>
        </w:rPr>
        <w:tab/>
        <w:t>Для осуществления дифференцированного подхода в работе с женщинами, занимающимися проституцией, Федерация кубинских женщин ведет важную работу по их классификации по социально-экономическим признакам. Цель этой работы – создать предпосылки для дифференцированной работы с каждой из этих женщин и в целом –  для проведения анализа и принятия решений в отношении мер, соответствующих происходящим изменениям. Раз в полгода проводятся оценки их индивидуальной эволюции.</w:t>
      </w:r>
    </w:p>
    <w:p w:rsidR="00000000" w:rsidRDefault="00000000">
      <w:pPr>
        <w:pStyle w:val="BodyText"/>
      </w:pPr>
      <w:r>
        <w:rPr>
          <w:color w:val="000000"/>
        </w:rPr>
        <w:t>229.</w:t>
      </w:r>
      <w:r>
        <w:rPr>
          <w:color w:val="000000"/>
        </w:rPr>
        <w:tab/>
        <w:t>Было осуществлено исследование относительно образа женщины в рекламе, рассчитанной на иностранных туристов. Было выявлено достаточно частое использование изображения женщины как эротического объекта, и это послужило научным обоснованием для работы по искоренению данного явления.</w:t>
      </w:r>
    </w:p>
    <w:p w:rsidR="00000000" w:rsidRDefault="00000000">
      <w:pPr>
        <w:pStyle w:val="BodyText"/>
      </w:pPr>
      <w:r>
        <w:rPr>
          <w:color w:val="000000"/>
        </w:rPr>
        <w:t>230.</w:t>
      </w:r>
      <w:r>
        <w:rPr>
          <w:color w:val="000000"/>
        </w:rPr>
        <w:tab/>
        <w:t>В ходе изучения кубинского законодательства также возникли серьезные аргументы в пользу включения в Уголовный кодекс статей об ответственности за сутенерство и торговлю людьми.</w:t>
      </w:r>
    </w:p>
    <w:p w:rsidR="00000000" w:rsidRDefault="00000000">
      <w:pPr>
        <w:pStyle w:val="BodyText"/>
      </w:pPr>
      <w:r>
        <w:rPr>
          <w:color w:val="000000"/>
        </w:rPr>
        <w:t>231.</w:t>
      </w:r>
      <w:r>
        <w:rPr>
          <w:color w:val="000000"/>
        </w:rPr>
        <w:tab/>
        <w:t>Национальный центр по вопросам полового воспитания провел важную работу, с привлечением в качестве аргументов данных научных исследований, по разъяснению опасных последствий и рисков занятия проституцией и другими сопутствующими ей видами деятельности.</w:t>
      </w:r>
    </w:p>
    <w:p w:rsidR="00000000" w:rsidRDefault="00000000">
      <w:pPr>
        <w:pStyle w:val="BodyText"/>
      </w:pPr>
      <w:r>
        <w:t>232.</w:t>
      </w:r>
      <w:r>
        <w:tab/>
        <w:t xml:space="preserve">Проведены </w:t>
      </w:r>
      <w:r>
        <w:rPr>
          <w:color w:val="000000"/>
        </w:rPr>
        <w:t>обучение и подготовка руководящего и административного состава и обслуживающего персонала туристских центров, имеющие целью усилить контроль с их стороны для предотвр</w:t>
      </w:r>
      <w:r>
        <w:rPr>
          <w:color w:val="000000"/>
        </w:rPr>
        <w:t>а</w:t>
      </w:r>
      <w:r>
        <w:rPr>
          <w:color w:val="000000"/>
        </w:rPr>
        <w:t>щения проституции в местах, посещаемых туристами.</w:t>
      </w:r>
    </w:p>
    <w:p w:rsidR="00000000" w:rsidRDefault="00000000">
      <w:pPr>
        <w:pStyle w:val="BodyText"/>
      </w:pPr>
      <w:r>
        <w:rPr>
          <w:color w:val="000000"/>
        </w:rPr>
        <w:t>233.</w:t>
      </w:r>
      <w:r>
        <w:rPr>
          <w:color w:val="000000"/>
        </w:rPr>
        <w:tab/>
        <w:t xml:space="preserve">Помимо этого, организации и учреждения, занимающиеся рекламой индустрии туризма, не должны использовать или допускать использование изображения женщины как сексуального объекта в какой бы то ни было связи с туризмом. </w:t>
      </w:r>
    </w:p>
    <w:p w:rsidR="00000000" w:rsidRDefault="00000000">
      <w:pPr>
        <w:pStyle w:val="BodyText"/>
      </w:pPr>
      <w:r>
        <w:rPr>
          <w:color w:val="000000"/>
        </w:rPr>
        <w:t>234.</w:t>
      </w:r>
      <w:r>
        <w:rPr>
          <w:color w:val="000000"/>
        </w:rPr>
        <w:tab/>
        <w:t>Несмотря на проводимую с проститутками работу по разъяснению, предупреждению и убеждению, некоторые из них оказываются втянутыми в преступную деятельность, связанную с проституцией, что требует применения к ним судебных санкций. Речь идет о кражах, вымогательстве и торговле наркотиками.</w:t>
      </w:r>
    </w:p>
    <w:p w:rsidR="00000000" w:rsidRDefault="00000000">
      <w:pPr>
        <w:pStyle w:val="BodyText"/>
      </w:pPr>
      <w:r>
        <w:t>235.</w:t>
      </w:r>
      <w:r>
        <w:tab/>
        <w:t>Уголовное законодательство Кубы предусматривает также судебное преследование лиц, чье социальное поведение представляет прямую угрозу для общества. Такое преследование имеет целью прежде всего профилактику и перевоспитание и возбуждается в отношении женщин, ведущих антисоциальный образ жизни и при этом занимающихся проституцией.</w:t>
      </w:r>
    </w:p>
    <w:p w:rsidR="00000000" w:rsidRDefault="00000000">
      <w:pPr>
        <w:pStyle w:val="BodyText"/>
      </w:pPr>
      <w:r>
        <w:t>236.</w:t>
      </w:r>
      <w:r>
        <w:tab/>
        <w:t xml:space="preserve">В отношении подобных проституток применяются меры </w:t>
      </w:r>
      <w:r>
        <w:rPr>
          <w:i/>
        </w:rPr>
        <w:t>безопасности</w:t>
      </w:r>
      <w:r>
        <w:t xml:space="preserve">, направленные на их перевоспитание. Эти меры могут выражаться в принудительном помещении в специализированные центры, где ведется их реабилитация с применением соответствующих программ, разработанных при участии Министерства культуры, Института спорта и физической культуры, Министерства просвещения, комиссий по профилактике и оказанию социальной помощи, Министерства труда и социального обеспечения и Министерства здравоохранения. </w:t>
      </w:r>
    </w:p>
    <w:p w:rsidR="00000000" w:rsidRDefault="00000000">
      <w:pPr>
        <w:pStyle w:val="BodyText"/>
        <w:rPr>
          <w:i/>
        </w:rPr>
      </w:pPr>
      <w:r>
        <w:t>237.</w:t>
      </w:r>
      <w:r>
        <w:tab/>
        <w:t>Кроме того, в отношении этих женщин может применяться такая мера, как направление их в учебные или трудовые центры. При этом они не покидают свою семью и социальную среду. Еще одна мера – контроль над их поведением со стороны судей и других должностных лиц, что может иметь положительные последствия для этих женщин. Эти меры применяются с соблюдением всех предусмотренных законом гарантий, например права на юридическую помощь адвоката и права представлять свидетельства в свою пользу. Подобные дела рассматриваются на слушаниях перед судебной коллегией; в слушаниях участвуют женщина, обвиняемая в антисоциальном поведении, и ее адвокат.</w:t>
      </w:r>
    </w:p>
    <w:p w:rsidR="00000000" w:rsidRDefault="00000000">
      <w:pPr>
        <w:pStyle w:val="BodyText"/>
      </w:pPr>
      <w:r>
        <w:t>238.</w:t>
      </w:r>
      <w:r>
        <w:tab/>
        <w:t>Женщины, в отношении которых были приняты какие-либо из мер, перечисленных выше, находятся под контролем и надзором со стороны как специализированных отделов полиции и сотрудников судебных органов, так и общественных организаций, занимающихся вопросами профилактики. При этом ставится цель реабилитации этих женщин, и такая система обеспечивает крайне низкий уровень рецидивов в практике занятия проституцией.</w:t>
      </w:r>
    </w:p>
    <w:p w:rsidR="00000000" w:rsidRDefault="00000000">
      <w:pPr>
        <w:pStyle w:val="BodyText"/>
        <w:spacing w:after="0"/>
      </w:pPr>
    </w:p>
    <w:p w:rsidR="00000000" w:rsidRDefault="00000000">
      <w:pPr>
        <w:pStyle w:val="BodyText"/>
      </w:pPr>
      <w:r>
        <w:rPr>
          <w:i/>
        </w:rPr>
        <w:t>Сутенерство и проституция</w:t>
      </w:r>
    </w:p>
    <w:p w:rsidR="00000000" w:rsidRDefault="00000000">
      <w:pPr>
        <w:pStyle w:val="BodyText"/>
      </w:pPr>
      <w:r>
        <w:t>239.</w:t>
      </w:r>
      <w:r>
        <w:tab/>
        <w:t>В главе I "</w:t>
      </w:r>
      <w:r>
        <w:rPr>
          <w:color w:val="000000"/>
        </w:rPr>
        <w:t>Пр</w:t>
      </w:r>
      <w:r>
        <w:rPr>
          <w:color w:val="000000"/>
        </w:rPr>
        <w:t>е</w:t>
      </w:r>
      <w:r>
        <w:rPr>
          <w:color w:val="000000"/>
        </w:rPr>
        <w:t>ступления против нормального развития гендерных отношений" раздела XI "Пр</w:t>
      </w:r>
      <w:r>
        <w:rPr>
          <w:color w:val="000000"/>
        </w:rPr>
        <w:t>е</w:t>
      </w:r>
      <w:r>
        <w:rPr>
          <w:color w:val="000000"/>
        </w:rPr>
        <w:t>ступления против нормального развития гендерных отношений, против семьи, детства и юн</w:t>
      </w:r>
      <w:r>
        <w:rPr>
          <w:color w:val="000000"/>
        </w:rPr>
        <w:t>о</w:t>
      </w:r>
      <w:r>
        <w:rPr>
          <w:color w:val="000000"/>
        </w:rPr>
        <w:t>шества" Уголовного кодекса с поправками, внесенными Декретом-законом № 175 1997 года, предусматривается наказание за сутенерство и торговлю людьми (статья 302) в виде лишения свободы на срок от 4 до 30 лет.</w:t>
      </w:r>
    </w:p>
    <w:p w:rsidR="00000000" w:rsidRDefault="00000000">
      <w:pPr>
        <w:pStyle w:val="BodyText"/>
      </w:pPr>
      <w:r>
        <w:t>240.</w:t>
      </w:r>
      <w:r>
        <w:tab/>
        <w:t>Этот вид преступления был предусмотрен прежним Кодексом социальной защиты, однако в принятые в 1979 году (Закон № 21) и в 1987 году (Закон № 62) первый и второй Уголовные кодексы эти понятия не были включены. Поскольку подобные тяжкие преступления совершались, возникла необходимость вновь ввести соответствующие положения в уголовное законодательство и предусмотреть за них суровые меры наказания.</w:t>
      </w:r>
    </w:p>
    <w:p w:rsidR="00000000" w:rsidRDefault="00000000">
      <w:pPr>
        <w:pStyle w:val="BodyText"/>
      </w:pPr>
      <w:r>
        <w:t>241.</w:t>
      </w:r>
      <w:r>
        <w:tab/>
        <w:t>Понятие сутенерства трактуется в нашем законодательстве широко и детально. Сутенером считается лицо, которое "принуждает другое лицо к занятиям проституцией или торговле своим телом либо тем или иным способом содействует или способствует этому", лицо, которое "непосредственно или при посредничестве третьих лиц владеет, руководит, управляет, организует деятельность или полностью или частично финансирует помещение, заведение или жилое сооружение либо их часть, где имеет место проституция или торговля телом в любых видах"; а также лицо, "которое каким-либо способом извлекает выгоду из занятия другого лица проституцией, если подобное деяние не образует состава более тяжкого преступления".</w:t>
      </w:r>
    </w:p>
    <w:p w:rsidR="00000000" w:rsidRDefault="00000000">
      <w:pPr>
        <w:pStyle w:val="BodyText"/>
      </w:pPr>
      <w:r>
        <w:t>242.</w:t>
      </w:r>
      <w:r>
        <w:tab/>
        <w:t xml:space="preserve">Следует также отметить, что мера наказания ужесточается, если обвиняемый по роду своих занятий участвует в деятельности, каким бы то ни было образом связанной со здравоохранением, поддержанием общественного правопорядка, сферой образования, туризма, работой с молодежью или борьбой с проституцией или другими формами торговли телом; если при этом он использует угрозы, шантаж, принуждение или злоупотребление властью; или если жертвой преступления является инвалид, который по каким-либо причинам находится на попечении обвиняемого. </w:t>
      </w:r>
    </w:p>
    <w:p w:rsidR="00000000" w:rsidRDefault="00000000">
      <w:pPr>
        <w:pStyle w:val="BodyText"/>
      </w:pPr>
      <w:r>
        <w:t>243.</w:t>
      </w:r>
      <w:r>
        <w:tab/>
        <w:t>Согласно данной статье, торговля людьми карается наказанием в виде лишения свободы на срок от 20 до 30 лет и определяется как побуждение или подстрекательство к въезду в страну или выезду из нее либо организация такого въезда или выезда, имеющие целью занятие въезжающих или выезжающих лиц проституцией или любой другой формой торговли собственным телом. В отношении лиц, совершивших подобное преступление, в качестве дополнительной меры наказания может также применяться конфискация имущества.</w:t>
      </w:r>
    </w:p>
    <w:p w:rsidR="00000000" w:rsidRDefault="00000000">
      <w:pPr>
        <w:pStyle w:val="BodyText"/>
      </w:pPr>
      <w:r>
        <w:t>244.</w:t>
      </w:r>
      <w:r>
        <w:tab/>
        <w:t xml:space="preserve">Если совершающие подобные преступления вовлекают в эту деятельность несовершеннолетних, это трактуется как растление малолетних, и меры наказания за такое преступление были изменены и дополнены, вплоть до применения в отношении таких преступников смертной казни, Декретом-законом № 175, а позднее – Законом № 87. В Закон № 87 по предложению Федерации кубинских женщин был введен такой состав преступления, как торговля несовершеннолетними, чтобы предотвращать и сурово карать столь отвратительные виды преступлений, хотя в нашей стране это могут быть лишь единичные случаи. </w:t>
      </w:r>
    </w:p>
    <w:p w:rsidR="00000000" w:rsidRDefault="00000000">
      <w:pPr>
        <w:pStyle w:val="BodyText"/>
        <w:spacing w:after="0"/>
      </w:pPr>
    </w:p>
    <w:p w:rsidR="00000000" w:rsidRDefault="00000000">
      <w:pPr>
        <w:pStyle w:val="BodyText"/>
      </w:pPr>
      <w:r>
        <w:rPr>
          <w:i/>
          <w:color w:val="000000"/>
        </w:rPr>
        <w:t>Насилие в отношении женщин</w:t>
      </w:r>
    </w:p>
    <w:p w:rsidR="00000000" w:rsidRDefault="00000000">
      <w:pPr>
        <w:pStyle w:val="BodyText"/>
      </w:pPr>
      <w:r>
        <w:t>245.</w:t>
      </w:r>
      <w:r>
        <w:tab/>
        <w:t xml:space="preserve">Благополучие человека, понимаемое как его полное, комплексное и всестороннее развитие, является на Кубе основой целью всех программ и политики. Поэтому к числу общих условий, необходимых для достижения этой цели, относится и ликвидация любых возможных форм дискриминации, в том числе </w:t>
      </w:r>
      <w:r>
        <w:rPr>
          <w:color w:val="000000"/>
        </w:rPr>
        <w:t>насилия в отношении женщин.</w:t>
      </w:r>
    </w:p>
    <w:p w:rsidR="00000000" w:rsidRDefault="00000000">
      <w:pPr>
        <w:pStyle w:val="BodyText"/>
      </w:pPr>
      <w:r>
        <w:t>246.</w:t>
      </w:r>
      <w:r>
        <w:tab/>
        <w:t xml:space="preserve">В этой области проводится масштабная работа, направленная в основном на обеспечение равных возможностей и условий для женщин, а в конечном счете – на их прогресс во всех сферах личной, семейной и общественной жизни. С учетом того, что насилие препятствует достижению этих целей, </w:t>
      </w:r>
      <w:r>
        <w:rPr>
          <w:color w:val="000000"/>
        </w:rPr>
        <w:t>в 1997 году была создана Национальная группа профилактики насилия в семье и помощи его жертвам, в работе которой основное внимание уделяется насилию в отношении женщин.</w:t>
      </w:r>
    </w:p>
    <w:p w:rsidR="00000000" w:rsidRDefault="00000000">
      <w:pPr>
        <w:pStyle w:val="BodyText"/>
      </w:pPr>
      <w:r>
        <w:rPr>
          <w:color w:val="000000"/>
        </w:rPr>
        <w:t>247.</w:t>
      </w:r>
      <w:r>
        <w:rPr>
          <w:color w:val="000000"/>
        </w:rPr>
        <w:tab/>
        <w:t>В Группу, деятельность которой координирует ФКЖ, входят представители министерств просвещения, здравоохранения, внутренних дел и юстиции, Генеральной прокуратуры Республики, Государственного медицинского центра, Национального центра по вопросам полового воспитания, Гаванского униве</w:t>
      </w:r>
      <w:r>
        <w:rPr>
          <w:color w:val="000000"/>
        </w:rPr>
        <w:t>р</w:t>
      </w:r>
      <w:r>
        <w:rPr>
          <w:color w:val="000000"/>
        </w:rPr>
        <w:t>ситета, Центра исследований в области психологии и социологии, Верховного народного суда и Института радиовещания и телевидения.</w:t>
      </w:r>
      <w:r>
        <w:t xml:space="preserve"> </w:t>
      </w:r>
    </w:p>
    <w:p w:rsidR="00000000" w:rsidRDefault="00000000">
      <w:pPr>
        <w:pStyle w:val="BodyText"/>
      </w:pPr>
      <w:r>
        <w:rPr>
          <w:color w:val="000000"/>
        </w:rPr>
        <w:t>248.</w:t>
      </w:r>
      <w:r>
        <w:rPr>
          <w:color w:val="000000"/>
        </w:rPr>
        <w:tab/>
        <w:t>Деятельность Группы позволяет достичь большей эффективности и координации усилий различных отраслей и ведомств, что необходимо для профилактики подобных правонарушений и оказания помощи п</w:t>
      </w:r>
      <w:r>
        <w:rPr>
          <w:color w:val="000000"/>
        </w:rPr>
        <w:t>о</w:t>
      </w:r>
      <w:r>
        <w:rPr>
          <w:color w:val="000000"/>
        </w:rPr>
        <w:t>страдавшим, а также, в случае необходимости, для разработки предложений, касающихся деятельности других организаций.</w:t>
      </w:r>
      <w:r>
        <w:t xml:space="preserve"> </w:t>
      </w:r>
    </w:p>
    <w:p w:rsidR="00000000" w:rsidRDefault="00000000">
      <w:pPr>
        <w:pStyle w:val="BodyText"/>
      </w:pPr>
      <w:r>
        <w:rPr>
          <w:color w:val="000000"/>
        </w:rPr>
        <w:t>249.</w:t>
      </w:r>
      <w:r>
        <w:rPr>
          <w:color w:val="000000"/>
        </w:rPr>
        <w:tab/>
        <w:t>Кроме того, структура Группы позволяет выполнять поставленные задачи, опираясь на подразделения и функции всех входящих в ее состав организаций и ведомств и на представителей этих организаций на местах, в том числе на учителей, врачей, сотрудников полиции, судей и прокуроров.</w:t>
      </w:r>
    </w:p>
    <w:p w:rsidR="00000000" w:rsidRDefault="00000000">
      <w:pPr>
        <w:pStyle w:val="BodyText"/>
      </w:pPr>
      <w:r>
        <w:rPr>
          <w:color w:val="000000"/>
        </w:rPr>
        <w:t>250.</w:t>
      </w:r>
      <w:r>
        <w:rPr>
          <w:color w:val="000000"/>
        </w:rPr>
        <w:tab/>
        <w:t>В рамках деятельности Группы проведены семинары для членов коллегий Национальной революционной полиции, министерств здравоохранения и юстиции, Генеральной прокуратуры Республики и Кубинского института радиовещания и т</w:t>
      </w:r>
      <w:r>
        <w:rPr>
          <w:color w:val="000000"/>
        </w:rPr>
        <w:t>е</w:t>
      </w:r>
      <w:r>
        <w:rPr>
          <w:color w:val="000000"/>
        </w:rPr>
        <w:t>левидения.</w:t>
      </w:r>
    </w:p>
    <w:p w:rsidR="00000000" w:rsidRDefault="00000000">
      <w:pPr>
        <w:pStyle w:val="BodyText"/>
      </w:pPr>
      <w:r>
        <w:rPr>
          <w:color w:val="000000"/>
        </w:rPr>
        <w:t>251.</w:t>
      </w:r>
      <w:r>
        <w:rPr>
          <w:color w:val="000000"/>
        </w:rPr>
        <w:tab/>
        <w:t>Были разработаны и вынесены на обсуждение в более чем 70 тыс. первичных организаций ФКЖ три сборника учебных пособий относительно насилия в отношении женщин со стороны партнера, насилия в отношении детей обоих полов и законодательства о защите женщины и семьи от насилия со стороны членов семьи. Такие обсуждения прошли также в исправительных центрах для несовершеннолетних и в тюрьмах.</w:t>
      </w:r>
      <w:r>
        <w:t xml:space="preserve"> </w:t>
      </w:r>
    </w:p>
    <w:p w:rsidR="00000000" w:rsidRDefault="00000000">
      <w:pPr>
        <w:pStyle w:val="BodyText"/>
      </w:pPr>
      <w:r>
        <w:rPr>
          <w:color w:val="000000"/>
        </w:rPr>
        <w:t>252.</w:t>
      </w:r>
      <w:r>
        <w:rPr>
          <w:color w:val="000000"/>
        </w:rPr>
        <w:tab/>
        <w:t xml:space="preserve">Был разработан и применяется на практике анализ судебных дел по определенным видам преступлений, таким как нанесение тяжких телесных повреждений, убийства и изнасилования; при этом для такого анализа подготовлены три системы количественных и качественных показателей. </w:t>
      </w:r>
    </w:p>
    <w:p w:rsidR="00000000" w:rsidRDefault="00000000">
      <w:pPr>
        <w:pStyle w:val="BodyText"/>
      </w:pPr>
      <w:r>
        <w:rPr>
          <w:color w:val="000000"/>
        </w:rPr>
        <w:t>253.</w:t>
      </w:r>
      <w:r>
        <w:rPr>
          <w:color w:val="000000"/>
        </w:rPr>
        <w:tab/>
        <w:t>Осуществлены изучение кубинского законодательства и его сравнительный анализ с законодательствами других стран региона.</w:t>
      </w:r>
      <w:r>
        <w:t xml:space="preserve"> </w:t>
      </w:r>
    </w:p>
    <w:p w:rsidR="00000000" w:rsidRDefault="00000000">
      <w:pPr>
        <w:pStyle w:val="BodyText"/>
      </w:pPr>
      <w:r>
        <w:rPr>
          <w:color w:val="000000"/>
        </w:rPr>
        <w:t>254.</w:t>
      </w:r>
      <w:r>
        <w:rPr>
          <w:color w:val="000000"/>
        </w:rPr>
        <w:tab/>
        <w:t>В ходе анализа кубинского законодательства были выдвинуты аргументы в пользу включения в Уголовный кодекс статей, в которых как отягчающее обстоятельство квалифицируется родство правонарушителя и его жертвы, а более конкретно – кровное родство до четвертой степени включительно и непрямое родство до второй степени включительно. Данное дополнение к закону уже принято кубинским парламентом</w:t>
      </w:r>
      <w:r>
        <w:t xml:space="preserve">. </w:t>
      </w:r>
    </w:p>
    <w:p w:rsidR="00000000" w:rsidRDefault="00000000">
      <w:pPr>
        <w:pStyle w:val="BodyText"/>
      </w:pPr>
      <w:r>
        <w:rPr>
          <w:color w:val="000000"/>
        </w:rPr>
        <w:t>255.</w:t>
      </w:r>
      <w:r>
        <w:rPr>
          <w:color w:val="000000"/>
        </w:rPr>
        <w:tab/>
        <w:t xml:space="preserve">Услуги и консультации населению в данной сфере предоставляют действующие в рамках Федерации кубинских женщин консультационные центры для женщин и семей, в которых проводятся индивидуальные консультации, групповые мероприятия и тематические занятия. </w:t>
      </w:r>
    </w:p>
    <w:p w:rsidR="00000000" w:rsidRDefault="00000000">
      <w:pPr>
        <w:pStyle w:val="BodyText"/>
      </w:pPr>
      <w:r>
        <w:rPr>
          <w:color w:val="000000"/>
        </w:rPr>
        <w:t>256.</w:t>
      </w:r>
      <w:r>
        <w:rPr>
          <w:color w:val="000000"/>
        </w:rPr>
        <w:tab/>
        <w:t xml:space="preserve">В отделах ФКЖ по работе с населением в каждом муниципалитете и провинции страны ведутся </w:t>
      </w:r>
      <w:r>
        <w:t xml:space="preserve">картотеки для контроля над семьями, в которых имеют место подобные проблемы, и работы с ними. </w:t>
      </w:r>
    </w:p>
    <w:p w:rsidR="00000000" w:rsidRDefault="00000000">
      <w:pPr>
        <w:pStyle w:val="BodyText"/>
      </w:pPr>
      <w:r>
        <w:t>257.</w:t>
      </w:r>
      <w:r>
        <w:tab/>
        <w:t xml:space="preserve">Были проведены занятия и семинары для руководителей отделов полиции и рядовых полицейских, должностных лиц, ведающих приемом жалоб, следователей и сотрудников отделов Министерства внутренних дел по профилактике преступности среди несовершеннолетних и слушателей училища по подготовке работников тюрем, для преподавателей, руководителей и учащихся Высшей школы Министерства внутренних дел (эти занятия и семинары в учебных целях снимались на видео), для групп преподавателей и специалистов советов по работе с несовершеннолетними при Министерстве просвещения и преподавателей ряда педагогических институтов, для групп врачей, медсестер, психологов и социальных работников Министерства здравоохранения, а также для руководителей, социальных работников и членов добровольных санитарных бригад при </w:t>
      </w:r>
      <w:r>
        <w:rPr>
          <w:color w:val="000000"/>
        </w:rPr>
        <w:t xml:space="preserve">ФКЖ и юристов из различных органов судебной системы. </w:t>
      </w:r>
    </w:p>
    <w:p w:rsidR="00000000" w:rsidRDefault="00000000">
      <w:pPr>
        <w:pStyle w:val="BodyText"/>
      </w:pPr>
      <w:r>
        <w:t>258.</w:t>
      </w:r>
      <w:r>
        <w:tab/>
        <w:t xml:space="preserve">Разработан проект, направленный на то, чтобы обеспечить предоставление в рамках системы здравоохранения более специализированной помощи жертвам насилия и тем, кто его совершил. </w:t>
      </w:r>
    </w:p>
    <w:p w:rsidR="00000000" w:rsidRDefault="00000000">
      <w:pPr>
        <w:pStyle w:val="BodyText"/>
      </w:pPr>
      <w:r>
        <w:t>259.</w:t>
      </w:r>
      <w:r>
        <w:tab/>
        <w:t xml:space="preserve">Продолжается исследование по вопросу о необходимости и возможности принятия правовой нормы, закона или декрета-закона, где наряду с определением понятия "насилие в семье" и установлением наказания за него предусматривались бы профилактические и воспитательные меры. </w:t>
      </w:r>
    </w:p>
    <w:p w:rsidR="00000000" w:rsidRDefault="00000000">
      <w:pPr>
        <w:pStyle w:val="BodyText"/>
      </w:pPr>
      <w:r>
        <w:t>260.</w:t>
      </w:r>
      <w:r>
        <w:tab/>
        <w:t xml:space="preserve">Главное управление Национальной революционной полиции, Национальный совет по делам несовершеннолетних при Министерстве внутренних дел, Министерство здравоохранения, Министерство просвещения и </w:t>
      </w:r>
      <w:r>
        <w:rPr>
          <w:color w:val="000000"/>
        </w:rPr>
        <w:t>ФКЖ провели в трех районах Гаваны совместное исследование с целью придания более комплексного характера помощи жертвам насилия, для чего необходимо решить поставленные задачи в сфере координации действий при работе на местах. Это стало еще одним исследованием в данной сфере, которые тр</w:t>
      </w:r>
      <w:r>
        <w:rPr>
          <w:color w:val="000000"/>
        </w:rPr>
        <w:t>а</w:t>
      </w:r>
      <w:r>
        <w:rPr>
          <w:color w:val="000000"/>
        </w:rPr>
        <w:t>диционно проводили и проводят ФКЖ и другие кубинские органы, организации и учреждения.</w:t>
      </w:r>
    </w:p>
    <w:p w:rsidR="00000000" w:rsidRDefault="00000000">
      <w:pPr>
        <w:pStyle w:val="BodyText"/>
      </w:pPr>
      <w:r>
        <w:rPr>
          <w:color w:val="000000"/>
        </w:rPr>
        <w:t>261.</w:t>
      </w:r>
      <w:r>
        <w:rPr>
          <w:color w:val="000000"/>
        </w:rPr>
        <w:tab/>
        <w:t>Исследования на тему насилия в семье чаще всего посвящены рассмотрению случаев насилия в отношении несовершеннолетних, а также фактов насилия в отношении супруги на сексуальной почве. В первом случае наиболее важной проблемой, не нашедшей пока успешного разрешения, являются факты уклонения родителей от уплаты алиментов. Во втором случае выделяются факты насилия на почве дискриминации по гендерному признаку.</w:t>
      </w:r>
      <w:r>
        <w:t xml:space="preserve"> </w:t>
      </w:r>
    </w:p>
    <w:p w:rsidR="00000000" w:rsidRDefault="00000000">
      <w:pPr>
        <w:pStyle w:val="BodyText"/>
      </w:pPr>
      <w:r>
        <w:rPr>
          <w:color w:val="000000"/>
        </w:rPr>
        <w:t>262.</w:t>
      </w:r>
      <w:r>
        <w:rPr>
          <w:color w:val="000000"/>
        </w:rPr>
        <w:tab/>
        <w:t>В ходе проведенных исследований были сделаны важные выводы, принявшие в ряде случаев форму законодательных инициатив</w:t>
      </w:r>
      <w:r>
        <w:t xml:space="preserve">. </w:t>
      </w:r>
    </w:p>
    <w:p w:rsidR="00000000" w:rsidRDefault="00000000">
      <w:pPr>
        <w:pStyle w:val="BodyText"/>
      </w:pPr>
      <w:r>
        <w:rPr>
          <w:color w:val="000000"/>
        </w:rPr>
        <w:t>263.</w:t>
      </w:r>
      <w:r>
        <w:rPr>
          <w:color w:val="000000"/>
        </w:rPr>
        <w:tab/>
        <w:t>В ходе систематизации материалов Исследовательский центр по проблемам женщин осуществил анализ и обобщение 20 наиболее серьезных исследований по теме насилия в отношении женщин, проведенных с 1991 года. Авторами данных исследований являются в основном специалисты Института судебной медицины, а также Национального комитета ФКЖ, прокуратуры, Министерства юстиции, медицинских факульт</w:t>
      </w:r>
      <w:r>
        <w:rPr>
          <w:color w:val="000000"/>
        </w:rPr>
        <w:t>е</w:t>
      </w:r>
      <w:r>
        <w:rPr>
          <w:color w:val="000000"/>
        </w:rPr>
        <w:t>тов и поликлиник, находящихся в ведении Министерства здравоохранения. В проведенных исследованиях в качестве основной выделяется тема насилия; особое внимание обращалось на насилие в семье, и в частности на жестокое обращение одного из супругов по отношению к другому.</w:t>
      </w:r>
    </w:p>
    <w:p w:rsidR="00000000" w:rsidRDefault="00000000">
      <w:pPr>
        <w:pStyle w:val="BodyText"/>
      </w:pPr>
      <w:r>
        <w:rPr>
          <w:color w:val="000000"/>
        </w:rPr>
        <w:t>264.</w:t>
      </w:r>
      <w:r>
        <w:rPr>
          <w:color w:val="000000"/>
        </w:rPr>
        <w:tab/>
        <w:t>Среди очевидных причин, порождающих насилие, – ревность, неуважение к чужой собс</w:t>
      </w:r>
      <w:r>
        <w:rPr>
          <w:color w:val="000000"/>
        </w:rPr>
        <w:t>т</w:t>
      </w:r>
      <w:r>
        <w:rPr>
          <w:color w:val="000000"/>
        </w:rPr>
        <w:t>венности, эмоциональные конфликты и сложности общения, возникающие в отношениях пар</w:t>
      </w:r>
      <w:r>
        <w:rPr>
          <w:color w:val="000000"/>
        </w:rPr>
        <w:t>т</w:t>
      </w:r>
      <w:r>
        <w:rPr>
          <w:color w:val="000000"/>
        </w:rPr>
        <w:t>неров и в семье, заниженная самооценка женщин, наличие нежеланных детей, отказ от заботы о детях и других членах семьи, являющихся инвалидами, отсутствие чувства ответственности у отцов и матерей, недостатки воспитания, препятствующие выполнению семейных обязанностей, психология мужского превосходства, алкоголизм, экономические трудности, стесненные жилищные условия, сексуальная распущенность, низкий культурный уровень, разочарование, неспособность в результате низкого образовательного уровня понимать проблемы другого человека, психические нарушения, а также конфликты на идейной, политической и религиозной почве.</w:t>
      </w:r>
      <w:r>
        <w:t xml:space="preserve"> </w:t>
      </w:r>
    </w:p>
    <w:p w:rsidR="00000000" w:rsidRDefault="00000000">
      <w:pPr>
        <w:pStyle w:val="BodyText"/>
      </w:pPr>
      <w:r>
        <w:rPr>
          <w:color w:val="000000"/>
        </w:rPr>
        <w:t>265.</w:t>
      </w:r>
      <w:r>
        <w:rPr>
          <w:color w:val="000000"/>
        </w:rPr>
        <w:tab/>
        <w:t>Согласно тем же источникам, жертвами насилия обычно становятся замужние или живущие в незарегистрированном браке женщины в возрасте от 16 до 50 лет, преимущественно со средним образованием, как неработающие (домохозяйки), так и трудящиеся. В последней категории есть специалисты и руководящие работники. Агрессивное поведение чаще всего характерно для молодых мужчин, образовательный уровень которых составляет 6–9 классов средней школы, хотя нередко среди них встречаются и лица с законченным средним и даже высшим образованием.</w:t>
      </w:r>
      <w:r>
        <w:t xml:space="preserve"> </w:t>
      </w:r>
    </w:p>
    <w:p w:rsidR="00000000" w:rsidRDefault="00000000">
      <w:pPr>
        <w:pStyle w:val="BodyText"/>
      </w:pPr>
      <w:r>
        <w:rPr>
          <w:color w:val="000000"/>
        </w:rPr>
        <w:t>266.</w:t>
      </w:r>
      <w:r>
        <w:rPr>
          <w:color w:val="000000"/>
        </w:rPr>
        <w:tab/>
        <w:t>Отмечается также, что лишь небольшое число женщин, пострадавших от жестокого обращения, обращаются за помощью в компетентные органы; некоторые из них в той или иной степени зависят от супруга и потому замалчивают факты агрессивного поведения. В большинстве случаев жестокое обращение с женщинами является отражением традиционного представления о роли мужчины, обусловленного патриархальным типом семьи и стереотипами мужского превосходства. Следует отметить, что женщины, заявлявшие о побоях, не избавились в дальнейшем от проявлений агрессивного поведения, а в некоторых случаях после обращения за помощью насилие в семье в отношении женщин усугубляется.</w:t>
      </w:r>
      <w:r>
        <w:t xml:space="preserve"> </w:t>
      </w:r>
    </w:p>
    <w:p w:rsidR="00000000" w:rsidRDefault="00000000">
      <w:pPr>
        <w:pStyle w:val="BodyText"/>
      </w:pPr>
      <w:r>
        <w:rPr>
          <w:color w:val="000000"/>
        </w:rPr>
        <w:t>267.</w:t>
      </w:r>
      <w:r>
        <w:rPr>
          <w:color w:val="000000"/>
        </w:rPr>
        <w:tab/>
        <w:t xml:space="preserve">Другим источником информации, позволяющим оценить характер насилия в кубинских семьях, являются 185 отделов ФКЖ по работе с населением, в которые с просьбами о помощи и за консультациями обращаются тысячи человек. При анализе этих показателей очевиден их рост, что является следствием проведения активной просветительской работы, в результате чего все больше людей обращаются в эту службу.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985"/>
        <w:gridCol w:w="1985"/>
        <w:gridCol w:w="1985"/>
      </w:tblGrid>
      <w:tr w:rsidR="00000000">
        <w:tblPrEx>
          <w:tblCellMar>
            <w:top w:w="0" w:type="dxa"/>
            <w:bottom w:w="0" w:type="dxa"/>
          </w:tblCellMar>
        </w:tblPrEx>
        <w:tc>
          <w:tcPr>
            <w:tcW w:w="3402" w:type="dxa"/>
          </w:tcPr>
          <w:p w:rsidR="00000000" w:rsidRDefault="00000000">
            <w:pPr>
              <w:pStyle w:val="BodyText"/>
              <w:spacing w:before="40" w:after="40"/>
              <w:ind w:left="0" w:firstLine="0"/>
              <w:jc w:val="left"/>
              <w:rPr>
                <w:sz w:val="20"/>
                <w:lang w:eastAsia="es-ES"/>
              </w:rPr>
            </w:pPr>
          </w:p>
        </w:tc>
        <w:tc>
          <w:tcPr>
            <w:tcW w:w="1985" w:type="dxa"/>
          </w:tcPr>
          <w:p w:rsidR="00000000" w:rsidRDefault="00000000">
            <w:pPr>
              <w:pStyle w:val="BodyText"/>
              <w:spacing w:before="40" w:after="40"/>
              <w:ind w:left="0" w:firstLine="0"/>
              <w:jc w:val="center"/>
              <w:rPr>
                <w:b/>
                <w:sz w:val="20"/>
              </w:rPr>
            </w:pPr>
            <w:r>
              <w:rPr>
                <w:b/>
                <w:sz w:val="20"/>
              </w:rPr>
              <w:t>1998 год</w:t>
            </w:r>
          </w:p>
        </w:tc>
        <w:tc>
          <w:tcPr>
            <w:tcW w:w="1985" w:type="dxa"/>
          </w:tcPr>
          <w:p w:rsidR="00000000" w:rsidRDefault="00000000">
            <w:pPr>
              <w:pStyle w:val="BodyText"/>
              <w:spacing w:before="40" w:after="40"/>
              <w:ind w:left="0" w:firstLine="0"/>
              <w:jc w:val="center"/>
              <w:rPr>
                <w:b/>
                <w:sz w:val="20"/>
              </w:rPr>
            </w:pPr>
            <w:r>
              <w:rPr>
                <w:b/>
                <w:sz w:val="20"/>
              </w:rPr>
              <w:t>2001 год</w:t>
            </w:r>
          </w:p>
        </w:tc>
        <w:tc>
          <w:tcPr>
            <w:tcW w:w="1985" w:type="dxa"/>
          </w:tcPr>
          <w:p w:rsidR="00000000" w:rsidRDefault="00000000">
            <w:pPr>
              <w:pStyle w:val="BodyText"/>
              <w:spacing w:before="40" w:after="40"/>
              <w:ind w:left="0" w:firstLine="0"/>
              <w:jc w:val="center"/>
              <w:rPr>
                <w:b/>
                <w:sz w:val="20"/>
              </w:rPr>
            </w:pPr>
            <w:r>
              <w:rPr>
                <w:b/>
                <w:sz w:val="20"/>
              </w:rPr>
              <w:t>2002 год</w:t>
            </w:r>
          </w:p>
        </w:tc>
      </w:tr>
      <w:tr w:rsidR="00000000">
        <w:tblPrEx>
          <w:tblCellMar>
            <w:top w:w="0" w:type="dxa"/>
            <w:bottom w:w="0" w:type="dxa"/>
          </w:tblCellMar>
        </w:tblPrEx>
        <w:tc>
          <w:tcPr>
            <w:tcW w:w="3402" w:type="dxa"/>
          </w:tcPr>
          <w:p w:rsidR="00000000" w:rsidRDefault="00000000">
            <w:pPr>
              <w:pStyle w:val="BodyText"/>
              <w:spacing w:before="40" w:after="40"/>
              <w:ind w:left="0" w:firstLine="0"/>
              <w:jc w:val="left"/>
              <w:rPr>
                <w:sz w:val="20"/>
              </w:rPr>
            </w:pPr>
            <w:r>
              <w:rPr>
                <w:color w:val="000000"/>
                <w:sz w:val="20"/>
              </w:rPr>
              <w:t>Насилие в отношении женщин со стороны мужчин</w:t>
            </w:r>
          </w:p>
        </w:tc>
        <w:tc>
          <w:tcPr>
            <w:tcW w:w="1985" w:type="dxa"/>
          </w:tcPr>
          <w:p w:rsidR="00000000" w:rsidRDefault="00000000">
            <w:pPr>
              <w:pStyle w:val="BodyText"/>
              <w:spacing w:before="40" w:after="40"/>
              <w:ind w:left="0" w:firstLine="0"/>
              <w:jc w:val="center"/>
              <w:rPr>
                <w:sz w:val="20"/>
              </w:rPr>
            </w:pPr>
            <w:r>
              <w:rPr>
                <w:sz w:val="20"/>
              </w:rPr>
              <w:t>75</w:t>
            </w:r>
          </w:p>
        </w:tc>
        <w:tc>
          <w:tcPr>
            <w:tcW w:w="1985" w:type="dxa"/>
          </w:tcPr>
          <w:p w:rsidR="00000000" w:rsidRDefault="00000000">
            <w:pPr>
              <w:pStyle w:val="BodyText"/>
              <w:spacing w:before="40" w:after="40"/>
              <w:ind w:left="0" w:firstLine="0"/>
              <w:jc w:val="center"/>
              <w:rPr>
                <w:sz w:val="20"/>
              </w:rPr>
            </w:pPr>
            <w:r>
              <w:rPr>
                <w:sz w:val="20"/>
              </w:rPr>
              <w:t>151</w:t>
            </w:r>
          </w:p>
        </w:tc>
        <w:tc>
          <w:tcPr>
            <w:tcW w:w="1985" w:type="dxa"/>
          </w:tcPr>
          <w:p w:rsidR="00000000" w:rsidRDefault="00000000">
            <w:pPr>
              <w:pStyle w:val="BodyText"/>
              <w:spacing w:before="40" w:after="40"/>
              <w:ind w:left="0" w:firstLine="0"/>
              <w:jc w:val="center"/>
              <w:rPr>
                <w:sz w:val="20"/>
              </w:rPr>
            </w:pPr>
            <w:r>
              <w:rPr>
                <w:sz w:val="20"/>
              </w:rPr>
              <w:t>329</w:t>
            </w:r>
          </w:p>
        </w:tc>
      </w:tr>
      <w:tr w:rsidR="00000000">
        <w:tblPrEx>
          <w:tblCellMar>
            <w:top w:w="0" w:type="dxa"/>
            <w:bottom w:w="0" w:type="dxa"/>
          </w:tblCellMar>
        </w:tblPrEx>
        <w:tc>
          <w:tcPr>
            <w:tcW w:w="3402" w:type="dxa"/>
          </w:tcPr>
          <w:p w:rsidR="00000000" w:rsidRDefault="00000000">
            <w:pPr>
              <w:pStyle w:val="BodyText"/>
              <w:spacing w:before="40" w:after="40"/>
              <w:ind w:left="0" w:firstLine="0"/>
              <w:jc w:val="left"/>
              <w:rPr>
                <w:sz w:val="20"/>
              </w:rPr>
            </w:pPr>
            <w:r>
              <w:rPr>
                <w:color w:val="000000"/>
                <w:sz w:val="20"/>
              </w:rPr>
              <w:t>Насилие в отношении мужчин со стороны женщин</w:t>
            </w:r>
          </w:p>
        </w:tc>
        <w:tc>
          <w:tcPr>
            <w:tcW w:w="1985" w:type="dxa"/>
          </w:tcPr>
          <w:p w:rsidR="00000000" w:rsidRDefault="00000000">
            <w:pPr>
              <w:pStyle w:val="BodyText"/>
              <w:spacing w:before="40" w:after="40"/>
              <w:ind w:left="0" w:firstLine="0"/>
              <w:jc w:val="center"/>
              <w:rPr>
                <w:sz w:val="20"/>
              </w:rPr>
            </w:pPr>
            <w:r>
              <w:rPr>
                <w:sz w:val="20"/>
              </w:rPr>
              <w:t>6</w:t>
            </w:r>
          </w:p>
        </w:tc>
        <w:tc>
          <w:tcPr>
            <w:tcW w:w="1985" w:type="dxa"/>
          </w:tcPr>
          <w:p w:rsidR="00000000" w:rsidRDefault="00000000">
            <w:pPr>
              <w:pStyle w:val="BodyText"/>
              <w:spacing w:before="40" w:after="40"/>
              <w:ind w:left="0" w:firstLine="0"/>
              <w:jc w:val="center"/>
              <w:rPr>
                <w:sz w:val="20"/>
              </w:rPr>
            </w:pPr>
            <w:r>
              <w:rPr>
                <w:sz w:val="20"/>
              </w:rPr>
              <w:t>5</w:t>
            </w:r>
          </w:p>
        </w:tc>
        <w:tc>
          <w:tcPr>
            <w:tcW w:w="1985" w:type="dxa"/>
          </w:tcPr>
          <w:p w:rsidR="00000000" w:rsidRDefault="00000000">
            <w:pPr>
              <w:pStyle w:val="BodyText"/>
              <w:spacing w:before="40" w:after="40"/>
              <w:ind w:left="0" w:firstLine="0"/>
              <w:jc w:val="center"/>
              <w:rPr>
                <w:sz w:val="20"/>
              </w:rPr>
            </w:pPr>
            <w:r>
              <w:rPr>
                <w:sz w:val="20"/>
              </w:rPr>
              <w:t>27</w:t>
            </w:r>
          </w:p>
        </w:tc>
      </w:tr>
      <w:tr w:rsidR="00000000">
        <w:tblPrEx>
          <w:tblCellMar>
            <w:top w:w="0" w:type="dxa"/>
            <w:bottom w:w="0" w:type="dxa"/>
          </w:tblCellMar>
        </w:tblPrEx>
        <w:tc>
          <w:tcPr>
            <w:tcW w:w="3402" w:type="dxa"/>
          </w:tcPr>
          <w:p w:rsidR="00000000" w:rsidRDefault="00000000">
            <w:pPr>
              <w:pStyle w:val="BodyText"/>
              <w:spacing w:before="40" w:after="40"/>
              <w:ind w:left="0" w:firstLine="0"/>
              <w:jc w:val="left"/>
              <w:rPr>
                <w:sz w:val="20"/>
              </w:rPr>
            </w:pPr>
            <w:r>
              <w:rPr>
                <w:color w:val="000000"/>
                <w:sz w:val="20"/>
              </w:rPr>
              <w:t>Насилие в отношении детей со стороны отцов</w:t>
            </w:r>
          </w:p>
        </w:tc>
        <w:tc>
          <w:tcPr>
            <w:tcW w:w="1985" w:type="dxa"/>
          </w:tcPr>
          <w:p w:rsidR="00000000" w:rsidRDefault="00000000">
            <w:pPr>
              <w:pStyle w:val="BodyText"/>
              <w:spacing w:before="40" w:after="40"/>
              <w:ind w:left="0" w:firstLine="0"/>
              <w:jc w:val="center"/>
              <w:rPr>
                <w:sz w:val="20"/>
              </w:rPr>
            </w:pPr>
            <w:r>
              <w:rPr>
                <w:sz w:val="20"/>
              </w:rPr>
              <w:t>14</w:t>
            </w:r>
          </w:p>
        </w:tc>
        <w:tc>
          <w:tcPr>
            <w:tcW w:w="1985" w:type="dxa"/>
          </w:tcPr>
          <w:p w:rsidR="00000000" w:rsidRDefault="00000000">
            <w:pPr>
              <w:pStyle w:val="BodyText"/>
              <w:spacing w:before="40" w:after="40"/>
              <w:ind w:left="0" w:firstLine="0"/>
              <w:jc w:val="center"/>
              <w:rPr>
                <w:sz w:val="20"/>
              </w:rPr>
            </w:pPr>
            <w:r>
              <w:rPr>
                <w:sz w:val="20"/>
              </w:rPr>
              <w:t>54</w:t>
            </w:r>
          </w:p>
        </w:tc>
        <w:tc>
          <w:tcPr>
            <w:tcW w:w="1985" w:type="dxa"/>
          </w:tcPr>
          <w:p w:rsidR="00000000" w:rsidRDefault="00000000">
            <w:pPr>
              <w:pStyle w:val="BodyText"/>
              <w:spacing w:before="40" w:after="40"/>
              <w:ind w:left="0" w:firstLine="0"/>
              <w:jc w:val="center"/>
              <w:rPr>
                <w:sz w:val="20"/>
              </w:rPr>
            </w:pPr>
            <w:r>
              <w:rPr>
                <w:sz w:val="20"/>
              </w:rPr>
              <w:t>28</w:t>
            </w:r>
          </w:p>
        </w:tc>
      </w:tr>
      <w:tr w:rsidR="00000000">
        <w:tblPrEx>
          <w:tblCellMar>
            <w:top w:w="0" w:type="dxa"/>
            <w:bottom w:w="0" w:type="dxa"/>
          </w:tblCellMar>
        </w:tblPrEx>
        <w:tc>
          <w:tcPr>
            <w:tcW w:w="3402" w:type="dxa"/>
          </w:tcPr>
          <w:p w:rsidR="00000000" w:rsidRDefault="00000000">
            <w:pPr>
              <w:pStyle w:val="BodyText"/>
              <w:spacing w:before="40" w:after="40"/>
              <w:ind w:left="0" w:firstLine="0"/>
              <w:jc w:val="left"/>
              <w:rPr>
                <w:sz w:val="20"/>
              </w:rPr>
            </w:pPr>
            <w:r>
              <w:rPr>
                <w:color w:val="000000"/>
                <w:sz w:val="20"/>
              </w:rPr>
              <w:t>Насилие в отношении детей со стороны матерей</w:t>
            </w:r>
          </w:p>
        </w:tc>
        <w:tc>
          <w:tcPr>
            <w:tcW w:w="1985" w:type="dxa"/>
          </w:tcPr>
          <w:p w:rsidR="00000000" w:rsidRDefault="00000000">
            <w:pPr>
              <w:pStyle w:val="BodyText"/>
              <w:spacing w:before="40" w:after="40"/>
              <w:ind w:left="0" w:firstLine="0"/>
              <w:jc w:val="center"/>
              <w:rPr>
                <w:sz w:val="20"/>
              </w:rPr>
            </w:pPr>
            <w:r>
              <w:rPr>
                <w:sz w:val="20"/>
              </w:rPr>
              <w:t>35</w:t>
            </w:r>
          </w:p>
        </w:tc>
        <w:tc>
          <w:tcPr>
            <w:tcW w:w="1985" w:type="dxa"/>
          </w:tcPr>
          <w:p w:rsidR="00000000" w:rsidRDefault="00000000">
            <w:pPr>
              <w:pStyle w:val="BodyText"/>
              <w:spacing w:before="40" w:after="40"/>
              <w:ind w:left="0" w:firstLine="0"/>
              <w:jc w:val="center"/>
              <w:rPr>
                <w:sz w:val="20"/>
              </w:rPr>
            </w:pPr>
            <w:r>
              <w:rPr>
                <w:sz w:val="20"/>
              </w:rPr>
              <w:t>40</w:t>
            </w:r>
          </w:p>
        </w:tc>
        <w:tc>
          <w:tcPr>
            <w:tcW w:w="1985" w:type="dxa"/>
          </w:tcPr>
          <w:p w:rsidR="00000000" w:rsidRDefault="00000000">
            <w:pPr>
              <w:pStyle w:val="BodyText"/>
              <w:spacing w:before="40" w:after="40"/>
              <w:ind w:left="0" w:firstLine="0"/>
              <w:jc w:val="center"/>
              <w:rPr>
                <w:sz w:val="20"/>
              </w:rPr>
            </w:pPr>
            <w:r>
              <w:rPr>
                <w:sz w:val="20"/>
              </w:rPr>
              <w:t>19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0" w:type="dxa"/>
            <w:bottom w:w="0" w:type="dxa"/>
            <w:right w:w="0" w:type="dxa"/>
          </w:tblCellMar>
        </w:tblPrEx>
        <w:tc>
          <w:tcPr>
            <w:tcW w:w="340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57" w:firstLine="0"/>
              <w:jc w:val="left"/>
              <w:rPr>
                <w:sz w:val="20"/>
              </w:rPr>
            </w:pPr>
            <w:r>
              <w:rPr>
                <w:sz w:val="20"/>
              </w:rPr>
              <w:t>Всего</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0" w:firstLine="0"/>
              <w:jc w:val="center"/>
              <w:rPr>
                <w:sz w:val="20"/>
              </w:rPr>
            </w:pPr>
            <w:r>
              <w:rPr>
                <w:sz w:val="20"/>
              </w:rPr>
              <w:t>130</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0" w:firstLine="0"/>
              <w:jc w:val="center"/>
              <w:rPr>
                <w:sz w:val="20"/>
              </w:rPr>
            </w:pPr>
            <w:r>
              <w:rPr>
                <w:sz w:val="20"/>
              </w:rPr>
              <w:t>250</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ind w:left="0" w:firstLine="0"/>
              <w:jc w:val="center"/>
              <w:rPr>
                <w:sz w:val="20"/>
              </w:rPr>
            </w:pPr>
            <w:r>
              <w:rPr>
                <w:sz w:val="20"/>
              </w:rPr>
              <w:t>403</w:t>
            </w:r>
          </w:p>
        </w:tc>
      </w:tr>
    </w:tbl>
    <w:p w:rsidR="00000000" w:rsidRDefault="00000000">
      <w:pPr>
        <w:pStyle w:val="BodyText"/>
      </w:pPr>
    </w:p>
    <w:p w:rsidR="00000000" w:rsidRDefault="00000000">
      <w:pPr>
        <w:pStyle w:val="BodyText"/>
      </w:pPr>
      <w:r>
        <w:t>268.</w:t>
      </w:r>
      <w:r>
        <w:tab/>
        <w:t xml:space="preserve">Как следует из анализа этих данных, случаи </w:t>
      </w:r>
      <w:r>
        <w:rPr>
          <w:color w:val="000000"/>
        </w:rPr>
        <w:t>насилия в отношении женщин со стороны мужчин составляют 82 процента.</w:t>
      </w:r>
    </w:p>
    <w:p w:rsidR="00000000" w:rsidRDefault="00000000">
      <w:pPr>
        <w:pStyle w:val="BodyText"/>
      </w:pPr>
      <w:r>
        <w:t>269.</w:t>
      </w:r>
      <w:r>
        <w:tab/>
        <w:t xml:space="preserve">Продолжается работа с целью обеспечить включение различными организациями в свои статистические отчеты данных, которые позволили бы провести анализ и оценку гендерной составляющей данной проблемы. Это является одной из задач, предусмотренных принятым кубинским правительством </w:t>
      </w:r>
      <w:r>
        <w:rPr>
          <w:color w:val="000000"/>
        </w:rPr>
        <w:t>Национальным планом действий по претворению в жизнь решений четвертой Всемирной конференции ООН по положению женщин.</w:t>
      </w:r>
    </w:p>
    <w:p w:rsidR="00000000" w:rsidRDefault="00000000">
      <w:pPr>
        <w:pStyle w:val="BodyText"/>
      </w:pPr>
      <w:r>
        <w:t>270.</w:t>
      </w:r>
      <w:r>
        <w:tab/>
        <w:t xml:space="preserve">Поскольку между алкоголизмом и другими видами наркотической зависимости и насилием существует прямая взаимосвязь, информация и данные специального анализа по этому вопросу включаются в число тем, которые изучаются в ходе воспитательной и профилактической деятельности в общинах и в рамках работы по этому направлению в целом. </w:t>
      </w:r>
    </w:p>
    <w:p w:rsidR="00000000" w:rsidRDefault="00000000">
      <w:pPr>
        <w:pStyle w:val="BodyText"/>
      </w:pPr>
      <w:r>
        <w:t>271.</w:t>
      </w:r>
      <w:r>
        <w:tab/>
        <w:t xml:space="preserve">Вопросы борьбы с насилием включены в разработанную Министерством здравоохранения Национальную программу по профилактике самоубийств и попыток самоубийств. Удалось добиться значительного снижения этого показателя в отношении женщин: в 1980 году он составлял 20,9, а в 2002 году – 8,1. </w:t>
      </w:r>
    </w:p>
    <w:p w:rsidR="00000000" w:rsidRDefault="00000000">
      <w:pPr>
        <w:pStyle w:val="BodyText"/>
      </w:pPr>
      <w:r>
        <w:t>272.</w:t>
      </w:r>
      <w:r>
        <w:tab/>
        <w:t xml:space="preserve">Что касается освещения темы насилия в семье в средствах массовой информации, то необходимо отметить, что она затрагивается в ряде телевизионных передач, таких как "Поговорим о здоровье", "Прокладывая пути", "Когда женщина…", "Жизнь и ее проблемы", а также в новостных программах и в кратких сообщениях. На радио этой теме уделяется внимание в ряде передач для женщин и семьи; в прессе печатаются статьи на эту тему. </w:t>
      </w:r>
    </w:p>
    <w:p w:rsidR="00000000" w:rsidRDefault="00000000">
      <w:pPr>
        <w:pStyle w:val="BodyText"/>
        <w:jc w:val="center"/>
        <w:rPr>
          <w:i/>
        </w:rPr>
      </w:pPr>
    </w:p>
    <w:p w:rsidR="00000000" w:rsidRDefault="00000000">
      <w:pPr>
        <w:pStyle w:val="BodyText"/>
        <w:jc w:val="center"/>
        <w:rPr>
          <w:b/>
        </w:rPr>
      </w:pPr>
      <w:r>
        <w:rPr>
          <w:b/>
        </w:rPr>
        <w:t>СТАТЬЯ 7</w:t>
      </w:r>
    </w:p>
    <w:p w:rsidR="00000000" w:rsidRDefault="00000000">
      <w:pPr>
        <w:pStyle w:val="BodyText"/>
        <w:ind w:left="0" w:firstLine="0"/>
      </w:pPr>
      <w:r>
        <w:t xml:space="preserve">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 </w:t>
      </w:r>
    </w:p>
    <w:p w:rsidR="00000000" w:rsidRDefault="00000000">
      <w:pPr>
        <w:pStyle w:val="BodyText"/>
        <w:tabs>
          <w:tab w:val="clear" w:pos="907"/>
        </w:tabs>
        <w:ind w:left="1134" w:hanging="1134"/>
      </w:pPr>
      <w:r>
        <w:tab/>
      </w:r>
      <w:r>
        <w:rPr>
          <w:lang w:val="en-US"/>
        </w:rPr>
        <w:t>a</w:t>
      </w:r>
      <w:r>
        <w:t>)</w:t>
      </w:r>
      <w:r>
        <w:tab/>
        <w:t xml:space="preserve">голосовать на всех выборах и публичных референдумах и избираться во все публично избираемые органы; </w:t>
      </w:r>
    </w:p>
    <w:p w:rsidR="00000000" w:rsidRDefault="00000000">
      <w:pPr>
        <w:pStyle w:val="BodyText"/>
        <w:tabs>
          <w:tab w:val="clear" w:pos="907"/>
        </w:tabs>
        <w:ind w:left="1134" w:hanging="1134"/>
      </w:pPr>
      <w:r>
        <w:tab/>
      </w:r>
      <w:r>
        <w:rPr>
          <w:lang w:val="en-US"/>
        </w:rPr>
        <w:t>b</w:t>
      </w:r>
      <w:r>
        <w:t>)</w:t>
      </w:r>
      <w:r>
        <w:tab/>
        <w:t xml:space="preserve">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 </w:t>
      </w:r>
    </w:p>
    <w:p w:rsidR="00000000" w:rsidRDefault="00000000">
      <w:pPr>
        <w:pStyle w:val="BodyText"/>
        <w:tabs>
          <w:tab w:val="clear" w:pos="907"/>
        </w:tabs>
        <w:ind w:left="1134" w:hanging="1134"/>
      </w:pPr>
      <w:r>
        <w:tab/>
      </w:r>
      <w:r>
        <w:rPr>
          <w:lang w:val="en-US"/>
        </w:rPr>
        <w:t>c</w:t>
      </w:r>
      <w:r>
        <w:t>)</w:t>
      </w:r>
      <w: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BodyText"/>
      </w:pPr>
      <w:r>
        <w:rPr>
          <w:color w:val="000000"/>
        </w:rPr>
        <w:t>273.</w:t>
      </w:r>
      <w:r>
        <w:rPr>
          <w:color w:val="000000"/>
        </w:rPr>
        <w:tab/>
        <w:t>В Конституции Республики Куба и в Законе о выборах установлено, что каждый кубинский гр</w:t>
      </w:r>
      <w:r>
        <w:rPr>
          <w:color w:val="000000"/>
        </w:rPr>
        <w:t>а</w:t>
      </w:r>
      <w:r>
        <w:rPr>
          <w:color w:val="000000"/>
        </w:rPr>
        <w:t>жданин, достигший 16 лет, независимо от пола, расы и религиозных верований, имеет право избирать и быть избра</w:t>
      </w:r>
      <w:r>
        <w:rPr>
          <w:color w:val="000000"/>
        </w:rPr>
        <w:t>н</w:t>
      </w:r>
      <w:r>
        <w:rPr>
          <w:color w:val="000000"/>
        </w:rPr>
        <w:t>ным в органы власти.</w:t>
      </w:r>
    </w:p>
    <w:p w:rsidR="00000000" w:rsidRDefault="00000000">
      <w:pPr>
        <w:pStyle w:val="BodyText"/>
      </w:pPr>
      <w:r>
        <w:rPr>
          <w:color w:val="000000"/>
        </w:rPr>
        <w:t>274.</w:t>
      </w:r>
      <w:r>
        <w:rPr>
          <w:color w:val="000000"/>
        </w:rPr>
        <w:tab/>
        <w:t xml:space="preserve">Государство призывает граждан голосовать за </w:t>
      </w:r>
      <w:r>
        <w:rPr>
          <w:i/>
          <w:color w:val="000000"/>
        </w:rPr>
        <w:t>лучших из кандидатов</w:t>
      </w:r>
      <w:r>
        <w:rPr>
          <w:color w:val="000000"/>
        </w:rPr>
        <w:t xml:space="preserve">, не проводя между ними различий по каким-либо другим признакам. Кандидаты, женщины и мужчины, не обязаны располагать собственными материальными средствами либо привлекать другие источники для финансирования своей избирательной кампании. </w:t>
      </w:r>
    </w:p>
    <w:p w:rsidR="00000000" w:rsidRDefault="00000000">
      <w:pPr>
        <w:pStyle w:val="BodyText"/>
      </w:pPr>
      <w:r>
        <w:rPr>
          <w:color w:val="000000"/>
        </w:rPr>
        <w:t>275.</w:t>
      </w:r>
      <w:r>
        <w:rPr>
          <w:color w:val="000000"/>
        </w:rPr>
        <w:tab/>
        <w:t>В соответствии с кубинским Законом о выборах избирательные округа делятся на участки, выдвигающие определенное число кандидатов, в зависимости от числа жителей. На участках проходят собрания, на которых избиратели свободно выдвигают от 2 до 8 кандидатов, с учетом их заслуг и личных качеств, что позволяет выбрать тех, кто может достойно представлять данный округ, в том числе и в высших государственных органах.</w:t>
      </w:r>
    </w:p>
    <w:p w:rsidR="00000000" w:rsidRDefault="00000000">
      <w:pPr>
        <w:pStyle w:val="BodyText"/>
      </w:pPr>
      <w:r>
        <w:rPr>
          <w:color w:val="000000"/>
        </w:rPr>
        <w:t>276.</w:t>
      </w:r>
      <w:r>
        <w:rPr>
          <w:color w:val="000000"/>
        </w:rPr>
        <w:tab/>
        <w:t>Выдвинутые кандидатуры выносятся на прямое и тайное голосование, которое проводится во всех избирательных округах страны одновременно в течение одного дня. В случае если кандидаты набрали равное количество голосов или если никто из них не набрал положенных 50 процентов голосов, проводится второй тур голосования.</w:t>
      </w:r>
    </w:p>
    <w:p w:rsidR="00000000" w:rsidRDefault="00000000">
      <w:pPr>
        <w:pStyle w:val="BodyText"/>
      </w:pPr>
      <w:r>
        <w:rPr>
          <w:color w:val="000000"/>
        </w:rPr>
        <w:t>277.</w:t>
      </w:r>
      <w:r>
        <w:rPr>
          <w:color w:val="000000"/>
        </w:rPr>
        <w:tab/>
        <w:t>Следует отметить, что, хотя женщины и пользуются всеми законными правами и составляют 50 процентов избирателей, на процесс их выдвижения и избрания все еще влияют субъективные факторы, связанные с убеждениями, пре</w:t>
      </w:r>
      <w:r>
        <w:rPr>
          <w:color w:val="000000"/>
        </w:rPr>
        <w:t>д</w:t>
      </w:r>
      <w:r>
        <w:rPr>
          <w:color w:val="000000"/>
        </w:rPr>
        <w:t>рассудками и культурными стереотипами, унаследованными от классового общества, в котором имела место дискриминация по половому признаку, общества, в котором мужчине принадлежала сфера прои</w:t>
      </w:r>
      <w:r>
        <w:rPr>
          <w:color w:val="000000"/>
        </w:rPr>
        <w:t>з</w:t>
      </w:r>
      <w:r>
        <w:rPr>
          <w:color w:val="000000"/>
        </w:rPr>
        <w:t>водительного труда и государственной власти, а деятельность женщины ограничивалась заботами о д</w:t>
      </w:r>
      <w:r>
        <w:rPr>
          <w:color w:val="000000"/>
        </w:rPr>
        <w:t>о</w:t>
      </w:r>
      <w:r>
        <w:rPr>
          <w:color w:val="000000"/>
        </w:rPr>
        <w:t>ме и семье.</w:t>
      </w:r>
    </w:p>
    <w:p w:rsidR="00000000" w:rsidRDefault="00000000">
      <w:pPr>
        <w:pStyle w:val="BodyText"/>
      </w:pPr>
      <w:r>
        <w:rPr>
          <w:color w:val="000000"/>
        </w:rPr>
        <w:t>278.</w:t>
      </w:r>
      <w:r>
        <w:rPr>
          <w:color w:val="000000"/>
        </w:rPr>
        <w:tab/>
        <w:t>В 2002 году состоялись очередные всеобщие выборы. Хотя голосование на Кубе является свободным и добровольным, в этих выборах приняли участие 98,2 процента граждан, имеющих право голоса, которые путем прямого и тайного голосования избрали депутатов муниципальных ассамблей во всех округах и провинциях, а также депутатов Национальной ассамблеи.</w:t>
      </w:r>
    </w:p>
    <w:p w:rsidR="00000000" w:rsidRDefault="00000000">
      <w:pPr>
        <w:pStyle w:val="BodyText"/>
      </w:pPr>
      <w:r>
        <w:rPr>
          <w:color w:val="000000"/>
        </w:rPr>
        <w:t>279.</w:t>
      </w:r>
      <w:r>
        <w:rPr>
          <w:color w:val="000000"/>
        </w:rPr>
        <w:tab/>
        <w:t>Уровень участия женщин в этих выборах значительно возрос по сравнению со всеобщими выборами 1993, 1995, 1998 годов и частичными выборами 2000 года.</w:t>
      </w:r>
    </w:p>
    <w:p w:rsidR="00000000" w:rsidRDefault="00000000">
      <w:pPr>
        <w:pStyle w:val="BodyText"/>
      </w:pPr>
      <w:r>
        <w:rPr>
          <w:color w:val="000000"/>
        </w:rPr>
        <w:t>280.</w:t>
      </w:r>
      <w:r>
        <w:rPr>
          <w:color w:val="000000"/>
        </w:rPr>
        <w:tab/>
        <w:t>Депутатами от избирательных округов стали 3493 женщины, что составляет 23,37 процента от общего числа. В сравнении с предыдущими выборами их стало на 419 человек, или на 2,44 процентных пункта, больше. Эти женщины-депутаты от избирательных округов вошли в состав муниципальных ассамблей. Хотя этот показатель постоянно рос в течение всех прошлых лет, мы считаем, что он еще слишком низок, если учесть уровень профессионального и политического развития кубинских женщин.</w:t>
      </w:r>
    </w:p>
    <w:p w:rsidR="00000000" w:rsidRDefault="00000000">
      <w:pPr>
        <w:pStyle w:val="BodyText"/>
      </w:pPr>
      <w:r>
        <w:t>281.</w:t>
      </w:r>
      <w:r>
        <w:tab/>
        <w:t xml:space="preserve">В ходе этих выборов возросло число женщин – депутатов провинциальных ассамблей. </w:t>
      </w:r>
      <w:r>
        <w:rPr>
          <w:color w:val="000000"/>
        </w:rPr>
        <w:t xml:space="preserve">В них представлены 447 женщин, то есть 37,28 процента от общего числа депутатов, что значительно – на 106 мандатов, или на 8,68 процентных пункта, – выше показателей предыдущей избирательной кампании. </w:t>
      </w:r>
    </w:p>
    <w:p w:rsidR="00000000" w:rsidRDefault="00000000">
      <w:pPr>
        <w:pStyle w:val="BodyText"/>
      </w:pPr>
      <w:r>
        <w:t>282.</w:t>
      </w:r>
      <w:r>
        <w:tab/>
        <w:t xml:space="preserve">Возросло и число женщин на руководящих должностях в </w:t>
      </w:r>
      <w:r>
        <w:rPr>
          <w:color w:val="000000"/>
        </w:rPr>
        <w:t xml:space="preserve">муниципальных ассамблеях. По итогам избирательной кампании 2002 года женщины занимали должности секретарей 89 муниципальных ассамблей, что составляет 52,6 процента от их общего числа. </w:t>
      </w:r>
    </w:p>
    <w:p w:rsidR="00000000" w:rsidRDefault="00000000">
      <w:pPr>
        <w:pStyle w:val="BodyText"/>
      </w:pPr>
      <w:r>
        <w:rPr>
          <w:color w:val="000000"/>
        </w:rPr>
        <w:t>283.</w:t>
      </w:r>
      <w:r>
        <w:rPr>
          <w:color w:val="000000"/>
        </w:rPr>
        <w:tab/>
        <w:t>Среди депутатов Национальной ассамблеи последнего созыва 219 женщин, то есть 35,96 процента от общего числа. Увеличение составило 43 мандата, или 4,2 процентных пункта. По этому показателю – представленности женщин в парламенте – Куба находится на одном из первых мест в мире.</w:t>
      </w:r>
    </w:p>
    <w:p w:rsidR="00000000" w:rsidRDefault="00000000">
      <w:pPr>
        <w:pStyle w:val="BodyText"/>
      </w:pPr>
      <w:r>
        <w:rPr>
          <w:color w:val="000000"/>
        </w:rPr>
        <w:t>284.</w:t>
      </w:r>
      <w:r>
        <w:rPr>
          <w:color w:val="000000"/>
        </w:rPr>
        <w:tab/>
        <w:t>Женщины принимают активное участие в деятельности постоянных рабочих комиссий, созданных при органах народной власти разных уровней, начиная от муниципалитетов и заканчивая Национальной ассамблеей.</w:t>
      </w:r>
    </w:p>
    <w:p w:rsidR="00000000" w:rsidRDefault="00000000">
      <w:pPr>
        <w:pStyle w:val="BodyText"/>
      </w:pPr>
      <w:r>
        <w:rPr>
          <w:color w:val="000000"/>
        </w:rPr>
        <w:t>285.</w:t>
      </w:r>
      <w:r>
        <w:rPr>
          <w:color w:val="000000"/>
        </w:rPr>
        <w:tab/>
        <w:t>В Национальной ассамблее женщины руководят работой трех комиссий: Комиссии по вопросам детства, юношества и женского равноправия, Комиссии по вопросам сектора обслуживания и Комиссии по вопросам образования, культуры, науки и техники.</w:t>
      </w:r>
    </w:p>
    <w:p w:rsidR="00000000" w:rsidRDefault="00000000">
      <w:pPr>
        <w:pStyle w:val="BodyText"/>
      </w:pPr>
      <w:r>
        <w:rPr>
          <w:color w:val="000000"/>
        </w:rPr>
        <w:t>286.</w:t>
      </w:r>
      <w:r>
        <w:rPr>
          <w:color w:val="000000"/>
        </w:rPr>
        <w:tab/>
        <w:t xml:space="preserve">Несмотря на нынешние тяжелые экономические условия в стране, в этой пятилетке были предприняты огромные усилия для расширения представительства и участия женщин в органах управления на муниципальном, провинциальном и национальном уровнях. </w:t>
      </w:r>
    </w:p>
    <w:p w:rsidR="00000000" w:rsidRDefault="00000000">
      <w:pPr>
        <w:pStyle w:val="BodyText"/>
      </w:pPr>
      <w:r>
        <w:rPr>
          <w:color w:val="000000"/>
        </w:rPr>
        <w:t>287.</w:t>
      </w:r>
      <w:r>
        <w:rPr>
          <w:color w:val="000000"/>
        </w:rPr>
        <w:tab/>
        <w:t>В период проведения выборов Федерация кубинских женщин как национальная организация, призванная обеспечить равенство женщин, не осталась в стороне от предвыборного процесса и выдвинула несколько инициатив, которые дали положительные результаты. В подготовке и осущес</w:t>
      </w:r>
      <w:r>
        <w:rPr>
          <w:color w:val="000000"/>
        </w:rPr>
        <w:t>т</w:t>
      </w:r>
      <w:r>
        <w:rPr>
          <w:color w:val="000000"/>
        </w:rPr>
        <w:t>влении данных инициатив она пользовалась всемерной поддержкой органов народной власти всех уровней.</w:t>
      </w:r>
    </w:p>
    <w:p w:rsidR="00000000" w:rsidRDefault="00000000">
      <w:pPr>
        <w:pStyle w:val="BodyText"/>
      </w:pPr>
      <w:r>
        <w:rPr>
          <w:color w:val="000000"/>
        </w:rPr>
        <w:t>288.</w:t>
      </w:r>
      <w:r>
        <w:rPr>
          <w:color w:val="000000"/>
        </w:rPr>
        <w:tab/>
        <w:t xml:space="preserve">Был издан сборник материалов под названием "Выбрать депутатами лучших из женщин", который предварительно обсуждался на местном уровне на собраниях более чем в 76 тыс. первичных организаций Федерации кубинских женщин, причем в ряде случаев активное участие в обсуждениях принимали мужчины. Именно эти открытые обсуждения являются одним из важнейших направлений просветительской работы и работы по повышению сознательности населения, цель которой – обеспечить равноправное участие женщин и мужчин в социальной и политической жизни страны. </w:t>
      </w:r>
    </w:p>
    <w:p w:rsidR="00000000" w:rsidRDefault="00000000">
      <w:pPr>
        <w:pStyle w:val="BodyText"/>
      </w:pPr>
      <w:r>
        <w:rPr>
          <w:color w:val="000000"/>
        </w:rPr>
        <w:t>289.</w:t>
      </w:r>
      <w:r>
        <w:rPr>
          <w:color w:val="000000"/>
        </w:rPr>
        <w:tab/>
        <w:t xml:space="preserve">Женщины – члены массовых и студенческих организаций – составили большинство членов комиссий по выдвижению кандидатур в провинциальные и муниципальные органы и в Национальную ассамблею, что также свидетельствует о важной роли женщин в избирательном процессе на Кубе. </w:t>
      </w:r>
    </w:p>
    <w:p w:rsidR="00000000" w:rsidRDefault="00000000">
      <w:pPr>
        <w:pStyle w:val="BodyText"/>
      </w:pPr>
      <w:r>
        <w:t>290.</w:t>
      </w:r>
      <w:r>
        <w:tab/>
        <w:t xml:space="preserve">Руководители Федерации кубинских женщин участвуют </w:t>
      </w:r>
      <w:r>
        <w:rPr>
          <w:color w:val="000000"/>
        </w:rPr>
        <w:t>в работе провинциальных и муниципальных комиссий по выдвижению кандидатур в Национальную ассамблею, что, в полном соответствии с функциями, возложенными на эти комиссии, способствовало выдвижению лучших из женщин кандидатами в депутаты Национальной ассамблеи и провинциальных ассамблей</w:t>
      </w:r>
      <w:r>
        <w:t xml:space="preserve">. </w:t>
      </w:r>
    </w:p>
    <w:p w:rsidR="00000000" w:rsidRDefault="00000000">
      <w:pPr>
        <w:pStyle w:val="BodyText"/>
      </w:pPr>
      <w:r>
        <w:t>291.</w:t>
      </w:r>
      <w:r>
        <w:tab/>
        <w:t xml:space="preserve">В течение всего отчетного периода проводились </w:t>
      </w:r>
      <w:r>
        <w:rPr>
          <w:color w:val="000000"/>
        </w:rPr>
        <w:t xml:space="preserve">встречи с женщинами-депутатами для ознакомления с результатами их деятельности и обсуждения гендерных вопросов, проблем равенства, самооценки и лидерства. Тем самым обеспечивалась бóльшая готовность женщин брать на себя ответственность перед избирателями. </w:t>
      </w:r>
    </w:p>
    <w:p w:rsidR="00000000" w:rsidRDefault="00000000">
      <w:pPr>
        <w:pStyle w:val="BodyText"/>
      </w:pPr>
      <w:r>
        <w:t>292.</w:t>
      </w:r>
      <w:r>
        <w:tab/>
        <w:t xml:space="preserve">Систематически проводилась оценка участия женщин во всеобщих и частичных выборах и в работе органов власти всех уровней, что обеспечивало действенную реализацию мероприятий, запланированных для достижения этой цели. </w:t>
      </w:r>
    </w:p>
    <w:p w:rsidR="00000000" w:rsidRDefault="00000000">
      <w:pPr>
        <w:pStyle w:val="BodyText"/>
      </w:pPr>
      <w:r>
        <w:rPr>
          <w:color w:val="000000"/>
        </w:rPr>
        <w:t>293.</w:t>
      </w:r>
      <w:r>
        <w:rPr>
          <w:color w:val="000000"/>
        </w:rPr>
        <w:tab/>
        <w:t>Демократия на Кубе зиждется на прямом участии народа в принятии решений исполнительной и законодательной властями. Женщины, как и остальные граждане, участвуют в формировании государственной политики.</w:t>
      </w:r>
    </w:p>
    <w:p w:rsidR="00000000" w:rsidRDefault="00000000">
      <w:pPr>
        <w:pStyle w:val="BodyText"/>
      </w:pPr>
      <w:r>
        <w:rPr>
          <w:color w:val="000000"/>
        </w:rPr>
        <w:t>294.</w:t>
      </w:r>
      <w:r>
        <w:rPr>
          <w:color w:val="000000"/>
        </w:rPr>
        <w:tab/>
        <w:t>Создание необходимых условий для обеспечения юридического равноправия женщин, их культурного развития, технической и профессиональной подготовки, привлечение женщин к общественно поле</w:t>
      </w:r>
      <w:r>
        <w:rPr>
          <w:color w:val="000000"/>
        </w:rPr>
        <w:t>з</w:t>
      </w:r>
      <w:r>
        <w:rPr>
          <w:color w:val="000000"/>
        </w:rPr>
        <w:t>ному труду, поощрение их участия в политической жизни страны и коренное изменение положения женщин в обществе стимулируют кубинских женщин к участию в политической жизни страны и всемерно сп</w:t>
      </w:r>
      <w:r>
        <w:rPr>
          <w:color w:val="000000"/>
        </w:rPr>
        <w:t>о</w:t>
      </w:r>
      <w:r>
        <w:rPr>
          <w:color w:val="000000"/>
        </w:rPr>
        <w:t>собствуют повышению их роли в этом процессе.</w:t>
      </w:r>
    </w:p>
    <w:p w:rsidR="00000000" w:rsidRDefault="00000000">
      <w:pPr>
        <w:pStyle w:val="BodyText"/>
      </w:pPr>
      <w:r>
        <w:t>295.</w:t>
      </w:r>
      <w:r>
        <w:tab/>
        <w:t xml:space="preserve">Провинциальные и муниципальные административные советы, комитеты ФКЖ всех уровней и руководящие советы центральных органов государственной власти регулярно </w:t>
      </w:r>
      <w:r>
        <w:rPr>
          <w:color w:val="000000"/>
        </w:rPr>
        <w:t>проводят исследования по оценке положения женщин, с тем чтобы определить достигнутые успехи и имеющиеся трудности и продолжать работу по устранению объективных и субъе</w:t>
      </w:r>
      <w:r>
        <w:rPr>
          <w:color w:val="000000"/>
        </w:rPr>
        <w:t>к</w:t>
      </w:r>
      <w:r>
        <w:rPr>
          <w:color w:val="000000"/>
        </w:rPr>
        <w:t>тивных факторов, препятствующих увеличению числа женщин на ответственных и руководящих дол</w:t>
      </w:r>
      <w:r>
        <w:rPr>
          <w:color w:val="000000"/>
        </w:rPr>
        <w:t>ж</w:t>
      </w:r>
      <w:r>
        <w:rPr>
          <w:color w:val="000000"/>
        </w:rPr>
        <w:t>ностях.</w:t>
      </w:r>
    </w:p>
    <w:p w:rsidR="00000000" w:rsidRDefault="00000000">
      <w:pPr>
        <w:pStyle w:val="BodyText"/>
      </w:pPr>
      <w:r>
        <w:rPr>
          <w:color w:val="000000"/>
        </w:rPr>
        <w:t>296.</w:t>
      </w:r>
      <w:r>
        <w:rPr>
          <w:color w:val="000000"/>
        </w:rPr>
        <w:tab/>
      </w:r>
      <w:r>
        <w:rPr>
          <w:i/>
          <w:color w:val="000000"/>
        </w:rPr>
        <w:t>Декрет-закон, регулирующий подготовку, трудоустройство и повышение квалификации государс</w:t>
      </w:r>
      <w:r>
        <w:rPr>
          <w:i/>
          <w:color w:val="000000"/>
        </w:rPr>
        <w:t>т</w:t>
      </w:r>
      <w:r>
        <w:rPr>
          <w:i/>
          <w:color w:val="000000"/>
        </w:rPr>
        <w:t>венных служащих</w:t>
      </w:r>
      <w:r>
        <w:rPr>
          <w:color w:val="000000"/>
        </w:rPr>
        <w:t>, предусматривает необходимость продолжения работы по организации профессионально-технической подготовки, повышения квалификации и переобучения женщин и выдвижения их на руководящие посты. Эта политика позволила увеличить к настоящему времени число женщин, внесенных в списки резерва на выдвижение на различные посты в государственном аппарате.</w:t>
      </w:r>
    </w:p>
    <w:p w:rsidR="00000000" w:rsidRDefault="00000000">
      <w:pPr>
        <w:pStyle w:val="BodyText"/>
      </w:pPr>
      <w:r>
        <w:t>297.</w:t>
      </w:r>
      <w:r>
        <w:tab/>
        <w:t xml:space="preserve">Центральная комиссия по государственным кадрам приняла решение со второго полугодия 2002 года при распределении кадрового резерва исходить из принципа равного количественного соотношения представителей обоих полов, а с 2003 года для принятия окончательного решения выдвигать на равных условиях одну мужскую и одну женскую кандидатуры, чтобы решение принималось на основе одинаковых требований к ним. </w:t>
      </w:r>
    </w:p>
    <w:p w:rsidR="00000000" w:rsidRDefault="00000000">
      <w:pPr>
        <w:pStyle w:val="BodyText"/>
      </w:pPr>
      <w:r>
        <w:rPr>
          <w:color w:val="000000"/>
        </w:rPr>
        <w:t>298.</w:t>
      </w:r>
      <w:r>
        <w:rPr>
          <w:color w:val="000000"/>
        </w:rPr>
        <w:tab/>
        <w:t xml:space="preserve">На всех уровнях управления, от центрального правительства и до муниципалитетов, действуют </w:t>
      </w:r>
      <w:r>
        <w:rPr>
          <w:i/>
          <w:color w:val="000000"/>
        </w:rPr>
        <w:t>комиссии по кадрам</w:t>
      </w:r>
      <w:r>
        <w:rPr>
          <w:color w:val="000000"/>
        </w:rPr>
        <w:t>, созданные правительством для всестороннего и взвешенного рассмотрения вопросов выдвижения женщин на руководящие должности.</w:t>
      </w:r>
    </w:p>
    <w:p w:rsidR="00000000" w:rsidRDefault="00000000">
      <w:pPr>
        <w:pStyle w:val="BodyText"/>
      </w:pPr>
      <w:r>
        <w:rPr>
          <w:color w:val="000000"/>
        </w:rPr>
        <w:t>299.</w:t>
      </w:r>
      <w:r>
        <w:rPr>
          <w:color w:val="000000"/>
        </w:rPr>
        <w:tab/>
        <w:t>Министерства, исследовательские центры при министерствах, а также высшие учебные заведения проводят различные исследования и мероприятия, в ходе которых анализируется указанный круг вопросов. Результаты этой работы ложатся в основу работы комиссий по кадрам и системы профессиональной подготовки.</w:t>
      </w:r>
    </w:p>
    <w:p w:rsidR="00000000" w:rsidRDefault="00000000">
      <w:pPr>
        <w:pStyle w:val="BodyText"/>
        <w:spacing w:after="200"/>
      </w:pPr>
      <w:r>
        <w:rPr>
          <w:color w:val="000000"/>
        </w:rPr>
        <w:t>300.</w:t>
      </w:r>
      <w:r>
        <w:rPr>
          <w:color w:val="000000"/>
        </w:rPr>
        <w:tab/>
        <w:t>Достижение этой цели включено также в задачи и функции комиссий по вопросам занятости женщин, которые систематически отслеживают процесс продвижения женщин на руководящие должности, внесение их в списки резерва на всех уровнях, а также существующие ограничения для их работы на руководящих должностях.</w:t>
      </w:r>
    </w:p>
    <w:p w:rsidR="00000000" w:rsidRDefault="00000000">
      <w:pPr>
        <w:pStyle w:val="BodyText"/>
        <w:spacing w:after="200"/>
      </w:pPr>
      <w:r>
        <w:rPr>
          <w:color w:val="000000"/>
        </w:rPr>
        <w:t>301.</w:t>
      </w:r>
      <w:r>
        <w:rPr>
          <w:color w:val="000000"/>
        </w:rPr>
        <w:tab/>
        <w:t>Начиная с 1996 года отмечается неуклонное увеличение числа женщин на руководящих должностях в государственном аппарате. В 1996 году женщины составляли 30,1 процента руководящих государс</w:t>
      </w:r>
      <w:r>
        <w:rPr>
          <w:color w:val="000000"/>
        </w:rPr>
        <w:t>т</w:t>
      </w:r>
      <w:r>
        <w:rPr>
          <w:color w:val="000000"/>
        </w:rPr>
        <w:t>венных служащих, в 1998 году – 31,1 процента, в 2000 году – 33,3 процента, а в 2002 году – 34,5 процента. В абсолютных показателях число женщин на рук</w:t>
      </w:r>
      <w:r>
        <w:rPr>
          <w:color w:val="000000"/>
        </w:rPr>
        <w:t>о</w:t>
      </w:r>
      <w:r>
        <w:rPr>
          <w:color w:val="000000"/>
        </w:rPr>
        <w:t>водящих должностях составило 95 314. Этот показатель существенно увеличился во всех провинциях страны.</w:t>
      </w:r>
    </w:p>
    <w:p w:rsidR="00000000" w:rsidRDefault="00000000">
      <w:pPr>
        <w:pStyle w:val="BodyText"/>
        <w:spacing w:after="200"/>
      </w:pPr>
      <w:r>
        <w:rPr>
          <w:color w:val="000000"/>
        </w:rPr>
        <w:t>302.</w:t>
      </w:r>
      <w:r>
        <w:rPr>
          <w:color w:val="000000"/>
        </w:rPr>
        <w:tab/>
        <w:t>В настоящее время 6 женщин занимают посты министров, возглавляя Министерство науки, технологии и охраны окружающей среды, Министерство внутренней торговли, Министерство иностранных капиталовложений и экономического сотрудничества, Министерство аудита и контроля, Министерство легкой промышленности и Министерство финансов и цен.</w:t>
      </w:r>
    </w:p>
    <w:p w:rsidR="00000000" w:rsidRDefault="00000000">
      <w:pPr>
        <w:pStyle w:val="BodyText"/>
        <w:spacing w:after="200"/>
      </w:pPr>
      <w:r>
        <w:t>303.</w:t>
      </w:r>
      <w:r>
        <w:tab/>
        <w:t xml:space="preserve">Число женщин на должностях заместителей министров возросло с 12 в 1996 году и 17 в 1999 году до 29 в 2002 году. В последние годы женщины заняли эти должности в таких не традиционных для них органах, как, например, </w:t>
      </w:r>
      <w:r>
        <w:rPr>
          <w:color w:val="000000"/>
        </w:rPr>
        <w:t>Министерство металлургической промышленности и машиностроения (2 человека), Министерство информатики и коммуникаций (2 человека), Министерство транспорта (2 человека), Министерство строительства (1 человек), Министерство сельского хозяйства (1 человек), Министерство гражданской авиации (1 человек).</w:t>
      </w:r>
    </w:p>
    <w:p w:rsidR="00000000" w:rsidRDefault="00000000">
      <w:pPr>
        <w:pStyle w:val="BodyText"/>
        <w:spacing w:after="200"/>
      </w:pPr>
      <w:r>
        <w:rPr>
          <w:color w:val="000000"/>
        </w:rPr>
        <w:t>304.</w:t>
      </w:r>
      <w:r>
        <w:rPr>
          <w:color w:val="000000"/>
        </w:rPr>
        <w:tab/>
        <w:t xml:space="preserve">В судебно-правовой системе Кубы представленность женщин по сравнению с данными за 1999 год возросла. Так, женщины составляют 71 процент прокуроров, что превышает показатель 1999 года, составлявший 65 процентов, а на руководящих должностях прокуратуры их доля достигает 60 процентов, в то время как в 1999 году соответствующий показатель составлял 49 процентов. Женщины составляют 66,3 процента профессиональных судей, что значительно выше показателя 1999 года, когда их доля составляла 49 процентов. Следует отметить, что 71,4 процента председателей провинциальных судов являются женщинами. В Министерстве юстиции женщины занимают 40,4 процента руководящих должностей и составляют 42,8 процента руководителей его провинциальных управлений. В том же ведомстве одна женщина является заместителем Верховного народного суда, а еще одна – заместителем министра. </w:t>
      </w:r>
    </w:p>
    <w:p w:rsidR="00000000" w:rsidRDefault="00000000">
      <w:pPr>
        <w:pStyle w:val="BodyText"/>
        <w:spacing w:after="200"/>
      </w:pPr>
      <w:r>
        <w:rPr>
          <w:color w:val="000000"/>
        </w:rPr>
        <w:t>305.</w:t>
      </w:r>
      <w:r>
        <w:rPr>
          <w:color w:val="000000"/>
        </w:rPr>
        <w:tab/>
        <w:t>В Министерстве просвещения на руководящих должностях работают 4425 женщин, что составляет 56,3 процента руководящих сотрудников. Должности заместителей министров занимают 2 женщины, 14 женщин – должности руководителей управлений или заведующих отделами в центральном аппарате Министерства, 5 женщин являются ректорами педагогических институтов (31,3 процента от их общего числа), 24 – прорект</w:t>
      </w:r>
      <w:r>
        <w:rPr>
          <w:color w:val="000000"/>
        </w:rPr>
        <w:t>о</w:t>
      </w:r>
      <w:r>
        <w:rPr>
          <w:color w:val="000000"/>
        </w:rPr>
        <w:t xml:space="preserve">рами и 30 – деканами. Женщины составляют 69,6 процента резерва руководящих кадров Министерства. </w:t>
      </w:r>
    </w:p>
    <w:p w:rsidR="00000000" w:rsidRDefault="00000000">
      <w:pPr>
        <w:pStyle w:val="BodyText"/>
      </w:pPr>
      <w:r>
        <w:rPr>
          <w:color w:val="000000"/>
        </w:rPr>
        <w:t>306.</w:t>
      </w:r>
      <w:r>
        <w:rPr>
          <w:color w:val="000000"/>
        </w:rPr>
        <w:tab/>
        <w:t xml:space="preserve">В Министерстве высшего образования женщины на руководящей работе составляют: в центральном аппарате – 36 процентов, среди высшего руководства – 30 процентов, причем женщина занимает пост заместителя министра. Среди руководителей отделов по учебной работе женщины составляют 45 процентов, среди деканов – 32 процента, проректоров – 30 процентов и ректоров – 7 процентов. Женщины составляют 42,6 процента преподавательского состава. </w:t>
      </w:r>
    </w:p>
    <w:p w:rsidR="00000000" w:rsidRDefault="00000000">
      <w:pPr>
        <w:pStyle w:val="BodyText"/>
      </w:pPr>
      <w:r>
        <w:rPr>
          <w:color w:val="000000"/>
        </w:rPr>
        <w:t>307.</w:t>
      </w:r>
      <w:r>
        <w:rPr>
          <w:color w:val="000000"/>
        </w:rPr>
        <w:tab/>
        <w:t>Сахарное производство до победы Революции представляло собой отрасль, практически закрытую для женщин. В настоящее время в Министерстве сахарной промышленности женщины составляют 21 процент сотрудников. Всего в различных подразделениях этого ведомства работают 590 женщин, они же занимают здесь 9 процентов руководящих должностей. В частности, 5 женщин находятся на руководящих должностях в центральном аппарате Министерства, 70 являются руководителями отделов, 44 – заместителями директора, 41 – директорами предприятий, причем 9 из них – руководителями агропромышленных комплексов и 1 – директором производственного объединения в провинции Ольгин.</w:t>
      </w:r>
    </w:p>
    <w:p w:rsidR="00000000" w:rsidRDefault="00000000">
      <w:pPr>
        <w:pStyle w:val="BodyText"/>
      </w:pPr>
      <w:r>
        <w:rPr>
          <w:color w:val="000000"/>
        </w:rPr>
        <w:t>308.</w:t>
      </w:r>
      <w:r>
        <w:rPr>
          <w:color w:val="000000"/>
        </w:rPr>
        <w:tab/>
        <w:t>В Министерстве внутренней торговли кроме поста министра женщины занимают следующие руководящие должности: 2 – заместителей министра, 3 – директоров национальных произво</w:t>
      </w:r>
      <w:r>
        <w:rPr>
          <w:color w:val="000000"/>
        </w:rPr>
        <w:t>д</w:t>
      </w:r>
      <w:r>
        <w:rPr>
          <w:color w:val="000000"/>
        </w:rPr>
        <w:t>ственных объединений, 5 являются ответственными работниками центрального аппарата и впервые женщина занимает должность руководителя отдела торговли провинциального управления.</w:t>
      </w:r>
    </w:p>
    <w:p w:rsidR="00000000" w:rsidRDefault="00000000">
      <w:pPr>
        <w:pStyle w:val="BodyText"/>
      </w:pPr>
      <w:r>
        <w:t>309.</w:t>
      </w:r>
      <w:r>
        <w:tab/>
        <w:t xml:space="preserve">В Министерстве легкой промышленности, в котором женщины занимают посты министра и одного из заместителей министра, 62 процента сотрудников – женщины. Женщины занимают 47 процентов руководящих должностей в центральном аппарате и возглавляют 21 национальное предприятие. </w:t>
      </w:r>
    </w:p>
    <w:p w:rsidR="00000000" w:rsidRDefault="00000000">
      <w:pPr>
        <w:pStyle w:val="BodyText"/>
      </w:pPr>
      <w:r>
        <w:t>310.</w:t>
      </w:r>
      <w:r>
        <w:tab/>
        <w:t xml:space="preserve">В Министерстве науки, где женщины занимают должности министра и двух заместителей министра, они составляют 35,5 процента руководящих работников (в 2000 году этот показатель составил 27 процентов). К другим важным должностям, занимаемым женщинами, относятся 2 должности директоров агентств (в ранге заместителей министра), 21 должность национальных руководителей отдельных отраслей и 4 должности представителей в провинциях. Кроме того, женщины составляют 24 процента руководителей исследовательских центров, 56,8 процента технических и 48 процентов научных работников. </w:t>
      </w:r>
    </w:p>
    <w:p w:rsidR="00000000" w:rsidRDefault="00000000">
      <w:pPr>
        <w:pStyle w:val="BodyText"/>
      </w:pPr>
      <w:r>
        <w:t>311.</w:t>
      </w:r>
      <w:r>
        <w:tab/>
        <w:t xml:space="preserve">В Министерстве туризма очевидна тенденция к увеличению числа женщин на руководящих должностях: в настоящее время они составляют 24,1 процента руководителей отделов, тогда как в 2000 году этот показатель равнялся 23,3 процента. Должность заместителя министра в этом Министерстве занимает женщина, и все шире ведется подготовка к тому, чтобы выдвигать женщин и на другие должности, в том числе на те, которые традиционно занимали мужчины. </w:t>
      </w:r>
    </w:p>
    <w:p w:rsidR="00000000" w:rsidRDefault="00000000">
      <w:pPr>
        <w:pStyle w:val="BodyText"/>
      </w:pPr>
      <w:r>
        <w:rPr>
          <w:color w:val="000000"/>
        </w:rPr>
        <w:t>312.</w:t>
      </w:r>
      <w:r>
        <w:rPr>
          <w:color w:val="000000"/>
        </w:rPr>
        <w:tab/>
        <w:t xml:space="preserve">В Министерстве информатики и коммуникаций число женщин среди сотрудников составило 49,5 процента. Среди руководителей высшего уровня 26 процентов составляют женщины, что выше показателя 2000 года, равного 23,5 процента. В настоящее время два заместителя министра – женщины. В этой отрасли, которая должна сыграть важную роль в кубинской стратегии развития, девушки составляют половину из 2 тыс. студентов, которые приступили к занятиям в новом Университете информационных наук, открывшемся в сентябре 2003 года. </w:t>
      </w:r>
    </w:p>
    <w:p w:rsidR="00000000" w:rsidRDefault="00000000">
      <w:pPr>
        <w:pStyle w:val="BodyText"/>
      </w:pPr>
      <w:r>
        <w:rPr>
          <w:color w:val="000000"/>
        </w:rPr>
        <w:t>313.</w:t>
      </w:r>
      <w:r>
        <w:rPr>
          <w:color w:val="000000"/>
        </w:rPr>
        <w:tab/>
        <w:t>В остальных отраслях экономики женщинам также удается постепенно продвигаться по служебной лестнице. Среди общего числа руководителей женщины составляют, например, в сфере здравоохранения 46 процентов, культуры – 34,5 процента, в металлургии и машиностроении – 16 процентов и на транспорте – 15 процентов.</w:t>
      </w:r>
    </w:p>
    <w:p w:rsidR="00000000" w:rsidRDefault="00000000">
      <w:pPr>
        <w:pStyle w:val="BodyText"/>
      </w:pPr>
      <w:r>
        <w:rPr>
          <w:color w:val="000000"/>
        </w:rPr>
        <w:t>314.</w:t>
      </w:r>
      <w:r>
        <w:rPr>
          <w:color w:val="000000"/>
        </w:rPr>
        <w:tab/>
        <w:t>Разработанная стратегия дала возможность оценить положение дел в каждой отрасли и, при участии различных государственных учреждений, принять ряд конкретных мер, проводя, например, встречи с женщинами-руководителями во всех провинциях страны и на национальном уровне, в ходе которых обсуждались многие важные вопросы, давшие обширный материал для размышлений и анализа и тем самым способствовавшие приобщению женщин к такого рода деятельности.</w:t>
      </w:r>
    </w:p>
    <w:p w:rsidR="00000000" w:rsidRDefault="00000000">
      <w:pPr>
        <w:pStyle w:val="BodyText"/>
      </w:pPr>
      <w:r>
        <w:rPr>
          <w:color w:val="000000"/>
        </w:rPr>
        <w:t>315.</w:t>
      </w:r>
      <w:r>
        <w:rPr>
          <w:color w:val="000000"/>
        </w:rPr>
        <w:tab/>
        <w:t>Ширится процесс признания способности женщин работать на руководящих должностях различного уровня, начиная с государственных органов, массовых организаций, профсоюзов и заканчивая семьей и общиной.</w:t>
      </w:r>
    </w:p>
    <w:p w:rsidR="00000000" w:rsidRDefault="00000000">
      <w:pPr>
        <w:pStyle w:val="BodyText"/>
      </w:pPr>
      <w:r>
        <w:rPr>
          <w:color w:val="000000"/>
        </w:rPr>
        <w:t>316.</w:t>
      </w:r>
      <w:r>
        <w:rPr>
          <w:color w:val="000000"/>
        </w:rPr>
        <w:tab/>
        <w:t>Продолжались исследования по теме "Женщины на руководящих должностях", и в настоящее время некоторые учреждения уже используют на практике результаты ранее проведенных исследований</w:t>
      </w:r>
      <w:r>
        <w:t xml:space="preserve">. </w:t>
      </w:r>
    </w:p>
    <w:p w:rsidR="00000000" w:rsidRDefault="00000000">
      <w:pPr>
        <w:pStyle w:val="BodyText"/>
      </w:pPr>
      <w:r>
        <w:rPr>
          <w:color w:val="000000"/>
        </w:rPr>
        <w:t>317.</w:t>
      </w:r>
      <w:r>
        <w:rPr>
          <w:color w:val="000000"/>
        </w:rPr>
        <w:tab/>
        <w:t>На общенациональном уровне проведено исследование под названием "Учет гендерных факторов при отборе и выдвижении кадров и кадрового резерва".</w:t>
      </w:r>
    </w:p>
    <w:p w:rsidR="00000000" w:rsidRDefault="00000000">
      <w:pPr>
        <w:pStyle w:val="BodyText"/>
      </w:pPr>
      <w:r>
        <w:rPr>
          <w:color w:val="000000"/>
        </w:rPr>
        <w:t>318.</w:t>
      </w:r>
      <w:r>
        <w:rPr>
          <w:color w:val="000000"/>
        </w:rPr>
        <w:tab/>
        <w:t>Кубинским женщинам гарантируется, на основе равенства возможностей с мужчинами, право участия в неправительственных организациях. На Кубе имеется необходимая и адекватная правовая основа для обеспечения интересов лиц, желающих создать объединения с целью осуществления общественно полезной деятельности. Это пр</w:t>
      </w:r>
      <w:r>
        <w:rPr>
          <w:color w:val="000000"/>
        </w:rPr>
        <w:t>е</w:t>
      </w:r>
      <w:r>
        <w:rPr>
          <w:color w:val="000000"/>
        </w:rPr>
        <w:t>дусматривается в статье 54 Конституции Республики и Законе № 54 от 27 декабря 1985 года "Об а</w:t>
      </w:r>
      <w:r>
        <w:rPr>
          <w:color w:val="000000"/>
        </w:rPr>
        <w:t>с</w:t>
      </w:r>
      <w:r>
        <w:rPr>
          <w:color w:val="000000"/>
        </w:rPr>
        <w:t xml:space="preserve">социациях", в которых регулируются деятельность и процедура регистрации таких объединений. На Кубе в настоящее время зарегистрировано свыше 2200 неправительственных организаций, различающихся по своему характеру, структуре, членскому составу и задачам. </w:t>
      </w:r>
    </w:p>
    <w:p w:rsidR="00000000" w:rsidRDefault="00000000">
      <w:pPr>
        <w:pStyle w:val="BodyText"/>
      </w:pPr>
      <w:r>
        <w:t>319.</w:t>
      </w:r>
      <w:r>
        <w:tab/>
        <w:t xml:space="preserve">Кубинки являются членами Профцентра трудящихся Кубы (ПТК) – организации, объединяющей трудящихся страны – членов профсоюзов. Членами профсоюзов являются 1 412 125 женщин, что составляет 45,3 процента от общего числа членов этой организации. Женщины занимают 49 процентов постов освобожденных руководителей ПТК и широко представлены в его Национальном совете, где они составляют 47,6 процента. Женщины возглавляют 5 национальных профсоюзов и 52,8 процента первичных профсоюзных организаций. </w:t>
      </w:r>
    </w:p>
    <w:p w:rsidR="00000000" w:rsidRDefault="00000000">
      <w:pPr>
        <w:pStyle w:val="BodyText"/>
      </w:pPr>
      <w:r>
        <w:t>320.</w:t>
      </w:r>
      <w:r>
        <w:tab/>
        <w:t>Крестьянки, как члены кооперативов, так и не входящие в них, объединены в рядах Национальной ассоциации мелких земледельцев (НАМЗ), где они составляют 18,3 процента общего числа ее членов.</w:t>
      </w:r>
    </w:p>
    <w:p w:rsidR="00000000" w:rsidRDefault="00000000">
      <w:pPr>
        <w:pStyle w:val="BodyText"/>
      </w:pPr>
      <w:r>
        <w:t>321.</w:t>
      </w:r>
      <w:r>
        <w:tab/>
        <w:t xml:space="preserve">Женщины-крестьянки участвуют также в деятельности кооперативов и первичных организаций НАМЗ и занимают здесь руководящие должности. В 1998 году женщины составляли 22 процента от общего числа руководителей этого уровня, а в конце 2003 года – 33 процента. В настоящее время 77 женщин являются председателями кооперативов. </w:t>
      </w:r>
    </w:p>
    <w:p w:rsidR="00000000" w:rsidRDefault="00000000">
      <w:pPr>
        <w:pStyle w:val="BodyText"/>
      </w:pPr>
      <w:r>
        <w:t>322.</w:t>
      </w:r>
      <w:r>
        <w:tab/>
        <w:t>За последние годы увеличилось число женщин на выборных должностях в рамках НАМЗ. Так, 21 женщина являются председателями муниципальных организаций, 212 женщин – членами секретариатов этого уровня, 22 – членами секретариатов провинций, а 3 – членами Национального бюро НАМЗ.</w:t>
      </w:r>
    </w:p>
    <w:p w:rsidR="00000000" w:rsidRDefault="00000000">
      <w:pPr>
        <w:pStyle w:val="BodyText"/>
      </w:pPr>
      <w:r>
        <w:t>323.</w:t>
      </w:r>
      <w:r>
        <w:tab/>
        <w:t xml:space="preserve">Хотя такие темпы роста и невелики, они свидетельствуют о том, что политика этой организации находится в русле задач, поставленных в Национальном плане действий, и оказывает положительное воздействие на осознание кубинскими крестьянами необходимости обеспечивать равное участие мужчин и женщин в социальной и экономической жизни сельских районов. </w:t>
      </w:r>
    </w:p>
    <w:p w:rsidR="00000000" w:rsidRDefault="00000000">
      <w:pPr>
        <w:pStyle w:val="BodyText"/>
      </w:pPr>
      <w:r>
        <w:rPr>
          <w:color w:val="000000"/>
        </w:rPr>
        <w:t>324.</w:t>
      </w:r>
      <w:r>
        <w:rPr>
          <w:color w:val="000000"/>
        </w:rPr>
        <w:tab/>
        <w:t>Ни одна из важных задач не была бы решена, ни один из значительных успехов в выполнении программ в области развития и социальных программ не был бы достигнут без массового, активного и сознательного участия кубинского народа и его самых массовых и представительных организаций.</w:t>
      </w:r>
    </w:p>
    <w:p w:rsidR="00000000" w:rsidRDefault="00000000">
      <w:pPr>
        <w:pStyle w:val="BodyText"/>
      </w:pPr>
      <w:r>
        <w:rPr>
          <w:color w:val="000000"/>
        </w:rPr>
        <w:t>325.</w:t>
      </w:r>
      <w:r>
        <w:rPr>
          <w:color w:val="000000"/>
        </w:rPr>
        <w:tab/>
        <w:t>С одной стороны, у нас есть политическая воля, а с другой – имеется множество талантливых женщин, с помощью которых становится выполнимой одна из главных задач: достижение подлинного женского равноправия. Именно на это – и на осознание этой задачи не только женщинами, но и семьей и обществом в целом – и направлена деятельность государства в сотрудничестве с ФКЖ и другими массовыми, обществе</w:t>
      </w:r>
      <w:r>
        <w:rPr>
          <w:color w:val="000000"/>
        </w:rPr>
        <w:t>н</w:t>
      </w:r>
      <w:r>
        <w:rPr>
          <w:color w:val="000000"/>
        </w:rPr>
        <w:t>ными и профессиональными организациями.</w:t>
      </w:r>
    </w:p>
    <w:p w:rsidR="00000000" w:rsidRDefault="00000000">
      <w:pPr>
        <w:pStyle w:val="BodyText"/>
      </w:pPr>
      <w:r>
        <w:rPr>
          <w:color w:val="000000"/>
        </w:rPr>
        <w:t>326.</w:t>
      </w:r>
      <w:r>
        <w:rPr>
          <w:color w:val="000000"/>
        </w:rPr>
        <w:tab/>
        <w:t>Своей эффективной деятельностью эти организации способствовали процессу разработки, обоснования и оказания консультативной помощи при подготовке новых законов и внесении изменений в действующее законодательство. Все эти инициативы затем вносились на рассмотрение в кубинский парламент. Одним из примеров такой деятельности стало уже упомянутое выше принятие Национал</w:t>
      </w:r>
      <w:r>
        <w:rPr>
          <w:color w:val="000000"/>
        </w:rPr>
        <w:t>ь</w:t>
      </w:r>
      <w:r>
        <w:rPr>
          <w:color w:val="000000"/>
        </w:rPr>
        <w:t>ного плана действий по выполнению решений Пекинской конференции.</w:t>
      </w:r>
    </w:p>
    <w:p w:rsidR="00000000" w:rsidRDefault="00000000">
      <w:pPr>
        <w:pStyle w:val="BodyText"/>
      </w:pPr>
    </w:p>
    <w:p w:rsidR="00000000" w:rsidRDefault="00000000">
      <w:pPr>
        <w:pStyle w:val="BodyText"/>
        <w:jc w:val="center"/>
        <w:rPr>
          <w:b/>
        </w:rPr>
      </w:pPr>
      <w:r>
        <w:rPr>
          <w:b/>
        </w:rPr>
        <w:t>СТАТЬЯ 8</w:t>
      </w:r>
    </w:p>
    <w:p w:rsidR="00000000" w:rsidRDefault="00000000">
      <w:pPr>
        <w:pStyle w:val="BodyText"/>
        <w:ind w:left="0" w:firstLine="0"/>
      </w:pP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BodyText"/>
      </w:pPr>
      <w:r>
        <w:rPr>
          <w:color w:val="000000"/>
        </w:rPr>
        <w:t>327.</w:t>
      </w:r>
      <w:r>
        <w:rPr>
          <w:color w:val="000000"/>
        </w:rPr>
        <w:tab/>
        <w:t>Кубинское правительство постоянно заботится об укреплении и повышении роли женщин в сфере международных отношений.</w:t>
      </w:r>
    </w:p>
    <w:p w:rsidR="00000000" w:rsidRDefault="00000000">
      <w:pPr>
        <w:pStyle w:val="BodyText"/>
      </w:pPr>
      <w:r>
        <w:rPr>
          <w:color w:val="000000"/>
        </w:rPr>
        <w:t>328.</w:t>
      </w:r>
      <w:r>
        <w:rPr>
          <w:color w:val="000000"/>
        </w:rPr>
        <w:tab/>
        <w:t>Министерство иностранных дел (МИД) является органом центрального государственного аппарата, ответственным за проведение внешней политики государства. Женщины составляют значительную часть сотрудников Министерства – 53,8 процента и занимают должности заместителей министра, советников, атташе, консулов и вице-консулов. Следует также отметить, что по сравнению с предыдущим периодом число женщин-послов увеличилось на 7 и составляет теперь 15 человек – 13,7 процента от общего числа послов.</w:t>
      </w:r>
    </w:p>
    <w:p w:rsidR="00000000" w:rsidRDefault="00000000">
      <w:pPr>
        <w:pStyle w:val="BodyText"/>
      </w:pPr>
      <w:r>
        <w:t>329.</w:t>
      </w:r>
      <w:r>
        <w:tab/>
        <w:t xml:space="preserve">Женщины широко и во все возрастающих масштабах представляют за пределами страны различные государственные министерства и ведомства, и это увеличивает представленность и активизирует участие женщин, которых отличает высокая ответственность в исполнении своих должностных обязанностей. </w:t>
      </w:r>
    </w:p>
    <w:p w:rsidR="00000000" w:rsidRDefault="00000000">
      <w:pPr>
        <w:pStyle w:val="BodyText"/>
      </w:pPr>
      <w:r>
        <w:t>330.</w:t>
      </w:r>
      <w:r>
        <w:tab/>
        <w:t xml:space="preserve">В </w:t>
      </w:r>
      <w:r>
        <w:rPr>
          <w:color w:val="000000"/>
        </w:rPr>
        <w:t xml:space="preserve">Министерстве иностранных капиталовложений и экономического сотрудничества женщины занимают около 25 процентов руководящих должностей – 25 из имеющихся 91, в том числе пост министра. Это – одно из шести кубинских министерств, которые возглавляют женщины. Во внешней службе этого ведомства женщины составляют около 60 процентов сотрудников, занимая 18 из 30 должностей представителей Министерства за границей. </w:t>
      </w:r>
    </w:p>
    <w:p w:rsidR="00000000" w:rsidRDefault="00000000">
      <w:pPr>
        <w:pStyle w:val="BodyText"/>
      </w:pPr>
      <w:r>
        <w:t>331.</w:t>
      </w:r>
      <w:r>
        <w:tab/>
        <w:t xml:space="preserve">В Министерстве туризма 83 процента работников зарубежных офисов – женщины, занимающие различные должности в бухгалтериях, административных отделах и отделах по связям с общественностью. Женщины возглавляют предприятия ТУРАРТЕ и АБАТУР. Кроме того, 71 процент сотрудников компаний и филиалов группы "Кубанакан" – </w:t>
      </w:r>
      <w:r>
        <w:br/>
        <w:t xml:space="preserve">женщины. </w:t>
      </w:r>
    </w:p>
    <w:p w:rsidR="00000000" w:rsidRDefault="00000000">
      <w:pPr>
        <w:pStyle w:val="BodyText"/>
      </w:pPr>
      <w:r>
        <w:t>332.</w:t>
      </w:r>
      <w:r>
        <w:tab/>
        <w:t xml:space="preserve">Следует особо отметить участие женщин в деятельности Министерства внешней торговли – органа, разрабатывающего внешнюю политику страны в сфере торговли. В самом Министерстве женщины занимают 104 из 287 руководящих должностей, что составляет 36,24 процента. Из 112 постоянных представителей за рубежом 59 (52,67 процента) – женщины; женщины занимают 21 из 35 руководящих должностей в этих представительствах (59 процентов). Многие женщины являются советниками, атташе и руководителями торговых представительств. Пост советника-посланника Постоянного представительства Кубы в Женеве занимает женщина. Женщины составляют большинство консультантов и советников в этом секторе; кроме того, следует упомянуть об участии 24 женщин в важных международных мероприятиях по вопросам торговли. </w:t>
      </w:r>
    </w:p>
    <w:p w:rsidR="00000000" w:rsidRDefault="00000000">
      <w:pPr>
        <w:pStyle w:val="BodyText"/>
      </w:pPr>
      <w:r>
        <w:t>333.</w:t>
      </w:r>
      <w:r>
        <w:tab/>
        <w:t xml:space="preserve">Большое число специалистов-женщин работают на руководящих должностях в Кубинском институте гражданской авиации. В этом учреждении ведется работа по увеличению числа женщин на высших руководящих должностях в самом Институте и в его зарубежных представительствах. В настоящее время руководителями 5 из 21 представительства авиакомпании "Кубана" за рубежом являются женщины (24 процента). Высока степень участия женщин и в работе торговых представительств, где они занимают 56 процентов должностей представителей по международным и внутренним авиаперевозкам, руководителей авиалиний, инспекторов международных авиаперевозок, а также руководителей, несущих ответственность за эксплуатацию, и др. </w:t>
      </w:r>
    </w:p>
    <w:p w:rsidR="00000000" w:rsidRDefault="00000000">
      <w:pPr>
        <w:pStyle w:val="BodyText"/>
      </w:pPr>
      <w:r>
        <w:t>334.</w:t>
      </w:r>
      <w:r>
        <w:tab/>
        <w:t>Сотрудники, работающие за рубежом, и зарубежные представительства имеются и в других ведомствах, таких как Министерство здравоохранения, в котором женщины возглавляют три представительства, а шесть работают в международных организациях системы ООН; Министерство культуры, где 10 женщин работают в качестве советников и/или консультантов по международным делам, а специалисты-женщины, работающие в Министерстве, приглашаются в качестве временных консультантов. Одна кубинка работает послом в ФАО.</w:t>
      </w:r>
    </w:p>
    <w:p w:rsidR="00000000" w:rsidRDefault="00000000">
      <w:pPr>
        <w:pStyle w:val="BodyText"/>
      </w:pPr>
      <w:r>
        <w:t>335.</w:t>
      </w:r>
      <w:r>
        <w:tab/>
      </w:r>
      <w:r>
        <w:rPr>
          <w:color w:val="000000"/>
        </w:rPr>
        <w:t>Со времени представления последнего периодического доклада Куба являлась членом Комиссии по положению женщин (КПЖ) и вновь стала ее членом на период до 2005 года. Кубинские женщины неизменно принимали самое активное участие в работе каждой сессии в составе как правительственных, так и неправительственных делегаций. Министерство иностранных дел, а также Федерация кубинских женщин как национальная организация, содействующая обеспечению равенства женщин, придают большое значение участию Кубы для успешной работы Комиссии.</w:t>
      </w:r>
    </w:p>
    <w:p w:rsidR="00000000" w:rsidRDefault="00000000">
      <w:pPr>
        <w:pStyle w:val="BodyText"/>
      </w:pPr>
      <w:r>
        <w:t>336.</w:t>
      </w:r>
      <w:r>
        <w:tab/>
        <w:t xml:space="preserve">Следует отметить, что в этот период кубинская женщина-специалист принимала участие в работе Группы, рассматривавшей тему "Участие женщин в работе средств массовой информации и освоении информационно-коммуникационных технологий и обеспечение женщинам доступа к ним, а также их влияние на улучшение положения и расширение прав и возможностей женщин и использование в качестве средства для достижения этих целей" – одну из двух тем, которые рассматривались на 47-й сессии </w:t>
      </w:r>
      <w:r>
        <w:rPr>
          <w:color w:val="000000"/>
        </w:rPr>
        <w:t xml:space="preserve">Комиссии по положению женщин (КПЖ) в марте 2003 года. </w:t>
      </w:r>
    </w:p>
    <w:p w:rsidR="00000000" w:rsidRDefault="00000000">
      <w:pPr>
        <w:pStyle w:val="BodyText"/>
      </w:pPr>
      <w:r>
        <w:t>337.</w:t>
      </w:r>
      <w:r>
        <w:tab/>
        <w:t xml:space="preserve">Представители кубинского Министерства иностранных дел и ФКЖ приняли активное участие в переговорах относительно принятия итоговых документов по результатам анализа различных вопросов на сессиях </w:t>
      </w:r>
      <w:r>
        <w:rPr>
          <w:color w:val="000000"/>
        </w:rPr>
        <w:t xml:space="preserve">Комиссии по положению женщин, а также документов по итогам двадцать третьей чрезвычайной сессии Генеральной Ассамблеи. </w:t>
      </w:r>
    </w:p>
    <w:p w:rsidR="00000000" w:rsidRDefault="00000000">
      <w:pPr>
        <w:pStyle w:val="BodyText"/>
      </w:pPr>
      <w:r>
        <w:t>338.</w:t>
      </w:r>
      <w:r>
        <w:tab/>
      </w:r>
      <w:r>
        <w:rPr>
          <w:color w:val="000000"/>
        </w:rPr>
        <w:t>Не меньшее внимание кубинская делегация уделяла рассмотрению и обсуждению проблемы пол</w:t>
      </w:r>
      <w:r>
        <w:rPr>
          <w:color w:val="000000"/>
        </w:rPr>
        <w:t>о</w:t>
      </w:r>
      <w:r>
        <w:rPr>
          <w:color w:val="000000"/>
        </w:rPr>
        <w:t>жения женщин на различных форумах Организации Объединенных Наций, в частности в К</w:t>
      </w:r>
      <w:r>
        <w:rPr>
          <w:color w:val="000000"/>
        </w:rPr>
        <w:t>о</w:t>
      </w:r>
      <w:r>
        <w:rPr>
          <w:color w:val="000000"/>
        </w:rPr>
        <w:t>миссии по правам человека, в Третьем комитете Генеральной Ассамблеи и др</w:t>
      </w:r>
      <w:r>
        <w:t xml:space="preserve">. </w:t>
      </w:r>
    </w:p>
    <w:p w:rsidR="00000000" w:rsidRDefault="00000000">
      <w:pPr>
        <w:pStyle w:val="BodyText"/>
      </w:pPr>
      <w:r>
        <w:t>339.</w:t>
      </w:r>
      <w:r>
        <w:tab/>
      </w:r>
      <w:r>
        <w:rPr>
          <w:color w:val="000000"/>
        </w:rPr>
        <w:t xml:space="preserve">Кубинское правительство активно участвовало также во всех заседаниях правления </w:t>
      </w:r>
      <w:r>
        <w:t>Региональной конференции стран Латинской Америки и Карибского бассейна по вопросам, касающимся женщин, организованной ЭКЛАК</w:t>
      </w:r>
      <w:r>
        <w:rPr>
          <w:color w:val="000000"/>
        </w:rPr>
        <w:t>, заместителем Председателя которой Куба является уже два года, а также в самих региональных конференциях. Куба выполняет функцию связующего звена между испаноязычными странами Карибского бассейна в выполнении договоренностей, до</w:t>
      </w:r>
      <w:r>
        <w:rPr>
          <w:color w:val="000000"/>
        </w:rPr>
        <w:t>с</w:t>
      </w:r>
      <w:r>
        <w:rPr>
          <w:color w:val="000000"/>
        </w:rPr>
        <w:t xml:space="preserve">тигнутых на различных встречах, и играет активную роль в представлении и разработке тем и вопросов повестки дня различных комиссий. </w:t>
      </w:r>
    </w:p>
    <w:p w:rsidR="00000000" w:rsidRDefault="00000000">
      <w:pPr>
        <w:pStyle w:val="BodyText"/>
      </w:pPr>
      <w:r>
        <w:t>340.</w:t>
      </w:r>
      <w:r>
        <w:tab/>
        <w:t>Следует отметить ту роль, которую Куба сыграла в работе восьмой Региональной конференции по положению женщин в Латинской Америке и Карибском бассейне, организованной ЭКЛАК и состоявшейся в Перу в феврале 2000 года, а также в подготовке и представлении совместно с Мексикой одного из двух основных вопросов, обсуждавшихся на Конференции: "</w:t>
      </w:r>
      <w:r>
        <w:rPr>
          <w:color w:val="000000"/>
        </w:rPr>
        <w:t xml:space="preserve">Гендерное равноправие". </w:t>
      </w:r>
      <w:r>
        <w:t>Кубинка, специалист по данному вопросу, выступила с докладом на пленарном заседании конференции. Важное значение имело также участие кубинской делегации в обсуждении и переговорах по Лимскому консенсусу – документу, принятому по итогам этой встречи.</w:t>
      </w:r>
    </w:p>
    <w:p w:rsidR="00000000" w:rsidRDefault="00000000">
      <w:pPr>
        <w:pStyle w:val="BodyText"/>
      </w:pPr>
      <w:r>
        <w:t>341.</w:t>
      </w:r>
      <w:r>
        <w:tab/>
        <w:t xml:space="preserve">В апреле 2003 года на Кубе успешно прошло заседание </w:t>
      </w:r>
      <w:r>
        <w:rPr>
          <w:color w:val="000000"/>
        </w:rPr>
        <w:t xml:space="preserve">правления </w:t>
      </w:r>
      <w:r>
        <w:t xml:space="preserve">Региональной конференции ЭКЛАК по положению женщин в Латинской Америке и Карибском бассейне, в работе которого участвовало большое число представителей стран, как входящих, так и не входящих в правление. Участники заседания дали высокую оценку серьезности рассматриваемых вопросов и качеству подготовки этого заседания. </w:t>
      </w:r>
    </w:p>
    <w:p w:rsidR="00000000" w:rsidRDefault="00000000">
      <w:pPr>
        <w:pStyle w:val="BodyText"/>
      </w:pPr>
      <w:r>
        <w:t>342.</w:t>
      </w:r>
      <w:r>
        <w:tab/>
      </w:r>
      <w:r>
        <w:rPr>
          <w:color w:val="000000"/>
        </w:rPr>
        <w:t>Куба выполнила все обязательства, принятые в соответствии с международными договорами, гос</w:t>
      </w:r>
      <w:r>
        <w:rPr>
          <w:color w:val="000000"/>
        </w:rPr>
        <w:t>у</w:t>
      </w:r>
      <w:r>
        <w:rPr>
          <w:color w:val="000000"/>
        </w:rPr>
        <w:t xml:space="preserve">дарством-участником которых она является. Так, Куба позаботилась о тщательной и своевременной подготовке и представлении периодических докладов. В этом процессе значительная роль отводилась женщинам, причем как в составлении докладов, так и в их представлении в различных комитетах. Все больше женщин входят в состав официальных делегаций Кубы, участвующих в работе этих органов. </w:t>
      </w:r>
    </w:p>
    <w:p w:rsidR="00000000" w:rsidRDefault="00000000">
      <w:pPr>
        <w:pStyle w:val="BodyText"/>
      </w:pPr>
      <w:r>
        <w:t>343.</w:t>
      </w:r>
      <w:r>
        <w:tab/>
      </w:r>
      <w:r>
        <w:rPr>
          <w:color w:val="000000"/>
        </w:rPr>
        <w:t>Поощряется участие женщин в комиссиях по договорам и в экспертных комиссиях Организации Объединенных Наций. В настоящее время одна кубинка работает в качестве эксперта в Комитете по ликвидации дискриминации в отношении женщин (</w:t>
      </w:r>
      <w:r>
        <w:t>КЛДОЖ).</w:t>
      </w:r>
    </w:p>
    <w:p w:rsidR="00000000" w:rsidRDefault="00000000">
      <w:pPr>
        <w:pStyle w:val="BodyText"/>
      </w:pPr>
      <w:r>
        <w:t>344.</w:t>
      </w:r>
      <w:r>
        <w:tab/>
      </w:r>
      <w:r>
        <w:rPr>
          <w:color w:val="000000"/>
        </w:rPr>
        <w:t xml:space="preserve">Особое значение для улучшения положения женщин имеют их профессионально-техническая подготовка и повышение профессиональной квалификации. Учитывая это, государство постоянно держит в сфере своего внимания вопрос о привлечении женщин к участию в национальных и международных семинарах и практикумах по проблемам формирования и углубления гендерного подхода и по другим соответствующим проблемам, что необходимо для работы, касающейся содержания Конвенции. </w:t>
      </w:r>
    </w:p>
    <w:p w:rsidR="00000000" w:rsidRDefault="00000000">
      <w:pPr>
        <w:pStyle w:val="BodyText"/>
      </w:pPr>
    </w:p>
    <w:p w:rsidR="00000000" w:rsidRDefault="00000000">
      <w:pPr>
        <w:pStyle w:val="BodyText"/>
        <w:jc w:val="center"/>
        <w:rPr>
          <w:b/>
        </w:rPr>
      </w:pPr>
      <w:r>
        <w:rPr>
          <w:b/>
        </w:rPr>
        <w:t>СТАТЬЯ 9</w:t>
      </w:r>
    </w:p>
    <w:p w:rsidR="00000000" w:rsidRDefault="00000000">
      <w:pPr>
        <w:pStyle w:val="BodyText"/>
        <w:ind w:left="0" w:firstLine="0"/>
      </w:pPr>
      <w:r>
        <w:t>1.</w:t>
      </w:r>
      <w:r>
        <w:tab/>
        <w:t xml:space="preserve">Государства-участники предоставляют женщинам равные с мужчинами права 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00000" w:rsidRDefault="00000000">
      <w:pPr>
        <w:pStyle w:val="BodyText"/>
        <w:ind w:left="0" w:firstLine="0"/>
      </w:pPr>
      <w:r>
        <w:t>2.</w:t>
      </w:r>
      <w:r>
        <w:tab/>
        <w:t>Государства-участники предоставляют женщинам равные с мужчинами права в отношении гражданства их детей.</w:t>
      </w:r>
    </w:p>
    <w:p w:rsidR="00000000" w:rsidRDefault="00000000">
      <w:pPr>
        <w:pStyle w:val="BodyText"/>
      </w:pPr>
      <w:r>
        <w:t>345.</w:t>
      </w:r>
      <w:r>
        <w:tab/>
      </w:r>
      <w:r>
        <w:rPr>
          <w:color w:val="000000"/>
        </w:rPr>
        <w:t>Кубинское законодательство устанавливает равенство прав женщин и мужчин в отношении получения, изменения и сохранения гражданства. Соблюдение принципа равноправия в отношении гражданства подтверждается, в частности, тем фактом, что для обозначения субъектов данных прав употребляются формы среднего рода.</w:t>
      </w:r>
    </w:p>
    <w:p w:rsidR="00000000" w:rsidRDefault="00000000">
      <w:pPr>
        <w:pStyle w:val="BodyText"/>
      </w:pPr>
      <w:r>
        <w:rPr>
          <w:color w:val="000000"/>
        </w:rPr>
        <w:t>346.</w:t>
      </w:r>
      <w:r>
        <w:rPr>
          <w:color w:val="000000"/>
        </w:rPr>
        <w:tab/>
        <w:t>Следует еще раз привести положения об основаниях для получения гражданства и процедуре его пол</w:t>
      </w:r>
      <w:r>
        <w:rPr>
          <w:color w:val="000000"/>
        </w:rPr>
        <w:t>у</w:t>
      </w:r>
      <w:r>
        <w:rPr>
          <w:color w:val="000000"/>
        </w:rPr>
        <w:t>чения, отраженных в соответствующих статьях Конституции.</w:t>
      </w:r>
    </w:p>
    <w:p w:rsidR="00000000" w:rsidRDefault="00000000">
      <w:pPr>
        <w:pStyle w:val="BodyText"/>
        <w:rPr>
          <w:color w:val="000000"/>
        </w:rPr>
      </w:pPr>
      <w:r>
        <w:rPr>
          <w:b/>
          <w:color w:val="000000"/>
        </w:rPr>
        <w:t>Статья 28</w:t>
      </w:r>
      <w:r>
        <w:rPr>
          <w:color w:val="000000"/>
        </w:rPr>
        <w:t>.  Кубинское гражданство приобретается по рождению или в результате натурализации.</w:t>
      </w:r>
    </w:p>
    <w:p w:rsidR="00000000" w:rsidRDefault="00000000">
      <w:pPr>
        <w:pStyle w:val="BodyText"/>
      </w:pPr>
      <w:r>
        <w:rPr>
          <w:b/>
          <w:color w:val="000000"/>
        </w:rPr>
        <w:t>Статья 29</w:t>
      </w:r>
      <w:r>
        <w:rPr>
          <w:color w:val="000000"/>
        </w:rPr>
        <w:t>.  Гражданами Кубы по рождению считаются: лица, родившиеся на территории Кубы, за исключением детей иностранных граждан, находящихся на службе собственного государства или международных организаций; лица, родившиеся за границей, мать или отец которых являются гражданами Кубы и находятся в официальной командировке; лица, родившиеся за границей, мать или отец которых являются кубинскими гражданами, при соблюдении предусмотренных законом формальностей; лица, родившиеся за пределами национальной территории, мать или отец которых утратили свое гражданство, при условии представления заявления по форме, устано</w:t>
      </w:r>
      <w:r>
        <w:rPr>
          <w:color w:val="000000"/>
        </w:rPr>
        <w:t>в</w:t>
      </w:r>
      <w:r>
        <w:rPr>
          <w:color w:val="000000"/>
        </w:rPr>
        <w:t>ленной законом; иностранные граждане, которые в силу исключительных заслуг в деле борьбы за освобождение Кубы считаются гражданами Кубы по рождению.</w:t>
      </w:r>
    </w:p>
    <w:p w:rsidR="00000000" w:rsidRDefault="00000000">
      <w:pPr>
        <w:pStyle w:val="BodyText"/>
      </w:pPr>
      <w:r>
        <w:rPr>
          <w:color w:val="000000"/>
        </w:rPr>
        <w:t>347.</w:t>
      </w:r>
      <w:r>
        <w:rPr>
          <w:color w:val="000000"/>
        </w:rPr>
        <w:tab/>
        <w:t>Что касается детей, права которых особо защищаются кубинским законодательством, то их равноправие обеспечивается следующим положением статьи 31 Конституции Кубы: "Ни вступление в брак, ни ра</w:t>
      </w:r>
      <w:r>
        <w:rPr>
          <w:color w:val="000000"/>
        </w:rPr>
        <w:t>с</w:t>
      </w:r>
      <w:r>
        <w:rPr>
          <w:color w:val="000000"/>
        </w:rPr>
        <w:t>торжение брака не влияют на гражданство супругов или их детей". Данное положение соответствует статье 9 Конвенции о ликвидации всех форм дискриминации в отношении женщин.</w:t>
      </w:r>
    </w:p>
    <w:p w:rsidR="00000000" w:rsidRDefault="00000000">
      <w:pPr>
        <w:pStyle w:val="BodyText"/>
      </w:pPr>
    </w:p>
    <w:p w:rsidR="00000000" w:rsidRDefault="00000000">
      <w:pPr>
        <w:pStyle w:val="BodyText"/>
        <w:pageBreakBefore/>
        <w:jc w:val="center"/>
        <w:rPr>
          <w:b/>
        </w:rPr>
      </w:pPr>
      <w:r>
        <w:rPr>
          <w:b/>
        </w:rPr>
        <w:t>СТАТЬЯ 10</w:t>
      </w:r>
    </w:p>
    <w:p w:rsidR="00000000" w:rsidRDefault="00000000">
      <w:pPr>
        <w:pStyle w:val="BodyText"/>
        <w:ind w:left="0" w:firstLine="0"/>
      </w:pPr>
      <w:r>
        <w:t xml:space="preserve">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 </w:t>
      </w:r>
    </w:p>
    <w:p w:rsidR="00000000" w:rsidRDefault="00000000">
      <w:pPr>
        <w:pStyle w:val="BodyText"/>
        <w:tabs>
          <w:tab w:val="clear" w:pos="907"/>
          <w:tab w:val="left" w:pos="1134"/>
        </w:tabs>
        <w:ind w:left="1134"/>
      </w:pPr>
      <w:r>
        <w:rPr>
          <w:lang w:val="en-US"/>
        </w:rPr>
        <w:t>a</w:t>
      </w:r>
      <w:r>
        <w:t>)</w:t>
      </w:r>
      <w:r>
        <w:tab/>
        <w:t xml:space="preserve">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 </w:t>
      </w:r>
    </w:p>
    <w:p w:rsidR="00000000" w:rsidRDefault="00000000">
      <w:pPr>
        <w:pStyle w:val="BodyText"/>
        <w:tabs>
          <w:tab w:val="clear" w:pos="907"/>
          <w:tab w:val="left" w:pos="1134"/>
        </w:tabs>
        <w:ind w:left="1134"/>
      </w:pPr>
      <w:r>
        <w:rPr>
          <w:lang w:val="en-US"/>
        </w:rPr>
        <w:t>b</w:t>
      </w:r>
      <w:r>
        <w:t>)</w:t>
      </w:r>
      <w: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000000" w:rsidRDefault="00000000">
      <w:pPr>
        <w:pStyle w:val="BodyText"/>
        <w:tabs>
          <w:tab w:val="clear" w:pos="907"/>
          <w:tab w:val="left" w:pos="1134"/>
        </w:tabs>
        <w:ind w:left="1134"/>
      </w:pPr>
      <w:r>
        <w:rPr>
          <w:lang w:val="en-US"/>
        </w:rPr>
        <w:t>c</w:t>
      </w:r>
      <w:r>
        <w:t>)</w:t>
      </w:r>
      <w:r>
        <w:tab/>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000000" w:rsidRDefault="00000000">
      <w:pPr>
        <w:pStyle w:val="BodyText"/>
        <w:tabs>
          <w:tab w:val="clear" w:pos="907"/>
          <w:tab w:val="left" w:pos="1134"/>
        </w:tabs>
        <w:ind w:left="1134"/>
      </w:pPr>
      <w:r>
        <w:rPr>
          <w:lang w:val="en-US"/>
        </w:rPr>
        <w:t>d</w:t>
      </w:r>
      <w:r>
        <w:t>)</w:t>
      </w:r>
      <w:r>
        <w:tab/>
        <w:t xml:space="preserve">одинаковые возможности получения стипендий и других пособий на образование; </w:t>
      </w:r>
    </w:p>
    <w:p w:rsidR="00000000" w:rsidRDefault="00000000">
      <w:pPr>
        <w:pStyle w:val="BodyText"/>
        <w:tabs>
          <w:tab w:val="clear" w:pos="907"/>
          <w:tab w:val="left" w:pos="1134"/>
        </w:tabs>
        <w:ind w:left="1134"/>
      </w:pPr>
      <w:r>
        <w:rPr>
          <w:lang w:val="en-US"/>
        </w:rPr>
        <w:t>e</w:t>
      </w:r>
      <w:r>
        <w:t>)</w:t>
      </w:r>
      <w:r>
        <w:tab/>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000000" w:rsidRDefault="00000000">
      <w:pPr>
        <w:pStyle w:val="BodyText"/>
        <w:tabs>
          <w:tab w:val="clear" w:pos="907"/>
          <w:tab w:val="left" w:pos="1134"/>
        </w:tabs>
        <w:ind w:left="1134"/>
      </w:pPr>
      <w:r>
        <w:rPr>
          <w:lang w:val="en-US"/>
        </w:rPr>
        <w:t>f</w:t>
      </w:r>
      <w:r>
        <w:t>)</w:t>
      </w:r>
      <w:r>
        <w:tab/>
        <w:t xml:space="preserve">сокращение числа девушек, не заканчивающих школу, и разработку программ для девушек и женщин, преждевременно покинувших школу; </w:t>
      </w:r>
    </w:p>
    <w:p w:rsidR="00000000" w:rsidRDefault="00000000">
      <w:pPr>
        <w:pStyle w:val="BodyText"/>
        <w:tabs>
          <w:tab w:val="clear" w:pos="907"/>
          <w:tab w:val="left" w:pos="1134"/>
        </w:tabs>
        <w:ind w:left="1134"/>
      </w:pPr>
      <w:r>
        <w:rPr>
          <w:lang w:val="en-US"/>
        </w:rPr>
        <w:t>g</w:t>
      </w:r>
      <w:r>
        <w:t>)</w:t>
      </w:r>
      <w:r>
        <w:tab/>
        <w:t xml:space="preserve">одинаковые возможности активно участвовать в занятиях спортом и физической подготовкой; </w:t>
      </w:r>
    </w:p>
    <w:p w:rsidR="00000000" w:rsidRDefault="00000000">
      <w:pPr>
        <w:pStyle w:val="BodyText"/>
        <w:tabs>
          <w:tab w:val="clear" w:pos="907"/>
          <w:tab w:val="left" w:pos="1134"/>
        </w:tabs>
        <w:ind w:left="1134"/>
      </w:pPr>
      <w:r>
        <w:rPr>
          <w:lang w:val="en-US"/>
        </w:rPr>
        <w:t>h</w:t>
      </w:r>
      <w:r>
        <w:t>)</w:t>
      </w:r>
      <w:r>
        <w:tab/>
        <w:t xml:space="preserve">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000000" w:rsidRDefault="00000000">
      <w:pPr>
        <w:pStyle w:val="BodyText"/>
      </w:pPr>
      <w:r>
        <w:t>348.</w:t>
      </w:r>
      <w:r>
        <w:tab/>
        <w:t>На Кубе все лица, независимо от их пола, цвета кожи, политических убеждений или религиозных верований, имеют равный доступ к образованию, которое является бесплатным на всех ступенях обучения.</w:t>
      </w:r>
    </w:p>
    <w:p w:rsidR="00000000" w:rsidRDefault="00000000">
      <w:pPr>
        <w:pStyle w:val="BodyText"/>
      </w:pPr>
      <w:r>
        <w:t>349.</w:t>
      </w:r>
      <w:r>
        <w:tab/>
        <w:t>В настоящее время из всего населения численностью 11 250 974 человека только 0,2 процента являются неграмотными. Из этого числа женщины составляют 39,6 процента.</w:t>
      </w:r>
    </w:p>
    <w:p w:rsidR="00000000" w:rsidRDefault="00000000">
      <w:pPr>
        <w:pStyle w:val="BodyText"/>
      </w:pPr>
      <w:r>
        <w:t>350.</w:t>
      </w:r>
      <w:r>
        <w:tab/>
        <w:t xml:space="preserve">Несмотря на огромные трудности, благодаря проявленной политической воле и принятым мерам удалось сохранить достигнутое. В 2003 году на финансирование образовательной системы из бюджета государства было выделено 3 млрд. песо – 23,8 процента всех бюджетных расходов. </w:t>
      </w:r>
    </w:p>
    <w:p w:rsidR="00000000" w:rsidRDefault="00000000">
      <w:pPr>
        <w:pStyle w:val="BodyText"/>
      </w:pPr>
      <w:r>
        <w:t>351.</w:t>
      </w:r>
      <w:r>
        <w:tab/>
        <w:t xml:space="preserve">Неоправданная и противоречащая нормам морали экономическая, торговая и финансовая блокада Кубы, на протяжении более чем 40 лет проводимая правительством Соединенных Штатов Америки, не позволяет создать более благоприятные материальные условия для системы образования, однако продвижение вперед в деле школьного образования, социального и семейного воспитания не вызывает сомнений и обнадеживает. Школа является самым важным и ответственным культурным институтом кубинского общества. </w:t>
      </w:r>
    </w:p>
    <w:p w:rsidR="00000000" w:rsidRDefault="00000000">
      <w:pPr>
        <w:pStyle w:val="BodyText"/>
      </w:pPr>
      <w:r>
        <w:t>352.</w:t>
      </w:r>
      <w:r>
        <w:tab/>
        <w:t xml:space="preserve">Средний уровень образования взрослого населения – девять классов, и есть возможность и далее повышать этот уровень. Министерство образования в рамках подсистемы "Образование для взрослых" уделяет приоритетное внимание обучению женщин в сети образовательных центров, составляющих эту образовательную подсистему и предусматривающих следующие уровни обучения: ликвидация неграмотности, базовое образование (БО), среднее образование (СО), начальный курс высшего образования (НВО). При этом существует система дневного и заочного обучения, что соответствует потребностям и особенностям этой категории населения. </w:t>
      </w:r>
    </w:p>
    <w:p w:rsidR="00000000" w:rsidRDefault="00000000">
      <w:pPr>
        <w:pStyle w:val="BodyText"/>
      </w:pPr>
      <w:r>
        <w:t>353.</w:t>
      </w:r>
      <w:r>
        <w:tab/>
        <w:t xml:space="preserve">В стране действуют 793 центра образования для взрослых начиная с элементарного уровня; в их числе – 514 филиалов курсов комплексного повышения образовательного уровня молодежи, имеющих целью дать образование, позволяющее поступить в высшие учебные заведения. Кроме того, существуют 46 школ по изучению иностранных языков, где трудящиеся могут овладеть каким-либо иностранным языком. Объективная потребность в изучении языков связана с планами социально-экономического развития отдельных территорий страны. </w:t>
      </w:r>
    </w:p>
    <w:p w:rsidR="00000000" w:rsidRDefault="00000000">
      <w:pPr>
        <w:pStyle w:val="BodyText"/>
      </w:pPr>
      <w:r>
        <w:t>354.</w:t>
      </w:r>
      <w:r>
        <w:tab/>
        <w:t xml:space="preserve">Число учащихся-женщин отражает политическую волю, постоянную поддержку со стороны государства и систематическую работу Федерации кубинских женщин и Министерства просвещения. В 2002/03 учебном году из общего числа учащихся 203 929 человек женщины составляли 113 548, или 55,7 процента. Иностранные языки изучали 7268 женщин, или 60,2 процента всех учащихся. </w:t>
      </w:r>
    </w:p>
    <w:p w:rsidR="00000000" w:rsidRDefault="00000000">
      <w:pPr>
        <w:pStyle w:val="BodyText"/>
      </w:pPr>
      <w:r>
        <w:t>355.</w:t>
      </w:r>
      <w:r>
        <w:tab/>
        <w:t xml:space="preserve">Так, например, в 2003 году более 100 тыс. человек, как молодых людей, так и взрослых, 65,1 процента которых составили женщины, занимались по альтернативным программам для общин, организованным исходя из потребностей и интересов их участников. На занятиях рассматривались, например, темы помощи пожилым людям, подготовки к семейной жизни, вопросы, связанные с программой "Для жизни", защиты окружающей среды, охраны здоровья, "зеленой" медицины, кустарных ремесел, сексуального воспитания, компьютерной грамотности и др. </w:t>
      </w:r>
    </w:p>
    <w:p w:rsidR="00000000" w:rsidRDefault="00000000">
      <w:pPr>
        <w:pStyle w:val="BodyText"/>
      </w:pPr>
      <w:r>
        <w:t>356.</w:t>
      </w:r>
      <w:r>
        <w:tab/>
        <w:t xml:space="preserve">Возможность пройти обучение на одних и тех же условиях предоставляется как городским жителям, так и обитателям сельских и труднодоступных районов; открываются классы, где могут пройти обучение женщины с низким уровнем образования, как правило, домохозяйки. В разработке стратегий привлечения учащихся, сохранения их контингента и их перехода на более высокий уровень обучения участвуют ведомства и общественные организации; ведущую роль здесь играет Федерация кубинских женщин. </w:t>
      </w:r>
    </w:p>
    <w:p w:rsidR="00000000" w:rsidRDefault="00000000">
      <w:pPr>
        <w:pStyle w:val="BodyText"/>
      </w:pPr>
      <w:r>
        <w:t>357.</w:t>
      </w:r>
      <w:r>
        <w:tab/>
        <w:t xml:space="preserve">Еще одну возможность для обучения мужчин и женщин на равных условиях предоставляет Программа повышения культурного уровня работников сахарной промышленности (план "Альваро Рейносо"). Женщины составляют 35,5 процента обучающихся по этой программе. Созданы условия для участия в ней всех женщин, проживающих в районах вблизи предприятий по производству сахара, или в кооперативах по выращиванию сахарного тростника, независимо от того, работают они в сахарной промышленности или нет. </w:t>
      </w:r>
    </w:p>
    <w:p w:rsidR="00000000" w:rsidRDefault="00000000">
      <w:pPr>
        <w:pStyle w:val="BodyText"/>
      </w:pPr>
      <w:r>
        <w:t>358.</w:t>
      </w:r>
      <w:r>
        <w:tab/>
        <w:t xml:space="preserve">В горных районах страны действуют два центра по подготовке технических специалистов со средним образованием, где обучаются 6486 студентов, а также три факультета университетов, готовящих специалистов для сельского хозяйства. От 30 до 40 процентов студентов этих факультетов составляют женщины. </w:t>
      </w:r>
    </w:p>
    <w:p w:rsidR="00000000" w:rsidRDefault="00000000">
      <w:pPr>
        <w:pStyle w:val="BodyText"/>
      </w:pPr>
      <w:r>
        <w:t>359.</w:t>
      </w:r>
      <w:r>
        <w:tab/>
        <w:t>Разработана и проводится в жизнь стратегия, направленная на обучение женщин специальностям и профессиям, в которых женщины пока представлены слабо и которые имеют большое значение для экономики страны, как, например, выращивание овощей и зеленных культур с применением гидропоники, сфера услуг и компьютерное дело.</w:t>
      </w:r>
    </w:p>
    <w:p w:rsidR="00000000" w:rsidRDefault="00000000">
      <w:pPr>
        <w:pStyle w:val="BodyText"/>
      </w:pPr>
      <w:r>
        <w:t>360.</w:t>
      </w:r>
      <w:r>
        <w:tab/>
        <w:t xml:space="preserve">Число учащихся на старшей ступени среднего образования растет из года в год. В 2002/03 учебном году это число составляло 154 тыс. учащихся – на 9,7 тыс. больше, чем в предыдущем году. </w:t>
      </w:r>
    </w:p>
    <w:p w:rsidR="00000000" w:rsidRDefault="00000000">
      <w:pPr>
        <w:pStyle w:val="BodyText"/>
      </w:pPr>
      <w:r>
        <w:t>361.</w:t>
      </w:r>
      <w:r>
        <w:tab/>
        <w:t>По окончании 2002/03 учебного года из средней школы выбыли 3581 учащийся, из которых 2495, или 69,7процента, составили девочки. Это – самый низкий показатель за последние пять лет. Основными причинами здесь являлись вступление в брак, медицинское заключение о невозможности продолжать учебу и нежелание продолжать обучение. Большинство выбывших по этим причинам также составляют девочки.</w:t>
      </w:r>
    </w:p>
    <w:p w:rsidR="00000000" w:rsidRDefault="00000000">
      <w:pPr>
        <w:pStyle w:val="BodyText"/>
      </w:pPr>
      <w:r>
        <w:t>362.</w:t>
      </w:r>
      <w:r>
        <w:tab/>
        <w:t xml:space="preserve">Чтобы воспрепятствовать прекращению учебы в школе, принимались меры по усилению воспитательной деятельности и улучшению работы учебных заведений, по совершенствованию учебных программ, а в рамках учебных программ – по воспитанию подростков, молодежи и семей в духе, свободном от сексистских стереотипов. </w:t>
      </w:r>
    </w:p>
    <w:p w:rsidR="00000000" w:rsidRDefault="00000000">
      <w:pPr>
        <w:pStyle w:val="BodyText"/>
      </w:pPr>
      <w:r>
        <w:t>363.</w:t>
      </w:r>
      <w:r>
        <w:tab/>
        <w:t xml:space="preserve">В среднем базовом образовании в настоящее время происходят глубокие преобразования, которые касаются всех школ в стране: учащиеся, численность которых составляет 493 318 человек, имеют возможность находиться в школе в течение всего дня, а один преподаватель приходится на 15 учащихся. В отношении этой ступени образования осуществляются проекты, основанные на определении потребностей и интересов учащихся, преподавательского состава и семьи, с тем чтобы работа по половому воспитанию велась с учетом реальных ситуаций. </w:t>
      </w:r>
    </w:p>
    <w:p w:rsidR="00000000" w:rsidRDefault="00000000">
      <w:pPr>
        <w:pStyle w:val="BodyText"/>
      </w:pPr>
      <w:r>
        <w:t>364.</w:t>
      </w:r>
      <w:r>
        <w:tab/>
        <w:t>Молодые люди, заканчивающие полный курс средней школы и не выражающие желания получить высшее образование, имеют возможность продолжить обучение на технических курсах и в училищах по подготовке работников разных специальностей, учителей начальной школы, среднего медицинского персонала служб скорой помощи, социальных работников, работников здравоохранения и др. По завершении такого обучения им предоставляется возможность пройти курс университетского образования, в том числе не покидая своего города.</w:t>
      </w:r>
    </w:p>
    <w:p w:rsidR="00000000" w:rsidRDefault="00000000">
      <w:pPr>
        <w:pStyle w:val="BodyText"/>
      </w:pPr>
      <w:r>
        <w:t>365.</w:t>
      </w:r>
      <w:r>
        <w:tab/>
        <w:t xml:space="preserve">Федерация кубинских женщин на базе консультационных центров для женщин и семей, созданных в 169 муниципалитетах страны, организовала обучение 67 391 женщин, в основном молодых, на учебных курсах, где они изучают разнообразные профессии, которые могут пригодиться им в их трудовой и общественной жизни. </w:t>
      </w:r>
    </w:p>
    <w:p w:rsidR="00000000" w:rsidRDefault="00000000">
      <w:pPr>
        <w:pStyle w:val="BodyText"/>
      </w:pPr>
      <w:r>
        <w:t>366.</w:t>
      </w:r>
      <w:r>
        <w:tab/>
        <w:t xml:space="preserve">Еще один метод обучения молодых женщин, к которому прибегает эта женская организация и который пользуется полной поддержкой со стороны государства, – это консультации, проводимые в уже упоминавшихся консультационных центрах по разным темам в соответствии с выявленными потребностями каждой территории. </w:t>
      </w:r>
    </w:p>
    <w:p w:rsidR="00000000" w:rsidRDefault="00000000">
      <w:pPr>
        <w:pStyle w:val="BodyText"/>
      </w:pPr>
      <w:r>
        <w:t>367.</w:t>
      </w:r>
      <w:r>
        <w:tab/>
        <w:t xml:space="preserve">Упоминавшиеся выше курсы комплексного повышения образовательного уровня молодежи были созданы два года назад и пользуются большой поддержкой со стороны семей, общин, учащихся и преподавателей. Свыше 102 тыс. неработающих и неучащихся молодых людей в возрасте 17–29 лет пришли на учебу в 514 пунктов по всей стране и проходят здесь обучение на степень бакалавра. В настоящее время женщины составляют 65,7 процента учащихся. Более 34 318 учащихся получают высшее образование по 20 различным специальностям. Для всех них учеба считается работой, и они получают от государства ежемесячное вознаграждение в размере 100 песо (национальная валюта). </w:t>
      </w:r>
    </w:p>
    <w:p w:rsidR="00000000" w:rsidRDefault="00000000">
      <w:pPr>
        <w:pStyle w:val="BodyText"/>
      </w:pPr>
      <w:r>
        <w:t>368.</w:t>
      </w:r>
      <w:r>
        <w:tab/>
        <w:t xml:space="preserve">В последние пять лет женщины составляют основной контингент технических специалистов в стране, причем ежегодно в составе выпускников высших учебных заведений более 60 процентов составляют женщины. Такая тенденция сохранится и в последующие годы, поскольку число учащихся-женщин вообще и их доля в общем числе вновь поступающих в вузы останется на прежнем уровне. </w:t>
      </w:r>
    </w:p>
    <w:p w:rsidR="00000000" w:rsidRDefault="00000000">
      <w:pPr>
        <w:pStyle w:val="BodyText"/>
      </w:pPr>
      <w:r>
        <w:t>369.</w:t>
      </w:r>
      <w:r>
        <w:tab/>
        <w:t>Больше всего женщин проходят обучение по гуманитарным специальностям, естественным наукам и педагогике. Что касается медицинских институтов, то здесь уже на протяжении ряда лет женщины составляют свыше 70 процентов учащихся и выпускников.</w:t>
      </w:r>
    </w:p>
    <w:p w:rsidR="00000000" w:rsidRDefault="00000000">
      <w:pPr>
        <w:pStyle w:val="BodyText"/>
      </w:pPr>
      <w:r>
        <w:t>370.</w:t>
      </w:r>
      <w:r>
        <w:tab/>
        <w:t xml:space="preserve">В 2001/02 учебном году женщины составили 24 процента выпускников вузов по техническим специальностям, и этот показатель продолжает расти. На начало 2002/03 учебного года женщины составляли 31 процент студентов, а в конце этого года данный показатель увеличился до 40 процентов. </w:t>
      </w:r>
    </w:p>
    <w:p w:rsidR="00000000" w:rsidRDefault="00000000">
      <w:pPr>
        <w:pStyle w:val="BodyText"/>
      </w:pPr>
      <w:r>
        <w:t>371.</w:t>
      </w:r>
      <w:r>
        <w:tab/>
        <w:t xml:space="preserve">Высока доля женщин среди студентов, обучающихся по специальности "вычислительная техника и информатика": в 2002/03 учебном году по этой специальности обучение проходили 1656 женщин (45,9 процента), из них вновь поступивших было 1214 человек (51,6 процента). </w:t>
      </w:r>
    </w:p>
    <w:p w:rsidR="00000000" w:rsidRDefault="00000000">
      <w:pPr>
        <w:pStyle w:val="BodyText"/>
      </w:pPr>
      <w:r>
        <w:rPr>
          <w:color w:val="000000"/>
        </w:rPr>
        <w:t>372.</w:t>
      </w:r>
      <w:r>
        <w:rPr>
          <w:color w:val="000000"/>
        </w:rPr>
        <w:tab/>
        <w:t>Женщины составляют около 50 процентов преподавательского состава в системе высшего образования, а в ряде университетов эта цифра еще выше. В течение 2002/03 учебного года число преподавателей-женщин в высших учебных заведениях увеличилось вдвое – почти на 6 тыс. человек; этот рост был обусловлен главным образом процессом повсеместного распространения университетского образования, когда было открыто более 160 муниципальных филиалов университетов и увеличилось число обучающихся.</w:t>
      </w:r>
    </w:p>
    <w:p w:rsidR="00000000" w:rsidRDefault="00000000">
      <w:pPr>
        <w:pStyle w:val="BodyText"/>
      </w:pPr>
      <w:r>
        <w:t>373.</w:t>
      </w:r>
      <w:r>
        <w:tab/>
        <w:t xml:space="preserve">Среди преподавателей системы высшего образования на должностях доцентов и ассистентов женщины составляют, соответственно, 30 и 40 процентов. </w:t>
      </w:r>
    </w:p>
    <w:p w:rsidR="00000000" w:rsidRDefault="00000000">
      <w:pPr>
        <w:pStyle w:val="BodyText"/>
      </w:pPr>
      <w:r>
        <w:t>374.</w:t>
      </w:r>
      <w:r>
        <w:tab/>
        <w:t xml:space="preserve">В стране 38 процентов докторов наук – женщины, столько же их среди учащихся магистратуры и тех, кто получает послевузовское образование; много женщин учатся на курсах для лиц, имеющих дипломы, и на курсах послевузовского образования. Из 4 тыс. специалистов, закончивших магистратуру, 49,5 процента – женщины. </w:t>
      </w:r>
    </w:p>
    <w:p w:rsidR="00000000" w:rsidRDefault="00000000">
      <w:pPr>
        <w:pStyle w:val="BodyText"/>
      </w:pPr>
      <w:r>
        <w:t>375.</w:t>
      </w:r>
      <w:r>
        <w:tab/>
        <w:t xml:space="preserve">В национальной системе образования используются школьные программы и семейное воспитание в духе гендерного равенства путем формирования ценностей в рамках школьного образования и Национальной программы полового воспитания. В методических рекомендациях предусматривается обсуждение с учащимися таких понятий, как, например, солидарность, взаимное уважение, гендерное равенство, любовь как основа сексуальных отношений. </w:t>
      </w:r>
    </w:p>
    <w:p w:rsidR="00000000" w:rsidRDefault="00000000">
      <w:pPr>
        <w:pStyle w:val="BodyText"/>
      </w:pPr>
      <w:r>
        <w:t>376.</w:t>
      </w:r>
      <w:r>
        <w:tab/>
        <w:t xml:space="preserve">На всех ступенях образования, от начальной школы до педагогических университетов, соответствующие материалы включены в учебники по разным предметам, в частности по естественным наукам, биологии, патриотическому воспитанию и др. </w:t>
      </w:r>
    </w:p>
    <w:p w:rsidR="00000000" w:rsidRDefault="00000000">
      <w:pPr>
        <w:pStyle w:val="BodyText"/>
      </w:pPr>
      <w:r>
        <w:t>377.</w:t>
      </w:r>
      <w:r>
        <w:tab/>
        <w:t xml:space="preserve">С 1959 года образованию уделяется особое внимание; всем предоставляется возможность учиться, ликвидируются различия и проявления неравенства. В настоящее время разрабатываются новые программы, имеющие целью ведение социальной работы с ориентацией на все население, повышение общего культурного уровня и улучшение качества подготовки молодежи. В программы обучения компьютерному делу, аудиовизуальным искусствам, а также в передачи Образовательного канала включаются темы по половому воспитанию. </w:t>
      </w:r>
    </w:p>
    <w:p w:rsidR="00000000" w:rsidRDefault="00000000">
      <w:pPr>
        <w:pStyle w:val="BodyText"/>
      </w:pPr>
      <w:r>
        <w:t>378.</w:t>
      </w:r>
      <w:r>
        <w:tab/>
        <w:t xml:space="preserve">Приоритетной задачей для страны является подготовка семьи к воспитанию детей, поскольку именно в раннем возрасте и именно в семье закладываются основы всего дальнейшего развития человека. </w:t>
      </w:r>
    </w:p>
    <w:p w:rsidR="00000000" w:rsidRDefault="00000000">
      <w:pPr>
        <w:pStyle w:val="BodyText"/>
      </w:pPr>
      <w:r>
        <w:t>379.</w:t>
      </w:r>
      <w:r>
        <w:tab/>
        <w:t>Исходя из этих, а также других соображений, после 10 лет научных исследований по всей стране в 2002/03 учебном году началась реализация программы "Воспитай своего ребенка", цель которой – помочь семьям обеспечить всестороннее развитие детей в возрасте от 0 до 6 лет. Поскольку систематическим воспитанием детей занимается семья, значимость ее воспитательной функции возрастает.</w:t>
      </w:r>
    </w:p>
    <w:p w:rsidR="00000000" w:rsidRDefault="00000000">
      <w:pPr>
        <w:pStyle w:val="BodyText"/>
      </w:pPr>
      <w:r>
        <w:t>380.</w:t>
      </w:r>
      <w:r>
        <w:tab/>
        <w:t xml:space="preserve">Реализацией данной программы занимаются более 100 тыс. работников на местах, в подготовке которых, в свою очередь, участвовали свыше 30 тыс. активистов – представителей различных ведомств и организаций, которым поручено осуществлять программу. Работниками на местах являются активисты-добровольцы, основная задача которых – совместно с семьей действовать в интересах развития детей и консультировать матерей, отцов и других родственников по вопросам воспитания в семье, чтобы таким образом обеспечивалось надлежащее качество осуществляемых мероприятий. </w:t>
      </w:r>
    </w:p>
    <w:p w:rsidR="00000000" w:rsidRDefault="00000000">
      <w:pPr>
        <w:pStyle w:val="BodyText"/>
      </w:pPr>
      <w:r>
        <w:t>381.</w:t>
      </w:r>
      <w:r>
        <w:tab/>
        <w:t xml:space="preserve">Постепенное расширение масштабов реализации программы позволило охватить ею около 70 процентов населения в возрасте от 0 до 6 лет (607 821 человек), поскольку лишь 30 процентов из них посещают детские дошкольные заведения: детские сады и центры подготовки к школе. Из общего числа детей, охваченных программой, девочки составляют 50 процентов. Такие результаты свидетельствуют о том, что удалось обеспечить охват 95,5 процента детей этой возрастной группы. </w:t>
      </w:r>
    </w:p>
    <w:p w:rsidR="00000000" w:rsidRDefault="00000000">
      <w:pPr>
        <w:pStyle w:val="BodyText"/>
      </w:pPr>
      <w:r>
        <w:t>382.</w:t>
      </w:r>
      <w:r>
        <w:tab/>
        <w:t xml:space="preserve">Во всех учебных программах предусматривается преподавание физического и художественного воспитания в соответствии с возможностями и одаренностью детей и молодых людей в этих областях, и с такими детьми помимо 4 часов занятий физкультурой в рамках школьного расписания еженедельно проводится еще два-три занятия. Во внеурочные часы они могут под руководством преподавателей заниматься физкультурой, спортом или художественным творчеством. </w:t>
      </w:r>
    </w:p>
    <w:p w:rsidR="00000000" w:rsidRDefault="00000000">
      <w:pPr>
        <w:pStyle w:val="BodyText"/>
      </w:pPr>
      <w:r>
        <w:t>383.</w:t>
      </w:r>
      <w:r>
        <w:tab/>
        <w:t xml:space="preserve">На Кубе существует широкая сеть спортивных и художественных школ, охватывающих ступени от начального до высшего образования. </w:t>
      </w:r>
    </w:p>
    <w:p w:rsidR="00000000" w:rsidRDefault="00000000">
      <w:pPr>
        <w:pStyle w:val="BodyText"/>
      </w:pPr>
      <w:r>
        <w:t>384.</w:t>
      </w:r>
      <w:r>
        <w:tab/>
        <w:t xml:space="preserve">В число действующих в стране спортивных центров, где проходят подготовку спортсмены, входят 94 спортивных училища в провинциях, 17 школ для начинающих спортсменов, 14 школ совершенствования спортивного мастерства и 3 школы подготовки спортсменов с целью добиться высших достижений. Для подготовки преподавателей физической культуры и спорта действуют 13 провинциальных школ, 1 Институт физической культуры и 14 факультетов в провинциях. В 130 муниципалитетах страны имеются университетские центры изучения физической культуры. В стране работает Международная спортивная школа, в которой учатся 1400 студентов из 72 стран. </w:t>
      </w:r>
    </w:p>
    <w:p w:rsidR="00000000" w:rsidRDefault="00000000">
      <w:pPr>
        <w:pStyle w:val="BodyText"/>
      </w:pPr>
      <w:r>
        <w:t>385.</w:t>
      </w:r>
      <w:r>
        <w:tab/>
        <w:t xml:space="preserve">Во всех этих учебных заведениях обучаются 23 тыс. женщин, из них 15 тыс. проходят спортивное обучение, а 8 тыс. готовятся стать преподавателями. Для всех этих учащихся без исключения и обучение, и учебные принадлежности абсолютно бесплатны; кроме того, они бесплатно получают питание и медицинское обслуживание. </w:t>
      </w:r>
    </w:p>
    <w:p w:rsidR="00000000" w:rsidRDefault="00000000">
      <w:pPr>
        <w:pStyle w:val="BodyText"/>
      </w:pPr>
      <w:r>
        <w:t>386.</w:t>
      </w:r>
      <w:r>
        <w:tab/>
        <w:t xml:space="preserve">Преподавательский состав, работающий в этой сфере, насчитывает до 45 тыс. человек, 45 процентов из них – женщины. В течение 2003/04 учебного года по мере открытия филиалов университетов в муниципалитетах к работе в качестве помощников преподавателей приступили 1267 человек. </w:t>
      </w:r>
    </w:p>
    <w:p w:rsidR="00000000" w:rsidRDefault="00000000">
      <w:pPr>
        <w:pStyle w:val="BodyText"/>
      </w:pPr>
      <w:r>
        <w:t>387.</w:t>
      </w:r>
      <w:r>
        <w:tab/>
        <w:t xml:space="preserve">Женщины занимаются спортом и участвуют в соревнованиях по большинству из распространенных в мире 38 видов спорта. </w:t>
      </w:r>
    </w:p>
    <w:p w:rsidR="00000000" w:rsidRDefault="00000000">
      <w:pPr>
        <w:pStyle w:val="BodyText"/>
      </w:pPr>
      <w:r>
        <w:t>388.</w:t>
      </w:r>
      <w:r>
        <w:tab/>
        <w:t xml:space="preserve">Широко представлены женщины в спорте высоких достижений. Например, в ходе Олимпийских игр в Барселоне в 1992 году, где Куба завоевала как никогда много золотых медалей, женщины установили рекорд. Они выиграли больше золотых медалей, нежели вся кубинская делегация на Олимпиаде в Монреале в 1976 году. </w:t>
      </w:r>
    </w:p>
    <w:p w:rsidR="00000000" w:rsidRDefault="00000000">
      <w:pPr>
        <w:pStyle w:val="BodyText"/>
      </w:pPr>
      <w:r>
        <w:t>389.</w:t>
      </w:r>
      <w:r>
        <w:tab/>
        <w:t xml:space="preserve">Помимо занятий спортом и проведения спортивно-зрелищных мероприятий государство уделяет особое внимание воспитательной работе в сфере проведения досуга, цель которой – организация свободного времени и отдыха детей, молодежи и взрослых, особенно в выходные дни, во время школьных каникул и летних отпусков. Разработаны социокультурные проекты интеграционного характера, ориентированные на все население в целом, способствующие культурному и духовному развитию личности и предоставляющие возможность общения и контактов с профессионалами, людьми искусства и науки. </w:t>
      </w:r>
    </w:p>
    <w:p w:rsidR="00000000" w:rsidRDefault="00000000">
      <w:pPr>
        <w:pStyle w:val="BodyText"/>
      </w:pPr>
      <w:r>
        <w:t>390.</w:t>
      </w:r>
      <w:r>
        <w:tab/>
        <w:t>Созданы 1892 общинных теле- и видеозала в отдаленных деревнях, где нет электричества. Эти залы обеспечиваются электроэнергией от солнечных батарей. Услугами этих залов пользуются более 500 тыс. мужчин и женщин.</w:t>
      </w:r>
    </w:p>
    <w:p w:rsidR="00000000" w:rsidRDefault="00000000">
      <w:pPr>
        <w:pStyle w:val="BodyText"/>
      </w:pPr>
      <w:r>
        <w:t>391.</w:t>
      </w:r>
      <w:r>
        <w:tab/>
        <w:t xml:space="preserve">В стране насчитывается более 16 тыс. молодых людей, проходящих обучение в школах подготовки преподавателей художественных дисциплин, где они изучают танец, музыку, театр и скульптуру. Кроме того, действуют 15 балетных школ и 17 школ искусства ваяния. </w:t>
      </w:r>
    </w:p>
    <w:p w:rsidR="00000000" w:rsidRDefault="00000000">
      <w:pPr>
        <w:pStyle w:val="BodyText"/>
      </w:pPr>
      <w:r>
        <w:t>392.</w:t>
      </w:r>
      <w:r>
        <w:tab/>
        <w:t xml:space="preserve">В 30 городах страны проходят книжные ярмарки. В 2003 году такие ярмарки посетили и приобрели там различные книги для всех возрастов 3 млн. 6 тыс. человек. </w:t>
      </w:r>
    </w:p>
    <w:p w:rsidR="00000000" w:rsidRDefault="00000000">
      <w:pPr>
        <w:pStyle w:val="BodyText"/>
      </w:pPr>
      <w:r>
        <w:t>393.</w:t>
      </w:r>
      <w:r>
        <w:tab/>
        <w:t xml:space="preserve">На телевидении имеется Образовательный канал, который постоянно транслирует программы, предназначенные для учащихся и населения в целом. Объем вещания канала составляет 5450 часов, он транслирует 2052 телеурока и других образовательных передач для учащихся. Этот телеканал принимается в столицах всех провинций страны, и его могут смотреть примерно 7 млн. 7 тыс. человек. </w:t>
      </w:r>
    </w:p>
    <w:p w:rsidR="00000000" w:rsidRDefault="00000000">
      <w:pPr>
        <w:pStyle w:val="BodyText"/>
      </w:pPr>
      <w:r>
        <w:t>394.</w:t>
      </w:r>
      <w:r>
        <w:tab/>
        <w:t xml:space="preserve">Важную роль в воспитании и формировании ценностей играют созданные Федерацией кубинских женщин консультационные центры для женщин и семей и кафедры по проблемам женщин в центрах высшего образования. Здесь проводятся различные мероприятия воспитательного характера и предоставляются консультации, ориентированные на семью и общину. В числе мероприятий, проведенных в 2003 году в рамках Международного дня семьи, следует отметить: </w:t>
      </w:r>
    </w:p>
    <w:p w:rsidR="00000000" w:rsidRDefault="00000000">
      <w:pPr>
        <w:pStyle w:val="BodyText"/>
        <w:tabs>
          <w:tab w:val="clear" w:pos="907"/>
        </w:tabs>
        <w:ind w:left="1134" w:hanging="1134"/>
      </w:pPr>
      <w:r>
        <w:tab/>
        <w:t>•</w:t>
      </w:r>
      <w:r>
        <w:tab/>
        <w:t>Групповые мероприятия с участием подростков: обсуждались темы ответственного материнства и отцовства, насилия, совместной жизни, уважения и солидарности в семье; для молодых людей, обучающихся на курсах комплексного повышения образовательного уровня, были прочитаны лекции о семейных отношениях и насилии в отношении женщин и девочек.</w:t>
      </w:r>
    </w:p>
    <w:p w:rsidR="00000000" w:rsidRDefault="00000000">
      <w:pPr>
        <w:pStyle w:val="BodyText"/>
        <w:tabs>
          <w:tab w:val="clear" w:pos="907"/>
        </w:tabs>
        <w:ind w:left="1134" w:hanging="1134"/>
      </w:pPr>
      <w:r>
        <w:tab/>
        <w:t>•</w:t>
      </w:r>
      <w:r>
        <w:tab/>
        <w:t xml:space="preserve">Мероприятия с участием семейных пар. Проведены встречи молодоженов с семейными парами, прожившими вместе много лет, с целью подчеркнуть значимость крепкой семьи и обсудить нормы семейной совместной жизни. </w:t>
      </w:r>
    </w:p>
    <w:p w:rsidR="00000000" w:rsidRDefault="00000000">
      <w:pPr>
        <w:pStyle w:val="BodyText"/>
        <w:tabs>
          <w:tab w:val="clear" w:pos="907"/>
        </w:tabs>
        <w:ind w:left="1134" w:hanging="1134"/>
      </w:pPr>
      <w:r>
        <w:tab/>
        <w:t>•</w:t>
      </w:r>
      <w:r>
        <w:tab/>
        <w:t xml:space="preserve">Встречи в центрах будущих матерей с беременными женщинами, чтобы рассказать им об их роли в воспитании детей и, совместно с их супругами, обсудить тему ответственного отцовства и материнства. </w:t>
      </w:r>
    </w:p>
    <w:p w:rsidR="00000000" w:rsidRDefault="00000000">
      <w:pPr>
        <w:pStyle w:val="BodyText"/>
        <w:tabs>
          <w:tab w:val="clear" w:pos="907"/>
        </w:tabs>
        <w:ind w:left="1134" w:hanging="1134"/>
      </w:pPr>
      <w:r>
        <w:tab/>
        <w:t>•</w:t>
      </w:r>
      <w:r>
        <w:tab/>
        <w:t xml:space="preserve">Культурные мероприятия, организованные движением "Матери и отцы за воспитание" с целью повышения культурного уровня детей. </w:t>
      </w:r>
    </w:p>
    <w:p w:rsidR="00000000" w:rsidRDefault="00000000">
      <w:pPr>
        <w:pStyle w:val="BodyText"/>
        <w:tabs>
          <w:tab w:val="clear" w:pos="907"/>
        </w:tabs>
        <w:ind w:left="1134" w:hanging="1134"/>
      </w:pPr>
      <w:r>
        <w:tab/>
        <w:t>•</w:t>
      </w:r>
      <w:r>
        <w:tab/>
        <w:t xml:space="preserve">Дискуссии и "круглые столы" по проблемам выплаты алиментов отцами в местах высокой концентрации женского населения и в общинах, где имеется много детей, не получающих такого пособия. </w:t>
      </w:r>
    </w:p>
    <w:p w:rsidR="00000000" w:rsidRDefault="00000000">
      <w:pPr>
        <w:pStyle w:val="BodyText"/>
        <w:tabs>
          <w:tab w:val="clear" w:pos="907"/>
        </w:tabs>
        <w:ind w:left="1134" w:hanging="1134"/>
      </w:pPr>
      <w:r>
        <w:tab/>
        <w:t>•</w:t>
      </w:r>
      <w:r>
        <w:tab/>
        <w:t xml:space="preserve">Семинары в общинах, на которых обсуждаются роль семьи в сексуальном воспитании детей, вопросы подростковой беременности и инфекционных заболеваний, передаваемых половым путем, семейного общежития, человеческой солидарности, помощи пожилым и насилия в семье. </w:t>
      </w:r>
    </w:p>
    <w:p w:rsidR="00000000" w:rsidRDefault="00000000">
      <w:pPr>
        <w:pStyle w:val="BodyText"/>
        <w:tabs>
          <w:tab w:val="clear" w:pos="907"/>
        </w:tabs>
        <w:ind w:left="1134" w:hanging="1134"/>
      </w:pPr>
      <w:r>
        <w:tab/>
        <w:t>•</w:t>
      </w:r>
      <w:r>
        <w:tab/>
        <w:t xml:space="preserve">Участие в радиопрограммах и обсуждение темы "Семейное воспитание" в передачах провинциальных и местных радиостанций. </w:t>
      </w:r>
    </w:p>
    <w:p w:rsidR="00000000" w:rsidRDefault="00000000">
      <w:pPr>
        <w:pStyle w:val="BodyText"/>
        <w:tabs>
          <w:tab w:val="clear" w:pos="907"/>
        </w:tabs>
        <w:ind w:left="1134" w:hanging="1134"/>
      </w:pPr>
      <w:r>
        <w:tab/>
        <w:t>•</w:t>
      </w:r>
      <w:r>
        <w:tab/>
        <w:t xml:space="preserve">Оказание помощи социально незащищенным или находящимся в тяжелом положении семьям: посещение домов ребенка, где живут дети, оставшиеся без родительского попечения, и беседы с приемными семьями; семинары в женских тюрьмах по вопросам семейного общежития и возвращения в семьи лиц, освободившихся из заключения; семинары с участием членов семей несовершеннолетних с проблемным поведением и обсуждение роли семьи в исправлении их поведения; встречи с членами семей инвалидов и награждение тех, кто оказывает большую помощь людям с такими проблемами. </w:t>
      </w:r>
    </w:p>
    <w:p w:rsidR="00000000" w:rsidRDefault="00000000">
      <w:pPr>
        <w:pStyle w:val="BodyText"/>
      </w:pPr>
      <w:r>
        <w:t>395.</w:t>
      </w:r>
      <w:r>
        <w:tab/>
        <w:t xml:space="preserve">Помимо индивидуальных или групповых консультаций, которые в этот период проводились для членов семей в консультационных центрах для женщин и семей, правительство обеспечило доступ к информационным материалам и возможность получить советы по вопросам создания семьи, благополучия ее членов и семьи в целом, а также здоровья, в том числе сексуального и репродуктивного. </w:t>
      </w:r>
    </w:p>
    <w:p w:rsidR="00000000" w:rsidRDefault="00000000">
      <w:pPr>
        <w:pStyle w:val="BodyText"/>
      </w:pPr>
      <w:r>
        <w:t>396.</w:t>
      </w:r>
      <w:r>
        <w:tab/>
        <w:t xml:space="preserve">Следует упомянуть о реализации в течение этого периода программ, направленных на комплексное развитие общей культуры. В числе программ, ориентированных на кубинскую семью, следует упомянуть программу "Семейная библиотека", куда включены выдающиеся произведения национальной и мировой культуры 60 наименований. </w:t>
      </w:r>
    </w:p>
    <w:p w:rsidR="00000000" w:rsidRDefault="00000000">
      <w:pPr>
        <w:pStyle w:val="BodyText"/>
      </w:pPr>
      <w:r>
        <w:t>397.</w:t>
      </w:r>
      <w:r>
        <w:tab/>
        <w:t xml:space="preserve">Одновременно увеличились объемы и количество радио- и телевизионных программ воспитательного и консультативного характера, ориентированных на семью и имеющих целью рассказывать родителям о том, как следует правильно воспитывать детей, и создать у них необходимые стимулы и побуждения для этого. Эти передачи сочетают в себе разные форматы: наряду с инсценировками и примерами из жизни в них можно услышать и специалистов, которые рассказывают слушателям об основах психологии и педагогики. </w:t>
      </w:r>
    </w:p>
    <w:p w:rsidR="00000000" w:rsidRDefault="00000000">
      <w:pPr>
        <w:pStyle w:val="BodyText"/>
      </w:pPr>
      <w:r>
        <w:t>398.</w:t>
      </w:r>
      <w:r>
        <w:tab/>
        <w:t xml:space="preserve">К числу передач, пользующихся наибольшей популярностью и вызывающих активный отклик, относятся телевизионный сериал "На ничьей земле", в котором речь идет о повседневной жизни кубинского подростка, и в то же время эта повседневная жизнь становится зеркалом, в котором отражаются тенденции развития, встречающиеся трудности, роль каждого поколения и проблемы, не нашедшие пока решения; "Прокладывая пути" – еженедельная передача, в которой даются консультации социального характера для семей и жителей общин; а также уже упоминавшаяся передача "Поговорим о здоровье", в которой обычно рассматриваются интересующие семью темы и, в частности, вопросы планирования размера семьи. </w:t>
      </w:r>
    </w:p>
    <w:p w:rsidR="00000000" w:rsidRDefault="00000000">
      <w:pPr>
        <w:pStyle w:val="BodyText"/>
      </w:pPr>
      <w:r>
        <w:t>399.</w:t>
      </w:r>
      <w:r>
        <w:tab/>
        <w:t xml:space="preserve">Осуществляющийся с 2001 года совместный проект Федерации кубинских женщин и Кубинского института радиовещания и телевидения – телевизионная передача "Когда женщина…", предназначенная и для мужчин, и для женщин, – вызывает большой зрительский интерес и пользуется популярностью. В этой передаче также обсуждаются темы взаимоотношений в семье и между ее членами с учетом гендерных аспектов, а также приводится информация и даются советы по проблемам сексуального и репродуктивного здоровья и планирования размера семьи. </w:t>
      </w:r>
    </w:p>
    <w:p w:rsidR="00000000" w:rsidRDefault="00000000">
      <w:pPr>
        <w:pStyle w:val="BodyText"/>
      </w:pPr>
      <w:r>
        <w:t>400.</w:t>
      </w:r>
      <w:r>
        <w:tab/>
        <w:t xml:space="preserve">Свой вклад в сексуальное воспитание детей и подростков дома и в общине вносит и аудиовизуальная программа, разработанная Министерством просвещения, которое обеспечило все школы телевизорами и видеомагнитофонами. Эта программа помогает вовремя выявлять возможные нарушения поведения или проблемы и предупреждать их, формировать новые или изменять уже сложившиеся формы родительского поведения в позитивном направлении. В школах созданы видеотеки, которые помогают в семейном воспитании и дают материал для обсуждения в школах для родителей, на собраниях, беседах, "круглых столах", видеодискуссиях и видеоконференциях, к участию в которых привлекаются матери, отцы и другие члены семей. </w:t>
      </w:r>
    </w:p>
    <w:p w:rsidR="00000000" w:rsidRDefault="00000000">
      <w:pPr>
        <w:pStyle w:val="BodyText"/>
      </w:pPr>
      <w:r>
        <w:t>401.</w:t>
      </w:r>
      <w:r>
        <w:tab/>
        <w:t xml:space="preserve">С другой стороны, родители и другие пользующиеся влиянием члены семей активно участвуют в осуществляющемся с 1995 года проекте "Воспитание ответственного сексуального поведения", который все шире распространяется по всей стране. Ставится задача повысить уровень ответственности взрослых членов семьи и привлечь их к сознательному участию в деле совместного со школой воспитания своих детей. </w:t>
      </w:r>
    </w:p>
    <w:p w:rsidR="00000000" w:rsidRDefault="00000000">
      <w:pPr>
        <w:pStyle w:val="BodyText"/>
      </w:pPr>
      <w:r>
        <w:t>402.</w:t>
      </w:r>
      <w:r>
        <w:tab/>
        <w:t xml:space="preserve">Первые оценки хода реализации данного проекта показали, что систематическая работа с семьями в его рамках, а также в рамках Национальной программы сексуального воспитания позволила повысить уровень информированности семей и их готовность все шире и с большей эффективностью, решимостью и активностью выполнять свою задачу в сфере сексуального воспитания новых поколений. </w:t>
      </w:r>
    </w:p>
    <w:p w:rsidR="00000000" w:rsidRDefault="00000000">
      <w:pPr>
        <w:pStyle w:val="BodyText"/>
      </w:pPr>
      <w:r>
        <w:t>403.</w:t>
      </w:r>
      <w:r>
        <w:tab/>
        <w:t xml:space="preserve">В ходе оценки результатов реализации программы как преподаватели, так и участвующие в ней семьи признают, что удалось расширить масштаб и повысить качество деятельности школы по работе с семьями. 62 процента отцов и матерей считают, что они хорошо подготовлены к сексуальному воспитанию своих детей, но признают при этом, что необходимо расширять масштаб и повышать качество работы с семьями, и прежде всего в сфере сексуального воспитания, и консультаций по этому вопросу, которые проводятся в школах семейного воспитания. </w:t>
      </w:r>
    </w:p>
    <w:p w:rsidR="00000000" w:rsidRDefault="00000000">
      <w:pPr>
        <w:pStyle w:val="BodyText"/>
      </w:pPr>
      <w:r>
        <w:t>404.</w:t>
      </w:r>
      <w:r>
        <w:tab/>
        <w:t xml:space="preserve">Подростки разделяют это мнение, говоря о том, что после работы школы с семьями улучшились их взаимоотношения с родителями и что их проблемы находят большее понимание. По мнению большинства подростков, следует обсуждать с родителями свои проблемы и свой сексуальный опыт, хотя, как они считают, основным источником информации и тем человеком, с которым они могут обсудить свои проблемы в сексуальной сфере, была и остается мать. </w:t>
      </w:r>
    </w:p>
    <w:p w:rsidR="00000000" w:rsidRDefault="00000000">
      <w:pPr>
        <w:pStyle w:val="BodyText"/>
        <w:rPr>
          <w:b/>
        </w:rPr>
      </w:pPr>
    </w:p>
    <w:p w:rsidR="00000000" w:rsidRDefault="00000000">
      <w:pPr>
        <w:pStyle w:val="BodyText"/>
        <w:jc w:val="center"/>
        <w:rPr>
          <w:b/>
        </w:rPr>
      </w:pPr>
      <w:r>
        <w:rPr>
          <w:b/>
        </w:rPr>
        <w:t>СТАТЬЯ</w:t>
      </w:r>
      <w:r>
        <w:t xml:space="preserve"> </w:t>
      </w:r>
      <w:r>
        <w:rPr>
          <w:b/>
        </w:rPr>
        <w:t>11</w:t>
      </w:r>
    </w:p>
    <w:p w:rsidR="00000000" w:rsidRDefault="00000000">
      <w:pPr>
        <w:pStyle w:val="BodyText"/>
        <w:ind w:left="0" w:firstLine="0"/>
      </w:pPr>
      <w:r>
        <w:t xml:space="preserve">1. </w:t>
      </w:r>
      <w:r>
        <w:tab/>
        <w:t xml:space="preserve">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 </w:t>
      </w:r>
    </w:p>
    <w:p w:rsidR="00000000" w:rsidRDefault="00000000">
      <w:pPr>
        <w:pStyle w:val="BodyText"/>
        <w:tabs>
          <w:tab w:val="clear" w:pos="907"/>
        </w:tabs>
        <w:ind w:left="1134" w:hanging="1134"/>
      </w:pPr>
      <w:r>
        <w:tab/>
        <w:t>а)</w:t>
      </w:r>
      <w:r>
        <w:tab/>
        <w:t xml:space="preserve">право на труд как неотъемлемое право всех людей; </w:t>
      </w:r>
    </w:p>
    <w:p w:rsidR="00000000" w:rsidRDefault="00000000">
      <w:pPr>
        <w:pStyle w:val="BodyText"/>
        <w:tabs>
          <w:tab w:val="clear" w:pos="907"/>
        </w:tabs>
        <w:ind w:left="1134" w:hanging="1134"/>
      </w:pPr>
      <w:r>
        <w:tab/>
      </w:r>
      <w:r>
        <w:rPr>
          <w:lang w:val="en-US"/>
        </w:rPr>
        <w:t>b</w:t>
      </w:r>
      <w:r>
        <w:t>)</w:t>
      </w:r>
      <w:r>
        <w:tab/>
        <w:t xml:space="preserve">право на одинаковые возможности при найме на работу, в том числе применение одинаковых критериев отбора при найме; </w:t>
      </w:r>
    </w:p>
    <w:p w:rsidR="00000000" w:rsidRDefault="00000000">
      <w:pPr>
        <w:pStyle w:val="BodyText"/>
        <w:tabs>
          <w:tab w:val="clear" w:pos="907"/>
        </w:tabs>
        <w:ind w:left="1134" w:hanging="1134"/>
      </w:pPr>
      <w:r>
        <w:tab/>
        <w:t>с)</w:t>
      </w:r>
      <w:r>
        <w:tab/>
        <w:t xml:space="preserve">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 </w:t>
      </w:r>
    </w:p>
    <w:p w:rsidR="00000000" w:rsidRDefault="00000000">
      <w:pPr>
        <w:pStyle w:val="BodyText"/>
        <w:tabs>
          <w:tab w:val="clear" w:pos="907"/>
        </w:tabs>
        <w:ind w:left="1134" w:hanging="1134"/>
      </w:pPr>
      <w:r>
        <w:tab/>
      </w:r>
      <w:r>
        <w:rPr>
          <w:lang w:val="en-US"/>
        </w:rPr>
        <w:t>d</w:t>
      </w:r>
      <w:r>
        <w:t>)</w:t>
      </w:r>
      <w:r>
        <w:tab/>
        <w:t xml:space="preserve">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 </w:t>
      </w:r>
    </w:p>
    <w:p w:rsidR="00000000" w:rsidRDefault="00000000">
      <w:pPr>
        <w:pStyle w:val="BodyText"/>
        <w:tabs>
          <w:tab w:val="clear" w:pos="907"/>
        </w:tabs>
        <w:ind w:left="1134" w:hanging="1134"/>
      </w:pPr>
      <w:r>
        <w:tab/>
      </w:r>
      <w:r>
        <w:rPr>
          <w:lang w:val="en-US"/>
        </w:rPr>
        <w:t>e</w:t>
      </w:r>
      <w:r>
        <w:t>)</w:t>
      </w:r>
      <w:r>
        <w:tab/>
        <w:t xml:space="preserve">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 </w:t>
      </w:r>
    </w:p>
    <w:p w:rsidR="00000000" w:rsidRDefault="00000000">
      <w:pPr>
        <w:pStyle w:val="BodyText"/>
        <w:tabs>
          <w:tab w:val="clear" w:pos="567"/>
          <w:tab w:val="clear" w:pos="907"/>
        </w:tabs>
        <w:ind w:left="1134"/>
      </w:pPr>
      <w:r>
        <w:rPr>
          <w:lang w:val="en-US"/>
        </w:rPr>
        <w:t>f</w:t>
      </w:r>
      <w:r>
        <w:t>)</w:t>
      </w:r>
      <w:r>
        <w:tab/>
        <w:t xml:space="preserve">право на охрану здоровья и безопасные условия труда, в том числе по сохранению функции продолжения рода. </w:t>
      </w:r>
    </w:p>
    <w:p w:rsidR="00000000" w:rsidRDefault="00000000">
      <w:pPr>
        <w:pStyle w:val="BodyText"/>
        <w:ind w:left="0" w:firstLine="0"/>
      </w:pPr>
      <w:r>
        <w:t xml:space="preserve">2. </w:t>
      </w:r>
      <w:r>
        <w:tab/>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pStyle w:val="BodyText"/>
        <w:tabs>
          <w:tab w:val="clear" w:pos="907"/>
          <w:tab w:val="left" w:pos="1134"/>
        </w:tabs>
        <w:ind w:left="1134"/>
      </w:pPr>
      <w:r>
        <w:t>а)</w:t>
      </w:r>
      <w:r>
        <w:tab/>
        <w:t xml:space="preserve">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 </w:t>
      </w:r>
    </w:p>
    <w:p w:rsidR="00000000" w:rsidRDefault="00000000">
      <w:pPr>
        <w:pStyle w:val="BodyText"/>
        <w:tabs>
          <w:tab w:val="clear" w:pos="907"/>
          <w:tab w:val="left" w:pos="1134"/>
        </w:tabs>
        <w:ind w:left="1134"/>
      </w:pPr>
      <w:r>
        <w:rPr>
          <w:lang w:val="en-US"/>
        </w:rPr>
        <w:t>b</w:t>
      </w:r>
      <w:r>
        <w:t>)</w:t>
      </w:r>
      <w:r>
        <w:tab/>
        <w:t xml:space="preserve">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 </w:t>
      </w:r>
    </w:p>
    <w:p w:rsidR="00000000" w:rsidRDefault="00000000">
      <w:pPr>
        <w:pStyle w:val="BodyText"/>
        <w:tabs>
          <w:tab w:val="clear" w:pos="907"/>
          <w:tab w:val="left" w:pos="1134"/>
        </w:tabs>
        <w:ind w:left="1134"/>
      </w:pPr>
      <w:r>
        <w:rPr>
          <w:lang w:val="en-US"/>
        </w:rPr>
        <w:t>c</w:t>
      </w:r>
      <w:r>
        <w:t>)</w:t>
      </w:r>
      <w:r>
        <w:tab/>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000000" w:rsidRDefault="00000000">
      <w:pPr>
        <w:pStyle w:val="BodyText"/>
        <w:tabs>
          <w:tab w:val="clear" w:pos="907"/>
          <w:tab w:val="left" w:pos="1134"/>
        </w:tabs>
        <w:ind w:left="1134"/>
      </w:pPr>
      <w:r>
        <w:rPr>
          <w:lang w:val="en-US"/>
        </w:rPr>
        <w:t>d</w:t>
      </w:r>
      <w:r>
        <w:t>)</w:t>
      </w:r>
      <w: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BodyText"/>
        <w:ind w:left="0" w:firstLine="0"/>
      </w:pPr>
      <w:r>
        <w:t xml:space="preserve">3. </w:t>
      </w:r>
      <w: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BodyText"/>
      </w:pPr>
      <w:r>
        <w:t>405.</w:t>
      </w:r>
      <w:r>
        <w:tab/>
        <w:t xml:space="preserve">В пункте b статьи 9 Конституции Республики говорится: "Государство гарантирует, что не будет трудоспособных мужчин или женщин, которые не имели бы возможности получить работу, посредством которой они могли бы содействовать достижению целей общества и удовлетворению своих собственных потребностей". </w:t>
      </w:r>
    </w:p>
    <w:p w:rsidR="00000000" w:rsidRDefault="00000000">
      <w:pPr>
        <w:pStyle w:val="BodyText"/>
      </w:pPr>
      <w:r>
        <w:t>406.</w:t>
      </w:r>
      <w:r>
        <w:tab/>
        <w:t>Равным образом, в статье 40 о равноправии мужчин и женщин закреплено право на равный доступ, в соответствии со своими заслугами и способностями, к любым государственным постам и должностям в сферах государственного управления, производства и услуг и на получение равной платы за равный труд</w:t>
      </w:r>
      <w:r>
        <w:rPr>
          <w:color w:val="008080"/>
        </w:rPr>
        <w:t>.</w:t>
      </w:r>
    </w:p>
    <w:p w:rsidR="00000000" w:rsidRDefault="00000000">
      <w:pPr>
        <w:pStyle w:val="BodyText"/>
      </w:pPr>
      <w:r>
        <w:t>407.</w:t>
      </w:r>
      <w:r>
        <w:tab/>
        <w:t xml:space="preserve">В статье 44 Конституции говорится, что для обеспечения всестороннего участия женщин в развитии страны им предоставляются такие же возможности, как и мужчинам. </w:t>
      </w:r>
    </w:p>
    <w:p w:rsidR="00000000" w:rsidRDefault="00000000">
      <w:pPr>
        <w:pStyle w:val="BodyText"/>
      </w:pPr>
      <w:r>
        <w:t>408.</w:t>
      </w:r>
      <w:r>
        <w:tab/>
        <w:t xml:space="preserve">Эти статьи Конституции представляют собой четкое изложение гражданских прав, обеспечивающих предоставление прав и возможностей кубинской женщине – активной участнице всех свершений в обществе, ценности и принципы которого полностью отличны от тех, которые существовали до 1959 года. </w:t>
      </w:r>
    </w:p>
    <w:p w:rsidR="00000000" w:rsidRDefault="00000000">
      <w:pPr>
        <w:pStyle w:val="BodyText"/>
      </w:pPr>
      <w:r>
        <w:t>409.</w:t>
      </w:r>
      <w:r>
        <w:tab/>
        <w:t xml:space="preserve">Кубинское правительство совместно с Федерацией кубинских женщин и Профцентром трудящихся Кубы проводит политику в сфере занятости, непосредственно отвечающую интересам женщин не только в том, что с каждым годом растут масштабы их участия в экономической жизни, но и в том, что им открыт доступ к профессиональному обучению и подготовке, что позволяет им получать лучшие рабочие места и занимать руководящие должности. </w:t>
      </w:r>
    </w:p>
    <w:p w:rsidR="00000000" w:rsidRDefault="00000000">
      <w:pPr>
        <w:pStyle w:val="BodyText"/>
      </w:pPr>
      <w:r>
        <w:t>410.</w:t>
      </w:r>
      <w:r>
        <w:tab/>
        <w:t xml:space="preserve">Правительство и Федерация кубинских женщин обязали центральные органы государственной власти и призвали общественные и профсоюзные организации провести оценку состояния дел в сфере занятости, а также предприняли весьма полезные действия, направленные на расширение участия женщин в экономике. </w:t>
      </w:r>
    </w:p>
    <w:p w:rsidR="00000000" w:rsidRDefault="00000000">
      <w:pPr>
        <w:pStyle w:val="BodyText"/>
      </w:pPr>
      <w:r>
        <w:t>411.</w:t>
      </w:r>
      <w:r>
        <w:tab/>
        <w:t xml:space="preserve">Стремление к повышению эффективности экономики предъявляет новые требования к политике в сфере занятости в стране. Проблема заключается в том, чтобы при проведении этой политики не нанести ущерба завоеваниям последних лет в сфере занятости. Постоянно прилагались усилия к тому, </w:t>
      </w:r>
      <w:r>
        <w:rPr>
          <w:color w:val="000000"/>
        </w:rPr>
        <w:t>чтобы не допустить уменьшения доли женщин в общей рабочей силе, и постоянно изыскивались новые пути в связи с необходимым и, следовательно, неизбежным процессом рационализации в организации рабочих мест.</w:t>
      </w:r>
    </w:p>
    <w:p w:rsidR="00000000" w:rsidRDefault="00000000">
      <w:pPr>
        <w:pStyle w:val="BodyText"/>
      </w:pPr>
      <w:r>
        <w:t>412.</w:t>
      </w:r>
      <w:r>
        <w:tab/>
        <w:t xml:space="preserve">С 1996 года, когда вследствие восстановления экономики начался рост занятости, и вплоть до настоящего времени продолжается тенденция к росту </w:t>
      </w:r>
      <w:r>
        <w:rPr>
          <w:color w:val="000000"/>
        </w:rPr>
        <w:t xml:space="preserve">доли женщин в общей рабочей силе страны: в 1996 году они составляли 41,7 процента, а в 2003 году – 44,9 процента. </w:t>
      </w:r>
    </w:p>
    <w:p w:rsidR="00000000" w:rsidRDefault="00000000">
      <w:pPr>
        <w:pStyle w:val="BodyText"/>
      </w:pPr>
      <w:r>
        <w:t>413.</w:t>
      </w:r>
      <w:r>
        <w:tab/>
        <w:t xml:space="preserve">С 2000 года в стране действует новая Национальная программа занятости, учитывающая экономические потребности страны и интересы мужчин и женщин. В ее основу положены диагностические оценки трудовых и людских ресурсов, которые ежегодно проводятся в населенных пунктах и муниципалитетах и на базе которых выводятся данные по муниципалитетам, провинциям и стране в целом. </w:t>
      </w:r>
    </w:p>
    <w:p w:rsidR="00000000" w:rsidRDefault="00000000">
      <w:pPr>
        <w:pStyle w:val="BodyText"/>
      </w:pPr>
      <w:r>
        <w:t>414.</w:t>
      </w:r>
      <w:r>
        <w:tab/>
        <w:t xml:space="preserve">Приоритетной задачей Программы в области занятости является привлечение женщин и молодых людей на вновь создаваемые рабочие места. В 2000 году уровень безработицы составлял 5,5 процента, на конец 2003 года он был равен 3,3 процента, и этот показатель продолжает снижаться. На конец 2004 года безработица вышла на уровень ниже 2 процентов, а в ряде мест зарегистрировано полное отсутствие безработицы. </w:t>
      </w:r>
    </w:p>
    <w:p w:rsidR="00000000" w:rsidRDefault="00000000">
      <w:pPr>
        <w:pStyle w:val="BodyText"/>
      </w:pPr>
      <w:r>
        <w:t>415.</w:t>
      </w:r>
      <w:r>
        <w:tab/>
        <w:t xml:space="preserve">Что касается женщин, то доля безработных среди них составляла в 2000 году 5,8 процента, а в 2002 году – 4 процента. В государственном гражданском секторе (на долю которого на Кубе приходится наибольшее количество рабочих мест) занято 2 984 600 человек, из которых 1 335 402 – женщины, что составляет 44,7 процента от общего числа работающих в этом секторе. Во всех провинциях среди лиц, занятых в этом секторе, доля женщин превышает 40 процентов. </w:t>
      </w:r>
    </w:p>
    <w:p w:rsidR="00000000" w:rsidRDefault="00000000">
      <w:pPr>
        <w:pStyle w:val="BodyText"/>
      </w:pPr>
      <w:r>
        <w:t>416.</w:t>
      </w:r>
      <w:r>
        <w:tab/>
        <w:t>На предприятиях смешанной формы собственности, создававшихся с целью придать новый импульс развитию экономики, работают 11 026 женщин – 41,9 процента всех работающих на этих предприятиях. В последние годы общая численность работающих в этом секторе снижается, однако число женщин остается на прежнем уровне.</w:t>
      </w:r>
    </w:p>
    <w:p w:rsidR="00000000" w:rsidRDefault="00000000">
      <w:pPr>
        <w:pStyle w:val="BodyText"/>
      </w:pPr>
      <w:r>
        <w:rPr>
          <w:color w:val="000000"/>
        </w:rPr>
        <w:t>417.</w:t>
      </w:r>
      <w:r>
        <w:rPr>
          <w:color w:val="000000"/>
        </w:rPr>
        <w:tab/>
        <w:t xml:space="preserve">Тысячи женщин были вовлечены в программы экономического развития, такие как программа увеличения объемов выращивания сахарного тростника, других сельскохозяйственных культур, кофе и табака. Так, например, в 2002 году было создано </w:t>
      </w:r>
      <w:r>
        <w:t xml:space="preserve">93 367 новых рабочих мест, что для женщин означало, что они начали вносить свой вклад в экономику семьи, что они усваивают новые знания, и это способствует росту их самоуважения и уважения к ним в семье. </w:t>
      </w:r>
    </w:p>
    <w:p w:rsidR="00000000" w:rsidRDefault="00000000">
      <w:pPr>
        <w:pStyle w:val="BodyText"/>
      </w:pPr>
      <w:r>
        <w:t>418.</w:t>
      </w:r>
      <w:r>
        <w:tab/>
        <w:t xml:space="preserve">Женщины все активнее принимают участие в реализуемых на местах программах самообеспечения путем применения гидропоники, интенсивного овощеводства и создания городских ферм. В этой деятельности принимают участие 72 968 женщин, что составляет 22,2 процента от общей численности занятых – 1 605 296 человек. По большей части такой деятельностью стали заниматься домохозяйки, которые в настоящее время являются значительным резервом людских ресурсов в стране и которые благодаря этой деятельности способствуют улучшению экономического и социального положения своих семей, поскольку получают существенные доходы и пользуются признанием в обществе. </w:t>
      </w:r>
    </w:p>
    <w:p w:rsidR="00000000" w:rsidRDefault="00000000">
      <w:pPr>
        <w:pStyle w:val="BodyText"/>
      </w:pPr>
      <w:r>
        <w:t>419.</w:t>
      </w:r>
      <w:r>
        <w:tab/>
        <w:t xml:space="preserve">С 2001 года в стране происходит новая революция в сфере образования и культуры. Ее творят юноши и девушки, участвующие в реализации программ увеличения занятости в области образования, здравоохранения и культуры. </w:t>
      </w:r>
    </w:p>
    <w:p w:rsidR="00000000" w:rsidRDefault="00000000">
      <w:pPr>
        <w:pStyle w:val="BodyText"/>
      </w:pPr>
      <w:r>
        <w:t>420.</w:t>
      </w:r>
      <w:r>
        <w:tab/>
        <w:t xml:space="preserve">Большинство участников Программы подготовки учителей – женщины: они составляют 71,7 процента учителей начальной школы, 62,2 процента – преподавателей основной средней школы и 74,9 процента – преподавателей компьютерной грамотности. </w:t>
      </w:r>
    </w:p>
    <w:p w:rsidR="00000000" w:rsidRDefault="00000000">
      <w:pPr>
        <w:pStyle w:val="BodyText"/>
      </w:pPr>
      <w:r>
        <w:t>421.</w:t>
      </w:r>
      <w:r>
        <w:tab/>
        <w:t xml:space="preserve">Кроме того, большинство обучающихся по Программе подготовки социальных работников – девушки; среди тех, кто уже работает по этой специальности, они составляют 77,2 процента. </w:t>
      </w:r>
    </w:p>
    <w:p w:rsidR="00000000" w:rsidRDefault="00000000">
      <w:pPr>
        <w:pStyle w:val="BodyText"/>
      </w:pPr>
      <w:r>
        <w:rPr>
          <w:color w:val="000000"/>
        </w:rPr>
        <w:t>422.</w:t>
      </w:r>
      <w:r>
        <w:rPr>
          <w:color w:val="000000"/>
        </w:rPr>
        <w:tab/>
        <w:t xml:space="preserve">В негосударственном секторе в последнее время также увеличилась доля женщин в составе рабочей силы. В настоящее время </w:t>
      </w:r>
      <w:r>
        <w:t xml:space="preserve">161 995 женщин работают на предприятиях разных форм собственности: одни трудятся в различных кооперативах, другие являются независимыми производителями, получившими землю в аренду, самостоятельными сельскохозяйственными производителями, не входящими в кооперативы, индивидуальными производителями (как правило, в городах), а также работают в филиалах частных компаний, в частных ассоциациях и фондах. </w:t>
      </w:r>
    </w:p>
    <w:p w:rsidR="00000000" w:rsidRDefault="00000000">
      <w:pPr>
        <w:pStyle w:val="BodyText"/>
      </w:pPr>
      <w:r>
        <w:t>423.</w:t>
      </w:r>
      <w:r>
        <w:tab/>
        <w:t xml:space="preserve">Индивидуальным производством, которое начало развиваться с 1990-х годов, занимаются 48 136 женщин, что составляет 3 процента всех женщин, занятых в экономике, или 0,1 процента всех работников в стране. Из всех работающих в этом секторе женщины составляют 29,7 процента. В основном они заняты в производстве продуктов питания, оказывают парикмахерские услуги, производят ремесленную продукцию и т. д. </w:t>
      </w:r>
    </w:p>
    <w:p w:rsidR="00000000" w:rsidRDefault="00000000">
      <w:pPr>
        <w:pStyle w:val="BodyText"/>
      </w:pPr>
      <w:r>
        <w:t>424.</w:t>
      </w:r>
      <w:r>
        <w:tab/>
        <w:t>Все работники сектора индивидуального производства, будь то мужчины или женщины, имеют право вступать или не вступать в профсоюзы, в соответствии с выполняемой работой или видом трудовой деятельности, а будучи членами профсоюзов, получают на равных условиях помощь и поддержку с их стороны. Они реально участвуют в деятельности, встречах и съездах своих профсоюзов.</w:t>
      </w:r>
    </w:p>
    <w:p w:rsidR="00000000" w:rsidRDefault="00000000">
      <w:pPr>
        <w:pStyle w:val="BodyText"/>
      </w:pPr>
      <w:r>
        <w:t>425.</w:t>
      </w:r>
      <w:r>
        <w:tab/>
        <w:t xml:space="preserve">Мужчины и женщины имеют все больше возможностей для обучения, переквалификации и получения профессиональной подготовки. На Кубе </w:t>
      </w:r>
      <w:r>
        <w:rPr>
          <w:color w:val="000000"/>
        </w:rPr>
        <w:t xml:space="preserve">наблюдается тенденция к росту доли женщин в числе средних технических специалистов: женщины составляют 66,4 процента специалистов этой категории и работают на должностях, требующих высокого уровня технической, профессиональной и научной подготовки. </w:t>
      </w:r>
    </w:p>
    <w:p w:rsidR="00000000" w:rsidRDefault="00000000">
      <w:pPr>
        <w:pStyle w:val="BodyText"/>
      </w:pPr>
      <w:r>
        <w:rPr>
          <w:color w:val="000000"/>
        </w:rPr>
        <w:t>426.</w:t>
      </w:r>
      <w:r>
        <w:rPr>
          <w:color w:val="000000"/>
        </w:rPr>
        <w:tab/>
        <w:t xml:space="preserve">Национальный план действий Республики Куба по претворению в жизнь решений четвертой Всемирной конференции по положению женщин требует от всех министерств, предприятий и государственных ведомств обеспечить работающим женщинам возможность на равных условиях проходить обучение на курсах повышения квалификации, получать высшее образование, учиться в магистратуре, принимать участие в научных и других мероприятиях, способствующих повышению их профессиональной квалификации. </w:t>
      </w:r>
    </w:p>
    <w:p w:rsidR="00000000" w:rsidRDefault="00000000">
      <w:pPr>
        <w:pStyle w:val="BodyText"/>
      </w:pPr>
      <w:r>
        <w:rPr>
          <w:color w:val="000000"/>
        </w:rPr>
        <w:t>427.</w:t>
      </w:r>
      <w:r>
        <w:rPr>
          <w:color w:val="000000"/>
        </w:rPr>
        <w:tab/>
        <w:t>В этой пятилетке особенно возросла роль женщин в сфере науки и техники. Высококвалифицирова</w:t>
      </w:r>
      <w:r>
        <w:rPr>
          <w:color w:val="000000"/>
        </w:rPr>
        <w:t>н</w:t>
      </w:r>
      <w:r>
        <w:rPr>
          <w:color w:val="000000"/>
        </w:rPr>
        <w:t>ные женские кадры составляют в настоящее время 51,3 процент</w:t>
      </w:r>
      <w:r>
        <w:t>а</w:t>
      </w:r>
      <w:r>
        <w:rPr>
          <w:color w:val="000000"/>
        </w:rPr>
        <w:t xml:space="preserve"> научных работников и 56,8 процент</w:t>
      </w:r>
      <w:r>
        <w:t>а</w:t>
      </w:r>
      <w:r>
        <w:rPr>
          <w:color w:val="000000"/>
        </w:rPr>
        <w:t xml:space="preserve"> технических специалистов. Растет число женщин, занимающихся исследовательской работой. Сегодня они составляют 48 процентов работников этой сферы. </w:t>
      </w:r>
    </w:p>
    <w:p w:rsidR="00000000" w:rsidRDefault="00000000">
      <w:pPr>
        <w:pStyle w:val="BodyText"/>
      </w:pPr>
      <w:r>
        <w:rPr>
          <w:color w:val="000000"/>
        </w:rPr>
        <w:t>428.</w:t>
      </w:r>
      <w:r>
        <w:rPr>
          <w:color w:val="000000"/>
        </w:rPr>
        <w:tab/>
        <w:t xml:space="preserve">В эти годы без участия женщин невозможно представить себе и другие отрасли экономики страны. Значительное число женщин, работающих в промышленных и производственных отраслях, привлечены к участию в не традиционных для них видах трудовой деятельности, поскольку они готовы осваивать новые прогрессивные технологии, которых требует развитие страны. </w:t>
      </w:r>
    </w:p>
    <w:p w:rsidR="00000000" w:rsidRDefault="00000000">
      <w:pPr>
        <w:pStyle w:val="BodyText"/>
      </w:pPr>
      <w:r>
        <w:rPr>
          <w:color w:val="000000"/>
        </w:rPr>
        <w:t>429.</w:t>
      </w:r>
      <w:r>
        <w:rPr>
          <w:color w:val="000000"/>
        </w:rPr>
        <w:tab/>
        <w:t>На муниципальном, провинциальном и национальном уровнях продолжают работать уже упоминавшиеся ранее комиссии по вопросам занятости женщин, выполняющие контрольные функции и способствующие работе по всем описанным выше направлениям. Они работают под руководством Министерства труда, представляющего центральные органы государственного управления, а в их состав входят представители Профцентра трудящихся Кубы и Федерации кубинских женщин.</w:t>
      </w:r>
    </w:p>
    <w:p w:rsidR="00000000" w:rsidRDefault="00000000">
      <w:pPr>
        <w:pStyle w:val="BodyText"/>
      </w:pPr>
      <w:r>
        <w:t>430.</w:t>
      </w:r>
      <w:r>
        <w:tab/>
        <w:t xml:space="preserve">Эти комиссии анализируют положение в стране в сфере женской занятости и отчитываются за достигнутые результаты перед муниципальными и провинциальными административными советами. На регулярно проходящих заседаниях комиссий заслушиваются отчеты различных ведомств. </w:t>
      </w:r>
    </w:p>
    <w:p w:rsidR="00000000" w:rsidRDefault="00000000">
      <w:pPr>
        <w:pStyle w:val="BodyText"/>
      </w:pPr>
      <w:r>
        <w:t>431.</w:t>
      </w:r>
      <w:r>
        <w:tab/>
      </w:r>
      <w:r>
        <w:rPr>
          <w:color w:val="000000"/>
        </w:rPr>
        <w:t xml:space="preserve">Центральные органы государственного управления и Федерация кубинских женщин ежегодно анализируют и согласовывают свою политику в отношении занятости женщин, с тем чтобы найти новые средства и альтернативы для решения существующих проблем. </w:t>
      </w:r>
    </w:p>
    <w:p w:rsidR="00000000" w:rsidRDefault="00000000">
      <w:pPr>
        <w:pStyle w:val="BodyText"/>
      </w:pPr>
      <w:r>
        <w:t>432.</w:t>
      </w:r>
      <w:r>
        <w:tab/>
      </w:r>
      <w:r>
        <w:rPr>
          <w:color w:val="000000"/>
        </w:rPr>
        <w:t>Достигнуты значительные успехи в деле привлечения кубинских женщин к трудовой деятельности и повышения уровня их занятости. Однако государство намеревается продолжать работу в этом направлении, поскольку предложение в области женской рабочей силы намного опережает спрос и поскольку кубинские женщины постоянно повышают свой профессиональный и культурный уровень, становятся все более самостоятельными и лучше осознают ту роль, которые они играют и которую им хотелось бы играть в обществе.</w:t>
      </w:r>
      <w:r>
        <w:t xml:space="preserve"> </w:t>
      </w:r>
    </w:p>
    <w:p w:rsidR="00000000" w:rsidRDefault="00000000">
      <w:pPr>
        <w:pStyle w:val="BodyText"/>
      </w:pPr>
      <w:r>
        <w:t>433.</w:t>
      </w:r>
      <w:r>
        <w:tab/>
        <w:t xml:space="preserve">Кубинки входят в Профцентр трудящихся Кубы (ПТК) – организацию, объединяющую профсоюзы, членами которых являются трудящиеся страны. Членами профсоюзов являются 1 412 125 женщин – 45,3 процента от общей численности членов этих организаций. Женщины составляют 49 процентов освобожденных профсоюзных руководителей в ПТК, а их доля в составе его Национального совета – 47,6 процента. Женщины возглавляют пять национальных профсоюзов, а также 52,8 процента первичных профсоюзных организаций. </w:t>
      </w:r>
    </w:p>
    <w:p w:rsidR="00000000" w:rsidRDefault="00000000">
      <w:pPr>
        <w:pStyle w:val="BodyText"/>
      </w:pPr>
      <w:r>
        <w:t>434.</w:t>
      </w:r>
      <w:r>
        <w:tab/>
        <w:t xml:space="preserve">Членами Национальной ассоциации </w:t>
      </w:r>
      <w:r>
        <w:rPr>
          <w:color w:val="000000"/>
        </w:rPr>
        <w:t xml:space="preserve">мелких земледельцев (НАМЗ) </w:t>
      </w:r>
      <w:r>
        <w:t xml:space="preserve">являются крестьяне, как входящие, так и не входящие в кооперативы. Женщины составляют 18,3 процента членов этой организации. </w:t>
      </w:r>
    </w:p>
    <w:p w:rsidR="00000000" w:rsidRDefault="00000000">
      <w:pPr>
        <w:pStyle w:val="BodyText"/>
      </w:pPr>
    </w:p>
    <w:p w:rsidR="00000000" w:rsidRDefault="00000000">
      <w:pPr>
        <w:pStyle w:val="BodyText"/>
      </w:pPr>
      <w:r>
        <w:t>435.</w:t>
      </w:r>
      <w:r>
        <w:tab/>
        <w:t xml:space="preserve">Трудящиеся женщины, в большинстве своем технические специалисты среднего и высшего уровня, работающие по разным специальностям и в разных отраслях экономики, являются членами и других общественных организаций, например Национальной ассоциации экономистов Кубы (НАЭК), где они составляют 51,2 процента от общего числа ее членов, и Союза архитекторов и инженеров Кубы (САИК), где их доля составляет 47,8 процента. </w:t>
      </w:r>
    </w:p>
    <w:p w:rsidR="00000000" w:rsidRDefault="00000000">
      <w:pPr>
        <w:pStyle w:val="BodyText"/>
      </w:pPr>
      <w:r>
        <w:t>436.</w:t>
      </w:r>
      <w:r>
        <w:tab/>
        <w:t xml:space="preserve">Женщины являются также членами </w:t>
      </w:r>
      <w:r>
        <w:rPr>
          <w:color w:val="000000"/>
        </w:rPr>
        <w:t xml:space="preserve">Национальной ассоциации новаторов и рационализаторов, где их численность составляет </w:t>
      </w:r>
      <w:r>
        <w:t xml:space="preserve">202 252 человека, среди которых – рабочие, технические специалисты, ученые и домохозяйки. Всего женщины составляют 35,8 процента членов этой организации. </w:t>
      </w:r>
    </w:p>
    <w:p w:rsidR="00000000" w:rsidRDefault="00000000">
      <w:pPr>
        <w:pStyle w:val="BodyText"/>
      </w:pPr>
      <w:r>
        <w:t>437.</w:t>
      </w:r>
      <w:r>
        <w:tab/>
        <w:t xml:space="preserve">Все эти ассоциации </w:t>
      </w:r>
      <w:r>
        <w:rPr>
          <w:color w:val="000000"/>
        </w:rPr>
        <w:t xml:space="preserve">вносят большой вклад в борьбу за экономическое развитие Кубы в условиях продолжающейся блокады и являются примером того, как высокая степень организованности и творческая активность позволяют решать самые сложные проблемы в сфере производства, услуг, охраны окружающей среды и обеспечения устойчивого развития. </w:t>
      </w:r>
    </w:p>
    <w:p w:rsidR="00000000" w:rsidRDefault="00000000">
      <w:pPr>
        <w:pStyle w:val="BodyText"/>
      </w:pPr>
      <w:r>
        <w:t>438.</w:t>
      </w:r>
      <w:r>
        <w:tab/>
        <w:t xml:space="preserve">На Кубе трудящиеся женщины пользуются правами, которые способствуют повышению уровня их жизни, в частности правом на социальное обеспечение </w:t>
      </w:r>
      <w:r>
        <w:rPr>
          <w:color w:val="000000"/>
        </w:rPr>
        <w:t>в случае выхода на пенсию, по болезни, инвалидности или в иных случаях потери трудоспособности, а также правом на оплачиваемый отпуск</w:t>
      </w:r>
      <w:r>
        <w:t xml:space="preserve">. Эти права предоставлены всем кубинским трудящимся – мужчинам и женщинам – в соответствии с Законом № 48, содержащим Трудовой кодекс. </w:t>
      </w:r>
      <w:r>
        <w:rPr>
          <w:color w:val="000000"/>
        </w:rPr>
        <w:t>Все социальные выплаты н</w:t>
      </w:r>
      <w:r>
        <w:rPr>
          <w:color w:val="000000"/>
        </w:rPr>
        <w:t>а</w:t>
      </w:r>
      <w:r>
        <w:rPr>
          <w:color w:val="000000"/>
        </w:rPr>
        <w:t>числяются исходя из размера оклада данного работника.</w:t>
      </w:r>
    </w:p>
    <w:p w:rsidR="00000000" w:rsidRDefault="00000000">
      <w:pPr>
        <w:pStyle w:val="BodyText"/>
      </w:pPr>
      <w:r>
        <w:t>439.</w:t>
      </w:r>
      <w:r>
        <w:tab/>
      </w:r>
      <w:r>
        <w:rPr>
          <w:color w:val="000000"/>
        </w:rPr>
        <w:t>Трудовое законодательство гарантирует также гигиену и охрану труда граждан, в том числе репродуктивной функции. Кубинское государство обязалось обеспечить все средства и условия для гарантированной охраны этого права трудящихся женщин. Ежегодно подготавливаются и выпускаются сотни специалистов для осущес</w:t>
      </w:r>
      <w:r>
        <w:rPr>
          <w:color w:val="000000"/>
        </w:rPr>
        <w:t>т</w:t>
      </w:r>
      <w:r>
        <w:rPr>
          <w:color w:val="000000"/>
        </w:rPr>
        <w:t xml:space="preserve">вления контроля за выполнением законодательных норм по охране материнства. Постоянно ведутся исследования в сфере гигиены труда, что позволяет отслеживать, какое влияние на здоровье женщин оказывает труд на разных рабочих местах. </w:t>
      </w:r>
    </w:p>
    <w:p w:rsidR="00000000" w:rsidRDefault="00000000">
      <w:pPr>
        <w:pStyle w:val="BodyText"/>
      </w:pPr>
      <w:r>
        <w:t>440.</w:t>
      </w:r>
      <w:r>
        <w:tab/>
        <w:t xml:space="preserve">Ограничения экономического и материального порядка, с которыми сталкивается страна и которые усугубляются в условиях носящей характер геноцида блокады со стороны Соединенных Штатов, помешали нам обеспечить предоставление семьям трудящихся некоторых услуг в соответствии с их потребностям. Несмотря на эмбарго, ведется работа по расширению масштабов самых необходимых мер помощи семье. </w:t>
      </w:r>
    </w:p>
    <w:p w:rsidR="00000000" w:rsidRDefault="00000000">
      <w:pPr>
        <w:pStyle w:val="BodyText"/>
      </w:pPr>
      <w:r>
        <w:t>441.</w:t>
      </w:r>
      <w:r>
        <w:tab/>
      </w:r>
      <w:r>
        <w:rPr>
          <w:color w:val="000000"/>
        </w:rPr>
        <w:t xml:space="preserve">В соответствии с потребностями и возможностями каждого региона на Кубе проведена работа по установлению и/или улучшению услуг, предоставляемых трудящимся женщинам и их семьям, таких как обеспечение возможностей для ухода за детьми и престарелыми, расширение комплекса основных услуг, предоставляемых населению, а также совершенствование законодательства, защищающего права трудящихся женщин. </w:t>
      </w:r>
    </w:p>
    <w:p w:rsidR="00000000" w:rsidRDefault="00000000">
      <w:pPr>
        <w:pStyle w:val="BodyText"/>
      </w:pPr>
      <w:r>
        <w:t>442.</w:t>
      </w:r>
      <w:r>
        <w:tab/>
        <w:t xml:space="preserve">Наше законодательство об охране материнства трудящихся женщин (о котором идет речь в различных разделах настоящего доклада) предусматривает более широкие права, нежели предусмотренные Конвенцией МОТ № 103 об охране материнства (ратифицированной Кубой 7 сентября 1954 года), в том, что касается продолжительности отпуска по беременности и родам и других отпусков по уходу за ребенком. Новый Декрет-закон предусматривает дальнейшее расширение этих прав. </w:t>
      </w:r>
    </w:p>
    <w:p w:rsidR="00000000" w:rsidRDefault="00000000">
      <w:pPr>
        <w:pStyle w:val="BodyText"/>
      </w:pPr>
      <w:r>
        <w:t>443.</w:t>
      </w:r>
      <w:r>
        <w:tab/>
        <w:t xml:space="preserve">В статье 19 соответствующего кубинского закона говорится: "В целях обеспечения надлежащего ухода за ребенком до достижения им возраста одного года работающим матери или отцу предоставляется право на получение одного дня оплачиваемого отпуска в месяц для посещения педиатрического медицинского учреждения". Хотя пока не практикуется предусмотренное Конвенцией сокращение на один час продолжительности рабочего дня на период до достижения ребенком возраста одного года, на практике вопросы, о которых идет речь в соответствующей статье, решаются следующим образом. </w:t>
      </w:r>
    </w:p>
    <w:p w:rsidR="00000000" w:rsidRDefault="00000000">
      <w:pPr>
        <w:pStyle w:val="BodyText"/>
      </w:pPr>
      <w:r>
        <w:t>444.</w:t>
      </w:r>
      <w:r>
        <w:tab/>
        <w:t xml:space="preserve">Статья 20 данного закона гласит: "Работающая мать, приступающая к работе по истечении срока послеродового отпуска, имеет право на получение ежедневно одного часа для кормления ребенка до достижения последним возраста одного года. Этот час на кормление ребенка предоставляется преимущественно в начале или в конце рабочего дня, в соответствии с договоренностью между администрацией и работницей, и оплачивается как рабочее время". </w:t>
      </w:r>
    </w:p>
    <w:p w:rsidR="00000000" w:rsidRDefault="00000000">
      <w:pPr>
        <w:pStyle w:val="BodyText"/>
      </w:pPr>
      <w:r>
        <w:t>445.</w:t>
      </w:r>
      <w:r>
        <w:tab/>
        <w:t xml:space="preserve">Наше законодательство предусматривает создание для кормящей работающей женщины таких условий труда, а также экологических и социальных условий, которые обеспечивают нормальное течение беременности и достойное качество жизни новорожденного. </w:t>
      </w:r>
    </w:p>
    <w:p w:rsidR="00000000" w:rsidRDefault="00000000">
      <w:pPr>
        <w:pStyle w:val="BodyText"/>
      </w:pPr>
      <w:r>
        <w:t>446.</w:t>
      </w:r>
      <w:r>
        <w:tab/>
        <w:t xml:space="preserve">Беременные работницы освобождены от работы в две смены и не направляются в командировки за пределы того населенного пункта, где они проживают. Во время беременности и до выхода в отпуск по беременности работница, если она не имеет возможности работать на данном месте, должна быть временно переведена на другое место работы с обеспечением всех гарантий по заработной плате. </w:t>
      </w:r>
    </w:p>
    <w:p w:rsidR="00000000" w:rsidRDefault="00000000">
      <w:pPr>
        <w:pStyle w:val="BodyText"/>
      </w:pPr>
      <w:r>
        <w:t>447.</w:t>
      </w:r>
      <w:r>
        <w:tab/>
        <w:t xml:space="preserve">В 2001 году Постановлением № 12 Министерства труда срок отпуска матери по уходу за ребенком может быть продлен, по ее желанию, до достижения ребенком возраста одного года с выплатой ей социального пособия в сумме до 60 процентов от пособия, выплачиваемого в период послеродового отпуска по уходу за ребенком. Основная цель при этом состояла в том, чтобы обеспечить детям грудное вскармливание и необходимый материнский уход. </w:t>
      </w:r>
    </w:p>
    <w:p w:rsidR="00000000" w:rsidRDefault="00000000">
      <w:pPr>
        <w:pStyle w:val="BodyText"/>
      </w:pPr>
      <w:r>
        <w:t>448.</w:t>
      </w:r>
      <w:r>
        <w:tab/>
        <w:t>Как уже говорилось, 13 августа 2003 года был принят Декрет-закон № 234 "</w:t>
      </w:r>
      <w:r>
        <w:rPr>
          <w:color w:val="000000"/>
        </w:rPr>
        <w:t>Об охране материнства трудящихся женщин", представляющий собой меру революционного характера, направленную на обеспечение адекватного распределения обязанностей по воспитанию детей и формированию семейных ценностей. Законом предусматривается возможность получения отпуска по уходу за ребенком по завершении грудного вскармливания как матерью, так и отцом, по взаимной договоренности между ними и в соответствии с потребностями и особенностями каждой семьи.</w:t>
      </w:r>
    </w:p>
    <w:p w:rsidR="00000000" w:rsidRDefault="00000000">
      <w:pPr>
        <w:pStyle w:val="BodyText"/>
      </w:pPr>
      <w:r>
        <w:t>449.</w:t>
      </w:r>
      <w:r>
        <w:tab/>
        <w:t>Особое внимание в программах обеспечения занятости уделяется матерям-одиночкам. Им оказывается необходимая материальная помощь, если у них нет возможностей выйти на работу; кроме того, при необходимости они имеют право пройти курс профессиональной подготовки или повышения квалификации по определенным профессиям.</w:t>
      </w:r>
    </w:p>
    <w:p w:rsidR="00000000" w:rsidRDefault="00000000">
      <w:pPr>
        <w:pStyle w:val="BodyText"/>
      </w:pPr>
      <w:r>
        <w:t>450.</w:t>
      </w:r>
      <w:r>
        <w:tab/>
        <w:t xml:space="preserve">Министерство труда совместно с ФКЖ держит под контролем этот комплекс проблем, систематически отслеживая выплату социальных пособий, ход профессиональной подготовки, вопросы трудоустройства и созданные для этого условия. С 2000 года и по настоящее время трудоустроены более 6 тыс. матерей-одиночек. </w:t>
      </w:r>
    </w:p>
    <w:p w:rsidR="00000000" w:rsidRDefault="00000000">
      <w:pPr>
        <w:pStyle w:val="BodyText"/>
      </w:pPr>
      <w:r>
        <w:t>451.</w:t>
      </w:r>
      <w:r>
        <w:tab/>
      </w:r>
      <w:r>
        <w:rPr>
          <w:color w:val="000000"/>
        </w:rPr>
        <w:t>Все нуждающиеся одинокие матери получают систематическую помощь от Министерства труда и Федерации кубинских женщин через социальных работников и особенно через консультационные центры ФКЖ для женщин и семей.</w:t>
      </w:r>
    </w:p>
    <w:p w:rsidR="00000000" w:rsidRDefault="00000000">
      <w:pPr>
        <w:pStyle w:val="BodyText"/>
      </w:pPr>
      <w:r>
        <w:t>452.</w:t>
      </w:r>
      <w:r>
        <w:tab/>
        <w:t>К числу реализуемых в настоящее время в стране социальных программ относится программа помощи всем работающим матерям, имеющим детей-инвалидов с тяжелыми заболеваниями, нуждающихся в постоянном уходе. Кубинское государство выплачивает таким матерям заработную плату, равную той, что они получали на тот момент, когда вынуждены были оставить работу; кроме того, за ними полностью сохраняются трудовой стаж и право на получение заработной платы в полном объеме.</w:t>
      </w:r>
    </w:p>
    <w:p w:rsidR="00000000" w:rsidRDefault="00000000">
      <w:pPr>
        <w:pStyle w:val="BodyText"/>
      </w:pPr>
      <w:r>
        <w:t>453.</w:t>
      </w:r>
      <w:r>
        <w:tab/>
      </w:r>
      <w:r>
        <w:rPr>
          <w:color w:val="000000"/>
        </w:rPr>
        <w:t xml:space="preserve">Действующий в стране Кодекс законов о труде и система заработной платы гарантируют выполнение Конвенции МОТ о равном вознаграждении мужчин и женщин за труд равной ценности, ратифицированной Кубой 13 января 1954 года. Вместе с тем статистические данные о зарплате с разбивкой по полу пока отсутствуют. Национальное статистическое управление ведет работу по совершенствованию системы статистической отчетности в целях решения этой проблемы, а также по разработке гендерных показателей в соответствии с требованиями Национального плана по претворению в жизнь решений четвертой Конференции по положению женщин, состоявшейся в Пекине, и замечаниями при оценке его реализации. </w:t>
      </w:r>
    </w:p>
    <w:p w:rsidR="00000000" w:rsidRDefault="00000000">
      <w:pPr>
        <w:pStyle w:val="BodyText"/>
      </w:pPr>
      <w:r>
        <w:t>454.</w:t>
      </w:r>
      <w:r>
        <w:tab/>
      </w:r>
      <w:r>
        <w:rPr>
          <w:color w:val="000000"/>
        </w:rPr>
        <w:t xml:space="preserve">В соответствии с Конвенцией МОТ № 111 относительно дискриминации в области труда и занятий, ратифицированной страной 26 августа 1965 года, кубинское законодательство запрещает дискриминацию женщин в сфере занятости и профессиональной подготовки. В настоящее время большинство специалистов в стране составляют женщины (66,4 процента от общей численности). </w:t>
      </w:r>
    </w:p>
    <w:p w:rsidR="00000000" w:rsidRDefault="00000000">
      <w:pPr>
        <w:pStyle w:val="BodyText"/>
        <w:rPr>
          <w:b/>
        </w:rPr>
      </w:pPr>
    </w:p>
    <w:p w:rsidR="00000000" w:rsidRDefault="00000000">
      <w:pPr>
        <w:pStyle w:val="BodyText"/>
        <w:jc w:val="center"/>
        <w:rPr>
          <w:b/>
        </w:rPr>
      </w:pPr>
      <w:r>
        <w:rPr>
          <w:b/>
        </w:rPr>
        <w:t>СТАТЬЯ</w:t>
      </w:r>
      <w:r>
        <w:t xml:space="preserve"> </w:t>
      </w:r>
      <w:r>
        <w:rPr>
          <w:b/>
        </w:rPr>
        <w:t>12</w:t>
      </w:r>
    </w:p>
    <w:p w:rsidR="00000000" w:rsidRDefault="00000000">
      <w:pPr>
        <w:pStyle w:val="BodyText"/>
        <w:ind w:left="0" w:firstLine="0"/>
      </w:pPr>
      <w:r>
        <w:t xml:space="preserve">1. </w:t>
      </w:r>
      <w:r>
        <w:tab/>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000000" w:rsidRDefault="00000000">
      <w:pPr>
        <w:pStyle w:val="BodyText"/>
        <w:ind w:left="0" w:firstLine="0"/>
      </w:pPr>
      <w:r>
        <w:t xml:space="preserve">2. </w:t>
      </w:r>
      <w: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BodyText"/>
        <w:spacing w:after="0"/>
      </w:pPr>
    </w:p>
    <w:p w:rsidR="00000000" w:rsidRDefault="00000000">
      <w:pPr>
        <w:pStyle w:val="BodyText"/>
      </w:pPr>
      <w:r>
        <w:rPr>
          <w:color w:val="000000"/>
        </w:rPr>
        <w:t>455.</w:t>
      </w:r>
      <w:r>
        <w:rPr>
          <w:color w:val="000000"/>
        </w:rPr>
        <w:tab/>
        <w:t>Как и прежде, медицинские услуги на Кубе предоставляются на трех уровнях</w:t>
      </w:r>
      <w:r>
        <w:t>:</w:t>
      </w:r>
    </w:p>
    <w:p w:rsidR="00000000" w:rsidRDefault="00000000">
      <w:pPr>
        <w:pStyle w:val="BodyText"/>
        <w:tabs>
          <w:tab w:val="clear" w:pos="907"/>
          <w:tab w:val="left" w:pos="1134"/>
        </w:tabs>
        <w:ind w:left="1134" w:hanging="1134"/>
      </w:pPr>
      <w:r>
        <w:rPr>
          <w:color w:val="000000"/>
        </w:rPr>
        <w:tab/>
        <w:t>а.</w:t>
      </w:r>
      <w:r>
        <w:rPr>
          <w:color w:val="000000"/>
        </w:rPr>
        <w:tab/>
        <w:t xml:space="preserve">Первичный, основу которого составляет оказание комплексной медицинской помощи в медицинских учреждениях и на дому. Эта помощь оказывается в общинах силами семейных врачей и медицинских сестер, в поликлиниках, здравпунктах (в число которых входят центры будущих матерей и центры помощи пожилым людям), в муниципальных управлениях здравоохранения, стоматологических клиниках и в центрах душевного здоровья. </w:t>
      </w:r>
    </w:p>
    <w:p w:rsidR="00000000" w:rsidRDefault="00000000">
      <w:pPr>
        <w:pStyle w:val="BodyText"/>
        <w:tabs>
          <w:tab w:val="clear" w:pos="567"/>
          <w:tab w:val="clear" w:pos="907"/>
        </w:tabs>
        <w:spacing w:after="200"/>
        <w:ind w:left="1134" w:hanging="1134"/>
      </w:pPr>
      <w:r>
        <w:tab/>
        <w:t>В настоящее время поликлиники находятся в процессе структурной перестройки и внедрения технологий, разработанных на основании анализа положения дел в сфере здравоохранения в общинах.</w:t>
      </w:r>
    </w:p>
    <w:p w:rsidR="00000000" w:rsidRDefault="00000000">
      <w:pPr>
        <w:pStyle w:val="BodyText"/>
        <w:tabs>
          <w:tab w:val="clear" w:pos="907"/>
        </w:tabs>
        <w:spacing w:after="200"/>
        <w:ind w:left="1134" w:hanging="1134"/>
      </w:pPr>
      <w:r>
        <w:rPr>
          <w:color w:val="000000"/>
        </w:rPr>
        <w:tab/>
      </w:r>
      <w:r>
        <w:rPr>
          <w:color w:val="000000"/>
          <w:lang w:val="en-US"/>
        </w:rPr>
        <w:t>b</w:t>
      </w:r>
      <w:r>
        <w:rPr>
          <w:color w:val="000000"/>
        </w:rPr>
        <w:t>.</w:t>
      </w:r>
      <w:r>
        <w:rPr>
          <w:color w:val="000000"/>
        </w:rPr>
        <w:tab/>
        <w:t>Вторичный, включая больницы общего профиля, а также родильные дома, детские, ак</w:t>
      </w:r>
      <w:r>
        <w:rPr>
          <w:color w:val="000000"/>
        </w:rPr>
        <w:t>у</w:t>
      </w:r>
      <w:r>
        <w:rPr>
          <w:color w:val="000000"/>
        </w:rPr>
        <w:t>шерско-гинекологические и хирургические клиники.</w:t>
      </w:r>
    </w:p>
    <w:p w:rsidR="00000000" w:rsidRDefault="00000000">
      <w:pPr>
        <w:pStyle w:val="BodyText"/>
        <w:tabs>
          <w:tab w:val="clear" w:pos="907"/>
        </w:tabs>
        <w:ind w:left="1134" w:hanging="1134"/>
      </w:pPr>
      <w:r>
        <w:tab/>
        <w:t>c.</w:t>
      </w:r>
      <w:r>
        <w:tab/>
        <w:t xml:space="preserve">Высококвалифицированный: сюда относятся институты по проведению исследований и оказанию медицинской помощи, а также </w:t>
      </w:r>
      <w:r>
        <w:rPr>
          <w:color w:val="000000"/>
        </w:rPr>
        <w:t>международно признанные больницы имени братьев Амехейрас, Франка Пайса, Рамона Гонсалеса Коро, Уильяма Солера, Институт онкологии, Кардиологический центр и др.</w:t>
      </w:r>
    </w:p>
    <w:p w:rsidR="00000000" w:rsidRDefault="00000000">
      <w:pPr>
        <w:pStyle w:val="BodyText"/>
        <w:spacing w:after="200"/>
      </w:pPr>
      <w:r>
        <w:t xml:space="preserve"> </w:t>
      </w:r>
      <w:r>
        <w:rPr>
          <w:color w:val="000000"/>
        </w:rPr>
        <w:t>456.</w:t>
      </w:r>
      <w:r>
        <w:rPr>
          <w:color w:val="000000"/>
        </w:rPr>
        <w:tab/>
        <w:t>Децентрализация услуг в сфере здравоохранения за счет расширения и реорган</w:t>
      </w:r>
      <w:r>
        <w:rPr>
          <w:color w:val="000000"/>
        </w:rPr>
        <w:t>и</w:t>
      </w:r>
      <w:r>
        <w:rPr>
          <w:color w:val="000000"/>
        </w:rPr>
        <w:t>зации служб специализированной медицинской помощи и проведения в общинах анализа положения дел в области здравоохранения позволили разработать глобальные стратегии, н</w:t>
      </w:r>
      <w:r>
        <w:rPr>
          <w:color w:val="000000"/>
        </w:rPr>
        <w:t>а</w:t>
      </w:r>
      <w:r>
        <w:rPr>
          <w:color w:val="000000"/>
        </w:rPr>
        <w:t>правленные на улучшение медицинской помощи населению в целом и на улучшение здоровья детей и женщин в частности.</w:t>
      </w:r>
    </w:p>
    <w:p w:rsidR="00000000" w:rsidRDefault="00000000">
      <w:pPr>
        <w:pStyle w:val="BodyText"/>
      </w:pPr>
      <w:r>
        <w:t>457.</w:t>
      </w:r>
      <w:r>
        <w:tab/>
        <w:t>К числу стратегий, благоприятно отразившихся на качестве медицинского обслуживания и позволивших обеспечить высокие показатели здоровья матери и ребенка, относятся:</w:t>
      </w:r>
    </w:p>
    <w:p w:rsidR="00000000" w:rsidRDefault="00000000">
      <w:pPr>
        <w:pStyle w:val="BodyText"/>
        <w:tabs>
          <w:tab w:val="clear" w:pos="907"/>
        </w:tabs>
        <w:spacing w:after="200"/>
        <w:ind w:left="1134" w:hanging="1134"/>
        <w:rPr>
          <w:color w:val="000000"/>
        </w:rPr>
      </w:pPr>
      <w:r>
        <w:tab/>
        <w:t>а)</w:t>
      </w:r>
      <w:r>
        <w:tab/>
        <w:t xml:space="preserve">обеспечение наличия в общинах </w:t>
      </w:r>
      <w:r>
        <w:rPr>
          <w:color w:val="000000"/>
        </w:rPr>
        <w:t>семейных врачей и медицинских сестер;</w:t>
      </w:r>
    </w:p>
    <w:p w:rsidR="00000000" w:rsidRDefault="00000000">
      <w:pPr>
        <w:pStyle w:val="BodyText"/>
        <w:tabs>
          <w:tab w:val="clear" w:pos="907"/>
        </w:tabs>
        <w:spacing w:after="200"/>
        <w:ind w:left="1134" w:hanging="1134"/>
        <w:rPr>
          <w:color w:val="000000"/>
        </w:rPr>
      </w:pPr>
      <w:r>
        <w:rPr>
          <w:color w:val="000000"/>
        </w:rPr>
        <w:tab/>
        <w:t>b)</w:t>
      </w:r>
      <w:r>
        <w:rPr>
          <w:color w:val="000000"/>
        </w:rPr>
        <w:tab/>
        <w:t>осуществление Национальной программы комплексной защиты здоровья подростков, профилактики несчастных случаев и внедрение методики комплексного обеспечения "ответственного материнства и отцовства";</w:t>
      </w:r>
    </w:p>
    <w:p w:rsidR="00000000" w:rsidRDefault="00000000">
      <w:pPr>
        <w:pStyle w:val="BodyText"/>
        <w:tabs>
          <w:tab w:val="clear" w:pos="907"/>
        </w:tabs>
        <w:spacing w:after="200"/>
        <w:ind w:left="1134" w:hanging="1134"/>
        <w:rPr>
          <w:color w:val="000000"/>
        </w:rPr>
      </w:pPr>
      <w:r>
        <w:rPr>
          <w:color w:val="000000"/>
        </w:rPr>
        <w:tab/>
        <w:t>с)</w:t>
      </w:r>
      <w:r>
        <w:rPr>
          <w:color w:val="000000"/>
        </w:rPr>
        <w:tab/>
        <w:t>специализированное консультирование по гинекологическим проблемам девочек и молодых девушек, относительно факторов репродуктивного риска и планирования размера семьи, климакса и менопаузы, питания, генетических проблем;</w:t>
      </w:r>
    </w:p>
    <w:p w:rsidR="00000000" w:rsidRDefault="00000000">
      <w:pPr>
        <w:pStyle w:val="BodyText"/>
        <w:tabs>
          <w:tab w:val="clear" w:pos="907"/>
        </w:tabs>
        <w:spacing w:after="200"/>
        <w:ind w:left="1134" w:hanging="1134"/>
        <w:rPr>
          <w:color w:val="000000"/>
        </w:rPr>
      </w:pPr>
      <w:r>
        <w:rPr>
          <w:color w:val="000000"/>
        </w:rPr>
        <w:tab/>
        <w:t>d)</w:t>
      </w:r>
      <w:r>
        <w:rPr>
          <w:color w:val="000000"/>
        </w:rPr>
        <w:tab/>
        <w:t>совершенствование услуг перинатальной медицины и детской сердечно-сосудистой хирургии;</w:t>
      </w:r>
    </w:p>
    <w:p w:rsidR="00000000" w:rsidRDefault="00000000">
      <w:pPr>
        <w:pStyle w:val="BodyText"/>
        <w:tabs>
          <w:tab w:val="clear" w:pos="907"/>
        </w:tabs>
        <w:spacing w:after="200"/>
        <w:ind w:left="1134" w:hanging="1134"/>
        <w:rPr>
          <w:color w:val="000000"/>
        </w:rPr>
      </w:pPr>
      <w:r>
        <w:rPr>
          <w:color w:val="000000"/>
        </w:rPr>
        <w:tab/>
        <w:t>е)</w:t>
      </w:r>
      <w:r>
        <w:rPr>
          <w:color w:val="000000"/>
        </w:rPr>
        <w:tab/>
        <w:t>программа помощи детям с онкогематологическими заболеваниями, с хронической почечной недостаточностью и детям, нуждающимся в пересадки почки;</w:t>
      </w:r>
    </w:p>
    <w:p w:rsidR="00000000" w:rsidRDefault="00000000">
      <w:pPr>
        <w:pStyle w:val="BodyText"/>
        <w:tabs>
          <w:tab w:val="clear" w:pos="907"/>
        </w:tabs>
        <w:spacing w:after="200"/>
        <w:ind w:left="1134" w:hanging="1134"/>
        <w:rPr>
          <w:color w:val="000000"/>
        </w:rPr>
      </w:pPr>
      <w:r>
        <w:rPr>
          <w:color w:val="000000"/>
        </w:rPr>
        <w:tab/>
        <w:t>f)</w:t>
      </w:r>
      <w:r>
        <w:rPr>
          <w:color w:val="000000"/>
        </w:rPr>
        <w:tab/>
        <w:t>создание и развитие национальной сети интенсивной неонатальной и педиатрической помощи;</w:t>
      </w:r>
    </w:p>
    <w:p w:rsidR="00000000" w:rsidRDefault="00000000">
      <w:pPr>
        <w:pStyle w:val="BodyText"/>
        <w:tabs>
          <w:tab w:val="clear" w:pos="907"/>
        </w:tabs>
        <w:spacing w:after="200"/>
        <w:ind w:left="1134" w:hanging="1134"/>
      </w:pPr>
      <w:r>
        <w:rPr>
          <w:color w:val="000000"/>
        </w:rPr>
        <w:tab/>
        <w:t>g)</w:t>
      </w:r>
      <w:r>
        <w:rPr>
          <w:color w:val="000000"/>
        </w:rPr>
        <w:tab/>
        <w:t xml:space="preserve">услуги, связанные с абортами; и др. </w:t>
      </w:r>
    </w:p>
    <w:p w:rsidR="00000000" w:rsidRDefault="00000000">
      <w:pPr>
        <w:pStyle w:val="BodyText"/>
        <w:spacing w:after="200"/>
      </w:pPr>
      <w:r>
        <w:t>458.</w:t>
      </w:r>
      <w:r>
        <w:tab/>
        <w:t xml:space="preserve">В 2002 году на Кубе было 67 079 врачей, по 59,6 на каждые 10 тыс. человек населения, то есть один врач приходился на 168 жителей страны. Из этого общего числа врачей женщин было 32 755 человек, или 52,3 процента. Численность стоматологов – 9955, по 8,8 на каждые 10 тыс. человек населения, то есть один стоматолог приходится на 1130 человек. </w:t>
      </w:r>
    </w:p>
    <w:p w:rsidR="00000000" w:rsidRDefault="00000000">
      <w:pPr>
        <w:pStyle w:val="BodyText"/>
      </w:pPr>
      <w:r>
        <w:t>459.</w:t>
      </w:r>
      <w:r>
        <w:tab/>
        <w:t>Семейных врачей в 2002 году насчитывалось 31 059, из них по местам проживания населения работали 16 662, в школах – 1394, в детских садах – 681 и на рабочих местах – 876. Кроме того, 2177 врачей занимали руководящие должности, 1101 находились на преподавательской работе, в резерве числилось 2756 врачей, и на других должностях – 5412. Среди врачей 19 624 – это медицинские специалисты общего комплексного профиля.</w:t>
      </w:r>
    </w:p>
    <w:p w:rsidR="00000000" w:rsidRDefault="00000000">
      <w:pPr>
        <w:pStyle w:val="BodyText"/>
      </w:pPr>
      <w:r>
        <w:t>460.</w:t>
      </w:r>
      <w:r>
        <w:tab/>
        <w:t>Что касается среднего медицинского персонала, то его общая численность составляет 814 459 человек, из которых 22 079 получили среднее медицинское образование. На 10 тыс. человек населения приходится 72,4 медсестры.</w:t>
      </w:r>
    </w:p>
    <w:p w:rsidR="00000000" w:rsidRDefault="00000000">
      <w:pPr>
        <w:pStyle w:val="BodyText"/>
      </w:pPr>
      <w:r>
        <w:t>461.</w:t>
      </w:r>
      <w:r>
        <w:tab/>
        <w:t>Общее количество койко-мест в больницах составляет 55 864, то есть на 1 тыс. жителей приходится 5 койко-мест. В системе социального обеспечения количество койко-мест составляет 14 560 – 1,3 на 1 тыс. жителей. Всего же в больницах страны имеется 70 424 койко-места (6,3 на 1 тыс. жителей).</w:t>
      </w:r>
    </w:p>
    <w:p w:rsidR="00000000" w:rsidRDefault="00000000">
      <w:pPr>
        <w:pStyle w:val="BodyText"/>
      </w:pPr>
      <w:r>
        <w:rPr>
          <w:color w:val="000000"/>
        </w:rPr>
        <w:t>462.</w:t>
      </w:r>
      <w:r>
        <w:rPr>
          <w:color w:val="000000"/>
        </w:rPr>
        <w:tab/>
        <w:t>Первичный уровень является основой для вторичного и высококвалифицированного уровня медицинского обслуживания в стране, которая располагает сетью национальных и провинц</w:t>
      </w:r>
      <w:r>
        <w:rPr>
          <w:color w:val="000000"/>
        </w:rPr>
        <w:t>и</w:t>
      </w:r>
      <w:r>
        <w:rPr>
          <w:color w:val="000000"/>
        </w:rPr>
        <w:t>альных больниц, как специализированных, так и общего профиля, а также научно- исследов</w:t>
      </w:r>
      <w:r>
        <w:rPr>
          <w:color w:val="000000"/>
        </w:rPr>
        <w:t>а</w:t>
      </w:r>
      <w:r>
        <w:rPr>
          <w:color w:val="000000"/>
        </w:rPr>
        <w:t>тельскими институтами, которые оказывают услуги всем нуждающимся в медицинской помощи.</w:t>
      </w:r>
    </w:p>
    <w:p w:rsidR="00000000" w:rsidRDefault="00000000">
      <w:pPr>
        <w:pStyle w:val="BodyText"/>
        <w:spacing w:after="0"/>
      </w:pPr>
    </w:p>
    <w:p w:rsidR="00000000" w:rsidRDefault="00000000">
      <w:pPr>
        <w:pStyle w:val="BodyText"/>
        <w:rPr>
          <w:i/>
        </w:rPr>
      </w:pPr>
      <w:r>
        <w:rPr>
          <w:i/>
        </w:rPr>
        <w:t>Законы и декреты по вопросам охраны женского здоровья</w:t>
      </w:r>
    </w:p>
    <w:p w:rsidR="00000000" w:rsidRDefault="00000000">
      <w:pPr>
        <w:pStyle w:val="BodyText"/>
      </w:pPr>
      <w:r>
        <w:rPr>
          <w:color w:val="000000"/>
        </w:rPr>
        <w:t>463.</w:t>
      </w:r>
      <w:r>
        <w:rPr>
          <w:color w:val="000000"/>
        </w:rPr>
        <w:tab/>
        <w:t>Большое значение имеют законы и декреты, касающиеся охраны здоровья и представляющие собой правовые рамки для всей работы, проводимой в стране в целях защиты прав женщин и детей. К их числу относятся:</w:t>
      </w:r>
    </w:p>
    <w:p w:rsidR="00000000" w:rsidRDefault="00000000">
      <w:pPr>
        <w:pStyle w:val="BodyText"/>
        <w:tabs>
          <w:tab w:val="clear" w:pos="907"/>
          <w:tab w:val="left" w:pos="1134"/>
        </w:tabs>
        <w:ind w:left="1134" w:hanging="1134"/>
      </w:pPr>
      <w:r>
        <w:tab/>
        <w:t>•</w:t>
      </w:r>
      <w:r>
        <w:tab/>
      </w:r>
      <w:r>
        <w:rPr>
          <w:color w:val="000000"/>
        </w:rPr>
        <w:t>Конституция Республики Куба (1976 год)</w:t>
      </w:r>
      <w:r>
        <w:t>;</w:t>
      </w:r>
    </w:p>
    <w:p w:rsidR="00000000" w:rsidRDefault="00000000">
      <w:pPr>
        <w:pStyle w:val="BodyText"/>
        <w:tabs>
          <w:tab w:val="clear" w:pos="907"/>
          <w:tab w:val="left" w:pos="1134"/>
        </w:tabs>
        <w:ind w:left="1134" w:hanging="1134"/>
      </w:pPr>
      <w:r>
        <w:tab/>
        <w:t>•</w:t>
      </w:r>
      <w:r>
        <w:tab/>
        <w:t>Декрет-закон № 234 "</w:t>
      </w:r>
      <w:r>
        <w:rPr>
          <w:color w:val="000000"/>
        </w:rPr>
        <w:t>Об охране материнства трудящихся женщин"</w:t>
      </w:r>
      <w:r>
        <w:t xml:space="preserve"> (2003 год);</w:t>
      </w:r>
    </w:p>
    <w:p w:rsidR="00000000" w:rsidRDefault="00000000">
      <w:pPr>
        <w:pStyle w:val="BodyText"/>
        <w:tabs>
          <w:tab w:val="clear" w:pos="907"/>
          <w:tab w:val="left" w:pos="1134"/>
        </w:tabs>
        <w:ind w:left="1134" w:hanging="1134"/>
      </w:pPr>
      <w:r>
        <w:tab/>
        <w:t>•</w:t>
      </w:r>
      <w:r>
        <w:tab/>
      </w:r>
      <w:r>
        <w:rPr>
          <w:color w:val="000000"/>
        </w:rPr>
        <w:t>Закон об охране и гигиене труда (1977 год). Одна из его статей специально посвящена женщинам, другая – подросткам;</w:t>
      </w:r>
    </w:p>
    <w:p w:rsidR="00000000" w:rsidRDefault="00000000">
      <w:pPr>
        <w:pStyle w:val="BodyText"/>
        <w:tabs>
          <w:tab w:val="clear" w:pos="907"/>
          <w:tab w:val="left" w:pos="1134"/>
        </w:tabs>
        <w:ind w:left="1134" w:hanging="1134"/>
      </w:pPr>
      <w:r>
        <w:tab/>
        <w:t>•</w:t>
      </w:r>
      <w:r>
        <w:tab/>
      </w:r>
      <w:r>
        <w:rPr>
          <w:color w:val="000000"/>
        </w:rPr>
        <w:t>Закон о социальном обеспечении (1979 год);</w:t>
      </w:r>
    </w:p>
    <w:p w:rsidR="00000000" w:rsidRDefault="00000000">
      <w:pPr>
        <w:pStyle w:val="BodyText"/>
        <w:tabs>
          <w:tab w:val="clear" w:pos="907"/>
          <w:tab w:val="left" w:pos="1134"/>
        </w:tabs>
        <w:ind w:left="1134" w:hanging="1134"/>
      </w:pPr>
      <w:r>
        <w:tab/>
        <w:t>•</w:t>
      </w:r>
      <w:r>
        <w:tab/>
      </w:r>
      <w:r>
        <w:rPr>
          <w:color w:val="000000"/>
        </w:rPr>
        <w:t>Декрет-закон об о</w:t>
      </w:r>
      <w:r>
        <w:rPr>
          <w:color w:val="000000"/>
        </w:rPr>
        <w:t>с</w:t>
      </w:r>
      <w:r>
        <w:rPr>
          <w:color w:val="000000"/>
        </w:rPr>
        <w:t>новных санитарных нормах</w:t>
      </w:r>
      <w:r>
        <w:t xml:space="preserve"> (1982 год);</w:t>
      </w:r>
    </w:p>
    <w:p w:rsidR="00000000" w:rsidRDefault="00000000">
      <w:pPr>
        <w:pStyle w:val="BodyText"/>
        <w:tabs>
          <w:tab w:val="clear" w:pos="907"/>
          <w:tab w:val="left" w:pos="1134"/>
        </w:tabs>
        <w:ind w:left="1134" w:hanging="1134"/>
      </w:pPr>
      <w:r>
        <w:tab/>
        <w:t>•</w:t>
      </w:r>
      <w:r>
        <w:tab/>
      </w:r>
      <w:r>
        <w:rPr>
          <w:color w:val="000000"/>
        </w:rPr>
        <w:t>Декрет о международном санитарном контроле</w:t>
      </w:r>
      <w:r>
        <w:t xml:space="preserve"> (1982 год);</w:t>
      </w:r>
    </w:p>
    <w:p w:rsidR="00000000" w:rsidRDefault="00000000">
      <w:pPr>
        <w:pStyle w:val="BodyText"/>
        <w:tabs>
          <w:tab w:val="clear" w:pos="907"/>
          <w:tab w:val="left" w:pos="1134"/>
        </w:tabs>
        <w:ind w:left="1134" w:hanging="1134"/>
      </w:pPr>
      <w:r>
        <w:tab/>
        <w:t>•</w:t>
      </w:r>
      <w:r>
        <w:tab/>
      </w:r>
      <w:r>
        <w:rPr>
          <w:color w:val="000000"/>
        </w:rPr>
        <w:t>Закон об общественном здрав</w:t>
      </w:r>
      <w:r>
        <w:rPr>
          <w:color w:val="000000"/>
        </w:rPr>
        <w:t>о</w:t>
      </w:r>
      <w:r>
        <w:rPr>
          <w:color w:val="000000"/>
        </w:rPr>
        <w:t>охранении</w:t>
      </w:r>
      <w:r>
        <w:t xml:space="preserve"> (1983 год);</w:t>
      </w:r>
    </w:p>
    <w:p w:rsidR="00000000" w:rsidRDefault="00000000">
      <w:pPr>
        <w:pStyle w:val="BodyText"/>
        <w:tabs>
          <w:tab w:val="clear" w:pos="907"/>
          <w:tab w:val="left" w:pos="1134"/>
        </w:tabs>
        <w:ind w:left="1134" w:hanging="1134"/>
      </w:pPr>
      <w:r>
        <w:tab/>
        <w:t>•</w:t>
      </w:r>
      <w:r>
        <w:tab/>
      </w:r>
      <w:r>
        <w:rPr>
          <w:color w:val="000000"/>
        </w:rPr>
        <w:t>Постановление Государственной санитарной инспекции</w:t>
      </w:r>
      <w:r>
        <w:t xml:space="preserve"> (1987 год);</w:t>
      </w:r>
    </w:p>
    <w:p w:rsidR="00000000" w:rsidRDefault="00000000">
      <w:pPr>
        <w:pStyle w:val="BodyText"/>
        <w:tabs>
          <w:tab w:val="clear" w:pos="907"/>
          <w:tab w:val="left" w:pos="1134"/>
        </w:tabs>
        <w:ind w:left="1134" w:hanging="1134"/>
      </w:pPr>
      <w:r>
        <w:tab/>
        <w:t>•</w:t>
      </w:r>
      <w:r>
        <w:tab/>
      </w:r>
      <w:r>
        <w:rPr>
          <w:color w:val="000000"/>
        </w:rPr>
        <w:t xml:space="preserve">Закон об охране окружающей среды </w:t>
      </w:r>
      <w:r>
        <w:t>(1992 год).</w:t>
      </w:r>
    </w:p>
    <w:p w:rsidR="00000000" w:rsidRDefault="00000000">
      <w:pPr>
        <w:pStyle w:val="BodyText"/>
      </w:pPr>
      <w:r>
        <w:rPr>
          <w:color w:val="000000"/>
        </w:rPr>
        <w:t>464.</w:t>
      </w:r>
      <w:r>
        <w:rPr>
          <w:color w:val="000000"/>
        </w:rPr>
        <w:tab/>
        <w:t>Основной правовой нормой в сфере здравоохранения по-прежнему является Закон № 41 от 13 июля 1983 года, содержание которого соответствует положению Конституции о том, что "все граждане имеют право на медицинскую помощь и охрану здоровья", и "это право гарантируется государством".</w:t>
      </w:r>
    </w:p>
    <w:p w:rsidR="00000000" w:rsidRDefault="00000000">
      <w:pPr>
        <w:pStyle w:val="BodyText"/>
      </w:pPr>
      <w:r>
        <w:rPr>
          <w:color w:val="000000"/>
        </w:rPr>
        <w:t>465.</w:t>
      </w:r>
      <w:r>
        <w:rPr>
          <w:color w:val="000000"/>
        </w:rPr>
        <w:tab/>
        <w:t>В пункте а) статьи 4 этого закона провозглашается принцип равенства мужчин и женщин в отношении доступа к медицинскому обслуживанию, а также признается и гарантируется право всех граждан страны на получение надлежащей медицинской помощи на всей ее территории.</w:t>
      </w:r>
    </w:p>
    <w:p w:rsidR="00000000" w:rsidRDefault="00000000">
      <w:pPr>
        <w:pStyle w:val="BodyText"/>
      </w:pPr>
      <w:r>
        <w:rPr>
          <w:color w:val="000000"/>
        </w:rPr>
        <w:t>466.</w:t>
      </w:r>
      <w:r>
        <w:rPr>
          <w:color w:val="000000"/>
        </w:rPr>
        <w:tab/>
        <w:t>Закон предусматривает, что все услуги в области здравоохранения и медицинская помощь предоста</w:t>
      </w:r>
      <w:r>
        <w:rPr>
          <w:color w:val="000000"/>
        </w:rPr>
        <w:t>в</w:t>
      </w:r>
      <w:r>
        <w:rPr>
          <w:color w:val="000000"/>
        </w:rPr>
        <w:t>ляются бесплатно всем гражданам, а все соответствующие учреждения являются государственными.</w:t>
      </w:r>
    </w:p>
    <w:p w:rsidR="00000000" w:rsidRDefault="00000000">
      <w:pPr>
        <w:pStyle w:val="BodyText"/>
      </w:pPr>
      <w:r>
        <w:rPr>
          <w:color w:val="000000"/>
        </w:rPr>
        <w:t>467.</w:t>
      </w:r>
      <w:r>
        <w:rPr>
          <w:color w:val="000000"/>
        </w:rPr>
        <w:tab/>
        <w:t>В главе II этого закона гарантируется предоставление всему населению лечебно-профилактической медицинской помощи через учреждения национальной системы здравоохранения.</w:t>
      </w:r>
    </w:p>
    <w:p w:rsidR="00000000" w:rsidRDefault="00000000">
      <w:pPr>
        <w:pStyle w:val="BodyText"/>
      </w:pPr>
      <w:r>
        <w:rPr>
          <w:color w:val="000000"/>
        </w:rPr>
        <w:t>468.</w:t>
      </w:r>
      <w:r>
        <w:rPr>
          <w:color w:val="000000"/>
        </w:rPr>
        <w:tab/>
        <w:t>В статье 15 закона предусматривается проведение мероприятий в области медико-санитарного просвещения, медицинских осмотров при приеме на работу, а также периодических профилактических осмотров, которые должны проходить все трудящиеся, мужчины и женщины. Данные медицинские осмотры имеют целью не только лечение заболеваний, но и их профилактику.</w:t>
      </w:r>
      <w:r>
        <w:t xml:space="preserve"> </w:t>
      </w:r>
    </w:p>
    <w:p w:rsidR="00000000" w:rsidRDefault="00000000">
      <w:pPr>
        <w:pStyle w:val="BodyText"/>
      </w:pPr>
      <w:r>
        <w:rPr>
          <w:color w:val="000000"/>
        </w:rPr>
        <w:t>469.</w:t>
      </w:r>
      <w:r>
        <w:rPr>
          <w:color w:val="000000"/>
        </w:rPr>
        <w:tab/>
        <w:t>Декретом № 139 от 4 февраля 1988 года был утвержден порядок применения Закона о здравоохранении. В нем предусмотрены нормы, дополняющие положения данного закона.</w:t>
      </w:r>
    </w:p>
    <w:p w:rsidR="00000000" w:rsidRDefault="00000000">
      <w:pPr>
        <w:pStyle w:val="BodyText"/>
      </w:pPr>
      <w:r>
        <w:rPr>
          <w:color w:val="000000"/>
        </w:rPr>
        <w:t>470.</w:t>
      </w:r>
      <w:r>
        <w:rPr>
          <w:color w:val="000000"/>
        </w:rPr>
        <w:tab/>
        <w:t>В главе II закона, касающейся медицинского и социального обслуживания, содержатся положения, гара</w:t>
      </w:r>
      <w:r>
        <w:rPr>
          <w:color w:val="000000"/>
        </w:rPr>
        <w:t>н</w:t>
      </w:r>
      <w:r>
        <w:rPr>
          <w:color w:val="000000"/>
        </w:rPr>
        <w:t>тирующие мужчинам и женщинам равные права на медицинское обслуживание и услуги по планир</w:t>
      </w:r>
      <w:r>
        <w:rPr>
          <w:color w:val="000000"/>
        </w:rPr>
        <w:t>о</w:t>
      </w:r>
      <w:r>
        <w:rPr>
          <w:color w:val="000000"/>
        </w:rPr>
        <w:t>ванию размера семьи. В этой главе также содержатся гарантии предоставления женщинам соответствующих беспла</w:t>
      </w:r>
      <w:r>
        <w:rPr>
          <w:color w:val="000000"/>
        </w:rPr>
        <w:t>т</w:t>
      </w:r>
      <w:r>
        <w:rPr>
          <w:color w:val="000000"/>
        </w:rPr>
        <w:t>ных услуг в период беременности, родов и в послеродовой период и обеспечения их соответс</w:t>
      </w:r>
      <w:r>
        <w:rPr>
          <w:color w:val="000000"/>
        </w:rPr>
        <w:t>т</w:t>
      </w:r>
      <w:r>
        <w:rPr>
          <w:color w:val="000000"/>
        </w:rPr>
        <w:t>вующим питанием в период беременности и кормления грудью.</w:t>
      </w:r>
    </w:p>
    <w:p w:rsidR="00000000" w:rsidRDefault="00000000">
      <w:pPr>
        <w:pStyle w:val="BodyText"/>
      </w:pPr>
      <w:r>
        <w:rPr>
          <w:color w:val="000000"/>
        </w:rPr>
        <w:t>471.</w:t>
      </w:r>
      <w:r>
        <w:rPr>
          <w:color w:val="000000"/>
        </w:rPr>
        <w:tab/>
        <w:t>С целью оказания квалифицированной специализированной помощи и обеспечения более качес</w:t>
      </w:r>
      <w:r>
        <w:rPr>
          <w:color w:val="000000"/>
        </w:rPr>
        <w:t>т</w:t>
      </w:r>
      <w:r>
        <w:rPr>
          <w:color w:val="000000"/>
        </w:rPr>
        <w:t>венного ухода за матерью и ребенком всем беременным женщинам гарантируется принятие родов в стационарных учреждениях, что обеспечивается сетью "семейных врачей", родительных домов, пол</w:t>
      </w:r>
      <w:r>
        <w:rPr>
          <w:color w:val="000000"/>
        </w:rPr>
        <w:t>и</w:t>
      </w:r>
      <w:r>
        <w:rPr>
          <w:color w:val="000000"/>
        </w:rPr>
        <w:t>клиник и больниц.</w:t>
      </w:r>
    </w:p>
    <w:p w:rsidR="00000000" w:rsidRDefault="00000000">
      <w:pPr>
        <w:pStyle w:val="BodyText"/>
      </w:pPr>
      <w:r>
        <w:rPr>
          <w:color w:val="000000"/>
        </w:rPr>
        <w:t>472.</w:t>
      </w:r>
      <w:r>
        <w:rPr>
          <w:color w:val="000000"/>
        </w:rPr>
        <w:tab/>
        <w:t xml:space="preserve">Медицинская помощь, лечение в больницах, лабораторные исследования, вакцинация и любые хирургические операции, от самых простых до сложнейших и дорогостоящих операций по трансплантации органов, осуществляются на Кубе совершенно бесплатно и доступны всему населению без исключения. </w:t>
      </w:r>
    </w:p>
    <w:p w:rsidR="00000000" w:rsidRDefault="00000000">
      <w:pPr>
        <w:pStyle w:val="BodyText"/>
      </w:pPr>
      <w:r>
        <w:rPr>
          <w:color w:val="000000"/>
        </w:rPr>
        <w:t>473.</w:t>
      </w:r>
      <w:r>
        <w:rPr>
          <w:color w:val="000000"/>
        </w:rPr>
        <w:tab/>
        <w:t>В Законе № 49 от 28 декабря 1984 года (Кодекс законов о труде) предусмотрены специальные нормы, регламентирующие женский труд. В главе VIII, где речь идет об этой регламентации, имеются следующие разделы: рабочие места, рекомендуемые для женщин; условия труда женщин; особая защита женщин и охрана материнства. В Законе провозглашается и утверждается значимость участия женщин в труде, равно как и их высокая социальная функция – материнство.</w:t>
      </w:r>
    </w:p>
    <w:p w:rsidR="00000000" w:rsidRDefault="00000000">
      <w:pPr>
        <w:pStyle w:val="BodyText"/>
      </w:pPr>
      <w:r>
        <w:rPr>
          <w:color w:val="000000"/>
        </w:rPr>
        <w:t>474.</w:t>
      </w:r>
      <w:r>
        <w:rPr>
          <w:color w:val="000000"/>
        </w:rPr>
        <w:tab/>
        <w:t>В Законе № 1263 о материнстве работающей женщины от 16 января 1974 года, действовавшем до августа 2003 года, были определены различные стадии материнства и меры защиты здоровья матери и ребенка средствами производственной медицины, равно как и ответственность предприятия за их соблюдение.</w:t>
      </w:r>
    </w:p>
    <w:p w:rsidR="00000000" w:rsidRDefault="00000000">
      <w:pPr>
        <w:pStyle w:val="BodyText"/>
      </w:pPr>
      <w:r>
        <w:rPr>
          <w:color w:val="000000"/>
        </w:rPr>
        <w:t>475.</w:t>
      </w:r>
      <w:r>
        <w:rPr>
          <w:color w:val="000000"/>
        </w:rPr>
        <w:tab/>
      </w:r>
      <w:r>
        <w:t xml:space="preserve">Как в прежнем, так и во вновь вступившем в силу законе предусматривается, что женщина в период беременности регулярно проходит медицинские осмотры и прекращает работать по истечении 34 недель беременности. Ей предоставляется оплачиваемый отпуск продолжительностью 6 недель до родов и 12 недель после родов. </w:t>
      </w:r>
      <w:r>
        <w:rPr>
          <w:color w:val="000000"/>
        </w:rPr>
        <w:t xml:space="preserve">В случае если ожидается рождение близнецов, продолжительность дородового отпуска увеличивается до 8 недель, и работница уходит в отпуск по истечении 32 недель беременности. Кроме того, она имеет право на дополнительный оплачиваемый отпуск по уходу за заболевшим ребенком и может один раз в месяц посетить с ребенком медицинскую педиатрическую консультацию с сохранением заработной платы. </w:t>
      </w:r>
      <w:r>
        <w:t>Оплата отпуска, о котором говорилось выше, представляет собой денежное пособие в сумме, рассчитываемой на основании среднего недельного дохода, складывающегося из заработной платы и премий, который работающая женщина получала в течение 12 месяцев непосредственно до ухода в дородовой отпуск.</w:t>
      </w:r>
    </w:p>
    <w:p w:rsidR="00000000" w:rsidRDefault="00000000">
      <w:pPr>
        <w:pStyle w:val="BodyText"/>
      </w:pPr>
      <w:r>
        <w:rPr>
          <w:color w:val="000000"/>
        </w:rPr>
        <w:t>476.</w:t>
      </w:r>
      <w:r>
        <w:rPr>
          <w:color w:val="000000"/>
        </w:rPr>
        <w:tab/>
      </w:r>
      <w:r>
        <w:t>В 1991 году Постановлением № 10 министра-председателя Комитета по труду и социальной защите (ныне Министерство труда) было установлено, что работающая мать, которая по причинам, связанным с уходом за ребенком, не смогла вернуться на работу, может по истечении послеродового отпуска дополнительно получать социальное пособие в сумме до 60 процентов ее заработной платы. Если по достижении ребенком 6 месяцев работница по-прежнему не может приступить к работе, она имеет право на неоплачиваемый отпуск, и при этом за ней сохраняется право на возвращение на прежнее рабочее место по достижении ребенком возраста одного года.</w:t>
      </w:r>
    </w:p>
    <w:p w:rsidR="00000000" w:rsidRDefault="00000000">
      <w:pPr>
        <w:pStyle w:val="BodyText"/>
      </w:pPr>
      <w:r>
        <w:rPr>
          <w:color w:val="000000"/>
        </w:rPr>
        <w:t>477.</w:t>
      </w:r>
      <w:r>
        <w:rPr>
          <w:color w:val="000000"/>
        </w:rPr>
        <w:tab/>
      </w:r>
      <w:r>
        <w:t>Десять лет спустя в соответствии с решением, принятым на XVIII съезде рабочего движения, было принято Постановление № 11 от 30 апреля 2001 года, в основу которого было положено предыдущее Постановление и в котором предусматривается продление выплаты социального пособия в сумме до 60 процентов заработной платы на срок от завершения послеродового отпуска до достижения ребенком возраста одного года или ранее, если мать вновь выходит на работу.</w:t>
      </w:r>
    </w:p>
    <w:p w:rsidR="00000000" w:rsidRDefault="00000000">
      <w:pPr>
        <w:pStyle w:val="BodyText"/>
      </w:pPr>
      <w:r>
        <w:rPr>
          <w:color w:val="000000"/>
        </w:rPr>
        <w:t>478.</w:t>
      </w:r>
      <w:r>
        <w:rPr>
          <w:color w:val="000000"/>
        </w:rPr>
        <w:tab/>
      </w:r>
      <w:r>
        <w:t xml:space="preserve">Вышеупомянутый Закон о материнстве представляет собой бесспорный шаг вперед, однако накопленный опыт и проведенные исследования по вопросам материнства, отцовства и ухода за детьми привели к мысли о необходимости внести в действующее законодательство некоторые дополнения и поправки, которые позволили бы распространить эти права и на работающих отцов, чтобы обеспечить им бóльшую степень защиты в соответствии с принципами нашего социалистического общества и с новейшими научными данными. Кроме того, было необходимо принять нормы, которые обеспечивали бы оказание необходимой помощи несовершеннолетнему в случае смерти матери и последующую экономическую поддержку отцу. </w:t>
      </w:r>
    </w:p>
    <w:p w:rsidR="00000000" w:rsidRDefault="00000000">
      <w:pPr>
        <w:pStyle w:val="BodyText"/>
        <w:rPr>
          <w:color w:val="000000"/>
        </w:rPr>
      </w:pPr>
      <w:r>
        <w:rPr>
          <w:color w:val="000000"/>
        </w:rPr>
        <w:t>479.</w:t>
      </w:r>
      <w:r>
        <w:rPr>
          <w:color w:val="000000"/>
        </w:rPr>
        <w:tab/>
      </w:r>
      <w:r>
        <w:t>Декрет-закон № 234 "О материнстве работающих женщин" от 13 августа 2003 года сохраняет основные положения Закона № 1263 1974 года, но при этом вносит важные дополнения, совершенствующие эти положения и обеспечивающие их бóльшую действенность. Важнейшим из них является статья 16, которая гласит: "По завершении послеродового отпуска, а также периода грудного вскармливания, необходимого для обеспечения нормального развития ребенка, мать и отец могут принять решение о том, кто из них будет заниматься уходом за ребенком, и о том, каким образом будут распределены между ними эти обязанности до достижения ребенком возраста одного года, а также о том, кто будет получать социальное пособие, предусмотренное предыдущей статьей. Администрация предприятий, где работают мать и отец, должна быть поставлена в известность о принятом решении в письменном виде". Это предложение было выдвинуто совместно Министерством труда и социальной защиты и Федерацией кубинских женщин.</w:t>
      </w:r>
    </w:p>
    <w:p w:rsidR="00000000" w:rsidRDefault="00000000">
      <w:pPr>
        <w:pStyle w:val="BodyText"/>
        <w:rPr>
          <w:color w:val="000000"/>
        </w:rPr>
      </w:pPr>
    </w:p>
    <w:p w:rsidR="00000000" w:rsidRDefault="00000000">
      <w:pPr>
        <w:pStyle w:val="BodyText"/>
        <w:rPr>
          <w:color w:val="000000"/>
        </w:rPr>
      </w:pPr>
      <w:r>
        <w:rPr>
          <w:color w:val="000000"/>
        </w:rPr>
        <w:t>480.</w:t>
      </w:r>
      <w:r>
        <w:rPr>
          <w:color w:val="000000"/>
        </w:rPr>
        <w:tab/>
        <w:t xml:space="preserve">С другой стороны, как и в предыдущем законе, здесь предусматривается обязанность предприятий предоставлять работницам, в случае необходимости, неоплачиваемый отпуск по уходу за несовершеннолетними детьми продолжительностью до 9 месяцев, если ребенок младше одного года, и до 6 месяцев, если ребенок старше одного года, но младше 16 лет. Теперь это право предоставляется также и отцу. </w:t>
      </w:r>
    </w:p>
    <w:p w:rsidR="00000000" w:rsidRDefault="00000000">
      <w:pPr>
        <w:pStyle w:val="BodyText"/>
      </w:pPr>
      <w:r>
        <w:rPr>
          <w:color w:val="000000"/>
        </w:rPr>
        <w:t>481.</w:t>
      </w:r>
      <w:r>
        <w:rPr>
          <w:color w:val="000000"/>
        </w:rPr>
        <w:tab/>
      </w:r>
      <w:r>
        <w:t>Кроме того, работающие отец или мать несовершеннолетнего ребенка-инвалида с физическими, психическими или сенсорными нарушениями, который, в соответствии с медицинскими предписаниями, нуждается в специальном уходе, могут теперь получить неоплачиваемый отпуск после того, как ребенку исполнился один год, и до достижения им трехлетнего возраста.</w:t>
      </w:r>
    </w:p>
    <w:p w:rsidR="00000000" w:rsidRDefault="00000000">
      <w:pPr>
        <w:pStyle w:val="BodyText"/>
      </w:pPr>
      <w:r>
        <w:rPr>
          <w:color w:val="000000"/>
        </w:rPr>
        <w:t>482.</w:t>
      </w:r>
      <w:r>
        <w:rPr>
          <w:color w:val="000000"/>
        </w:rPr>
        <w:tab/>
      </w:r>
      <w:r>
        <w:t xml:space="preserve">Как можно видеть, новый Декрет-закон выходит на существенно более высокий уровень и значительно расширяет положения Семейного кодекса относительно совместной ответственности матери и отца по уходу за ребенком, его защиту и воспитание, оказание ему помощи, любовь к нему и подготовку его к жизни, и их правом и долгом является соответствующее выполнение этих обязанностей, равно как и возможность получать глубокое удовлетворение от тесной взаимосвязи с детьми с самых ранних этапов их жизни. </w:t>
      </w:r>
    </w:p>
    <w:p w:rsidR="00000000" w:rsidRDefault="00000000">
      <w:pPr>
        <w:pStyle w:val="BodyText"/>
      </w:pPr>
    </w:p>
    <w:p w:rsidR="00000000" w:rsidRDefault="00000000">
      <w:pPr>
        <w:pStyle w:val="BodyText"/>
        <w:rPr>
          <w:i/>
        </w:rPr>
      </w:pPr>
      <w:r>
        <w:rPr>
          <w:i/>
        </w:rPr>
        <w:t>Контроль за положением в области инфекционных заболеваний</w:t>
      </w:r>
    </w:p>
    <w:p w:rsidR="00000000" w:rsidRDefault="00000000">
      <w:pPr>
        <w:pStyle w:val="BodyText"/>
      </w:pPr>
      <w:r>
        <w:t>483.</w:t>
      </w:r>
      <w:r>
        <w:tab/>
        <w:t xml:space="preserve">Продолжаются профилактическая работа и оказание медицинской помощи населению, проводится оздоровление окружающей среды, на разных уровнях национальной системы здравоохранения осуществляется программа вакцинации. Расширение охвата населения вакцинацией позволило снять проблему столбняка у новорожденных, что было обеспечено благодаря вакцинации беременных столбнячным анатоксином. Проводятся также прививки против гепатита В и ранняя вакцинация новорожденных. </w:t>
      </w:r>
    </w:p>
    <w:p w:rsidR="00000000" w:rsidRDefault="00000000">
      <w:pPr>
        <w:pStyle w:val="BodyText"/>
      </w:pPr>
      <w:r>
        <w:t>484.</w:t>
      </w:r>
      <w:r>
        <w:tab/>
        <w:t xml:space="preserve">В рамках национальной системы здравоохранения с 2000 года определены стратегии и программы, направленные на обеспечение дальнейшего устойчивого развития этой системы и на совершенствование ее функционирования, что позволяет улучшить показатели здоровья населения. Куба достигла всех целей в области здравоохранения, намеченных на 2000 год, и разработала новые стратегии, провела структурные и технические преобразования и приняла меры к улучшению людских ресурсов в зависимости от стратификации общества по группам риска. </w:t>
      </w:r>
    </w:p>
    <w:p w:rsidR="00000000" w:rsidRDefault="00000000">
      <w:pPr>
        <w:pStyle w:val="BodyText"/>
        <w:spacing w:after="0"/>
      </w:pPr>
      <w:r>
        <w:rPr>
          <w:color w:val="000000"/>
        </w:rPr>
        <w:t>485.</w:t>
      </w:r>
      <w:r>
        <w:rPr>
          <w:color w:val="000000"/>
        </w:rPr>
        <w:tab/>
        <w:t xml:space="preserve">В рамках Программы по профилактике инфекционных заболеваний осуществляется контроль за положением в этой области с целью дальнейшего снижения смертности и заболеваемости и за факторами риска во избежание вспышек инфекционных заболеваний и эпидемий. В настоящее время показатели охвата всеми видами вакцинации превышают 95 процентов. За 40 лет удалось ликвидировать шесть болезней (полиомиелит, дифтерия, корь, краснуха, паратиф и коклюш), из которых две протекают в тяжелой клинической форме, две вызывают тяжелые осложнения. Два вида заболеваний перестали представлять угрозу, поскольку уровень заболеваемости ими составляет менее 0,1 на 100 тыс. </w:t>
      </w:r>
      <w:r>
        <w:t xml:space="preserve">человек населения. Уровень смертности от двух последних заболеваний снизился более чем на 90 процентов. </w:t>
      </w:r>
    </w:p>
    <w:p w:rsidR="00000000" w:rsidRDefault="00000000">
      <w:pPr>
        <w:pStyle w:val="BodyText"/>
        <w:rPr>
          <w:b/>
        </w:rPr>
      </w:pPr>
    </w:p>
    <w:p w:rsidR="00000000" w:rsidRDefault="00000000">
      <w:pPr>
        <w:pStyle w:val="BodyText"/>
        <w:spacing w:after="200"/>
        <w:ind w:left="0" w:firstLine="0"/>
        <w:jc w:val="left"/>
        <w:rPr>
          <w:i/>
        </w:rPr>
      </w:pPr>
      <w:r>
        <w:rPr>
          <w:i/>
        </w:rPr>
        <w:t>Национальная программа профилактики ВИЧ/СПИДа/ЗППП и контроля над их распространением</w:t>
      </w:r>
    </w:p>
    <w:p w:rsidR="00000000" w:rsidRDefault="00000000">
      <w:pPr>
        <w:pStyle w:val="BodyText"/>
      </w:pPr>
      <w:r>
        <w:t>486.</w:t>
      </w:r>
      <w:r>
        <w:tab/>
        <w:t xml:space="preserve">Все лица с ЗППП проходят бесплатное лечение у семейных врачей, получают информацию, а санитарные органы ставятся в известность о случаях заболевания. В обязательном порядке следует информировать о случаях заболеваний сифилисом и гонореей. Данные свидетельствуют о низкой степени распространенности врожденного сифилиса (всего один случай в 2000 году, не зафиксировано ни одного в 2001 году и один случай в 2002 году). Нет сведений и о случаях этого заболевания в запущенной форме. </w:t>
      </w:r>
    </w:p>
    <w:p w:rsidR="00000000" w:rsidRDefault="00000000">
      <w:pPr>
        <w:pStyle w:val="BodyText"/>
        <w:spacing w:after="180"/>
        <w:jc w:val="center"/>
        <w:rPr>
          <w:b/>
        </w:rPr>
      </w:pPr>
      <w:r>
        <w:rPr>
          <w:b/>
        </w:rPr>
        <w:t>Сведения о случаях ЗППП: 1990–2002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1"/>
        <w:gridCol w:w="1624"/>
        <w:gridCol w:w="1388"/>
        <w:gridCol w:w="1365"/>
        <w:gridCol w:w="1383"/>
      </w:tblGrid>
      <w:tr w:rsidR="00000000">
        <w:tblPrEx>
          <w:tblCellMar>
            <w:top w:w="0" w:type="dxa"/>
            <w:bottom w:w="0" w:type="dxa"/>
          </w:tblCellMar>
        </w:tblPrEx>
        <w:trPr>
          <w:cantSplit/>
          <w:trHeight w:val="337"/>
          <w:jc w:val="center"/>
        </w:trPr>
        <w:tc>
          <w:tcPr>
            <w:tcW w:w="1781" w:type="dxa"/>
            <w:vMerge w:val="restart"/>
            <w:vAlign w:val="center"/>
          </w:tcPr>
          <w:p w:rsidR="00000000" w:rsidRDefault="00000000">
            <w:pPr>
              <w:pStyle w:val="BodyText"/>
              <w:spacing w:before="16" w:after="16"/>
              <w:ind w:left="0" w:firstLine="0"/>
              <w:jc w:val="center"/>
              <w:rPr>
                <w:b/>
                <w:sz w:val="20"/>
              </w:rPr>
            </w:pPr>
            <w:r>
              <w:rPr>
                <w:b/>
                <w:sz w:val="20"/>
              </w:rPr>
              <w:t>Годы</w:t>
            </w:r>
          </w:p>
        </w:tc>
        <w:tc>
          <w:tcPr>
            <w:tcW w:w="5760" w:type="dxa"/>
            <w:gridSpan w:val="4"/>
          </w:tcPr>
          <w:p w:rsidR="00000000" w:rsidRDefault="00000000">
            <w:pPr>
              <w:pStyle w:val="BodyText"/>
              <w:spacing w:before="16" w:after="16"/>
              <w:ind w:left="0" w:firstLine="0"/>
              <w:jc w:val="center"/>
              <w:rPr>
                <w:b/>
                <w:sz w:val="20"/>
              </w:rPr>
            </w:pPr>
            <w:r>
              <w:rPr>
                <w:b/>
                <w:sz w:val="20"/>
              </w:rPr>
              <w:t>ЗППП (число случаев)</w:t>
            </w:r>
          </w:p>
        </w:tc>
      </w:tr>
      <w:tr w:rsidR="00000000">
        <w:tblPrEx>
          <w:tblCellMar>
            <w:top w:w="0" w:type="dxa"/>
            <w:bottom w:w="0" w:type="dxa"/>
          </w:tblCellMar>
        </w:tblPrEx>
        <w:trPr>
          <w:cantSplit/>
          <w:trHeight w:val="337"/>
          <w:jc w:val="center"/>
        </w:trPr>
        <w:tc>
          <w:tcPr>
            <w:tcW w:w="1781" w:type="dxa"/>
            <w:vMerge/>
            <w:tcBorders>
              <w:bottom w:val="single" w:sz="4" w:space="0" w:color="auto"/>
            </w:tcBorders>
          </w:tcPr>
          <w:p w:rsidR="00000000" w:rsidRDefault="00000000">
            <w:pPr>
              <w:pStyle w:val="BodyText"/>
              <w:spacing w:before="16" w:after="16"/>
              <w:ind w:left="0" w:firstLine="0"/>
              <w:jc w:val="center"/>
              <w:rPr>
                <w:sz w:val="20"/>
              </w:rPr>
            </w:pPr>
          </w:p>
        </w:tc>
        <w:tc>
          <w:tcPr>
            <w:tcW w:w="1624" w:type="dxa"/>
          </w:tcPr>
          <w:p w:rsidR="00000000" w:rsidRDefault="00000000">
            <w:pPr>
              <w:pStyle w:val="BodyText"/>
              <w:spacing w:before="16" w:after="16"/>
              <w:ind w:left="0" w:firstLine="0"/>
              <w:jc w:val="center"/>
              <w:rPr>
                <w:b/>
                <w:sz w:val="20"/>
              </w:rPr>
            </w:pPr>
            <w:r>
              <w:rPr>
                <w:b/>
                <w:sz w:val="20"/>
              </w:rPr>
              <w:t>гонорея</w:t>
            </w:r>
          </w:p>
        </w:tc>
        <w:tc>
          <w:tcPr>
            <w:tcW w:w="1388" w:type="dxa"/>
          </w:tcPr>
          <w:p w:rsidR="00000000" w:rsidRDefault="00000000">
            <w:pPr>
              <w:pStyle w:val="BodyText"/>
              <w:spacing w:before="16" w:after="16"/>
              <w:ind w:left="0" w:firstLine="0"/>
              <w:jc w:val="center"/>
              <w:rPr>
                <w:b/>
                <w:sz w:val="20"/>
              </w:rPr>
            </w:pPr>
            <w:r>
              <w:rPr>
                <w:b/>
                <w:sz w:val="20"/>
              </w:rPr>
              <w:t>сифилис</w:t>
            </w:r>
          </w:p>
        </w:tc>
        <w:tc>
          <w:tcPr>
            <w:tcW w:w="1365" w:type="dxa"/>
          </w:tcPr>
          <w:p w:rsidR="00000000" w:rsidRDefault="00000000">
            <w:pPr>
              <w:pStyle w:val="BodyText"/>
              <w:spacing w:before="16" w:after="16"/>
              <w:ind w:left="0" w:firstLine="0"/>
              <w:jc w:val="center"/>
              <w:rPr>
                <w:b/>
                <w:sz w:val="20"/>
              </w:rPr>
            </w:pPr>
            <w:r>
              <w:rPr>
                <w:b/>
                <w:sz w:val="20"/>
              </w:rPr>
              <w:t>ВИЧ</w:t>
            </w:r>
          </w:p>
        </w:tc>
        <w:tc>
          <w:tcPr>
            <w:tcW w:w="1383" w:type="dxa"/>
          </w:tcPr>
          <w:p w:rsidR="00000000" w:rsidRDefault="00000000">
            <w:pPr>
              <w:pStyle w:val="BodyText"/>
              <w:spacing w:before="16" w:after="16"/>
              <w:ind w:left="0" w:firstLine="0"/>
              <w:jc w:val="center"/>
              <w:rPr>
                <w:b/>
                <w:sz w:val="20"/>
              </w:rPr>
            </w:pPr>
            <w:r>
              <w:rPr>
                <w:b/>
                <w:sz w:val="20"/>
              </w:rPr>
              <w:t>СПИД</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1990</w:t>
            </w:r>
          </w:p>
        </w:tc>
        <w:tc>
          <w:tcPr>
            <w:tcW w:w="1624" w:type="dxa"/>
          </w:tcPr>
          <w:p w:rsidR="00000000" w:rsidRDefault="00000000">
            <w:pPr>
              <w:pStyle w:val="BodyText"/>
              <w:spacing w:before="16" w:after="16"/>
              <w:ind w:left="0" w:firstLine="0"/>
              <w:jc w:val="center"/>
              <w:rPr>
                <w:sz w:val="20"/>
              </w:rPr>
            </w:pPr>
            <w:r>
              <w:rPr>
                <w:sz w:val="20"/>
              </w:rPr>
              <w:t>35 722</w:t>
            </w:r>
          </w:p>
        </w:tc>
        <w:tc>
          <w:tcPr>
            <w:tcW w:w="1388" w:type="dxa"/>
          </w:tcPr>
          <w:p w:rsidR="00000000" w:rsidRDefault="00000000">
            <w:pPr>
              <w:pStyle w:val="BodyText"/>
              <w:spacing w:before="16" w:after="16"/>
              <w:ind w:left="0" w:firstLine="0"/>
              <w:jc w:val="center"/>
              <w:rPr>
                <w:sz w:val="20"/>
              </w:rPr>
            </w:pPr>
            <w:r>
              <w:rPr>
                <w:sz w:val="20"/>
              </w:rPr>
              <w:t>9 205</w:t>
            </w:r>
          </w:p>
        </w:tc>
        <w:tc>
          <w:tcPr>
            <w:tcW w:w="1365" w:type="dxa"/>
          </w:tcPr>
          <w:p w:rsidR="00000000" w:rsidRDefault="00000000">
            <w:pPr>
              <w:pStyle w:val="BodyText"/>
              <w:spacing w:before="16" w:after="16"/>
              <w:ind w:left="0" w:firstLine="0"/>
              <w:jc w:val="center"/>
              <w:rPr>
                <w:sz w:val="20"/>
              </w:rPr>
            </w:pPr>
            <w:r>
              <w:rPr>
                <w:sz w:val="20"/>
              </w:rPr>
              <w:t>140</w:t>
            </w:r>
          </w:p>
        </w:tc>
        <w:tc>
          <w:tcPr>
            <w:tcW w:w="1383" w:type="dxa"/>
          </w:tcPr>
          <w:p w:rsidR="00000000" w:rsidRDefault="00000000">
            <w:pPr>
              <w:pStyle w:val="BodyText"/>
              <w:spacing w:before="16" w:after="16"/>
              <w:ind w:left="0" w:firstLine="0"/>
              <w:jc w:val="center"/>
              <w:rPr>
                <w:sz w:val="20"/>
              </w:rPr>
            </w:pPr>
            <w:r>
              <w:rPr>
                <w:sz w:val="20"/>
              </w:rPr>
              <w:t>28</w:t>
            </w:r>
          </w:p>
        </w:tc>
      </w:tr>
      <w:tr w:rsidR="00000000">
        <w:tblPrEx>
          <w:tblCellMar>
            <w:top w:w="0" w:type="dxa"/>
            <w:bottom w:w="0" w:type="dxa"/>
          </w:tblCellMar>
        </w:tblPrEx>
        <w:trPr>
          <w:trHeight w:val="274"/>
          <w:jc w:val="center"/>
        </w:trPr>
        <w:tc>
          <w:tcPr>
            <w:tcW w:w="1781" w:type="dxa"/>
          </w:tcPr>
          <w:p w:rsidR="00000000" w:rsidRDefault="00000000">
            <w:pPr>
              <w:pStyle w:val="BodyText"/>
              <w:spacing w:before="16" w:after="16"/>
              <w:ind w:left="0" w:firstLine="0"/>
              <w:jc w:val="center"/>
              <w:rPr>
                <w:sz w:val="20"/>
              </w:rPr>
            </w:pPr>
            <w:r>
              <w:rPr>
                <w:sz w:val="20"/>
              </w:rPr>
              <w:t>1991</w:t>
            </w:r>
          </w:p>
        </w:tc>
        <w:tc>
          <w:tcPr>
            <w:tcW w:w="1624" w:type="dxa"/>
          </w:tcPr>
          <w:p w:rsidR="00000000" w:rsidRDefault="00000000">
            <w:pPr>
              <w:pStyle w:val="BodyText"/>
              <w:spacing w:before="16" w:after="16"/>
              <w:ind w:left="0" w:firstLine="0"/>
              <w:jc w:val="center"/>
              <w:rPr>
                <w:sz w:val="20"/>
              </w:rPr>
            </w:pPr>
            <w:r>
              <w:rPr>
                <w:sz w:val="20"/>
              </w:rPr>
              <w:t>32 109</w:t>
            </w:r>
          </w:p>
        </w:tc>
        <w:tc>
          <w:tcPr>
            <w:tcW w:w="1388" w:type="dxa"/>
          </w:tcPr>
          <w:p w:rsidR="00000000" w:rsidRDefault="00000000">
            <w:pPr>
              <w:pStyle w:val="BodyText"/>
              <w:spacing w:before="16" w:after="16"/>
              <w:ind w:left="0" w:firstLine="0"/>
              <w:jc w:val="center"/>
              <w:rPr>
                <w:sz w:val="20"/>
              </w:rPr>
            </w:pPr>
            <w:r>
              <w:rPr>
                <w:sz w:val="20"/>
              </w:rPr>
              <w:t>10 036</w:t>
            </w:r>
          </w:p>
        </w:tc>
        <w:tc>
          <w:tcPr>
            <w:tcW w:w="1365" w:type="dxa"/>
          </w:tcPr>
          <w:p w:rsidR="00000000" w:rsidRDefault="00000000">
            <w:pPr>
              <w:pStyle w:val="BodyText"/>
              <w:spacing w:before="16" w:after="16"/>
              <w:ind w:left="0" w:firstLine="0"/>
              <w:jc w:val="center"/>
              <w:rPr>
                <w:sz w:val="20"/>
              </w:rPr>
            </w:pPr>
            <w:r>
              <w:rPr>
                <w:sz w:val="20"/>
              </w:rPr>
              <w:t>183</w:t>
            </w:r>
          </w:p>
        </w:tc>
        <w:tc>
          <w:tcPr>
            <w:tcW w:w="1383" w:type="dxa"/>
          </w:tcPr>
          <w:p w:rsidR="00000000" w:rsidRDefault="00000000">
            <w:pPr>
              <w:pStyle w:val="BodyText"/>
              <w:spacing w:before="16" w:after="16"/>
              <w:ind w:left="0" w:firstLine="0"/>
              <w:jc w:val="center"/>
              <w:rPr>
                <w:sz w:val="20"/>
              </w:rPr>
            </w:pPr>
            <w:r>
              <w:rPr>
                <w:sz w:val="20"/>
              </w:rPr>
              <w:t>37</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1992</w:t>
            </w:r>
          </w:p>
        </w:tc>
        <w:tc>
          <w:tcPr>
            <w:tcW w:w="1624" w:type="dxa"/>
          </w:tcPr>
          <w:p w:rsidR="00000000" w:rsidRDefault="00000000">
            <w:pPr>
              <w:pStyle w:val="BodyText"/>
              <w:spacing w:before="16" w:after="16"/>
              <w:ind w:left="0" w:firstLine="0"/>
              <w:jc w:val="center"/>
              <w:rPr>
                <w:sz w:val="20"/>
              </w:rPr>
            </w:pPr>
            <w:r>
              <w:rPr>
                <w:sz w:val="20"/>
              </w:rPr>
              <w:t>26 303</w:t>
            </w:r>
          </w:p>
        </w:tc>
        <w:tc>
          <w:tcPr>
            <w:tcW w:w="1388" w:type="dxa"/>
          </w:tcPr>
          <w:p w:rsidR="00000000" w:rsidRDefault="00000000">
            <w:pPr>
              <w:pStyle w:val="BodyText"/>
              <w:spacing w:before="16" w:after="16"/>
              <w:ind w:left="0" w:firstLine="0"/>
              <w:jc w:val="center"/>
              <w:rPr>
                <w:sz w:val="20"/>
              </w:rPr>
            </w:pPr>
            <w:r>
              <w:rPr>
                <w:sz w:val="20"/>
              </w:rPr>
              <w:t>11 110</w:t>
            </w:r>
          </w:p>
        </w:tc>
        <w:tc>
          <w:tcPr>
            <w:tcW w:w="1365" w:type="dxa"/>
          </w:tcPr>
          <w:p w:rsidR="00000000" w:rsidRDefault="00000000">
            <w:pPr>
              <w:pStyle w:val="BodyText"/>
              <w:spacing w:before="16" w:after="16"/>
              <w:ind w:left="0" w:firstLine="0"/>
              <w:jc w:val="center"/>
              <w:rPr>
                <w:sz w:val="20"/>
              </w:rPr>
            </w:pPr>
            <w:r>
              <w:rPr>
                <w:sz w:val="20"/>
              </w:rPr>
              <w:t>175</w:t>
            </w:r>
          </w:p>
        </w:tc>
        <w:tc>
          <w:tcPr>
            <w:tcW w:w="1383" w:type="dxa"/>
          </w:tcPr>
          <w:p w:rsidR="00000000" w:rsidRDefault="00000000">
            <w:pPr>
              <w:pStyle w:val="BodyText"/>
              <w:spacing w:before="16" w:after="16"/>
              <w:ind w:left="0" w:firstLine="0"/>
              <w:jc w:val="center"/>
              <w:rPr>
                <w:sz w:val="20"/>
              </w:rPr>
            </w:pPr>
            <w:r>
              <w:rPr>
                <w:sz w:val="20"/>
              </w:rPr>
              <w:t>71</w:t>
            </w:r>
          </w:p>
        </w:tc>
      </w:tr>
      <w:tr w:rsidR="00000000">
        <w:tblPrEx>
          <w:tblCellMar>
            <w:top w:w="0" w:type="dxa"/>
            <w:bottom w:w="0" w:type="dxa"/>
          </w:tblCellMar>
        </w:tblPrEx>
        <w:trPr>
          <w:trHeight w:val="274"/>
          <w:jc w:val="center"/>
        </w:trPr>
        <w:tc>
          <w:tcPr>
            <w:tcW w:w="1781" w:type="dxa"/>
          </w:tcPr>
          <w:p w:rsidR="00000000" w:rsidRDefault="00000000">
            <w:pPr>
              <w:pStyle w:val="BodyText"/>
              <w:spacing w:before="16" w:after="16"/>
              <w:ind w:left="0" w:firstLine="0"/>
              <w:jc w:val="center"/>
              <w:rPr>
                <w:sz w:val="20"/>
              </w:rPr>
            </w:pPr>
            <w:r>
              <w:rPr>
                <w:sz w:val="20"/>
              </w:rPr>
              <w:t>1993</w:t>
            </w:r>
          </w:p>
        </w:tc>
        <w:tc>
          <w:tcPr>
            <w:tcW w:w="1624" w:type="dxa"/>
          </w:tcPr>
          <w:p w:rsidR="00000000" w:rsidRDefault="00000000">
            <w:pPr>
              <w:pStyle w:val="BodyText"/>
              <w:spacing w:before="16" w:after="16"/>
              <w:ind w:left="0" w:firstLine="0"/>
              <w:jc w:val="center"/>
              <w:rPr>
                <w:sz w:val="20"/>
              </w:rPr>
            </w:pPr>
            <w:r>
              <w:rPr>
                <w:sz w:val="20"/>
              </w:rPr>
              <w:t>20 781</w:t>
            </w:r>
          </w:p>
        </w:tc>
        <w:tc>
          <w:tcPr>
            <w:tcW w:w="1388" w:type="dxa"/>
          </w:tcPr>
          <w:p w:rsidR="00000000" w:rsidRDefault="00000000">
            <w:pPr>
              <w:pStyle w:val="BodyText"/>
              <w:spacing w:before="16" w:after="16"/>
              <w:ind w:left="0" w:firstLine="0"/>
              <w:jc w:val="center"/>
              <w:rPr>
                <w:sz w:val="20"/>
              </w:rPr>
            </w:pPr>
            <w:r>
              <w:rPr>
                <w:sz w:val="20"/>
              </w:rPr>
              <w:t>9 956</w:t>
            </w:r>
          </w:p>
        </w:tc>
        <w:tc>
          <w:tcPr>
            <w:tcW w:w="1365" w:type="dxa"/>
          </w:tcPr>
          <w:p w:rsidR="00000000" w:rsidRDefault="00000000">
            <w:pPr>
              <w:pStyle w:val="BodyText"/>
              <w:spacing w:before="16" w:after="16"/>
              <w:ind w:left="0" w:firstLine="0"/>
              <w:jc w:val="center"/>
              <w:rPr>
                <w:sz w:val="20"/>
              </w:rPr>
            </w:pPr>
            <w:r>
              <w:rPr>
                <w:sz w:val="20"/>
              </w:rPr>
              <w:t>102</w:t>
            </w:r>
          </w:p>
        </w:tc>
        <w:tc>
          <w:tcPr>
            <w:tcW w:w="1383" w:type="dxa"/>
          </w:tcPr>
          <w:p w:rsidR="00000000" w:rsidRDefault="00000000">
            <w:pPr>
              <w:pStyle w:val="BodyText"/>
              <w:spacing w:before="16" w:after="16"/>
              <w:ind w:left="0" w:firstLine="0"/>
              <w:jc w:val="center"/>
              <w:rPr>
                <w:sz w:val="20"/>
              </w:rPr>
            </w:pPr>
            <w:r>
              <w:rPr>
                <w:sz w:val="20"/>
              </w:rPr>
              <w:t>82</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1994</w:t>
            </w:r>
          </w:p>
        </w:tc>
        <w:tc>
          <w:tcPr>
            <w:tcW w:w="1624" w:type="dxa"/>
          </w:tcPr>
          <w:p w:rsidR="00000000" w:rsidRDefault="00000000">
            <w:pPr>
              <w:pStyle w:val="BodyText"/>
              <w:spacing w:before="16" w:after="16"/>
              <w:ind w:left="0" w:firstLine="0"/>
              <w:jc w:val="center"/>
              <w:rPr>
                <w:sz w:val="20"/>
              </w:rPr>
            </w:pPr>
            <w:r>
              <w:rPr>
                <w:sz w:val="20"/>
              </w:rPr>
              <w:t>34 224</w:t>
            </w:r>
          </w:p>
        </w:tc>
        <w:tc>
          <w:tcPr>
            <w:tcW w:w="1388" w:type="dxa"/>
          </w:tcPr>
          <w:p w:rsidR="00000000" w:rsidRDefault="00000000">
            <w:pPr>
              <w:pStyle w:val="BodyText"/>
              <w:spacing w:before="16" w:after="16"/>
              <w:ind w:left="0" w:firstLine="0"/>
              <w:jc w:val="center"/>
              <w:rPr>
                <w:sz w:val="20"/>
              </w:rPr>
            </w:pPr>
            <w:r>
              <w:rPr>
                <w:sz w:val="20"/>
              </w:rPr>
              <w:t>11 551</w:t>
            </w:r>
          </w:p>
        </w:tc>
        <w:tc>
          <w:tcPr>
            <w:tcW w:w="1365" w:type="dxa"/>
          </w:tcPr>
          <w:p w:rsidR="00000000" w:rsidRDefault="00000000">
            <w:pPr>
              <w:pStyle w:val="BodyText"/>
              <w:spacing w:before="16" w:after="16"/>
              <w:ind w:left="0" w:firstLine="0"/>
              <w:jc w:val="center"/>
              <w:rPr>
                <w:sz w:val="20"/>
              </w:rPr>
            </w:pPr>
            <w:r>
              <w:rPr>
                <w:sz w:val="20"/>
              </w:rPr>
              <w:t>122</w:t>
            </w:r>
          </w:p>
        </w:tc>
        <w:tc>
          <w:tcPr>
            <w:tcW w:w="1383" w:type="dxa"/>
          </w:tcPr>
          <w:p w:rsidR="00000000" w:rsidRDefault="00000000">
            <w:pPr>
              <w:pStyle w:val="BodyText"/>
              <w:spacing w:before="16" w:after="16"/>
              <w:ind w:left="0" w:firstLine="0"/>
              <w:jc w:val="center"/>
              <w:rPr>
                <w:sz w:val="20"/>
              </w:rPr>
            </w:pPr>
            <w:r>
              <w:rPr>
                <w:sz w:val="20"/>
              </w:rPr>
              <w:t>102</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1995</w:t>
            </w:r>
          </w:p>
        </w:tc>
        <w:tc>
          <w:tcPr>
            <w:tcW w:w="1624" w:type="dxa"/>
          </w:tcPr>
          <w:p w:rsidR="00000000" w:rsidRDefault="00000000">
            <w:pPr>
              <w:pStyle w:val="BodyText"/>
              <w:spacing w:before="16" w:after="16"/>
              <w:ind w:left="0" w:firstLine="0"/>
              <w:jc w:val="center"/>
              <w:rPr>
                <w:sz w:val="20"/>
              </w:rPr>
            </w:pPr>
            <w:r>
              <w:rPr>
                <w:sz w:val="20"/>
              </w:rPr>
              <w:t>45 200</w:t>
            </w:r>
          </w:p>
        </w:tc>
        <w:tc>
          <w:tcPr>
            <w:tcW w:w="1388" w:type="dxa"/>
          </w:tcPr>
          <w:p w:rsidR="00000000" w:rsidRDefault="00000000">
            <w:pPr>
              <w:pStyle w:val="BodyText"/>
              <w:spacing w:before="16" w:after="16"/>
              <w:ind w:left="0" w:firstLine="0"/>
              <w:jc w:val="center"/>
              <w:rPr>
                <w:sz w:val="20"/>
              </w:rPr>
            </w:pPr>
            <w:r>
              <w:rPr>
                <w:sz w:val="20"/>
              </w:rPr>
              <w:t>14 339</w:t>
            </w:r>
          </w:p>
        </w:tc>
        <w:tc>
          <w:tcPr>
            <w:tcW w:w="1365" w:type="dxa"/>
          </w:tcPr>
          <w:p w:rsidR="00000000" w:rsidRDefault="00000000">
            <w:pPr>
              <w:pStyle w:val="BodyText"/>
              <w:spacing w:before="16" w:after="16"/>
              <w:ind w:left="0" w:firstLine="0"/>
              <w:jc w:val="center"/>
              <w:rPr>
                <w:sz w:val="20"/>
              </w:rPr>
            </w:pPr>
            <w:r>
              <w:rPr>
                <w:sz w:val="20"/>
              </w:rPr>
              <w:t>123</w:t>
            </w:r>
          </w:p>
        </w:tc>
        <w:tc>
          <w:tcPr>
            <w:tcW w:w="1383" w:type="dxa"/>
          </w:tcPr>
          <w:p w:rsidR="00000000" w:rsidRDefault="00000000">
            <w:pPr>
              <w:pStyle w:val="BodyText"/>
              <w:spacing w:before="16" w:after="16"/>
              <w:ind w:left="0" w:firstLine="0"/>
              <w:jc w:val="center"/>
              <w:rPr>
                <w:sz w:val="20"/>
              </w:rPr>
            </w:pPr>
            <w:r>
              <w:rPr>
                <w:sz w:val="20"/>
              </w:rPr>
              <w:t>116</w:t>
            </w:r>
          </w:p>
        </w:tc>
      </w:tr>
      <w:tr w:rsidR="00000000">
        <w:tblPrEx>
          <w:tblCellMar>
            <w:top w:w="0" w:type="dxa"/>
            <w:bottom w:w="0" w:type="dxa"/>
          </w:tblCellMar>
        </w:tblPrEx>
        <w:trPr>
          <w:trHeight w:val="274"/>
          <w:jc w:val="center"/>
        </w:trPr>
        <w:tc>
          <w:tcPr>
            <w:tcW w:w="1781" w:type="dxa"/>
          </w:tcPr>
          <w:p w:rsidR="00000000" w:rsidRDefault="00000000">
            <w:pPr>
              <w:pStyle w:val="BodyText"/>
              <w:spacing w:before="16" w:after="16"/>
              <w:ind w:left="0" w:firstLine="0"/>
              <w:jc w:val="center"/>
              <w:rPr>
                <w:sz w:val="20"/>
              </w:rPr>
            </w:pPr>
            <w:r>
              <w:rPr>
                <w:sz w:val="20"/>
              </w:rPr>
              <w:t>1996</w:t>
            </w:r>
          </w:p>
        </w:tc>
        <w:tc>
          <w:tcPr>
            <w:tcW w:w="1624" w:type="dxa"/>
          </w:tcPr>
          <w:p w:rsidR="00000000" w:rsidRDefault="00000000">
            <w:pPr>
              <w:pStyle w:val="BodyText"/>
              <w:spacing w:before="16" w:after="16"/>
              <w:ind w:left="0" w:firstLine="0"/>
              <w:jc w:val="center"/>
              <w:rPr>
                <w:sz w:val="20"/>
              </w:rPr>
            </w:pPr>
            <w:r>
              <w:rPr>
                <w:sz w:val="20"/>
              </w:rPr>
              <w:t>40 576</w:t>
            </w:r>
          </w:p>
        </w:tc>
        <w:tc>
          <w:tcPr>
            <w:tcW w:w="1388" w:type="dxa"/>
          </w:tcPr>
          <w:p w:rsidR="00000000" w:rsidRDefault="00000000">
            <w:pPr>
              <w:pStyle w:val="BodyText"/>
              <w:spacing w:before="16" w:after="16"/>
              <w:ind w:left="0" w:firstLine="0"/>
              <w:jc w:val="center"/>
              <w:rPr>
                <w:sz w:val="20"/>
              </w:rPr>
            </w:pPr>
            <w:r>
              <w:rPr>
                <w:sz w:val="20"/>
              </w:rPr>
              <w:t>15 818</w:t>
            </w:r>
          </w:p>
        </w:tc>
        <w:tc>
          <w:tcPr>
            <w:tcW w:w="1365" w:type="dxa"/>
          </w:tcPr>
          <w:p w:rsidR="00000000" w:rsidRDefault="00000000">
            <w:pPr>
              <w:pStyle w:val="BodyText"/>
              <w:spacing w:before="16" w:after="16"/>
              <w:ind w:left="0" w:firstLine="0"/>
              <w:jc w:val="center"/>
              <w:rPr>
                <w:sz w:val="20"/>
              </w:rPr>
            </w:pPr>
            <w:r>
              <w:rPr>
                <w:sz w:val="20"/>
              </w:rPr>
              <w:t>235</w:t>
            </w:r>
          </w:p>
        </w:tc>
        <w:tc>
          <w:tcPr>
            <w:tcW w:w="1383" w:type="dxa"/>
          </w:tcPr>
          <w:p w:rsidR="00000000" w:rsidRDefault="00000000">
            <w:pPr>
              <w:pStyle w:val="BodyText"/>
              <w:spacing w:before="16" w:after="16"/>
              <w:ind w:left="0" w:firstLine="0"/>
              <w:jc w:val="center"/>
              <w:rPr>
                <w:sz w:val="20"/>
              </w:rPr>
            </w:pPr>
            <w:r>
              <w:rPr>
                <w:sz w:val="20"/>
              </w:rPr>
              <w:t>99</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1997</w:t>
            </w:r>
          </w:p>
        </w:tc>
        <w:tc>
          <w:tcPr>
            <w:tcW w:w="1624" w:type="dxa"/>
          </w:tcPr>
          <w:p w:rsidR="00000000" w:rsidRDefault="00000000">
            <w:pPr>
              <w:pStyle w:val="BodyText"/>
              <w:spacing w:before="16" w:after="16"/>
              <w:ind w:left="0" w:firstLine="0"/>
              <w:jc w:val="center"/>
              <w:rPr>
                <w:sz w:val="20"/>
              </w:rPr>
            </w:pPr>
            <w:r>
              <w:rPr>
                <w:sz w:val="20"/>
              </w:rPr>
              <w:t>33 948</w:t>
            </w:r>
          </w:p>
        </w:tc>
        <w:tc>
          <w:tcPr>
            <w:tcW w:w="1388" w:type="dxa"/>
          </w:tcPr>
          <w:p w:rsidR="00000000" w:rsidRDefault="00000000">
            <w:pPr>
              <w:pStyle w:val="BodyText"/>
              <w:spacing w:before="16" w:after="16"/>
              <w:ind w:left="0" w:firstLine="0"/>
              <w:jc w:val="center"/>
              <w:rPr>
                <w:sz w:val="20"/>
              </w:rPr>
            </w:pPr>
            <w:r>
              <w:rPr>
                <w:sz w:val="20"/>
              </w:rPr>
              <w:t>15 814</w:t>
            </w:r>
          </w:p>
        </w:tc>
        <w:tc>
          <w:tcPr>
            <w:tcW w:w="1365" w:type="dxa"/>
          </w:tcPr>
          <w:p w:rsidR="00000000" w:rsidRDefault="00000000">
            <w:pPr>
              <w:pStyle w:val="BodyText"/>
              <w:spacing w:before="16" w:after="16"/>
              <w:ind w:left="0" w:firstLine="0"/>
              <w:jc w:val="center"/>
              <w:rPr>
                <w:sz w:val="20"/>
              </w:rPr>
            </w:pPr>
            <w:r>
              <w:rPr>
                <w:sz w:val="20"/>
              </w:rPr>
              <w:t>363</w:t>
            </w:r>
          </w:p>
        </w:tc>
        <w:tc>
          <w:tcPr>
            <w:tcW w:w="1383" w:type="dxa"/>
          </w:tcPr>
          <w:p w:rsidR="00000000" w:rsidRDefault="00000000">
            <w:pPr>
              <w:pStyle w:val="BodyText"/>
              <w:spacing w:before="16" w:after="16"/>
              <w:ind w:left="0" w:firstLine="0"/>
              <w:jc w:val="center"/>
              <w:rPr>
                <w:sz w:val="20"/>
              </w:rPr>
            </w:pPr>
            <w:r>
              <w:rPr>
                <w:sz w:val="20"/>
              </w:rPr>
              <w:t>129</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1998</w:t>
            </w:r>
          </w:p>
        </w:tc>
        <w:tc>
          <w:tcPr>
            <w:tcW w:w="1624" w:type="dxa"/>
          </w:tcPr>
          <w:p w:rsidR="00000000" w:rsidRDefault="00000000">
            <w:pPr>
              <w:pStyle w:val="BodyText"/>
              <w:spacing w:before="16" w:after="16"/>
              <w:ind w:left="0" w:firstLine="0"/>
              <w:jc w:val="center"/>
              <w:rPr>
                <w:sz w:val="20"/>
              </w:rPr>
            </w:pPr>
            <w:r>
              <w:rPr>
                <w:sz w:val="20"/>
              </w:rPr>
              <w:t>29 648</w:t>
            </w:r>
          </w:p>
        </w:tc>
        <w:tc>
          <w:tcPr>
            <w:tcW w:w="1388" w:type="dxa"/>
          </w:tcPr>
          <w:p w:rsidR="00000000" w:rsidRDefault="00000000">
            <w:pPr>
              <w:pStyle w:val="BodyText"/>
              <w:spacing w:before="16" w:after="16"/>
              <w:ind w:left="0" w:firstLine="0"/>
              <w:jc w:val="center"/>
              <w:rPr>
                <w:sz w:val="20"/>
              </w:rPr>
            </w:pPr>
            <w:r>
              <w:rPr>
                <w:sz w:val="20"/>
              </w:rPr>
              <w:t>13 400</w:t>
            </w:r>
          </w:p>
        </w:tc>
        <w:tc>
          <w:tcPr>
            <w:tcW w:w="1365" w:type="dxa"/>
          </w:tcPr>
          <w:p w:rsidR="00000000" w:rsidRDefault="00000000">
            <w:pPr>
              <w:pStyle w:val="BodyText"/>
              <w:spacing w:before="16" w:after="16"/>
              <w:ind w:left="0" w:firstLine="0"/>
              <w:jc w:val="center"/>
              <w:rPr>
                <w:sz w:val="20"/>
              </w:rPr>
            </w:pPr>
            <w:r>
              <w:rPr>
                <w:sz w:val="20"/>
              </w:rPr>
              <w:t>362</w:t>
            </w:r>
          </w:p>
        </w:tc>
        <w:tc>
          <w:tcPr>
            <w:tcW w:w="1383" w:type="dxa"/>
          </w:tcPr>
          <w:p w:rsidR="00000000" w:rsidRDefault="00000000">
            <w:pPr>
              <w:pStyle w:val="BodyText"/>
              <w:spacing w:before="16" w:after="16"/>
              <w:ind w:left="0" w:firstLine="0"/>
              <w:jc w:val="center"/>
              <w:rPr>
                <w:sz w:val="20"/>
              </w:rPr>
            </w:pPr>
            <w:r>
              <w:rPr>
                <w:sz w:val="20"/>
              </w:rPr>
              <w:t>150</w:t>
            </w:r>
          </w:p>
        </w:tc>
      </w:tr>
      <w:tr w:rsidR="00000000">
        <w:tblPrEx>
          <w:tblCellMar>
            <w:top w:w="0" w:type="dxa"/>
            <w:bottom w:w="0" w:type="dxa"/>
          </w:tblCellMar>
        </w:tblPrEx>
        <w:trPr>
          <w:trHeight w:val="274"/>
          <w:jc w:val="center"/>
        </w:trPr>
        <w:tc>
          <w:tcPr>
            <w:tcW w:w="1781" w:type="dxa"/>
          </w:tcPr>
          <w:p w:rsidR="00000000" w:rsidRDefault="00000000">
            <w:pPr>
              <w:pStyle w:val="BodyText"/>
              <w:spacing w:before="16" w:after="16"/>
              <w:ind w:left="0" w:firstLine="0"/>
              <w:jc w:val="center"/>
              <w:rPr>
                <w:sz w:val="20"/>
              </w:rPr>
            </w:pPr>
            <w:r>
              <w:rPr>
                <w:sz w:val="20"/>
              </w:rPr>
              <w:t>1999</w:t>
            </w:r>
          </w:p>
        </w:tc>
        <w:tc>
          <w:tcPr>
            <w:tcW w:w="1624" w:type="dxa"/>
          </w:tcPr>
          <w:p w:rsidR="00000000" w:rsidRDefault="00000000">
            <w:pPr>
              <w:pStyle w:val="BodyText"/>
              <w:spacing w:before="16" w:after="16"/>
              <w:ind w:left="0" w:firstLine="0"/>
              <w:jc w:val="center"/>
              <w:rPr>
                <w:sz w:val="20"/>
              </w:rPr>
            </w:pPr>
            <w:r>
              <w:rPr>
                <w:sz w:val="20"/>
              </w:rPr>
              <w:t>23 225</w:t>
            </w:r>
          </w:p>
        </w:tc>
        <w:tc>
          <w:tcPr>
            <w:tcW w:w="1388" w:type="dxa"/>
          </w:tcPr>
          <w:p w:rsidR="00000000" w:rsidRDefault="00000000">
            <w:pPr>
              <w:pStyle w:val="BodyText"/>
              <w:spacing w:before="16" w:after="16"/>
              <w:ind w:left="0" w:firstLine="0"/>
              <w:jc w:val="center"/>
              <w:rPr>
                <w:sz w:val="20"/>
              </w:rPr>
            </w:pPr>
            <w:r>
              <w:rPr>
                <w:sz w:val="20"/>
              </w:rPr>
              <w:t>12 285</w:t>
            </w:r>
          </w:p>
        </w:tc>
        <w:tc>
          <w:tcPr>
            <w:tcW w:w="1365" w:type="dxa"/>
          </w:tcPr>
          <w:p w:rsidR="00000000" w:rsidRDefault="00000000">
            <w:pPr>
              <w:pStyle w:val="BodyText"/>
              <w:spacing w:before="16" w:after="16"/>
              <w:ind w:left="0" w:firstLine="0"/>
              <w:jc w:val="center"/>
              <w:rPr>
                <w:sz w:val="20"/>
              </w:rPr>
            </w:pPr>
            <w:r>
              <w:rPr>
                <w:sz w:val="20"/>
              </w:rPr>
              <w:t>493</w:t>
            </w:r>
          </w:p>
        </w:tc>
        <w:tc>
          <w:tcPr>
            <w:tcW w:w="1383" w:type="dxa"/>
          </w:tcPr>
          <w:p w:rsidR="00000000" w:rsidRDefault="00000000">
            <w:pPr>
              <w:pStyle w:val="BodyText"/>
              <w:spacing w:before="16" w:after="16"/>
              <w:ind w:left="0" w:firstLine="0"/>
              <w:jc w:val="center"/>
              <w:rPr>
                <w:sz w:val="20"/>
              </w:rPr>
            </w:pPr>
            <w:r>
              <w:rPr>
                <w:sz w:val="20"/>
              </w:rPr>
              <w:t>177</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2000</w:t>
            </w:r>
          </w:p>
        </w:tc>
        <w:tc>
          <w:tcPr>
            <w:tcW w:w="1624" w:type="dxa"/>
          </w:tcPr>
          <w:p w:rsidR="00000000" w:rsidRDefault="00000000">
            <w:pPr>
              <w:pStyle w:val="BodyText"/>
              <w:spacing w:before="16" w:after="16"/>
              <w:ind w:left="0" w:firstLine="0"/>
              <w:jc w:val="center"/>
              <w:rPr>
                <w:sz w:val="20"/>
              </w:rPr>
            </w:pPr>
            <w:r>
              <w:rPr>
                <w:sz w:val="20"/>
              </w:rPr>
              <w:t>19 067</w:t>
            </w:r>
          </w:p>
        </w:tc>
        <w:tc>
          <w:tcPr>
            <w:tcW w:w="1388" w:type="dxa"/>
          </w:tcPr>
          <w:p w:rsidR="00000000" w:rsidRDefault="00000000">
            <w:pPr>
              <w:pStyle w:val="BodyText"/>
              <w:spacing w:before="16" w:after="16"/>
              <w:ind w:left="0" w:firstLine="0"/>
              <w:jc w:val="center"/>
              <w:rPr>
                <w:sz w:val="20"/>
              </w:rPr>
            </w:pPr>
            <w:r>
              <w:rPr>
                <w:sz w:val="20"/>
              </w:rPr>
              <w:t>9 198</w:t>
            </w:r>
          </w:p>
        </w:tc>
        <w:tc>
          <w:tcPr>
            <w:tcW w:w="1365" w:type="dxa"/>
          </w:tcPr>
          <w:p w:rsidR="00000000" w:rsidRDefault="00000000">
            <w:pPr>
              <w:pStyle w:val="BodyText"/>
              <w:spacing w:before="16" w:after="16"/>
              <w:ind w:left="0" w:firstLine="0"/>
              <w:jc w:val="center"/>
              <w:rPr>
                <w:sz w:val="20"/>
              </w:rPr>
            </w:pPr>
            <w:r>
              <w:rPr>
                <w:sz w:val="20"/>
              </w:rPr>
              <w:t>545</w:t>
            </w:r>
          </w:p>
        </w:tc>
        <w:tc>
          <w:tcPr>
            <w:tcW w:w="1383" w:type="dxa"/>
          </w:tcPr>
          <w:p w:rsidR="00000000" w:rsidRDefault="00000000">
            <w:pPr>
              <w:pStyle w:val="BodyText"/>
              <w:spacing w:before="16" w:after="16"/>
              <w:ind w:left="0" w:firstLine="0"/>
              <w:jc w:val="center"/>
              <w:rPr>
                <w:sz w:val="20"/>
              </w:rPr>
            </w:pPr>
            <w:r>
              <w:rPr>
                <w:sz w:val="20"/>
              </w:rPr>
              <w:t>256</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2001</w:t>
            </w:r>
          </w:p>
        </w:tc>
        <w:tc>
          <w:tcPr>
            <w:tcW w:w="1624" w:type="dxa"/>
          </w:tcPr>
          <w:p w:rsidR="00000000" w:rsidRDefault="00000000">
            <w:pPr>
              <w:pStyle w:val="BodyText"/>
              <w:spacing w:before="16" w:after="16"/>
              <w:ind w:left="0" w:firstLine="0"/>
              <w:jc w:val="center"/>
              <w:rPr>
                <w:sz w:val="20"/>
              </w:rPr>
            </w:pPr>
            <w:r>
              <w:rPr>
                <w:sz w:val="20"/>
              </w:rPr>
              <w:t>14 792</w:t>
            </w:r>
          </w:p>
        </w:tc>
        <w:tc>
          <w:tcPr>
            <w:tcW w:w="1388" w:type="dxa"/>
          </w:tcPr>
          <w:p w:rsidR="00000000" w:rsidRDefault="00000000">
            <w:pPr>
              <w:pStyle w:val="BodyText"/>
              <w:spacing w:before="16" w:after="16"/>
              <w:ind w:left="0" w:firstLine="0"/>
              <w:jc w:val="center"/>
              <w:rPr>
                <w:sz w:val="20"/>
              </w:rPr>
            </w:pPr>
            <w:r>
              <w:rPr>
                <w:sz w:val="20"/>
              </w:rPr>
              <w:t>6 233</w:t>
            </w:r>
          </w:p>
        </w:tc>
        <w:tc>
          <w:tcPr>
            <w:tcW w:w="1365" w:type="dxa"/>
          </w:tcPr>
          <w:p w:rsidR="00000000" w:rsidRDefault="00000000">
            <w:pPr>
              <w:pStyle w:val="BodyText"/>
              <w:spacing w:before="16" w:after="16"/>
              <w:ind w:left="0" w:firstLine="0"/>
              <w:jc w:val="center"/>
              <w:rPr>
                <w:sz w:val="20"/>
              </w:rPr>
            </w:pPr>
            <w:r>
              <w:rPr>
                <w:sz w:val="20"/>
              </w:rPr>
              <w:t>642</w:t>
            </w:r>
          </w:p>
        </w:tc>
        <w:tc>
          <w:tcPr>
            <w:tcW w:w="1383" w:type="dxa"/>
          </w:tcPr>
          <w:p w:rsidR="00000000" w:rsidRDefault="00000000">
            <w:pPr>
              <w:pStyle w:val="BodyText"/>
              <w:spacing w:before="16" w:after="16"/>
              <w:ind w:left="0" w:firstLine="0"/>
              <w:jc w:val="center"/>
              <w:rPr>
                <w:sz w:val="20"/>
              </w:rPr>
            </w:pPr>
            <w:r>
              <w:rPr>
                <w:sz w:val="20"/>
              </w:rPr>
              <w:t>392</w:t>
            </w:r>
          </w:p>
        </w:tc>
      </w:tr>
      <w:tr w:rsidR="00000000">
        <w:tblPrEx>
          <w:tblCellMar>
            <w:top w:w="0" w:type="dxa"/>
            <w:bottom w:w="0" w:type="dxa"/>
          </w:tblCellMar>
        </w:tblPrEx>
        <w:trPr>
          <w:trHeight w:val="295"/>
          <w:jc w:val="center"/>
        </w:trPr>
        <w:tc>
          <w:tcPr>
            <w:tcW w:w="1781" w:type="dxa"/>
          </w:tcPr>
          <w:p w:rsidR="00000000" w:rsidRDefault="00000000">
            <w:pPr>
              <w:pStyle w:val="BodyText"/>
              <w:spacing w:before="16" w:after="16"/>
              <w:ind w:left="0" w:firstLine="0"/>
              <w:jc w:val="center"/>
              <w:rPr>
                <w:sz w:val="20"/>
              </w:rPr>
            </w:pPr>
            <w:r>
              <w:rPr>
                <w:sz w:val="20"/>
              </w:rPr>
              <w:t>2002</w:t>
            </w:r>
          </w:p>
        </w:tc>
        <w:tc>
          <w:tcPr>
            <w:tcW w:w="1624" w:type="dxa"/>
          </w:tcPr>
          <w:p w:rsidR="00000000" w:rsidRDefault="00000000">
            <w:pPr>
              <w:pStyle w:val="BodyText"/>
              <w:spacing w:before="16" w:after="16"/>
              <w:ind w:left="0" w:firstLine="0"/>
              <w:jc w:val="center"/>
              <w:rPr>
                <w:sz w:val="20"/>
              </w:rPr>
            </w:pPr>
            <w:r>
              <w:rPr>
                <w:sz w:val="20"/>
              </w:rPr>
              <w:t>12 759</w:t>
            </w:r>
          </w:p>
        </w:tc>
        <w:tc>
          <w:tcPr>
            <w:tcW w:w="1388" w:type="dxa"/>
          </w:tcPr>
          <w:p w:rsidR="00000000" w:rsidRDefault="00000000">
            <w:pPr>
              <w:pStyle w:val="BodyText"/>
              <w:spacing w:before="16" w:after="16"/>
              <w:ind w:left="0" w:firstLine="0"/>
              <w:jc w:val="center"/>
              <w:rPr>
                <w:sz w:val="20"/>
              </w:rPr>
            </w:pPr>
            <w:r>
              <w:rPr>
                <w:sz w:val="20"/>
              </w:rPr>
              <w:t>4 562</w:t>
            </w:r>
          </w:p>
        </w:tc>
        <w:tc>
          <w:tcPr>
            <w:tcW w:w="1365" w:type="dxa"/>
          </w:tcPr>
          <w:p w:rsidR="00000000" w:rsidRDefault="00000000">
            <w:pPr>
              <w:pStyle w:val="BodyText"/>
              <w:spacing w:before="16" w:after="16"/>
              <w:ind w:left="0" w:firstLine="0"/>
              <w:jc w:val="center"/>
              <w:rPr>
                <w:sz w:val="20"/>
              </w:rPr>
            </w:pPr>
            <w:r>
              <w:rPr>
                <w:sz w:val="20"/>
              </w:rPr>
              <w:t>644</w:t>
            </w:r>
          </w:p>
        </w:tc>
        <w:tc>
          <w:tcPr>
            <w:tcW w:w="1383" w:type="dxa"/>
          </w:tcPr>
          <w:p w:rsidR="00000000" w:rsidRDefault="00000000">
            <w:pPr>
              <w:pStyle w:val="BodyText"/>
              <w:spacing w:before="16" w:after="16"/>
              <w:ind w:left="0" w:firstLine="0"/>
              <w:jc w:val="center"/>
              <w:rPr>
                <w:sz w:val="20"/>
              </w:rPr>
            </w:pPr>
            <w:r>
              <w:rPr>
                <w:sz w:val="20"/>
              </w:rPr>
              <w:t>322</w:t>
            </w:r>
          </w:p>
        </w:tc>
      </w:tr>
    </w:tbl>
    <w:p w:rsidR="00000000" w:rsidRDefault="00000000">
      <w:pPr>
        <w:pStyle w:val="BodyText"/>
        <w:spacing w:before="120"/>
        <w:ind w:firstLine="426"/>
        <w:rPr>
          <w:sz w:val="20"/>
        </w:rPr>
      </w:pPr>
      <w:r>
        <w:rPr>
          <w:i/>
          <w:sz w:val="20"/>
        </w:rPr>
        <w:t>Источник</w:t>
      </w:r>
      <w:r>
        <w:rPr>
          <w:sz w:val="20"/>
        </w:rPr>
        <w:t xml:space="preserve">: Национальное управление эпидемиологии Министерства здравоохранения. </w:t>
      </w:r>
    </w:p>
    <w:p w:rsidR="00000000" w:rsidRDefault="00000000">
      <w:pPr>
        <w:pStyle w:val="BodyText"/>
        <w:spacing w:after="200"/>
      </w:pPr>
      <w:r>
        <w:t>487.</w:t>
      </w:r>
      <w:r>
        <w:tab/>
        <w:t>Признав последовательно предпринимаемые правительством усилия по обеспечению права женщин на медицинскую помощь, Комитет в ходе представления и обсуждения предыдущего доклада подчеркнул необходимость сделать все возможное для решения проблемы вируса иммунодефицита человека/синдрома приобретенного иммунодефицита (ВИЧ/СПИДа) и их потенциального воздействия на группы высокого риска, такие как проститутки и молодежь.</w:t>
      </w:r>
    </w:p>
    <w:p w:rsidR="00000000" w:rsidRDefault="00000000">
      <w:pPr>
        <w:pStyle w:val="BodyText"/>
        <w:spacing w:after="200"/>
      </w:pPr>
      <w:r>
        <w:t>488.</w:t>
      </w:r>
      <w:r>
        <w:tab/>
        <w:t xml:space="preserve">В стране с 1986 года действует Программа профилактики и контроля, но уже в 1981 году были приняты меры по профилактике и контролю по всем направлениям в рамках эпидемиологического контроля. Предусмотрены конкретные действия и в отношении женщин. </w:t>
      </w:r>
    </w:p>
    <w:p w:rsidR="00000000" w:rsidRDefault="00000000">
      <w:pPr>
        <w:pStyle w:val="BodyText"/>
        <w:spacing w:after="120"/>
      </w:pPr>
      <w:r>
        <w:t>489.</w:t>
      </w:r>
      <w:r>
        <w:tab/>
        <w:t>Данные в отношении ВИЧ/СПИДа по населению в целом (конец декабря 2003 года) распределяются следующим образом:</w:t>
      </w:r>
    </w:p>
    <w:p w:rsidR="00000000" w:rsidRDefault="00000000">
      <w:pPr>
        <w:pStyle w:val="BodyText"/>
        <w:tabs>
          <w:tab w:val="left" w:pos="3402"/>
        </w:tabs>
        <w:spacing w:after="120"/>
        <w:rPr>
          <w:sz w:val="20"/>
        </w:rPr>
      </w:pPr>
      <w:r>
        <w:tab/>
      </w:r>
      <w:r>
        <w:rPr>
          <w:sz w:val="20"/>
        </w:rPr>
        <w:t>Всего сероположительных</w:t>
      </w:r>
      <w:r>
        <w:rPr>
          <w:sz w:val="20"/>
        </w:rPr>
        <w:tab/>
        <w:t>5 200</w:t>
      </w:r>
    </w:p>
    <w:p w:rsidR="00000000" w:rsidRDefault="00000000">
      <w:pPr>
        <w:pStyle w:val="BodyText"/>
        <w:tabs>
          <w:tab w:val="left" w:pos="3402"/>
        </w:tabs>
        <w:spacing w:after="120"/>
        <w:rPr>
          <w:sz w:val="20"/>
        </w:rPr>
      </w:pPr>
      <w:r>
        <w:rPr>
          <w:sz w:val="20"/>
        </w:rPr>
        <w:tab/>
        <w:t>Всего случаев СПИДа</w:t>
      </w:r>
      <w:r>
        <w:rPr>
          <w:sz w:val="20"/>
        </w:rPr>
        <w:tab/>
        <w:t>2 250</w:t>
      </w:r>
    </w:p>
    <w:p w:rsidR="00000000" w:rsidRDefault="00000000">
      <w:pPr>
        <w:pStyle w:val="BodyText"/>
        <w:tabs>
          <w:tab w:val="left" w:pos="3402"/>
        </w:tabs>
        <w:spacing w:after="120"/>
        <w:rPr>
          <w:sz w:val="20"/>
        </w:rPr>
      </w:pPr>
      <w:r>
        <w:rPr>
          <w:sz w:val="20"/>
        </w:rPr>
        <w:tab/>
        <w:t>ЛЖВИЧ/СПИДом*</w:t>
      </w:r>
      <w:r>
        <w:rPr>
          <w:sz w:val="20"/>
        </w:rPr>
        <w:tab/>
        <w:t>4 020</w:t>
      </w:r>
    </w:p>
    <w:p w:rsidR="00000000" w:rsidRDefault="00000000">
      <w:pPr>
        <w:pStyle w:val="BodyText"/>
        <w:tabs>
          <w:tab w:val="left" w:pos="3402"/>
        </w:tabs>
        <w:spacing w:after="140"/>
        <w:rPr>
          <w:sz w:val="20"/>
        </w:rPr>
      </w:pPr>
      <w:r>
        <w:rPr>
          <w:sz w:val="20"/>
        </w:rPr>
        <w:tab/>
        <w:t>Всего умерших</w:t>
      </w:r>
      <w:r>
        <w:rPr>
          <w:sz w:val="20"/>
        </w:rPr>
        <w:tab/>
        <w:t>1 180</w:t>
      </w:r>
    </w:p>
    <w:p w:rsidR="00000000" w:rsidRDefault="00000000">
      <w:pPr>
        <w:pStyle w:val="BodyText"/>
        <w:spacing w:after="120"/>
        <w:rPr>
          <w:u w:val="single"/>
        </w:rPr>
      </w:pPr>
      <w:r>
        <w:rPr>
          <w:u w:val="single"/>
        </w:rPr>
        <w:t>Сероположительные в разбивке по полу и сексуальной ориентации:</w:t>
      </w:r>
    </w:p>
    <w:p w:rsidR="00000000" w:rsidRDefault="00000000">
      <w:pPr>
        <w:pStyle w:val="BodyText"/>
        <w:tabs>
          <w:tab w:val="left" w:pos="2268"/>
          <w:tab w:val="left" w:pos="3402"/>
        </w:tabs>
        <w:spacing w:after="120"/>
        <w:rPr>
          <w:sz w:val="20"/>
        </w:rPr>
      </w:pPr>
      <w:r>
        <w:rPr>
          <w:sz w:val="20"/>
        </w:rPr>
        <w:tab/>
        <w:t>Мужчины</w:t>
      </w:r>
      <w:r>
        <w:rPr>
          <w:sz w:val="20"/>
        </w:rPr>
        <w:tab/>
        <w:t>4 124</w:t>
      </w:r>
      <w:r>
        <w:rPr>
          <w:sz w:val="20"/>
        </w:rPr>
        <w:tab/>
        <w:t>79,3%</w:t>
      </w:r>
    </w:p>
    <w:p w:rsidR="00000000" w:rsidRDefault="00000000">
      <w:pPr>
        <w:pStyle w:val="BodyText"/>
        <w:tabs>
          <w:tab w:val="left" w:pos="2268"/>
          <w:tab w:val="left" w:pos="3402"/>
        </w:tabs>
        <w:spacing w:after="120"/>
        <w:rPr>
          <w:sz w:val="20"/>
        </w:rPr>
      </w:pPr>
      <w:r>
        <w:rPr>
          <w:sz w:val="20"/>
        </w:rPr>
        <w:tab/>
        <w:t>МГ**</w:t>
      </w:r>
      <w:r>
        <w:rPr>
          <w:sz w:val="20"/>
        </w:rPr>
        <w:tab/>
        <w:t>3 493</w:t>
      </w:r>
      <w:r>
        <w:rPr>
          <w:sz w:val="20"/>
        </w:rPr>
        <w:tab/>
        <w:t>84,6% (от общего числа сероположительных лиц мужского пола)</w:t>
      </w:r>
    </w:p>
    <w:p w:rsidR="00000000" w:rsidRDefault="00000000">
      <w:pPr>
        <w:pStyle w:val="BodyText"/>
        <w:tabs>
          <w:tab w:val="left" w:pos="2268"/>
          <w:tab w:val="left" w:pos="3402"/>
        </w:tabs>
        <w:spacing w:after="120"/>
        <w:rPr>
          <w:sz w:val="20"/>
        </w:rPr>
      </w:pPr>
      <w:r>
        <w:rPr>
          <w:sz w:val="20"/>
        </w:rPr>
        <w:tab/>
        <w:t>Женщины</w:t>
      </w:r>
      <w:r>
        <w:rPr>
          <w:sz w:val="20"/>
        </w:rPr>
        <w:tab/>
        <w:t>1 076</w:t>
      </w:r>
      <w:r>
        <w:rPr>
          <w:sz w:val="20"/>
        </w:rPr>
        <w:tab/>
        <w:t>20,7%</w:t>
      </w:r>
    </w:p>
    <w:p w:rsidR="00000000" w:rsidRDefault="00000000">
      <w:pPr>
        <w:pStyle w:val="BodyText"/>
        <w:tabs>
          <w:tab w:val="left" w:pos="2268"/>
          <w:tab w:val="left" w:pos="3402"/>
        </w:tabs>
        <w:spacing w:after="120"/>
        <w:rPr>
          <w:sz w:val="20"/>
        </w:rPr>
      </w:pPr>
      <w:r>
        <w:rPr>
          <w:sz w:val="20"/>
        </w:rPr>
        <w:tab/>
        <w:t>Всего</w:t>
      </w:r>
      <w:r>
        <w:rPr>
          <w:sz w:val="20"/>
        </w:rPr>
        <w:tab/>
        <w:t>5 200</w:t>
      </w:r>
    </w:p>
    <w:p w:rsidR="00000000" w:rsidRDefault="00000000">
      <w:pPr>
        <w:pStyle w:val="BodyText"/>
        <w:spacing w:after="120"/>
        <w:rPr>
          <w:sz w:val="20"/>
        </w:rPr>
      </w:pPr>
      <w:r>
        <w:rPr>
          <w:sz w:val="20"/>
        </w:rPr>
        <w:t>* Лица, живущие с ВИЧ/СПИДом.</w:t>
      </w:r>
    </w:p>
    <w:p w:rsidR="00000000" w:rsidRDefault="00000000">
      <w:pPr>
        <w:pStyle w:val="BodyText"/>
        <w:rPr>
          <w:sz w:val="20"/>
        </w:rPr>
      </w:pPr>
      <w:r>
        <w:rPr>
          <w:sz w:val="20"/>
        </w:rPr>
        <w:t>** Мужчины-гомосексуалисты.</w:t>
      </w:r>
    </w:p>
    <w:p w:rsidR="00000000" w:rsidRDefault="00000000">
      <w:pPr>
        <w:pStyle w:val="BodyText"/>
      </w:pPr>
      <w:r>
        <w:t>490.</w:t>
      </w:r>
      <w:r>
        <w:tab/>
        <w:t xml:space="preserve">Основной упор в данной программе делается на профилактику. Обучение навыкам здорового образа жизни, имеющее целью выявить формы сексуального поведения, чреватые риском заражения ВИЧ или ЗППП либо передачи этих заболеваний, проводится во всех учреждениях национальной системы здравоохранения, семейными врачами, в поликлиниках и больницах, а также в специализированных центрах, занимающихся этими проблемами, как, например, в Центре профилактики ВИЧ/СПИДа/ЗППП, где проводятся консультации для всех граждан, независимо от их пола, сексуальной ориентации или социальной группы. Кроме того, проводятся воспитательные мероприятия в отношении лиц, предоставляющих сексуальные услуги в обмен на материальные блага. Эта работа ведется на разных уровнях совместно с массовыми организациями и комиссиями по профилактике и оказанию социальной поддержки. Кроме того, все лица, относящиеся к этой категории, могут получить медицинскую помощь на тех же условиях, что и все другие граждане. </w:t>
      </w:r>
    </w:p>
    <w:p w:rsidR="00000000" w:rsidRDefault="00000000">
      <w:pPr>
        <w:pStyle w:val="BodyText"/>
      </w:pPr>
      <w:r>
        <w:t>491.</w:t>
      </w:r>
      <w:r>
        <w:tab/>
        <w:t xml:space="preserve">На протяжении уже ряда лет высокоэффективную антиретровирусную терапию (комбинированную или тройную терапию) может получить любой нуждающийся в этом ВИЧ-инфицированный. Эта помощь, равно как и другие дорогостоящие услуги, такие как измерение количества клеток CD4 и вирусной нагрузки, оказываются бесплатно. В настоящее время лечение данного заболевания проходят все нуждающиеся в этом граждане Кубы. </w:t>
      </w:r>
    </w:p>
    <w:p w:rsidR="00000000" w:rsidRDefault="00000000">
      <w:pPr>
        <w:pStyle w:val="BodyText"/>
      </w:pPr>
      <w:r>
        <w:t>492.</w:t>
      </w:r>
      <w:r>
        <w:tab/>
        <w:t>Все лица с ЗППП проходят бесплатное лечение у семейных врачей, получают консультации, а санитарные органы ставятся в известность о случаях заболевания. В обязательном порядке следует информировать о случаях заболеваний сифилисом и гонореей.</w:t>
      </w:r>
    </w:p>
    <w:p w:rsidR="00000000" w:rsidRDefault="00000000">
      <w:pPr>
        <w:pStyle w:val="BodyText"/>
      </w:pPr>
      <w:r>
        <w:t>493.</w:t>
      </w:r>
      <w:r>
        <w:tab/>
      </w:r>
      <w:r>
        <w:rPr>
          <w:color w:val="000000"/>
        </w:rPr>
        <w:t xml:space="preserve">Несколько лет назад Министерством здравоохранения был создан Национальный центр предупреждения ЗППП (заболеваний, передаваемых половым путем) и ВИЧ/СПИДа. В этом Центре клиницисты, эпидемиологи, </w:t>
      </w:r>
      <w:r>
        <w:t>акушеры-гинекологи, социологи, врачи общей практики, педагоги,</w:t>
      </w:r>
      <w:r>
        <w:rPr>
          <w:color w:val="000000"/>
        </w:rPr>
        <w:t xml:space="preserve"> психологи и другие специалисты осуществляют конкретную деятельность в разнообразных и новаторских формах, начиная с индивидуальных консультаций и заканчивая анонимным консультированием по телефону, что является одним из способов помощи тем, кто в ней нуждается. Такой вид работы получил название "Линия помощи". Деятельность данной службы ориентирована на все население, однако наиболее активно ведется работа с молодыми людьми обоих полов, так как они представляют наиболее уязвимую группу риска.</w:t>
      </w:r>
    </w:p>
    <w:p w:rsidR="00000000" w:rsidRDefault="00000000">
      <w:pPr>
        <w:pStyle w:val="BodyText"/>
      </w:pPr>
      <w:r>
        <w:t>494.</w:t>
      </w:r>
      <w:r>
        <w:tab/>
        <w:t xml:space="preserve">В рамках Программы ведется активная работа с разными группами населения, что позволило обеспечить высокие показатели выявления заболеваний на ранних этапах, когда их симптомы еще не очевидны. </w:t>
      </w:r>
    </w:p>
    <w:p w:rsidR="00000000" w:rsidRDefault="00000000">
      <w:pPr>
        <w:pStyle w:val="BodyText"/>
      </w:pPr>
      <w:r>
        <w:t>495.</w:t>
      </w:r>
      <w:r>
        <w:tab/>
      </w:r>
      <w:r>
        <w:rPr>
          <w:color w:val="000000"/>
        </w:rPr>
        <w:t xml:space="preserve">В 2001 году из всех выявленных сероположительных лиц 67 процентов составляли люди в возрасте от 25 до 59 лет, причем доля мужчин в этой группе была выше (56,2 процента). Наблюдается рост заболеваемости лиц обоих полов, но особенно мужчин. Для этой возрастной группы показатель составляет 46,9 на 1 млн. человек. С другой стороны, имеются данные, свидетельствующие о снижении числа случаев других ЗППП, прежде всего сифилиса; </w:t>
      </w:r>
      <w:r>
        <w:t xml:space="preserve">весьма мала степень распространенности врожденного сифилиса (всего один случай в 2000 году, не зафиксировано ни одного случая в 2001 году и один случай в 2002 году). Нет сведений и о случаях этого заболевания в запущенной форме. </w:t>
      </w:r>
    </w:p>
    <w:p w:rsidR="00000000" w:rsidRDefault="00000000">
      <w:pPr>
        <w:pStyle w:val="BodyText"/>
      </w:pPr>
      <w:r>
        <w:t>496.</w:t>
      </w:r>
      <w:r>
        <w:tab/>
        <w:t xml:space="preserve">В условиях расширяющейся (хотя и, к счастью, медленно) эпидемии ВИЧ/СПИДа на Кубе обращает на себя внимание тот факт, что среди лиц, у кого выявлено это заболевание, растет число заявивших о том, что они эпизодически или систематически занимались проституцией. </w:t>
      </w:r>
    </w:p>
    <w:p w:rsidR="00000000" w:rsidRDefault="00000000">
      <w:pPr>
        <w:pStyle w:val="BodyText"/>
      </w:pPr>
      <w:r>
        <w:t>497.</w:t>
      </w:r>
      <w:r>
        <w:tab/>
        <w:t xml:space="preserve">В период 1995–2002 годов (данные по 2002 году пока предварительные) около 25,2 процента вновь выявленных сероположительных на ВИЧ женщин (одна из каждых четырех) занимались проституцией. Что касается вновь выявленных ВИЧ-инфицированных мужчин, то для них этот показатель составил 10,7 процента (один из каждых десяти). Средний показатель для лиц обоих полов составил 13,4 процента (один из каждых семи). </w:t>
      </w:r>
    </w:p>
    <w:p w:rsidR="00000000" w:rsidRDefault="00000000">
      <w:pPr>
        <w:pStyle w:val="BodyText"/>
      </w:pPr>
      <w:r>
        <w:t>498.</w:t>
      </w:r>
      <w:r>
        <w:tab/>
        <w:t xml:space="preserve">В отношении возраста следует отметить, что здесь преобладает молодежь. Например, среди новых случаев заражения, выявленных в 1999–2001 годах, 44,49 процента (практически каждый второй) из инфицированных, занимавшихся проституцией, был на момент выявления у него ВИЧ-инфекции не старше 25 лет. </w:t>
      </w:r>
    </w:p>
    <w:p w:rsidR="00000000" w:rsidRDefault="00000000">
      <w:pPr>
        <w:pStyle w:val="BodyText"/>
      </w:pPr>
      <w:r>
        <w:t>499.</w:t>
      </w:r>
      <w:r>
        <w:tab/>
        <w:t xml:space="preserve">Накоплен определенный опыт работы с представителями этой группы, неоднократно данная проблема изучалась и обсуждалась специалистами, пытавшимися наметить последовательную стратегию воспитательной деятельности, которую можно было бы применять в широких масштабах. К возможным направлениям дальнейшей работы относятся: </w:t>
      </w:r>
    </w:p>
    <w:p w:rsidR="00000000" w:rsidRDefault="00000000">
      <w:pPr>
        <w:pStyle w:val="BodyText"/>
        <w:tabs>
          <w:tab w:val="clear" w:pos="907"/>
        </w:tabs>
        <w:ind w:left="1134"/>
      </w:pPr>
      <w:r>
        <w:t>•</w:t>
      </w:r>
      <w:r>
        <w:tab/>
        <w:t>Обучение и подготовка сотрудников служб первичной медицинской помощи, чтобы они были способны распознавать склонность у тех или иных мужчин и женщин к сопряженному с риском поведению, связанному с занятием проституцией, и проводить с ними соответствующую воспитательную работу.</w:t>
      </w:r>
    </w:p>
    <w:p w:rsidR="00000000" w:rsidRDefault="00000000">
      <w:pPr>
        <w:pStyle w:val="BodyText"/>
        <w:tabs>
          <w:tab w:val="clear" w:pos="907"/>
        </w:tabs>
        <w:ind w:left="1134"/>
      </w:pPr>
      <w:r>
        <w:t>•</w:t>
      </w:r>
      <w:r>
        <w:tab/>
        <w:t xml:space="preserve">Обучение сотрудников центров реабилитации женщин, находящихся в заключении, навыкам эффективной воспитательной работы с этой группой. </w:t>
      </w:r>
    </w:p>
    <w:p w:rsidR="00000000" w:rsidRDefault="00000000">
      <w:pPr>
        <w:pStyle w:val="BodyText"/>
        <w:tabs>
          <w:tab w:val="clear" w:pos="907"/>
        </w:tabs>
        <w:ind w:left="1134"/>
      </w:pPr>
      <w:r>
        <w:t>•</w:t>
      </w:r>
      <w:r>
        <w:tab/>
        <w:t xml:space="preserve">Организация – силами работающих на местах групп профилактики и социальной поддержки, Федерации кубинских женщин, комитетов защиты Революции, министерств просвещения, культуры, спорта, молодежных, студенческих и других организаций – семинаров для обсуждения этой темы и вопросов ее взаимосвязи с ВИЧ/СПИДом. </w:t>
      </w:r>
    </w:p>
    <w:p w:rsidR="00000000" w:rsidRDefault="00000000">
      <w:pPr>
        <w:pStyle w:val="BodyText"/>
        <w:tabs>
          <w:tab w:val="clear" w:pos="907"/>
        </w:tabs>
        <w:ind w:left="1134"/>
      </w:pPr>
      <w:r>
        <w:t>•</w:t>
      </w:r>
      <w:r>
        <w:tab/>
        <w:t>Подготовка и распространение буклетов, брошюр и открыток по вопросам профилактики ВИЧ/СПИДа, предназначенных для лиц обоих полов, которые занимаются проституцией и которых сотрудники служб первичной медицинской помощи и групп профилактики и социальной поддержки ранее выявили как относящихся к группе риска.</w:t>
      </w:r>
    </w:p>
    <w:p w:rsidR="00000000" w:rsidRDefault="00000000">
      <w:pPr>
        <w:pStyle w:val="BodyText"/>
        <w:tabs>
          <w:tab w:val="clear" w:pos="907"/>
        </w:tabs>
        <w:ind w:left="1134"/>
      </w:pPr>
      <w:r>
        <w:t>•</w:t>
      </w:r>
      <w:r>
        <w:tab/>
        <w:t>Подготовка и распространение буклетов, брошюр и открыток по вопросам профилактики ВИЧ/СПИДа, предназначенных для находящихся в заключении женщин в центрах реабилитации.</w:t>
      </w:r>
    </w:p>
    <w:p w:rsidR="00000000" w:rsidRDefault="00000000">
      <w:pPr>
        <w:pStyle w:val="BodyText"/>
        <w:tabs>
          <w:tab w:val="clear" w:pos="907"/>
        </w:tabs>
        <w:ind w:left="1134"/>
      </w:pPr>
      <w:r>
        <w:t>•</w:t>
      </w:r>
      <w:r>
        <w:tab/>
        <w:t xml:space="preserve">Подготовка аудиовизуальных материалов по этой теме для распространения на различных мероприятиях. </w:t>
      </w:r>
    </w:p>
    <w:p w:rsidR="00000000" w:rsidRDefault="00000000">
      <w:pPr>
        <w:pStyle w:val="BodyText"/>
        <w:spacing w:after="0"/>
      </w:pPr>
    </w:p>
    <w:p w:rsidR="00000000" w:rsidRDefault="00000000">
      <w:pPr>
        <w:pStyle w:val="BodyText"/>
        <w:rPr>
          <w:i/>
        </w:rPr>
      </w:pPr>
      <w:r>
        <w:rPr>
          <w:i/>
        </w:rPr>
        <w:t>Забота о здоровье и планирование размера семьи</w:t>
      </w:r>
    </w:p>
    <w:p w:rsidR="00000000" w:rsidRDefault="00000000">
      <w:pPr>
        <w:pStyle w:val="BodyText"/>
      </w:pPr>
      <w:r>
        <w:t>500.</w:t>
      </w:r>
      <w:r>
        <w:tab/>
        <w:t xml:space="preserve">Методологическое руководство работой в этой области осуществляют Национальное управление при Министерстве здравоохранения и специализированный департамент, имеющийся в структуре каждого провинциального и муниципального управления по всей стране. Эти органы работают в тесной координации и взаимосвязи, которая поддерживается по электронной сети. </w:t>
      </w:r>
    </w:p>
    <w:p w:rsidR="00000000" w:rsidRDefault="00000000">
      <w:pPr>
        <w:pStyle w:val="BodyText"/>
      </w:pPr>
      <w:r>
        <w:t>501.</w:t>
      </w:r>
      <w:r>
        <w:tab/>
      </w:r>
      <w:r>
        <w:rPr>
          <w:color w:val="000000"/>
        </w:rPr>
        <w:t xml:space="preserve">Основные показатели выполнения программы в 2002 году расцениваются как удовлетворительные, учитывая, что коэффициент младенческой смертности (КМС) составил в 2002 году 6,5 на 1000 живорождений. Основной причиной смерти были осложнения при родах (3,0 на 1000 живорождений). В указанный период имела место отчетливо выраженная и устойчивая тенденция к сокращению смертности среди новорожденных и младенцев. Сократились и остаются крайне малыми различия в коэффициентах младенческой смертности по разным провинциям, что является следствием того, что повсеместно предпринимаются одни и те же меры, а также проявлением масштабных изменений к лучшему в социальной, политической и экономической сферах. </w:t>
      </w:r>
    </w:p>
    <w:p w:rsidR="00000000" w:rsidRDefault="00000000">
      <w:pPr>
        <w:pStyle w:val="BodyText"/>
      </w:pPr>
      <w:r>
        <w:t>502.</w:t>
      </w:r>
      <w:r>
        <w:tab/>
        <w:t>Существенное сокращение младенческой смертности на Кубе на данном этапе стало одной из основных причин, обусловивших повышение ожидаемой продолжительности жизни кубинцев при рождении до 76,15 лет (для женщин этот показатель выше – 78,23 года, для мужчин – 74,20 года).</w:t>
      </w:r>
    </w:p>
    <w:p w:rsidR="00000000" w:rsidRDefault="00000000">
      <w:pPr>
        <w:pStyle w:val="BodyText"/>
      </w:pPr>
      <w:r>
        <w:t>503.</w:t>
      </w:r>
      <w:r>
        <w:tab/>
        <w:t xml:space="preserve">Говоря о снижении младенческой смертности, следует отметить при этом сокращение рождаемости – одно из самых быстрых и значительных по региону. </w:t>
      </w:r>
    </w:p>
    <w:p w:rsidR="00000000" w:rsidRDefault="00000000">
      <w:pPr>
        <w:pStyle w:val="BodyText"/>
      </w:pPr>
      <w:r>
        <w:t>504.</w:t>
      </w:r>
      <w:r>
        <w:tab/>
      </w:r>
      <w:r>
        <w:rPr>
          <w:color w:val="000000"/>
        </w:rPr>
        <w:t>Программа охраны здоровья матери и ребенка является одной из приоритетных в области здравоохр</w:t>
      </w:r>
      <w:r>
        <w:rPr>
          <w:color w:val="000000"/>
        </w:rPr>
        <w:t>а</w:t>
      </w:r>
      <w:r>
        <w:rPr>
          <w:color w:val="000000"/>
        </w:rPr>
        <w:t>нения; правительство и неправительственные организации уделяют ей особое внимание, чтобы, несмотря на трудности, которые переживает кубинская экономика в последние годы из-за экономич</w:t>
      </w:r>
      <w:r>
        <w:rPr>
          <w:color w:val="000000"/>
        </w:rPr>
        <w:t>е</w:t>
      </w:r>
      <w:r>
        <w:rPr>
          <w:color w:val="000000"/>
        </w:rPr>
        <w:t>ской, финансовой и торговой блокады, установленной правительством Соединенных Штатов в отношении Кубы, с</w:t>
      </w:r>
      <w:r>
        <w:rPr>
          <w:color w:val="000000"/>
        </w:rPr>
        <w:t>о</w:t>
      </w:r>
      <w:r>
        <w:rPr>
          <w:color w:val="000000"/>
        </w:rPr>
        <w:t>хранить и повысить достигнутый уровень в области здоровья женщин, детей и семей.</w:t>
      </w:r>
    </w:p>
    <w:p w:rsidR="00000000" w:rsidRDefault="00000000">
      <w:pPr>
        <w:pStyle w:val="BodyText"/>
      </w:pPr>
      <w:r>
        <w:t>505.</w:t>
      </w:r>
      <w:r>
        <w:tab/>
        <w:t xml:space="preserve">В 2002 году в стране родилось 141 276 детей; коэффициент рождаемости составляет 12,6 на 100 жителей. </w:t>
      </w:r>
    </w:p>
    <w:p w:rsidR="00000000" w:rsidRDefault="00000000">
      <w:pPr>
        <w:pStyle w:val="BodyText"/>
      </w:pPr>
      <w:r>
        <w:t>506.</w:t>
      </w:r>
      <w:r>
        <w:tab/>
      </w:r>
      <w:r>
        <w:rPr>
          <w:color w:val="000000"/>
        </w:rPr>
        <w:t>Коэффициент фертильности в 2002 году составил 46,7 на 1000 женщин; самый высокий коэффициент – 100,5 – отмечался в возрастной группе от 20 до 24 лет, следующий по величине – 94,1 – по возрастной группе от 25 до 29 лет.</w:t>
      </w:r>
    </w:p>
    <w:p w:rsidR="00000000" w:rsidRDefault="00000000">
      <w:pPr>
        <w:pStyle w:val="BodyText"/>
      </w:pPr>
      <w:r>
        <w:t>507.</w:t>
      </w:r>
      <w:r>
        <w:tab/>
      </w:r>
      <w:r>
        <w:rPr>
          <w:color w:val="000000"/>
        </w:rPr>
        <w:t>Показатель детей с малым весом при рождении составил в 2002 году 5,8, а в 2001 году – 5,9.</w:t>
      </w:r>
    </w:p>
    <w:p w:rsidR="00000000" w:rsidRDefault="00000000">
      <w:pPr>
        <w:pStyle w:val="BodyText"/>
      </w:pPr>
      <w:r>
        <w:t>508.</w:t>
      </w:r>
      <w:r>
        <w:tab/>
      </w:r>
      <w:r>
        <w:rPr>
          <w:color w:val="000000"/>
        </w:rPr>
        <w:t>Коэффициент смертности детей в возрасте до 5 лет составлял 8,1 в 2002 году, 9,1 в 2000 году и 8,0 в 2001 году; наиболее частой причиной смерти являются несчастные случаи.</w:t>
      </w:r>
    </w:p>
    <w:p w:rsidR="00000000" w:rsidRDefault="00000000">
      <w:pPr>
        <w:pStyle w:val="BodyText"/>
      </w:pPr>
      <w:r>
        <w:t>509.</w:t>
      </w:r>
      <w:r>
        <w:tab/>
        <w:t>Процент детей, доживающих до 5-летнего возраста, составляет 99,2.</w:t>
      </w:r>
    </w:p>
    <w:p w:rsidR="00000000" w:rsidRDefault="00000000">
      <w:pPr>
        <w:pStyle w:val="BodyText"/>
      </w:pPr>
      <w:r>
        <w:t>510.</w:t>
      </w:r>
      <w:r>
        <w:tab/>
      </w:r>
      <w:r>
        <w:rPr>
          <w:color w:val="000000"/>
        </w:rPr>
        <w:t>Коэффициент материнской смертности составил в 2002 году 3,2 на 10 000 живорождений, в 2001 году он был равен 3,0.</w:t>
      </w:r>
    </w:p>
    <w:p w:rsidR="00000000" w:rsidRDefault="00000000">
      <w:pPr>
        <w:pStyle w:val="BodyText"/>
      </w:pPr>
      <w:r>
        <w:t>511.</w:t>
      </w:r>
      <w:r>
        <w:tab/>
      </w:r>
      <w:r>
        <w:rPr>
          <w:color w:val="000000"/>
        </w:rPr>
        <w:t>Министерство здравоохранения продолжает укреплять и совершенствовать свою работу в сотрудничестве с местными властями и при активном участии общества в руководстве здравоохранением и его функционировании.</w:t>
      </w:r>
    </w:p>
    <w:p w:rsidR="00000000" w:rsidRDefault="00000000">
      <w:pPr>
        <w:pStyle w:val="BodyText"/>
      </w:pPr>
      <w:r>
        <w:t>512.</w:t>
      </w:r>
      <w:r>
        <w:tab/>
      </w:r>
      <w:r>
        <w:rPr>
          <w:color w:val="000000"/>
        </w:rPr>
        <w:t>В осуществлении программ охраны здоровья женщин и детей Министерство здравоохранения постоянно сотрудничает с Федерацией кубинских женщин и ее активистками; в настоящее время санитарные бригады, работающие с населением, насчитывают 76 058 членов.</w:t>
      </w:r>
    </w:p>
    <w:p w:rsidR="00000000" w:rsidRDefault="00000000">
      <w:pPr>
        <w:pStyle w:val="BodyText"/>
      </w:pPr>
      <w:r>
        <w:t>513.</w:t>
      </w:r>
      <w:r>
        <w:tab/>
        <w:t xml:space="preserve">Центрами организации важной работы с девушками-подростками и пожилыми женщинами являются </w:t>
      </w:r>
      <w:r>
        <w:rPr>
          <w:color w:val="000000"/>
        </w:rPr>
        <w:t>Национальный, провинциальные, муниципальные и поселковые советы по здравоохранению, консультационные центры ФКЖ по проблемам женщин и семьи. Межведомственная координация, позволяющая провести анализ ситуации в сфере здравоохранения и принять решения, предусматривающие повышение ответственности человека и семьи, способствует привлечению общественности и оптимальному использованию ресурсов и дает иные значимые в экономическом, социальном и медицинском отношении результаты.</w:t>
      </w:r>
    </w:p>
    <w:p w:rsidR="00000000" w:rsidRDefault="00000000">
      <w:pPr>
        <w:pStyle w:val="BodyText"/>
      </w:pPr>
      <w:r>
        <w:t>514.</w:t>
      </w:r>
      <w:r>
        <w:tab/>
      </w:r>
      <w:r>
        <w:rPr>
          <w:color w:val="000000"/>
        </w:rPr>
        <w:t>В связи с этим все большее значение приобретает роль движения "Муниципалитеты за здоровье, или здоровые общины", созданного с пропагандистской и профилактической целью и действующего на уровне школы, ради которой и создавалась эта кубинская сеть.</w:t>
      </w:r>
      <w:r>
        <w:t xml:space="preserve"> </w:t>
      </w:r>
    </w:p>
    <w:p w:rsidR="00000000" w:rsidRDefault="00000000">
      <w:pPr>
        <w:pStyle w:val="BodyText"/>
      </w:pPr>
      <w:r>
        <w:t>515.</w:t>
      </w:r>
      <w:r>
        <w:tab/>
      </w:r>
      <w:r>
        <w:rPr>
          <w:color w:val="000000"/>
        </w:rPr>
        <w:t>Оказание систематической помощи беременным включает контроль за их состоянием путем консультирования на уровне первичной помощи семейным врачом и медсестрой с момента зачатия. Постоянное наблюдение за беременной ведут специалисты по гинекологии и родовспоможению. Каждая бер</w:t>
      </w:r>
      <w:r>
        <w:rPr>
          <w:color w:val="000000"/>
        </w:rPr>
        <w:t>е</w:t>
      </w:r>
      <w:r>
        <w:rPr>
          <w:color w:val="000000"/>
        </w:rPr>
        <w:t>менная женщина получает в среднем десять и более консультаций, причем используется индив</w:t>
      </w:r>
      <w:r>
        <w:rPr>
          <w:color w:val="000000"/>
        </w:rPr>
        <w:t>и</w:t>
      </w:r>
      <w:r>
        <w:rPr>
          <w:color w:val="000000"/>
        </w:rPr>
        <w:t xml:space="preserve">дуальный подход с учетом факторов риска для каждой беременной; проводятся также анализ качества питания, генетических рисков и осмотр стоматологом. </w:t>
      </w:r>
    </w:p>
    <w:p w:rsidR="00000000" w:rsidRDefault="00000000">
      <w:pPr>
        <w:pStyle w:val="BodyText"/>
      </w:pPr>
      <w:r>
        <w:t>516.</w:t>
      </w:r>
      <w:r>
        <w:tab/>
        <w:t xml:space="preserve">Действующие в общинах центры будущих матерей по своей структуре и функциям представляют собой жилые дома, где беременные могут получить дополнительное питание, находиться вблизи больниц, отдохнуть и/или пройти амбулаторное лечение; кроме того, здесь женщины получают необходимый уход, а акушеры ведут наблюдение за протеканием их беременности. </w:t>
      </w:r>
    </w:p>
    <w:p w:rsidR="00000000" w:rsidRDefault="00000000">
      <w:pPr>
        <w:pStyle w:val="BodyText"/>
      </w:pPr>
      <w:r>
        <w:t>517.</w:t>
      </w:r>
      <w:r>
        <w:tab/>
        <w:t xml:space="preserve">Беременные с факторами риска поступают в акушерско-гинекологические больницы, где им оказывается медицинская помощь, а в случае необходимости проводится соответствующее лечение. </w:t>
      </w:r>
    </w:p>
    <w:p w:rsidR="00000000" w:rsidRDefault="00000000">
      <w:pPr>
        <w:pStyle w:val="BodyText"/>
      </w:pPr>
      <w:r>
        <w:t>518.</w:t>
      </w:r>
      <w:r>
        <w:tab/>
        <w:t xml:space="preserve">В стране существуют 267 центров будущих матерей, которые в 2002 году посетили 60 054 беременных, то есть на каждые 100 рождений приходится 42,5 посещений. Это позволило значительно снизить </w:t>
      </w:r>
      <w:r>
        <w:rPr>
          <w:color w:val="000000"/>
        </w:rPr>
        <w:t>показатель детей с малым весом при рождении, который составил 5,8.</w:t>
      </w:r>
    </w:p>
    <w:p w:rsidR="00000000" w:rsidRDefault="00000000">
      <w:pPr>
        <w:pStyle w:val="BodyText"/>
      </w:pPr>
      <w:r>
        <w:t>519.</w:t>
      </w:r>
      <w:r>
        <w:tab/>
        <w:t xml:space="preserve">В дополнение к сказанному следует упомянуть </w:t>
      </w:r>
      <w:r>
        <w:rPr>
          <w:color w:val="000000"/>
        </w:rPr>
        <w:t>обширную программу генетических исследований для наблюдения за состоянием женщины и плода в дородовый период с помощью самых современных средств, что позволяет выявлять аномалии на ранних этапах беременности. Одно из направлений данной программы – выявление порока сердца, дефектов медуллярной трубки, синдрома Дауна и серповидной анемии.</w:t>
      </w:r>
    </w:p>
    <w:p w:rsidR="00000000" w:rsidRDefault="00000000">
      <w:pPr>
        <w:pStyle w:val="BodyText"/>
      </w:pPr>
      <w:r>
        <w:t>520.</w:t>
      </w:r>
      <w:r>
        <w:tab/>
        <w:t xml:space="preserve">Каждая женщина с нормальным протеканием беременности проходит в среднем десять осмотров у своего семейного врача, в том числе три промежуточные консультации у </w:t>
      </w:r>
      <w:r>
        <w:rPr>
          <w:color w:val="000000"/>
        </w:rPr>
        <w:t xml:space="preserve">специалистов по гинекологии и родовспоможению; кроме того, каждый триместр она проходит необходимое дополнительное обследование; вместе с мужем сдает анализы на ВИЧ и серологию, анализы на электрофорез гемоглобина, на альфа-фето-протеины, </w:t>
      </w:r>
      <w:r>
        <w:t xml:space="preserve">проходит ультразвуковое обследование для выявления генетических отклонений и анализ на поверхностные антигены. Все беременные проходят обследование у стоматолога. </w:t>
      </w:r>
    </w:p>
    <w:p w:rsidR="00000000" w:rsidRDefault="00000000">
      <w:pPr>
        <w:pStyle w:val="BodyText"/>
      </w:pPr>
      <w:r>
        <w:t>521.</w:t>
      </w:r>
      <w:r>
        <w:tab/>
        <w:t xml:space="preserve">Действует Программа профилактики малокровия, в рамках которой беременным бесплатно предоставляются помимо </w:t>
      </w:r>
      <w:r>
        <w:rPr>
          <w:color w:val="000000"/>
        </w:rPr>
        <w:t xml:space="preserve">железосодержащих препаратов диетическое питание и витамины. В случае если имеют место проблемы с питанием или если женщины нуждаются в продовольственной помощи, они могут обращаться в центры будущих матерей или просто в определенные часы получать питание в общественных столовых. Кроме того, специалисты по питанию проводят для них консультации и контролируют правильность их питания. </w:t>
      </w:r>
    </w:p>
    <w:p w:rsidR="00000000" w:rsidRDefault="00000000">
      <w:pPr>
        <w:pStyle w:val="BodyText"/>
      </w:pPr>
      <w:r>
        <w:t>522.</w:t>
      </w:r>
      <w:r>
        <w:tab/>
        <w:t xml:space="preserve">К этому следует добавить специализированную высококвалифицированную помощь, которая оказывается детям в центрах интенсивной педиатрической помощи, услуги сердечно-сосудистой хирургии, помощь врачей-нефрологов, онкологов, педиатров, программы раннего выявления </w:t>
      </w:r>
      <w:r>
        <w:rPr>
          <w:color w:val="000000"/>
        </w:rPr>
        <w:t xml:space="preserve">нарушения обмена фениламина, врожденного гипотериоза, а также дефектов слуха и глухоты, слабого зрения и прочих проблем. </w:t>
      </w:r>
    </w:p>
    <w:p w:rsidR="00000000" w:rsidRDefault="00000000">
      <w:pPr>
        <w:pStyle w:val="BodyText"/>
      </w:pPr>
      <w:r>
        <w:t>523.</w:t>
      </w:r>
      <w:r>
        <w:tab/>
      </w:r>
      <w:r>
        <w:rPr>
          <w:color w:val="000000"/>
        </w:rPr>
        <w:t>Доля родов в стационарных учреждениях и с участием квалифицированного персонала превышает 99,8 процента</w:t>
      </w:r>
      <w:r>
        <w:t xml:space="preserve">. </w:t>
      </w:r>
    </w:p>
    <w:p w:rsidR="00000000" w:rsidRDefault="00000000">
      <w:pPr>
        <w:pStyle w:val="BodyText"/>
      </w:pPr>
      <w:r>
        <w:t>524.</w:t>
      </w:r>
      <w:r>
        <w:tab/>
      </w:r>
      <w:r>
        <w:rPr>
          <w:color w:val="000000"/>
        </w:rPr>
        <w:t>Одним из приоритетных направлений деятельности национальной системы здравоохранения, а также участвующих в ней неправительственных организаций является Программа грудного вскармливания, нацеленная на пропаганду исключительно грудного вскармливания по меньшей мере до четырех месяцев жизни младенца. С этой целью в местных больницах и консультациях получило развитие массовое движение "Друзья матери и ребенка". В 2002 году доля кормящих грудью матерей при выписке из больницы составила 98,4 процента.</w:t>
      </w:r>
    </w:p>
    <w:p w:rsidR="00000000" w:rsidRDefault="00000000">
      <w:pPr>
        <w:pStyle w:val="BodyText"/>
      </w:pPr>
      <w:r>
        <w:t>525.</w:t>
      </w:r>
      <w:r>
        <w:tab/>
      </w:r>
      <w:r>
        <w:rPr>
          <w:color w:val="000000"/>
        </w:rPr>
        <w:t xml:space="preserve">Разработаны и изданы методические указания по комплексной реализации программы "Сознательное материнство и отцовство" и базовый курс "Психофизическая подготовка к родам". Подготовка этих материалов является результатом объединения усилий Министерства здравоохранения и Федерации кубинских женщин, направленных на то, чтобы лучше подготовить женщин, супружеские пары и семьи к оказанию помощи женщине и уходу за ней во время беременности, родов, в послеродовой период, во время кормления грудью, а также в уходе за ребенком и воспитании детей. </w:t>
      </w:r>
    </w:p>
    <w:p w:rsidR="00000000" w:rsidRDefault="00000000">
      <w:pPr>
        <w:pStyle w:val="BodyText"/>
      </w:pPr>
      <w:r>
        <w:t>526.</w:t>
      </w:r>
      <w:r>
        <w:tab/>
      </w:r>
      <w:r>
        <w:rPr>
          <w:color w:val="000000"/>
        </w:rPr>
        <w:t>Приоритетное внимание уделяется таким проблемам репродуктивного здоровья, как желательная и нежелательная беременность, способность к репродукции, аборты, детская и материнская смертность, а также заболевания, передаваемые половым путем, в том числе СПИД. Существующая стратегия направлена на совершенствование сексуального, гигиенического и семейного воспитания, которым занимаются органы здравоохранения, просвещения, Федерация кубинских женщин, молодежные организ</w:t>
      </w:r>
      <w:r>
        <w:rPr>
          <w:color w:val="000000"/>
        </w:rPr>
        <w:t>а</w:t>
      </w:r>
      <w:r>
        <w:rPr>
          <w:color w:val="000000"/>
        </w:rPr>
        <w:t>ции и все общество в целом.</w:t>
      </w:r>
      <w:r>
        <w:t xml:space="preserve"> </w:t>
      </w:r>
    </w:p>
    <w:p w:rsidR="00000000" w:rsidRDefault="00000000">
      <w:pPr>
        <w:pStyle w:val="BodyText"/>
      </w:pPr>
      <w:r>
        <w:t>527.</w:t>
      </w:r>
      <w:r>
        <w:tab/>
      </w:r>
      <w:r>
        <w:rPr>
          <w:color w:val="000000"/>
        </w:rPr>
        <w:t>Ведется работа по дальнейшему уменьшению числа случаев подростковой беременности, и, как и до сих пор, оказывается квалифицированная и специализированная помощь беременным подросткам.</w:t>
      </w:r>
      <w:r>
        <w:t xml:space="preserve"> </w:t>
      </w:r>
    </w:p>
    <w:p w:rsidR="00000000" w:rsidRDefault="00000000">
      <w:pPr>
        <w:pStyle w:val="BodyText"/>
      </w:pPr>
      <w:r>
        <w:t>528.</w:t>
      </w:r>
      <w:r>
        <w:tab/>
      </w:r>
      <w:r>
        <w:rPr>
          <w:color w:val="000000"/>
        </w:rPr>
        <w:t xml:space="preserve">В целях совершенствования специализированной помощи девушкам-подросткам были опубликованы методические рекомендации и созданы специальные службы детской и подростковой гинекологической помощи. </w:t>
      </w:r>
    </w:p>
    <w:p w:rsidR="00000000" w:rsidRDefault="00000000">
      <w:pPr>
        <w:pStyle w:val="BodyText"/>
      </w:pPr>
      <w:r>
        <w:t>529.</w:t>
      </w:r>
      <w:r>
        <w:tab/>
      </w:r>
      <w:r>
        <w:rPr>
          <w:color w:val="000000"/>
        </w:rPr>
        <w:t>Государство осуществляет комплекс мер по выработке критериев планирования размера семьи с целью обеспечения прав, а также сексуального и репродуктивного здоровья женщин. Выполнение Национальной программы возложено на Министерство здравоохранения при содействии Национального центра по вопросам полового воспитания и Кубинского общества по развитию семьи.</w:t>
      </w:r>
      <w:r>
        <w:t xml:space="preserve"> </w:t>
      </w:r>
    </w:p>
    <w:p w:rsidR="00000000" w:rsidRDefault="00000000">
      <w:pPr>
        <w:pStyle w:val="BodyText"/>
      </w:pPr>
      <w:r>
        <w:t>530.</w:t>
      </w:r>
      <w:r>
        <w:tab/>
      </w:r>
      <w:r>
        <w:rPr>
          <w:color w:val="000000"/>
        </w:rPr>
        <w:t>Кубинское общество планирования размера семьи имеет свои отделения во всех провинциях, муниципалитетах и поликлиниках и бесплатно обслуживает всех нуждающихся, включая проживающих в самых труднодоступных уголках страны.</w:t>
      </w:r>
    </w:p>
    <w:p w:rsidR="00000000" w:rsidRDefault="00000000">
      <w:pPr>
        <w:pStyle w:val="BodyText"/>
      </w:pPr>
      <w:r>
        <w:t>531.</w:t>
      </w:r>
      <w:r>
        <w:tab/>
      </w:r>
      <w:r>
        <w:rPr>
          <w:color w:val="000000"/>
        </w:rPr>
        <w:t>Блокада, осуществляемая правительством Соединенных Штатов, представляет собой серьезное пр</w:t>
      </w:r>
      <w:r>
        <w:rPr>
          <w:color w:val="000000"/>
        </w:rPr>
        <w:t>е</w:t>
      </w:r>
      <w:r>
        <w:rPr>
          <w:color w:val="000000"/>
        </w:rPr>
        <w:t>пятствие в приобретении соответствующей продукции, производимой или запатентованной в этой стране. В н</w:t>
      </w:r>
      <w:r>
        <w:rPr>
          <w:color w:val="000000"/>
        </w:rPr>
        <w:t>а</w:t>
      </w:r>
      <w:r>
        <w:rPr>
          <w:color w:val="000000"/>
        </w:rPr>
        <w:t xml:space="preserve">стоящее время система здравоохранения Кубы располагает различными видами внутриматочных спиралей (ВМС) и оральных контрацептивов, хотя их количество и доступность оставляют желать лучшего. ВМС устанавливаются бесплатно, а остальные средства дотируются государством и продаются по умеренным ценам. В 2001 году были поставлены </w:t>
      </w:r>
      <w:r>
        <w:t>154 811</w:t>
      </w:r>
      <w:r>
        <w:rPr>
          <w:color w:val="000000"/>
        </w:rPr>
        <w:t xml:space="preserve"> ВМС</w:t>
      </w:r>
      <w:r>
        <w:t>, а в 2002 году – 156 064</w:t>
      </w:r>
      <w:r>
        <w:rPr>
          <w:color w:val="000000"/>
        </w:rPr>
        <w:t>.</w:t>
      </w:r>
      <w:r>
        <w:t xml:space="preserve"> </w:t>
      </w:r>
    </w:p>
    <w:p w:rsidR="00000000" w:rsidRDefault="00000000">
      <w:pPr>
        <w:pStyle w:val="BodyText"/>
      </w:pPr>
      <w:r>
        <w:t>532.</w:t>
      </w:r>
      <w:r>
        <w:tab/>
        <w:t xml:space="preserve">Ситуация с обеспечением надежными противозачаточными средствами несколько улучшилась. В 2001 году ими пользовались 78 процентов женщин, ведущих половую жизнь. Недостатком является то, что 69 процентов этих средств контрацепции приходится на ВМС, поскольку мы не располагаем широкой гаммой гормональных, а также других современных противозачаточных средств. В 2000 году причиной 26 процентов абортов стала ненадежность ВМС. Ощущается также недостаток презервативов. </w:t>
      </w:r>
    </w:p>
    <w:p w:rsidR="00000000" w:rsidRDefault="00000000">
      <w:pPr>
        <w:pStyle w:val="BodyText"/>
      </w:pPr>
      <w:r>
        <w:t>533.</w:t>
      </w:r>
      <w:r>
        <w:tab/>
        <w:t xml:space="preserve">С учетом выраженного </w:t>
      </w:r>
      <w:r>
        <w:rPr>
          <w:color w:val="000000"/>
        </w:rPr>
        <w:t xml:space="preserve">Федерацией кубинских женщин беспокойства и в качестве меры, направленной на снижение уровня материнской смертности при абортах, с 1965 года обеспечиваются возможности для проведения абортов в стационарах, что открыло для женщин еще один путь к реализации их прав. Женщины имеют право на аборт до </w:t>
      </w:r>
      <w:r>
        <w:rPr>
          <w:color w:val="000000"/>
        </w:rPr>
        <w:br/>
        <w:t xml:space="preserve">10-й недели беременности включительно, причем эта операция осуществляется бесплатно и по требованию и с согласия самой женщины. </w:t>
      </w:r>
    </w:p>
    <w:p w:rsidR="00000000" w:rsidRDefault="00000000">
      <w:pPr>
        <w:pStyle w:val="BodyText"/>
      </w:pPr>
      <w:r>
        <w:t>534.</w:t>
      </w:r>
      <w:r>
        <w:tab/>
        <w:t xml:space="preserve">Целью кубинского правительства была и остается работа с супружескими парами, и прежде всего с женщинами, с тем чтобы повысить уровень репродуктивного здоровья населения и предоставить все возможности для планирования размера семьи, ликвидировав тем самым необходимость прибегать к абортам как к обычному средству прерывания нежелательной беременности. </w:t>
      </w:r>
    </w:p>
    <w:p w:rsidR="00000000" w:rsidRDefault="00000000">
      <w:pPr>
        <w:pStyle w:val="BodyText"/>
      </w:pPr>
      <w:r>
        <w:t>535.</w:t>
      </w:r>
      <w:r>
        <w:tab/>
      </w:r>
      <w:r>
        <w:rPr>
          <w:color w:val="000000"/>
        </w:rPr>
        <w:t xml:space="preserve">В основе политики в отношении абортов лежит принцип поддержки планирования размера семьи и использования противозачаточных средств, что позволяет женщине и ее партнеру принять решение о числе детей и о наиболее подходящем и желательном моменте зачатия. Населению предоставляется информация о рисках, сопряженных с абортами, однако последние рассматриваются как возможные, если того желает сама женщина; при этом подчеркивается необходимость соблюдать устоявшиеся этические требования. </w:t>
      </w:r>
    </w:p>
    <w:p w:rsidR="00000000" w:rsidRDefault="00000000">
      <w:pPr>
        <w:pStyle w:val="BodyText"/>
      </w:pPr>
      <w:r>
        <w:t>536.</w:t>
      </w:r>
      <w:r>
        <w:tab/>
      </w:r>
      <w:r>
        <w:rPr>
          <w:color w:val="000000"/>
        </w:rPr>
        <w:t>Стратегия в этой области направлена на снижение числа неоправданных абортов; она включает специальные программы, цель которых – помочь избежать нежелательной беременности, способс</w:t>
      </w:r>
      <w:r>
        <w:rPr>
          <w:color w:val="000000"/>
        </w:rPr>
        <w:t>т</w:t>
      </w:r>
      <w:r>
        <w:rPr>
          <w:color w:val="000000"/>
        </w:rPr>
        <w:t>вовать эффективному и последовательному применению контрацептивов, а также пропагандировать безопасный секс.</w:t>
      </w:r>
    </w:p>
    <w:p w:rsidR="00000000" w:rsidRDefault="00000000">
      <w:pPr>
        <w:pStyle w:val="BodyText"/>
      </w:pPr>
      <w:r>
        <w:t>537.</w:t>
      </w:r>
      <w:r>
        <w:tab/>
      </w:r>
      <w:r>
        <w:rPr>
          <w:color w:val="000000"/>
        </w:rPr>
        <w:t xml:space="preserve">Аборты производятся в медицинских учреждениях вторичного уровня, где этот вид помощи оказывается надлежащим образом. Число абортов за последние годы снизилось, хотя и не в той степени, в какой хотелось бы. </w:t>
      </w:r>
    </w:p>
    <w:p w:rsidR="00000000" w:rsidRDefault="00000000">
      <w:pPr>
        <w:pStyle w:val="BodyText"/>
      </w:pPr>
      <w:r>
        <w:t>538.</w:t>
      </w:r>
      <w:r>
        <w:tab/>
        <w:t>Что касается данных за последние 30 лет о числе абортов на каждую 1000 женщин в возрасте от 12 до 49 лет, то самый высокий их уровень наблюдался в первые два десятилетия (1975 год – 57,4, 1985 год – 55,0), причем максимум приходился на середину каждого десятилетия, а к его концу показатели несколько снижались; с 1990 года (45,6) наблюдается четко выраженная тенденция к снижению этого показателя, который в 1995 году составлял 25,6, а к 2001 году снизился до 21,2.</w:t>
      </w:r>
    </w:p>
    <w:p w:rsidR="00000000" w:rsidRDefault="00000000">
      <w:pPr>
        <w:pStyle w:val="BodyText"/>
      </w:pPr>
      <w:r>
        <w:t>539.</w:t>
      </w:r>
      <w:r>
        <w:tab/>
        <w:t xml:space="preserve">Использование абортов как способа регулирования деторождения является укоренившейся практикой в кубинской семье, которой присущи традиционные черты, передающиеся из поколения в поколение. Этим можно объяснить тот факт, что подобный метод продолжает использоваться, несмотря на очевидные достижения в реализации программ планирования размера семьи, пропаганду и широкое использование контрацептивов и существенное повышение образовательного уровня населения, и особенно женщин, а также все более широкое участие женщин в жизни общества. </w:t>
      </w:r>
    </w:p>
    <w:p w:rsidR="00000000" w:rsidRDefault="00000000">
      <w:pPr>
        <w:pStyle w:val="BodyText"/>
      </w:pPr>
      <w:r>
        <w:t>540.</w:t>
      </w:r>
      <w:r>
        <w:tab/>
        <w:t>Сохранение практики абортов свидетельствует о не вполне ответственном отношении к этому методу, что, возможно, обусловлено тем, что доступность, в случае необходимости, аборта не позволяет в полной мере осознать преимущества планирования размера семьи, а также восприятием абортов в обществе, которое не осуждает их с точки зрения религии, культуры или с иных позиций.</w:t>
      </w:r>
    </w:p>
    <w:p w:rsidR="00000000" w:rsidRDefault="00000000">
      <w:pPr>
        <w:pStyle w:val="BodyText"/>
      </w:pPr>
      <w:r>
        <w:t>541.</w:t>
      </w:r>
      <w:r>
        <w:tab/>
      </w:r>
      <w:r>
        <w:rPr>
          <w:color w:val="000000"/>
        </w:rPr>
        <w:t>Одним из направлений улучшения репродуктивного здоровья является наблюдение за мужчинами начиная с детского возраста, а также в подростковом и зрелом возрасте с целью решения проблем биологического, психологического или социального характера, затрагивающих будущий репродукти</w:t>
      </w:r>
      <w:r>
        <w:rPr>
          <w:color w:val="000000"/>
        </w:rPr>
        <w:t>в</w:t>
      </w:r>
      <w:r>
        <w:rPr>
          <w:color w:val="000000"/>
        </w:rPr>
        <w:t>ный процесс, или для оказания соответствующей медицинской помощи.</w:t>
      </w:r>
      <w:r>
        <w:t xml:space="preserve"> </w:t>
      </w:r>
    </w:p>
    <w:p w:rsidR="00000000" w:rsidRDefault="00000000">
      <w:pPr>
        <w:pStyle w:val="BodyText"/>
      </w:pPr>
      <w:r>
        <w:t>542.</w:t>
      </w:r>
      <w:r>
        <w:tab/>
      </w:r>
      <w:r>
        <w:rPr>
          <w:color w:val="000000"/>
        </w:rPr>
        <w:t>Мужчины также непосредс</w:t>
      </w:r>
      <w:r>
        <w:rPr>
          <w:color w:val="000000"/>
        </w:rPr>
        <w:t>т</w:t>
      </w:r>
      <w:r>
        <w:rPr>
          <w:color w:val="000000"/>
        </w:rPr>
        <w:t>венно участвуют в принятии решений, касающихся планирования размера семьи, они имеют пр</w:t>
      </w:r>
      <w:r>
        <w:rPr>
          <w:color w:val="000000"/>
        </w:rPr>
        <w:t>а</w:t>
      </w:r>
      <w:r>
        <w:rPr>
          <w:color w:val="000000"/>
        </w:rPr>
        <w:t xml:space="preserve">во на операции по вазэктомии и доступ к ним, а также к принятию решений в вопросах, касающихся их репродуктивных способностей и терапевтического вмешательства в соответствии с особенностями каждого отдельного случая. </w:t>
      </w:r>
    </w:p>
    <w:p w:rsidR="00000000" w:rsidRDefault="00000000">
      <w:pPr>
        <w:pStyle w:val="BodyText"/>
      </w:pPr>
      <w:r>
        <w:t>543.</w:t>
      </w:r>
      <w:r>
        <w:tab/>
      </w:r>
      <w:r>
        <w:rPr>
          <w:color w:val="000000"/>
        </w:rPr>
        <w:t>Другими программами, касающимися сексуального и репродуктивного здоровья подростков, являются программы в области планирования размера семьи, осуществляемые в больницах, поликлиниках, на уровне первичной медицинской помощи и в рамках национальной программы по вопросам полового воспитания. Эта программа была принята вследствие особой обеспокоенности Федерации кубинских женщин проблемами подростков и молодежи, а также ввиду наличия серьезных предрассудков, препятствующих проведению бесед на темы сексуальных отношений, и необходимости ведения соответствующей работы с родителями, семьями и учителями.</w:t>
      </w:r>
    </w:p>
    <w:p w:rsidR="00000000" w:rsidRDefault="00000000">
      <w:pPr>
        <w:pStyle w:val="BodyText"/>
      </w:pPr>
      <w:r>
        <w:t>544.</w:t>
      </w:r>
      <w:r>
        <w:tab/>
      </w:r>
      <w:r>
        <w:rPr>
          <w:color w:val="000000"/>
        </w:rPr>
        <w:t>С этой целью был создан Национальный центр по вопросам полового воспитания, деятельность которого носит многопрофильный и междисциплинарный характер. В нем работают специалисты в разных областях знаний. Центр проводит большую работу по подготовке пропагандистов и материалов, предназначенных для разных возрастных групп. Ведется работа по усовершенствованию и практич</w:t>
      </w:r>
      <w:r>
        <w:rPr>
          <w:color w:val="000000"/>
        </w:rPr>
        <w:t>е</w:t>
      </w:r>
      <w:r>
        <w:rPr>
          <w:color w:val="000000"/>
        </w:rPr>
        <w:t>скому применению программ, направленных на внедрение модели ответственного сексуального пов</w:t>
      </w:r>
      <w:r>
        <w:rPr>
          <w:color w:val="000000"/>
        </w:rPr>
        <w:t>е</w:t>
      </w:r>
      <w:r>
        <w:rPr>
          <w:color w:val="000000"/>
        </w:rPr>
        <w:t>дения на основе повышения уровня знаний в соответствующих вопросах и исходя из морально-этических ценностей.</w:t>
      </w:r>
      <w:r>
        <w:t xml:space="preserve"> </w:t>
      </w:r>
    </w:p>
    <w:p w:rsidR="00000000" w:rsidRDefault="00000000">
      <w:pPr>
        <w:pStyle w:val="BodyText"/>
        <w:rPr>
          <w:i/>
        </w:rPr>
      </w:pPr>
      <w:r>
        <w:rPr>
          <w:i/>
        </w:rPr>
        <w:t xml:space="preserve">Гинекологический рак </w:t>
      </w:r>
    </w:p>
    <w:p w:rsidR="00000000" w:rsidRDefault="00000000">
      <w:pPr>
        <w:pStyle w:val="BodyText"/>
      </w:pPr>
      <w:r>
        <w:t>545.</w:t>
      </w:r>
      <w:r>
        <w:tab/>
      </w:r>
      <w:r>
        <w:rPr>
          <w:color w:val="000000"/>
        </w:rPr>
        <w:t>Осуществляются и другие программы, направленные на охрану здоровья женщин, в которых особое внимание уделяется ответственности и чувству самосохранения. В рамках этих программ ведется работа со всей семьей. Одной из целей этих программ является предотвращение рака молочной железы и шейки матки. Ведется работа по изучению факторов риска, учитывая необходимость выявления этих заболеваний на ранней стадии.</w:t>
      </w:r>
    </w:p>
    <w:p w:rsidR="00000000" w:rsidRDefault="00000000">
      <w:pPr>
        <w:pStyle w:val="BodyText"/>
      </w:pPr>
      <w:r>
        <w:t>546.</w:t>
      </w:r>
      <w:r>
        <w:tab/>
      </w:r>
      <w:r>
        <w:rPr>
          <w:color w:val="000000"/>
        </w:rPr>
        <w:t>С 1964 года на Кубе функционирует Национальная служба по выявлению раковых заболеваний, а в 1967 году было начато осуществление программы выявления рака шейки матки. Для ранней диагн</w:t>
      </w:r>
      <w:r>
        <w:rPr>
          <w:color w:val="000000"/>
        </w:rPr>
        <w:t>о</w:t>
      </w:r>
      <w:r>
        <w:rPr>
          <w:color w:val="000000"/>
        </w:rPr>
        <w:t xml:space="preserve">стики этого заболевания каждые три года у женщин старше 25 лет берутся цитологические анализы. В 2001 году было обследовано </w:t>
      </w:r>
      <w:r>
        <w:t>710 717 женщин (195 процентов), а в 2002 году – 840 182 женщины (226,5 процента)</w:t>
      </w:r>
      <w:r>
        <w:rPr>
          <w:color w:val="000000"/>
        </w:rPr>
        <w:t xml:space="preserve"> (показатель на 1000 женщин старше 25 лет).</w:t>
      </w:r>
      <w:r>
        <w:t xml:space="preserve"> </w:t>
      </w:r>
    </w:p>
    <w:p w:rsidR="00000000" w:rsidRDefault="00000000">
      <w:pPr>
        <w:pStyle w:val="BodyText"/>
      </w:pPr>
      <w:r>
        <w:t>547.</w:t>
      </w:r>
      <w:r>
        <w:tab/>
      </w:r>
      <w:r>
        <w:rPr>
          <w:color w:val="000000"/>
        </w:rPr>
        <w:t>В 1987 году начато осуществление Национальной программы сокращения смертности от рака и усилен контроль в области диагностики рака молочной железы. Работа направлена на то, чтобы женщины периодически проводили самообследование молочных желез, а женщины старше 30 лет ежегодно проходили клиническое обследование семейным врачом и, при необходимости, маммографическое исследование. Особое внимание уделяется женщинам в возрасте от 50 до 64 лет.</w:t>
      </w:r>
    </w:p>
    <w:p w:rsidR="00000000" w:rsidRDefault="00000000">
      <w:pPr>
        <w:pStyle w:val="BodyText"/>
      </w:pPr>
      <w:r>
        <w:t>548.</w:t>
      </w:r>
      <w:r>
        <w:tab/>
        <w:t xml:space="preserve">В настоящее время происходит расширение масштабов программы, в рамках которой постепенно, с учетом больших финансовых затрат, идет замена устаревшего оборудования для рентгена молочной железы по всей территории страны. При этом ставится цель предотвратить распространение этого заболевания и снизить факторы риска. </w:t>
      </w:r>
    </w:p>
    <w:p w:rsidR="00000000" w:rsidRDefault="00000000">
      <w:pPr>
        <w:pStyle w:val="BodyText"/>
      </w:pPr>
      <w:r>
        <w:t>549.</w:t>
      </w:r>
      <w:r>
        <w:tab/>
      </w:r>
      <w:r>
        <w:rPr>
          <w:color w:val="000000"/>
        </w:rPr>
        <w:t>Рак молочной железы является на Кубе основной причиной смерти женщин от злокачественных опухолей. В 2002 году уровень смертности составил 19,9 на 100 тыс. женщин, тогда как среднемировой уровень составил, соответственно, в 1999 году 34,8, а в 2000 году – 30,0 на 100 тыс. женщин.</w:t>
      </w:r>
      <w:r>
        <w:t xml:space="preserve"> </w:t>
      </w:r>
    </w:p>
    <w:p w:rsidR="00000000" w:rsidRDefault="00000000">
      <w:pPr>
        <w:pStyle w:val="BodyText"/>
      </w:pPr>
      <w:r>
        <w:t>550.</w:t>
      </w:r>
      <w:r>
        <w:tab/>
      </w:r>
      <w:r>
        <w:rPr>
          <w:color w:val="000000"/>
        </w:rPr>
        <w:t>Что же касается предупреждения, раннего выявления, лечения и реабилитации, то женщины получают медицинскую помощь семейного врача и медицинской сестры, акушеров-гинекологов, мастопатологов и психологов на всех уровнях медицинского обслуживания, причем эта помощь оказывается бесплатно и охватывает всех входящих в группу риска.</w:t>
      </w:r>
    </w:p>
    <w:p w:rsidR="00000000" w:rsidRDefault="00000000">
      <w:pPr>
        <w:pStyle w:val="BodyText"/>
        <w:rPr>
          <w:i/>
        </w:rPr>
      </w:pPr>
      <w:r>
        <w:rPr>
          <w:i/>
        </w:rPr>
        <w:t xml:space="preserve">Социальное обеспечение </w:t>
      </w:r>
    </w:p>
    <w:p w:rsidR="00000000" w:rsidRDefault="00000000">
      <w:pPr>
        <w:pStyle w:val="BodyText"/>
      </w:pPr>
      <w:r>
        <w:t>551.</w:t>
      </w:r>
      <w:r>
        <w:tab/>
      </w:r>
      <w:r>
        <w:rPr>
          <w:color w:val="000000"/>
        </w:rPr>
        <w:t>Такие группы пациентов, как больные СПИДом и ВИЧ-инфицированные, больные легочным туберк</w:t>
      </w:r>
      <w:r>
        <w:rPr>
          <w:color w:val="000000"/>
        </w:rPr>
        <w:t>у</w:t>
      </w:r>
      <w:r>
        <w:rPr>
          <w:color w:val="000000"/>
        </w:rPr>
        <w:t>лезом, страдающие профессиональными заболеваниями, дети с острой диареей, дети, нуждающиеся в вакцинации, все лекарственные препараты получают бесплатно.</w:t>
      </w:r>
    </w:p>
    <w:p w:rsidR="00000000" w:rsidRDefault="00000000">
      <w:pPr>
        <w:pStyle w:val="BodyText"/>
      </w:pPr>
      <w:r>
        <w:t>552.</w:t>
      </w:r>
      <w:r>
        <w:tab/>
      </w:r>
      <w:r>
        <w:rPr>
          <w:color w:val="000000"/>
        </w:rPr>
        <w:t>Если кто-либо остро нуждается в медикаментозном лечении, но имеет крайне низкие доходы или его материальное положение не позволяет приобрести необходимые лекарства, то через систему социального обеспечения предоставляются соответс</w:t>
      </w:r>
      <w:r>
        <w:rPr>
          <w:color w:val="000000"/>
        </w:rPr>
        <w:t>т</w:t>
      </w:r>
      <w:r>
        <w:rPr>
          <w:color w:val="000000"/>
        </w:rPr>
        <w:t>вующие субсидии.</w:t>
      </w:r>
      <w:r>
        <w:t xml:space="preserve"> </w:t>
      </w:r>
    </w:p>
    <w:p w:rsidR="00000000" w:rsidRDefault="00000000">
      <w:pPr>
        <w:pStyle w:val="BodyText"/>
      </w:pPr>
      <w:r>
        <w:t>553.</w:t>
      </w:r>
      <w:r>
        <w:tab/>
      </w:r>
      <w:r>
        <w:rPr>
          <w:color w:val="000000"/>
        </w:rPr>
        <w:t>В 1999 году бюджет системы социального обеспечения Кубы составил 1592 млн. песо. На Министерс</w:t>
      </w:r>
      <w:r>
        <w:rPr>
          <w:color w:val="000000"/>
        </w:rPr>
        <w:t>т</w:t>
      </w:r>
      <w:r>
        <w:rPr>
          <w:color w:val="000000"/>
        </w:rPr>
        <w:t>во труда и социального обеспечения возложено руководство государственной политикой в этой обла</w:t>
      </w:r>
      <w:r>
        <w:rPr>
          <w:color w:val="000000"/>
        </w:rPr>
        <w:t>с</w:t>
      </w:r>
      <w:r>
        <w:rPr>
          <w:color w:val="000000"/>
        </w:rPr>
        <w:t>ти, которая объединяет усилия органов здравоохранения, образования, культуры, спорта, а также др</w:t>
      </w:r>
      <w:r>
        <w:rPr>
          <w:color w:val="000000"/>
        </w:rPr>
        <w:t>у</w:t>
      </w:r>
      <w:r>
        <w:rPr>
          <w:color w:val="000000"/>
        </w:rPr>
        <w:t xml:space="preserve">гих ведомств и неправительственных организаций. По предварительным данным Финансово-счетного управления за 2002 год, бюджетные расходы составили </w:t>
      </w:r>
      <w:r>
        <w:t xml:space="preserve">1 923 032 100 песо; затраты на одного человека – 170,92 песо. Расходы кубинского государства на это ведомство являются одними из самых значительных, превышая даже расходы на здравоохранение и образование. </w:t>
      </w:r>
    </w:p>
    <w:p w:rsidR="00000000" w:rsidRDefault="00000000">
      <w:pPr>
        <w:pStyle w:val="BodyText"/>
      </w:pPr>
      <w:r>
        <w:t>554.</w:t>
      </w:r>
      <w:r>
        <w:tab/>
      </w:r>
      <w:r>
        <w:rPr>
          <w:color w:val="000000"/>
        </w:rPr>
        <w:t>В стране принимаются особые меры поддержки уязвимых групп населения, к которым относятся одинокие матери, взрослые инвалиды обоих полов, социально неблаг</w:t>
      </w:r>
      <w:r>
        <w:rPr>
          <w:color w:val="000000"/>
        </w:rPr>
        <w:t>о</w:t>
      </w:r>
      <w:r>
        <w:rPr>
          <w:color w:val="000000"/>
        </w:rPr>
        <w:t>получные несовершеннолетние, подростки и молодые люди.</w:t>
      </w:r>
      <w:r>
        <w:t xml:space="preserve"> </w:t>
      </w:r>
    </w:p>
    <w:p w:rsidR="00000000" w:rsidRDefault="00000000">
      <w:pPr>
        <w:pStyle w:val="BodyText"/>
        <w:rPr>
          <w:i/>
        </w:rPr>
      </w:pPr>
      <w:r>
        <w:rPr>
          <w:i/>
        </w:rPr>
        <w:t>Одинокие матери</w:t>
      </w:r>
    </w:p>
    <w:p w:rsidR="00000000" w:rsidRDefault="00000000">
      <w:pPr>
        <w:pStyle w:val="BodyText"/>
      </w:pPr>
      <w:r>
        <w:t>555.</w:t>
      </w:r>
      <w:r>
        <w:tab/>
      </w:r>
      <w:r>
        <w:rPr>
          <w:color w:val="000000"/>
        </w:rPr>
        <w:t>Основным принципом в этой области является оказание комплексной поддержки всем матерям, которые сталкиваются с социальными проблемами, но не располагают необходимыми материальными средствами для их самостоятельного разрешения и нуждаются в помощи со стороны общества.</w:t>
      </w:r>
    </w:p>
    <w:p w:rsidR="00000000" w:rsidRDefault="00000000">
      <w:pPr>
        <w:pStyle w:val="BodyText"/>
      </w:pPr>
      <w:r>
        <w:t>556.</w:t>
      </w:r>
      <w:r>
        <w:tab/>
        <w:t xml:space="preserve">Такие </w:t>
      </w:r>
      <w:r>
        <w:rPr>
          <w:color w:val="000000"/>
        </w:rPr>
        <w:t>случаи выявляются прежде всего в рамках общины, а также при персональном обращении в службы социальной помощи, после чего проводится комплексный анализ ситуации и предлагаются меры и решения, которые могут выражаться в выдаче продуктов питания, оказании различных услуг, пожертвованиях, в профессиональной подготовке или в обучении какой-либо специальности, в прямом контроле ситуации и/или помощи со стороны профессиональных и добровольных соц</w:t>
      </w:r>
      <w:r>
        <w:rPr>
          <w:color w:val="000000"/>
        </w:rPr>
        <w:t>и</w:t>
      </w:r>
      <w:r>
        <w:rPr>
          <w:color w:val="000000"/>
        </w:rPr>
        <w:t>альных общинных работников.</w:t>
      </w:r>
      <w:r>
        <w:t xml:space="preserve"> </w:t>
      </w:r>
    </w:p>
    <w:p w:rsidR="00000000" w:rsidRDefault="00000000">
      <w:pPr>
        <w:pStyle w:val="BodyText"/>
        <w:rPr>
          <w:i/>
        </w:rPr>
      </w:pPr>
      <w:r>
        <w:rPr>
          <w:i/>
        </w:rPr>
        <w:t xml:space="preserve">Помощь пожилым женщинам </w:t>
      </w:r>
    </w:p>
    <w:p w:rsidR="00000000" w:rsidRDefault="00000000">
      <w:pPr>
        <w:pStyle w:val="BodyText"/>
      </w:pPr>
      <w:r>
        <w:t>557.</w:t>
      </w:r>
      <w:r>
        <w:tab/>
      </w:r>
      <w:r>
        <w:rPr>
          <w:color w:val="000000"/>
        </w:rPr>
        <w:t>Первая программа в этой области была разработана в 1974 году, а в 1985 году она была дополнена положениями о медицинской помощи со стороны семейного врача и его рабочей группы. В качестве особых целей программой предусматриваются: создание системы геронтологической помощи в общинах, улучшение качества обслуживания и обеспечение лучшего качества жизни в социальных учреждениях, а также обеспечение комплексного обслуживания престарелых обоих полов в стационарах на основе современных гериатрических исследований. Эта программа осуществляется по всей стране. Она состоит из трех взаимосвязанных областей: оказание помощи силами общин, органами социального обеспечения и в стационарах.</w:t>
      </w:r>
    </w:p>
    <w:p w:rsidR="00000000" w:rsidRDefault="00000000">
      <w:pPr>
        <w:pStyle w:val="BodyText"/>
      </w:pPr>
      <w:r>
        <w:t>558.</w:t>
      </w:r>
      <w:r>
        <w:tab/>
      </w:r>
      <w:r>
        <w:rPr>
          <w:color w:val="000000"/>
        </w:rPr>
        <w:t>К этому следует добавить такие инициативы, как "кружки бабушек и дедушек", которые объединяют более 296 тыс. пожилых людей обоих полов, кружки по интересам (спортивные, культурные), движение групп поддержки и отдыха (656 по всей стране), университеты для пожилых людей во всех провинциях, движение пенсионеров обоих полов, которое носит просветительский характер и деятельность которого проходит на ряде предприятий и имеет целью трудовое воспитание новых поколений, и т. д.</w:t>
      </w:r>
      <w:r>
        <w:t xml:space="preserve"> </w:t>
      </w:r>
    </w:p>
    <w:p w:rsidR="00000000" w:rsidRDefault="00000000">
      <w:pPr>
        <w:pStyle w:val="BodyText"/>
      </w:pPr>
      <w:r>
        <w:t>559.</w:t>
      </w:r>
      <w:r>
        <w:tab/>
      </w:r>
      <w:r>
        <w:rPr>
          <w:color w:val="000000"/>
        </w:rPr>
        <w:t>Эти мероприятия дополняются так называемой Программой душевного здоровья, которая не только направлена на помощь и реабилитацию в случае болезней, увечий или ведения нездорового образа жизни, но и имеет пропагандистско-профилактическую ориентацию</w:t>
      </w:r>
      <w:r>
        <w:t xml:space="preserve">. </w:t>
      </w:r>
    </w:p>
    <w:p w:rsidR="00000000" w:rsidRDefault="00000000">
      <w:pPr>
        <w:pStyle w:val="BodyText"/>
      </w:pPr>
      <w:r>
        <w:t>560.</w:t>
      </w:r>
      <w:r>
        <w:tab/>
      </w:r>
      <w:r>
        <w:rPr>
          <w:color w:val="000000"/>
        </w:rPr>
        <w:t>В стране 9 процентов престарелых людей обоих полов являются одинокими. Помощь в форме снабжения продуктами питания, стирки одежды и уборки жилья оказывается 38</w:t>
      </w:r>
      <w:r>
        <w:t> </w:t>
      </w:r>
      <w:r>
        <w:rPr>
          <w:color w:val="000000"/>
        </w:rPr>
        <w:t>480 престарелым.</w:t>
      </w:r>
      <w:r>
        <w:t xml:space="preserve"> </w:t>
      </w:r>
    </w:p>
    <w:p w:rsidR="00000000" w:rsidRDefault="00000000">
      <w:pPr>
        <w:pStyle w:val="BodyText"/>
      </w:pPr>
      <w:r>
        <w:t>561.</w:t>
      </w:r>
      <w:r>
        <w:tab/>
      </w:r>
      <w:r>
        <w:rPr>
          <w:color w:val="000000"/>
        </w:rPr>
        <w:t>Лица с психическими недостатками, живущие в неблагоприятных социальных или семейных условиях, имеют возможность постоянно проживать или находиться в режиме полного дня в 26 имеющихся в стране специализированных интернатах для инвалидов с физическими или психическими заболеваниями.</w:t>
      </w:r>
      <w:r>
        <w:t xml:space="preserve"> </w:t>
      </w:r>
    </w:p>
    <w:p w:rsidR="00000000" w:rsidRDefault="00000000">
      <w:pPr>
        <w:pStyle w:val="BodyText"/>
      </w:pPr>
      <w:r>
        <w:t>562.</w:t>
      </w:r>
      <w:r>
        <w:tab/>
        <w:t xml:space="preserve">Число пожилых женщин с физическими или психическими заболеваниями либо с тяжелыми социальными проблемами, находящихся в таких заведениях, составляет 2491; для улучшения качества их жизни проводятся меры по профилактике, помощи, поддержке и реабилитации. </w:t>
      </w:r>
    </w:p>
    <w:p w:rsidR="00000000" w:rsidRDefault="00000000">
      <w:pPr>
        <w:pStyle w:val="BodyText"/>
      </w:pPr>
      <w:r>
        <w:t>563.</w:t>
      </w:r>
      <w:r>
        <w:tab/>
        <w:t>Для пожилых людей, нуждающихся в особом уходе, выделено более 800 койко-мест в 35 гериатрических отделениях. Проводимое здесь лечение направлено на облегчение жизни этих людей.</w:t>
      </w:r>
    </w:p>
    <w:p w:rsidR="00000000" w:rsidRDefault="00000000">
      <w:pPr>
        <w:pStyle w:val="BodyText"/>
      </w:pPr>
      <w:r>
        <w:t>564.</w:t>
      </w:r>
      <w:r>
        <w:tab/>
        <w:t xml:space="preserve">В рамках Программы в помощь семейным врачам создаются многодисциплинарные группы геронтологической помощи (439 по всей стране), которые помогают в общинах оказывать долговременную помощь пожилым людям, находящимся в трудном положении или нуждающимся в такой помощи. </w:t>
      </w:r>
    </w:p>
    <w:p w:rsidR="00000000" w:rsidRDefault="00000000">
      <w:pPr>
        <w:pStyle w:val="BodyText"/>
        <w:rPr>
          <w:i/>
        </w:rPr>
      </w:pPr>
      <w:r>
        <w:rPr>
          <w:i/>
        </w:rPr>
        <w:t xml:space="preserve">Инвалиды </w:t>
      </w:r>
    </w:p>
    <w:p w:rsidR="00000000" w:rsidRDefault="00000000">
      <w:pPr>
        <w:pStyle w:val="BodyText"/>
      </w:pPr>
      <w:r>
        <w:t>565.</w:t>
      </w:r>
      <w:r>
        <w:tab/>
      </w:r>
      <w:r>
        <w:rPr>
          <w:color w:val="000000"/>
        </w:rPr>
        <w:t xml:space="preserve">Женщины играют все более важную роль среди как членов, так и активистов организаций, входящих в действующую в стране Ассоциацию инвалидов. Они участвуют в проводимых этой Ассоциацией разнообразных мероприятиях, не сталкиваясь ни с какими предрассудками или стереотипами. В настоящее время существуют три ассоциации инвалидов: Ассоциация лиц с нарушениями центральной нервной системы и опорно-двигательного аппарата, Ассоциация слепых и слабовидящих и Ассоциация глухих и слабослышащих, которые объединяют в своих рядах </w:t>
      </w:r>
      <w:r>
        <w:t xml:space="preserve">94 830 </w:t>
      </w:r>
      <w:r>
        <w:rPr>
          <w:color w:val="000000"/>
        </w:rPr>
        <w:t xml:space="preserve">человек (по сравнению с предыдущим докладом их число увеличилось на </w:t>
      </w:r>
      <w:r>
        <w:t>16 200 человек). Из них 37 045</w:t>
      </w:r>
      <w:r>
        <w:rPr>
          <w:color w:val="000000"/>
        </w:rPr>
        <w:t xml:space="preserve"> человек, или 39,1 процента, – женщины.</w:t>
      </w:r>
    </w:p>
    <w:p w:rsidR="00000000" w:rsidRDefault="00000000">
      <w:pPr>
        <w:pStyle w:val="BodyText"/>
      </w:pPr>
      <w:r>
        <w:t>566.</w:t>
      </w:r>
      <w:r>
        <w:tab/>
      </w:r>
      <w:r>
        <w:rPr>
          <w:color w:val="000000"/>
        </w:rPr>
        <w:t xml:space="preserve">Государство уделяет инвалидам особое внимание и прилагает усилия к тому, чтобы активнее привлекать их к общественно полезной жизни и предоставить им максимально широкие возможности для работы, и с этой целью разработаны новые программы Революции в интересах инвалидов. </w:t>
      </w:r>
    </w:p>
    <w:p w:rsidR="00000000" w:rsidRDefault="00000000">
      <w:pPr>
        <w:pStyle w:val="BodyText"/>
      </w:pPr>
      <w:r>
        <w:t>567.</w:t>
      </w:r>
      <w:r>
        <w:tab/>
        <w:t xml:space="preserve">В результате завершившегося общенационального исследования была получена обширная информация о психосоциальных, психопедагогических проблемах и генетических заболеваниях 366 864 лиц с инвалидностью по различным показаниям. Это дало новый материал для различных отраслей, которые совместно с правительством и политическими и массовыми организациями принимают конкретные меры к тому, чтобы удовлетворить выявленные в ходе исследования потребности и нужды. Эти меры будут иметь особое положительное значение для женщин-инвалидов и членов семей инвалидов. В проведении данного исследования, длившегося около двух лет, приняли участие 33 626 специалистов, в основном женщины. </w:t>
      </w:r>
    </w:p>
    <w:p w:rsidR="00000000" w:rsidRDefault="00000000">
      <w:pPr>
        <w:pStyle w:val="BodyText"/>
      </w:pPr>
      <w:r>
        <w:t>568.</w:t>
      </w:r>
      <w:r>
        <w:tab/>
        <w:t xml:space="preserve">Особое значение для обеспечения экономической независимости и интеграции инвалидов, а также для повышения их самооценки имеет вовлечение в трудовую деятельность. Здесь важно отметить роль и значимость политики в сфере труда, в рамках которой в период с 1995 по 2002 год было создано для них 14 624 рабочих места, из которых 5879 (35,4 процента) – для женщин. </w:t>
      </w:r>
    </w:p>
    <w:p w:rsidR="00000000" w:rsidRDefault="00000000">
      <w:pPr>
        <w:pStyle w:val="BodyText"/>
      </w:pPr>
      <w:r>
        <w:t>569.</w:t>
      </w:r>
      <w:r>
        <w:tab/>
        <w:t xml:space="preserve">Основным компонентом укрепления здоровья и важным фактором интеграции инвалидов и улучшения качества их жизни является реабилитация. В сети первичной медицинской помощи идет процесс укрепления служб реабилитации в основном на уровне общин, и близость от дома делает их более доступными для инвалидов. Помощь может оказываться и на дому. Эта стратегия носит комплексный характер, поскольку помощь оказывается всем инвалидам и всем группам, в том числе и женщинам – как инвалидам, так и ухаживающим за инвалидами. </w:t>
      </w:r>
    </w:p>
    <w:p w:rsidR="00000000" w:rsidRDefault="00000000">
      <w:pPr>
        <w:pStyle w:val="BodyText"/>
      </w:pPr>
      <w:r>
        <w:t>570.</w:t>
      </w:r>
      <w:r>
        <w:tab/>
      </w:r>
      <w:r>
        <w:rPr>
          <w:color w:val="000000"/>
        </w:rPr>
        <w:t>Результаты осуществления этих программ проявляются в том, что инвалиды получают возможности и гарантии повышения своего культурного уровня и доступ к более высоким уровням образования, чему особенно способствовало открытие отделений университетов в муниципалитетах (универсализация образования).</w:t>
      </w:r>
    </w:p>
    <w:p w:rsidR="00000000" w:rsidRDefault="00000000">
      <w:pPr>
        <w:pStyle w:val="BodyText"/>
      </w:pPr>
      <w:r>
        <w:t>571.</w:t>
      </w:r>
      <w:r>
        <w:tab/>
      </w:r>
      <w:r>
        <w:rPr>
          <w:color w:val="000000"/>
        </w:rPr>
        <w:t xml:space="preserve">Инвалиды демонстрируют высокие показатели в спорте как на национальных, так и на международных соревнованиях (в том числе на Панамериканских играх и Олимпиадах для спортсменов-инвалидов). </w:t>
      </w:r>
    </w:p>
    <w:p w:rsidR="00000000" w:rsidRDefault="00000000">
      <w:pPr>
        <w:pStyle w:val="BodyText"/>
        <w:rPr>
          <w:i/>
        </w:rPr>
      </w:pPr>
      <w:r>
        <w:rPr>
          <w:i/>
        </w:rPr>
        <w:t xml:space="preserve">Программа борьбы с хроническими неинфекционными заболеваниями </w:t>
      </w:r>
    </w:p>
    <w:p w:rsidR="00000000" w:rsidRDefault="00000000">
      <w:pPr>
        <w:pStyle w:val="BodyText"/>
      </w:pPr>
      <w:r>
        <w:t>572.</w:t>
      </w:r>
      <w:r>
        <w:tab/>
        <w:t xml:space="preserve">На Кубе хронические неинфекционные заболевания и несчастные случаи представляют собой 9 из 10 основных причин смертности. В 2001 году инфекционные заболевания стали причиной лишь 1 процента случаев смерти. </w:t>
      </w:r>
    </w:p>
    <w:p w:rsidR="00000000" w:rsidRDefault="00000000">
      <w:pPr>
        <w:pStyle w:val="BodyText"/>
      </w:pPr>
      <w:r>
        <w:t>573.</w:t>
      </w:r>
      <w:r>
        <w:tab/>
        <w:t xml:space="preserve">30 октября 2000 года Постановлением № 3790 Исполнительного комитета Совета министров была создана Национальная комиссия по вопросам здоровья и качества жизни под руководством Секретариата Совета министров. Координатором комиссии стало Министерство здравоохранения. Эта комиссия является межотраслевой, а разрабатываемые ею стратегии носят комплексный характер, что позволяет последовательно заниматься факторами риска, вызывающими наиболее серьезные хронические заболевания. В этом находит свое выражение политическая решимость преодолевать трудности, с которыми сталкивается страна. </w:t>
      </w:r>
    </w:p>
    <w:p w:rsidR="00000000" w:rsidRDefault="00000000">
      <w:pPr>
        <w:pStyle w:val="BodyText"/>
      </w:pPr>
      <w:r>
        <w:t>574.</w:t>
      </w:r>
      <w:r>
        <w:tab/>
        <w:t>Задачей Национальной комиссии по вопросам здоровья и качества жизни является решение все более сложных проблем, связанных с заболеваемостью, используя для этого меры межотраслевого характера по десяти конкретным направлениям действий (табакокурение, алкоголизм, неправильное питание, сидячий образ жизни, условия труда, несчастные случаи, качество воды, утилизация стоков и твердых бытовых отходов, качество воздуха).</w:t>
      </w:r>
    </w:p>
    <w:p w:rsidR="00000000" w:rsidRDefault="00000000">
      <w:pPr>
        <w:pStyle w:val="BodyText"/>
      </w:pPr>
      <w:r>
        <w:t>575.</w:t>
      </w:r>
      <w:r>
        <w:tab/>
        <w:t xml:space="preserve">В настоящее время ведется работа, направленная на внедрение новых подходов в деле профилактики и контроля за этими заболеваниями и вредными факторами. Важно подчеркнуть необходимость привлечь к активному участию в этой работе все отрасли, заставив их осознать, как их политика и действия отражаются на здоровье населения, добившись их согласия и сотрудничества в этой работе, а также шире привлекать общество, чтобы обеспечить поворот к правильному пониманию и эффективному осуществлению мер по охране здоровья. Для этого требуется проводить последовательную политику в области просвещения населения. </w:t>
      </w:r>
    </w:p>
    <w:p w:rsidR="00000000" w:rsidRDefault="00000000">
      <w:pPr>
        <w:pStyle w:val="BodyText"/>
      </w:pPr>
      <w:r>
        <w:t>576.</w:t>
      </w:r>
      <w:r>
        <w:tab/>
        <w:t xml:space="preserve">Укрепление структур Программы борьбы с хроническими неинфекционными заболеваниями на всех уровнях позволило существенно улучшить ситуацию с выявлением больных, что нашло свое отражение в расширении масштабов диспансеризации в службах первичной медицинской помощи и в снижении смертности вследствие 8 из 9 таких заболеваний. Очевидным итогом проведения описанных выше мер стало то, что на конец 2002 года в результате начатой в 1998 году кампании по осуществлению новой Национальной программы по выявлению случаев повышенного артериального давления и контролю за ними гипертония была выявлена у 23 процентов взрослого населения страны. </w:t>
      </w:r>
    </w:p>
    <w:p w:rsidR="00000000" w:rsidRDefault="00000000">
      <w:pPr>
        <w:pStyle w:val="BodyText"/>
      </w:pPr>
      <w:r>
        <w:t>577.</w:t>
      </w:r>
      <w:r>
        <w:tab/>
        <w:t xml:space="preserve">В течение 2002 года были приняты важные меры по работе с населением, например по всей стране был проведен Всемирный день здоровья. В центре внимания находились вопросы физической активности и участия в конкурсе против табакокурения под девизом "Откажись от курения и выиграй", по показателям участия в котором Куба находится на одном из первых мест в мире: в 2000 году в конкурсе приняли участие 33 тыс., а в 2002 году – 115 тыс. человек. </w:t>
      </w:r>
    </w:p>
    <w:p w:rsidR="00000000" w:rsidRDefault="00000000">
      <w:pPr>
        <w:pStyle w:val="BodyText"/>
      </w:pPr>
      <w:r>
        <w:t>578.</w:t>
      </w:r>
      <w:r>
        <w:tab/>
        <w:t xml:space="preserve">В стране полным ходом идет реализация программы "Здоровье и качество жизни". Систематически занимаются физическими упражнениями 21,6 процента населения (по сравнению с 2001 годом рост составил 1,6 процента, при этом не учитываются 2,3 млн. школьников, занимающихся физкультурой, а также спортсмены спорта высоких достижений), причем услуги по организации спортивных и досуговых мероприятий предоставляются в 99 процентах населенных пунктов страны. </w:t>
      </w:r>
    </w:p>
    <w:p w:rsidR="00000000" w:rsidRDefault="00000000">
      <w:pPr>
        <w:pStyle w:val="BodyText"/>
      </w:pPr>
      <w:r>
        <w:t>579.</w:t>
      </w:r>
      <w:r>
        <w:tab/>
        <w:t>Идет реализация Программы улучшения качества питания, имеющей целью контроль и предотвращение дефицита микроэлементов в питании кубинцев, а также организацию производства овощей и фруктов в рамках программы развития сельскохозяйственного производства в городах, в результате чего на душу населения приходится ежедневно более 300 г этих продуктов. Разработаны Рекомендации по питанию для кубинского населения, в которых даются советы в отношении правильного питания.</w:t>
      </w:r>
    </w:p>
    <w:p w:rsidR="00000000" w:rsidRDefault="00000000">
      <w:pPr>
        <w:pStyle w:val="BodyText"/>
      </w:pPr>
      <w:r>
        <w:t>580.</w:t>
      </w:r>
      <w:r>
        <w:tab/>
        <w:t xml:space="preserve">Доля людей, ведущих сидячий образ жизни, увеличилась с 33,2 процента в 1995 году до 43,5 процента в 2001 году. </w:t>
      </w:r>
    </w:p>
    <w:p w:rsidR="00000000" w:rsidRDefault="00000000">
      <w:pPr>
        <w:pStyle w:val="BodyText"/>
      </w:pPr>
      <w:r>
        <w:t>581.</w:t>
      </w:r>
      <w:r>
        <w:tab/>
        <w:t xml:space="preserve">Доля людей с избыточным весом в 1995 году составляла 32 процента, а в 2001 году – 42,3 процента, что свидетельствует о явной тенденции к росту этого показателя. В основном излишек веса относится к I степени, и собственно ожирение (индекс массы тела &gt;30) наблюдается примерно у 12 процентов населения. </w:t>
      </w:r>
    </w:p>
    <w:p w:rsidR="00000000" w:rsidRDefault="00000000">
      <w:pPr>
        <w:pStyle w:val="BodyText"/>
      </w:pPr>
      <w:r>
        <w:t>582.</w:t>
      </w:r>
      <w:r>
        <w:tab/>
        <w:t xml:space="preserve">Уровень смертности, вызванной сахарным диабетом (СД), с 1970 по 2001 год постепенно повышался, особенно с 1983 года, и наибольший уровень был достигнут в 1996 году, когда коэффициент смертности составил 23,5 на 100 тыс. жителей. С 1997 года риск умереть от этого заболевания начал постепенно снижаться, выйдя в 2002 году на уровень 12,8. Что касается этого показателя в разбивке по полу, то женщины составляют более 60 процентов умерших от этого заболевания, хотя среди умерших в возрасте до 65 лет мужчин больше, чем женщин (68,4 и 60,7 процента, соответственно). За пятилетие с 1997 по 2001 год для мужчин моложе 65 лет риск умереть от этого заболевания снизился примерно на 20,3 процента  –  несколько меньше, чем для женщин (у них снижение составило 23,3 процента). </w:t>
      </w:r>
    </w:p>
    <w:p w:rsidR="00000000" w:rsidRDefault="00000000">
      <w:pPr>
        <w:pStyle w:val="BodyText"/>
      </w:pPr>
      <w:r>
        <w:t>583.</w:t>
      </w:r>
      <w:r>
        <w:tab/>
        <w:t xml:space="preserve">От сахарного диабета, как и от других хронических неинфекционных заболеваний, в большей степени рискуют умереть представители групп населения, находящихся на более высоком социально-экономическом уровне. В 61 проценте случаев причиной СД является ожирение. </w:t>
      </w:r>
    </w:p>
    <w:p w:rsidR="00000000" w:rsidRDefault="00000000">
      <w:pPr>
        <w:pStyle w:val="BodyText"/>
      </w:pPr>
      <w:r>
        <w:t>584.</w:t>
      </w:r>
      <w:r>
        <w:tab/>
        <w:t xml:space="preserve">Более высокий уровень смертности среди женщин старше 60 лет характерен не только для Кубы, поскольку женщины живут дольше. На Кубе больше мужчин, чем женщин, умирают в экономически активном возрасте (вследствие катастроф на транспорте, несчастных случаев на производстве, ишемической болезни сердца и вредных привычек, которые среди мужчин распространены шире), и поэтому в данных возрастных группах наблюдается тенденция к увеличению риска смерти. </w:t>
      </w:r>
    </w:p>
    <w:p w:rsidR="00000000" w:rsidRDefault="00000000">
      <w:pPr>
        <w:pStyle w:val="BodyText"/>
      </w:pPr>
      <w:r>
        <w:t>585.</w:t>
      </w:r>
      <w:r>
        <w:tab/>
        <w:t>В ходе исследований в 2001 году было выявлено 58 133 случая врожденного диабета или диабета беременных, то есть коэффициент его распространения составил 2,04 на 100 тыс. человек (доверительный интервал 95 процентов) (1,92–2,41). К числу успехов, достигнутых в 2002 году, относятся:</w:t>
      </w:r>
    </w:p>
    <w:p w:rsidR="00000000" w:rsidRDefault="00000000">
      <w:pPr>
        <w:pStyle w:val="BodyText"/>
        <w:tabs>
          <w:tab w:val="clear" w:pos="567"/>
          <w:tab w:val="clear" w:pos="907"/>
        </w:tabs>
        <w:ind w:left="1134"/>
      </w:pPr>
      <w:r>
        <w:t>•</w:t>
      </w:r>
      <w:r>
        <w:tab/>
        <w:t>снижение смертности от диабета;</w:t>
      </w:r>
    </w:p>
    <w:p w:rsidR="00000000" w:rsidRDefault="00000000">
      <w:pPr>
        <w:pStyle w:val="BodyText"/>
        <w:tabs>
          <w:tab w:val="clear" w:pos="567"/>
          <w:tab w:val="clear" w:pos="907"/>
        </w:tabs>
        <w:ind w:left="1134"/>
      </w:pPr>
      <w:r>
        <w:t>•</w:t>
      </w:r>
      <w:r>
        <w:tab/>
        <w:t>увеличение числа выявленных в ходе диспансеризации случаев диабета;</w:t>
      </w:r>
    </w:p>
    <w:p w:rsidR="00000000" w:rsidRDefault="00000000">
      <w:pPr>
        <w:pStyle w:val="BodyText"/>
        <w:tabs>
          <w:tab w:val="clear" w:pos="567"/>
          <w:tab w:val="clear" w:pos="907"/>
        </w:tabs>
        <w:ind w:left="1134"/>
      </w:pPr>
      <w:r>
        <w:t>•</w:t>
      </w:r>
      <w:r>
        <w:tab/>
        <w:t>начало раздачи глюкометров и наборов реактивов детям младше 9 лет (для самоконтроля);</w:t>
      </w:r>
    </w:p>
    <w:p w:rsidR="00000000" w:rsidRDefault="00000000">
      <w:pPr>
        <w:pStyle w:val="BodyText"/>
        <w:tabs>
          <w:tab w:val="clear" w:pos="567"/>
          <w:tab w:val="clear" w:pos="907"/>
        </w:tabs>
        <w:ind w:left="1134"/>
      </w:pPr>
      <w:r>
        <w:t>•</w:t>
      </w:r>
      <w:r>
        <w:tab/>
        <w:t>получение новых данных о распространенности этого заболевания в районах проведения исследований;</w:t>
      </w:r>
    </w:p>
    <w:p w:rsidR="00000000" w:rsidRDefault="00000000">
      <w:pPr>
        <w:pStyle w:val="BodyText"/>
        <w:tabs>
          <w:tab w:val="clear" w:pos="567"/>
          <w:tab w:val="clear" w:pos="907"/>
        </w:tabs>
        <w:ind w:left="1134"/>
      </w:pPr>
      <w:r>
        <w:t>•</w:t>
      </w:r>
      <w:r>
        <w:tab/>
        <w:t>улучшение качества медицинской помощи беременным (в медицинских учреждениях Гаваны им раздавались глюкометры и наборы реактивов);</w:t>
      </w:r>
    </w:p>
    <w:p w:rsidR="00000000" w:rsidRDefault="00000000">
      <w:pPr>
        <w:pStyle w:val="BodyText"/>
        <w:tabs>
          <w:tab w:val="clear" w:pos="567"/>
          <w:tab w:val="clear" w:pos="907"/>
        </w:tabs>
        <w:ind w:left="1134"/>
      </w:pPr>
      <w:r>
        <w:t>•</w:t>
      </w:r>
      <w:r>
        <w:tab/>
        <w:t>обеспечен высокий уровень вакцинации от гепатита В и диабета;</w:t>
      </w:r>
    </w:p>
    <w:p w:rsidR="00000000" w:rsidRDefault="00000000">
      <w:pPr>
        <w:pStyle w:val="BodyText"/>
        <w:tabs>
          <w:tab w:val="clear" w:pos="567"/>
          <w:tab w:val="clear" w:pos="907"/>
        </w:tabs>
        <w:spacing w:after="160"/>
        <w:ind w:left="1134"/>
      </w:pPr>
      <w:r>
        <w:t>•</w:t>
      </w:r>
      <w:r>
        <w:tab/>
        <w:t>аккредитация Института эндокринологии в качестве центра, сотрудничающего с Всемирной организацией здравоохранения и Панамериканской организацией здравоохранения по вопросам комплексного лечения диабета.</w:t>
      </w:r>
    </w:p>
    <w:p w:rsidR="00000000" w:rsidRDefault="00000000">
      <w:pPr>
        <w:pStyle w:val="BodyText"/>
      </w:pPr>
      <w:r>
        <w:t>586.</w:t>
      </w:r>
      <w:r>
        <w:tab/>
        <w:t xml:space="preserve">Часто встречающимся заболеванием на Кубе является бронхиальная астма. С 1973 года здесь проводится в жизнь Национальная программа медицинской помощи больным астмой. Риск умереть от астмы постепенно снижается, число умерших составило в 2001 году 1,4 на 100 тыс. человек, причем женщин умерло в 1,5 раза больше, чем мужчин. Больше всего доля умерших в возрастной группе старше 65 лет (5,7 на 100 тыс. человек), далее следует возрастная группа от 35 до 64 лет (2,4 на 100 тыс. человек). В 2001 году от бронхиальной астмы скончались 94 тыс. женщин и 92 тыс. мужчин. </w:t>
      </w:r>
    </w:p>
    <w:p w:rsidR="00000000" w:rsidRDefault="00000000">
      <w:pPr>
        <w:pStyle w:val="BodyText"/>
      </w:pPr>
      <w:r>
        <w:t>587.</w:t>
      </w:r>
      <w:r>
        <w:tab/>
        <w:t xml:space="preserve">Среди неинфекционных заболеваний бронхиальная астма является основной причиной госпитализации в стране; уровень смертности в больницах в 2002 году составил 0,05 процента, что сопоставимо с международным уровнем. Это заболевание сопряжено со значительными экономическими и социальными издержками, поскольку частые приступы становятся причиной нетрудоспособности. </w:t>
      </w:r>
    </w:p>
    <w:p w:rsidR="00000000" w:rsidRDefault="00000000">
      <w:pPr>
        <w:pStyle w:val="BodyText"/>
      </w:pPr>
      <w:r>
        <w:t>588.</w:t>
      </w:r>
      <w:r>
        <w:tab/>
        <w:t xml:space="preserve">Идет разработка мер, нацеленных на контроль над окружающей средой, что благоприятствует ослаблению основных факторов риска в случае астмы, к числу которых относятся: факторы, вызывающие предрасположенность к болезни (атония); факторы, вызывающие болезнь (аллергены, сенсибилизирующие агенты, связанные с родом занятий); а также факторы, усугубляющие болезнь (респираторные инфекции, питание, загрязнение воздуха и табакокурение). Эти факторы поддаются воздействию профилактических мер, которые могут существенно повлиять на появление, течение и дальнейшее развитие болезни и благоприятно сказаться на качестве жизни больных астмой, а также тех, кто рискует заболеть по этим причинам. </w:t>
      </w:r>
    </w:p>
    <w:p w:rsidR="00000000" w:rsidRDefault="00000000">
      <w:pPr>
        <w:pStyle w:val="BodyText"/>
      </w:pPr>
      <w:r>
        <w:t>589.</w:t>
      </w:r>
      <w:r>
        <w:tab/>
        <w:t xml:space="preserve">Несмотря на тяжелую экономическую ситуацию, вызванную империалистической блокадой нашей страны, удалось принять важные меры по изменению бытовых привычек населения, контролю над состоянием окружающей среды, газификации кухонь, что позволяет женщинам существенно реже использовать вещества, способные вызвать приступ бронхиальной астмы; все предприятия оборудованы измерителями вредных выбросов; налажена продажа бронхорасширяющих препаратов типа сальбутамола, используемых в случае приступов бронхиальной астмы; внедряются новые лекарственные средства, например стероиды, используемые в периоды между приступами. </w:t>
      </w:r>
    </w:p>
    <w:p w:rsidR="00000000" w:rsidRDefault="00000000">
      <w:pPr>
        <w:pStyle w:val="BodyText"/>
      </w:pPr>
      <w:r>
        <w:t>590.</w:t>
      </w:r>
      <w:r>
        <w:tab/>
        <w:t xml:space="preserve">Безусловно, важную роль в достижении этих успехов сыграла работа специалистов-медиков, которые обучают больных астмой и членов их семей правильному поведению при этом заболевании и мерам профилактики, цель которых – укрепление дыхательных органов, чтобы избежать затруднений с дыханием и снизить тяжесть протекания заболевания. </w:t>
      </w:r>
    </w:p>
    <w:p w:rsidR="00000000" w:rsidRDefault="00000000">
      <w:pPr>
        <w:pStyle w:val="BodyText"/>
      </w:pPr>
    </w:p>
    <w:p w:rsidR="00000000" w:rsidRDefault="00000000">
      <w:pPr>
        <w:pStyle w:val="BodyText"/>
        <w:rPr>
          <w:i/>
        </w:rPr>
      </w:pPr>
      <w:r>
        <w:rPr>
          <w:i/>
        </w:rPr>
        <w:t>Распространение табакокурения, алкоголизма и токсикомании</w:t>
      </w:r>
    </w:p>
    <w:p w:rsidR="00000000" w:rsidRDefault="00000000">
      <w:pPr>
        <w:pStyle w:val="BodyText"/>
        <w:ind w:left="0" w:firstLine="0"/>
        <w:rPr>
          <w:i/>
        </w:rPr>
      </w:pPr>
      <w:r>
        <w:rPr>
          <w:i/>
        </w:rPr>
        <w:t>При представлении четвертого периодического доклада Комитет обратился к правительству Кубы с просьбой представить в его следующем докладе информацию, в том числе статистические данные, о показателях употребления табака и алкоголя и о зл</w:t>
      </w:r>
      <w:r>
        <w:rPr>
          <w:i/>
        </w:rPr>
        <w:t>о</w:t>
      </w:r>
      <w:r>
        <w:rPr>
          <w:i/>
        </w:rPr>
        <w:t>употреблении наркотиками и наркотическими веществами женщинами различных возра</w:t>
      </w:r>
      <w:r>
        <w:rPr>
          <w:i/>
        </w:rPr>
        <w:t>с</w:t>
      </w:r>
      <w:r>
        <w:rPr>
          <w:i/>
        </w:rPr>
        <w:t>тных категорий и о мерах, направленных на предотвращение такого злоупотребления и с</w:t>
      </w:r>
      <w:r>
        <w:rPr>
          <w:i/>
        </w:rPr>
        <w:t>о</w:t>
      </w:r>
      <w:r>
        <w:rPr>
          <w:i/>
        </w:rPr>
        <w:t>кращение его масштабов. Он также предложил правительству представить информацию о наличии мер консультирования и реабилитации для женщин-наркоманок.</w:t>
      </w:r>
    </w:p>
    <w:p w:rsidR="00000000" w:rsidRDefault="00000000">
      <w:pPr>
        <w:pStyle w:val="BodyText"/>
      </w:pPr>
      <w:r>
        <w:t>591.</w:t>
      </w:r>
      <w:r>
        <w:tab/>
        <w:t xml:space="preserve">Злоупотребление наркотиками, как законными, так и незаконными, и особенно незаконная торговля ими являются проблемой для всех стран мира и затрагивают все обычные направления работы сектора здравоохранения, поскольку ведут к ухудшению психического и физического состояния наркоманов и к последующему распаду семей. Наркомания порождает насилие, результатом чего становится тревожно большое число самоубийств, убийств и несчастных случаев. </w:t>
      </w:r>
    </w:p>
    <w:p w:rsidR="00000000" w:rsidRDefault="00000000">
      <w:pPr>
        <w:pStyle w:val="BodyText"/>
      </w:pPr>
      <w:r>
        <w:t>592.</w:t>
      </w:r>
      <w:r>
        <w:tab/>
        <w:t xml:space="preserve">На Кубе до 1959 года потребителями наркотиков были только представители высших социальных слоев, употреблявших кокаин, а также представители маргинальных слоев, курившие марихуану. Эта картина изменилась в ходе глубоких преобразований в кубинском обществе. </w:t>
      </w:r>
    </w:p>
    <w:p w:rsidR="00000000" w:rsidRDefault="00000000">
      <w:pPr>
        <w:pStyle w:val="BodyText"/>
      </w:pPr>
      <w:r>
        <w:t>593.</w:t>
      </w:r>
      <w:r>
        <w:tab/>
        <w:t xml:space="preserve">В настоящее время нам не удается избежать угрозы оказаться затронутыми этим всемирным бедствием. Становится все больше признаков этой угрозы по мере появления наркотиков у наших берегов; на границе задерживается все больше наркоторговцев, направляющихся в другие страны; отмечаются незаконное использование лекарств не в лечебных целях и применение других психотропных веществ, а также использование средств традиционной народной медицины в качестве наркотиков. Страну пытаются превратить не только в транзитный пункт для перевозки наркотиков, но и в рынок их сбыта, используя для этого международных преступников и тех ничем не гнушающихся субъектов, которые пока еще есть среди нас. </w:t>
      </w:r>
    </w:p>
    <w:p w:rsidR="00000000" w:rsidRDefault="00000000">
      <w:pPr>
        <w:pStyle w:val="BodyText"/>
      </w:pPr>
      <w:r>
        <w:t>594.</w:t>
      </w:r>
      <w:r>
        <w:tab/>
        <w:t>Министерство здравоохранения принимает комплексные меры борьбы против наркозависимости. Совершенствуются уже существующие структуры, чтобы они могли решать новые, выходящие за пределы привычного проблемы в области здравоохранения. Улучшается работа действующей системы начиная с первичной медицинской помощи, которая играет здесь ведущую роль, и заканчивая уровнем специализированных учреждений; осуществляются координация и сотрудничество с другими государственными ведомствами и общественными организациями (министерствами внутренних дел, просвещения, высшего образования, юстиции, сельского хозяйства, внутренней торговли, туризма и спорта, а также организациями гражданского общества, такими как Федерация кубинских женщин и комитеты защиты Революции).</w:t>
      </w:r>
    </w:p>
    <w:p w:rsidR="00000000" w:rsidRDefault="00000000">
      <w:pPr>
        <w:pStyle w:val="BodyText"/>
      </w:pPr>
      <w:r>
        <w:t>595.</w:t>
      </w:r>
      <w:r>
        <w:tab/>
        <w:t>Системой здравоохранения Кубы предусматривается оказание гражданам комплексной наркологической помощи, в том числе принятие мер по укреплению здоровья, специальных профилактических мер в отношении групп риска, лечение наркоманов, их реабилитация и возвращение в общество.</w:t>
      </w:r>
    </w:p>
    <w:p w:rsidR="00000000" w:rsidRDefault="00000000">
      <w:pPr>
        <w:pStyle w:val="BodyText"/>
      </w:pPr>
      <w:r>
        <w:t>596.</w:t>
      </w:r>
      <w:r>
        <w:tab/>
        <w:t xml:space="preserve">Помощь в случаях острой интоксикации, передозировки и абстинентного синдрома оказывается в системе первичной медицинской помощи в поликлиниках неотложной помощи, в учреждениях комплексной системы неотложной помощи и в лечебных учреждениях для больных острыми психическими расстройствами. Все эти заведения входят в систему учреждений здравоохранения, и в них работает опытный персонал, подготовленный для выполнения этих задач. </w:t>
      </w:r>
    </w:p>
    <w:p w:rsidR="00000000" w:rsidRDefault="00000000">
      <w:pPr>
        <w:pStyle w:val="BodyText"/>
      </w:pPr>
      <w:r>
        <w:t>597.</w:t>
      </w:r>
      <w:r>
        <w:tab/>
        <w:t xml:space="preserve">Освобождение от вредных привычек и реабилитация происходят на первом этапе стабилизации в специализированных службах добровольного согласия пациента и продолжаются около трех месяцев. Реабилитация и контроль над последующей абстиненцией производятся в общинных центрах психического здоровья и амбулаторно, в координации с семейными врачами и медицинскими сестрами и при участии жителей общины. Мы постоянно, за исключением единичных случаев, рассматриваем общину и семью как защитные факторы. Общинные центры психического здоровья функционируют на муниципальном уровне и при медицинских пунктах, а госпитализация осуществляется в провинциальные больницы. </w:t>
      </w:r>
    </w:p>
    <w:p w:rsidR="00000000" w:rsidRDefault="00000000">
      <w:pPr>
        <w:pStyle w:val="BodyText"/>
      </w:pPr>
      <w:r>
        <w:t>598.</w:t>
      </w:r>
      <w:r>
        <w:tab/>
        <w:t xml:space="preserve">Наркологическую помощь иностранцам оказывает предприятие "Туризм для лечения", не относящееся к Министерству здравоохранения, которое имеет три специализированные клиники или лечебные общины в провинциях Ольгин и Сантьяго-де-Куба. </w:t>
      </w:r>
    </w:p>
    <w:p w:rsidR="00000000" w:rsidRDefault="00000000">
      <w:pPr>
        <w:pStyle w:val="BodyText"/>
      </w:pPr>
      <w:r>
        <w:t>599.</w:t>
      </w:r>
      <w:r>
        <w:tab/>
        <w:t xml:space="preserve">Имеется специальная программа по борьбе со злоупотреблением токсическими веществами, алкоголем и наркотиками, задача которого – содействие улучшению здоровья и общей профилактике. В рамках программы активно используются средства массовой информации, а также реализуются мероприятия на местном уровне, которые проводятся семейными врачами и общинными центрами психического здоровья совместно с массовыми организациями, действующими в проблемных районах. </w:t>
      </w:r>
    </w:p>
    <w:p w:rsidR="00000000" w:rsidRDefault="00000000">
      <w:pPr>
        <w:pStyle w:val="BodyText"/>
      </w:pPr>
      <w:r>
        <w:t>600.</w:t>
      </w:r>
      <w:r>
        <w:tab/>
        <w:t>Выше говорилось о программе помощи в освобождении от вредных привычек; в связи с этим следует также упомянуть группы взаимопомощи алкоголиков. В стране насчитывается свыше 300 таких групп, которые посещают 3600 стоящих на учете пациентов. Недавно были созданы группы взаимопомощи для лиц с другими видами зависимости, и в настоящее время они приступили к работе.</w:t>
      </w:r>
    </w:p>
    <w:p w:rsidR="00000000" w:rsidRDefault="00000000">
      <w:pPr>
        <w:pStyle w:val="BodyText"/>
      </w:pPr>
      <w:r>
        <w:t>601.</w:t>
      </w:r>
      <w:r>
        <w:tab/>
        <w:t xml:space="preserve">Специальная профилактическая работа с группами риска ведется на уровне первичной медицинской помощи в районах, на рабочих местах, а также силами других специалистов. В каждой провинции помимо учреждений, входящих в национальную систему, действуют и учреждения, оказывающие помощь наркоманам на условиях анонимности. </w:t>
      </w:r>
    </w:p>
    <w:p w:rsidR="00000000" w:rsidRDefault="00000000">
      <w:pPr>
        <w:pStyle w:val="BodyText"/>
      </w:pPr>
      <w:r>
        <w:t>602.</w:t>
      </w:r>
      <w:r>
        <w:tab/>
        <w:t xml:space="preserve">Задачами вышеуказанной программы являются пропаганда среди населения здорового образа жизни, групповая работа по профилактике наркотической зависимости и предупреждению сопряженных с риском ситуаций, оказание комплексной диспансерной и последующей помощи лицам в активной стадии заболевания, обеспечивая их возвращение в семью и общественную и трудовую реабилитацию. </w:t>
      </w:r>
    </w:p>
    <w:p w:rsidR="00000000" w:rsidRDefault="00000000">
      <w:pPr>
        <w:pStyle w:val="BodyText"/>
      </w:pPr>
      <w:r>
        <w:t>603.</w:t>
      </w:r>
      <w:r>
        <w:tab/>
        <w:t xml:space="preserve">Стратегическими направлениями программы предусматриваются, в частности, разработка программы пропаганды и консультаций с целью предотвращения употребления наркотиков; создание сети по оказанию помощи на трех уровнях системы медицинского обслуживания; контроль и предотвращение нецелевого использования лекарственных средств; подготовка специалистов-медиков по программам высшего и послевузовского образования; проведение исследований на соответствующих уровнях; укрепление внутриотраслевого и межотраслевого сотрудничества; а также создание стимулов для освобождения наркоманов от вредных привычек, их реабилитации и возвращения к трудовой, общественной и семейной жизни. </w:t>
      </w:r>
    </w:p>
    <w:p w:rsidR="00000000" w:rsidRDefault="00000000">
      <w:pPr>
        <w:pStyle w:val="BodyText"/>
      </w:pPr>
      <w:r>
        <w:t>604.</w:t>
      </w:r>
      <w:r>
        <w:tab/>
        <w:t xml:space="preserve">Создана функциональная структура лечения наркоманов от наркозависимости, в рамках которой в стране действуют 195 общинных центров психического здоровья, являющихся ведущими медицинскими учреждениями по борьбе с различными видами наркотической зависимости; эти центры координируют свою деятельность с семейными врачами и медицинскими сестрами и с учреждениями вторичного уровня медицинского обслуживания (больницами). </w:t>
      </w:r>
    </w:p>
    <w:p w:rsidR="00000000" w:rsidRDefault="00000000">
      <w:pPr>
        <w:pStyle w:val="BodyText"/>
      </w:pPr>
      <w:r>
        <w:t>605.</w:t>
      </w:r>
      <w:r>
        <w:tab/>
        <w:t xml:space="preserve">После того как, в зависимости от состояния больного, ему оказывается срочная или неотложная помощь в отделениях интенсивной или промежуточной терапии, стабилизацией его состояния занимаются существующие в психиатрических больницах отделения помощи в критических ситуациях. </w:t>
      </w:r>
    </w:p>
    <w:p w:rsidR="00000000" w:rsidRDefault="00000000">
      <w:pPr>
        <w:pStyle w:val="BodyText"/>
      </w:pPr>
      <w:r>
        <w:t>606.</w:t>
      </w:r>
      <w:r>
        <w:tab/>
        <w:t xml:space="preserve">Наконец, помощь таким пациентам оказывают также специализированные отделения и службы психиатрических больниц среднесрочного и долговременного пребывания, в задачу которых входят освобождение пациентов от вредных привычек и их реабилитация в тех случаях, когда это невозможно сделать амбулаторно в общине. </w:t>
      </w:r>
    </w:p>
    <w:p w:rsidR="00000000" w:rsidRDefault="00000000">
      <w:pPr>
        <w:pStyle w:val="BodyText"/>
      </w:pPr>
      <w:r>
        <w:t>607.</w:t>
      </w:r>
      <w:r>
        <w:tab/>
        <w:t>В отношении лекарственных средств и средств диагностики осуществляется следующее:</w:t>
      </w:r>
    </w:p>
    <w:p w:rsidR="00000000" w:rsidRDefault="00000000">
      <w:pPr>
        <w:pStyle w:val="BodyText"/>
        <w:tabs>
          <w:tab w:val="clear" w:pos="907"/>
        </w:tabs>
        <w:ind w:left="1134"/>
      </w:pPr>
      <w:r>
        <w:rPr>
          <w:lang w:val="en-US"/>
        </w:rPr>
        <w:t>i</w:t>
      </w:r>
      <w:r>
        <w:t>.</w:t>
      </w:r>
      <w:r>
        <w:tab/>
        <w:t>Определяется необходимость приобретения специальных лекарственных средств и средств лечения от наркозависимости.</w:t>
      </w:r>
    </w:p>
    <w:p w:rsidR="00000000" w:rsidRDefault="00000000">
      <w:pPr>
        <w:pStyle w:val="BodyText"/>
        <w:tabs>
          <w:tab w:val="clear" w:pos="907"/>
        </w:tabs>
        <w:ind w:left="1134"/>
      </w:pPr>
      <w:r>
        <w:rPr>
          <w:lang w:val="en-US"/>
        </w:rPr>
        <w:t>ii</w:t>
      </w:r>
      <w:r>
        <w:t>.</w:t>
      </w:r>
      <w:r>
        <w:tab/>
        <w:t>Закупаются и после апробации в столице распространяются по всей стране средства диагностики на основе анализа мочи (наборы для выявления комплекса наркотических средств и отдельных наркотиков).</w:t>
      </w:r>
    </w:p>
    <w:p w:rsidR="00000000" w:rsidRDefault="00000000">
      <w:pPr>
        <w:pStyle w:val="BodyText"/>
        <w:tabs>
          <w:tab w:val="clear" w:pos="907"/>
        </w:tabs>
        <w:ind w:left="1134"/>
      </w:pPr>
      <w:r>
        <w:rPr>
          <w:lang w:val="en-US"/>
        </w:rPr>
        <w:t>iii</w:t>
      </w:r>
      <w:r>
        <w:t>.</w:t>
      </w:r>
      <w:r>
        <w:tab/>
        <w:t>Используется оборудование для проведения количественного анализа (газовый хроматограф, соединенный с масс-спектрометром), что позволяет проводить точную диагностику, выявлять наркотики, которые не определяются методами качественного анализа, и получить значимую для судебной медицины информацию.</w:t>
      </w:r>
    </w:p>
    <w:p w:rsidR="00000000" w:rsidRDefault="00000000">
      <w:pPr>
        <w:pStyle w:val="BodyText"/>
        <w:tabs>
          <w:tab w:val="clear" w:pos="907"/>
        </w:tabs>
        <w:ind w:left="1134"/>
      </w:pPr>
      <w:r>
        <w:rPr>
          <w:lang w:val="en-US"/>
        </w:rPr>
        <w:t>iv</w:t>
      </w:r>
      <w:r>
        <w:t>.</w:t>
      </w:r>
      <w:r>
        <w:tab/>
        <w:t>Налаживается сотрудничество с Национальным токсикологическим центром (СЕНАТОКС) с целью обмена информацией, консультирования по телефону, а также лечения сложных случаев непосредственно на местах.</w:t>
      </w:r>
    </w:p>
    <w:p w:rsidR="00000000" w:rsidRDefault="00000000">
      <w:pPr>
        <w:pStyle w:val="BodyText"/>
        <w:tabs>
          <w:tab w:val="clear" w:pos="907"/>
        </w:tabs>
        <w:ind w:left="1134"/>
      </w:pPr>
      <w:r>
        <w:rPr>
          <w:lang w:val="en-US"/>
        </w:rPr>
        <w:t>v</w:t>
      </w:r>
      <w:r>
        <w:t>.</w:t>
      </w:r>
      <w:r>
        <w:tab/>
        <w:t xml:space="preserve">Принимаются меры по контролю и ревизии наркотических, психотропных и других имеющих аналогичное действие веществ посредством проверок выполнения правил и норм, а также соблюдения мер безопасности на всех этапах их перевозки, в аптеках и на складах. Эта работа проводится совместно с предприятиями химико-фармацевтической отрасли. </w:t>
      </w:r>
    </w:p>
    <w:p w:rsidR="00000000" w:rsidRDefault="00000000">
      <w:pPr>
        <w:pStyle w:val="BodyText"/>
        <w:tabs>
          <w:tab w:val="clear" w:pos="907"/>
        </w:tabs>
        <w:ind w:left="1134"/>
      </w:pPr>
      <w:r>
        <w:rPr>
          <w:lang w:val="en-US"/>
        </w:rPr>
        <w:t>vi</w:t>
      </w:r>
      <w:r>
        <w:t>.</w:t>
      </w:r>
      <w:r>
        <w:tab/>
        <w:t>Разработаны практические руководства по применению метилфенидата, тригексифенидила и по снятию болей у онкологических больных. Правильное применение этих лекарств пропагандируется и другими методами, и отмечается сокращение их использования врачами.</w:t>
      </w:r>
    </w:p>
    <w:p w:rsidR="00000000" w:rsidRDefault="00000000">
      <w:pPr>
        <w:pStyle w:val="BodyText"/>
        <w:tabs>
          <w:tab w:val="clear" w:pos="907"/>
        </w:tabs>
        <w:ind w:left="1134"/>
      </w:pPr>
      <w:r>
        <w:rPr>
          <w:lang w:val="en-US"/>
        </w:rPr>
        <w:t>vii</w:t>
      </w:r>
      <w:r>
        <w:t>.</w:t>
      </w:r>
      <w:r>
        <w:tab/>
        <w:t xml:space="preserve">Совместно с ветеринарными службами осуществляются контроль и ревизии используемых в этой отрасли наркотических средств и принимаются соответствующие меры. </w:t>
      </w:r>
    </w:p>
    <w:p w:rsidR="00000000" w:rsidRDefault="00000000">
      <w:pPr>
        <w:pStyle w:val="BodyText"/>
      </w:pPr>
      <w:r>
        <w:t>608.</w:t>
      </w:r>
      <w:r>
        <w:tab/>
        <w:t>Что касается обучения, то совместно с Научным комитетом по проблемам наркозависимости при Высшем институте медицинских наук в Гаване и с Отделом послевузовского образования Главного управления по педагогическим кадрам ведется разработка учебных материалов по проблемам наркотиков, чтобы таким образом обеспечить качество и устойчивость образовательного процесса как в сфере здравоохранения, так и по просьбам других отраслей и совместно с ними.</w:t>
      </w:r>
    </w:p>
    <w:p w:rsidR="00000000" w:rsidRDefault="00000000">
      <w:pPr>
        <w:pStyle w:val="BodyText"/>
      </w:pPr>
      <w:r>
        <w:t>609.</w:t>
      </w:r>
      <w:r>
        <w:tab/>
        <w:t xml:space="preserve">Во всех провинциях ведется подготовка специалистов с высшим образованием по проблемам наркотиков, вносятся изменения в программы магистратуры по социальной психологии в Университетской больнице имени 10 Октября и в филиале Института города Камагуэй, печатается и направляется всем семейным врачам буклет по вопросам помощи лицам с наркотической зависимостью в общинах, ведется обучение сотрудников других ведомств, например туристических компаний, органов высшего образования и международного санитарного контроля, а также читаются базовые курсы по проблемам наркотической зависимости для сотрудников подразделений по работе в кризисных ситуациях, общинных центров психического здоровья и центров освобождения от вредных привычек. Сотрудники оперативной группы по вопросам психического здоровья и наркотической зависимости участвуют в работе семинаров и практикумов, которые проводит Национальная комиссия по наркотикам при Министерстве юстиции. </w:t>
      </w:r>
    </w:p>
    <w:p w:rsidR="00000000" w:rsidRDefault="00000000">
      <w:pPr>
        <w:pStyle w:val="BodyText"/>
      </w:pPr>
      <w:r>
        <w:t>610.</w:t>
      </w:r>
      <w:r>
        <w:tab/>
        <w:t xml:space="preserve">Создается "антинаркотическая линия доверия": ее сотрудники проходят подготовку в столице, а затем действие "линии" распространяется на всю страну. В провинциях Ольгин и Санкти-Спиритус подобные службы действуют уже в нескольких муниципалитетах. </w:t>
      </w:r>
    </w:p>
    <w:p w:rsidR="00000000" w:rsidRDefault="00000000">
      <w:pPr>
        <w:pStyle w:val="BodyText"/>
      </w:pPr>
      <w:r>
        <w:t>611.</w:t>
      </w:r>
      <w:r>
        <w:tab/>
        <w:t xml:space="preserve">В рамках работы по активному выявлению конкретных случаев, просвещению населения, установлению подлинной сущности наркозависимости и оказанию помощи наркоманам Министерство здравоохранения обеспечивает и расширяет участие семейных врачей и персонала общинных центров психического здоровья в проведении санитарных проверок, дискуссий на местах и в других видах деятельности. Все шире к этой работе в провинциях привлекаются также СМИ – как печатная пресса, так и радиовещание и телевидение. </w:t>
      </w:r>
    </w:p>
    <w:p w:rsidR="00000000" w:rsidRDefault="00000000">
      <w:pPr>
        <w:pStyle w:val="BodyText"/>
      </w:pPr>
      <w:r>
        <w:t>612.</w:t>
      </w:r>
      <w:r>
        <w:tab/>
        <w:t xml:space="preserve">Что касается табакокурения, то в ходе проведенных исследований и опросов выяснилось, что курят около 767 330 женщин. Доля курящих сократилась с 36,8 процента в 1995 году до 32 процентов в 2001 году, причем больше всего курящих в возрастной группе от 40 до 49 лет, за ней следуют группы от 30 до 39 лет и 50 лет и старше. Соответственно, число курильщиков с возрастом растет, а после 50 лет идет на убыль. </w:t>
      </w:r>
    </w:p>
    <w:p w:rsidR="00000000" w:rsidRDefault="00000000">
      <w:pPr>
        <w:pStyle w:val="BodyText"/>
      </w:pPr>
      <w:r>
        <w:t>613.</w:t>
      </w:r>
      <w:r>
        <w:tab/>
        <w:t xml:space="preserve">Среди населения в возрасте от 20 до 24 лет доля курящих составляет 21 процент, причем 76 процентов из них начали курить в возрасте моложе 20 лет. Чаще всего представители обоих полов начинают курить в возрасте между 12 и 16 годами, причем раньше к этой вредной привычке приобщаются мужчины. </w:t>
      </w:r>
    </w:p>
    <w:p w:rsidR="00000000" w:rsidRDefault="00000000">
      <w:pPr>
        <w:pStyle w:val="BodyText"/>
      </w:pPr>
      <w:r>
        <w:t>614.</w:t>
      </w:r>
      <w:r>
        <w:tab/>
        <w:t>Были проведены разного рода пропагандистские и профилактические мероприятия, а также приняты меры и решения, ограничивающие возможности для курения. К их числу относятся: Постановление № 130, запрещающее курение в учреждениях здравоохранения и торговли; Постановление № 277, которым налагается запрет на продажу табачных изделий лицам моложе 16 лет и в школах, запрещается курение в закрытых помещениях и т. д.</w:t>
      </w:r>
    </w:p>
    <w:p w:rsidR="00000000" w:rsidRDefault="00000000">
      <w:pPr>
        <w:pStyle w:val="BodyText"/>
      </w:pPr>
    </w:p>
    <w:p w:rsidR="00000000" w:rsidRDefault="00000000">
      <w:pPr>
        <w:pStyle w:val="BodyText"/>
        <w:rPr>
          <w:i/>
        </w:rPr>
      </w:pPr>
    </w:p>
    <w:p w:rsidR="00000000" w:rsidRDefault="00000000">
      <w:pPr>
        <w:pStyle w:val="BodyText"/>
        <w:rPr>
          <w:i/>
        </w:rPr>
      </w:pPr>
      <w:r>
        <w:rPr>
          <w:i/>
        </w:rPr>
        <w:br w:type="page"/>
        <w:t>Самоубийства</w:t>
      </w:r>
    </w:p>
    <w:p w:rsidR="00000000" w:rsidRDefault="00000000">
      <w:pPr>
        <w:pStyle w:val="BodyText"/>
      </w:pPr>
      <w:r>
        <w:t>615.</w:t>
      </w:r>
      <w:r>
        <w:tab/>
        <w:t xml:space="preserve">Можно утверждать, что в результате реализации Национальной программы предупреждения самоубийств на протяжении уже ряда лет число самоубийств имеет тенденцию к сокращению. Коэффициент смертности в результате причиненных себе повреждений составил в 2002 году по обоим полам и всем возрастным группам 8,1 (на 100 тыс. человек), причем случаи самоубийств чаще встречались в возрастной группе от 60 лет и старше (17,6), за ней следует возрастная группа от 50 до 59 лет (11,3); по всем группам показатели для мужчин выше, чем для женщин. </w:t>
      </w:r>
    </w:p>
    <w:p w:rsidR="00000000" w:rsidRDefault="00000000">
      <w:pPr>
        <w:pStyle w:val="BodyText"/>
        <w:spacing w:after="180"/>
      </w:pPr>
      <w:r>
        <w:tab/>
      </w:r>
      <w:r>
        <w:rPr>
          <w:b/>
        </w:rPr>
        <w:t>Смертность в результате причиненных себе повреждений</w:t>
      </w:r>
      <w:r>
        <w:t xml:space="preserve"> (на 100 тыс. жителей)</w:t>
      </w:r>
    </w:p>
    <w:tbl>
      <w:tblPr>
        <w:tblW w:w="0" w:type="auto"/>
        <w:tblInd w:w="31" w:type="dxa"/>
        <w:tblLayout w:type="fixed"/>
        <w:tblCellMar>
          <w:left w:w="56" w:type="dxa"/>
          <w:right w:w="56" w:type="dxa"/>
        </w:tblCellMar>
        <w:tblLook w:val="01E0" w:firstRow="1" w:lastRow="1" w:firstColumn="1" w:lastColumn="1" w:noHBand="0" w:noVBand="0"/>
      </w:tblPr>
      <w:tblGrid>
        <w:gridCol w:w="1985"/>
        <w:gridCol w:w="2552"/>
        <w:gridCol w:w="2552"/>
        <w:gridCol w:w="2268"/>
      </w:tblGrid>
      <w:tr w:rsidR="00000000">
        <w:tblPrEx>
          <w:tblCellMar>
            <w:top w:w="0" w:type="dxa"/>
            <w:bottom w:w="0" w:type="dxa"/>
          </w:tblCellMar>
        </w:tblPrEx>
        <w:tc>
          <w:tcPr>
            <w:tcW w:w="1985" w:type="dxa"/>
            <w:shd w:val="clear" w:color="auto" w:fill="FFFFFF"/>
          </w:tcPr>
          <w:p w:rsidR="00000000" w:rsidRDefault="00000000">
            <w:pPr>
              <w:pStyle w:val="BodyText"/>
              <w:spacing w:before="20" w:after="20"/>
              <w:ind w:left="0" w:firstLine="0"/>
              <w:jc w:val="center"/>
              <w:rPr>
                <w:b/>
                <w:sz w:val="20"/>
              </w:rPr>
            </w:pPr>
            <w:r>
              <w:rPr>
                <w:b/>
                <w:sz w:val="20"/>
              </w:rPr>
              <w:t>Годы</w:t>
            </w:r>
          </w:p>
        </w:tc>
        <w:tc>
          <w:tcPr>
            <w:tcW w:w="2552" w:type="dxa"/>
            <w:shd w:val="clear" w:color="auto" w:fill="FFFFFF"/>
          </w:tcPr>
          <w:p w:rsidR="00000000" w:rsidRDefault="00000000">
            <w:pPr>
              <w:pStyle w:val="BodyText"/>
              <w:spacing w:before="20" w:after="20"/>
              <w:ind w:left="0" w:firstLine="0"/>
              <w:jc w:val="center"/>
              <w:rPr>
                <w:b/>
                <w:sz w:val="20"/>
              </w:rPr>
            </w:pPr>
            <w:r>
              <w:rPr>
                <w:b/>
                <w:sz w:val="20"/>
              </w:rPr>
              <w:t>Мужчины</w:t>
            </w:r>
          </w:p>
        </w:tc>
        <w:tc>
          <w:tcPr>
            <w:tcW w:w="2552" w:type="dxa"/>
            <w:shd w:val="clear" w:color="auto" w:fill="FFFFFF"/>
          </w:tcPr>
          <w:p w:rsidR="00000000" w:rsidRDefault="00000000">
            <w:pPr>
              <w:pStyle w:val="BodyText"/>
              <w:spacing w:before="20" w:after="20"/>
              <w:ind w:left="0" w:firstLine="0"/>
              <w:jc w:val="center"/>
              <w:rPr>
                <w:b/>
                <w:sz w:val="20"/>
              </w:rPr>
            </w:pPr>
            <w:r>
              <w:rPr>
                <w:b/>
                <w:sz w:val="20"/>
              </w:rPr>
              <w:t>Женщины</w:t>
            </w:r>
          </w:p>
        </w:tc>
        <w:tc>
          <w:tcPr>
            <w:tcW w:w="2268" w:type="dxa"/>
            <w:shd w:val="clear" w:color="auto" w:fill="FFFFFF"/>
          </w:tcPr>
          <w:p w:rsidR="00000000" w:rsidRDefault="00000000">
            <w:pPr>
              <w:pStyle w:val="BodyText"/>
              <w:spacing w:before="20" w:after="20"/>
              <w:ind w:left="0" w:firstLine="0"/>
              <w:jc w:val="center"/>
              <w:rPr>
                <w:b/>
                <w:sz w:val="20"/>
              </w:rPr>
            </w:pPr>
            <w:r>
              <w:rPr>
                <w:b/>
                <w:sz w:val="20"/>
              </w:rPr>
              <w:t>Всего</w:t>
            </w:r>
          </w:p>
        </w:tc>
      </w:tr>
      <w:tr w:rsidR="00000000">
        <w:tblPrEx>
          <w:tblCellMar>
            <w:top w:w="0" w:type="dxa"/>
            <w:bottom w:w="0" w:type="dxa"/>
          </w:tblCellMar>
        </w:tblPrEx>
        <w:tc>
          <w:tcPr>
            <w:tcW w:w="1985" w:type="dxa"/>
          </w:tcPr>
          <w:p w:rsidR="00000000" w:rsidRDefault="00000000">
            <w:pPr>
              <w:pStyle w:val="BodyText"/>
              <w:spacing w:before="20" w:after="20"/>
              <w:ind w:left="0" w:firstLine="0"/>
              <w:jc w:val="center"/>
              <w:rPr>
                <w:sz w:val="20"/>
              </w:rPr>
            </w:pPr>
            <w:r>
              <w:rPr>
                <w:sz w:val="20"/>
              </w:rPr>
              <w:t>1980</w:t>
            </w:r>
          </w:p>
        </w:tc>
        <w:tc>
          <w:tcPr>
            <w:tcW w:w="2552" w:type="dxa"/>
          </w:tcPr>
          <w:p w:rsidR="00000000" w:rsidRDefault="00000000">
            <w:pPr>
              <w:pStyle w:val="BodyText"/>
              <w:spacing w:before="20" w:after="20"/>
              <w:ind w:left="0" w:firstLine="0"/>
              <w:jc w:val="center"/>
              <w:rPr>
                <w:sz w:val="20"/>
              </w:rPr>
            </w:pPr>
            <w:r>
              <w:rPr>
                <w:sz w:val="20"/>
              </w:rPr>
              <w:t>1,9</w:t>
            </w:r>
          </w:p>
        </w:tc>
        <w:tc>
          <w:tcPr>
            <w:tcW w:w="2552" w:type="dxa"/>
          </w:tcPr>
          <w:p w:rsidR="00000000" w:rsidRDefault="00000000">
            <w:pPr>
              <w:pStyle w:val="BodyText"/>
              <w:spacing w:before="20" w:after="20"/>
              <w:ind w:left="0" w:firstLine="0"/>
              <w:jc w:val="center"/>
              <w:rPr>
                <w:sz w:val="20"/>
              </w:rPr>
            </w:pPr>
            <w:r>
              <w:rPr>
                <w:sz w:val="20"/>
              </w:rPr>
              <w:t>20,9</w:t>
            </w:r>
          </w:p>
        </w:tc>
        <w:tc>
          <w:tcPr>
            <w:tcW w:w="2268" w:type="dxa"/>
          </w:tcPr>
          <w:p w:rsidR="00000000" w:rsidRDefault="00000000">
            <w:pPr>
              <w:pStyle w:val="BodyText"/>
              <w:spacing w:before="20" w:after="20"/>
              <w:ind w:left="0" w:firstLine="0"/>
              <w:jc w:val="center"/>
              <w:rPr>
                <w:sz w:val="20"/>
              </w:rPr>
            </w:pPr>
            <w:r>
              <w:rPr>
                <w:sz w:val="20"/>
              </w:rPr>
              <w:t>21,4</w:t>
            </w:r>
          </w:p>
        </w:tc>
      </w:tr>
      <w:tr w:rsidR="00000000">
        <w:tblPrEx>
          <w:tblCellMar>
            <w:top w:w="0" w:type="dxa"/>
            <w:bottom w:w="0" w:type="dxa"/>
          </w:tblCellMar>
        </w:tblPrEx>
        <w:tc>
          <w:tcPr>
            <w:tcW w:w="1985" w:type="dxa"/>
          </w:tcPr>
          <w:p w:rsidR="00000000" w:rsidRDefault="00000000">
            <w:pPr>
              <w:pStyle w:val="BodyText"/>
              <w:spacing w:before="20" w:after="20"/>
              <w:ind w:left="0" w:firstLine="0"/>
              <w:jc w:val="center"/>
              <w:rPr>
                <w:sz w:val="20"/>
              </w:rPr>
            </w:pPr>
            <w:r>
              <w:rPr>
                <w:sz w:val="20"/>
              </w:rPr>
              <w:t>1990</w:t>
            </w:r>
          </w:p>
        </w:tc>
        <w:tc>
          <w:tcPr>
            <w:tcW w:w="2552" w:type="dxa"/>
          </w:tcPr>
          <w:p w:rsidR="00000000" w:rsidRDefault="00000000">
            <w:pPr>
              <w:pStyle w:val="BodyText"/>
              <w:spacing w:before="20" w:after="20"/>
              <w:ind w:left="0" w:firstLine="0"/>
              <w:jc w:val="center"/>
              <w:rPr>
                <w:sz w:val="20"/>
              </w:rPr>
            </w:pPr>
            <w:r>
              <w:rPr>
                <w:sz w:val="20"/>
              </w:rPr>
              <w:t>23,0</w:t>
            </w:r>
          </w:p>
        </w:tc>
        <w:tc>
          <w:tcPr>
            <w:tcW w:w="2552" w:type="dxa"/>
          </w:tcPr>
          <w:p w:rsidR="00000000" w:rsidRDefault="00000000">
            <w:pPr>
              <w:pStyle w:val="BodyText"/>
              <w:spacing w:before="20" w:after="20"/>
              <w:ind w:left="0" w:firstLine="0"/>
              <w:jc w:val="center"/>
              <w:rPr>
                <w:sz w:val="20"/>
              </w:rPr>
            </w:pPr>
            <w:r>
              <w:rPr>
                <w:sz w:val="20"/>
              </w:rPr>
              <w:t>17,8</w:t>
            </w:r>
          </w:p>
        </w:tc>
        <w:tc>
          <w:tcPr>
            <w:tcW w:w="2268" w:type="dxa"/>
          </w:tcPr>
          <w:p w:rsidR="00000000" w:rsidRDefault="00000000">
            <w:pPr>
              <w:pStyle w:val="BodyText"/>
              <w:spacing w:before="20" w:after="20"/>
              <w:ind w:left="0" w:firstLine="0"/>
              <w:jc w:val="center"/>
              <w:rPr>
                <w:sz w:val="20"/>
              </w:rPr>
            </w:pPr>
            <w:r>
              <w:rPr>
                <w:sz w:val="20"/>
              </w:rPr>
              <w:t>20,4</w:t>
            </w:r>
          </w:p>
        </w:tc>
      </w:tr>
      <w:tr w:rsidR="00000000">
        <w:tblPrEx>
          <w:tblCellMar>
            <w:top w:w="0" w:type="dxa"/>
            <w:bottom w:w="0" w:type="dxa"/>
          </w:tblCellMar>
        </w:tblPrEx>
        <w:tc>
          <w:tcPr>
            <w:tcW w:w="1985" w:type="dxa"/>
          </w:tcPr>
          <w:p w:rsidR="00000000" w:rsidRDefault="00000000">
            <w:pPr>
              <w:pStyle w:val="BodyText"/>
              <w:spacing w:before="20" w:after="20"/>
              <w:ind w:left="0" w:firstLine="0"/>
              <w:jc w:val="center"/>
              <w:rPr>
                <w:sz w:val="20"/>
              </w:rPr>
            </w:pPr>
            <w:r>
              <w:rPr>
                <w:sz w:val="20"/>
              </w:rPr>
              <w:t>2001</w:t>
            </w:r>
          </w:p>
        </w:tc>
        <w:tc>
          <w:tcPr>
            <w:tcW w:w="2552" w:type="dxa"/>
          </w:tcPr>
          <w:p w:rsidR="00000000" w:rsidRDefault="00000000">
            <w:pPr>
              <w:pStyle w:val="BodyText"/>
              <w:spacing w:before="20" w:after="20"/>
              <w:ind w:left="0" w:firstLine="0"/>
              <w:jc w:val="center"/>
              <w:rPr>
                <w:sz w:val="20"/>
              </w:rPr>
            </w:pPr>
            <w:r>
              <w:rPr>
                <w:sz w:val="20"/>
              </w:rPr>
              <w:t>21,4</w:t>
            </w:r>
          </w:p>
        </w:tc>
        <w:tc>
          <w:tcPr>
            <w:tcW w:w="2552" w:type="dxa"/>
          </w:tcPr>
          <w:p w:rsidR="00000000" w:rsidRDefault="00000000">
            <w:pPr>
              <w:pStyle w:val="BodyText"/>
              <w:spacing w:before="20" w:after="20"/>
              <w:ind w:left="0" w:firstLine="0"/>
              <w:jc w:val="center"/>
              <w:rPr>
                <w:sz w:val="20"/>
              </w:rPr>
            </w:pPr>
            <w:r>
              <w:rPr>
                <w:sz w:val="20"/>
              </w:rPr>
              <w:t>8,0</w:t>
            </w:r>
          </w:p>
        </w:tc>
        <w:tc>
          <w:tcPr>
            <w:tcW w:w="2268" w:type="dxa"/>
          </w:tcPr>
          <w:p w:rsidR="00000000" w:rsidRDefault="00000000">
            <w:pPr>
              <w:pStyle w:val="BodyText"/>
              <w:spacing w:before="20" w:after="20"/>
              <w:ind w:left="0" w:firstLine="0"/>
              <w:jc w:val="center"/>
              <w:rPr>
                <w:sz w:val="20"/>
              </w:rPr>
            </w:pPr>
            <w:r>
              <w:rPr>
                <w:sz w:val="20"/>
              </w:rPr>
              <w:t>14,7</w:t>
            </w:r>
          </w:p>
        </w:tc>
      </w:tr>
      <w:tr w:rsidR="00000000">
        <w:tblPrEx>
          <w:tblCellMar>
            <w:top w:w="0" w:type="dxa"/>
            <w:bottom w:w="0" w:type="dxa"/>
          </w:tblCellMar>
        </w:tblPrEx>
        <w:tc>
          <w:tcPr>
            <w:tcW w:w="1985" w:type="dxa"/>
          </w:tcPr>
          <w:p w:rsidR="00000000" w:rsidRDefault="00000000">
            <w:pPr>
              <w:pStyle w:val="BodyText"/>
              <w:spacing w:before="20" w:after="20"/>
              <w:ind w:left="0" w:firstLine="0"/>
              <w:jc w:val="center"/>
              <w:rPr>
                <w:sz w:val="20"/>
              </w:rPr>
            </w:pPr>
            <w:r>
              <w:rPr>
                <w:sz w:val="20"/>
              </w:rPr>
              <w:t>2002</w:t>
            </w:r>
          </w:p>
        </w:tc>
        <w:tc>
          <w:tcPr>
            <w:tcW w:w="2552" w:type="dxa"/>
          </w:tcPr>
          <w:p w:rsidR="00000000" w:rsidRDefault="00000000">
            <w:pPr>
              <w:pStyle w:val="BodyText"/>
              <w:spacing w:before="20" w:after="20"/>
              <w:ind w:left="0" w:firstLine="0"/>
              <w:jc w:val="center"/>
              <w:rPr>
                <w:sz w:val="20"/>
              </w:rPr>
            </w:pPr>
            <w:r>
              <w:rPr>
                <w:sz w:val="20"/>
              </w:rPr>
              <w:t>20,3</w:t>
            </w:r>
          </w:p>
        </w:tc>
        <w:tc>
          <w:tcPr>
            <w:tcW w:w="2552" w:type="dxa"/>
          </w:tcPr>
          <w:p w:rsidR="00000000" w:rsidRDefault="00000000">
            <w:pPr>
              <w:pStyle w:val="BodyText"/>
              <w:spacing w:before="20" w:after="20"/>
              <w:ind w:left="0" w:firstLine="0"/>
              <w:jc w:val="center"/>
              <w:rPr>
                <w:sz w:val="20"/>
              </w:rPr>
            </w:pPr>
            <w:r>
              <w:rPr>
                <w:sz w:val="20"/>
              </w:rPr>
              <w:t>8,1</w:t>
            </w:r>
          </w:p>
        </w:tc>
        <w:tc>
          <w:tcPr>
            <w:tcW w:w="2268" w:type="dxa"/>
          </w:tcPr>
          <w:p w:rsidR="00000000" w:rsidRDefault="00000000">
            <w:pPr>
              <w:pStyle w:val="BodyText"/>
              <w:spacing w:before="20" w:after="20"/>
              <w:ind w:left="0" w:firstLine="0"/>
              <w:jc w:val="center"/>
              <w:rPr>
                <w:sz w:val="20"/>
              </w:rPr>
            </w:pPr>
            <w:r>
              <w:rPr>
                <w:sz w:val="20"/>
              </w:rPr>
              <w:t>14,1</w:t>
            </w:r>
          </w:p>
        </w:tc>
      </w:tr>
    </w:tbl>
    <w:p w:rsidR="00000000" w:rsidRDefault="00000000">
      <w:pPr>
        <w:pStyle w:val="BodyText"/>
        <w:spacing w:before="80"/>
        <w:rPr>
          <w:sz w:val="20"/>
        </w:rPr>
      </w:pPr>
      <w:r>
        <w:rPr>
          <w:sz w:val="20"/>
          <w:lang w:val="en-US"/>
        </w:rPr>
        <w:tab/>
      </w:r>
      <w:r>
        <w:rPr>
          <w:i/>
          <w:sz w:val="20"/>
        </w:rPr>
        <w:t>Источник</w:t>
      </w:r>
      <w:r>
        <w:rPr>
          <w:sz w:val="20"/>
        </w:rPr>
        <w:t>: Национальное статистическое управление. Министерство здравоохранения.</w:t>
      </w:r>
    </w:p>
    <w:p w:rsidR="00000000" w:rsidRDefault="00000000">
      <w:pPr>
        <w:pStyle w:val="BodyText"/>
      </w:pPr>
      <w:r>
        <w:t>616.</w:t>
      </w:r>
      <w:r>
        <w:tab/>
        <w:t xml:space="preserve">К числу возможных факторов, предопределяющих подобные поступки пожилых людей, относятся: потеря супруга (супруги) (вдовство), неизлечимые и хронические заболевания, угрожающие жизни, а также одиночество. Женщины более крепки и более выносливы, нежели мужчины; кроме того, на местах им оказывают поддержку первичные организации Федерации кубинских женщин, консультационные центры по делам женщин и семей и другие организации. Они помогают женщинам участвовать в жизни общины, следят за тем, как складываются их отношения в семьях и как удовлетворяются их жизненные и эмоциональные потребности. К числу институциональных органов относятся дома престарелых, в которых проживают пожилые люди, не имеющие поддержки со стороны детей, а также центры пожилых людей, действующие как общественные кружки. </w:t>
      </w:r>
    </w:p>
    <w:p w:rsidR="00000000" w:rsidRDefault="00000000">
      <w:pPr>
        <w:pStyle w:val="BodyText"/>
      </w:pPr>
      <w:r>
        <w:t>617.</w:t>
      </w:r>
      <w:r>
        <w:tab/>
        <w:t>Кубинская система здравоохранения с ее получившей всемирное признание моделью первичной медицинской помощи организует диспансеризацию групп риска и оказывает комплексную и специализированную помощь бесплатно и на равных условиях для всех.</w:t>
      </w:r>
    </w:p>
    <w:p w:rsidR="00000000" w:rsidRDefault="00000000">
      <w:pPr>
        <w:pStyle w:val="BodyText"/>
      </w:pPr>
      <w:r>
        <w:t>618.</w:t>
      </w:r>
      <w:r>
        <w:tab/>
        <w:t xml:space="preserve">Больше всего женщин с психическими расстройствами в возрастной группе от 50 до 59 лет; среди выписавшихся из больниц подобный диагноз имели 688 человек, или 3,06 процента от общего числа женщин, проходивших лечение в больницах. </w:t>
      </w:r>
    </w:p>
    <w:p w:rsidR="00000000" w:rsidRDefault="00000000">
      <w:pPr>
        <w:pStyle w:val="BodyText"/>
      </w:pPr>
      <w:r>
        <w:t>619.</w:t>
      </w:r>
      <w:r>
        <w:tab/>
        <w:t xml:space="preserve">Что касается случаев насильственной смерти, то в результате насилия чаще умирают мужчины, нежели женщины; однако, по данным за 2002 год, для женщин в возрасте от 20 до 49 лет этот показатель составил 5,6 на 100 тыс. человек. </w:t>
      </w:r>
    </w:p>
    <w:p w:rsidR="00000000" w:rsidRDefault="00000000">
      <w:pPr>
        <w:pStyle w:val="BodyText"/>
        <w:spacing w:after="0"/>
      </w:pPr>
    </w:p>
    <w:p w:rsidR="00000000" w:rsidRDefault="00000000">
      <w:pPr>
        <w:pStyle w:val="BodyText"/>
        <w:rPr>
          <w:i/>
        </w:rPr>
      </w:pPr>
      <w:r>
        <w:rPr>
          <w:i/>
          <w:color w:val="000000"/>
        </w:rPr>
        <w:t>Воздействие блокады на положение в области здравоохранения</w:t>
      </w:r>
    </w:p>
    <w:p w:rsidR="00000000" w:rsidRDefault="00000000">
      <w:pPr>
        <w:pStyle w:val="BodyText"/>
        <w:rPr>
          <w:color w:val="000000"/>
        </w:rPr>
      </w:pPr>
      <w:r>
        <w:rPr>
          <w:color w:val="000000"/>
        </w:rPr>
        <w:t>620.</w:t>
      </w:r>
      <w:r>
        <w:rPr>
          <w:color w:val="000000"/>
        </w:rPr>
        <w:tab/>
        <w:t xml:space="preserve">В истории человечества не было ранее примеров столь длительной и последовательной агрессии против какой-либо страны, как политика блокады, осуществляемая на протяжении стольких лет в отношении Кубы. Запрет на приобретение фармацевтической продукции, медицинского оборудования и сырья, необходимых для лабораторного и промышленного производства медикаментов, имеет целью покушение на здоровье нации в целом и женщин и детей в частности. Кубинское государство приложило чрезвычайные усилия к тому, чтобы изменить подобное положение дел, и в результате удалось сохранить медицинское обслуживание на прежнем уровне, продолжилась подготовка врачей и среднего медицинского персонала, работу не потерял ни один работник здравоохранения и, что еще более важно, из-за отсутствия медицинской помощи не умер ни один ребенок, ни одна женщина, ни один человек. </w:t>
      </w:r>
    </w:p>
    <w:p w:rsidR="00000000" w:rsidRDefault="00000000">
      <w:pPr>
        <w:pStyle w:val="BodyText"/>
      </w:pPr>
      <w:r>
        <w:rPr>
          <w:color w:val="000000"/>
        </w:rPr>
        <w:t>В качестве примера можно привести следующее</w:t>
      </w:r>
      <w:r>
        <w:t>:</w:t>
      </w:r>
    </w:p>
    <w:p w:rsidR="00000000" w:rsidRDefault="00000000">
      <w:pPr>
        <w:pStyle w:val="BodyText"/>
        <w:tabs>
          <w:tab w:val="clear" w:pos="567"/>
          <w:tab w:val="clear" w:pos="907"/>
        </w:tabs>
        <w:ind w:left="1134"/>
      </w:pPr>
      <w:r>
        <w:t>•</w:t>
      </w:r>
      <w:r>
        <w:tab/>
      </w:r>
      <w:r>
        <w:rPr>
          <w:color w:val="000000"/>
        </w:rPr>
        <w:t>Годовая потребность в гигиенических прокладках, которая оценивается приблизительно в 100 млн. штук, удовлетворяется примерно на 39 процентов, так как сырье для их изготовления приходится импортировать с ограничениями в связи с вышеуказанным. Поэтому тысячи женщин часто вынуждены прибегать к альтернативным средствам с риском получить вагинальные инфекции, которые не всегда удается вылечить вовремя и на что не хватает соответствующих лекарств.</w:t>
      </w:r>
    </w:p>
    <w:p w:rsidR="00000000" w:rsidRDefault="00000000">
      <w:pPr>
        <w:pStyle w:val="BodyText"/>
        <w:tabs>
          <w:tab w:val="clear" w:pos="567"/>
          <w:tab w:val="clear" w:pos="907"/>
        </w:tabs>
        <w:ind w:left="1134"/>
      </w:pPr>
      <w:r>
        <w:t>•</w:t>
      </w:r>
      <w:r>
        <w:tab/>
      </w:r>
      <w:r>
        <w:rPr>
          <w:color w:val="000000"/>
        </w:rPr>
        <w:t>Наносится ущерб программам раннего выявления рака шейки матки и молочной железы, реализация которых в 1968 и 1987 годах позволила значительно сократить уровень заболеваемости и смертности по этой причине. Не хватает диагностических средств для проведения цитолог</w:t>
      </w:r>
      <w:r>
        <w:rPr>
          <w:color w:val="000000"/>
        </w:rPr>
        <w:t>и</w:t>
      </w:r>
      <w:r>
        <w:rPr>
          <w:color w:val="000000"/>
        </w:rPr>
        <w:t>ческих исследований (тест Папаниколау), запасных частей для необходимого оборудования, т</w:t>
      </w:r>
      <w:r>
        <w:rPr>
          <w:color w:val="000000"/>
        </w:rPr>
        <w:t>о</w:t>
      </w:r>
      <w:r>
        <w:rPr>
          <w:color w:val="000000"/>
        </w:rPr>
        <w:t>плива, а также рентгеновских материалов для передвижных маммографических установок. Это приводит к тому, что кампании по маммографическому обследованию нельзя придать шир</w:t>
      </w:r>
      <w:r>
        <w:rPr>
          <w:color w:val="000000"/>
        </w:rPr>
        <w:t>о</w:t>
      </w:r>
      <w:r>
        <w:rPr>
          <w:color w:val="000000"/>
        </w:rPr>
        <w:t>кий характер в целях предупреждения заболеваний и оно проводится только в отношении женщин, составляющих очевидную группу риска.</w:t>
      </w:r>
    </w:p>
    <w:p w:rsidR="00000000" w:rsidRDefault="00000000">
      <w:pPr>
        <w:pStyle w:val="BodyText"/>
        <w:tabs>
          <w:tab w:val="clear" w:pos="567"/>
          <w:tab w:val="clear" w:pos="907"/>
        </w:tabs>
        <w:ind w:left="1134"/>
      </w:pPr>
      <w:r>
        <w:t>•</w:t>
      </w:r>
      <w:r>
        <w:tab/>
      </w:r>
      <w:r>
        <w:rPr>
          <w:color w:val="000000"/>
        </w:rPr>
        <w:t>На Кубе – 3 млн. женщин фертильного возраста. Из-за нехватки надежных, безвредных и легальных контрацептивных средств возрастает риск нежелательной или ранней беременности, аборта, рождения ребенка с недостаточным весом и т. п.</w:t>
      </w:r>
    </w:p>
    <w:p w:rsidR="00000000" w:rsidRDefault="00000000">
      <w:pPr>
        <w:pStyle w:val="BodyText"/>
        <w:tabs>
          <w:tab w:val="clear" w:pos="567"/>
          <w:tab w:val="clear" w:pos="907"/>
        </w:tabs>
        <w:ind w:left="1134"/>
      </w:pPr>
      <w:r>
        <w:t>•</w:t>
      </w:r>
      <w:r>
        <w:tab/>
      </w:r>
      <w:r>
        <w:rPr>
          <w:color w:val="000000"/>
        </w:rPr>
        <w:t>На каждую тысячу жителей приходится 16,7 диабетика, причем значительная доля из них являются инсулинозависимыми; их жизнь зависит от наличия или отсутствия лекарства. Среди женщин увеличилось число случаев смерти вследствие сахарного диабета.</w:t>
      </w:r>
    </w:p>
    <w:p w:rsidR="00000000" w:rsidRDefault="00000000">
      <w:pPr>
        <w:pStyle w:val="BodyText"/>
        <w:tabs>
          <w:tab w:val="clear" w:pos="567"/>
          <w:tab w:val="clear" w:pos="907"/>
        </w:tabs>
        <w:ind w:left="1134"/>
      </w:pPr>
      <w:r>
        <w:t>•</w:t>
      </w:r>
      <w:r>
        <w:tab/>
      </w:r>
      <w:r>
        <w:rPr>
          <w:color w:val="000000"/>
        </w:rPr>
        <w:t>Произошли изменения в составе пищи кубинцев. Только в 1996 году, например, затраты на импорт продуктов питания оценивались примерно на 43,8 млн. песо больше, чем было бы потрачено при возможности закупать на американском рынке четыре важнейших импортируемых вида продовольствия: пшеницу, кукурузу, сухое молоко и семена подсолнечника.</w:t>
      </w:r>
    </w:p>
    <w:p w:rsidR="00000000" w:rsidRDefault="00000000">
      <w:pPr>
        <w:pStyle w:val="BodyText"/>
        <w:tabs>
          <w:tab w:val="clear" w:pos="567"/>
          <w:tab w:val="clear" w:pos="907"/>
        </w:tabs>
        <w:spacing w:after="0"/>
        <w:ind w:left="1134"/>
      </w:pPr>
      <w:r>
        <w:t>•</w:t>
      </w:r>
      <w:r>
        <w:tab/>
      </w:r>
      <w:r>
        <w:rPr>
          <w:color w:val="000000"/>
        </w:rPr>
        <w:t>С ужесточением блокады увеличился процент беременных, испытывающих трудности с питанием, а также возросло число детей с низким весом при рождении. Такое положение вынудило кубинское правительство принять срочные меры и разработать стратегии, направленные на дальнейшую охрану здоровья матери и ребенка. При участии Федерации кубинских женщин и других массовых народных организаций, действующих на базе общин, и рабочих столовых, а также усилиями работников системы здравоохранения было сделано все возможное для снижения показателей детской и материнской смертности.</w:t>
      </w:r>
    </w:p>
    <w:p w:rsidR="00000000" w:rsidRDefault="00000000">
      <w:pPr>
        <w:pStyle w:val="BodyText"/>
        <w:jc w:val="center"/>
        <w:rPr>
          <w:b/>
        </w:rPr>
      </w:pPr>
      <w:r>
        <w:rPr>
          <w:b/>
        </w:rPr>
        <w:br w:type="page"/>
        <w:t>СТАТЬЯ</w:t>
      </w:r>
      <w:r>
        <w:t xml:space="preserve"> </w:t>
      </w:r>
      <w:r>
        <w:rPr>
          <w:b/>
        </w:rPr>
        <w:t>13</w:t>
      </w:r>
    </w:p>
    <w:p w:rsidR="00000000" w:rsidRDefault="00000000">
      <w:pPr>
        <w:pStyle w:val="BodyText"/>
        <w:ind w:left="0" w:firstLine="0"/>
        <w:rPr>
          <w:lang w:val="en-US"/>
        </w:rPr>
      </w:pPr>
      <w:r>
        <w:t xml:space="preserve">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 </w:t>
      </w:r>
    </w:p>
    <w:p w:rsidR="00000000" w:rsidRDefault="00000000">
      <w:pPr>
        <w:pStyle w:val="BodyText"/>
        <w:tabs>
          <w:tab w:val="clear" w:pos="567"/>
          <w:tab w:val="clear" w:pos="907"/>
        </w:tabs>
        <w:ind w:left="1134"/>
      </w:pPr>
      <w:r>
        <w:t>а)</w:t>
      </w:r>
      <w:r>
        <w:tab/>
        <w:t xml:space="preserve">право на семейные пособия; </w:t>
      </w:r>
    </w:p>
    <w:p w:rsidR="00000000" w:rsidRDefault="00000000">
      <w:pPr>
        <w:pStyle w:val="BodyText"/>
        <w:tabs>
          <w:tab w:val="clear" w:pos="567"/>
          <w:tab w:val="clear" w:pos="907"/>
        </w:tabs>
        <w:ind w:left="1134"/>
        <w:rPr>
          <w:lang w:eastAsia="es-ES"/>
        </w:rPr>
      </w:pPr>
      <w:r>
        <w:rPr>
          <w:lang w:val="en-US" w:eastAsia="es-ES"/>
        </w:rPr>
        <w:t>b</w:t>
      </w:r>
      <w:r>
        <w:rPr>
          <w:lang w:eastAsia="es-ES"/>
        </w:rPr>
        <w:t>)</w:t>
      </w:r>
      <w:r>
        <w:rPr>
          <w:lang w:eastAsia="es-ES"/>
        </w:rPr>
        <w:tab/>
        <w:t xml:space="preserve">право на получение займов, ссуд под недвижимость и других форм финансового кредита; </w:t>
      </w:r>
    </w:p>
    <w:p w:rsidR="00000000" w:rsidRDefault="00000000">
      <w:pPr>
        <w:pStyle w:val="BodyText"/>
        <w:tabs>
          <w:tab w:val="clear" w:pos="567"/>
          <w:tab w:val="clear" w:pos="907"/>
        </w:tabs>
        <w:ind w:left="1134"/>
      </w:pPr>
      <w:r>
        <w:rPr>
          <w:lang w:val="en-US"/>
        </w:rPr>
        <w:t>c</w:t>
      </w:r>
      <w:r>
        <w:t>)</w:t>
      </w:r>
      <w:r>
        <w:tab/>
        <w:t>право участвовать в мероприятиях, связанных с отдыхом, занятиях спортом и во всех областях культурной жизни.</w:t>
      </w:r>
    </w:p>
    <w:p w:rsidR="00000000" w:rsidRDefault="00000000">
      <w:pPr>
        <w:pStyle w:val="BodyText"/>
      </w:pPr>
      <w:r>
        <w:rPr>
          <w:color w:val="000000"/>
        </w:rPr>
        <w:t>621.</w:t>
      </w:r>
      <w:r>
        <w:rPr>
          <w:color w:val="000000"/>
        </w:rPr>
        <w:tab/>
        <w:t>Конституция Республики Куба гарантирует равные права всем гражданам страны и в других областях социально-экономической жизни, например право на получение семейных пособий.</w:t>
      </w:r>
    </w:p>
    <w:p w:rsidR="00000000" w:rsidRDefault="00000000">
      <w:pPr>
        <w:pStyle w:val="BodyText"/>
      </w:pPr>
      <w:r>
        <w:rPr>
          <w:color w:val="000000"/>
        </w:rPr>
        <w:t>622.</w:t>
      </w:r>
      <w:r>
        <w:rPr>
          <w:color w:val="000000"/>
        </w:rPr>
        <w:tab/>
        <w:t>Начиная с 1970-х годов на Кубе реализуется право на получение банковских ссуд и других видов финансовых кредитов в их нынешней форме.</w:t>
      </w:r>
    </w:p>
    <w:p w:rsidR="00000000" w:rsidRDefault="00000000">
      <w:pPr>
        <w:pStyle w:val="BodyText"/>
      </w:pPr>
      <w:r>
        <w:t>623.</w:t>
      </w:r>
      <w:r>
        <w:tab/>
        <w:t>В 1997–1998 годах в соответствии с резолюцией министра-председателя Национального банка Кубы всем трудящимся, а также пенсионерам обоих полов предоставляются льготы в виде различных форм индивидуальных кредитов, среди которых можно выделить:</w:t>
      </w:r>
    </w:p>
    <w:p w:rsidR="00000000" w:rsidRDefault="00000000">
      <w:pPr>
        <w:pStyle w:val="BodyText"/>
        <w:tabs>
          <w:tab w:val="clear" w:pos="567"/>
          <w:tab w:val="clear" w:pos="907"/>
        </w:tabs>
        <w:ind w:left="1134"/>
        <w:rPr>
          <w:color w:val="000000"/>
        </w:rPr>
      </w:pPr>
      <w:r>
        <w:t>•</w:t>
      </w:r>
      <w:r>
        <w:tab/>
      </w:r>
      <w:r>
        <w:rPr>
          <w:color w:val="000000"/>
        </w:rPr>
        <w:t>наличные ссуды,</w:t>
      </w:r>
      <w:r>
        <w:rPr>
          <w:b/>
          <w:color w:val="000000"/>
        </w:rPr>
        <w:t xml:space="preserve"> </w:t>
      </w:r>
      <w:r>
        <w:rPr>
          <w:color w:val="000000"/>
        </w:rPr>
        <w:t>предназначенные для удовлетворения потребностей семьи в случае дорогостоящих приобретений и т. п.;</w:t>
      </w:r>
    </w:p>
    <w:p w:rsidR="00000000" w:rsidRDefault="00000000">
      <w:pPr>
        <w:pStyle w:val="BodyText"/>
        <w:tabs>
          <w:tab w:val="clear" w:pos="567"/>
          <w:tab w:val="clear" w:pos="907"/>
        </w:tabs>
        <w:ind w:left="1134"/>
      </w:pPr>
      <w:r>
        <w:t>•</w:t>
      </w:r>
      <w:r>
        <w:tab/>
      </w:r>
      <w:r>
        <w:rPr>
          <w:color w:val="000000"/>
        </w:rPr>
        <w:t>инвестиционные ссуды, которые</w:t>
      </w:r>
      <w:r>
        <w:rPr>
          <w:b/>
          <w:color w:val="000000"/>
        </w:rPr>
        <w:t xml:space="preserve"> </w:t>
      </w:r>
      <w:r>
        <w:rPr>
          <w:color w:val="000000"/>
        </w:rPr>
        <w:t>предоставляются для строительства жилья, покупки строительных</w:t>
      </w:r>
      <w:r>
        <w:t xml:space="preserve"> </w:t>
      </w:r>
      <w:r>
        <w:rPr>
          <w:color w:val="000000"/>
        </w:rPr>
        <w:t>материалов, а также на содержание несовершеннолетних;</w:t>
      </w:r>
    </w:p>
    <w:p w:rsidR="00000000" w:rsidRDefault="00000000">
      <w:pPr>
        <w:pStyle w:val="BodyText"/>
        <w:tabs>
          <w:tab w:val="clear" w:pos="567"/>
          <w:tab w:val="clear" w:pos="907"/>
        </w:tabs>
        <w:ind w:left="1134"/>
      </w:pPr>
      <w:r>
        <w:t>•</w:t>
      </w:r>
      <w:r>
        <w:tab/>
      </w:r>
      <w:r>
        <w:rPr>
          <w:color w:val="000000"/>
        </w:rPr>
        <w:t>потребительские ссуды</w:t>
      </w:r>
      <w:r>
        <w:rPr>
          <w:b/>
          <w:color w:val="000000"/>
        </w:rPr>
        <w:t xml:space="preserve">, </w:t>
      </w:r>
      <w:r>
        <w:rPr>
          <w:color w:val="000000"/>
        </w:rPr>
        <w:t>предназначенные для покупки электробытовой техники, которая выделяется</w:t>
      </w:r>
      <w:r>
        <w:t xml:space="preserve"> </w:t>
      </w:r>
      <w:r>
        <w:rPr>
          <w:color w:val="000000"/>
        </w:rPr>
        <w:t>соответствующим предприятием для передовых и отличившихся рабо</w:t>
      </w:r>
      <w:r>
        <w:rPr>
          <w:color w:val="000000"/>
        </w:rPr>
        <w:t>т</w:t>
      </w:r>
      <w:r>
        <w:rPr>
          <w:color w:val="000000"/>
        </w:rPr>
        <w:t>ников.</w:t>
      </w:r>
    </w:p>
    <w:p w:rsidR="00000000" w:rsidRDefault="00000000">
      <w:pPr>
        <w:pStyle w:val="BodyText"/>
      </w:pPr>
      <w:r>
        <w:rPr>
          <w:color w:val="000000"/>
        </w:rPr>
        <w:t>624.</w:t>
      </w:r>
      <w:r>
        <w:rPr>
          <w:color w:val="000000"/>
        </w:rPr>
        <w:tab/>
        <w:t xml:space="preserve">Равноправие мужчин и женщин особенно проявляется в сельскохозяйственной деятельности: женщины имеют равные права с мужчинами на получение банковских кредитов, главным образом те из них, кто входит в кооперативы, получающие кредиты и услуги, и сельскохозяйственные кооперативы, а также крестьянки, имеющие индивидуальные хозяйства, которых на Кубе насчитывается </w:t>
      </w:r>
      <w:r>
        <w:t>8309.</w:t>
      </w:r>
    </w:p>
    <w:p w:rsidR="00000000" w:rsidRDefault="00000000">
      <w:pPr>
        <w:pStyle w:val="BodyText"/>
        <w:rPr>
          <w:b/>
        </w:rPr>
      </w:pPr>
    </w:p>
    <w:p w:rsidR="00000000" w:rsidRDefault="00000000">
      <w:pPr>
        <w:pStyle w:val="BodyText"/>
        <w:jc w:val="center"/>
        <w:rPr>
          <w:b/>
        </w:rPr>
      </w:pPr>
      <w:r>
        <w:rPr>
          <w:b/>
        </w:rPr>
        <w:t>СТАТЬЯ</w:t>
      </w:r>
      <w:r>
        <w:t xml:space="preserve"> </w:t>
      </w:r>
      <w:r>
        <w:rPr>
          <w:b/>
        </w:rPr>
        <w:t>14</w:t>
      </w:r>
    </w:p>
    <w:p w:rsidR="00000000" w:rsidRDefault="00000000">
      <w:pPr>
        <w:pStyle w:val="BodyText"/>
        <w:ind w:left="0" w:firstLine="0"/>
      </w:pPr>
      <w:r>
        <w:t xml:space="preserve">1. </w:t>
      </w:r>
      <w:r>
        <w:rPr>
          <w:lang w:val="en-US"/>
        </w:rPr>
        <w:tab/>
      </w:r>
      <w:r>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женщинам, проживающим в сельской местности. </w:t>
      </w:r>
    </w:p>
    <w:p w:rsidR="00000000" w:rsidRDefault="00000000">
      <w:pPr>
        <w:pStyle w:val="BodyText"/>
        <w:ind w:left="0" w:firstLine="0"/>
      </w:pPr>
      <w:r>
        <w:t xml:space="preserve">2. </w:t>
      </w:r>
      <w:r>
        <w:rPr>
          <w:lang w:val="en-US"/>
        </w:rPr>
        <w:tab/>
      </w:r>
      <w:r>
        <w:t xml:space="preserve">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 </w:t>
      </w:r>
    </w:p>
    <w:p w:rsidR="00000000" w:rsidRDefault="00000000">
      <w:pPr>
        <w:pStyle w:val="BodyText"/>
        <w:tabs>
          <w:tab w:val="clear" w:pos="567"/>
          <w:tab w:val="clear" w:pos="907"/>
        </w:tabs>
        <w:ind w:left="1134"/>
      </w:pPr>
      <w:r>
        <w:t>а)</w:t>
      </w:r>
      <w:r>
        <w:tab/>
        <w:t xml:space="preserve">участвовать в разработке и осуществлении планов развития на всех уровнях; </w:t>
      </w:r>
    </w:p>
    <w:p w:rsidR="00000000" w:rsidRDefault="00000000">
      <w:pPr>
        <w:pStyle w:val="BodyText"/>
        <w:tabs>
          <w:tab w:val="clear" w:pos="567"/>
          <w:tab w:val="clear" w:pos="907"/>
        </w:tabs>
        <w:ind w:left="1134"/>
      </w:pPr>
      <w:r>
        <w:rPr>
          <w:lang w:val="en-US"/>
        </w:rPr>
        <w:t>b</w:t>
      </w:r>
      <w:r>
        <w:t>)</w:t>
      </w:r>
      <w:r>
        <w:tab/>
        <w:t xml:space="preserve">на доступ к соответствующему медицинскому обслуживанию, включая информацию, консультации и обслуживание по вопросам планирования размера семьи; </w:t>
      </w:r>
    </w:p>
    <w:p w:rsidR="00000000" w:rsidRDefault="00000000">
      <w:pPr>
        <w:pStyle w:val="BodyText"/>
        <w:tabs>
          <w:tab w:val="clear" w:pos="567"/>
          <w:tab w:val="clear" w:pos="907"/>
        </w:tabs>
        <w:ind w:left="1134"/>
      </w:pPr>
      <w:r>
        <w:rPr>
          <w:lang w:val="en-US"/>
        </w:rPr>
        <w:t>c</w:t>
      </w:r>
      <w:r>
        <w:t>)</w:t>
      </w:r>
      <w:r>
        <w:tab/>
        <w:t xml:space="preserve">непосредственно пользоваться благами программ социального страхования; </w:t>
      </w:r>
    </w:p>
    <w:p w:rsidR="00000000" w:rsidRDefault="00000000">
      <w:pPr>
        <w:pStyle w:val="BodyText"/>
        <w:tabs>
          <w:tab w:val="clear" w:pos="567"/>
          <w:tab w:val="clear" w:pos="907"/>
        </w:tabs>
        <w:ind w:left="1134"/>
      </w:pPr>
      <w:r>
        <w:rPr>
          <w:lang w:val="en-US"/>
        </w:rPr>
        <w:t>d</w:t>
      </w:r>
      <w:r>
        <w:t>)</w:t>
      </w:r>
      <w:r>
        <w:tab/>
        <w:t xml:space="preserve">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 </w:t>
      </w:r>
    </w:p>
    <w:p w:rsidR="00000000" w:rsidRDefault="00000000">
      <w:pPr>
        <w:pStyle w:val="BodyText"/>
        <w:tabs>
          <w:tab w:val="clear" w:pos="567"/>
          <w:tab w:val="clear" w:pos="907"/>
        </w:tabs>
        <w:ind w:left="1134"/>
      </w:pPr>
      <w:r>
        <w:rPr>
          <w:lang w:val="en-US"/>
        </w:rPr>
        <w:t>e</w:t>
      </w:r>
      <w:r>
        <w:t>)</w:t>
      </w:r>
      <w:r>
        <w:tab/>
        <w:t xml:space="preserve">организовывать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 </w:t>
      </w:r>
    </w:p>
    <w:p w:rsidR="00000000" w:rsidRDefault="00000000">
      <w:pPr>
        <w:pStyle w:val="BodyText"/>
        <w:tabs>
          <w:tab w:val="clear" w:pos="567"/>
          <w:tab w:val="clear" w:pos="907"/>
        </w:tabs>
        <w:ind w:left="1134"/>
      </w:pPr>
      <w:r>
        <w:rPr>
          <w:lang w:val="en-US"/>
        </w:rPr>
        <w:t>f</w:t>
      </w:r>
      <w:r>
        <w:t>)</w:t>
      </w:r>
      <w:r>
        <w:tab/>
        <w:t xml:space="preserve">участвовать во всех видах коллективной деятельности; </w:t>
      </w:r>
    </w:p>
    <w:p w:rsidR="00000000" w:rsidRDefault="00000000">
      <w:pPr>
        <w:pStyle w:val="BodyText"/>
        <w:tabs>
          <w:tab w:val="clear" w:pos="567"/>
          <w:tab w:val="clear" w:pos="907"/>
        </w:tabs>
        <w:ind w:left="1134"/>
      </w:pPr>
      <w:r>
        <w:rPr>
          <w:lang w:val="en-US"/>
        </w:rPr>
        <w:t>g</w:t>
      </w:r>
      <w:r>
        <w:t>)</w:t>
      </w:r>
      <w:r>
        <w:tab/>
        <w:t xml:space="preserve">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 </w:t>
      </w:r>
    </w:p>
    <w:p w:rsidR="00000000" w:rsidRDefault="00000000">
      <w:pPr>
        <w:pStyle w:val="BodyText"/>
        <w:tabs>
          <w:tab w:val="clear" w:pos="567"/>
          <w:tab w:val="clear" w:pos="907"/>
        </w:tabs>
        <w:ind w:left="1134"/>
      </w:pPr>
      <w:r>
        <w:rPr>
          <w:lang w:val="en-US"/>
        </w:rPr>
        <w:t>h</w:t>
      </w:r>
      <w:r>
        <w:t>)</w:t>
      </w:r>
      <w: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BodyText"/>
      </w:pPr>
      <w:r>
        <w:t>625.</w:t>
      </w:r>
      <w:r>
        <w:tab/>
        <w:t xml:space="preserve">Как уже говорилось выше, женщины-крестьянки имеют такие же права и несут такие же обязанности в политической, гражданской, трудовой, семейной и прочих сферах, что и другие женщины. В законодательстве особо оговаривается положение женщин-крестьянок лишь в тех аспектах, которые непосредственно касаются особенностей сельских районов. </w:t>
      </w:r>
    </w:p>
    <w:p w:rsidR="00000000" w:rsidRDefault="00000000">
      <w:pPr>
        <w:pStyle w:val="BodyText"/>
      </w:pPr>
      <w:r>
        <w:t>626.</w:t>
      </w:r>
      <w:r>
        <w:tab/>
        <w:t xml:space="preserve">Согласно </w:t>
      </w:r>
      <w:r>
        <w:rPr>
          <w:color w:val="000000"/>
        </w:rPr>
        <w:t xml:space="preserve">Закону о реформе сельского хозяйства, принятому на Кубе 17 мая 1959 года, женщина стала равноправным с мужчиной субъектом права на землю. Право собственности на землю признавалось за теми, кто ее обрабатывал, владея ею либо занимая ее на иных основаниях, и в отношении этих последних принималось решение о выдаче им свидетельства о праве собственности. Законом не допускается дискриминация по каким бы то ни было основаниям, и немало женщин фактически получили землю в собственность. </w:t>
      </w:r>
    </w:p>
    <w:p w:rsidR="00000000" w:rsidRDefault="00000000">
      <w:pPr>
        <w:pStyle w:val="BodyText"/>
      </w:pPr>
      <w:r>
        <w:t>627.</w:t>
      </w:r>
      <w:r>
        <w:tab/>
        <w:t>В статье 19 Конституции признается право собственности мелких земледельцев на их землю, а в статье 20 – их право объединяться на тех условиях и таким образом, которые устанавливаются законом, как с целью производства сельскохозяйственной продукции, так и для получения государственных кредитов и услуг.</w:t>
      </w:r>
    </w:p>
    <w:p w:rsidR="00000000" w:rsidRDefault="00000000">
      <w:pPr>
        <w:pStyle w:val="BodyText"/>
      </w:pPr>
      <w:r>
        <w:t>628.</w:t>
      </w:r>
      <w:r>
        <w:tab/>
        <w:t>В статье 15 Закона № 36 о сельскохозяйственных кооперативах от 22 июля 1982 года говорится: "Членами кооператива могут быть лица, внесшие в него свои земли в качестве пая, а также их супруги, дети и другие члены семьи; вдова умершего члена кооператива или мелкого землевладельца, независимо от того, состояли ли они в официальном или гражданском браке…".</w:t>
      </w:r>
    </w:p>
    <w:p w:rsidR="00000000" w:rsidRDefault="00000000">
      <w:pPr>
        <w:pStyle w:val="BodyText"/>
      </w:pPr>
      <w:r>
        <w:t>629.</w:t>
      </w:r>
      <w:r>
        <w:tab/>
        <w:t>Женщина имеет право доступа к земле, кредитам, средствам производства и орудиям труда на равных с мужчиной условиях. Аграрное законодательство не предусматривает здесь никаких различий.</w:t>
      </w:r>
    </w:p>
    <w:p w:rsidR="00000000" w:rsidRDefault="00000000">
      <w:pPr>
        <w:pStyle w:val="BodyText"/>
      </w:pPr>
      <w:r>
        <w:t>630.</w:t>
      </w:r>
      <w:r>
        <w:tab/>
        <w:t>С другой стороны, в статье 24 Конституции признается право наследования в отношении жилища, находящегося в частном владении, и другого имущества, являющегося личной собственностью, а также в отношении земли и другого используемого в производстве имущества, являющегося собственностью мелких землевладельцев, причем земля может наследоваться только теми наследниками, которые ее лично обрабатывают, за исключением случаев, устанавливаемых законом и в предписанном законом порядке. Исключение предусмотрено для женщин, которые могут наследовать землю и в том случае, если они лично ее не обрабатывают. Порядок владения землей, получения земли в собственность и наследования земли и сельскохозяйственного имущества регламентируется статьей 18 принятого Государственным советом Декрета-закона № 125 от 30 января 1991 года.</w:t>
      </w:r>
    </w:p>
    <w:p w:rsidR="00000000" w:rsidRDefault="00000000">
      <w:pPr>
        <w:pStyle w:val="BodyText"/>
      </w:pPr>
      <w:r>
        <w:t>631.</w:t>
      </w:r>
      <w:r>
        <w:tab/>
        <w:t>В первом пункте заключительной части Закона №</w:t>
      </w:r>
      <w:r>
        <w:rPr>
          <w:lang w:val="en-US"/>
        </w:rPr>
        <w:t> </w:t>
      </w:r>
      <w:r>
        <w:t xml:space="preserve">59 (Гражданского кодекса) говорится, что все вопросы относительно порядка владения землей, получения земли в собственность и наследования земли, а также и другого имущества, используемого в сельском и лесном хозяйстве, регулируются специальным законодательством. </w:t>
      </w:r>
    </w:p>
    <w:p w:rsidR="00000000" w:rsidRDefault="00000000">
      <w:pPr>
        <w:pStyle w:val="BodyText"/>
      </w:pPr>
      <w:r>
        <w:t>632.</w:t>
      </w:r>
      <w:r>
        <w:tab/>
        <w:t>В главе VII Закона №</w:t>
      </w:r>
      <w:r>
        <w:rPr>
          <w:lang w:val="en-US"/>
        </w:rPr>
        <w:t> </w:t>
      </w:r>
      <w:r>
        <w:t xml:space="preserve">65, Общего закона о жилище, рассматриваются вопросы жилья, в отношении которого действует особый порядок регулирования. В первом разделе этой главы речь идет о жилищах в сельских районах. В статье 106 устанавливается, что жилище, находящееся в собственности члена кооператива, расположенное на территории кооператива и являющееся официальным местом жительства этого члена кооператива, в случае его смерти может быть передано в собственность только его супруге (супругу) и наследникам, являющимся членами кооператива и проживающим в данном жилище. Далее в пункте с) статьи 108 предусматривается, что в случае смерти мелкого землевладельца – собственника жилища последнее передается наследникам, получающим в наследство землю. </w:t>
      </w:r>
    </w:p>
    <w:p w:rsidR="00000000" w:rsidRDefault="00000000">
      <w:pPr>
        <w:pStyle w:val="BodyText"/>
      </w:pPr>
      <w:r>
        <w:t>633.</w:t>
      </w:r>
      <w:r>
        <w:tab/>
        <w:t xml:space="preserve">Совместным Постановлением министерств сельского хозяйства, сахарной промышленности и жилья от 14 мая 1988 года были приняты правила, регулирующие вопросы жилья на территории сельскохозяйственных кооперативов. Постановлением предусматривается различный порядок решения вопросов в отношении домов на несколько семей, на две семьи и отдельных домов в случае смерти члена кооператива или развода супругов – членов кооператива. При этом во всех случаях учитываются права проживания и/или наследования, которые имеют другой супруг (супруга), вдовец или вдова, а также дети. </w:t>
      </w:r>
    </w:p>
    <w:p w:rsidR="00000000" w:rsidRDefault="00000000">
      <w:pPr>
        <w:pStyle w:val="BodyText"/>
      </w:pPr>
      <w:r>
        <w:t>634.</w:t>
      </w:r>
      <w:r>
        <w:tab/>
        <w:t xml:space="preserve">В Постановлении № 247 Национального института аграрной реформы от 26 января 1961 года, в соответствии с которым была создана </w:t>
      </w:r>
      <w:r>
        <w:rPr>
          <w:color w:val="000000"/>
        </w:rPr>
        <w:t xml:space="preserve">Национальная ассоциация мелких земледельцев и принят ее Устав, говорится, что Ассоциация представляет собой массовую организацию, в которую входят члены кооперативов, мелкие землевладельцы и члены их семей. Условиями членства являются членство в сельскохозяйственном кооперативе; владение землей в качестве собственника, совладельца или в соответствии с иной юридической формой землевладения; членами Ассоциации могут также быть супруг (супруга), дети и иные члены семьи, участвующие в производстве, которым занимается мелкий землевладелец. </w:t>
      </w:r>
    </w:p>
    <w:p w:rsidR="00000000" w:rsidRDefault="00000000">
      <w:pPr>
        <w:pStyle w:val="BodyText"/>
      </w:pPr>
      <w:r>
        <w:t>635.</w:t>
      </w:r>
      <w:r>
        <w:tab/>
        <w:t>В статье 51, посвященной вопросам рабочих взаимосвязей с другими ведомствами и организациями, в пункте b) особо говорится о работе с сельскими женщинами. Предусматривается, что Ассоциация поддерживает тесные связи с Федерацией кубинских женщин "в той работе, которую Федерация проводит с женщинами-крестьянками, и особенно в просветительской и пропагандистской работе, чтобы крестьянки с каждым днем становились все более активной и определяющей силой в процессе преобразований нашего села".</w:t>
      </w:r>
    </w:p>
    <w:p w:rsidR="00000000" w:rsidRDefault="00000000">
      <w:pPr>
        <w:pStyle w:val="BodyText"/>
      </w:pPr>
      <w:r>
        <w:t>636.</w:t>
      </w:r>
      <w:r>
        <w:tab/>
      </w:r>
      <w:r>
        <w:rPr>
          <w:color w:val="000000"/>
        </w:rPr>
        <w:t>Сельское население Кубы составляет 32,9</w:t>
      </w:r>
      <w:r>
        <w:t> </w:t>
      </w:r>
      <w:r>
        <w:rPr>
          <w:color w:val="000000"/>
        </w:rPr>
        <w:t>процента от общей численности населения, при этом доля женщин в данной категории населения составляет 46,9</w:t>
      </w:r>
      <w:r>
        <w:t> </w:t>
      </w:r>
      <w:r>
        <w:rPr>
          <w:color w:val="000000"/>
        </w:rPr>
        <w:t>процента.</w:t>
      </w:r>
    </w:p>
    <w:p w:rsidR="00000000" w:rsidRDefault="00000000">
      <w:pPr>
        <w:pStyle w:val="BodyText"/>
      </w:pPr>
      <w:r>
        <w:t>637.</w:t>
      </w:r>
      <w:r>
        <w:tab/>
      </w:r>
      <w:r>
        <w:rPr>
          <w:color w:val="000000"/>
        </w:rPr>
        <w:t>В стране имеется 14 провинций, 9 из которых – в горной местности. Для них разработана Программа комплексного развития, получившая название "План Туркино", в рамках которой особое внимание уделяется улучшению положения женщин в экономической, общественной и семейной сферах, для чего создаются условия, способствующие выполнению поставленных целей.</w:t>
      </w:r>
    </w:p>
    <w:p w:rsidR="00000000" w:rsidRDefault="00000000">
      <w:pPr>
        <w:pStyle w:val="BodyText"/>
      </w:pPr>
      <w:r>
        <w:t>638.</w:t>
      </w:r>
      <w:r>
        <w:tab/>
        <w:t xml:space="preserve">Эта программа позволила улучшить качество жизни жителей таких провинций, особенно женщин, поскольку особое внимание в ней уделялось развитию базовых услуг, в том числе в области здравоохранения, образования и питания. Была также реализована программа культурного развития: построены теле- и видеозалы, а телевизоры, видеомагнитофоны и компьютеры есть во всех школах. </w:t>
      </w:r>
    </w:p>
    <w:p w:rsidR="00000000" w:rsidRDefault="00000000">
      <w:pPr>
        <w:pStyle w:val="BodyText"/>
      </w:pPr>
      <w:r>
        <w:t>639.</w:t>
      </w:r>
      <w:r>
        <w:tab/>
      </w:r>
      <w:r>
        <w:rPr>
          <w:color w:val="000000"/>
        </w:rPr>
        <w:t>В сельском хозяйстве существуют государственный и частный секторы. Государственный сектор представлен сельскохозяйственными предприятиями и агропромышленными комплексами, в то время как частный сектор включает кооперативы и хозяйства индивидуальных производителей.</w:t>
      </w:r>
    </w:p>
    <w:p w:rsidR="00000000" w:rsidRDefault="00000000">
      <w:pPr>
        <w:pStyle w:val="BodyText"/>
      </w:pPr>
      <w:r>
        <w:t>640.</w:t>
      </w:r>
      <w:r>
        <w:tab/>
      </w:r>
      <w:r>
        <w:rPr>
          <w:color w:val="000000"/>
        </w:rPr>
        <w:t xml:space="preserve">Всего в сельскохозяйственной деятельности (без учета производства сахарного тростника) заняты </w:t>
      </w:r>
      <w:r>
        <w:t xml:space="preserve">273 342 </w:t>
      </w:r>
      <w:r>
        <w:rPr>
          <w:color w:val="000000"/>
        </w:rPr>
        <w:t xml:space="preserve">женщины, то есть </w:t>
      </w:r>
      <w:r>
        <w:t>20,9 </w:t>
      </w:r>
      <w:r>
        <w:rPr>
          <w:color w:val="000000"/>
        </w:rPr>
        <w:t xml:space="preserve">процента от их общей численности. По сравнению с 2000 годом это число возросло на </w:t>
      </w:r>
      <w:r>
        <w:t xml:space="preserve">72 269 </w:t>
      </w:r>
      <w:r>
        <w:rPr>
          <w:color w:val="000000"/>
        </w:rPr>
        <w:t>человек, занятых в деятельности по выращиванию табака, кофе, разнообразной продукции растениеводства, какао, а также в животноводстве, сельскохозяйственном производстве в городах и т.</w:t>
      </w:r>
      <w:r>
        <w:t> </w:t>
      </w:r>
      <w:r>
        <w:rPr>
          <w:color w:val="000000"/>
        </w:rPr>
        <w:t>д.</w:t>
      </w:r>
    </w:p>
    <w:p w:rsidR="00000000" w:rsidRDefault="00000000">
      <w:pPr>
        <w:pStyle w:val="BodyText"/>
      </w:pPr>
      <w:r>
        <w:t>641.</w:t>
      </w:r>
      <w:r>
        <w:tab/>
      </w:r>
      <w:r>
        <w:rPr>
          <w:color w:val="000000"/>
        </w:rPr>
        <w:t>Руководящие должности в этом секторе занимают 8445 женщин, что составляет 21,5</w:t>
      </w:r>
      <w:r>
        <w:t> </w:t>
      </w:r>
      <w:r>
        <w:rPr>
          <w:color w:val="000000"/>
        </w:rPr>
        <w:t>процента от общего числа руководящих работников. Высшие руководящие должности занимают 537</w:t>
      </w:r>
      <w:r>
        <w:t> </w:t>
      </w:r>
      <w:r>
        <w:rPr>
          <w:color w:val="000000"/>
        </w:rPr>
        <w:t xml:space="preserve">женщин, то есть </w:t>
      </w:r>
      <w:r>
        <w:t>11,9</w:t>
      </w:r>
      <w:r>
        <w:rPr>
          <w:color w:val="000000"/>
        </w:rPr>
        <w:t> процента. Хотя эти показатели и невысоки, определенный прогресс все же имеется. В обоих случаях число женщин возросло по сравнению с предыдущим годом.</w:t>
      </w:r>
    </w:p>
    <w:p w:rsidR="00000000" w:rsidRDefault="00000000">
      <w:pPr>
        <w:pStyle w:val="BodyText"/>
      </w:pPr>
      <w:r>
        <w:t>642.</w:t>
      </w:r>
      <w:r>
        <w:tab/>
      </w:r>
      <w:r>
        <w:rPr>
          <w:color w:val="000000"/>
        </w:rPr>
        <w:t xml:space="preserve">В течение </w:t>
      </w:r>
      <w:r>
        <w:t xml:space="preserve">2000, 2001 и 2002 </w:t>
      </w:r>
      <w:r>
        <w:rPr>
          <w:color w:val="000000"/>
        </w:rPr>
        <w:t>годов свыше 32 тыс. женщин (на 10 тыс. больше, чем в предыдущие г</w:t>
      </w:r>
      <w:r>
        <w:rPr>
          <w:color w:val="000000"/>
        </w:rPr>
        <w:t>о</w:t>
      </w:r>
      <w:r>
        <w:rPr>
          <w:color w:val="000000"/>
        </w:rPr>
        <w:t>ды) прошли профессиональную подготовку, в том числе по технич</w:t>
      </w:r>
      <w:r>
        <w:rPr>
          <w:color w:val="000000"/>
        </w:rPr>
        <w:t>е</w:t>
      </w:r>
      <w:r>
        <w:rPr>
          <w:color w:val="000000"/>
        </w:rPr>
        <w:t>ским специальностям и в сфере управления и руководства предприятиями. На курсы для получения среднего специального образования за период с 2000</w:t>
      </w:r>
      <w:r>
        <w:t> </w:t>
      </w:r>
      <w:r>
        <w:rPr>
          <w:color w:val="000000"/>
        </w:rPr>
        <w:t xml:space="preserve">года по настоящее время поступили </w:t>
      </w:r>
      <w:r>
        <w:t>3557 женщин, что составляет 34 процента всех вновь поступивших.</w:t>
      </w:r>
    </w:p>
    <w:p w:rsidR="00000000" w:rsidRDefault="00000000">
      <w:pPr>
        <w:pStyle w:val="BodyText"/>
      </w:pPr>
      <w:r>
        <w:t>643.</w:t>
      </w:r>
      <w:r>
        <w:tab/>
      </w:r>
      <w:r>
        <w:rPr>
          <w:color w:val="000000"/>
        </w:rPr>
        <w:t xml:space="preserve">В деятельности по выращиванию и переработке сахарного тростника принимают участие </w:t>
      </w:r>
      <w:r>
        <w:t>84 626 </w:t>
      </w:r>
      <w:r>
        <w:rPr>
          <w:color w:val="000000"/>
        </w:rPr>
        <w:t>женщин – 20</w:t>
      </w:r>
      <w:r>
        <w:t> </w:t>
      </w:r>
      <w:r>
        <w:rPr>
          <w:color w:val="000000"/>
        </w:rPr>
        <w:t xml:space="preserve">процентов всех занятых в этом секторе. Численность работающих в этой отрасли растет, несмотря на глубокие преобразования в сахарной промышленности нашей страны. </w:t>
      </w:r>
    </w:p>
    <w:p w:rsidR="00000000" w:rsidRDefault="00000000">
      <w:pPr>
        <w:pStyle w:val="BodyText"/>
      </w:pPr>
      <w:r>
        <w:t>644.</w:t>
      </w:r>
      <w:r>
        <w:tab/>
      </w:r>
      <w:r>
        <w:rPr>
          <w:color w:val="000000"/>
        </w:rPr>
        <w:t xml:space="preserve">Следует отметить, что в данном секторе, традиционно мужском, в настоящее время наблюдаются изменения, касающихся работниц-женщин: они постепенно начинают занимать рабочие места и должности, традиционно считавшиеся мужскими, а также в исследовательских центрах данной отрасли. </w:t>
      </w:r>
    </w:p>
    <w:p w:rsidR="00000000" w:rsidRDefault="00000000">
      <w:pPr>
        <w:pStyle w:val="BodyText"/>
      </w:pPr>
      <w:r>
        <w:t>645.</w:t>
      </w:r>
      <w:r>
        <w:tab/>
        <w:t xml:space="preserve">Сегодня в сахарной промышленности женщины работают на сахароуборочных комбайнах и тракторах, операторами печей и центрифуг, химиками-технологами сахарного производства, машинистами поездов, а также трудятся на многих других местах, поскольку они получили возможность пройти обучение и теперь могут работать по таким специальностям. </w:t>
      </w:r>
    </w:p>
    <w:p w:rsidR="00000000" w:rsidRDefault="00000000">
      <w:pPr>
        <w:pStyle w:val="BodyText"/>
      </w:pPr>
      <w:r>
        <w:t>646.</w:t>
      </w:r>
      <w:r>
        <w:tab/>
        <w:t xml:space="preserve"> В данной отрасли в сравнении с 2000 годом отмечаются также успехи в выдвижении женщин на руководящие должности. Всего на таких должностях работают 590 женщин, или 9,6 процента от общего числа руководящих работников. Достигнутые за последние годы результаты важны не столько в количественном, сколько в качественном отношении. Сегодня 307 женщин занимают важные и ответственные руководящие посты, в том числе 5 женщин работают руководителями в центральном ведомстве, 44 – заместителями директоров, 70 – руководителями отделов, 5 – заместителями руководителей отделов и т. д. </w:t>
      </w:r>
    </w:p>
    <w:p w:rsidR="00000000" w:rsidRDefault="00000000">
      <w:pPr>
        <w:pStyle w:val="BodyText"/>
      </w:pPr>
      <w:r>
        <w:t>647.</w:t>
      </w:r>
      <w:r>
        <w:tab/>
        <w:t xml:space="preserve">С 2002 года сахарная отрасль на Кубе претерпевает изменения: сократились площади выращивания сахарного тростника и закрылось 70 агропромышленных комплексов. Тем не менее их работники, как мужчины, так и женщины, занимались другой деятельностью, например производством продуктов питания для обеспечения ими работников сахарной отрасли. В этот период требовалось не увеличение числа работников, а повышение их культурного или технического уровня, и трудящиеся получили возможность пройти переобучение и начать работать в других сферах производства. </w:t>
      </w:r>
    </w:p>
    <w:p w:rsidR="00000000" w:rsidRDefault="00000000">
      <w:pPr>
        <w:pStyle w:val="BodyText"/>
      </w:pPr>
      <w:r>
        <w:t>648.</w:t>
      </w:r>
      <w:r>
        <w:tab/>
        <w:t xml:space="preserve">Важные последствия имело то, что профессиональную подготовку прошли 41 283 женщины, работающие в этом секторе (33,4 процента от общей численности рабочей силы). Государство гарантирует сохранение в полном объеме получаемой ими заработной платы, чтобы они могли повысить свой культурный и технический уровень в той мере, в какой это необходимо для выполнения новых обязанностей и видов работ в соответствии с техническими преобразованиями. </w:t>
      </w:r>
    </w:p>
    <w:p w:rsidR="00000000" w:rsidRDefault="00000000">
      <w:pPr>
        <w:pStyle w:val="BodyText"/>
      </w:pPr>
      <w:r>
        <w:t>649.</w:t>
      </w:r>
      <w:r>
        <w:tab/>
        <w:t xml:space="preserve">В результате того что работницам сахарной промышленности в этой ситуации были предоставлены возможности для повышения квалификации, в течение 2002 года 5460 женщин поступили на обучение техническим специальностям в системе среднего образования, а 1719 – в высшие учебные заведения для изучения сельского хозяйства и экономики. Кроме того, 2149 женщин поступили в средние школы, чтобы закончить </w:t>
      </w:r>
      <w:r>
        <w:br/>
        <w:t xml:space="preserve">10–12-е классы. </w:t>
      </w:r>
    </w:p>
    <w:p w:rsidR="00000000" w:rsidRDefault="00000000">
      <w:pPr>
        <w:pStyle w:val="BodyText"/>
      </w:pPr>
      <w:r>
        <w:t>650.</w:t>
      </w:r>
      <w:r>
        <w:tab/>
        <w:t xml:space="preserve">Сельские женщины имеют равные права и возможности для вступления в кооперативы. Ограничивающим фактором здесь являются только их собственное нежелание и некоторые проблемы материального характера, которые не удается разрешить в полной мере ввиду той сложной экономической ситуации, в которой находится страна. К числу таких проблем относятся необходимость ухаживать за маленькими детьми или трудности транспортного сообщения с сельскими районами, удаленными от их местожительства. </w:t>
      </w:r>
    </w:p>
    <w:p w:rsidR="00000000" w:rsidRDefault="00000000">
      <w:pPr>
        <w:pStyle w:val="BodyText"/>
      </w:pPr>
      <w:r>
        <w:t>651.</w:t>
      </w:r>
      <w:r>
        <w:tab/>
        <w:t xml:space="preserve">Семья, один из членов которой является членом кооператива, получает значительные экономические и социальные льготы, и вступление других членов семьи в кооператив зависит только от их желания и готовности участвовать в развитии этого района, а также от степени удовлетворенности своим трудом самих крестьянок и их потребности в самореализации. </w:t>
      </w:r>
    </w:p>
    <w:p w:rsidR="00000000" w:rsidRDefault="00000000">
      <w:pPr>
        <w:pStyle w:val="BodyText"/>
      </w:pPr>
      <w:r>
        <w:t>652.</w:t>
      </w:r>
      <w:r>
        <w:tab/>
        <w:t xml:space="preserve">Члены кооперативов получают на всех членов семьи продукты питания, произведенные в данном кооперативе в порядке самообеспечения. </w:t>
      </w:r>
    </w:p>
    <w:p w:rsidR="00000000" w:rsidRDefault="00000000">
      <w:pPr>
        <w:pStyle w:val="BodyText"/>
      </w:pPr>
      <w:r>
        <w:t>653.</w:t>
      </w:r>
      <w:r>
        <w:tab/>
        <w:t xml:space="preserve">Кроме того, масштабы участия сельских женщин в сельскохозяйственном производстве вообще и в экономическом развитии сельских районов в особенности стали расширяться после того, как появилась возможность брать землю в аренду. Если в 1999 году на арендованной земле работали свыше 6800 человек, то сегодня их 15 799, причем вдвое увеличилось число женщин, участвующих в такой деятельности. </w:t>
      </w:r>
    </w:p>
    <w:p w:rsidR="00000000" w:rsidRDefault="00000000">
      <w:pPr>
        <w:pStyle w:val="BodyText"/>
      </w:pPr>
      <w:r>
        <w:t>654.</w:t>
      </w:r>
      <w:r>
        <w:tab/>
        <w:t xml:space="preserve">Свыше 60  процентов сельскохозяйственных земель находятся во владении сельскохозяйственных и </w:t>
      </w:r>
      <w:r>
        <w:rPr>
          <w:color w:val="000000"/>
        </w:rPr>
        <w:t xml:space="preserve">кредитно-сервисных кооперативов. За последние годы увеличилось число женщин, являющихся их членами; главным образом это жены и дочери крестьян. </w:t>
      </w:r>
    </w:p>
    <w:p w:rsidR="00000000" w:rsidRDefault="00000000">
      <w:pPr>
        <w:pStyle w:val="BodyText"/>
      </w:pPr>
      <w:r>
        <w:t>655.</w:t>
      </w:r>
      <w:r>
        <w:tab/>
        <w:t xml:space="preserve">В настоящее время в сельскохозяйственных кооперативах трудятся 11 889 женщин, или 17,6 процента от общей численности их членов. Число женщин – членов </w:t>
      </w:r>
      <w:r>
        <w:rPr>
          <w:color w:val="000000"/>
        </w:rPr>
        <w:t xml:space="preserve">кредитно-сервисных кооперативов за эти годы выросло еще больше, и сегодня их здесь 18 118, или 9,5 процента от общего числа членов. </w:t>
      </w:r>
    </w:p>
    <w:p w:rsidR="00000000" w:rsidRDefault="00000000">
      <w:pPr>
        <w:pStyle w:val="BodyText"/>
      </w:pPr>
      <w:r>
        <w:t>656.</w:t>
      </w:r>
      <w:r>
        <w:tab/>
      </w:r>
      <w:r>
        <w:rPr>
          <w:color w:val="000000"/>
        </w:rPr>
        <w:t>Крестьянки имеют также доступ к руководящим должностям в кооперативах и в низовых организациях Национальной ассоциации мелких земледельцев (НАМЗ). В 1998 году женщины составляли здесь 22</w:t>
      </w:r>
      <w:r>
        <w:t> </w:t>
      </w:r>
      <w:r>
        <w:rPr>
          <w:color w:val="000000"/>
        </w:rPr>
        <w:t>процента руководящих работников, а в конце 2002 года – 33</w:t>
      </w:r>
      <w:r>
        <w:t> </w:t>
      </w:r>
      <w:r>
        <w:rPr>
          <w:color w:val="000000"/>
        </w:rPr>
        <w:t>процента. В настоящее время женщины являются председателями 77 кооперативов, тогда как в 1999 году они возглавляли 53 кооператива.</w:t>
      </w:r>
    </w:p>
    <w:p w:rsidR="00000000" w:rsidRDefault="00000000">
      <w:pPr>
        <w:pStyle w:val="BodyText"/>
      </w:pPr>
      <w:r>
        <w:t>657.</w:t>
      </w:r>
      <w:r>
        <w:tab/>
        <w:t xml:space="preserve">За последние два года увеличилось число женщин на руководящих должностях в НАМЗ. Должности председателей 21 муниципального отделения Ассоциации занимают женщины, 212 женщин являются членами ее муниципальных бюро, 22 входят в провинциальные, а 3 – в Национальное бюро Ассоциации. </w:t>
      </w:r>
    </w:p>
    <w:p w:rsidR="00000000" w:rsidRDefault="00000000">
      <w:pPr>
        <w:pStyle w:val="BodyText"/>
      </w:pPr>
      <w:r>
        <w:t>658.</w:t>
      </w:r>
      <w:r>
        <w:tab/>
        <w:t xml:space="preserve">Хотя эти цифры и невелики, они свидетельствуют о том, что направления деятельности данной массовой организации соответствуют положениям Национального плана действий и позитивно сказываются на процессе осознания кубинским крестьянством необходимости обеспечить равноправное участие мужчин и женщин в социальной и экономической жизни сельских районов. </w:t>
      </w:r>
    </w:p>
    <w:p w:rsidR="00000000" w:rsidRDefault="00000000">
      <w:pPr>
        <w:pStyle w:val="BodyText"/>
      </w:pPr>
      <w:r>
        <w:t>659.</w:t>
      </w:r>
      <w:r>
        <w:tab/>
        <w:t xml:space="preserve">Поиск наиболее продуктивных форм сельскохозяйственного производства и накопленный опыт кооперативного движения послужили стимулом к созданию базовых кооперативных производственных единиц (БКПЕ) – децентрализованной формы производства, суть которой состоит в передаче государственных земель в пользование коллективам работников, совместно производящим сельскохозяйственную продукцию, которая затем сбывается главным образом через государственные структуры. Для женщин БКПЕ являются существенным источником занятости. </w:t>
      </w:r>
    </w:p>
    <w:p w:rsidR="00000000" w:rsidRDefault="00000000">
      <w:pPr>
        <w:pStyle w:val="BodyText"/>
      </w:pPr>
      <w:r>
        <w:t>660.</w:t>
      </w:r>
      <w:r>
        <w:tab/>
        <w:t xml:space="preserve">Сельские женщины на Кубе в полной мере пользуются благами, которые обеспечивает социальная система страны. При создании в 1990-е годы базовых кооперативных производственных единиц женщины имели те же, что и мужчины, возможности получить доступ к этой форме собственности. </w:t>
      </w:r>
    </w:p>
    <w:p w:rsidR="00000000" w:rsidRDefault="00000000">
      <w:pPr>
        <w:pStyle w:val="BodyText"/>
      </w:pPr>
      <w:r>
        <w:t>661.</w:t>
      </w:r>
      <w:r>
        <w:tab/>
        <w:t xml:space="preserve">Сегодня членами этих производственных единиц являются 44 367 женщин, или 18,6 процента от общего числа их членов: 23 811 трудятся в БКПЕ по производству сахарного тростника, а 20 558  –  в БКПЕ, производящих различную продукцию растениеводства. Условия работы здесь для них весьма выгодны в плане заработной платы, права на пенсионное обеспечение, участия в прибылях от реализации произведенной продукции, права на социальное обеспечение, например на оплачиваемый отпуск и оплату бюллетеня по болезни, а также всех прав, которые имеют граждане Кубы в том, что касается, например, доступа к образованию, медицинскому обслуживанию, кредитам и др. </w:t>
      </w:r>
    </w:p>
    <w:p w:rsidR="00000000" w:rsidRDefault="00000000">
      <w:pPr>
        <w:pStyle w:val="BodyText"/>
      </w:pPr>
      <w:r>
        <w:t>662.</w:t>
      </w:r>
      <w:r>
        <w:tab/>
        <w:t xml:space="preserve">Исследование, проведенное в 2002 году Исследовательским центром проблем труда, Министерством сельского хозяйства и Федерацией кубинских женщин, по вопросу об участии женщин в деятельности базовых кооперативных производственных единиц показало, что, хотя еще сохраняются определенные экономические проблемы вследствие переживаемых страной трудностей, доходы и условия труда женщин, участвующих в деятельности БКПЕ, позволяют им удовлетворять свои основные потребности. Кроме того, они пользуются теми же социальными благами, что все сельские жители. </w:t>
      </w:r>
    </w:p>
    <w:p w:rsidR="00000000" w:rsidRDefault="00000000">
      <w:pPr>
        <w:pStyle w:val="BodyText"/>
      </w:pPr>
      <w:r>
        <w:t>663.</w:t>
      </w:r>
      <w:r>
        <w:tab/>
      </w:r>
      <w:r>
        <w:rPr>
          <w:color w:val="000000"/>
        </w:rPr>
        <w:t xml:space="preserve">Многие женщины после принятия Закона об аграрной реформе стали собственниками земли, причем их число постепенно увеличивалось за счет тех, кто получил землю в наследство от родителей или супруга. На сегодняшний день в стране насчитывается </w:t>
      </w:r>
      <w:r>
        <w:t xml:space="preserve">8309 </w:t>
      </w:r>
      <w:r>
        <w:rPr>
          <w:color w:val="000000"/>
        </w:rPr>
        <w:t>женщин, владеющих усадьбой или землей, что составляет 9,3</w:t>
      </w:r>
      <w:r>
        <w:t> </w:t>
      </w:r>
      <w:r>
        <w:rPr>
          <w:color w:val="000000"/>
        </w:rPr>
        <w:t>процента всех единоличных владельцев.</w:t>
      </w:r>
    </w:p>
    <w:p w:rsidR="00000000" w:rsidRDefault="00000000">
      <w:pPr>
        <w:pStyle w:val="BodyText"/>
      </w:pPr>
      <w:r>
        <w:t>664.</w:t>
      </w:r>
      <w:r>
        <w:tab/>
      </w:r>
      <w:r>
        <w:rPr>
          <w:color w:val="000000"/>
        </w:rPr>
        <w:t>Некоторые отраслевые министерства имеют собственные школы по подготовке, переквалификации и повышению квалификации специалистов. Например, Министерство сельского хозяйства имеет школы во всех провинциях страны, причем большинство из них – в сельских районах, а Министерство сахарной промышленности имеет центры в шести провинциях. Другими комплек</w:t>
      </w:r>
      <w:r>
        <w:rPr>
          <w:color w:val="000000"/>
        </w:rPr>
        <w:t>с</w:t>
      </w:r>
      <w:r>
        <w:rPr>
          <w:color w:val="000000"/>
        </w:rPr>
        <w:t>ными центрами подготовки и повышения квалификации, которые также ведут научно-исследов</w:t>
      </w:r>
      <w:r>
        <w:rPr>
          <w:color w:val="000000"/>
        </w:rPr>
        <w:t>а</w:t>
      </w:r>
      <w:r>
        <w:rPr>
          <w:color w:val="000000"/>
        </w:rPr>
        <w:t>тельскую работу, являются Научно-исследовательский институт овощеводства, Научно-исследовательский институт сахарного тростника, Научно-исследовательский институт кофе, Научно-исследовательский институт риса и многие другие, распол</w:t>
      </w:r>
      <w:r>
        <w:rPr>
          <w:color w:val="000000"/>
        </w:rPr>
        <w:t>о</w:t>
      </w:r>
      <w:r>
        <w:rPr>
          <w:color w:val="000000"/>
        </w:rPr>
        <w:t>женные в сельских районах, в приоритетные задачи которых входит осуществление профессионал</w:t>
      </w:r>
      <w:r>
        <w:rPr>
          <w:color w:val="000000"/>
        </w:rPr>
        <w:t>ь</w:t>
      </w:r>
      <w:r>
        <w:rPr>
          <w:color w:val="000000"/>
        </w:rPr>
        <w:t>ной подготовки работников сельского хозяйства, как мужчин, так и женщин.</w:t>
      </w:r>
    </w:p>
    <w:p w:rsidR="00000000" w:rsidRDefault="00000000">
      <w:pPr>
        <w:pStyle w:val="BodyText"/>
      </w:pPr>
      <w:r>
        <w:t>665.</w:t>
      </w:r>
      <w:r>
        <w:tab/>
        <w:t xml:space="preserve">За эти годы тысячи женщин – представителей различных профессий из разных провинций прошли обучение на курсах подготовки, где в числе прочих изучались вопросы гендерной проблематики, лидерства и адекватных методов решения задач повышения роли женщин в экономике страны. </w:t>
      </w:r>
    </w:p>
    <w:p w:rsidR="00000000" w:rsidRDefault="00000000">
      <w:pPr>
        <w:pStyle w:val="BodyText"/>
      </w:pPr>
      <w:r>
        <w:t>666.</w:t>
      </w:r>
      <w:r>
        <w:tab/>
      </w:r>
      <w:r>
        <w:rPr>
          <w:color w:val="000000"/>
        </w:rPr>
        <w:t>Национальная ассоциация мелких земледельцев организовала в одном из сельскохозяйственных районов на западе страны Национальный центр по профессиональной подготовке, цель которого – обучение крестьян и крестьянок, занимающих руководящие должности, новым сельскохозяйственным технологиям и оказание им помощи в их освоении. С 2000 по 2002</w:t>
      </w:r>
      <w:r>
        <w:t> </w:t>
      </w:r>
      <w:r>
        <w:rPr>
          <w:color w:val="000000"/>
        </w:rPr>
        <w:t>год в Центре прошли подготовку более 2 тыс. сельских женщин.</w:t>
      </w:r>
    </w:p>
    <w:p w:rsidR="00000000" w:rsidRDefault="00000000">
      <w:pPr>
        <w:pStyle w:val="BodyText"/>
      </w:pPr>
      <w:r>
        <w:t>667.</w:t>
      </w:r>
      <w:r>
        <w:tab/>
        <w:t xml:space="preserve">Обучением молодых сельских женщин занимаются национальная система политехнического сельскохозяйственного образования и три университета в горных районах. </w:t>
      </w:r>
    </w:p>
    <w:p w:rsidR="00000000" w:rsidRDefault="00000000">
      <w:pPr>
        <w:pStyle w:val="BodyText"/>
      </w:pPr>
      <w:r>
        <w:t>668.</w:t>
      </w:r>
      <w:r>
        <w:tab/>
        <w:t xml:space="preserve">За последние годы улучшилось качество жизни сельского населения. Ведется работа по обеспечению всего населения этой категории такими ресурсами, как вода, электричество и пр., на тех же условиях, что и городские жители. </w:t>
      </w:r>
    </w:p>
    <w:p w:rsidR="00000000" w:rsidRDefault="00000000">
      <w:pPr>
        <w:pStyle w:val="BodyText"/>
      </w:pPr>
      <w:r>
        <w:t>669.</w:t>
      </w:r>
      <w:r>
        <w:tab/>
        <w:t xml:space="preserve">За последние годы в стране сооружены 2724 водопровода, обеспечивающие снабжение хлорированной водой. Из них на сельские районы приходится 1849, что составило увеличение на 2,3 процента. Для улучшения качества воды стали шире использоваться керамические фильтры, и ими обеспечены 3220 сельских общин. </w:t>
      </w:r>
    </w:p>
    <w:p w:rsidR="00000000" w:rsidRDefault="00000000">
      <w:pPr>
        <w:pStyle w:val="BodyText"/>
      </w:pPr>
      <w:r>
        <w:t>670.</w:t>
      </w:r>
      <w:r>
        <w:tab/>
        <w:t xml:space="preserve">Для получения столь ценного ресурса, каким является вода, в сельских районах были установлены 7 тыс. ветряных мельниц, 2 тыс. ручных насосов; в этих районах используются также многоходовый гидравлический таран, гидропневматические насосы, насосы на солнечных батареях и насосы на воловьей тяге – технологии, над которыми Комплексный технологически центр при Национальном институте водных ресурсов успешно работает уже с 1995 года. </w:t>
      </w:r>
    </w:p>
    <w:p w:rsidR="00000000" w:rsidRDefault="00000000">
      <w:pPr>
        <w:pStyle w:val="BodyText"/>
      </w:pPr>
      <w:r>
        <w:t>671.</w:t>
      </w:r>
      <w:r>
        <w:tab/>
        <w:t xml:space="preserve">По мере внедрения этих технологий расширяется и занятость сельских женщин. Только на предприятиях канализационной системы занято 6934 женщины, из них 70 процентов – в сельских районах. </w:t>
      </w:r>
    </w:p>
    <w:p w:rsidR="00000000" w:rsidRDefault="00000000">
      <w:pPr>
        <w:pStyle w:val="BodyText"/>
      </w:pPr>
      <w:r>
        <w:t>672.</w:t>
      </w:r>
      <w:r>
        <w:tab/>
        <w:t xml:space="preserve">Электричеством на Кубе обеспечены почти 98 процентов жилищ, что свидетельствует о прилагаемых государством усилиях по повышению уровня жизни населения. </w:t>
      </w:r>
    </w:p>
    <w:p w:rsidR="00000000" w:rsidRDefault="00000000">
      <w:pPr>
        <w:pStyle w:val="BodyText"/>
      </w:pPr>
      <w:r>
        <w:t>673.</w:t>
      </w:r>
      <w:r>
        <w:tab/>
        <w:t xml:space="preserve">В сельских районах помимо общенациональной электросети используются и различные другие источники электроэнергии, например гидравлические, обеспечивающие электроэнергией 8459 жилищ; дизельные электростанции, подающие электричество в 28 819 жилищ в удаленных районах, а также электростанции на заводах по переработке сахарного тростника, откуда электричество поступает в 30 517 жилищ. </w:t>
      </w:r>
    </w:p>
    <w:p w:rsidR="00000000" w:rsidRDefault="00000000">
      <w:pPr>
        <w:pStyle w:val="BodyText"/>
      </w:pPr>
      <w:r>
        <w:t>674.</w:t>
      </w:r>
      <w:r>
        <w:tab/>
        <w:t xml:space="preserve">Кроме того, сельское население имеет прямой доступ к программам Революции по повышению образовательного и культурного уровня всего населения, реализация которых развернулась в стране в течение последних двух лет. </w:t>
      </w:r>
    </w:p>
    <w:p w:rsidR="00000000" w:rsidRDefault="00000000">
      <w:pPr>
        <w:pStyle w:val="BodyText"/>
      </w:pPr>
      <w:r>
        <w:t>675.</w:t>
      </w:r>
      <w:r>
        <w:tab/>
        <w:t xml:space="preserve">В настоящее время в стране действуют 1800 теле- и видеозалов, где жители могут провести свободное время, а также обсудить различные проблемы, пройти обучение по вопросам экономики, гендерным проблемам и т. п. При многих из таких залов оборудованы фотолаборатории. </w:t>
      </w:r>
    </w:p>
    <w:p w:rsidR="00000000" w:rsidRDefault="00000000">
      <w:pPr>
        <w:pStyle w:val="BodyText"/>
      </w:pPr>
      <w:r>
        <w:t>676.</w:t>
      </w:r>
      <w:r>
        <w:tab/>
        <w:t xml:space="preserve">В сельских районах телевизоры, видеомагнитофоны и компьютеры имеются в 3268 школах, благодаря чему удается обеспечить такие же, как в городе, условия для обучения сельских школьников. </w:t>
      </w:r>
    </w:p>
    <w:p w:rsidR="00000000" w:rsidRDefault="00000000">
      <w:pPr>
        <w:pStyle w:val="BodyText"/>
      </w:pPr>
      <w:r>
        <w:t>677.</w:t>
      </w:r>
      <w:r>
        <w:tab/>
        <w:t xml:space="preserve">По мере создания в сельских районах таких условий реализуются задачи программы Революции, в основе которой – обеспечение равных прав и возможностей для всех граждан Кубы, независимо от их пола, цвета кожи или религиозных убеждений. Женщины участвуют в этой работе и непосредственно пользуются приносимыми ею благами. </w:t>
      </w:r>
    </w:p>
    <w:p w:rsidR="00000000" w:rsidRDefault="00000000">
      <w:pPr>
        <w:pStyle w:val="BodyText"/>
      </w:pPr>
      <w:r>
        <w:t>678.</w:t>
      </w:r>
      <w:r>
        <w:tab/>
        <w:t xml:space="preserve">Среди механизмов рабочего сотрудничества в целях дальнейшего улучшения положения сельских женщин – совместные планы и программы министерств сельского хозяйства и сахарной промышленности, НАМЗ и др. с Федерацией кубинских женщин. В 1992 году по настоянию ФАО была создана Кубинская сеть ведомств и организаций по вопросам помощи сельским женщинам. </w:t>
      </w:r>
    </w:p>
    <w:p w:rsidR="00000000" w:rsidRDefault="00000000">
      <w:pPr>
        <w:pStyle w:val="BodyText"/>
      </w:pPr>
      <w:r>
        <w:t>679.</w:t>
      </w:r>
      <w:r>
        <w:tab/>
        <w:t xml:space="preserve">Кроме того, ежегодно проводятся празднования Всемирного дня продовольствия и Дня сельской женщины, в ходе которых с признательностью отмечается труд коллективов и отдельных женщин, добившихся больших успехов в производстве продуктов питания. </w:t>
      </w:r>
    </w:p>
    <w:p w:rsidR="00000000" w:rsidRDefault="00000000">
      <w:pPr>
        <w:pStyle w:val="BodyText"/>
        <w:keepNext/>
        <w:spacing w:before="240"/>
        <w:jc w:val="center"/>
        <w:rPr>
          <w:b/>
        </w:rPr>
      </w:pPr>
      <w:r>
        <w:rPr>
          <w:b/>
        </w:rPr>
        <w:t>СТАТЬЯ</w:t>
      </w:r>
      <w:r>
        <w:t xml:space="preserve"> </w:t>
      </w:r>
      <w:r>
        <w:rPr>
          <w:b/>
        </w:rPr>
        <w:t>15</w:t>
      </w:r>
    </w:p>
    <w:p w:rsidR="00000000" w:rsidRDefault="00000000">
      <w:pPr>
        <w:pStyle w:val="BodyText"/>
      </w:pPr>
      <w:r>
        <w:t>1.</w:t>
      </w:r>
      <w:r>
        <w:tab/>
        <w:t xml:space="preserve">Государства-участники признают за женщинами равенство с мужчинами перед законом. </w:t>
      </w:r>
    </w:p>
    <w:p w:rsidR="00000000" w:rsidRDefault="00000000">
      <w:pPr>
        <w:pStyle w:val="BodyText"/>
        <w:ind w:left="0" w:firstLine="0"/>
      </w:pPr>
      <w:r>
        <w:t>2.</w:t>
      </w:r>
      <w:r>
        <w:tab/>
        <w:t xml:space="preserve">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 </w:t>
      </w:r>
    </w:p>
    <w:p w:rsidR="00000000" w:rsidRDefault="00000000">
      <w:pPr>
        <w:pStyle w:val="BodyText"/>
        <w:ind w:left="0" w:firstLine="0"/>
      </w:pPr>
      <w:r>
        <w:t>3.</w:t>
      </w:r>
      <w:r>
        <w:tab/>
        <w:t xml:space="preserve">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 </w:t>
      </w:r>
    </w:p>
    <w:p w:rsidR="00000000" w:rsidRDefault="00000000">
      <w:pPr>
        <w:pStyle w:val="BodyText"/>
        <w:ind w:left="0" w:firstLine="0"/>
      </w:pPr>
      <w:r>
        <w:t>4.</w:t>
      </w:r>
      <w: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BodyText"/>
      </w:pPr>
      <w:r>
        <w:t>680.</w:t>
      </w:r>
      <w:r>
        <w:tab/>
      </w:r>
      <w:r>
        <w:rPr>
          <w:color w:val="000000"/>
        </w:rPr>
        <w:t>В соответствии с принципом равенства, провозглашенным в Конституции, Законом № 59 от 16 июля 1987 года и Гражданским кодексом устанавливается равенство мужчин и женщин при равных правоспособности и возможностях для его реализации.</w:t>
      </w:r>
    </w:p>
    <w:p w:rsidR="00000000" w:rsidRDefault="00000000">
      <w:pPr>
        <w:pStyle w:val="BodyText"/>
      </w:pPr>
      <w:r>
        <w:t>681.</w:t>
      </w:r>
      <w:r>
        <w:tab/>
      </w:r>
      <w:r>
        <w:rPr>
          <w:color w:val="000000"/>
        </w:rPr>
        <w:t>И юридически, и этически своим содержанием статья 1 устанавливает, что "Гражданский кодекс регулирует имущественные отношения, а также неимущественные отношения, связанные с первыми, между лицами на основе равенства с целью удовлетворения материальных и культурных потребн</w:t>
      </w:r>
      <w:r>
        <w:rPr>
          <w:color w:val="000000"/>
        </w:rPr>
        <w:t>о</w:t>
      </w:r>
      <w:r>
        <w:rPr>
          <w:color w:val="000000"/>
        </w:rPr>
        <w:t>стей".</w:t>
      </w:r>
    </w:p>
    <w:p w:rsidR="00000000" w:rsidRDefault="00000000">
      <w:pPr>
        <w:pStyle w:val="BodyText"/>
      </w:pPr>
      <w:r>
        <w:t>682.</w:t>
      </w:r>
      <w:r>
        <w:tab/>
      </w:r>
      <w:r>
        <w:rPr>
          <w:color w:val="000000"/>
        </w:rPr>
        <w:t>По закону кубинская женщина имеет право подписывать гражданские договоры любого вида, а также торговые соглашения, распоряжаться своим имуществом, получать доступ к финансовым кредитам.</w:t>
      </w:r>
    </w:p>
    <w:p w:rsidR="00000000" w:rsidRDefault="00000000">
      <w:pPr>
        <w:pStyle w:val="BodyText"/>
      </w:pPr>
      <w:r>
        <w:t>683.</w:t>
      </w:r>
      <w:r>
        <w:tab/>
      </w:r>
      <w:r>
        <w:rPr>
          <w:color w:val="000000"/>
        </w:rPr>
        <w:t>Что касается актов, связанных с собственностью, или владением, или отчуждением имущества, находящегося в совместном владении супружеской пары, то в данных случаях требуется согласие второго супруга, причем, естественно, это требование распространяется на обоих супругов.</w:t>
      </w:r>
    </w:p>
    <w:p w:rsidR="00000000" w:rsidRDefault="00000000">
      <w:pPr>
        <w:pStyle w:val="BodyText"/>
      </w:pPr>
      <w:r>
        <w:t>684.</w:t>
      </w:r>
      <w:r>
        <w:tab/>
      </w:r>
      <w:r>
        <w:rPr>
          <w:color w:val="000000"/>
        </w:rPr>
        <w:t>Из совместного владения имуществом исключается собственное имущество, приобретенное до брака или в браке и определяемое Семейным кодексом, причем оба супруга могут, соответственно, свободно распоряжаться им.</w:t>
      </w:r>
    </w:p>
    <w:p w:rsidR="00000000" w:rsidRDefault="00000000">
      <w:pPr>
        <w:pStyle w:val="BodyText"/>
      </w:pPr>
      <w:r>
        <w:t>685.</w:t>
      </w:r>
      <w:r>
        <w:tab/>
      </w:r>
      <w:r>
        <w:rPr>
          <w:color w:val="000000"/>
        </w:rPr>
        <w:t>В отношении юридической правомочности в связи с наследованием женщина и мужчина имеют равные права на завещанное и незавещанное наследство.</w:t>
      </w:r>
    </w:p>
    <w:p w:rsidR="00000000" w:rsidRDefault="00000000">
      <w:pPr>
        <w:pStyle w:val="BodyText"/>
      </w:pPr>
      <w:r>
        <w:t>686.</w:t>
      </w:r>
      <w:r>
        <w:tab/>
        <w:t xml:space="preserve">Кроме того, в четвертом разделе данного Кодекса (начиная со статьи 466) регулируются все вопросы права наследования, которое распространяется на женщин без каких-либо ограничений. Наследование может иметь место по завещанию или по закону, а содержавшееся в предыдущем Кодексе несправедливое требование о выделении обязательной доли пережившего супруга отменяется: вдова и прочие наследники имеют равные права на причитающиеся им доли наследуемого имущества, принадлежавшего завещателю. </w:t>
      </w:r>
    </w:p>
    <w:p w:rsidR="00000000" w:rsidRDefault="00000000">
      <w:pPr>
        <w:pStyle w:val="BodyText"/>
      </w:pPr>
      <w:r>
        <w:t>687.</w:t>
      </w:r>
      <w:r>
        <w:tab/>
        <w:t xml:space="preserve">Статьей 480 предусматривается, что "наследником или законным наследником может быть любое физическое или юридическое лицо". </w:t>
      </w:r>
    </w:p>
    <w:p w:rsidR="00000000" w:rsidRDefault="00000000">
      <w:pPr>
        <w:pStyle w:val="BodyText"/>
      </w:pPr>
      <w:r>
        <w:t>688.</w:t>
      </w:r>
      <w:r>
        <w:tab/>
        <w:t>В отношении наследования по завещанию необходимо отметить, что женщина имеет полное право наследовать. В главе II "Неспособность наследовать" не предусматривается никаких ограничений по признаку пола, возраста или цвета кожи (статьи 469 и 470).</w:t>
      </w:r>
    </w:p>
    <w:p w:rsidR="00000000" w:rsidRDefault="00000000">
      <w:pPr>
        <w:pStyle w:val="BodyText"/>
      </w:pPr>
      <w:r>
        <w:t>689.</w:t>
      </w:r>
      <w:r>
        <w:tab/>
        <w:t>Кроме того, в главе о "наследниках, пользующихся особой защитой", к числу таковых отнесены и переживший супруг (супруга), если они нетрудоспособны и экономически зависели от завещателя (статья 493).</w:t>
      </w:r>
    </w:p>
    <w:p w:rsidR="00000000" w:rsidRDefault="00000000">
      <w:pPr>
        <w:pStyle w:val="BodyText"/>
      </w:pPr>
      <w:r>
        <w:t>690.</w:t>
      </w:r>
      <w:r>
        <w:tab/>
        <w:t>В этом случае право завещания распространяется только на половину имущества, и завещатель не может налагать никакого обременения на наследство, причитающееся наследникам, пользующимся особой защитой.</w:t>
      </w:r>
    </w:p>
    <w:p w:rsidR="00000000" w:rsidRDefault="00000000">
      <w:pPr>
        <w:pStyle w:val="BodyText"/>
      </w:pPr>
      <w:r>
        <w:t>691.</w:t>
      </w:r>
      <w:r>
        <w:tab/>
        <w:t>В случае наследования по закону очередность наследования идет по прямой нисходящей линии, то есть к детям и прочим потомкам. Наследство делится между ними в равных долях, при этом не должны быть ущемлены права супруга (супруги) и родителей, если они нетрудоспособны и экономически зависели от завещателя.</w:t>
      </w:r>
    </w:p>
    <w:p w:rsidR="00000000" w:rsidRDefault="00000000">
      <w:pPr>
        <w:pStyle w:val="BodyText"/>
      </w:pPr>
      <w:r>
        <w:t>692.</w:t>
      </w:r>
      <w:r>
        <w:tab/>
        <w:t xml:space="preserve">Переживший супруг (супруга) имеют право на долю, равную доле прочих наследников. Наследство в полном объеме может быть получено супругом (супругой) только в случае отсутствия у завещателя потомков и родителей. </w:t>
      </w:r>
    </w:p>
    <w:p w:rsidR="00000000" w:rsidRDefault="00000000">
      <w:pPr>
        <w:pStyle w:val="BodyText"/>
      </w:pPr>
      <w:r>
        <w:t>693.</w:t>
      </w:r>
      <w:r>
        <w:tab/>
        <w:t xml:space="preserve">В случае смерти одного из супругов переживший супруг сохраняет свои права на наследство независимо от того, был ли начат бракоразводный процесс. Этими положениями ликвидируется прежде существовавшая норма, в соответствии с которой пережившему супругу (супруге) причиталась в порядке наследства только обязательная доля пережившего супруга. </w:t>
      </w:r>
    </w:p>
    <w:p w:rsidR="00000000" w:rsidRDefault="00000000">
      <w:pPr>
        <w:pStyle w:val="BodyText"/>
      </w:pPr>
      <w:r>
        <w:t>694.</w:t>
      </w:r>
      <w:r>
        <w:tab/>
      </w:r>
      <w:r>
        <w:rPr>
          <w:color w:val="000000"/>
        </w:rPr>
        <w:t>Что касается доступа женщин к органам судебной власти, то в соответствии с положениями Конституции они имеют равные с мужчинами права в любом виде судопроизводства, как это установлено Законом № 5 от 13 августа 1977 года, Законом о судопроизводстве и Законом №</w:t>
      </w:r>
      <w:r>
        <w:t> </w:t>
      </w:r>
      <w:r>
        <w:rPr>
          <w:color w:val="000000"/>
        </w:rPr>
        <w:t>7 от 20</w:t>
      </w:r>
      <w:r>
        <w:t> </w:t>
      </w:r>
      <w:r>
        <w:rPr>
          <w:color w:val="000000"/>
        </w:rPr>
        <w:t>августа того же года, а также Законом о гражданском, административном и трудовом судопроизводстве.</w:t>
      </w:r>
      <w:r>
        <w:t xml:space="preserve"> </w:t>
      </w:r>
    </w:p>
    <w:p w:rsidR="00000000" w:rsidRDefault="00000000">
      <w:pPr>
        <w:pStyle w:val="BodyText"/>
        <w:jc w:val="center"/>
        <w:rPr>
          <w:b/>
        </w:rPr>
      </w:pPr>
      <w:r>
        <w:rPr>
          <w:b/>
        </w:rPr>
        <w:t>СТАТЬЯ</w:t>
      </w:r>
      <w:r>
        <w:t xml:space="preserve"> </w:t>
      </w:r>
      <w:r>
        <w:rPr>
          <w:b/>
        </w:rPr>
        <w:t>16</w:t>
      </w:r>
    </w:p>
    <w:p w:rsidR="00000000" w:rsidRDefault="00000000">
      <w:pPr>
        <w:pStyle w:val="BodyText"/>
        <w:ind w:left="0" w:firstLine="0"/>
      </w:pPr>
      <w:r>
        <w:t xml:space="preserve">1. </w:t>
      </w:r>
      <w:r>
        <w:tab/>
        <w:t xml:space="preserve">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 </w:t>
      </w:r>
    </w:p>
    <w:p w:rsidR="00000000" w:rsidRDefault="00000000">
      <w:pPr>
        <w:pStyle w:val="BodyText"/>
        <w:tabs>
          <w:tab w:val="clear" w:pos="567"/>
          <w:tab w:val="clear" w:pos="907"/>
        </w:tabs>
        <w:spacing w:after="220"/>
        <w:ind w:left="1134"/>
      </w:pPr>
      <w:r>
        <w:t>а)</w:t>
      </w:r>
      <w:r>
        <w:tab/>
        <w:t xml:space="preserve">одинаковые права на вступление в брак; </w:t>
      </w:r>
    </w:p>
    <w:p w:rsidR="00000000" w:rsidRDefault="00000000">
      <w:pPr>
        <w:pStyle w:val="BodyText"/>
        <w:tabs>
          <w:tab w:val="clear" w:pos="567"/>
          <w:tab w:val="clear" w:pos="907"/>
        </w:tabs>
        <w:spacing w:after="220"/>
        <w:ind w:left="1134"/>
      </w:pPr>
      <w:r>
        <w:rPr>
          <w:lang w:val="en-US"/>
        </w:rPr>
        <w:t>b</w:t>
      </w:r>
      <w:r>
        <w:t>)</w:t>
      </w:r>
      <w:r>
        <w:tab/>
        <w:t xml:space="preserve">одинаковые права на свободный выбор супруга и на вступление в брак только со своего свободного и полного согласия; </w:t>
      </w:r>
    </w:p>
    <w:p w:rsidR="00000000" w:rsidRDefault="00000000">
      <w:pPr>
        <w:pStyle w:val="BodyText"/>
        <w:tabs>
          <w:tab w:val="clear" w:pos="567"/>
          <w:tab w:val="clear" w:pos="907"/>
        </w:tabs>
        <w:spacing w:after="220"/>
        <w:ind w:left="1134"/>
      </w:pPr>
      <w:r>
        <w:rPr>
          <w:lang w:val="en-US"/>
        </w:rPr>
        <w:t>c</w:t>
      </w:r>
      <w:r>
        <w:t>)</w:t>
      </w:r>
      <w:r>
        <w:tab/>
        <w:t xml:space="preserve">одинаковые права и обязанности в период брака и при его расторжении; </w:t>
      </w:r>
    </w:p>
    <w:p w:rsidR="00000000" w:rsidRDefault="00000000">
      <w:pPr>
        <w:pStyle w:val="BodyText"/>
        <w:tabs>
          <w:tab w:val="clear" w:pos="567"/>
          <w:tab w:val="clear" w:pos="907"/>
        </w:tabs>
        <w:spacing w:after="220"/>
        <w:ind w:left="1134"/>
      </w:pPr>
      <w:r>
        <w:rPr>
          <w:lang w:val="en-US"/>
        </w:rPr>
        <w:t>d</w:t>
      </w:r>
      <w:r>
        <w:t>)</w:t>
      </w:r>
      <w:r>
        <w:tab/>
        <w:t xml:space="preserve">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 </w:t>
      </w:r>
    </w:p>
    <w:p w:rsidR="00000000" w:rsidRDefault="00000000">
      <w:pPr>
        <w:pStyle w:val="BodyText"/>
        <w:tabs>
          <w:tab w:val="clear" w:pos="567"/>
          <w:tab w:val="clear" w:pos="907"/>
        </w:tabs>
        <w:spacing w:after="220"/>
        <w:ind w:left="1134"/>
      </w:pPr>
      <w:r>
        <w:rPr>
          <w:lang w:val="en-US"/>
        </w:rPr>
        <w:t>e</w:t>
      </w:r>
      <w:r>
        <w:t>)</w:t>
      </w:r>
      <w:r>
        <w:tab/>
        <w:t xml:space="preserve">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 </w:t>
      </w:r>
    </w:p>
    <w:p w:rsidR="00000000" w:rsidRDefault="00000000">
      <w:pPr>
        <w:pStyle w:val="BodyText"/>
        <w:tabs>
          <w:tab w:val="clear" w:pos="567"/>
          <w:tab w:val="clear" w:pos="907"/>
        </w:tabs>
        <w:spacing w:after="220"/>
        <w:ind w:left="1134"/>
      </w:pPr>
      <w:r>
        <w:rPr>
          <w:lang w:val="en-US"/>
        </w:rPr>
        <w:t>f</w:t>
      </w:r>
      <w:r>
        <w:t>)</w:t>
      </w:r>
      <w:r>
        <w:tab/>
        <w:t xml:space="preserve">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 </w:t>
      </w:r>
    </w:p>
    <w:p w:rsidR="00000000" w:rsidRDefault="00000000">
      <w:pPr>
        <w:pStyle w:val="BodyText"/>
        <w:tabs>
          <w:tab w:val="clear" w:pos="567"/>
          <w:tab w:val="clear" w:pos="907"/>
        </w:tabs>
        <w:spacing w:after="220"/>
        <w:ind w:left="1134"/>
      </w:pPr>
      <w:r>
        <w:rPr>
          <w:lang w:val="en-US"/>
        </w:rPr>
        <w:t>g</w:t>
      </w:r>
      <w:r>
        <w:t>)</w:t>
      </w:r>
      <w:r>
        <w:tab/>
        <w:t xml:space="preserve">одинаковые личные права мужа и жены, в том числе право выбора фамилии, профессии и занятия; </w:t>
      </w:r>
    </w:p>
    <w:p w:rsidR="00000000" w:rsidRDefault="00000000">
      <w:pPr>
        <w:pStyle w:val="BodyText"/>
        <w:tabs>
          <w:tab w:val="clear" w:pos="567"/>
          <w:tab w:val="clear" w:pos="907"/>
        </w:tabs>
        <w:spacing w:after="220"/>
        <w:ind w:left="1134"/>
      </w:pPr>
      <w:r>
        <w:rPr>
          <w:lang w:val="en-US"/>
        </w:rPr>
        <w:t>h</w:t>
      </w:r>
      <w:r>
        <w:t>)</w:t>
      </w:r>
      <w:r>
        <w:tab/>
        <w:t xml:space="preserve">одинаковые права супругов в отношении владения, приобретения, управления, пользования и распоряжения имуществом как бесплатно, так и за плату. </w:t>
      </w:r>
    </w:p>
    <w:p w:rsidR="00000000" w:rsidRDefault="00000000">
      <w:pPr>
        <w:pStyle w:val="BodyText"/>
        <w:spacing w:after="0"/>
        <w:ind w:left="0" w:firstLine="0"/>
      </w:pPr>
      <w:r>
        <w:t>2.</w:t>
      </w:r>
      <w: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 </w:t>
      </w:r>
    </w:p>
    <w:p w:rsidR="00000000" w:rsidRDefault="00000000">
      <w:pPr>
        <w:pStyle w:val="BodyText"/>
        <w:spacing w:after="180"/>
      </w:pPr>
    </w:p>
    <w:p w:rsidR="00000000" w:rsidRDefault="00000000">
      <w:pPr>
        <w:pStyle w:val="BodyText"/>
      </w:pPr>
      <w:r>
        <w:t>695.</w:t>
      </w:r>
      <w:r>
        <w:tab/>
      </w:r>
      <w:r>
        <w:rPr>
          <w:color w:val="000000"/>
        </w:rPr>
        <w:t xml:space="preserve">Как отмечалось в предыдущих докладах, положения Конституции Республики и Семейного кодекса определяют основные принципы и условия равноправия мужчин и женщин в браке и в семейных отношениях. Семейный кодекс регулирует семейные институты: брак, развод, отношения между родителями и детьми, обязательства по выплате алиментов, вопросы усыновления и опеки. </w:t>
      </w:r>
    </w:p>
    <w:p w:rsidR="00000000" w:rsidRDefault="00000000">
      <w:pPr>
        <w:pStyle w:val="BodyText"/>
      </w:pPr>
      <w:r>
        <w:t>696.</w:t>
      </w:r>
      <w:r>
        <w:tab/>
      </w:r>
      <w:r>
        <w:rPr>
          <w:color w:val="000000"/>
        </w:rPr>
        <w:t>В статье 2 Семейного кодекса устанавливается, что "брак – это добровольный союз мужчины и женщины, заключаемый между правоспособными лицами в целях совместного проживания", а в разделе первом "О правах и обязанностях супругов" главы, посвященной семейным отношениям, утверждается провозглашенный в Конституции принцип, согласно которому брак основан на полном равенстве прав и обязанностей супругов.</w:t>
      </w:r>
    </w:p>
    <w:p w:rsidR="00000000" w:rsidRDefault="00000000">
      <w:pPr>
        <w:pStyle w:val="BodyText"/>
      </w:pPr>
      <w:r>
        <w:t>697.</w:t>
      </w:r>
      <w:r>
        <w:tab/>
        <w:t xml:space="preserve">В статье 25 закрепляются принципы надлежащего обращения, верности, уважения и взаимопомощи в отношениях между супругами, которые равно распространяются как на мужчину, так и на женщину. Оба супруга обязаны заботиться о созданной ими семье и совместно растить, воспитывать и направлять своих детей и по мере сил и возможностей каждого участвовать в ведении домашнего хозяйства и организации быта (статья 26). </w:t>
      </w:r>
    </w:p>
    <w:p w:rsidR="00000000" w:rsidRDefault="00000000">
      <w:pPr>
        <w:pStyle w:val="BodyText"/>
      </w:pPr>
      <w:r>
        <w:t>698.</w:t>
      </w:r>
      <w:r>
        <w:tab/>
        <w:t>В статье 27 впервые в истории нашего законодательства признается экономическое значение домашней работы. Здесь говорится, что "супруги, каждый в меру своих сил и экономических возможностей, обязаны вносить вклад в удовлетворение потребностей семьи, созданной в результате заключения брака между ними. Однако, если один из них вносит свой вклад в обеспечение семьи только в форме домашнего труда и ухода за детьми, другой супруг обязан самостоятельно вносить свой вклад в надлежащее обеспечение семьи, и это не снимает с него обязанности участвовать в домашнем труде и уходе за детьми".</w:t>
      </w:r>
    </w:p>
    <w:p w:rsidR="00000000" w:rsidRDefault="00000000">
      <w:pPr>
        <w:pStyle w:val="BodyText"/>
      </w:pPr>
      <w:r>
        <w:t>699.</w:t>
      </w:r>
      <w:r>
        <w:tab/>
      </w:r>
      <w:r>
        <w:rPr>
          <w:color w:val="000000"/>
        </w:rPr>
        <w:t>Обязательным условием для вступления как мужчин, так и женщин в брак является достижение ими 18-летнего возраста. В исключител</w:t>
      </w:r>
      <w:r>
        <w:rPr>
          <w:color w:val="000000"/>
        </w:rPr>
        <w:t>ь</w:t>
      </w:r>
      <w:r>
        <w:rPr>
          <w:color w:val="000000"/>
        </w:rPr>
        <w:t>ных случаях и при наличии уважительных причин может быть разрешено вступление в брак для д</w:t>
      </w:r>
      <w:r>
        <w:rPr>
          <w:color w:val="000000"/>
        </w:rPr>
        <w:t>е</w:t>
      </w:r>
      <w:r>
        <w:rPr>
          <w:color w:val="000000"/>
        </w:rPr>
        <w:t>вушек не моложе 14 лет и для юношей не моложе 16 лет.</w:t>
      </w:r>
    </w:p>
    <w:p w:rsidR="00000000" w:rsidRDefault="00000000">
      <w:pPr>
        <w:pStyle w:val="BodyText"/>
      </w:pPr>
      <w:r>
        <w:t>700.</w:t>
      </w:r>
      <w:r>
        <w:tab/>
      </w:r>
      <w:r>
        <w:rPr>
          <w:color w:val="000000"/>
        </w:rPr>
        <w:t>В любом случае необходимым условием для заключения брака является волеизъявление, даже если по причине несовершеннолетия для этого требуется согласие третьих лиц.</w:t>
      </w:r>
    </w:p>
    <w:p w:rsidR="00000000" w:rsidRDefault="00000000">
      <w:pPr>
        <w:pStyle w:val="BodyText"/>
      </w:pPr>
      <w:r>
        <w:rPr>
          <w:color w:val="000000"/>
        </w:rPr>
        <w:t>701.</w:t>
      </w:r>
      <w:r>
        <w:rPr>
          <w:color w:val="000000"/>
        </w:rPr>
        <w:tab/>
        <w:t>Кубинское законодательство предусматривает признание в судебном порядке официально не зарегис</w:t>
      </w:r>
      <w:r>
        <w:rPr>
          <w:color w:val="000000"/>
        </w:rPr>
        <w:t>т</w:t>
      </w:r>
      <w:r>
        <w:rPr>
          <w:color w:val="000000"/>
        </w:rPr>
        <w:t>рированного брака с целью обеспечения всех его правовых последствий, что и в официально зарегис</w:t>
      </w:r>
      <w:r>
        <w:rPr>
          <w:color w:val="000000"/>
        </w:rPr>
        <w:t>т</w:t>
      </w:r>
      <w:r>
        <w:rPr>
          <w:color w:val="000000"/>
        </w:rPr>
        <w:t>рированном браке, при условии соблюдения требований стабильности и единичности такого брака.</w:t>
      </w:r>
    </w:p>
    <w:p w:rsidR="00000000" w:rsidRDefault="00000000">
      <w:pPr>
        <w:pStyle w:val="BodyText"/>
      </w:pPr>
      <w:r>
        <w:rPr>
          <w:color w:val="000000"/>
        </w:rPr>
        <w:t>702.</w:t>
      </w:r>
      <w:r>
        <w:rPr>
          <w:color w:val="000000"/>
        </w:rPr>
        <w:tab/>
        <w:t>Как в официально зарегистрированном, так и в незарегистрированном браке супруги имеют равные права и обязанности в отношении друг друга и в отношении их детей.</w:t>
      </w:r>
    </w:p>
    <w:p w:rsidR="00000000" w:rsidRDefault="00000000">
      <w:pPr>
        <w:pStyle w:val="BodyText"/>
      </w:pPr>
      <w:r>
        <w:rPr>
          <w:color w:val="000000"/>
        </w:rPr>
        <w:t>703.</w:t>
      </w:r>
      <w:r>
        <w:rPr>
          <w:color w:val="000000"/>
        </w:rPr>
        <w:tab/>
      </w:r>
      <w:r>
        <w:t xml:space="preserve">Что касается осуществления родительских прав, то в статье 83 предусматривается, что это является совместной обязанностью обоих родителей, которые имеют определенные права и несут определенные обязанности в соответствии с положениями статьи 85. </w:t>
      </w:r>
    </w:p>
    <w:p w:rsidR="00000000" w:rsidRDefault="00000000">
      <w:pPr>
        <w:pStyle w:val="BodyText"/>
      </w:pPr>
      <w:r>
        <w:rPr>
          <w:color w:val="000000"/>
        </w:rPr>
        <w:t>704.</w:t>
      </w:r>
      <w:r>
        <w:rPr>
          <w:color w:val="000000"/>
        </w:rPr>
        <w:tab/>
        <w:t xml:space="preserve">В статье 28 закрепляется право обоих супругов на работу по профессии или занятие определенным видом деятельности, а также на обучение и самосовершенствование; при этом они должны таким образом организовать семейную жизнь, чтобы иметь возможность сочетать эти виды деятельности с выполнением обязательств, возлагаемых на них в соответствии с Семейным кодексом. </w:t>
      </w:r>
    </w:p>
    <w:p w:rsidR="00000000" w:rsidRDefault="00000000">
      <w:pPr>
        <w:pStyle w:val="BodyText"/>
      </w:pPr>
      <w:r>
        <w:rPr>
          <w:color w:val="000000"/>
        </w:rPr>
        <w:t>705.</w:t>
      </w:r>
      <w:r>
        <w:rPr>
          <w:color w:val="000000"/>
        </w:rPr>
        <w:tab/>
      </w:r>
      <w:r>
        <w:t xml:space="preserve">Эти статьи имеют ярко выраженную гендерную направленность, и можно считать, что их задача – положить конец разделению домашнего труда на мужской и женский, что является одним из наиболее прочных культурных устоев, в наибольшей степени влияющим на положение женщин ввиду большого объема домашней работы, которую им приходится выполнять. </w:t>
      </w:r>
    </w:p>
    <w:p w:rsidR="00000000" w:rsidRDefault="00000000">
      <w:pPr>
        <w:pStyle w:val="BodyText"/>
      </w:pPr>
      <w:r>
        <w:rPr>
          <w:color w:val="000000"/>
        </w:rPr>
        <w:t>706.</w:t>
      </w:r>
      <w:r>
        <w:rPr>
          <w:color w:val="000000"/>
        </w:rPr>
        <w:tab/>
      </w:r>
      <w:r>
        <w:t xml:space="preserve">Согласно статье 29, </w:t>
      </w:r>
      <w:r>
        <w:rPr>
          <w:color w:val="000000"/>
        </w:rPr>
        <w:t>материальные отношения между супругами основаны на</w:t>
      </w:r>
      <w:r>
        <w:rPr>
          <w:b/>
          <w:color w:val="000000"/>
        </w:rPr>
        <w:t xml:space="preserve"> </w:t>
      </w:r>
      <w:r>
        <w:rPr>
          <w:color w:val="000000"/>
        </w:rPr>
        <w:t>общности имущества супругов, и эти отношения возникают с момента официального оформления брака или со дня создания семьи (статьи 19 и 20).</w:t>
      </w:r>
    </w:p>
    <w:p w:rsidR="00000000" w:rsidRDefault="00000000">
      <w:pPr>
        <w:pStyle w:val="BodyText"/>
      </w:pPr>
      <w:r>
        <w:rPr>
          <w:color w:val="000000"/>
        </w:rPr>
        <w:t>707.</w:t>
      </w:r>
      <w:r>
        <w:rPr>
          <w:color w:val="000000"/>
        </w:rPr>
        <w:tab/>
      </w:r>
      <w:r>
        <w:t>Финансовые обязательства или расходы супругов покрываются, исходя из установленного принципа равноправия, за счет совместного имущества супругов (статья 33).</w:t>
      </w:r>
    </w:p>
    <w:p w:rsidR="00000000" w:rsidRDefault="00000000">
      <w:pPr>
        <w:pStyle w:val="BodyText"/>
      </w:pPr>
      <w:r>
        <w:rPr>
          <w:color w:val="000000"/>
        </w:rPr>
        <w:t>708.</w:t>
      </w:r>
      <w:r>
        <w:rPr>
          <w:color w:val="000000"/>
        </w:rPr>
        <w:tab/>
      </w:r>
      <w:r>
        <w:t xml:space="preserve">Кроме того, в статье 35 установлено, что супруги управляют совместным имуществом семьи и что любой их них может на равных условиях управлять имуществом, а также приобретать имущество, которое по своим характеристикам предназначено для повседневного использования или потребления в семье. </w:t>
      </w:r>
    </w:p>
    <w:p w:rsidR="00000000" w:rsidRDefault="00000000">
      <w:pPr>
        <w:pStyle w:val="BodyText"/>
      </w:pPr>
      <w:r>
        <w:rPr>
          <w:color w:val="000000"/>
        </w:rPr>
        <w:t>709.</w:t>
      </w:r>
      <w:r>
        <w:rPr>
          <w:color w:val="000000"/>
        </w:rPr>
        <w:tab/>
      </w:r>
      <w:r>
        <w:t xml:space="preserve">Что касается развода, то статья 51 Кодекса гласит, что он осуществляется по взаимному согласию супругов или в случае вынесения судом решения о том, что имеются причины полагать, что брак утратил свой смысл для супругов и детей, а следовательно, и для общества. Согласно статье 52 Кодекса, по этим причинам должна сложиться объективная ситуация, при которой брак больше не является союзом между мужчиной и женщиной, в котором они могут должным образом реализовывать свои права, выполнять свои обязанности и обеспечивать надлежащее обращение, верность, уважение и взаимопомощь. </w:t>
      </w:r>
    </w:p>
    <w:p w:rsidR="00000000" w:rsidRDefault="00000000">
      <w:pPr>
        <w:pStyle w:val="BodyText"/>
      </w:pPr>
      <w:r>
        <w:rPr>
          <w:color w:val="000000"/>
        </w:rPr>
        <w:t>710.</w:t>
      </w:r>
      <w:r>
        <w:rPr>
          <w:color w:val="000000"/>
        </w:rPr>
        <w:tab/>
      </w:r>
      <w:r>
        <w:t xml:space="preserve">В 1994 году Декретом-законом № 154 была определена процедура расторжения брака путем регистрации нотариальными органами. Эта юридическая норма внесла изменения в сравнении с Семейным кодексом и тем самым создала новые возможности для расторжения семейных уз: помимо судебных процедур это можно теперь осуществить – в случае если брак расторгается по взаимному согласию супругов – путем нотариальной регистрации развода. Целью этого нововведения было предусмотреть в некоторых случаях внесудебный порядок расторжения брака, не умаляя при этом его правового значения и социальной значимости. </w:t>
      </w:r>
    </w:p>
    <w:p w:rsidR="00000000" w:rsidRDefault="00000000">
      <w:pPr>
        <w:pStyle w:val="BodyText"/>
      </w:pPr>
      <w:r>
        <w:rPr>
          <w:color w:val="000000"/>
        </w:rPr>
        <w:t>711.</w:t>
      </w:r>
      <w:r>
        <w:rPr>
          <w:color w:val="000000"/>
        </w:rPr>
        <w:tab/>
        <w:t xml:space="preserve">В нотариальном акте о разводе или в постановлении суда содержатся положения, определяющие родительские права, причем, как правило, в отношении несовершеннолетних детей они закрепляются за обоими родителями, а также положения относительно опеки и ухода, порядка общения и уплаты алиментов. </w:t>
      </w:r>
    </w:p>
    <w:p w:rsidR="00000000" w:rsidRDefault="00000000">
      <w:pPr>
        <w:pStyle w:val="BodyText"/>
      </w:pPr>
      <w:r>
        <w:rPr>
          <w:color w:val="000000"/>
        </w:rPr>
        <w:t>712.</w:t>
      </w:r>
      <w:r>
        <w:rPr>
          <w:color w:val="000000"/>
        </w:rPr>
        <w:tab/>
        <w:t>В статье</w:t>
      </w:r>
      <w:r>
        <w:t> </w:t>
      </w:r>
      <w:r>
        <w:rPr>
          <w:color w:val="000000"/>
        </w:rPr>
        <w:t>53 Семейного кодекса установлено, что бракоразводный процесс как форма расторж</w:t>
      </w:r>
      <w:r>
        <w:rPr>
          <w:color w:val="000000"/>
        </w:rPr>
        <w:t>е</w:t>
      </w:r>
      <w:r>
        <w:rPr>
          <w:color w:val="000000"/>
        </w:rPr>
        <w:t>ния брака может быть возбужден любым из супругов без каких-либо различий, а в статье 55 в числе последствий расторжения брака предусматриваются ликвидация совместного семейного владения имуществом и затем – раздел имущества между супругами.</w:t>
      </w:r>
    </w:p>
    <w:p w:rsidR="00000000" w:rsidRDefault="00000000">
      <w:pPr>
        <w:pStyle w:val="BodyText"/>
      </w:pPr>
      <w:r>
        <w:rPr>
          <w:color w:val="000000"/>
        </w:rPr>
        <w:t>713.</w:t>
      </w:r>
      <w:r>
        <w:rPr>
          <w:color w:val="000000"/>
        </w:rPr>
        <w:tab/>
      </w:r>
      <w:r>
        <w:t xml:space="preserve">Помимо этого, в статье 56 говорится, что, если супруги прожили совместно более одного года или в период их брака у них родился ребенок, суд после совершения развода может принять решение о выплате пенсии в пользу одного из супругов в следующих случаях: если он (она) не имеет оплачиваемой работы и средств к существованию – в этом случае пенсия выплачивается временно, в течение не более полугода или года; если он (она) по причине инвалидности, возраста, заболевания или по другой причине лишен(а) возможности работать и не имеет других средств к существованию – пенсия выплачивается в течение всего периода, пока эти причины сохраняют силу. </w:t>
      </w:r>
    </w:p>
    <w:p w:rsidR="00000000" w:rsidRDefault="00000000">
      <w:pPr>
        <w:pStyle w:val="BodyText"/>
      </w:pPr>
      <w:r>
        <w:rPr>
          <w:color w:val="000000"/>
        </w:rPr>
        <w:t>714.</w:t>
      </w:r>
      <w:r>
        <w:rPr>
          <w:color w:val="000000"/>
        </w:rPr>
        <w:tab/>
        <w:t>В с</w:t>
      </w:r>
      <w:r>
        <w:t>татьях 88, 89 и 90 Семейного кодекса регулируются вопросы попечения о детях и ухода за детьми. В с</w:t>
      </w:r>
      <w:r>
        <w:rPr>
          <w:color w:val="000000"/>
        </w:rPr>
        <w:t>татье 89 говорится, что "если между родителями не достигнута договоренность или такая договоренность не отвечает материальным или нравственным интересам детей, то этот вопрос рассматривается компетентным судом, который при вынесении своего решения должен руководствоваться лишь соображениями, в наибольшей степени отвечающими интересам детей.</w:t>
      </w:r>
      <w:r>
        <w:rPr>
          <w:b/>
          <w:color w:val="000000"/>
        </w:rPr>
        <w:t xml:space="preserve"> </w:t>
      </w:r>
      <w:r>
        <w:rPr>
          <w:color w:val="000000"/>
        </w:rPr>
        <w:t xml:space="preserve">При прочих равных условиях, как правило, дети оставляются на попечении того из родителей, с которым они проживали на момент распада семьи, предпочтительно матери, если до этого они проживали с обоими родителями, за исключением особых ситуаций, требующих принятия иных решений". </w:t>
      </w:r>
    </w:p>
    <w:p w:rsidR="00000000" w:rsidRDefault="00000000">
      <w:pPr>
        <w:pStyle w:val="BodyText"/>
      </w:pPr>
      <w:r>
        <w:rPr>
          <w:color w:val="000000"/>
        </w:rPr>
        <w:t>715.</w:t>
      </w:r>
      <w:r>
        <w:rPr>
          <w:color w:val="000000"/>
        </w:rPr>
        <w:tab/>
      </w:r>
      <w:r>
        <w:t>Что касается алиментов, выплачиваемых на несовершеннолетних детей, то их размер определяется в соответствии с суммой обычных расходов на них, а также с учетом доходов родителей; при этом ставится задача обеспечить разумное соотношение обязательств обоих родителей.</w:t>
      </w:r>
    </w:p>
    <w:p w:rsidR="00000000" w:rsidRDefault="00000000">
      <w:pPr>
        <w:pStyle w:val="BodyText"/>
        <w:rPr>
          <w:vanish/>
        </w:rPr>
      </w:pPr>
      <w:r>
        <w:rPr>
          <w:color w:val="000000"/>
        </w:rPr>
        <w:t>716.</w:t>
      </w:r>
      <w:r>
        <w:rPr>
          <w:color w:val="000000"/>
        </w:rPr>
        <w:tab/>
        <w:t>В кубинском законодательстве о труде также предусматриваются п</w:t>
      </w:r>
      <w:r>
        <w:t xml:space="preserve">рава на защиту здоровья и на безопасность труда, составляющие часть мер по защите репродуктивного здоровья. Кубинское государство взяло на себя обязательство создать все условия, обеспечивающие эти меры по защите работающих женщин. Существуют и ежегодно проходят обучение и приступают к работе сотни специалистов, в обязанности которых входят контроль и обеспечение выполнения этих мер. Кроме того, постоянно проводятся исследования по проблемам защиты здоровья на производстве, и это дает возможность отслеживать, какое воздействие на женщин оказывает труд на различных рабочих местах. </w:t>
      </w:r>
    </w:p>
    <w:p w:rsidR="00000000" w:rsidRDefault="00000000">
      <w:pPr>
        <w:pStyle w:val="BodyText"/>
        <w:sectPr w:rsidR="00000000">
          <w:headerReference w:type="default" r:id="rId14"/>
          <w:footerReference w:type="default" r:id="rId15"/>
          <w:type w:val="continuous"/>
          <w:pgSz w:w="12240" w:h="15840" w:code="1"/>
          <w:pgMar w:top="1418" w:right="1418" w:bottom="1701" w:left="1418" w:header="0" w:footer="851" w:gutter="0"/>
          <w:cols w:space="708"/>
          <w:docGrid w:linePitch="360"/>
        </w:sectPr>
      </w:pPr>
    </w:p>
    <w:p w:rsidR="00000000" w:rsidRDefault="00000000">
      <w:pPr>
        <w:spacing w:after="120"/>
        <w:rPr>
          <w:b/>
          <w:sz w:val="22"/>
          <w:lang w:val="ru-RU"/>
        </w:rPr>
      </w:pPr>
      <w:r>
        <w:rPr>
          <w:b/>
          <w:sz w:val="22"/>
          <w:lang w:val="ru-RU"/>
        </w:rPr>
        <w:t>МИНИСТЕРСТВО ПРОСВЕЩЕНИЯ.</w:t>
      </w:r>
    </w:p>
    <w:p w:rsidR="00000000" w:rsidRDefault="00000000">
      <w:pPr>
        <w:spacing w:after="120"/>
        <w:rPr>
          <w:b/>
          <w:sz w:val="22"/>
          <w:lang w:val="ru-RU"/>
        </w:rPr>
      </w:pPr>
      <w:r>
        <w:rPr>
          <w:b/>
          <w:sz w:val="22"/>
          <w:lang w:val="ru-RU"/>
        </w:rPr>
        <w:t>ЗАЧИСЛЕНО УЧАЩИХСЯ</w:t>
      </w:r>
    </w:p>
    <w:p w:rsidR="00000000" w:rsidRDefault="00000000">
      <w:pPr>
        <w:pStyle w:val="Heading6"/>
        <w:spacing w:before="0" w:after="120"/>
        <w:rPr>
          <w:lang w:val="ru-RU"/>
        </w:rPr>
      </w:pPr>
      <w:r>
        <w:rPr>
          <w:lang w:val="ru-RU"/>
        </w:rPr>
        <w:t>С 1998/99  ПО  2002/03 УЧЕБНЫЕ ГОДЫ</w:t>
      </w:r>
    </w:p>
    <w:tbl>
      <w:tblPr>
        <w:tblW w:w="0" w:type="auto"/>
        <w:jc w:val="center"/>
        <w:tblLayout w:type="fixed"/>
        <w:tblCellMar>
          <w:left w:w="28" w:type="dxa"/>
          <w:right w:w="28" w:type="dxa"/>
        </w:tblCellMar>
        <w:tblLook w:val="0000" w:firstRow="0" w:lastRow="0" w:firstColumn="0" w:lastColumn="0" w:noHBand="0" w:noVBand="0"/>
      </w:tblPr>
      <w:tblGrid>
        <w:gridCol w:w="2925"/>
        <w:gridCol w:w="695"/>
        <w:gridCol w:w="802"/>
        <w:gridCol w:w="691"/>
        <w:gridCol w:w="691"/>
        <w:gridCol w:w="802"/>
        <w:gridCol w:w="691"/>
        <w:gridCol w:w="691"/>
        <w:gridCol w:w="796"/>
        <w:gridCol w:w="688"/>
        <w:gridCol w:w="688"/>
        <w:gridCol w:w="796"/>
        <w:gridCol w:w="688"/>
        <w:gridCol w:w="688"/>
        <w:gridCol w:w="796"/>
        <w:gridCol w:w="691"/>
      </w:tblGrid>
      <w:tr w:rsidR="00000000">
        <w:tblPrEx>
          <w:tblCellMar>
            <w:top w:w="0" w:type="dxa"/>
            <w:bottom w:w="0" w:type="dxa"/>
          </w:tblCellMar>
        </w:tblPrEx>
        <w:trPr>
          <w:cantSplit/>
          <w:jc w:val="center"/>
        </w:trPr>
        <w:tc>
          <w:tcPr>
            <w:tcW w:w="2925" w:type="dxa"/>
            <w:tcBorders>
              <w:top w:val="single" w:sz="4" w:space="0" w:color="auto"/>
              <w:left w:val="single" w:sz="4" w:space="0" w:color="auto"/>
              <w:right w:val="single" w:sz="4" w:space="0" w:color="auto"/>
            </w:tcBorders>
            <w:vAlign w:val="center"/>
          </w:tcPr>
          <w:p w:rsidR="00000000" w:rsidRDefault="00000000">
            <w:pPr>
              <w:spacing w:before="80" w:after="80"/>
              <w:rPr>
                <w:sz w:val="18"/>
                <w:lang w:val="ru-RU"/>
              </w:rPr>
            </w:pPr>
          </w:p>
        </w:tc>
        <w:tc>
          <w:tcPr>
            <w:tcW w:w="2188"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1998/99</w:t>
            </w:r>
          </w:p>
        </w:tc>
        <w:tc>
          <w:tcPr>
            <w:tcW w:w="2184"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1999/2000</w:t>
            </w:r>
          </w:p>
        </w:tc>
        <w:tc>
          <w:tcPr>
            <w:tcW w:w="2175"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2000/01</w:t>
            </w:r>
          </w:p>
        </w:tc>
        <w:tc>
          <w:tcPr>
            <w:tcW w:w="2172"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2001/02</w:t>
            </w:r>
          </w:p>
        </w:tc>
        <w:tc>
          <w:tcPr>
            <w:tcW w:w="2175"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2002/03</w:t>
            </w:r>
          </w:p>
        </w:tc>
      </w:tr>
      <w:tr w:rsidR="00000000">
        <w:tblPrEx>
          <w:tblCellMar>
            <w:top w:w="0" w:type="dxa"/>
            <w:bottom w:w="0" w:type="dxa"/>
          </w:tblCellMar>
        </w:tblPrEx>
        <w:trPr>
          <w:cantSplit/>
          <w:jc w:val="center"/>
        </w:trPr>
        <w:tc>
          <w:tcPr>
            <w:tcW w:w="2925" w:type="dxa"/>
            <w:tcBorders>
              <w:left w:val="single" w:sz="4" w:space="0" w:color="auto"/>
              <w:bottom w:val="single" w:sz="4" w:space="0" w:color="000000"/>
              <w:right w:val="single" w:sz="4" w:space="0" w:color="auto"/>
            </w:tcBorders>
            <w:vAlign w:val="center"/>
          </w:tcPr>
          <w:p w:rsidR="00000000" w:rsidRDefault="00000000">
            <w:pPr>
              <w:spacing w:before="80" w:after="80"/>
              <w:rPr>
                <w:sz w:val="18"/>
                <w:lang w:val="ru-RU"/>
              </w:rPr>
            </w:pPr>
            <w:r>
              <w:rPr>
                <w:sz w:val="18"/>
                <w:lang w:val="ru-RU"/>
              </w:rPr>
              <w:t>Ступень образования</w:t>
            </w:r>
          </w:p>
        </w:tc>
        <w:tc>
          <w:tcPr>
            <w:tcW w:w="695"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802"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9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80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9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6"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8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8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6"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8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8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6" w:type="dxa"/>
            <w:tcBorders>
              <w:top w:val="nil"/>
              <w:left w:val="nil"/>
              <w:bottom w:val="single" w:sz="4" w:space="0" w:color="auto"/>
              <w:right w:val="single" w:sz="4" w:space="0" w:color="auto"/>
            </w:tcBorders>
            <w:vAlign w:val="bottom"/>
          </w:tcPr>
          <w:p w:rsidR="00000000" w:rsidRDefault="00000000">
            <w:pPr>
              <w:pStyle w:val="Footer"/>
              <w:spacing w:before="80" w:after="80"/>
              <w:jc w:val="center"/>
              <w:rPr>
                <w:sz w:val="18"/>
                <w:lang w:val="ru-RU"/>
              </w:rPr>
            </w:pPr>
            <w:r>
              <w:rPr>
                <w:sz w:val="18"/>
                <w:lang w:val="ru-RU"/>
              </w:rPr>
              <w:t>Женщин</w:t>
            </w:r>
          </w:p>
        </w:tc>
        <w:tc>
          <w:tcPr>
            <w:tcW w:w="69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r>
      <w:tr w:rsidR="00000000">
        <w:tblPrEx>
          <w:tblCellMar>
            <w:top w:w="0" w:type="dxa"/>
            <w:bottom w:w="0" w:type="dxa"/>
          </w:tblCellMar>
        </w:tblPrEx>
        <w:trPr>
          <w:jc w:val="center"/>
        </w:trPr>
        <w:tc>
          <w:tcPr>
            <w:tcW w:w="2925" w:type="dxa"/>
            <w:tcBorders>
              <w:top w:val="single" w:sz="4" w:space="0" w:color="000000"/>
              <w:bottom w:val="single" w:sz="4" w:space="0" w:color="auto"/>
            </w:tcBorders>
            <w:vAlign w:val="bottom"/>
          </w:tcPr>
          <w:p w:rsidR="00000000" w:rsidRDefault="00000000">
            <w:pPr>
              <w:spacing w:before="120" w:after="120"/>
              <w:rPr>
                <w:sz w:val="18"/>
                <w:lang w:val="ru-RU"/>
              </w:rPr>
            </w:pPr>
            <w:r>
              <w:rPr>
                <w:sz w:val="18"/>
                <w:lang w:val="ru-RU"/>
              </w:rPr>
              <w:t>Всего</w:t>
            </w:r>
          </w:p>
        </w:tc>
        <w:tc>
          <w:tcPr>
            <w:tcW w:w="695"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304 556</w:t>
            </w:r>
          </w:p>
        </w:tc>
        <w:tc>
          <w:tcPr>
            <w:tcW w:w="802" w:type="dxa"/>
            <w:tcBorders>
              <w:top w:val="nil"/>
              <w:bottom w:val="single" w:sz="4" w:space="0" w:color="auto"/>
            </w:tcBorders>
            <w:vAlign w:val="bottom"/>
          </w:tcPr>
          <w:p w:rsidR="00000000" w:rsidRDefault="00000000">
            <w:pPr>
              <w:spacing w:before="120" w:after="120"/>
              <w:jc w:val="right"/>
              <w:rPr>
                <w:sz w:val="18"/>
                <w:lang w:val="ru-RU"/>
              </w:rPr>
            </w:pPr>
            <w:r>
              <w:rPr>
                <w:sz w:val="18"/>
                <w:lang w:val="ru-RU"/>
              </w:rPr>
              <w:t>156 203</w:t>
            </w:r>
          </w:p>
        </w:tc>
        <w:tc>
          <w:tcPr>
            <w:tcW w:w="691"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51,3</w:t>
            </w:r>
          </w:p>
        </w:tc>
        <w:tc>
          <w:tcPr>
            <w:tcW w:w="691"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331 209</w:t>
            </w:r>
          </w:p>
        </w:tc>
        <w:tc>
          <w:tcPr>
            <w:tcW w:w="802"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168 259</w:t>
            </w:r>
          </w:p>
        </w:tc>
        <w:tc>
          <w:tcPr>
            <w:tcW w:w="691"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50,8</w:t>
            </w:r>
          </w:p>
        </w:tc>
        <w:tc>
          <w:tcPr>
            <w:tcW w:w="691"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361 203</w:t>
            </w:r>
          </w:p>
        </w:tc>
        <w:tc>
          <w:tcPr>
            <w:tcW w:w="796"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183 233</w:t>
            </w:r>
          </w:p>
        </w:tc>
        <w:tc>
          <w:tcPr>
            <w:tcW w:w="688"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50,7</w:t>
            </w:r>
          </w:p>
        </w:tc>
        <w:tc>
          <w:tcPr>
            <w:tcW w:w="688"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385 309</w:t>
            </w:r>
          </w:p>
        </w:tc>
        <w:tc>
          <w:tcPr>
            <w:tcW w:w="796"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191 639</w:t>
            </w:r>
          </w:p>
        </w:tc>
        <w:tc>
          <w:tcPr>
            <w:tcW w:w="688"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49,7</w:t>
            </w:r>
          </w:p>
        </w:tc>
        <w:tc>
          <w:tcPr>
            <w:tcW w:w="688"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398 735</w:t>
            </w:r>
          </w:p>
        </w:tc>
        <w:tc>
          <w:tcPr>
            <w:tcW w:w="796"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196 197</w:t>
            </w:r>
          </w:p>
        </w:tc>
        <w:tc>
          <w:tcPr>
            <w:tcW w:w="691" w:type="dxa"/>
            <w:tcBorders>
              <w:top w:val="single" w:sz="4" w:space="0" w:color="auto"/>
              <w:bottom w:val="single" w:sz="4" w:space="0" w:color="auto"/>
            </w:tcBorders>
            <w:vAlign w:val="bottom"/>
          </w:tcPr>
          <w:p w:rsidR="00000000" w:rsidRDefault="00000000">
            <w:pPr>
              <w:spacing w:before="120" w:after="120"/>
              <w:jc w:val="right"/>
              <w:rPr>
                <w:sz w:val="18"/>
                <w:lang w:val="ru-RU"/>
              </w:rPr>
            </w:pPr>
            <w:r>
              <w:rPr>
                <w:sz w:val="18"/>
                <w:lang w:val="ru-RU"/>
              </w:rPr>
              <w:t>49,2</w:t>
            </w:r>
          </w:p>
        </w:tc>
      </w:tr>
      <w:tr w:rsidR="00000000">
        <w:tblPrEx>
          <w:tblCellMar>
            <w:top w:w="0" w:type="dxa"/>
            <w:bottom w:w="0" w:type="dxa"/>
          </w:tblCellMar>
        </w:tblPrEx>
        <w:trPr>
          <w:jc w:val="center"/>
        </w:trPr>
        <w:tc>
          <w:tcPr>
            <w:tcW w:w="2925"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Детские сады</w:t>
            </w:r>
          </w:p>
        </w:tc>
        <w:tc>
          <w:tcPr>
            <w:tcW w:w="695"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127</w:t>
            </w:r>
          </w:p>
        </w:tc>
        <w:tc>
          <w:tcPr>
            <w:tcW w:w="80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62</w:t>
            </w:r>
          </w:p>
        </w:tc>
        <w:tc>
          <w:tcPr>
            <w:tcW w:w="691"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48,8</w:t>
            </w:r>
          </w:p>
        </w:tc>
        <w:tc>
          <w:tcPr>
            <w:tcW w:w="691"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129</w:t>
            </w:r>
          </w:p>
        </w:tc>
        <w:tc>
          <w:tcPr>
            <w:tcW w:w="802"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61</w:t>
            </w:r>
          </w:p>
        </w:tc>
        <w:tc>
          <w:tcPr>
            <w:tcW w:w="691"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47,3</w:t>
            </w:r>
          </w:p>
        </w:tc>
        <w:tc>
          <w:tcPr>
            <w:tcW w:w="691"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110</w:t>
            </w:r>
          </w:p>
        </w:tc>
        <w:tc>
          <w:tcPr>
            <w:tcW w:w="796"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52</w:t>
            </w:r>
          </w:p>
        </w:tc>
        <w:tc>
          <w:tcPr>
            <w:tcW w:w="688"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47,3</w:t>
            </w:r>
          </w:p>
        </w:tc>
        <w:tc>
          <w:tcPr>
            <w:tcW w:w="688"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135</w:t>
            </w:r>
          </w:p>
        </w:tc>
        <w:tc>
          <w:tcPr>
            <w:tcW w:w="796"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65</w:t>
            </w:r>
          </w:p>
        </w:tc>
        <w:tc>
          <w:tcPr>
            <w:tcW w:w="688"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48,1</w:t>
            </w:r>
          </w:p>
        </w:tc>
        <w:tc>
          <w:tcPr>
            <w:tcW w:w="688"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129</w:t>
            </w:r>
          </w:p>
        </w:tc>
        <w:tc>
          <w:tcPr>
            <w:tcW w:w="796"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62</w:t>
            </w:r>
          </w:p>
        </w:tc>
        <w:tc>
          <w:tcPr>
            <w:tcW w:w="691" w:type="dxa"/>
            <w:tcBorders>
              <w:top w:val="single" w:sz="4" w:space="0" w:color="auto"/>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48,1</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Подготовительные классы</w:t>
            </w:r>
          </w:p>
        </w:tc>
        <w:tc>
          <w:tcPr>
            <w:tcW w:w="695" w:type="dxa"/>
            <w:tcBorders>
              <w:top w:val="nil"/>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802" w:type="dxa"/>
            <w:tcBorders>
              <w:top w:val="single" w:sz="4" w:space="0" w:color="auto"/>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691" w:type="dxa"/>
            <w:tcBorders>
              <w:top w:val="nil"/>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691" w:type="dxa"/>
            <w:tcBorders>
              <w:top w:val="nil"/>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802" w:type="dxa"/>
            <w:tcBorders>
              <w:top w:val="nil"/>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691" w:type="dxa"/>
            <w:tcBorders>
              <w:top w:val="nil"/>
              <w:left w:val="nil"/>
              <w:bottom w:val="single" w:sz="4" w:space="0" w:color="auto"/>
              <w:right w:val="single" w:sz="4" w:space="0" w:color="auto"/>
            </w:tcBorders>
            <w:vAlign w:val="bottom"/>
          </w:tcPr>
          <w:p w:rsidR="00000000" w:rsidRDefault="00000000">
            <w:pPr>
              <w:spacing w:before="60" w:after="60"/>
              <w:rPr>
                <w:sz w:val="18"/>
                <w:lang w:val="ru-RU"/>
              </w:rPr>
            </w:pPr>
            <w:r>
              <w:rPr>
                <w:sz w:val="18"/>
                <w:lang w:val="ru-RU"/>
              </w:rPr>
              <w:t> </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21</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47,6</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27</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13</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31</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14</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45,2</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color w:val="000000"/>
                <w:sz w:val="18"/>
                <w:lang w:val="ru-RU"/>
              </w:rPr>
              <w:t>Подготовительные классы при начальной школе</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46</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23</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50,0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23</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14</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60,9</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23</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39,1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20</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50,0</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44</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18</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40,9</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Начальная школа</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10 080</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4 736</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9 981</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4 671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46,8</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10 309</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4 869</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47,2</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9 731</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4 420</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454</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8 793</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4 066</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46,2</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Средняя школа</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276 755</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145 950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52,7</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303 506</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158 061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52,1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333 303</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172 829</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51,9</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358 562</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181 753</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50,7</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373 796</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186 867</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50</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Основная средняя школа</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93 492</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44 891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99 442</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47 346</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47,6</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103 112</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48 767</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47,3</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109 398</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51 009</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46,6</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112 608</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52 880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47,0</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Старшая ступень средней школы</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99 764</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66 659</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66,8</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110 557</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73 191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66,2</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127 024</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82 681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65,1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137 008</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87 437</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63,8</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144 598</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88 704</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61,3</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Профессионально-техническое обучение</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83 499</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34 400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41,2</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93 507</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37 524</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40,1</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103 167</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41 381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40,1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112 156</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43 307</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38,6</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116 590</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45 283</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38,8</w:t>
            </w:r>
          </w:p>
        </w:tc>
      </w:tr>
      <w:tr w:rsidR="00000000">
        <w:tblPrEx>
          <w:tblCellMar>
            <w:top w:w="0" w:type="dxa"/>
            <w:bottom w:w="0" w:type="dxa"/>
          </w:tblCellMar>
        </w:tblPrEx>
        <w:trPr>
          <w:jc w:val="center"/>
        </w:trPr>
        <w:tc>
          <w:tcPr>
            <w:tcW w:w="2925" w:type="dxa"/>
            <w:tcBorders>
              <w:top w:val="nil"/>
              <w:left w:val="single" w:sz="4" w:space="0" w:color="auto"/>
              <w:bottom w:val="single" w:sz="4" w:space="0" w:color="auto"/>
              <w:right w:val="single" w:sz="4" w:space="0" w:color="auto"/>
            </w:tcBorders>
            <w:vAlign w:val="bottom"/>
          </w:tcPr>
          <w:p w:rsidR="00000000" w:rsidRDefault="00000000">
            <w:pPr>
              <w:spacing w:before="60" w:after="60"/>
              <w:rPr>
                <w:sz w:val="18"/>
                <w:lang w:val="ru-RU"/>
              </w:rPr>
            </w:pPr>
            <w:r>
              <w:rPr>
                <w:sz w:val="18"/>
                <w:lang w:val="ru-RU"/>
              </w:rPr>
              <w:t>Специальные школы</w:t>
            </w:r>
          </w:p>
        </w:tc>
        <w:tc>
          <w:tcPr>
            <w:tcW w:w="695"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17 548</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5 432</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31,0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17 570</w:t>
            </w:r>
          </w:p>
        </w:tc>
        <w:tc>
          <w:tcPr>
            <w:tcW w:w="802"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5 452</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31,0</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17 458</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5 474</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31,4</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16 861</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5 391</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32,0</w:t>
            </w:r>
          </w:p>
        </w:tc>
        <w:tc>
          <w:tcPr>
            <w:tcW w:w="688"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15 973</w:t>
            </w:r>
          </w:p>
        </w:tc>
        <w:tc>
          <w:tcPr>
            <w:tcW w:w="796"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5 184</w:t>
            </w:r>
          </w:p>
        </w:tc>
        <w:tc>
          <w:tcPr>
            <w:tcW w:w="691" w:type="dxa"/>
            <w:tcBorders>
              <w:top w:val="nil"/>
              <w:left w:val="nil"/>
              <w:bottom w:val="single" w:sz="4" w:space="0" w:color="auto"/>
              <w:right w:val="single" w:sz="4" w:space="0" w:color="auto"/>
            </w:tcBorders>
            <w:vAlign w:val="bottom"/>
          </w:tcPr>
          <w:p w:rsidR="00000000" w:rsidRDefault="00000000">
            <w:pPr>
              <w:spacing w:before="60" w:after="60"/>
              <w:jc w:val="right"/>
              <w:rPr>
                <w:sz w:val="18"/>
                <w:lang w:val="ru-RU"/>
              </w:rPr>
            </w:pPr>
            <w:r>
              <w:rPr>
                <w:sz w:val="18"/>
                <w:lang w:val="ru-RU"/>
              </w:rPr>
              <w:t>32,5</w:t>
            </w:r>
          </w:p>
        </w:tc>
      </w:tr>
    </w:tbl>
    <w:p w:rsidR="00000000" w:rsidRDefault="00000000">
      <w:pPr>
        <w:spacing w:after="120"/>
        <w:rPr>
          <w:b/>
          <w:sz w:val="22"/>
          <w:lang w:val="ru-RU"/>
        </w:rPr>
      </w:pPr>
      <w:r>
        <w:rPr>
          <w:sz w:val="24"/>
          <w:lang w:val="ru-RU"/>
        </w:rPr>
        <w:br w:type="page"/>
      </w:r>
      <w:r>
        <w:rPr>
          <w:b/>
          <w:sz w:val="22"/>
          <w:lang w:val="ru-RU"/>
        </w:rPr>
        <w:t>МИНИСТЕРСТВО ПРОСВЕЩЕНИЯ.</w:t>
      </w:r>
    </w:p>
    <w:p w:rsidR="00000000" w:rsidRDefault="00000000">
      <w:pPr>
        <w:spacing w:after="120"/>
        <w:rPr>
          <w:b/>
          <w:sz w:val="22"/>
          <w:lang w:val="ru-RU"/>
        </w:rPr>
      </w:pPr>
      <w:r>
        <w:rPr>
          <w:b/>
          <w:sz w:val="22"/>
          <w:lang w:val="ru-RU"/>
        </w:rPr>
        <w:t>ПОКАЗАТЕЛИ В СФЕРЕ ОБРАЗОВАНИЯ. ЧИСЛО ЖЕНЩИН В СОСТАВЕ ПРЕПОДАВАТЕЛЕЙ</w:t>
      </w:r>
    </w:p>
    <w:p w:rsidR="00000000" w:rsidRDefault="00000000">
      <w:pPr>
        <w:spacing w:after="120"/>
        <w:rPr>
          <w:b/>
          <w:sz w:val="22"/>
          <w:lang w:val="ru-RU"/>
        </w:rPr>
      </w:pPr>
      <w:r>
        <w:rPr>
          <w:b/>
          <w:sz w:val="22"/>
          <w:lang w:val="ru-RU"/>
        </w:rPr>
        <w:t>С 1998/99  ПО  2002/03 УЧЕБНЫЕ ГОДЫ</w:t>
      </w:r>
    </w:p>
    <w:tbl>
      <w:tblPr>
        <w:tblW w:w="0" w:type="auto"/>
        <w:jc w:val="center"/>
        <w:tblLayout w:type="fixed"/>
        <w:tblCellMar>
          <w:left w:w="0" w:type="dxa"/>
          <w:right w:w="0" w:type="dxa"/>
        </w:tblCellMar>
        <w:tblLook w:val="0000" w:firstRow="0" w:lastRow="0" w:firstColumn="0" w:lastColumn="0" w:noHBand="0" w:noVBand="0"/>
      </w:tblPr>
      <w:tblGrid>
        <w:gridCol w:w="2872"/>
        <w:gridCol w:w="701"/>
        <w:gridCol w:w="811"/>
        <w:gridCol w:w="709"/>
        <w:gridCol w:w="690"/>
        <w:gridCol w:w="797"/>
        <w:gridCol w:w="692"/>
        <w:gridCol w:w="690"/>
        <w:gridCol w:w="792"/>
        <w:gridCol w:w="692"/>
        <w:gridCol w:w="690"/>
        <w:gridCol w:w="795"/>
        <w:gridCol w:w="692"/>
        <w:gridCol w:w="692"/>
        <w:gridCol w:w="795"/>
        <w:gridCol w:w="684"/>
      </w:tblGrid>
      <w:tr w:rsidR="00000000">
        <w:tblPrEx>
          <w:tblCellMar>
            <w:top w:w="0" w:type="dxa"/>
            <w:left w:w="0" w:type="dxa"/>
            <w:bottom w:w="0" w:type="dxa"/>
            <w:right w:w="0" w:type="dxa"/>
          </w:tblCellMar>
        </w:tblPrEx>
        <w:trPr>
          <w:cantSplit/>
          <w:jc w:val="center"/>
        </w:trPr>
        <w:tc>
          <w:tcPr>
            <w:tcW w:w="2872" w:type="dxa"/>
            <w:tcBorders>
              <w:top w:val="single" w:sz="4" w:space="0" w:color="auto"/>
              <w:left w:val="single" w:sz="4" w:space="0" w:color="auto"/>
              <w:right w:val="single" w:sz="4" w:space="0" w:color="auto"/>
            </w:tcBorders>
            <w:vAlign w:val="center"/>
          </w:tcPr>
          <w:p w:rsidR="00000000" w:rsidRDefault="00000000">
            <w:pPr>
              <w:spacing w:before="80" w:after="80"/>
              <w:rPr>
                <w:sz w:val="18"/>
                <w:lang w:val="ru-RU"/>
              </w:rPr>
            </w:pPr>
          </w:p>
        </w:tc>
        <w:tc>
          <w:tcPr>
            <w:tcW w:w="2221" w:type="dxa"/>
            <w:gridSpan w:val="3"/>
            <w:tcBorders>
              <w:top w:val="single" w:sz="4" w:space="0" w:color="auto"/>
              <w:left w:val="nil"/>
              <w:bottom w:val="single" w:sz="4" w:space="0" w:color="auto"/>
              <w:right w:val="single" w:sz="4" w:space="0" w:color="auto"/>
            </w:tcBorders>
            <w:vAlign w:val="center"/>
          </w:tcPr>
          <w:p w:rsidR="00000000" w:rsidRDefault="00000000">
            <w:pPr>
              <w:spacing w:before="80" w:after="80"/>
              <w:jc w:val="center"/>
              <w:rPr>
                <w:sz w:val="18"/>
                <w:lang w:val="ru-RU"/>
              </w:rPr>
            </w:pPr>
            <w:r>
              <w:rPr>
                <w:sz w:val="18"/>
                <w:lang w:val="ru-RU"/>
              </w:rPr>
              <w:t>1998/99</w:t>
            </w:r>
          </w:p>
        </w:tc>
        <w:tc>
          <w:tcPr>
            <w:tcW w:w="2179" w:type="dxa"/>
            <w:gridSpan w:val="3"/>
            <w:tcBorders>
              <w:top w:val="single" w:sz="4" w:space="0" w:color="auto"/>
              <w:left w:val="nil"/>
              <w:bottom w:val="single" w:sz="4" w:space="0" w:color="auto"/>
              <w:right w:val="single" w:sz="4" w:space="0" w:color="auto"/>
            </w:tcBorders>
            <w:vAlign w:val="center"/>
          </w:tcPr>
          <w:p w:rsidR="00000000" w:rsidRDefault="00000000">
            <w:pPr>
              <w:spacing w:before="80" w:after="80"/>
              <w:jc w:val="center"/>
              <w:rPr>
                <w:sz w:val="18"/>
                <w:lang w:val="ru-RU"/>
              </w:rPr>
            </w:pPr>
            <w:r>
              <w:rPr>
                <w:sz w:val="18"/>
                <w:lang w:val="ru-RU"/>
              </w:rPr>
              <w:t>1999/2000</w:t>
            </w:r>
          </w:p>
        </w:tc>
        <w:tc>
          <w:tcPr>
            <w:tcW w:w="2174"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2000/01</w:t>
            </w:r>
          </w:p>
        </w:tc>
        <w:tc>
          <w:tcPr>
            <w:tcW w:w="2177"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2001/02</w:t>
            </w:r>
          </w:p>
        </w:tc>
        <w:tc>
          <w:tcPr>
            <w:tcW w:w="2171"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2002/03</w:t>
            </w:r>
          </w:p>
        </w:tc>
      </w:tr>
      <w:tr w:rsidR="00000000">
        <w:tblPrEx>
          <w:tblCellMar>
            <w:top w:w="0" w:type="dxa"/>
            <w:left w:w="0" w:type="dxa"/>
            <w:bottom w:w="0" w:type="dxa"/>
            <w:right w:w="0" w:type="dxa"/>
          </w:tblCellMar>
        </w:tblPrEx>
        <w:trPr>
          <w:cantSplit/>
          <w:jc w:val="center"/>
        </w:trPr>
        <w:tc>
          <w:tcPr>
            <w:tcW w:w="2872" w:type="dxa"/>
            <w:tcBorders>
              <w:left w:val="single" w:sz="4" w:space="0" w:color="auto"/>
              <w:bottom w:val="single" w:sz="4" w:space="0" w:color="000000"/>
              <w:right w:val="single" w:sz="4" w:space="0" w:color="auto"/>
            </w:tcBorders>
            <w:vAlign w:val="center"/>
          </w:tcPr>
          <w:p w:rsidR="00000000" w:rsidRDefault="00000000">
            <w:pPr>
              <w:spacing w:before="80" w:after="80"/>
              <w:ind w:left="57"/>
              <w:rPr>
                <w:sz w:val="18"/>
                <w:lang w:val="ru-RU"/>
              </w:rPr>
            </w:pPr>
            <w:r>
              <w:rPr>
                <w:sz w:val="18"/>
                <w:lang w:val="ru-RU"/>
              </w:rPr>
              <w:t>Ступень образования</w:t>
            </w:r>
          </w:p>
        </w:tc>
        <w:tc>
          <w:tcPr>
            <w:tcW w:w="70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81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709"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0"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7"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9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0"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9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0"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5"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9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692"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795"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684"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r>
      <w:tr w:rsidR="00000000">
        <w:tblPrEx>
          <w:tblCellMar>
            <w:top w:w="0" w:type="dxa"/>
            <w:left w:w="0" w:type="dxa"/>
            <w:bottom w:w="0" w:type="dxa"/>
            <w:right w:w="0" w:type="dxa"/>
          </w:tblCellMar>
        </w:tblPrEx>
        <w:trPr>
          <w:jc w:val="center"/>
        </w:trPr>
        <w:tc>
          <w:tcPr>
            <w:tcW w:w="2872" w:type="dxa"/>
            <w:tcBorders>
              <w:top w:val="single" w:sz="4" w:space="0" w:color="000000"/>
              <w:bottom w:val="single" w:sz="4" w:space="0" w:color="auto"/>
            </w:tcBorders>
            <w:vAlign w:val="bottom"/>
          </w:tcPr>
          <w:p w:rsidR="00000000" w:rsidRDefault="00000000">
            <w:pPr>
              <w:spacing w:before="80" w:after="80"/>
              <w:ind w:left="57"/>
              <w:rPr>
                <w:sz w:val="18"/>
                <w:lang w:val="ru-RU"/>
              </w:rPr>
            </w:pPr>
            <w:r>
              <w:rPr>
                <w:sz w:val="18"/>
                <w:lang w:val="ru-RU"/>
              </w:rPr>
              <w:t>Всего</w:t>
            </w:r>
          </w:p>
        </w:tc>
        <w:tc>
          <w:tcPr>
            <w:tcW w:w="701"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193 004</w:t>
            </w:r>
          </w:p>
        </w:tc>
        <w:tc>
          <w:tcPr>
            <w:tcW w:w="811"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144 484</w:t>
            </w:r>
          </w:p>
        </w:tc>
        <w:tc>
          <w:tcPr>
            <w:tcW w:w="709"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74,9</w:t>
            </w:r>
          </w:p>
        </w:tc>
        <w:tc>
          <w:tcPr>
            <w:tcW w:w="690"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193 052</w:t>
            </w:r>
          </w:p>
        </w:tc>
        <w:tc>
          <w:tcPr>
            <w:tcW w:w="797"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147 462</w:t>
            </w:r>
          </w:p>
        </w:tc>
        <w:tc>
          <w:tcPr>
            <w:tcW w:w="692"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76,4</w:t>
            </w:r>
          </w:p>
        </w:tc>
        <w:tc>
          <w:tcPr>
            <w:tcW w:w="690"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204 439</w:t>
            </w:r>
          </w:p>
        </w:tc>
        <w:tc>
          <w:tcPr>
            <w:tcW w:w="792"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155 982</w:t>
            </w:r>
          </w:p>
        </w:tc>
        <w:tc>
          <w:tcPr>
            <w:tcW w:w="692"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76,3</w:t>
            </w:r>
          </w:p>
        </w:tc>
        <w:tc>
          <w:tcPr>
            <w:tcW w:w="690"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211 766</w:t>
            </w:r>
          </w:p>
        </w:tc>
        <w:tc>
          <w:tcPr>
            <w:tcW w:w="795"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159 895</w:t>
            </w:r>
          </w:p>
        </w:tc>
        <w:tc>
          <w:tcPr>
            <w:tcW w:w="692"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75,5</w:t>
            </w:r>
          </w:p>
        </w:tc>
        <w:tc>
          <w:tcPr>
            <w:tcW w:w="692"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228 077</w:t>
            </w:r>
          </w:p>
        </w:tc>
        <w:tc>
          <w:tcPr>
            <w:tcW w:w="795"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167 372</w:t>
            </w:r>
          </w:p>
        </w:tc>
        <w:tc>
          <w:tcPr>
            <w:tcW w:w="684" w:type="dxa"/>
            <w:tcBorders>
              <w:top w:val="single" w:sz="4" w:space="0" w:color="auto"/>
              <w:left w:val="nil"/>
              <w:bottom w:val="single" w:sz="4" w:space="0" w:color="auto"/>
            </w:tcBorders>
            <w:vAlign w:val="bottom"/>
          </w:tcPr>
          <w:p w:rsidR="00000000" w:rsidRDefault="00000000">
            <w:pPr>
              <w:spacing w:before="120" w:after="120"/>
              <w:jc w:val="right"/>
              <w:rPr>
                <w:sz w:val="18"/>
                <w:lang w:val="ru-RU"/>
              </w:rPr>
            </w:pPr>
            <w:r>
              <w:rPr>
                <w:sz w:val="18"/>
                <w:lang w:val="ru-RU"/>
              </w:rPr>
              <w:t>73,4</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Детские сады</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19 786</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19 786</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19 270</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19 270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19 358</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19 358</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18 865</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18 865</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18 607</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18 607</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Подготовительные группы детских садов</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826</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826</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817</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817</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823</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823</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936</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936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1 640</w:t>
            </w:r>
          </w:p>
        </w:tc>
        <w:tc>
          <w:tcPr>
            <w:tcW w:w="795" w:type="dxa"/>
            <w:tcBorders>
              <w:top w:val="nil"/>
              <w:left w:val="nil"/>
              <w:bottom w:val="nil"/>
              <w:right w:val="single" w:sz="4" w:space="0" w:color="auto"/>
            </w:tcBorders>
            <w:vAlign w:val="bottom"/>
          </w:tcPr>
          <w:p w:rsidR="00000000" w:rsidRDefault="00000000">
            <w:pPr>
              <w:spacing w:before="40" w:after="40"/>
              <w:jc w:val="right"/>
              <w:rPr>
                <w:sz w:val="18"/>
                <w:lang w:val="ru-RU"/>
              </w:rPr>
            </w:pPr>
            <w:r>
              <w:rPr>
                <w:sz w:val="18"/>
                <w:lang w:val="ru-RU"/>
              </w:rPr>
              <w:t>1 640</w:t>
            </w:r>
          </w:p>
        </w:tc>
        <w:tc>
          <w:tcPr>
            <w:tcW w:w="684" w:type="dxa"/>
            <w:tcBorders>
              <w:top w:val="nil"/>
              <w:left w:val="nil"/>
              <w:bottom w:val="nil"/>
              <w:right w:val="single" w:sz="4" w:space="0" w:color="auto"/>
            </w:tcBorders>
            <w:vAlign w:val="bottom"/>
          </w:tcPr>
          <w:p w:rsidR="00000000" w:rsidRDefault="00000000">
            <w:pPr>
              <w:spacing w:before="40" w:after="40"/>
              <w:jc w:val="right"/>
              <w:rPr>
                <w:sz w:val="18"/>
                <w:lang w:val="ru-RU"/>
              </w:rPr>
            </w:pPr>
            <w:r>
              <w:rPr>
                <w:sz w:val="18"/>
                <w:lang w:val="ru-RU"/>
              </w:rPr>
              <w:t>100,0</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color w:val="000000"/>
                <w:sz w:val="18"/>
                <w:lang w:val="ru-RU"/>
              </w:rPr>
              <w:t>Подготовительные классы при начальной школе</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5 389</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5 389</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5 299</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5 299</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6 444</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6 444</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6 462</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6 462</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7 463</w:t>
            </w:r>
          </w:p>
        </w:tc>
        <w:tc>
          <w:tcPr>
            <w:tcW w:w="795" w:type="dxa"/>
            <w:tcBorders>
              <w:top w:val="single" w:sz="4" w:space="0" w:color="auto"/>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7 463</w:t>
            </w:r>
          </w:p>
        </w:tc>
        <w:tc>
          <w:tcPr>
            <w:tcW w:w="684" w:type="dxa"/>
            <w:tcBorders>
              <w:top w:val="single" w:sz="4" w:space="0" w:color="auto"/>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100,0</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Начальная школа</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77 735</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61 114</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78,6</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76 897</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63 535</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82,6</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79 341</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65 807</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82,9</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83 119</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69 173</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83,2</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92 991</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75 510</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81,2</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Средняя школа</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70 476</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42 611</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60,5</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71 613</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43 416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60,6</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78 973</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48 226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61,1</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83 140</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49 393</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59,4</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85 552</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47 905</w:t>
            </w:r>
          </w:p>
        </w:tc>
        <w:tc>
          <w:tcPr>
            <w:tcW w:w="684" w:type="dxa"/>
            <w:tcBorders>
              <w:top w:val="nil"/>
              <w:left w:val="nil"/>
              <w:bottom w:val="nil"/>
              <w:right w:val="single" w:sz="4" w:space="0" w:color="auto"/>
            </w:tcBorders>
            <w:vAlign w:val="bottom"/>
          </w:tcPr>
          <w:p w:rsidR="00000000" w:rsidRDefault="00000000">
            <w:pPr>
              <w:spacing w:before="40" w:after="40"/>
              <w:jc w:val="right"/>
              <w:rPr>
                <w:sz w:val="18"/>
                <w:lang w:val="ru-RU"/>
              </w:rPr>
            </w:pPr>
            <w:r>
              <w:rPr>
                <w:sz w:val="18"/>
                <w:lang w:val="ru-RU"/>
              </w:rPr>
              <w:t>56</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Основная средняя школа</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36 612</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25 245</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69,0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36 532</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25 318</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69,3</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40 947</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27 800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67,9</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42 993</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29 206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67,9</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38 820</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26 797</w:t>
            </w:r>
          </w:p>
        </w:tc>
        <w:tc>
          <w:tcPr>
            <w:tcW w:w="684" w:type="dxa"/>
            <w:tcBorders>
              <w:top w:val="single" w:sz="4" w:space="0" w:color="auto"/>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69</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Старшая ступень средней школы</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9 605</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4 319</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45,0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10 186</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4 665</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45,8</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12 156</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6 635</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54,6</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13 080</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6 056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46,3</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17 498</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7 820</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44,7</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Профессионально-техническое обучение</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24 259</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13 047</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53,8</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24 895</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13 433</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54</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25 870</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13 791</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53,3</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27 067</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14 131</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52,2</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29 234</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13 288</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45,5</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Специальные школы</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13 485</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11 661</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86,5</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14 023</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12 138</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86,6</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14 417</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12 326</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85,5</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14 481</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12 442</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85,9</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14 612</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12 543</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85,8</w:t>
            </w:r>
          </w:p>
        </w:tc>
      </w:tr>
      <w:tr w:rsidR="00000000">
        <w:tblPrEx>
          <w:tblCellMar>
            <w:top w:w="0" w:type="dxa"/>
            <w:left w:w="0" w:type="dxa"/>
            <w:bottom w:w="0" w:type="dxa"/>
            <w:right w:w="0" w:type="dxa"/>
          </w:tblCellMar>
        </w:tblPrEx>
        <w:trPr>
          <w:jc w:val="center"/>
        </w:trPr>
        <w:tc>
          <w:tcPr>
            <w:tcW w:w="2872" w:type="dxa"/>
            <w:tcBorders>
              <w:top w:val="nil"/>
              <w:left w:val="single" w:sz="4" w:space="0" w:color="auto"/>
              <w:bottom w:val="single" w:sz="4" w:space="0" w:color="auto"/>
              <w:right w:val="single" w:sz="4" w:space="0" w:color="auto"/>
            </w:tcBorders>
            <w:vAlign w:val="bottom"/>
          </w:tcPr>
          <w:p w:rsidR="00000000" w:rsidRDefault="00000000">
            <w:pPr>
              <w:spacing w:before="80" w:after="80"/>
              <w:ind w:left="57"/>
              <w:rPr>
                <w:sz w:val="18"/>
                <w:lang w:val="ru-RU"/>
              </w:rPr>
            </w:pPr>
            <w:r>
              <w:rPr>
                <w:sz w:val="18"/>
                <w:lang w:val="ru-RU"/>
              </w:rPr>
              <w:t>Школы для взрослых</w:t>
            </w:r>
          </w:p>
        </w:tc>
        <w:tc>
          <w:tcPr>
            <w:tcW w:w="70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6 133</w:t>
            </w:r>
          </w:p>
        </w:tc>
        <w:tc>
          <w:tcPr>
            <w:tcW w:w="811"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3 923</w:t>
            </w:r>
          </w:p>
        </w:tc>
        <w:tc>
          <w:tcPr>
            <w:tcW w:w="709"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64,0</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5 950</w:t>
            </w:r>
          </w:p>
        </w:tc>
        <w:tc>
          <w:tcPr>
            <w:tcW w:w="797"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3 804</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63,9</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5 906</w:t>
            </w:r>
          </w:p>
        </w:tc>
        <w:tc>
          <w:tcPr>
            <w:tcW w:w="7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3 821</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64,7</w:t>
            </w:r>
          </w:p>
        </w:tc>
        <w:tc>
          <w:tcPr>
            <w:tcW w:w="690"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5 699</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3 560</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62,5</w:t>
            </w:r>
          </w:p>
        </w:tc>
        <w:tc>
          <w:tcPr>
            <w:tcW w:w="692"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8 852</w:t>
            </w:r>
          </w:p>
        </w:tc>
        <w:tc>
          <w:tcPr>
            <w:tcW w:w="795"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5 344</w:t>
            </w:r>
          </w:p>
        </w:tc>
        <w:tc>
          <w:tcPr>
            <w:tcW w:w="684" w:type="dxa"/>
            <w:tcBorders>
              <w:top w:val="nil"/>
              <w:left w:val="nil"/>
              <w:bottom w:val="single" w:sz="4" w:space="0" w:color="auto"/>
              <w:right w:val="single" w:sz="4" w:space="0" w:color="auto"/>
            </w:tcBorders>
            <w:vAlign w:val="bottom"/>
          </w:tcPr>
          <w:p w:rsidR="00000000" w:rsidRDefault="00000000">
            <w:pPr>
              <w:spacing w:before="40" w:after="40"/>
              <w:jc w:val="right"/>
              <w:rPr>
                <w:sz w:val="18"/>
                <w:lang w:val="ru-RU"/>
              </w:rPr>
            </w:pPr>
            <w:r>
              <w:rPr>
                <w:sz w:val="18"/>
                <w:lang w:val="ru-RU"/>
              </w:rPr>
              <w:t>60,4</w:t>
            </w:r>
          </w:p>
        </w:tc>
      </w:tr>
    </w:tbl>
    <w:p w:rsidR="00000000" w:rsidRDefault="00000000">
      <w:pPr>
        <w:spacing w:line="480" w:lineRule="auto"/>
        <w:rPr>
          <w:sz w:val="24"/>
          <w:lang w:val="ru-RU"/>
        </w:rPr>
      </w:pPr>
    </w:p>
    <w:p w:rsidR="00000000" w:rsidRDefault="00000000">
      <w:pPr>
        <w:spacing w:after="120"/>
        <w:rPr>
          <w:b/>
          <w:sz w:val="22"/>
          <w:lang w:val="ru-RU"/>
        </w:rPr>
      </w:pPr>
      <w:r>
        <w:rPr>
          <w:sz w:val="24"/>
          <w:lang w:val="ru-RU"/>
        </w:rPr>
        <w:br w:type="page"/>
      </w:r>
      <w:r>
        <w:rPr>
          <w:b/>
          <w:sz w:val="22"/>
          <w:lang w:val="ru-RU"/>
        </w:rPr>
        <w:t>ЧИСЛО СТУДЕНТОВ ВЫСШИХ УЧЕБНЫХ ЗАВЕДЕНИЙ, ПО ОТРАСЛЯМ ЗНАНИЙ</w:t>
      </w:r>
    </w:p>
    <w:tbl>
      <w:tblPr>
        <w:tblW w:w="0" w:type="auto"/>
        <w:tblInd w:w="38" w:type="dxa"/>
        <w:tblLayout w:type="fixed"/>
        <w:tblCellMar>
          <w:left w:w="28" w:type="dxa"/>
          <w:right w:w="28" w:type="dxa"/>
        </w:tblCellMar>
        <w:tblLook w:val="0000" w:firstRow="0" w:lastRow="0" w:firstColumn="0" w:lastColumn="0" w:noHBand="0" w:noVBand="0"/>
      </w:tblPr>
      <w:tblGrid>
        <w:gridCol w:w="3686"/>
        <w:gridCol w:w="1134"/>
        <w:gridCol w:w="1418"/>
        <w:gridCol w:w="851"/>
        <w:gridCol w:w="1134"/>
        <w:gridCol w:w="1418"/>
        <w:gridCol w:w="851"/>
      </w:tblGrid>
      <w:tr w:rsidR="00000000">
        <w:tblPrEx>
          <w:tblCellMar>
            <w:top w:w="0" w:type="dxa"/>
            <w:bottom w:w="0" w:type="dxa"/>
          </w:tblCellMar>
        </w:tblPrEx>
        <w:trPr>
          <w:cantSplit/>
        </w:trPr>
        <w:tc>
          <w:tcPr>
            <w:tcW w:w="3686" w:type="dxa"/>
            <w:tcBorders>
              <w:top w:val="single" w:sz="4" w:space="0" w:color="auto"/>
              <w:left w:val="single" w:sz="4" w:space="0" w:color="auto"/>
              <w:right w:val="single" w:sz="4" w:space="0" w:color="auto"/>
            </w:tcBorders>
            <w:vAlign w:val="bottom"/>
          </w:tcPr>
          <w:p w:rsidR="00000000" w:rsidRDefault="00000000">
            <w:pPr>
              <w:spacing w:before="80" w:after="80"/>
              <w:rPr>
                <w:sz w:val="18"/>
                <w:lang w:val="ru-RU"/>
              </w:rPr>
            </w:pPr>
            <w:r>
              <w:rPr>
                <w:sz w:val="18"/>
                <w:lang w:val="ru-RU"/>
              </w:rPr>
              <w:t> </w:t>
            </w:r>
          </w:p>
        </w:tc>
        <w:tc>
          <w:tcPr>
            <w:tcW w:w="3403"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Курс 2001/02 гг.</w:t>
            </w:r>
          </w:p>
        </w:tc>
        <w:tc>
          <w:tcPr>
            <w:tcW w:w="3403"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Курс 2002/03 гг.</w:t>
            </w:r>
          </w:p>
        </w:tc>
      </w:tr>
      <w:tr w:rsidR="00000000">
        <w:tblPrEx>
          <w:tblCellMar>
            <w:top w:w="0" w:type="dxa"/>
            <w:bottom w:w="0" w:type="dxa"/>
          </w:tblCellMar>
        </w:tblPrEx>
        <w:tc>
          <w:tcPr>
            <w:tcW w:w="3686" w:type="dxa"/>
            <w:tcBorders>
              <w:left w:val="single" w:sz="4" w:space="0" w:color="auto"/>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Отрасль знаний</w:t>
            </w:r>
          </w:p>
        </w:tc>
        <w:tc>
          <w:tcPr>
            <w:tcW w:w="1134"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141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c>
          <w:tcPr>
            <w:tcW w:w="1134"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1418"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Технические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16 032</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4 411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27,5</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19 195</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5 978</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31,1</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Естественные и точные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3 955</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1 957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49,5</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3 934</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1 935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49,2</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Медицина</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25 767</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19 380</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75,2</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27 702</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20 751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74,9</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Сельскохозяйственные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5 256</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2 061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39,2</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5 039</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1 991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39,5</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Экономика</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16 486</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10 716</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65</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20 307</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13 706</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67,5</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Общественные и гуманитарные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18 400</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10 832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58,9</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24 337</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14 351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59</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Педагогика</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48 759</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36 873</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75,6</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68 782</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49 838</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72,5</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Физическая культура</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8 909</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2 783</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31,2</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11 787</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3 035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25,7</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Искусство</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989</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570</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57,6</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1 281</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 xml:space="preserve"> 654</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51,1</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Всего</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144 553</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89 583</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62</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192 864</w:t>
            </w:r>
          </w:p>
        </w:tc>
        <w:tc>
          <w:tcPr>
            <w:tcW w:w="1418" w:type="dxa"/>
            <w:tcBorders>
              <w:top w:val="nil"/>
              <w:left w:val="nil"/>
              <w:bottom w:val="single" w:sz="4" w:space="0" w:color="auto"/>
              <w:right w:val="single" w:sz="4" w:space="0" w:color="auto"/>
            </w:tcBorders>
            <w:vAlign w:val="bottom"/>
          </w:tcPr>
          <w:p w:rsidR="00000000" w:rsidRDefault="00000000">
            <w:pPr>
              <w:spacing w:before="40" w:after="40"/>
              <w:ind w:right="397"/>
              <w:jc w:val="right"/>
              <w:rPr>
                <w:sz w:val="18"/>
                <w:lang w:val="ru-RU"/>
              </w:rPr>
            </w:pPr>
            <w:r>
              <w:rPr>
                <w:sz w:val="18"/>
                <w:lang w:val="ru-RU"/>
              </w:rPr>
              <w:t>119 672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62</w:t>
            </w:r>
          </w:p>
        </w:tc>
      </w:tr>
    </w:tbl>
    <w:p w:rsidR="00000000" w:rsidRDefault="00000000">
      <w:pPr>
        <w:spacing w:line="480" w:lineRule="auto"/>
        <w:rPr>
          <w:sz w:val="24"/>
          <w:lang w:val="ru-RU"/>
        </w:rPr>
      </w:pPr>
    </w:p>
    <w:p w:rsidR="00000000" w:rsidRDefault="00000000">
      <w:pPr>
        <w:spacing w:after="120"/>
        <w:rPr>
          <w:b/>
          <w:sz w:val="22"/>
          <w:lang w:val="ru-RU"/>
        </w:rPr>
      </w:pPr>
      <w:r>
        <w:rPr>
          <w:sz w:val="24"/>
          <w:lang w:val="ru-RU"/>
        </w:rPr>
        <w:br w:type="page"/>
      </w:r>
      <w:r>
        <w:rPr>
          <w:b/>
          <w:sz w:val="22"/>
          <w:lang w:val="ru-RU"/>
        </w:rPr>
        <w:t xml:space="preserve">ВЫПУСКНИКИ ВЫСШИХ УЧЕБНЫХ ЗАВЕДЕНИЙ </w:t>
      </w:r>
      <w:r>
        <w:rPr>
          <w:b/>
          <w:sz w:val="22"/>
          <w:lang w:val="ru-RU"/>
        </w:rPr>
        <w:br/>
        <w:t>С РАЗБИВКОЙ ПО ОТРАСЛЯМ ЗНАНИЙ</w:t>
      </w:r>
    </w:p>
    <w:tbl>
      <w:tblPr>
        <w:tblW w:w="0" w:type="auto"/>
        <w:tblInd w:w="38" w:type="dxa"/>
        <w:tblLayout w:type="fixed"/>
        <w:tblCellMar>
          <w:left w:w="28" w:type="dxa"/>
          <w:right w:w="28" w:type="dxa"/>
        </w:tblCellMar>
        <w:tblLook w:val="0000" w:firstRow="0" w:lastRow="0" w:firstColumn="0" w:lastColumn="0" w:noHBand="0" w:noVBand="0"/>
      </w:tblPr>
      <w:tblGrid>
        <w:gridCol w:w="3402"/>
        <w:gridCol w:w="851"/>
        <w:gridCol w:w="851"/>
        <w:gridCol w:w="851"/>
      </w:tblGrid>
      <w:tr w:rsidR="00000000">
        <w:tblPrEx>
          <w:tblCellMar>
            <w:top w:w="0" w:type="dxa"/>
            <w:bottom w:w="0" w:type="dxa"/>
          </w:tblCellMar>
        </w:tblPrEx>
        <w:trPr>
          <w:cantSplit/>
        </w:trPr>
        <w:tc>
          <w:tcPr>
            <w:tcW w:w="3402" w:type="dxa"/>
            <w:tcBorders>
              <w:top w:val="single" w:sz="4" w:space="0" w:color="auto"/>
              <w:left w:val="single" w:sz="4" w:space="0" w:color="auto"/>
              <w:right w:val="single" w:sz="4" w:space="0" w:color="auto"/>
            </w:tcBorders>
            <w:vAlign w:val="center"/>
          </w:tcPr>
          <w:p w:rsidR="00000000" w:rsidRDefault="00000000">
            <w:pPr>
              <w:spacing w:before="80" w:after="80"/>
              <w:rPr>
                <w:sz w:val="18"/>
                <w:lang w:val="ru-RU"/>
              </w:rPr>
            </w:pPr>
          </w:p>
        </w:tc>
        <w:tc>
          <w:tcPr>
            <w:tcW w:w="2553"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Курс 2001/02 гг.</w:t>
            </w:r>
          </w:p>
        </w:tc>
      </w:tr>
      <w:tr w:rsidR="00000000">
        <w:tblPrEx>
          <w:tblCellMar>
            <w:top w:w="0" w:type="dxa"/>
            <w:bottom w:w="0" w:type="dxa"/>
          </w:tblCellMar>
        </w:tblPrEx>
        <w:trPr>
          <w:cantSplit/>
        </w:trPr>
        <w:tc>
          <w:tcPr>
            <w:tcW w:w="3402" w:type="dxa"/>
            <w:tcBorders>
              <w:left w:val="single" w:sz="4" w:space="0" w:color="auto"/>
              <w:bottom w:val="single" w:sz="4" w:space="0" w:color="000000"/>
              <w:right w:val="single" w:sz="4" w:space="0" w:color="auto"/>
            </w:tcBorders>
            <w:vAlign w:val="center"/>
          </w:tcPr>
          <w:p w:rsidR="00000000" w:rsidRDefault="00000000">
            <w:pPr>
              <w:spacing w:before="80" w:after="80"/>
              <w:jc w:val="center"/>
              <w:rPr>
                <w:sz w:val="18"/>
                <w:lang w:val="ru-RU"/>
              </w:rPr>
            </w:pPr>
            <w:r>
              <w:rPr>
                <w:sz w:val="18"/>
                <w:lang w:val="ru-RU"/>
              </w:rPr>
              <w:t>Отрасль знаний</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Технические науки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1 977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464</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23,5</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Естественные и точные науки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631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336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53,2</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Медицина</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4 941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3 756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76,0</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Сельскохозяйственные науки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775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287</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37,0</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Экономика</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1 268</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789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62,2</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Общественные и гуманитарные науки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1 254</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895</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71,4</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Педагогика</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5 963</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4 694</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78,7</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Физическая культура</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1 182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426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36,0</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Искусство</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102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52</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51,0</w:t>
            </w:r>
          </w:p>
        </w:tc>
      </w:tr>
      <w:tr w:rsidR="00000000">
        <w:tblPrEx>
          <w:tblCellMar>
            <w:top w:w="0" w:type="dxa"/>
            <w:bottom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Всего</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18 093</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11 699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64,7</w:t>
            </w:r>
          </w:p>
        </w:tc>
      </w:tr>
    </w:tbl>
    <w:p w:rsidR="00000000" w:rsidRDefault="00000000">
      <w:pPr>
        <w:spacing w:line="480" w:lineRule="auto"/>
        <w:rPr>
          <w:sz w:val="24"/>
          <w:lang w:val="ru-RU"/>
        </w:rPr>
      </w:pPr>
    </w:p>
    <w:p w:rsidR="00000000" w:rsidRDefault="00000000">
      <w:pPr>
        <w:spacing w:after="120"/>
        <w:rPr>
          <w:b/>
          <w:sz w:val="22"/>
          <w:lang w:val="ru-RU"/>
        </w:rPr>
      </w:pPr>
      <w:r>
        <w:rPr>
          <w:lang w:val="ru-RU"/>
        </w:rPr>
        <w:br w:type="page"/>
      </w:r>
      <w:r>
        <w:rPr>
          <w:b/>
          <w:sz w:val="22"/>
          <w:lang w:val="ru-RU"/>
        </w:rPr>
        <w:t>МИНИСТЕРСТВО ВЫСШЕГО ОБРАЗОВАНИЯ.</w:t>
      </w:r>
    </w:p>
    <w:p w:rsidR="00000000" w:rsidRDefault="00000000">
      <w:pPr>
        <w:tabs>
          <w:tab w:val="left" w:pos="10130"/>
          <w:tab w:val="left" w:pos="10192"/>
          <w:tab w:val="left" w:pos="10254"/>
          <w:tab w:val="left" w:pos="10316"/>
          <w:tab w:val="left" w:pos="10378"/>
          <w:tab w:val="left" w:pos="10440"/>
        </w:tabs>
        <w:spacing w:after="120"/>
        <w:rPr>
          <w:b/>
          <w:sz w:val="22"/>
          <w:lang w:val="ru-RU"/>
        </w:rPr>
      </w:pPr>
      <w:r>
        <w:rPr>
          <w:b/>
          <w:sz w:val="22"/>
          <w:lang w:val="ru-RU"/>
        </w:rPr>
        <w:t xml:space="preserve">ЖЕНЩИНЫ, ЗАКОНЧИВШИЕ МАГИСТРАТУРУ, </w:t>
      </w:r>
      <w:r>
        <w:rPr>
          <w:b/>
          <w:sz w:val="22"/>
          <w:lang w:val="ru-RU"/>
        </w:rPr>
        <w:br/>
        <w:t>ПО ОТРАСЛЯМ ЗНАНИЙ</w:t>
      </w:r>
    </w:p>
    <w:tbl>
      <w:tblPr>
        <w:tblW w:w="0" w:type="auto"/>
        <w:tblInd w:w="38" w:type="dxa"/>
        <w:tblLayout w:type="fixed"/>
        <w:tblCellMar>
          <w:left w:w="0" w:type="dxa"/>
          <w:right w:w="0" w:type="dxa"/>
        </w:tblCellMar>
        <w:tblLook w:val="0000" w:firstRow="0" w:lastRow="0" w:firstColumn="0" w:lastColumn="0" w:noHBand="0" w:noVBand="0"/>
      </w:tblPr>
      <w:tblGrid>
        <w:gridCol w:w="3402"/>
        <w:gridCol w:w="1134"/>
      </w:tblGrid>
      <w:tr w:rsidR="00000000">
        <w:tblPrEx>
          <w:tblCellMar>
            <w:top w:w="0" w:type="dxa"/>
            <w:left w:w="0" w:type="dxa"/>
            <w:bottom w:w="0" w:type="dxa"/>
            <w:right w:w="0" w:type="dxa"/>
          </w:tblCellMar>
        </w:tblPrEx>
        <w:tc>
          <w:tcPr>
            <w:tcW w:w="340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Магистратура</w:t>
            </w:r>
          </w:p>
        </w:tc>
        <w:tc>
          <w:tcPr>
            <w:tcW w:w="1134" w:type="dxa"/>
            <w:tcBorders>
              <w:top w:val="single" w:sz="4" w:space="0" w:color="auto"/>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Педагогика</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55</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Биология</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64</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Технические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33</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Естественные и точные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53</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 xml:space="preserve">Экономика </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45</w:t>
            </w:r>
          </w:p>
        </w:tc>
      </w:tr>
      <w:tr w:rsidR="00000000">
        <w:tblPrEx>
          <w:tblCellMar>
            <w:top w:w="0" w:type="dxa"/>
            <w:left w:w="0" w:type="dxa"/>
            <w:bottom w:w="0" w:type="dxa"/>
            <w:right w:w="0" w:type="dxa"/>
          </w:tblCellMar>
        </w:tblPrEx>
        <w:tc>
          <w:tcPr>
            <w:tcW w:w="3402"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Сельскохозяйственные науки</w:t>
            </w:r>
          </w:p>
        </w:tc>
        <w:tc>
          <w:tcPr>
            <w:tcW w:w="1134" w:type="dxa"/>
            <w:tcBorders>
              <w:top w:val="nil"/>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36</w:t>
            </w:r>
          </w:p>
        </w:tc>
      </w:tr>
      <w:tr w:rsidR="00000000">
        <w:tblPrEx>
          <w:tblCellMar>
            <w:top w:w="0" w:type="dxa"/>
            <w:left w:w="0" w:type="dxa"/>
            <w:bottom w:w="0" w:type="dxa"/>
            <w:right w:w="0" w:type="dxa"/>
          </w:tblCellMar>
        </w:tblPrEx>
        <w:tc>
          <w:tcPr>
            <w:tcW w:w="3402"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Общественные и гуманитарные науки</w:t>
            </w:r>
          </w:p>
        </w:tc>
        <w:tc>
          <w:tcPr>
            <w:tcW w:w="1134" w:type="dxa"/>
            <w:tcBorders>
              <w:top w:val="single" w:sz="4" w:space="0" w:color="auto"/>
              <w:left w:val="nil"/>
              <w:bottom w:val="single" w:sz="4" w:space="0" w:color="auto"/>
              <w:right w:val="single" w:sz="4" w:space="0" w:color="auto"/>
            </w:tcBorders>
            <w:vAlign w:val="bottom"/>
          </w:tcPr>
          <w:p w:rsidR="00000000" w:rsidRDefault="00000000">
            <w:pPr>
              <w:spacing w:before="40" w:after="40"/>
              <w:jc w:val="center"/>
              <w:rPr>
                <w:sz w:val="18"/>
                <w:lang w:val="ru-RU"/>
              </w:rPr>
            </w:pPr>
            <w:r>
              <w:rPr>
                <w:sz w:val="18"/>
                <w:lang w:val="ru-RU"/>
              </w:rPr>
              <w:t>44</w:t>
            </w:r>
          </w:p>
        </w:tc>
      </w:tr>
    </w:tbl>
    <w:p w:rsidR="00000000" w:rsidRDefault="00000000">
      <w:pPr>
        <w:spacing w:after="120"/>
        <w:rPr>
          <w:sz w:val="24"/>
          <w:lang w:val="ru-RU"/>
        </w:rPr>
      </w:pPr>
    </w:p>
    <w:p w:rsidR="00000000" w:rsidRDefault="00000000">
      <w:pPr>
        <w:spacing w:after="120"/>
        <w:rPr>
          <w:b/>
          <w:sz w:val="22"/>
          <w:lang w:val="ru-RU"/>
        </w:rPr>
      </w:pPr>
      <w:r>
        <w:rPr>
          <w:b/>
          <w:sz w:val="22"/>
          <w:lang w:val="ru-RU"/>
        </w:rPr>
        <w:t>МИНИСТЕРСТВО ВЫСШЕГО ОБРАЗОВАНИЯ.</w:t>
      </w:r>
    </w:p>
    <w:p w:rsidR="00000000" w:rsidRDefault="00000000">
      <w:pPr>
        <w:tabs>
          <w:tab w:val="left" w:pos="5146"/>
          <w:tab w:val="left" w:pos="6200"/>
          <w:tab w:val="left" w:pos="7254"/>
          <w:tab w:val="left" w:pos="8308"/>
          <w:tab w:val="left" w:pos="9362"/>
          <w:tab w:val="left" w:pos="10440"/>
        </w:tabs>
        <w:spacing w:after="120"/>
        <w:rPr>
          <w:b/>
          <w:sz w:val="22"/>
          <w:lang w:val="ru-RU"/>
        </w:rPr>
      </w:pPr>
      <w:r>
        <w:rPr>
          <w:b/>
          <w:sz w:val="22"/>
          <w:lang w:val="ru-RU"/>
        </w:rPr>
        <w:t>ЖЕНЩИНЫ, ЗАКОНЧИВШИЕ МАГИСТРАТУРУ, ПО ОТРАСЛЯМ ЗНАНИЙ</w:t>
      </w:r>
    </w:p>
    <w:tbl>
      <w:tblPr>
        <w:tblW w:w="0" w:type="auto"/>
        <w:tblInd w:w="38" w:type="dxa"/>
        <w:tblLayout w:type="fixed"/>
        <w:tblCellMar>
          <w:left w:w="0" w:type="dxa"/>
          <w:right w:w="0" w:type="dxa"/>
        </w:tblCellMar>
        <w:tblLook w:val="0000" w:firstRow="0" w:lastRow="0" w:firstColumn="0" w:lastColumn="0" w:noHBand="0" w:noVBand="0"/>
      </w:tblPr>
      <w:tblGrid>
        <w:gridCol w:w="3119"/>
        <w:gridCol w:w="1134"/>
        <w:gridCol w:w="1134"/>
        <w:gridCol w:w="1134"/>
        <w:gridCol w:w="1134"/>
        <w:gridCol w:w="1134"/>
        <w:gridCol w:w="1134"/>
      </w:tblGrid>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both"/>
              <w:rPr>
                <w:lang w:val="ru-RU"/>
              </w:rPr>
            </w:pPr>
            <w:r>
              <w:rPr>
                <w:lang w:val="ru-RU"/>
              </w:rPr>
              <w:t> </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1988 г.</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1999 г.</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2000 г.</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2001 г.</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2002 г.</w:t>
            </w:r>
          </w:p>
        </w:tc>
        <w:tc>
          <w:tcPr>
            <w:tcW w:w="1134" w:type="dxa"/>
            <w:tcBorders>
              <w:top w:val="single" w:sz="4" w:space="0" w:color="auto"/>
              <w:left w:val="nil"/>
              <w:bottom w:val="single" w:sz="4" w:space="0" w:color="auto"/>
              <w:right w:val="single" w:sz="4" w:space="0" w:color="auto"/>
            </w:tcBorders>
          </w:tcPr>
          <w:p w:rsidR="00000000" w:rsidRDefault="00000000">
            <w:pPr>
              <w:spacing w:before="40" w:after="40"/>
              <w:jc w:val="center"/>
              <w:rPr>
                <w:lang w:val="ru-RU"/>
              </w:rPr>
            </w:pPr>
            <w:r>
              <w:rPr>
                <w:lang w:val="ru-RU"/>
              </w:rPr>
              <w:t>Всего</w:t>
            </w:r>
          </w:p>
        </w:tc>
      </w:tr>
      <w:tr w:rsidR="00000000">
        <w:tblPrEx>
          <w:tblCellMar>
            <w:top w:w="0" w:type="dxa"/>
            <w:left w:w="0" w:type="dxa"/>
            <w:bottom w:w="0" w:type="dxa"/>
            <w:right w:w="0" w:type="dxa"/>
          </w:tblCellMar>
        </w:tblPrEx>
        <w:tc>
          <w:tcPr>
            <w:tcW w:w="3119" w:type="dxa"/>
            <w:tcBorders>
              <w:top w:val="nil"/>
              <w:left w:val="single" w:sz="4" w:space="0" w:color="auto"/>
              <w:bottom w:val="single" w:sz="4" w:space="0" w:color="auto"/>
              <w:right w:val="single" w:sz="4" w:space="0" w:color="auto"/>
            </w:tcBorders>
          </w:tcPr>
          <w:p w:rsidR="00000000" w:rsidRDefault="00000000">
            <w:pPr>
              <w:spacing w:before="40" w:after="40"/>
              <w:ind w:left="57"/>
              <w:rPr>
                <w:lang w:val="ru-RU"/>
              </w:rPr>
            </w:pPr>
            <w:r>
              <w:rPr>
                <w:lang w:val="ru-RU"/>
              </w:rPr>
              <w:t>Всего защищено</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240</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304</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332</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304</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240</w:t>
            </w:r>
          </w:p>
        </w:tc>
        <w:tc>
          <w:tcPr>
            <w:tcW w:w="1134" w:type="dxa"/>
            <w:tcBorders>
              <w:top w:val="nil"/>
              <w:left w:val="nil"/>
              <w:bottom w:val="single" w:sz="4" w:space="0" w:color="auto"/>
              <w:right w:val="single" w:sz="4" w:space="0" w:color="auto"/>
            </w:tcBorders>
          </w:tcPr>
          <w:p w:rsidR="00000000" w:rsidRDefault="00000000">
            <w:pPr>
              <w:spacing w:before="40" w:after="40"/>
              <w:ind w:right="340"/>
              <w:jc w:val="right"/>
              <w:rPr>
                <w:lang w:val="ru-RU"/>
              </w:rPr>
            </w:pPr>
            <w:r>
              <w:rPr>
                <w:lang w:val="ru-RU"/>
              </w:rPr>
              <w:t>1 420</w:t>
            </w:r>
          </w:p>
        </w:tc>
      </w:tr>
      <w:tr w:rsidR="00000000">
        <w:tblPrEx>
          <w:tblCellMar>
            <w:top w:w="0" w:type="dxa"/>
            <w:left w:w="0" w:type="dxa"/>
            <w:bottom w:w="0" w:type="dxa"/>
            <w:right w:w="0" w:type="dxa"/>
          </w:tblCellMar>
        </w:tblPrEx>
        <w:tc>
          <w:tcPr>
            <w:tcW w:w="3119" w:type="dxa"/>
            <w:tcBorders>
              <w:top w:val="nil"/>
              <w:left w:val="single" w:sz="4" w:space="0" w:color="auto"/>
              <w:bottom w:val="single" w:sz="4" w:space="0" w:color="auto"/>
              <w:right w:val="single" w:sz="4" w:space="0" w:color="auto"/>
            </w:tcBorders>
          </w:tcPr>
          <w:p w:rsidR="00000000" w:rsidRDefault="00000000">
            <w:pPr>
              <w:spacing w:before="40" w:after="40"/>
              <w:ind w:left="57"/>
              <w:rPr>
                <w:lang w:val="ru-RU"/>
              </w:rPr>
            </w:pPr>
            <w:r>
              <w:rPr>
                <w:lang w:val="ru-RU"/>
              </w:rPr>
              <w:t>Защищено женщинами</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63</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47</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109</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125</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87</w:t>
            </w:r>
          </w:p>
        </w:tc>
        <w:tc>
          <w:tcPr>
            <w:tcW w:w="1134" w:type="dxa"/>
            <w:tcBorders>
              <w:top w:val="nil"/>
              <w:left w:val="nil"/>
              <w:bottom w:val="single" w:sz="4" w:space="0" w:color="auto"/>
              <w:right w:val="single" w:sz="4" w:space="0" w:color="auto"/>
            </w:tcBorders>
          </w:tcPr>
          <w:p w:rsidR="00000000" w:rsidRDefault="00000000">
            <w:pPr>
              <w:spacing w:before="40" w:after="40"/>
              <w:ind w:right="340"/>
              <w:jc w:val="right"/>
              <w:rPr>
                <w:lang w:val="ru-RU"/>
              </w:rPr>
            </w:pPr>
            <w:r>
              <w:rPr>
                <w:lang w:val="ru-RU"/>
              </w:rPr>
              <w:t>431</w:t>
            </w:r>
          </w:p>
        </w:tc>
      </w:tr>
      <w:tr w:rsidR="00000000">
        <w:tblPrEx>
          <w:tblCellMar>
            <w:top w:w="0" w:type="dxa"/>
            <w:left w:w="0" w:type="dxa"/>
            <w:bottom w:w="0" w:type="dxa"/>
            <w:right w:w="0" w:type="dxa"/>
          </w:tblCellMar>
        </w:tblPrEx>
        <w:tc>
          <w:tcPr>
            <w:tcW w:w="3119" w:type="dxa"/>
            <w:tcBorders>
              <w:top w:val="nil"/>
              <w:left w:val="single" w:sz="4" w:space="0" w:color="auto"/>
              <w:bottom w:val="single" w:sz="4" w:space="0" w:color="auto"/>
              <w:right w:val="single" w:sz="4" w:space="0" w:color="auto"/>
            </w:tcBorders>
          </w:tcPr>
          <w:p w:rsidR="00000000" w:rsidRDefault="00000000">
            <w:pPr>
              <w:spacing w:before="40" w:after="40"/>
              <w:ind w:left="113"/>
              <w:rPr>
                <w:lang w:val="ru-RU"/>
              </w:rPr>
            </w:pPr>
            <w:r>
              <w:rPr>
                <w:lang w:val="ru-RU"/>
              </w:rPr>
              <w:t>%</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26</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16</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33</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41</w:t>
            </w:r>
          </w:p>
        </w:tc>
        <w:tc>
          <w:tcPr>
            <w:tcW w:w="1134" w:type="dxa"/>
            <w:tcBorders>
              <w:top w:val="nil"/>
              <w:left w:val="nil"/>
              <w:bottom w:val="single" w:sz="4" w:space="0" w:color="auto"/>
              <w:right w:val="single" w:sz="4" w:space="0" w:color="auto"/>
            </w:tcBorders>
          </w:tcPr>
          <w:p w:rsidR="00000000" w:rsidRDefault="00000000">
            <w:pPr>
              <w:spacing w:before="40" w:after="40"/>
              <w:ind w:right="454"/>
              <w:jc w:val="right"/>
              <w:rPr>
                <w:lang w:val="ru-RU"/>
              </w:rPr>
            </w:pPr>
            <w:r>
              <w:rPr>
                <w:lang w:val="ru-RU"/>
              </w:rPr>
              <w:t>36</w:t>
            </w:r>
          </w:p>
        </w:tc>
        <w:tc>
          <w:tcPr>
            <w:tcW w:w="1134" w:type="dxa"/>
            <w:tcBorders>
              <w:top w:val="nil"/>
              <w:left w:val="nil"/>
              <w:bottom w:val="single" w:sz="4" w:space="0" w:color="auto"/>
              <w:right w:val="single" w:sz="4" w:space="0" w:color="auto"/>
            </w:tcBorders>
          </w:tcPr>
          <w:p w:rsidR="00000000" w:rsidRDefault="00000000">
            <w:pPr>
              <w:spacing w:before="40" w:after="40"/>
              <w:ind w:right="340"/>
              <w:jc w:val="right"/>
              <w:rPr>
                <w:lang w:val="ru-RU"/>
              </w:rPr>
            </w:pPr>
            <w:r>
              <w:rPr>
                <w:lang w:val="ru-RU"/>
              </w:rPr>
              <w:t>31</w:t>
            </w:r>
          </w:p>
        </w:tc>
      </w:tr>
    </w:tbl>
    <w:p w:rsidR="00000000" w:rsidRDefault="00000000">
      <w:pPr>
        <w:tabs>
          <w:tab w:val="left" w:pos="5640"/>
          <w:tab w:val="left" w:pos="6840"/>
          <w:tab w:val="left" w:pos="8040"/>
          <w:tab w:val="left" w:pos="9240"/>
          <w:tab w:val="left" w:pos="10440"/>
        </w:tabs>
        <w:spacing w:before="240" w:after="120"/>
        <w:rPr>
          <w:b/>
          <w:sz w:val="22"/>
          <w:lang w:val="ru-RU"/>
        </w:rPr>
      </w:pPr>
    </w:p>
    <w:p w:rsidR="00000000" w:rsidRDefault="00000000">
      <w:pPr>
        <w:tabs>
          <w:tab w:val="left" w:pos="5640"/>
          <w:tab w:val="left" w:pos="6840"/>
          <w:tab w:val="left" w:pos="8040"/>
          <w:tab w:val="left" w:pos="9240"/>
          <w:tab w:val="left" w:pos="10440"/>
        </w:tabs>
        <w:spacing w:after="120"/>
        <w:rPr>
          <w:b/>
          <w:sz w:val="22"/>
          <w:lang w:val="ru-RU"/>
        </w:rPr>
      </w:pPr>
      <w:r>
        <w:rPr>
          <w:b/>
          <w:sz w:val="22"/>
          <w:lang w:val="ru-RU"/>
        </w:rPr>
        <w:br w:type="page"/>
        <w:t>МИНИСТЕРСТВО ВЫСШЕГО ОБРАЗОВАНИЯ.</w:t>
      </w:r>
    </w:p>
    <w:p w:rsidR="00000000" w:rsidRDefault="00000000">
      <w:pPr>
        <w:tabs>
          <w:tab w:val="left" w:pos="10440"/>
        </w:tabs>
        <w:spacing w:after="120"/>
        <w:rPr>
          <w:b/>
          <w:sz w:val="22"/>
          <w:lang w:val="ru-RU"/>
        </w:rPr>
      </w:pPr>
      <w:r>
        <w:rPr>
          <w:b/>
          <w:sz w:val="22"/>
          <w:lang w:val="ru-RU"/>
        </w:rPr>
        <w:t xml:space="preserve">ЗАЩИТА ДОКТОРСКИХ ДИССЕРТАЦИЙ </w:t>
      </w:r>
    </w:p>
    <w:tbl>
      <w:tblPr>
        <w:tblW w:w="0" w:type="auto"/>
        <w:tblInd w:w="38" w:type="dxa"/>
        <w:tblLayout w:type="fixed"/>
        <w:tblCellMar>
          <w:left w:w="0" w:type="dxa"/>
          <w:right w:w="0" w:type="dxa"/>
        </w:tblCellMar>
        <w:tblLook w:val="0000" w:firstRow="0" w:lastRow="0" w:firstColumn="0" w:lastColumn="0" w:noHBand="0" w:noVBand="0"/>
      </w:tblPr>
      <w:tblGrid>
        <w:gridCol w:w="907"/>
        <w:gridCol w:w="1701"/>
        <w:gridCol w:w="851"/>
        <w:gridCol w:w="1701"/>
        <w:gridCol w:w="851"/>
      </w:tblGrid>
      <w:tr w:rsidR="00000000">
        <w:tblPrEx>
          <w:tblCellMar>
            <w:top w:w="0" w:type="dxa"/>
            <w:left w:w="0" w:type="dxa"/>
            <w:bottom w:w="0" w:type="dxa"/>
            <w:right w:w="0" w:type="dxa"/>
          </w:tblCellMar>
        </w:tblPrEx>
        <w:trPr>
          <w:cantSplit/>
        </w:trPr>
        <w:tc>
          <w:tcPr>
            <w:tcW w:w="3459"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jc w:val="center"/>
              <w:rPr>
                <w:lang w:val="ru-RU"/>
              </w:rPr>
            </w:pPr>
            <w:r>
              <w:rPr>
                <w:lang w:val="ru-RU"/>
              </w:rPr>
              <w:t xml:space="preserve">Сотрудники, </w:t>
            </w:r>
            <w:r>
              <w:rPr>
                <w:lang w:val="ru-RU"/>
              </w:rPr>
              <w:br/>
              <w:t>имеющие научную степень</w:t>
            </w:r>
          </w:p>
        </w:tc>
        <w:tc>
          <w:tcPr>
            <w:tcW w:w="2552" w:type="dxa"/>
            <w:gridSpan w:val="2"/>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 xml:space="preserve">Защищено диссертаций </w:t>
            </w:r>
            <w:r>
              <w:rPr>
                <w:lang w:val="ru-RU"/>
              </w:rPr>
              <w:br/>
              <w:t>с 1998 г.</w:t>
            </w:r>
          </w:p>
        </w:tc>
      </w:tr>
      <w:tr w:rsidR="00000000">
        <w:tblPrEx>
          <w:tblCellMar>
            <w:top w:w="0" w:type="dxa"/>
            <w:left w:w="0" w:type="dxa"/>
            <w:bottom w:w="0" w:type="dxa"/>
            <w:right w:w="0" w:type="dxa"/>
          </w:tblCellMar>
        </w:tblPrEx>
        <w:tc>
          <w:tcPr>
            <w:tcW w:w="907" w:type="dxa"/>
            <w:tcBorders>
              <w:top w:val="nil"/>
              <w:left w:val="single" w:sz="4" w:space="0" w:color="auto"/>
              <w:bottom w:val="single" w:sz="4" w:space="0" w:color="auto"/>
              <w:right w:val="single" w:sz="4" w:space="0" w:color="auto"/>
            </w:tcBorders>
            <w:vAlign w:val="bottom"/>
          </w:tcPr>
          <w:p w:rsidR="00000000" w:rsidRDefault="00000000">
            <w:pPr>
              <w:spacing w:before="80" w:after="80"/>
              <w:jc w:val="center"/>
              <w:rPr>
                <w:lang w:val="ru-RU"/>
              </w:rPr>
            </w:pPr>
            <w:r>
              <w:rPr>
                <w:lang w:val="ru-RU"/>
              </w:rPr>
              <w:t>Всего</w:t>
            </w:r>
          </w:p>
        </w:tc>
        <w:tc>
          <w:tcPr>
            <w:tcW w:w="170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Женщины</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w:t>
            </w:r>
          </w:p>
        </w:tc>
        <w:tc>
          <w:tcPr>
            <w:tcW w:w="170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caps/>
                <w:lang w:val="ru-RU"/>
              </w:rPr>
              <w:t>в</w:t>
            </w:r>
            <w:r>
              <w:rPr>
                <w:lang w:val="ru-RU"/>
              </w:rPr>
              <w:t>сего</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w:t>
            </w:r>
          </w:p>
        </w:tc>
      </w:tr>
      <w:tr w:rsidR="00000000">
        <w:tblPrEx>
          <w:tblCellMar>
            <w:top w:w="0" w:type="dxa"/>
            <w:left w:w="0" w:type="dxa"/>
            <w:bottom w:w="0" w:type="dxa"/>
            <w:right w:w="0" w:type="dxa"/>
          </w:tblCellMar>
        </w:tblPrEx>
        <w:tc>
          <w:tcPr>
            <w:tcW w:w="907" w:type="dxa"/>
            <w:tcBorders>
              <w:top w:val="nil"/>
              <w:left w:val="single" w:sz="4" w:space="0" w:color="auto"/>
              <w:bottom w:val="single" w:sz="4" w:space="0" w:color="auto"/>
              <w:right w:val="single" w:sz="4" w:space="0" w:color="auto"/>
            </w:tcBorders>
            <w:vAlign w:val="bottom"/>
          </w:tcPr>
          <w:p w:rsidR="00000000" w:rsidRDefault="00000000">
            <w:pPr>
              <w:spacing w:before="40" w:after="40"/>
              <w:jc w:val="center"/>
              <w:rPr>
                <w:lang w:val="ru-RU"/>
              </w:rPr>
            </w:pPr>
            <w:r>
              <w:rPr>
                <w:lang w:val="ru-RU"/>
              </w:rPr>
              <w:t>363</w:t>
            </w:r>
          </w:p>
        </w:tc>
        <w:tc>
          <w:tcPr>
            <w:tcW w:w="170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146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40,2</w:t>
            </w:r>
          </w:p>
        </w:tc>
        <w:tc>
          <w:tcPr>
            <w:tcW w:w="170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123</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52</w:t>
            </w:r>
          </w:p>
        </w:tc>
      </w:tr>
    </w:tbl>
    <w:p w:rsidR="00000000" w:rsidRDefault="00000000">
      <w:pPr>
        <w:spacing w:line="480" w:lineRule="auto"/>
        <w:rPr>
          <w:sz w:val="24"/>
          <w:lang w:val="ru-RU"/>
        </w:rPr>
      </w:pPr>
    </w:p>
    <w:p w:rsidR="00000000" w:rsidRDefault="00000000">
      <w:pPr>
        <w:spacing w:after="120"/>
        <w:rPr>
          <w:b/>
          <w:sz w:val="22"/>
          <w:lang w:val="ru-RU"/>
        </w:rPr>
      </w:pPr>
      <w:r>
        <w:rPr>
          <w:sz w:val="24"/>
          <w:lang w:val="ru-RU"/>
        </w:rPr>
        <w:br w:type="page"/>
      </w:r>
      <w:r>
        <w:rPr>
          <w:b/>
          <w:sz w:val="22"/>
          <w:lang w:val="ru-RU"/>
        </w:rPr>
        <w:t>ЖЕНЩИНЫ, РАБОТАЮЩИЕ В СФЕРЕ ВЫСШЕГО ОБРАЗОВАНИЯ</w:t>
      </w:r>
    </w:p>
    <w:tbl>
      <w:tblPr>
        <w:tblW w:w="0" w:type="auto"/>
        <w:tblInd w:w="38" w:type="dxa"/>
        <w:tblLayout w:type="fixed"/>
        <w:tblCellMar>
          <w:left w:w="28" w:type="dxa"/>
          <w:right w:w="28" w:type="dxa"/>
        </w:tblCellMar>
        <w:tblLook w:val="0000" w:firstRow="0" w:lastRow="0" w:firstColumn="0" w:lastColumn="0" w:noHBand="0" w:noVBand="0"/>
      </w:tblPr>
      <w:tblGrid>
        <w:gridCol w:w="1134"/>
        <w:gridCol w:w="851"/>
        <w:gridCol w:w="1339"/>
        <w:gridCol w:w="851"/>
        <w:gridCol w:w="851"/>
        <w:gridCol w:w="1191"/>
        <w:gridCol w:w="851"/>
        <w:gridCol w:w="851"/>
        <w:gridCol w:w="1191"/>
        <w:gridCol w:w="851"/>
      </w:tblGrid>
      <w:tr w:rsidR="00000000">
        <w:tblPrEx>
          <w:tblCellMar>
            <w:top w:w="0" w:type="dxa"/>
            <w:bottom w:w="0" w:type="dxa"/>
          </w:tblCellMar>
        </w:tblPrEx>
        <w:trPr>
          <w:cantSplit/>
        </w:trPr>
        <w:tc>
          <w:tcPr>
            <w:tcW w:w="1134" w:type="dxa"/>
            <w:vMerge w:val="restart"/>
            <w:tcBorders>
              <w:top w:val="single" w:sz="4" w:space="0" w:color="auto"/>
              <w:left w:val="single" w:sz="4" w:space="0" w:color="auto"/>
              <w:right w:val="nil"/>
            </w:tcBorders>
            <w:vAlign w:val="bottom"/>
          </w:tcPr>
          <w:p w:rsidR="00000000" w:rsidRDefault="00000000">
            <w:pPr>
              <w:spacing w:before="80" w:after="80"/>
              <w:rPr>
                <w:lang w:val="ru-RU"/>
              </w:rPr>
            </w:pPr>
            <w:r>
              <w:rPr>
                <w:lang w:val="ru-RU"/>
              </w:rPr>
              <w:t>Годы</w:t>
            </w:r>
          </w:p>
        </w:tc>
        <w:tc>
          <w:tcPr>
            <w:tcW w:w="304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jc w:val="center"/>
              <w:rPr>
                <w:lang w:val="ru-RU"/>
              </w:rPr>
            </w:pPr>
            <w:r>
              <w:rPr>
                <w:lang w:val="ru-RU"/>
              </w:rPr>
              <w:t>Преподаватели</w:t>
            </w:r>
          </w:p>
        </w:tc>
        <w:tc>
          <w:tcPr>
            <w:tcW w:w="2893"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Полный рабочий день</w:t>
            </w:r>
          </w:p>
        </w:tc>
        <w:tc>
          <w:tcPr>
            <w:tcW w:w="2893" w:type="dxa"/>
            <w:gridSpan w:val="3"/>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Неполный рабочий день</w:t>
            </w:r>
          </w:p>
        </w:tc>
      </w:tr>
      <w:tr w:rsidR="00000000">
        <w:tblPrEx>
          <w:tblCellMar>
            <w:top w:w="0" w:type="dxa"/>
            <w:bottom w:w="0" w:type="dxa"/>
          </w:tblCellMar>
        </w:tblPrEx>
        <w:trPr>
          <w:cantSplit/>
        </w:trPr>
        <w:tc>
          <w:tcPr>
            <w:tcW w:w="1134" w:type="dxa"/>
            <w:vMerge/>
            <w:tcBorders>
              <w:left w:val="single" w:sz="4" w:space="0" w:color="auto"/>
              <w:bottom w:val="nil"/>
              <w:right w:val="nil"/>
            </w:tcBorders>
            <w:vAlign w:val="bottom"/>
          </w:tcPr>
          <w:p w:rsidR="00000000" w:rsidRDefault="00000000">
            <w:pPr>
              <w:spacing w:before="80" w:after="80"/>
              <w:rPr>
                <w:lang w:val="ru-RU"/>
              </w:rPr>
            </w:pPr>
          </w:p>
        </w:tc>
        <w:tc>
          <w:tcPr>
            <w:tcW w:w="851" w:type="dxa"/>
            <w:tcBorders>
              <w:top w:val="nil"/>
              <w:left w:val="single" w:sz="4" w:space="0" w:color="auto"/>
              <w:bottom w:val="single" w:sz="4" w:space="0" w:color="auto"/>
              <w:right w:val="single" w:sz="4" w:space="0" w:color="auto"/>
            </w:tcBorders>
            <w:vAlign w:val="bottom"/>
          </w:tcPr>
          <w:p w:rsidR="00000000" w:rsidRDefault="00000000">
            <w:pPr>
              <w:spacing w:before="80" w:after="80"/>
              <w:jc w:val="center"/>
              <w:rPr>
                <w:lang w:val="ru-RU"/>
              </w:rPr>
            </w:pPr>
            <w:r>
              <w:rPr>
                <w:lang w:val="ru-RU"/>
              </w:rPr>
              <w:t>Всего</w:t>
            </w:r>
          </w:p>
        </w:tc>
        <w:tc>
          <w:tcPr>
            <w:tcW w:w="1339"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Женщины</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Всего</w:t>
            </w:r>
          </w:p>
        </w:tc>
        <w:tc>
          <w:tcPr>
            <w:tcW w:w="119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Женщины</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Всего</w:t>
            </w:r>
          </w:p>
        </w:tc>
        <w:tc>
          <w:tcPr>
            <w:tcW w:w="119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Женщины</w:t>
            </w:r>
          </w:p>
        </w:tc>
        <w:tc>
          <w:tcPr>
            <w:tcW w:w="851" w:type="dxa"/>
            <w:tcBorders>
              <w:top w:val="nil"/>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w:t>
            </w:r>
          </w:p>
        </w:tc>
      </w:tr>
      <w:tr w:rsidR="00000000">
        <w:tblPrEx>
          <w:tblCellMar>
            <w:top w:w="0" w:type="dxa"/>
            <w:bottom w:w="0" w:type="dxa"/>
          </w:tblCellMar>
        </w:tblPrEx>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1998/99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23 524</w:t>
            </w:r>
          </w:p>
        </w:tc>
        <w:tc>
          <w:tcPr>
            <w:tcW w:w="1339"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11 463</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48,7</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21 573</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10 325</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47,9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1 951</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1 138</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58,3</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1999/2000</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23 705</w:t>
            </w:r>
          </w:p>
        </w:tc>
        <w:tc>
          <w:tcPr>
            <w:tcW w:w="1339"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11 294</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47,6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21 318</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10 285</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48,2</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2 387</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1 009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42,3</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2000/01</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22 687</w:t>
            </w:r>
          </w:p>
        </w:tc>
        <w:tc>
          <w:tcPr>
            <w:tcW w:w="1339"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11 006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48,5</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20 753</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10 120</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48,8</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1 934</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 xml:space="preserve">   886</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45,8</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2001/02</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24 199</w:t>
            </w:r>
          </w:p>
        </w:tc>
        <w:tc>
          <w:tcPr>
            <w:tcW w:w="1339"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11 448</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47,3</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22 046</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10 347</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46,9</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2 153</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1 101</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51,1</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2002/03</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44 669</w:t>
            </w:r>
          </w:p>
        </w:tc>
        <w:tc>
          <w:tcPr>
            <w:tcW w:w="1339"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17 412</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39,0</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23 657</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11 388</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48,1</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21 012</w:t>
            </w:r>
          </w:p>
        </w:tc>
        <w:tc>
          <w:tcPr>
            <w:tcW w:w="119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6 024</w:t>
            </w:r>
          </w:p>
        </w:tc>
        <w:tc>
          <w:tcPr>
            <w:tcW w:w="851"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28,7</w:t>
            </w:r>
          </w:p>
        </w:tc>
      </w:tr>
    </w:tbl>
    <w:p w:rsidR="00000000" w:rsidRDefault="00000000">
      <w:pPr>
        <w:tabs>
          <w:tab w:val="left" w:pos="1503"/>
          <w:tab w:val="left" w:pos="2490"/>
          <w:tab w:val="left" w:pos="4029"/>
          <w:tab w:val="left" w:pos="8069"/>
          <w:tab w:val="left" w:pos="10020"/>
          <w:tab w:val="left" w:pos="12218"/>
          <w:tab w:val="left" w:pos="13008"/>
          <w:tab w:val="left" w:pos="14240"/>
          <w:tab w:val="left" w:pos="14760"/>
        </w:tabs>
        <w:spacing w:line="360" w:lineRule="auto"/>
        <w:rPr>
          <w:i/>
          <w:sz w:val="24"/>
          <w:lang w:val="ru-RU"/>
        </w:rPr>
      </w:pPr>
    </w:p>
    <w:p w:rsidR="00000000" w:rsidRDefault="00000000">
      <w:pPr>
        <w:tabs>
          <w:tab w:val="left" w:pos="1503"/>
          <w:tab w:val="left" w:pos="2490"/>
          <w:tab w:val="left" w:pos="4029"/>
          <w:tab w:val="left" w:pos="8069"/>
          <w:tab w:val="left" w:pos="10020"/>
          <w:tab w:val="left" w:pos="12218"/>
          <w:tab w:val="left" w:pos="13008"/>
          <w:tab w:val="left" w:pos="14240"/>
          <w:tab w:val="left" w:pos="14760"/>
        </w:tabs>
        <w:spacing w:line="360" w:lineRule="auto"/>
        <w:rPr>
          <w:b/>
          <w:caps/>
          <w:sz w:val="22"/>
          <w:lang w:val="ru-RU"/>
        </w:rPr>
      </w:pPr>
      <w:r>
        <w:rPr>
          <w:b/>
          <w:caps/>
          <w:sz w:val="22"/>
          <w:lang w:val="ru-RU"/>
        </w:rPr>
        <w:t>Учащиеся</w:t>
      </w:r>
    </w:p>
    <w:tbl>
      <w:tblPr>
        <w:tblW w:w="0" w:type="auto"/>
        <w:tblInd w:w="38" w:type="dxa"/>
        <w:tblLayout w:type="fixed"/>
        <w:tblCellMar>
          <w:left w:w="28" w:type="dxa"/>
          <w:right w:w="28" w:type="dxa"/>
        </w:tblCellMar>
        <w:tblLook w:val="0000" w:firstRow="0" w:lastRow="0" w:firstColumn="0" w:lastColumn="0" w:noHBand="0" w:noVBand="0"/>
      </w:tblPr>
      <w:tblGrid>
        <w:gridCol w:w="1191"/>
        <w:gridCol w:w="1758"/>
        <w:gridCol w:w="1758"/>
        <w:gridCol w:w="1758"/>
      </w:tblGrid>
      <w:tr w:rsidR="00000000">
        <w:tblPrEx>
          <w:tblCellMar>
            <w:top w:w="0" w:type="dxa"/>
            <w:bottom w:w="0" w:type="dxa"/>
          </w:tblCellMar>
        </w:tblPrEx>
        <w:tc>
          <w:tcPr>
            <w:tcW w:w="119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rPr>
                <w:lang w:val="ru-RU"/>
              </w:rPr>
            </w:pPr>
            <w:r>
              <w:rPr>
                <w:lang w:val="ru-RU"/>
              </w:rPr>
              <w:t>Курс</w:t>
            </w:r>
          </w:p>
        </w:tc>
        <w:tc>
          <w:tcPr>
            <w:tcW w:w="1758"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Студентки, %</w:t>
            </w:r>
          </w:p>
        </w:tc>
        <w:tc>
          <w:tcPr>
            <w:tcW w:w="1758"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Вновь поступившие женщины, %</w:t>
            </w:r>
          </w:p>
        </w:tc>
        <w:tc>
          <w:tcPr>
            <w:tcW w:w="1758"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lang w:val="ru-RU"/>
              </w:rPr>
            </w:pPr>
            <w:r>
              <w:rPr>
                <w:lang w:val="ru-RU"/>
              </w:rPr>
              <w:t>Выпускники женщины, %</w:t>
            </w:r>
          </w:p>
        </w:tc>
      </w:tr>
      <w:tr w:rsidR="00000000">
        <w:tblPrEx>
          <w:tblCellMar>
            <w:top w:w="0" w:type="dxa"/>
            <w:bottom w:w="0" w:type="dxa"/>
          </w:tblCellMar>
        </w:tblPrEx>
        <w:tc>
          <w:tcPr>
            <w:tcW w:w="1191"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1998/99</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62,2</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61,6</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63,7</w:t>
            </w:r>
          </w:p>
        </w:tc>
      </w:tr>
      <w:tr w:rsidR="00000000">
        <w:tblPrEx>
          <w:tblCellMar>
            <w:top w:w="0" w:type="dxa"/>
            <w:bottom w:w="0" w:type="dxa"/>
          </w:tblCellMar>
        </w:tblPrEx>
        <w:tc>
          <w:tcPr>
            <w:tcW w:w="1191"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1999/2000</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62,6</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60,9</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66,3</w:t>
            </w:r>
          </w:p>
        </w:tc>
      </w:tr>
      <w:tr w:rsidR="00000000">
        <w:tblPrEx>
          <w:tblCellMar>
            <w:top w:w="0" w:type="dxa"/>
            <w:bottom w:w="0" w:type="dxa"/>
          </w:tblCellMar>
        </w:tblPrEx>
        <w:tc>
          <w:tcPr>
            <w:tcW w:w="1191"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2000/01</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61,3</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64,6</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62,7</w:t>
            </w:r>
          </w:p>
        </w:tc>
      </w:tr>
      <w:tr w:rsidR="00000000">
        <w:tblPrEx>
          <w:tblCellMar>
            <w:top w:w="0" w:type="dxa"/>
            <w:bottom w:w="0" w:type="dxa"/>
          </w:tblCellMar>
        </w:tblPrEx>
        <w:tc>
          <w:tcPr>
            <w:tcW w:w="1191"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2001/02</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63,1</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64,7</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64,7</w:t>
            </w:r>
          </w:p>
        </w:tc>
      </w:tr>
      <w:tr w:rsidR="00000000">
        <w:tblPrEx>
          <w:tblCellMar>
            <w:top w:w="0" w:type="dxa"/>
            <w:bottom w:w="0" w:type="dxa"/>
          </w:tblCellMar>
        </w:tblPrEx>
        <w:tc>
          <w:tcPr>
            <w:tcW w:w="1191" w:type="dxa"/>
            <w:tcBorders>
              <w:top w:val="nil"/>
              <w:left w:val="single" w:sz="4" w:space="0" w:color="auto"/>
              <w:bottom w:val="single" w:sz="4" w:space="0" w:color="auto"/>
              <w:right w:val="single" w:sz="4" w:space="0" w:color="auto"/>
            </w:tcBorders>
            <w:vAlign w:val="bottom"/>
          </w:tcPr>
          <w:p w:rsidR="00000000" w:rsidRDefault="00000000">
            <w:pPr>
              <w:spacing w:before="40" w:after="40"/>
              <w:rPr>
                <w:lang w:val="ru-RU"/>
              </w:rPr>
            </w:pPr>
            <w:r>
              <w:rPr>
                <w:lang w:val="ru-RU"/>
              </w:rPr>
              <w:t>2002/03</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62,4</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64,7</w:t>
            </w:r>
          </w:p>
        </w:tc>
        <w:tc>
          <w:tcPr>
            <w:tcW w:w="1758" w:type="dxa"/>
            <w:tcBorders>
              <w:top w:val="nil"/>
              <w:left w:val="nil"/>
              <w:bottom w:val="single" w:sz="4" w:space="0" w:color="auto"/>
              <w:right w:val="single" w:sz="4" w:space="0" w:color="auto"/>
            </w:tcBorders>
            <w:vAlign w:val="bottom"/>
          </w:tcPr>
          <w:p w:rsidR="00000000" w:rsidRDefault="00000000">
            <w:pPr>
              <w:spacing w:before="40" w:after="40"/>
              <w:jc w:val="center"/>
              <w:rPr>
                <w:lang w:val="ru-RU"/>
              </w:rPr>
            </w:pPr>
            <w:r>
              <w:rPr>
                <w:lang w:val="ru-RU"/>
              </w:rPr>
              <w:t>–</w:t>
            </w:r>
          </w:p>
        </w:tc>
      </w:tr>
    </w:tbl>
    <w:p w:rsidR="00000000" w:rsidRDefault="00000000">
      <w:pPr>
        <w:tabs>
          <w:tab w:val="left" w:pos="1247"/>
        </w:tabs>
        <w:spacing w:line="480" w:lineRule="auto"/>
        <w:rPr>
          <w:sz w:val="24"/>
          <w:lang w:val="ru-RU"/>
        </w:rPr>
      </w:pPr>
    </w:p>
    <w:p w:rsidR="00000000" w:rsidRDefault="00000000">
      <w:pPr>
        <w:tabs>
          <w:tab w:val="left" w:pos="7806"/>
          <w:tab w:val="left" w:pos="8635"/>
        </w:tabs>
        <w:spacing w:after="120"/>
        <w:rPr>
          <w:b/>
          <w:sz w:val="22"/>
          <w:lang w:val="ru-RU"/>
        </w:rPr>
      </w:pPr>
      <w:r>
        <w:rPr>
          <w:sz w:val="24"/>
          <w:lang w:val="ru-RU"/>
        </w:rPr>
        <w:br w:type="page"/>
      </w:r>
      <w:r>
        <w:rPr>
          <w:b/>
          <w:sz w:val="22"/>
          <w:lang w:val="ru-RU"/>
        </w:rPr>
        <w:t>ОБРАЗОВАТЕЛЬНЫЕ УЧРЕЖДЕНИЯ ИНТЕРНАТНОГО ТИПА.</w:t>
      </w:r>
    </w:p>
    <w:p w:rsidR="00000000" w:rsidRDefault="00000000">
      <w:pPr>
        <w:tabs>
          <w:tab w:val="left" w:pos="6148"/>
          <w:tab w:val="left" w:pos="6977"/>
          <w:tab w:val="left" w:pos="7806"/>
          <w:tab w:val="left" w:pos="8635"/>
        </w:tabs>
        <w:spacing w:after="120"/>
        <w:rPr>
          <w:b/>
          <w:sz w:val="22"/>
          <w:lang w:val="ru-RU"/>
        </w:rPr>
      </w:pPr>
      <w:r>
        <w:rPr>
          <w:b/>
          <w:sz w:val="22"/>
          <w:lang w:val="ru-RU"/>
        </w:rPr>
        <w:t>1998/99 – 2002/03 УЧЕБНЫЕ ГОДЫ</w:t>
      </w:r>
    </w:p>
    <w:tbl>
      <w:tblPr>
        <w:tblW w:w="0" w:type="auto"/>
        <w:tblInd w:w="38" w:type="dxa"/>
        <w:tblLayout w:type="fixed"/>
        <w:tblCellMar>
          <w:left w:w="0" w:type="dxa"/>
          <w:right w:w="0" w:type="dxa"/>
        </w:tblCellMar>
        <w:tblLook w:val="0000" w:firstRow="0" w:lastRow="0" w:firstColumn="0" w:lastColumn="0" w:noHBand="0" w:noVBand="0"/>
      </w:tblPr>
      <w:tblGrid>
        <w:gridCol w:w="3119"/>
        <w:gridCol w:w="737"/>
        <w:gridCol w:w="813"/>
        <w:gridCol w:w="737"/>
        <w:gridCol w:w="737"/>
        <w:gridCol w:w="737"/>
      </w:tblGrid>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left="57"/>
              <w:rPr>
                <w:sz w:val="18"/>
                <w:lang w:val="ru-RU"/>
              </w:rPr>
            </w:pPr>
            <w:r>
              <w:rPr>
                <w:sz w:val="18"/>
                <w:lang w:val="ru-RU"/>
              </w:rPr>
              <w:t>Ступень образования</w:t>
            </w:r>
          </w:p>
        </w:tc>
        <w:tc>
          <w:tcPr>
            <w:tcW w:w="737" w:type="dxa"/>
            <w:tcBorders>
              <w:top w:val="single" w:sz="4" w:space="0" w:color="auto"/>
              <w:left w:val="nil"/>
              <w:bottom w:val="single" w:sz="4" w:space="0" w:color="auto"/>
              <w:right w:val="single" w:sz="4" w:space="0" w:color="auto"/>
            </w:tcBorders>
          </w:tcPr>
          <w:p w:rsidR="00000000" w:rsidRDefault="00000000">
            <w:pPr>
              <w:spacing w:before="40" w:after="40"/>
              <w:jc w:val="center"/>
              <w:rPr>
                <w:sz w:val="18"/>
                <w:lang w:val="ru-RU"/>
              </w:rPr>
            </w:pPr>
            <w:r>
              <w:rPr>
                <w:sz w:val="18"/>
                <w:lang w:val="ru-RU"/>
              </w:rPr>
              <w:t>1998/99</w:t>
            </w:r>
          </w:p>
        </w:tc>
        <w:tc>
          <w:tcPr>
            <w:tcW w:w="813" w:type="dxa"/>
            <w:tcBorders>
              <w:top w:val="single" w:sz="4" w:space="0" w:color="auto"/>
              <w:left w:val="nil"/>
              <w:bottom w:val="single" w:sz="4" w:space="0" w:color="auto"/>
              <w:right w:val="single" w:sz="4" w:space="0" w:color="auto"/>
            </w:tcBorders>
          </w:tcPr>
          <w:p w:rsidR="00000000" w:rsidRDefault="00000000">
            <w:pPr>
              <w:spacing w:before="40" w:after="40"/>
              <w:jc w:val="center"/>
              <w:rPr>
                <w:sz w:val="18"/>
                <w:lang w:val="ru-RU"/>
              </w:rPr>
            </w:pPr>
            <w:r>
              <w:rPr>
                <w:sz w:val="18"/>
                <w:lang w:val="ru-RU"/>
              </w:rPr>
              <w:t>1999/2000</w:t>
            </w:r>
          </w:p>
        </w:tc>
        <w:tc>
          <w:tcPr>
            <w:tcW w:w="737" w:type="dxa"/>
            <w:tcBorders>
              <w:top w:val="single" w:sz="4" w:space="0" w:color="auto"/>
              <w:left w:val="nil"/>
              <w:bottom w:val="single" w:sz="4" w:space="0" w:color="auto"/>
              <w:right w:val="single" w:sz="4" w:space="0" w:color="auto"/>
            </w:tcBorders>
          </w:tcPr>
          <w:p w:rsidR="00000000" w:rsidRDefault="00000000">
            <w:pPr>
              <w:spacing w:before="40" w:after="40"/>
              <w:jc w:val="center"/>
              <w:rPr>
                <w:sz w:val="18"/>
                <w:lang w:val="ru-RU"/>
              </w:rPr>
            </w:pPr>
            <w:r>
              <w:rPr>
                <w:sz w:val="18"/>
                <w:lang w:val="ru-RU"/>
              </w:rPr>
              <w:t>2000/01</w:t>
            </w:r>
          </w:p>
        </w:tc>
        <w:tc>
          <w:tcPr>
            <w:tcW w:w="737" w:type="dxa"/>
            <w:tcBorders>
              <w:top w:val="single" w:sz="4" w:space="0" w:color="auto"/>
              <w:left w:val="nil"/>
              <w:bottom w:val="single" w:sz="4" w:space="0" w:color="auto"/>
              <w:right w:val="single" w:sz="4" w:space="0" w:color="auto"/>
            </w:tcBorders>
          </w:tcPr>
          <w:p w:rsidR="00000000" w:rsidRDefault="00000000">
            <w:pPr>
              <w:spacing w:before="40" w:after="40"/>
              <w:jc w:val="center"/>
              <w:rPr>
                <w:sz w:val="18"/>
                <w:lang w:val="ru-RU"/>
              </w:rPr>
            </w:pPr>
            <w:r>
              <w:rPr>
                <w:sz w:val="18"/>
                <w:lang w:val="ru-RU"/>
              </w:rPr>
              <w:t>2001/02</w:t>
            </w:r>
          </w:p>
        </w:tc>
        <w:tc>
          <w:tcPr>
            <w:tcW w:w="737" w:type="dxa"/>
            <w:tcBorders>
              <w:top w:val="single" w:sz="4" w:space="0" w:color="auto"/>
              <w:left w:val="nil"/>
              <w:bottom w:val="single" w:sz="4" w:space="0" w:color="auto"/>
              <w:right w:val="single" w:sz="4" w:space="0" w:color="auto"/>
            </w:tcBorders>
          </w:tcPr>
          <w:p w:rsidR="00000000" w:rsidRDefault="00000000">
            <w:pPr>
              <w:spacing w:before="40" w:after="40"/>
              <w:jc w:val="center"/>
              <w:rPr>
                <w:sz w:val="18"/>
                <w:lang w:val="ru-RU"/>
              </w:rPr>
            </w:pPr>
            <w:r>
              <w:rPr>
                <w:sz w:val="18"/>
                <w:lang w:val="ru-RU"/>
              </w:rPr>
              <w:t>2002/03</w:t>
            </w:r>
          </w:p>
        </w:tc>
      </w:tr>
      <w:tr w:rsidR="00000000">
        <w:tblPrEx>
          <w:tblCellMar>
            <w:top w:w="0" w:type="dxa"/>
            <w:left w:w="0" w:type="dxa"/>
            <w:bottom w:w="0" w:type="dxa"/>
            <w:right w:w="0" w:type="dxa"/>
          </w:tblCellMar>
        </w:tblPrEx>
        <w:tc>
          <w:tcPr>
            <w:tcW w:w="3119" w:type="dxa"/>
            <w:tcBorders>
              <w:top w:val="single" w:sz="4" w:space="0" w:color="auto"/>
              <w:bottom w:val="single" w:sz="4" w:space="0" w:color="auto"/>
            </w:tcBorders>
            <w:vAlign w:val="bottom"/>
          </w:tcPr>
          <w:p w:rsidR="00000000" w:rsidRDefault="00000000">
            <w:pPr>
              <w:spacing w:before="100" w:after="100"/>
              <w:ind w:left="57"/>
              <w:rPr>
                <w:sz w:val="18"/>
                <w:lang w:val="ru-RU"/>
              </w:rPr>
            </w:pPr>
            <w:r>
              <w:rPr>
                <w:sz w:val="18"/>
                <w:lang w:val="ru-RU"/>
              </w:rPr>
              <w:t>Всего</w:t>
            </w:r>
          </w:p>
        </w:tc>
        <w:tc>
          <w:tcPr>
            <w:tcW w:w="737" w:type="dxa"/>
            <w:tcBorders>
              <w:top w:val="single" w:sz="4" w:space="0" w:color="auto"/>
              <w:bottom w:val="single" w:sz="4" w:space="0" w:color="auto"/>
            </w:tcBorders>
            <w:vAlign w:val="bottom"/>
          </w:tcPr>
          <w:p w:rsidR="00000000" w:rsidRDefault="00000000">
            <w:pPr>
              <w:spacing w:before="100" w:after="100"/>
              <w:ind w:right="170"/>
              <w:jc w:val="right"/>
              <w:rPr>
                <w:sz w:val="18"/>
                <w:lang w:val="ru-RU"/>
              </w:rPr>
            </w:pPr>
            <w:r>
              <w:rPr>
                <w:sz w:val="18"/>
                <w:lang w:val="ru-RU"/>
              </w:rPr>
              <w:t>1 010</w:t>
            </w:r>
          </w:p>
        </w:tc>
        <w:tc>
          <w:tcPr>
            <w:tcW w:w="813" w:type="dxa"/>
            <w:tcBorders>
              <w:top w:val="single" w:sz="4" w:space="0" w:color="auto"/>
              <w:bottom w:val="single" w:sz="4" w:space="0" w:color="auto"/>
            </w:tcBorders>
            <w:vAlign w:val="bottom"/>
          </w:tcPr>
          <w:p w:rsidR="00000000" w:rsidRDefault="00000000">
            <w:pPr>
              <w:spacing w:before="100" w:after="100"/>
              <w:ind w:right="170"/>
              <w:jc w:val="right"/>
              <w:rPr>
                <w:sz w:val="18"/>
                <w:lang w:val="ru-RU"/>
              </w:rPr>
            </w:pPr>
            <w:r>
              <w:rPr>
                <w:sz w:val="18"/>
                <w:lang w:val="ru-RU"/>
              </w:rPr>
              <w:t>1 022</w:t>
            </w:r>
          </w:p>
        </w:tc>
        <w:tc>
          <w:tcPr>
            <w:tcW w:w="737" w:type="dxa"/>
            <w:tcBorders>
              <w:top w:val="single" w:sz="4" w:space="0" w:color="auto"/>
              <w:bottom w:val="single" w:sz="4" w:space="0" w:color="auto"/>
            </w:tcBorders>
            <w:vAlign w:val="bottom"/>
          </w:tcPr>
          <w:p w:rsidR="00000000" w:rsidRDefault="00000000">
            <w:pPr>
              <w:spacing w:before="100" w:after="100"/>
              <w:ind w:right="170"/>
              <w:jc w:val="right"/>
              <w:rPr>
                <w:sz w:val="18"/>
                <w:lang w:val="ru-RU"/>
              </w:rPr>
            </w:pPr>
            <w:r>
              <w:rPr>
                <w:sz w:val="18"/>
                <w:lang w:val="ru-RU"/>
              </w:rPr>
              <w:t>1 057</w:t>
            </w:r>
          </w:p>
        </w:tc>
        <w:tc>
          <w:tcPr>
            <w:tcW w:w="737" w:type="dxa"/>
            <w:tcBorders>
              <w:top w:val="single" w:sz="4" w:space="0" w:color="auto"/>
              <w:bottom w:val="single" w:sz="4" w:space="0" w:color="auto"/>
            </w:tcBorders>
            <w:vAlign w:val="bottom"/>
          </w:tcPr>
          <w:p w:rsidR="00000000" w:rsidRDefault="00000000">
            <w:pPr>
              <w:spacing w:before="100" w:after="100"/>
              <w:ind w:right="170"/>
              <w:jc w:val="right"/>
              <w:rPr>
                <w:sz w:val="18"/>
                <w:lang w:val="ru-RU"/>
              </w:rPr>
            </w:pPr>
            <w:r>
              <w:rPr>
                <w:sz w:val="18"/>
                <w:lang w:val="ru-RU"/>
              </w:rPr>
              <w:t>1 064</w:t>
            </w:r>
          </w:p>
        </w:tc>
        <w:tc>
          <w:tcPr>
            <w:tcW w:w="737" w:type="dxa"/>
            <w:tcBorders>
              <w:top w:val="single" w:sz="4" w:space="0" w:color="auto"/>
              <w:bottom w:val="single" w:sz="4" w:space="0" w:color="auto"/>
            </w:tcBorders>
            <w:vAlign w:val="bottom"/>
          </w:tcPr>
          <w:p w:rsidR="00000000" w:rsidRDefault="00000000">
            <w:pPr>
              <w:spacing w:before="100" w:after="100"/>
              <w:ind w:right="170"/>
              <w:jc w:val="right"/>
              <w:rPr>
                <w:sz w:val="18"/>
                <w:lang w:val="ru-RU"/>
              </w:rPr>
            </w:pPr>
            <w:r>
              <w:rPr>
                <w:sz w:val="18"/>
                <w:lang w:val="ru-RU"/>
              </w:rPr>
              <w:t>1 044</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Детские сады</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10</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10</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11</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10</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10</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Начальная школа</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79</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85</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84</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87</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83</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Средняя школа</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705</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714</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746</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761</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747</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Основная средняя школа</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237</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235</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235</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240</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244</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Старшая ступень средней школы</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223</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234</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267</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271</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259</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Профессионально-техническое обучение</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245</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245</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244</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250</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244</w:t>
            </w:r>
          </w:p>
        </w:tc>
      </w:tr>
      <w:tr w:rsidR="00000000">
        <w:tblPrEx>
          <w:tblCellMar>
            <w:top w:w="0" w:type="dxa"/>
            <w:left w:w="0" w:type="dxa"/>
            <w:bottom w:w="0" w:type="dxa"/>
            <w:right w:w="0" w:type="dxa"/>
          </w:tblCellMar>
        </w:tblPrEx>
        <w:tc>
          <w:tcPr>
            <w:tcW w:w="311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Специальные школы</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216</w:t>
            </w:r>
          </w:p>
        </w:tc>
        <w:tc>
          <w:tcPr>
            <w:tcW w:w="813"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213</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216</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206</w:t>
            </w:r>
          </w:p>
        </w:tc>
        <w:tc>
          <w:tcPr>
            <w:tcW w:w="737"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204</w:t>
            </w:r>
          </w:p>
        </w:tc>
      </w:tr>
    </w:tbl>
    <w:p w:rsidR="00000000" w:rsidRDefault="00000000">
      <w:pPr>
        <w:pStyle w:val="a1"/>
        <w:spacing w:line="480" w:lineRule="auto"/>
        <w:rPr>
          <w:rFonts w:ascii="Times New Roman" w:hAnsi="Times New Roman"/>
          <w:lang w:eastAsia="fr-FR"/>
        </w:rPr>
      </w:pPr>
    </w:p>
    <w:p w:rsidR="00000000" w:rsidRDefault="00000000">
      <w:pPr>
        <w:spacing w:after="120"/>
        <w:rPr>
          <w:b/>
          <w:sz w:val="22"/>
          <w:lang w:val="ru-RU"/>
        </w:rPr>
      </w:pPr>
      <w:r>
        <w:rPr>
          <w:sz w:val="24"/>
          <w:lang w:val="ru-RU"/>
        </w:rPr>
        <w:br w:type="page"/>
      </w:r>
      <w:r>
        <w:rPr>
          <w:b/>
          <w:sz w:val="22"/>
          <w:lang w:val="ru-RU"/>
        </w:rPr>
        <w:t>МИНИСТЕРСТВО ПРОСВЕЩЕНИЯ</w:t>
      </w:r>
    </w:p>
    <w:tbl>
      <w:tblPr>
        <w:tblW w:w="0" w:type="auto"/>
        <w:tblInd w:w="38" w:type="dxa"/>
        <w:tblLayout w:type="fixed"/>
        <w:tblCellMar>
          <w:left w:w="28" w:type="dxa"/>
          <w:right w:w="28" w:type="dxa"/>
        </w:tblCellMar>
        <w:tblLook w:val="0000" w:firstRow="0" w:lastRow="0" w:firstColumn="0" w:lastColumn="0" w:noHBand="0" w:noVBand="0"/>
      </w:tblPr>
      <w:tblGrid>
        <w:gridCol w:w="5103"/>
        <w:gridCol w:w="851"/>
        <w:gridCol w:w="851"/>
        <w:gridCol w:w="851"/>
        <w:gridCol w:w="851"/>
        <w:gridCol w:w="851"/>
      </w:tblGrid>
      <w:tr w:rsidR="00000000">
        <w:tblPrEx>
          <w:tblCellMar>
            <w:top w:w="0" w:type="dxa"/>
            <w:bottom w:w="0" w:type="dxa"/>
          </w:tblCellMar>
        </w:tblPrEx>
        <w:tc>
          <w:tcPr>
            <w:tcW w:w="5103" w:type="dxa"/>
            <w:tcBorders>
              <w:top w:val="nil"/>
              <w:left w:val="nil"/>
              <w:bottom w:val="nil"/>
              <w:right w:val="nil"/>
            </w:tcBorders>
            <w:vAlign w:val="bottom"/>
          </w:tcPr>
          <w:p w:rsidR="00000000" w:rsidRDefault="00000000">
            <w:pPr>
              <w:spacing w:before="80" w:after="80"/>
              <w:jc w:val="both"/>
              <w:rPr>
                <w:i/>
                <w:sz w:val="18"/>
                <w:lang w:val="ru-RU"/>
              </w:rPr>
            </w:pP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1998/99</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1999/2000</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2000/01</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2001/02</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2002/03</w:t>
            </w:r>
          </w:p>
        </w:tc>
      </w:tr>
      <w:tr w:rsidR="00000000">
        <w:tblPrEx>
          <w:tblCellMar>
            <w:top w:w="0" w:type="dxa"/>
            <w:bottom w:w="0" w:type="dxa"/>
          </w:tblCellMar>
        </w:tblPrEx>
        <w:tc>
          <w:tcPr>
            <w:tcW w:w="5103" w:type="dxa"/>
            <w:tcBorders>
              <w:top w:val="nil"/>
              <w:left w:val="nil"/>
              <w:bottom w:val="nil"/>
              <w:right w:val="nil"/>
            </w:tcBorders>
            <w:vAlign w:val="bottom"/>
          </w:tcPr>
          <w:p w:rsidR="00000000" w:rsidRDefault="00000000">
            <w:pPr>
              <w:spacing w:before="40" w:after="40"/>
              <w:jc w:val="both"/>
              <w:rPr>
                <w:i/>
                <w:sz w:val="18"/>
                <w:lang w:val="ru-RU"/>
              </w:rPr>
            </w:pPr>
          </w:p>
        </w:tc>
        <w:tc>
          <w:tcPr>
            <w:tcW w:w="851" w:type="dxa"/>
            <w:tcBorders>
              <w:top w:val="nil"/>
              <w:left w:val="nil"/>
              <w:bottom w:val="nil"/>
              <w:right w:val="nil"/>
            </w:tcBorders>
            <w:vAlign w:val="bottom"/>
          </w:tcPr>
          <w:p w:rsidR="00000000" w:rsidRDefault="00000000">
            <w:pPr>
              <w:spacing w:before="40" w:after="40"/>
              <w:rPr>
                <w:sz w:val="18"/>
                <w:lang w:val="ru-RU"/>
              </w:rPr>
            </w:pPr>
          </w:p>
        </w:tc>
        <w:tc>
          <w:tcPr>
            <w:tcW w:w="851" w:type="dxa"/>
            <w:tcBorders>
              <w:top w:val="nil"/>
              <w:left w:val="nil"/>
              <w:bottom w:val="nil"/>
              <w:right w:val="nil"/>
            </w:tcBorders>
            <w:vAlign w:val="bottom"/>
          </w:tcPr>
          <w:p w:rsidR="00000000" w:rsidRDefault="00000000">
            <w:pPr>
              <w:spacing w:before="40" w:after="40"/>
              <w:rPr>
                <w:sz w:val="18"/>
                <w:lang w:val="ru-RU"/>
              </w:rPr>
            </w:pPr>
          </w:p>
        </w:tc>
        <w:tc>
          <w:tcPr>
            <w:tcW w:w="851" w:type="dxa"/>
            <w:tcBorders>
              <w:top w:val="nil"/>
              <w:left w:val="nil"/>
              <w:bottom w:val="nil"/>
              <w:right w:val="nil"/>
            </w:tcBorders>
            <w:vAlign w:val="bottom"/>
          </w:tcPr>
          <w:p w:rsidR="00000000" w:rsidRDefault="00000000">
            <w:pPr>
              <w:spacing w:before="40" w:after="40"/>
              <w:rPr>
                <w:sz w:val="18"/>
                <w:lang w:val="ru-RU"/>
              </w:rPr>
            </w:pPr>
          </w:p>
        </w:tc>
        <w:tc>
          <w:tcPr>
            <w:tcW w:w="851" w:type="dxa"/>
            <w:tcBorders>
              <w:top w:val="nil"/>
              <w:left w:val="nil"/>
              <w:bottom w:val="nil"/>
              <w:right w:val="nil"/>
            </w:tcBorders>
            <w:vAlign w:val="bottom"/>
          </w:tcPr>
          <w:p w:rsidR="00000000" w:rsidRDefault="00000000">
            <w:pPr>
              <w:spacing w:before="40" w:after="40"/>
              <w:rPr>
                <w:sz w:val="18"/>
                <w:lang w:val="ru-RU"/>
              </w:rPr>
            </w:pPr>
          </w:p>
        </w:tc>
        <w:tc>
          <w:tcPr>
            <w:tcW w:w="851" w:type="dxa"/>
            <w:tcBorders>
              <w:top w:val="nil"/>
              <w:left w:val="nil"/>
              <w:bottom w:val="nil"/>
              <w:right w:val="nil"/>
            </w:tcBorders>
            <w:vAlign w:val="bottom"/>
          </w:tcPr>
          <w:p w:rsidR="00000000" w:rsidRDefault="00000000">
            <w:pPr>
              <w:spacing w:before="40" w:after="40"/>
              <w:rPr>
                <w:sz w:val="18"/>
                <w:lang w:val="ru-RU"/>
              </w:rPr>
            </w:pPr>
          </w:p>
        </w:tc>
      </w:tr>
      <w:tr w:rsidR="00000000">
        <w:tblPrEx>
          <w:tblCellMar>
            <w:top w:w="0" w:type="dxa"/>
            <w:bottom w:w="0" w:type="dxa"/>
          </w:tblCellMar>
        </w:tblPrEx>
        <w:tc>
          <w:tcPr>
            <w:tcW w:w="5103"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left="57"/>
              <w:rPr>
                <w:i/>
                <w:sz w:val="18"/>
                <w:lang w:val="ru-RU"/>
              </w:rPr>
            </w:pPr>
            <w:r>
              <w:rPr>
                <w:i/>
                <w:sz w:val="18"/>
                <w:lang w:val="ru-RU"/>
              </w:rPr>
              <w:t>Взрослые</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501</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487</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477</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346</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737</w:t>
            </w:r>
          </w:p>
        </w:tc>
      </w:tr>
      <w:tr w:rsidR="00000000">
        <w:tblPrEx>
          <w:tblCellMar>
            <w:top w:w="0" w:type="dxa"/>
            <w:bottom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Базовое образование</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49</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1</w:t>
            </w:r>
          </w:p>
        </w:tc>
      </w:tr>
      <w:tr w:rsidR="00000000">
        <w:tblPrEx>
          <w:tblCellMar>
            <w:top w:w="0" w:type="dxa"/>
            <w:bottom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Среднее образование</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64</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62</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6</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w:t>
            </w:r>
          </w:p>
        </w:tc>
      </w:tr>
      <w:tr w:rsidR="00000000">
        <w:tblPrEx>
          <w:tblCellMar>
            <w:top w:w="0" w:type="dxa"/>
            <w:bottom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Начальный курс высшего образования</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305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299</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296</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287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228</w:t>
            </w:r>
          </w:p>
        </w:tc>
      </w:tr>
      <w:tr w:rsidR="00000000">
        <w:tblPrEx>
          <w:tblCellMar>
            <w:top w:w="0" w:type="dxa"/>
            <w:bottom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Курсы комплексного повышения образовательного уровня молодежи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rPr>
                <w:sz w:val="18"/>
                <w:lang w:val="ru-RU"/>
              </w:rPr>
            </w:pPr>
            <w:r>
              <w:rPr>
                <w:sz w:val="18"/>
                <w:lang w:val="ru-RU"/>
              </w:rPr>
              <w:t> </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rPr>
                <w:sz w:val="18"/>
                <w:lang w:val="ru-RU"/>
              </w:rPr>
            </w:pPr>
            <w:r>
              <w:rPr>
                <w:sz w:val="18"/>
                <w:lang w:val="ru-RU"/>
              </w:rPr>
              <w:t> </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rPr>
                <w:sz w:val="18"/>
                <w:lang w:val="ru-RU"/>
              </w:rPr>
            </w:pPr>
            <w:r>
              <w:rPr>
                <w:sz w:val="18"/>
                <w:lang w:val="ru-RU"/>
              </w:rPr>
              <w:t> </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rPr>
                <w:sz w:val="18"/>
                <w:lang w:val="ru-RU"/>
              </w:rPr>
            </w:pPr>
            <w:r>
              <w:rPr>
                <w:sz w:val="18"/>
                <w:lang w:val="ru-RU"/>
              </w:rPr>
              <w:t> </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514</w:t>
            </w:r>
          </w:p>
        </w:tc>
      </w:tr>
      <w:tr w:rsidR="00000000">
        <w:tblPrEx>
          <w:tblCellMar>
            <w:top w:w="0" w:type="dxa"/>
            <w:bottom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Языки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87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75</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74</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51</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27"/>
              <w:jc w:val="right"/>
              <w:rPr>
                <w:sz w:val="18"/>
                <w:lang w:val="ru-RU"/>
              </w:rPr>
            </w:pPr>
            <w:r>
              <w:rPr>
                <w:sz w:val="18"/>
                <w:lang w:val="ru-RU"/>
              </w:rPr>
              <w:t>46</w:t>
            </w:r>
          </w:p>
        </w:tc>
      </w:tr>
    </w:tbl>
    <w:p w:rsidR="00000000" w:rsidRDefault="00000000">
      <w:pPr>
        <w:tabs>
          <w:tab w:val="left" w:pos="7183"/>
          <w:tab w:val="left" w:pos="8012"/>
          <w:tab w:val="left" w:pos="9081"/>
          <w:tab w:val="left" w:pos="9910"/>
          <w:tab w:val="left" w:pos="10739"/>
          <w:tab w:val="left" w:pos="11568"/>
        </w:tabs>
        <w:spacing w:line="360" w:lineRule="auto"/>
        <w:rPr>
          <w:sz w:val="22"/>
          <w:lang w:val="ru-RU"/>
        </w:rPr>
      </w:pPr>
    </w:p>
    <w:p w:rsidR="00000000" w:rsidRDefault="00000000">
      <w:pPr>
        <w:tabs>
          <w:tab w:val="left" w:pos="7183"/>
          <w:tab w:val="left" w:pos="8012"/>
          <w:tab w:val="left" w:pos="9081"/>
          <w:tab w:val="left" w:pos="9910"/>
          <w:tab w:val="left" w:pos="10739"/>
          <w:tab w:val="left" w:pos="11568"/>
        </w:tabs>
        <w:spacing w:after="120"/>
        <w:rPr>
          <w:b/>
          <w:sz w:val="22"/>
          <w:lang w:val="ru-RU"/>
        </w:rPr>
      </w:pPr>
      <w:r>
        <w:rPr>
          <w:b/>
          <w:sz w:val="22"/>
          <w:lang w:val="ru-RU"/>
        </w:rPr>
        <w:t>ЧИСЛО УЧАЩИХСЯ</w:t>
      </w:r>
    </w:p>
    <w:tbl>
      <w:tblPr>
        <w:tblW w:w="0" w:type="auto"/>
        <w:tblInd w:w="38" w:type="dxa"/>
        <w:tblLayout w:type="fixed"/>
        <w:tblCellMar>
          <w:left w:w="0" w:type="dxa"/>
          <w:right w:w="0" w:type="dxa"/>
        </w:tblCellMar>
        <w:tblLook w:val="0000" w:firstRow="0" w:lastRow="0" w:firstColumn="0" w:lastColumn="0" w:noHBand="0" w:noVBand="0"/>
      </w:tblPr>
      <w:tblGrid>
        <w:gridCol w:w="5103"/>
        <w:gridCol w:w="851"/>
        <w:gridCol w:w="1134"/>
        <w:gridCol w:w="851"/>
      </w:tblGrid>
      <w:tr w:rsidR="00000000">
        <w:tblPrEx>
          <w:tblCellMar>
            <w:top w:w="0" w:type="dxa"/>
            <w:left w:w="0" w:type="dxa"/>
            <w:bottom w:w="0" w:type="dxa"/>
            <w:right w:w="0" w:type="dxa"/>
          </w:tblCellMar>
        </w:tblPrEx>
        <w:tc>
          <w:tcPr>
            <w:tcW w:w="5103" w:type="dxa"/>
            <w:tcBorders>
              <w:top w:val="single" w:sz="4" w:space="0" w:color="auto"/>
              <w:left w:val="single" w:sz="4" w:space="0" w:color="auto"/>
              <w:right w:val="single" w:sz="4" w:space="0" w:color="auto"/>
            </w:tcBorders>
            <w:vAlign w:val="bottom"/>
          </w:tcPr>
          <w:p w:rsidR="00000000" w:rsidRDefault="00000000">
            <w:pPr>
              <w:spacing w:before="80" w:after="80"/>
              <w:rPr>
                <w:sz w:val="18"/>
                <w:lang w:val="ru-RU"/>
              </w:rPr>
            </w:pPr>
            <w:r>
              <w:rPr>
                <w:sz w:val="18"/>
                <w:lang w:val="ru-RU"/>
              </w:rPr>
              <w:t> </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Всего</w:t>
            </w:r>
          </w:p>
        </w:tc>
        <w:tc>
          <w:tcPr>
            <w:tcW w:w="1134"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Женщин</w:t>
            </w:r>
          </w:p>
        </w:tc>
        <w:tc>
          <w:tcPr>
            <w:tcW w:w="851" w:type="dxa"/>
            <w:tcBorders>
              <w:top w:val="single" w:sz="4" w:space="0" w:color="auto"/>
              <w:left w:val="nil"/>
              <w:bottom w:val="single" w:sz="4" w:space="0" w:color="auto"/>
              <w:right w:val="single" w:sz="4" w:space="0" w:color="auto"/>
            </w:tcBorders>
            <w:vAlign w:val="bottom"/>
          </w:tcPr>
          <w:p w:rsidR="00000000" w:rsidRDefault="00000000">
            <w:pPr>
              <w:spacing w:before="80" w:after="80"/>
              <w:jc w:val="center"/>
              <w:rPr>
                <w:sz w:val="18"/>
                <w:lang w:val="ru-RU"/>
              </w:rPr>
            </w:pPr>
            <w:r>
              <w:rPr>
                <w:sz w:val="18"/>
                <w:lang w:val="ru-RU"/>
              </w:rPr>
              <w:t>%</w:t>
            </w:r>
          </w:p>
        </w:tc>
      </w:tr>
      <w:tr w:rsidR="00000000">
        <w:tblPrEx>
          <w:tblCellMar>
            <w:top w:w="0" w:type="dxa"/>
            <w:left w:w="0" w:type="dxa"/>
            <w:bottom w:w="0" w:type="dxa"/>
            <w:right w:w="0" w:type="dxa"/>
          </w:tblCellMar>
        </w:tblPrEx>
        <w:tc>
          <w:tcPr>
            <w:tcW w:w="5103" w:type="dxa"/>
            <w:tcBorders>
              <w:left w:val="single" w:sz="4" w:space="0" w:color="auto"/>
              <w:bottom w:val="single" w:sz="4" w:space="0" w:color="auto"/>
              <w:right w:val="single" w:sz="4" w:space="0" w:color="auto"/>
            </w:tcBorders>
            <w:vAlign w:val="bottom"/>
          </w:tcPr>
          <w:p w:rsidR="00000000" w:rsidRDefault="00000000">
            <w:pPr>
              <w:spacing w:before="80" w:after="80"/>
              <w:rPr>
                <w:sz w:val="18"/>
                <w:lang w:val="ru-RU"/>
              </w:rPr>
            </w:pPr>
            <w:r>
              <w:rPr>
                <w:sz w:val="18"/>
                <w:lang w:val="ru-RU"/>
              </w:rPr>
              <w:t> </w:t>
            </w:r>
          </w:p>
        </w:tc>
        <w:tc>
          <w:tcPr>
            <w:tcW w:w="851" w:type="dxa"/>
            <w:tcBorders>
              <w:top w:val="nil"/>
              <w:left w:val="nil"/>
              <w:bottom w:val="single" w:sz="4" w:space="0" w:color="auto"/>
              <w:right w:val="single" w:sz="4" w:space="0" w:color="auto"/>
            </w:tcBorders>
            <w:vAlign w:val="bottom"/>
          </w:tcPr>
          <w:p w:rsidR="00000000" w:rsidRDefault="00000000">
            <w:pPr>
              <w:spacing w:before="80" w:after="80"/>
              <w:ind w:right="170"/>
              <w:jc w:val="right"/>
              <w:rPr>
                <w:sz w:val="18"/>
                <w:lang w:val="ru-RU"/>
              </w:rPr>
            </w:pPr>
            <w:r>
              <w:rPr>
                <w:sz w:val="18"/>
                <w:lang w:val="ru-RU"/>
              </w:rPr>
              <w:t>203 929</w:t>
            </w:r>
          </w:p>
        </w:tc>
        <w:tc>
          <w:tcPr>
            <w:tcW w:w="1134" w:type="dxa"/>
            <w:tcBorders>
              <w:top w:val="nil"/>
              <w:left w:val="nil"/>
              <w:bottom w:val="single" w:sz="4" w:space="0" w:color="auto"/>
              <w:right w:val="single" w:sz="4" w:space="0" w:color="auto"/>
            </w:tcBorders>
            <w:vAlign w:val="bottom"/>
          </w:tcPr>
          <w:p w:rsidR="00000000" w:rsidRDefault="00000000">
            <w:pPr>
              <w:spacing w:before="80" w:after="80"/>
              <w:ind w:right="284"/>
              <w:jc w:val="right"/>
              <w:rPr>
                <w:sz w:val="18"/>
                <w:lang w:val="ru-RU"/>
              </w:rPr>
            </w:pPr>
            <w:r>
              <w:rPr>
                <w:sz w:val="18"/>
                <w:lang w:val="ru-RU"/>
              </w:rPr>
              <w:t>113 548</w:t>
            </w:r>
          </w:p>
        </w:tc>
        <w:tc>
          <w:tcPr>
            <w:tcW w:w="851" w:type="dxa"/>
            <w:tcBorders>
              <w:top w:val="nil"/>
              <w:left w:val="nil"/>
              <w:bottom w:val="single" w:sz="4" w:space="0" w:color="auto"/>
              <w:right w:val="single" w:sz="4" w:space="0" w:color="auto"/>
            </w:tcBorders>
            <w:vAlign w:val="bottom"/>
          </w:tcPr>
          <w:p w:rsidR="00000000" w:rsidRDefault="00000000">
            <w:pPr>
              <w:spacing w:before="80" w:after="80"/>
              <w:ind w:right="284"/>
              <w:jc w:val="right"/>
              <w:rPr>
                <w:sz w:val="18"/>
                <w:lang w:val="ru-RU"/>
              </w:rPr>
            </w:pPr>
            <w:r>
              <w:rPr>
                <w:sz w:val="18"/>
                <w:lang w:val="ru-RU"/>
              </w:rPr>
              <w:t>55,7</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Обучение грамоте</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1 229</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487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39,6</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Базовое образование</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9 145</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3 036</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33,2</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Среднее образование</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14 586</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6 520</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44,7</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Начальный курс высшего образования</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47 327</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28 417</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rPr>
                <w:sz w:val="18"/>
                <w:lang w:val="ru-RU"/>
              </w:rPr>
            </w:pPr>
            <w:r>
              <w:rPr>
                <w:sz w:val="18"/>
                <w:lang w:val="ru-RU"/>
              </w:rPr>
              <w:t xml:space="preserve">     60</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Курсы комплексного повышения образовательного уровня молодежи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119 575</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67</w:t>
            </w:r>
            <w:r>
              <w:rPr>
                <w:sz w:val="18"/>
                <w:lang w:val="en-US"/>
              </w:rPr>
              <w:t xml:space="preserve"> </w:t>
            </w:r>
            <w:r>
              <w:rPr>
                <w:sz w:val="18"/>
                <w:lang w:val="ru-RU"/>
              </w:rPr>
              <w:t>820</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56,7</w:t>
            </w:r>
          </w:p>
        </w:tc>
      </w:tr>
      <w:tr w:rsidR="00000000">
        <w:tblPrEx>
          <w:tblCellMar>
            <w:top w:w="0" w:type="dxa"/>
            <w:left w:w="0" w:type="dxa"/>
            <w:bottom w:w="0" w:type="dxa"/>
            <w:right w:w="0" w:type="dxa"/>
          </w:tblCellMar>
        </w:tblPrEx>
        <w:tc>
          <w:tcPr>
            <w:tcW w:w="5103" w:type="dxa"/>
            <w:tcBorders>
              <w:top w:val="nil"/>
              <w:left w:val="single" w:sz="4" w:space="0" w:color="auto"/>
              <w:bottom w:val="single" w:sz="4" w:space="0" w:color="auto"/>
              <w:right w:val="single" w:sz="4" w:space="0" w:color="auto"/>
            </w:tcBorders>
            <w:vAlign w:val="bottom"/>
          </w:tcPr>
          <w:p w:rsidR="00000000" w:rsidRDefault="00000000">
            <w:pPr>
              <w:spacing w:before="40" w:after="40"/>
              <w:ind w:left="57"/>
              <w:rPr>
                <w:sz w:val="18"/>
                <w:lang w:val="ru-RU"/>
              </w:rPr>
            </w:pPr>
            <w:r>
              <w:rPr>
                <w:sz w:val="18"/>
                <w:lang w:val="ru-RU"/>
              </w:rPr>
              <w:t>Языки</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170"/>
              <w:jc w:val="right"/>
              <w:rPr>
                <w:sz w:val="18"/>
                <w:lang w:val="ru-RU"/>
              </w:rPr>
            </w:pPr>
            <w:r>
              <w:rPr>
                <w:sz w:val="18"/>
                <w:lang w:val="ru-RU"/>
              </w:rPr>
              <w:t>12</w:t>
            </w:r>
            <w:r>
              <w:rPr>
                <w:sz w:val="18"/>
                <w:lang w:val="en-US"/>
              </w:rPr>
              <w:t xml:space="preserve"> </w:t>
            </w:r>
            <w:r>
              <w:rPr>
                <w:sz w:val="18"/>
                <w:lang w:val="ru-RU"/>
              </w:rPr>
              <w:t>067</w:t>
            </w:r>
          </w:p>
        </w:tc>
        <w:tc>
          <w:tcPr>
            <w:tcW w:w="1134"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7</w:t>
            </w:r>
            <w:r>
              <w:rPr>
                <w:sz w:val="18"/>
                <w:lang w:val="en-US"/>
              </w:rPr>
              <w:t xml:space="preserve"> </w:t>
            </w:r>
            <w:r>
              <w:rPr>
                <w:sz w:val="18"/>
                <w:lang w:val="ru-RU"/>
              </w:rPr>
              <w:t>268</w:t>
            </w:r>
          </w:p>
        </w:tc>
        <w:tc>
          <w:tcPr>
            <w:tcW w:w="851" w:type="dxa"/>
            <w:tcBorders>
              <w:top w:val="nil"/>
              <w:left w:val="nil"/>
              <w:bottom w:val="single" w:sz="4" w:space="0" w:color="auto"/>
              <w:right w:val="single" w:sz="4" w:space="0" w:color="auto"/>
            </w:tcBorders>
            <w:vAlign w:val="bottom"/>
          </w:tcPr>
          <w:p w:rsidR="00000000" w:rsidRDefault="00000000">
            <w:pPr>
              <w:spacing w:before="40" w:after="40"/>
              <w:ind w:right="284"/>
              <w:jc w:val="right"/>
              <w:rPr>
                <w:sz w:val="18"/>
                <w:lang w:val="ru-RU"/>
              </w:rPr>
            </w:pPr>
            <w:r>
              <w:rPr>
                <w:sz w:val="18"/>
                <w:lang w:val="ru-RU"/>
              </w:rPr>
              <w:t>60,2</w:t>
            </w:r>
          </w:p>
        </w:tc>
      </w:tr>
    </w:tbl>
    <w:p w:rsidR="00000000" w:rsidRDefault="00000000">
      <w:pPr>
        <w:pStyle w:val="BodyText"/>
      </w:pPr>
    </w:p>
    <w:sectPr w:rsidR="00000000">
      <w:footerReference w:type="default" r:id="rId16"/>
      <w:pgSz w:w="15840" w:h="12240" w:orient="landscape" w:code="1"/>
      <w:pgMar w:top="851" w:right="1021" w:bottom="851" w:left="1021" w:header="561" w:footer="561"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yana Nikitina" w:initials="TN">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t>&lt;&lt;ODS JOB NO&gt;&gt;N0566937R&lt;&lt;ODS JOB NO&gt;&gt;</w:t>
      </w:r>
    </w:p>
    <w:p w:rsidR="00000000" w:rsidRDefault="00000000">
      <w:pPr>
        <w:pStyle w:val="CommentText"/>
      </w:pPr>
      <w:r>
        <w:t>&lt;&lt;ODS DOC SYMBOL1&gt;&gt;CEDAW/C/CUB/5-6&lt;&lt;ODS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rPr>
        <w:lang w:val="ru-RU"/>
      </w:rPr>
    </w:pPr>
    <w:r>
      <w:rPr>
        <w:noProof/>
      </w:rPr>
      <w:pict>
        <v:shapetype id="_x0000_t202" coordsize="21600,21600" o:spt="202" path="m,l,21600r21600,l21600,xe">
          <v:stroke joinstyle="miter"/>
          <v:path gradientshapeok="t" o:connecttype="rect"/>
        </v:shapetype>
        <v:shape id="_x0000_s2050" type="#_x0000_t202" style="position:absolute;margin-left:-.85pt;margin-top:731.45pt;width:324pt;height:33.25pt;z-index:1;mso-position-horizontal:absolute;mso-position-horizontal-relative:text;mso-position-vertical:absolute;mso-position-vertical-relative:page" o:allowincell="f" stroked="f">
          <v:textbox style="mso-next-textbox:#_x0000_s2050" inset="0,0,0,0">
            <w:txbxContent>
              <w:p w:rsidR="00000000" w:rsidRDefault="00000000">
                <w:pPr>
                  <w:pStyle w:val="Footer"/>
                </w:pPr>
                <w:r>
                  <w:t>05-66937 (R)    060406    060406</w:t>
                </w:r>
              </w:p>
              <w:p w:rsidR="00000000" w:rsidRDefault="00000000">
                <w:pPr>
                  <w:pStyle w:val="Footer"/>
                  <w:spacing w:before="120" w:line="240" w:lineRule="exact"/>
                  <w:rPr>
                    <w:rFonts w:ascii="Barcode 3 of 9 by request" w:hAnsi="Barcode 3 of 9 by request"/>
                    <w:spacing w:val="4"/>
                    <w:w w:val="103"/>
                    <w:sz w:val="24"/>
                  </w:rPr>
                </w:pPr>
                <w:r>
                  <w:rPr>
                    <w:rFonts w:ascii="Barcode 3 of 9 by request" w:hAnsi="Barcode 3 of 9 by request"/>
                    <w:spacing w:val="4"/>
                    <w:w w:val="103"/>
                    <w:sz w:val="24"/>
                  </w:rPr>
                  <w:t>*0566937*</w:t>
                </w:r>
              </w:p>
              <w:p w:rsidR="00000000" w:rsidRDefault="00000000"/>
            </w:txbxContent>
          </v:textbox>
          <w10:wrap anchory="page"/>
        </v:shape>
      </w:pict>
    </w:r>
  </w:p>
  <w:p w:rsidR="00000000" w:rsidRDefault="00000000">
    <w:pPr>
      <w:pStyle w:val="Footer"/>
      <w:rPr>
        <w:lang w:val="ru-RU"/>
      </w:rPr>
    </w:pPr>
    <w:r>
      <w:rPr>
        <w:lang w:val="ru-RU"/>
      </w:rPr>
      <w:t>05</w:t>
    </w:r>
    <w:r>
      <w:t>-</w:t>
    </w:r>
    <w:r>
      <w:rPr>
        <w:lang w:val="ru-RU"/>
      </w:rPr>
      <w:t>66937.</w:t>
    </w:r>
    <w:r>
      <w:rPr>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116</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20"/>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vertAlign w:val="baseline"/>
        </w:rPr>
        <w:t>*</w:t>
      </w:r>
      <w:r>
        <w:tab/>
        <w:t>Настоящий д</w:t>
      </w:r>
      <w:r>
        <w:rPr>
          <w:lang w:val="ru-RU"/>
        </w:rPr>
        <w:t>оклад</w:t>
      </w:r>
      <w:r>
        <w:t xml:space="preserve"> издается без официального редактирования.</w:t>
      </w:r>
    </w:p>
    <w:p w:rsidR="00000000" w:rsidRDefault="00000000">
      <w:pPr>
        <w:pStyle w:val="FootnoteText"/>
        <w:rPr>
          <w:rStyle w:val="FootnoteReference"/>
          <w:vertAlign w:val="baseline"/>
          <w:lang w:val="ru-RU"/>
        </w:rPr>
      </w:pPr>
      <w:r>
        <w:tab/>
      </w:r>
      <w:r>
        <w:rPr>
          <w:lang w:val="ru-RU"/>
        </w:rPr>
        <w:t>Первоначальный периодический доклад, представленный правительством Кубы, см. в документе</w:t>
      </w:r>
      <w:r>
        <w:t> CEDAW</w:t>
      </w:r>
      <w:r>
        <w:rPr>
          <w:lang w:val="ru-RU"/>
        </w:rPr>
        <w:t>/</w:t>
      </w:r>
      <w:r>
        <w:t>C</w:t>
      </w:r>
      <w:r>
        <w:rPr>
          <w:lang w:val="ru-RU"/>
        </w:rPr>
        <w:t>/5/Add.4, который был рассмотрен Комитетом на его второй сессии. Объединенные второй и третий периодические доклады, представленные правительством Кубы, см. в документе</w:t>
      </w:r>
      <w:r>
        <w:t> CEDAW</w:t>
      </w:r>
      <w:r>
        <w:rPr>
          <w:lang w:val="ru-RU"/>
        </w:rPr>
        <w:t>/</w:t>
      </w:r>
      <w:r>
        <w:t>C</w:t>
      </w:r>
      <w:r>
        <w:rPr>
          <w:lang w:val="ru-RU"/>
        </w:rPr>
        <w:t>/</w:t>
      </w:r>
      <w:r>
        <w:rPr>
          <w:lang w:val="en-US"/>
        </w:rPr>
        <w:t>CUB</w:t>
      </w:r>
      <w:r>
        <w:rPr>
          <w:lang w:val="ru-RU"/>
        </w:rPr>
        <w:t xml:space="preserve">/2-3 и </w:t>
      </w:r>
      <w:r>
        <w:rPr>
          <w:lang w:val="en-US"/>
        </w:rPr>
        <w:t>Add</w:t>
      </w:r>
      <w:r>
        <w:rPr>
          <w:lang w:val="ru-RU"/>
        </w:rPr>
        <w:t>. 1, который был рассмотрен Комитетом на его пятнадцатой сессии. Четвертый периодический доклад, представленный правительством Кубы, см. в документе</w:t>
      </w:r>
      <w:r>
        <w:t> CEDAW</w:t>
      </w:r>
      <w:r>
        <w:rPr>
          <w:lang w:val="ru-RU"/>
        </w:rPr>
        <w:t>/</w:t>
      </w:r>
      <w:r>
        <w:t>C</w:t>
      </w:r>
      <w:r>
        <w:rPr>
          <w:lang w:val="ru-RU"/>
        </w:rPr>
        <w:t>/</w:t>
      </w:r>
      <w:r>
        <w:rPr>
          <w:lang w:val="en-US"/>
        </w:rPr>
        <w:t>CUB</w:t>
      </w:r>
      <w:r>
        <w:rPr>
          <w:lang w:val="ru-RU"/>
        </w:rPr>
        <w:t>/4, который был рассмотрен Комитетом на его двадцать третьей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1FC2F94"/>
    <w:lvl w:ilvl="0">
      <w:start w:val="1"/>
      <w:numFmt w:val="bullet"/>
      <w:pStyle w:val="ListBullet"/>
      <w:lvlText w:val=""/>
      <w:lvlJc w:val="left"/>
      <w:pPr>
        <w:tabs>
          <w:tab w:val="num" w:pos="907"/>
        </w:tabs>
        <w:ind w:left="907" w:hanging="340"/>
      </w:pPr>
      <w:rPr>
        <w:rFonts w:ascii="Symbol" w:hAnsi="Symbol" w:hint="default"/>
        <w:b w:val="0"/>
        <w:i w:val="0"/>
        <w:sz w:val="22"/>
        <w:szCs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ctiveWritingStyle w:appName="MSWord" w:lang="ru-RU" w:vendorID="1" w:dllVersion="512" w:checkStyle="1"/>
  <w:doNotTrackMoves/>
  <w:defaultTabStop w:val="34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fr-FR"/>
    </w:rPr>
  </w:style>
  <w:style w:type="paragraph" w:styleId="Heading1">
    <w:name w:val="heading 1"/>
    <w:basedOn w:val="Normal"/>
    <w:next w:val="Normal"/>
    <w:qFormat/>
    <w:pPr>
      <w:keepNext/>
      <w:spacing w:before="120" w:after="240"/>
      <w:jc w:val="center"/>
      <w:outlineLvl w:val="0"/>
    </w:pPr>
    <w:rPr>
      <w:b/>
      <w:sz w:val="24"/>
      <w:szCs w:val="24"/>
    </w:rPr>
  </w:style>
  <w:style w:type="paragraph" w:styleId="Heading2">
    <w:name w:val="heading 2"/>
    <w:basedOn w:val="Normal"/>
    <w:next w:val="Normal"/>
    <w:qFormat/>
    <w:pPr>
      <w:tabs>
        <w:tab w:val="left" w:pos="680"/>
      </w:tabs>
      <w:spacing w:after="240"/>
      <w:jc w:val="center"/>
      <w:outlineLvl w:val="1"/>
    </w:pPr>
    <w:rPr>
      <w:b/>
      <w:sz w:val="22"/>
      <w:szCs w:val="24"/>
      <w:lang w:val="ru-RU"/>
    </w:rPr>
  </w:style>
  <w:style w:type="paragraph" w:styleId="Heading3">
    <w:name w:val="heading 3"/>
    <w:basedOn w:val="Normal"/>
    <w:next w:val="Normal"/>
    <w:qFormat/>
    <w:pPr>
      <w:keepNext/>
      <w:tabs>
        <w:tab w:val="left" w:pos="340"/>
      </w:tabs>
      <w:spacing w:after="240"/>
      <w:ind w:left="340" w:hanging="340"/>
      <w:outlineLvl w:val="2"/>
    </w:pPr>
    <w:rPr>
      <w:b/>
      <w:sz w:val="22"/>
      <w:lang w:val="ru-RU"/>
    </w:rPr>
  </w:style>
  <w:style w:type="paragraph" w:styleId="Heading4">
    <w:name w:val="heading 4"/>
    <w:basedOn w:val="Normal"/>
    <w:next w:val="Normal"/>
    <w:qFormat/>
    <w:pPr>
      <w:keepNext/>
      <w:spacing w:after="240" w:line="260" w:lineRule="exact"/>
      <w:outlineLvl w:val="3"/>
    </w:pPr>
    <w:rPr>
      <w:sz w:val="22"/>
      <w:u w:val="single"/>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tabs>
        <w:tab w:val="left" w:pos="340"/>
        <w:tab w:val="left" w:pos="680"/>
      </w:tabs>
      <w:spacing w:before="240"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tabs>
        <w:tab w:val="left" w:pos="567"/>
        <w:tab w:val="left" w:pos="907"/>
      </w:tabs>
      <w:spacing w:after="240"/>
      <w:ind w:left="567" w:hanging="567"/>
      <w:jc w:val="both"/>
    </w:pPr>
    <w:rPr>
      <w:sz w:val="22"/>
      <w:lang w:val="ru-RU"/>
    </w:rPr>
  </w:style>
  <w:style w:type="paragraph" w:styleId="Title">
    <w:name w:val="Title"/>
    <w:basedOn w:val="Normal"/>
    <w:qFormat/>
    <w:pPr>
      <w:jc w:val="center"/>
    </w:pPr>
    <w:rPr>
      <w:b/>
      <w:sz w:val="72"/>
    </w:rPr>
  </w:style>
  <w:style w:type="paragraph" w:styleId="BodyText2">
    <w:name w:val="Body Text 2"/>
    <w:basedOn w:val="Normal"/>
    <w:semiHidden/>
    <w:pPr>
      <w:jc w:val="both"/>
    </w:pPr>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tabs>
        <w:tab w:val="left" w:pos="567"/>
      </w:tabs>
      <w:spacing w:after="120"/>
    </w:pPr>
  </w:style>
  <w:style w:type="character" w:styleId="FootnoteReference">
    <w:name w:val="footnote reference"/>
    <w:semiHidden/>
    <w:rPr>
      <w:vertAlign w:val="superscript"/>
    </w:rPr>
  </w:style>
  <w:style w:type="paragraph" w:customStyle="1" w:styleId="a">
    <w:name w:val="заг. указ. литературы"/>
    <w:basedOn w:val="Normal"/>
    <w:pPr>
      <w:tabs>
        <w:tab w:val="left" w:pos="9000"/>
        <w:tab w:val="right" w:pos="9360"/>
      </w:tabs>
      <w:suppressAutoHyphens/>
      <w:spacing w:before="240"/>
      <w:jc w:val="both"/>
    </w:pPr>
    <w:rPr>
      <w:rFonts w:ascii="TMS Roman 12pt" w:hAnsi="TMS Roman 12pt"/>
      <w:sz w:val="22"/>
      <w:lang w:val="en-US" w:eastAsia="ru-RU"/>
    </w:rPr>
  </w:style>
  <w:style w:type="paragraph" w:styleId="BodyTextIndent">
    <w:name w:val="Body Text Indent"/>
    <w:basedOn w:val="Normal"/>
    <w:semiHidden/>
    <w:pPr>
      <w:tabs>
        <w:tab w:val="left" w:pos="567"/>
        <w:tab w:val="left" w:pos="1021"/>
      </w:tabs>
      <w:spacing w:after="240"/>
      <w:ind w:left="907" w:hanging="340"/>
      <w:jc w:val="both"/>
    </w:pPr>
    <w:rPr>
      <w:sz w:val="22"/>
    </w:rPr>
  </w:style>
  <w:style w:type="paragraph" w:styleId="BodyTextIndent2">
    <w:name w:val="Body Text Indent 2"/>
    <w:basedOn w:val="Normal"/>
    <w:semiHidden/>
    <w:pPr>
      <w:tabs>
        <w:tab w:val="left" w:pos="284"/>
        <w:tab w:val="left" w:pos="567"/>
      </w:tabs>
      <w:spacing w:after="240"/>
      <w:ind w:left="1361" w:hanging="454"/>
      <w:jc w:val="both"/>
    </w:pPr>
    <w:rPr>
      <w:sz w:val="22"/>
      <w:lang w:val="ru-RU"/>
    </w:rPr>
  </w:style>
  <w:style w:type="character" w:customStyle="1" w:styleId="EquationCaption">
    <w:name w:val="_Equation Caption"/>
  </w:style>
  <w:style w:type="paragraph" w:styleId="BodyTextIndent3">
    <w:name w:val="Body Text Indent 3"/>
    <w:basedOn w:val="Normal"/>
    <w:semiHidden/>
    <w:pPr>
      <w:ind w:firstLine="708"/>
      <w:jc w:val="both"/>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pPr>
      <w:overflowPunct w:val="0"/>
      <w:autoSpaceDE w:val="0"/>
      <w:autoSpaceDN w:val="0"/>
      <w:adjustRightInd w:val="0"/>
      <w:textAlignment w:val="baseline"/>
    </w:pPr>
    <w:rPr>
      <w:lang w:val="ru-RU" w:eastAsia="ru-RU"/>
    </w:rPr>
  </w:style>
  <w:style w:type="paragraph" w:customStyle="1" w:styleId="1">
    <w:name w:val="Стиль1"/>
    <w:basedOn w:val="a0"/>
  </w:style>
  <w:style w:type="paragraph" w:customStyle="1" w:styleId="10">
    <w:name w:val="оглавление 1"/>
    <w:basedOn w:val="Normal"/>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pPr>
      <w:suppressAutoHyphens/>
      <w:ind w:left="720" w:hanging="720"/>
    </w:pPr>
    <w:rPr>
      <w:rFonts w:ascii="TMS Roman 12pt" w:hAnsi="TMS Roman 12pt"/>
      <w:sz w:val="24"/>
      <w:lang w:val="en-US" w:eastAsia="ru-RU"/>
    </w:rPr>
  </w:style>
  <w:style w:type="paragraph" w:customStyle="1" w:styleId="8">
    <w:name w:val="оглавление 8"/>
    <w:basedOn w:val="Normal"/>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spacing w:before="240"/>
      <w:jc w:val="both"/>
    </w:pPr>
    <w:rPr>
      <w:b/>
      <w:bCs/>
      <w:spacing w:val="-3"/>
      <w:sz w:val="22"/>
      <w:lang w:val="ru-RU" w:eastAsia="ru-RU"/>
    </w:rPr>
  </w:style>
  <w:style w:type="paragraph" w:customStyle="1" w:styleId="a1">
    <w:name w:val="название"/>
    <w:basedOn w:val="Normal"/>
    <w:rPr>
      <w:rFonts w:ascii="TMS Roman 12pt" w:hAnsi="TMS Roman 12pt"/>
      <w:sz w:val="24"/>
      <w:lang w:val="ru-RU" w:eastAsia="ru-RU"/>
    </w:rPr>
  </w:style>
  <w:style w:type="paragraph" w:styleId="DocumentMap">
    <w:name w:val="Document Map"/>
    <w:basedOn w:val="Normal"/>
    <w:semiHidden/>
    <w:pPr>
      <w:shd w:val="clear" w:color="auto" w:fill="000080"/>
      <w:spacing w:before="240"/>
      <w:jc w:val="both"/>
    </w:pPr>
    <w:rPr>
      <w:rFonts w:ascii="Tahoma" w:hAnsi="Tahoma" w:cs="TMS Roman 12pt"/>
      <w:sz w:val="22"/>
      <w:lang w:val="ru-RU" w:eastAsia="ru-RU"/>
    </w:rPr>
  </w:style>
  <w:style w:type="character" w:styleId="Hyperlink">
    <w:name w:val="Hyperlink"/>
    <w:semiHidden/>
    <w:rPr>
      <w:color w:val="0000FF"/>
      <w:u w:val="none"/>
    </w:rPr>
  </w:style>
  <w:style w:type="paragraph" w:customStyle="1" w:styleId="-">
    <w:name w:val="Табл.-заг"/>
    <w:basedOn w:val="BodyText"/>
    <w:pPr>
      <w:jc w:val="center"/>
    </w:pPr>
    <w:rPr>
      <w:b/>
      <w:bCs/>
      <w:szCs w:val="28"/>
    </w:rPr>
  </w:style>
  <w:style w:type="paragraph" w:customStyle="1" w:styleId="-0">
    <w:name w:val="Табл-шапка"/>
    <w:basedOn w:val="BodyText"/>
    <w:pPr>
      <w:spacing w:before="80" w:after="80"/>
      <w:jc w:val="center"/>
    </w:pPr>
    <w:rPr>
      <w:b/>
      <w:bCs/>
      <w:sz w:val="20"/>
      <w:lang w:val="en-US"/>
    </w:rPr>
  </w:style>
  <w:style w:type="paragraph" w:customStyle="1" w:styleId="a2">
    <w:name w:val="Источник"/>
    <w:basedOn w:val="BodyText"/>
    <w:rPr>
      <w:i/>
      <w:sz w:val="20"/>
    </w:rPr>
  </w:style>
  <w:style w:type="paragraph" w:customStyle="1" w:styleId="Table-text">
    <w:name w:val="Table-text"/>
    <w:basedOn w:val="BodyText"/>
    <w:pPr>
      <w:spacing w:before="20" w:after="20"/>
      <w:jc w:val="left"/>
    </w:pPr>
    <w:rPr>
      <w:sz w:val="18"/>
    </w:rPr>
  </w:style>
  <w:style w:type="paragraph" w:customStyle="1" w:styleId="a3">
    <w:name w:val="Текст в рамке"/>
    <w:basedOn w:val="BodyText"/>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customStyle="1" w:styleId="a4">
    <w:name w:val="Текст ТАБЛ"/>
    <w:basedOn w:val="BodyText"/>
    <w:pPr>
      <w:spacing w:after="0" w:line="240" w:lineRule="exact"/>
    </w:pPr>
    <w:rPr>
      <w:sz w:val="20"/>
    </w:rPr>
  </w:style>
  <w:style w:type="paragraph" w:customStyle="1" w:styleId="-1">
    <w:name w:val="Табл-Источник"/>
    <w:basedOn w:val="BodyText"/>
    <w:pPr>
      <w:spacing w:before="120" w:after="0" w:line="240" w:lineRule="exact"/>
    </w:pPr>
    <w:rPr>
      <w:sz w:val="20"/>
    </w:rPr>
  </w:style>
  <w:style w:type="paragraph" w:customStyle="1" w:styleId="--">
    <w:name w:val="Табл-Ист-Добавления"/>
    <w:basedOn w:val="-1"/>
    <w:pPr>
      <w:tabs>
        <w:tab w:val="left" w:pos="284"/>
      </w:tabs>
      <w:spacing w:before="40" w:line="240" w:lineRule="auto"/>
    </w:pPr>
    <w:rPr>
      <w:sz w:val="16"/>
    </w:rPr>
  </w:style>
  <w:style w:type="paragraph" w:styleId="PlainText">
    <w:name w:val="Plain Text"/>
    <w:basedOn w:val="Normal"/>
    <w:semiHidden/>
    <w:pPr>
      <w:spacing w:line="480" w:lineRule="auto"/>
    </w:pPr>
    <w:rPr>
      <w:rFonts w:ascii="Courier New" w:hAnsi="Courier New" w:cs="Tahoma"/>
      <w:b/>
      <w:bCs/>
      <w:lang w:val="ru-RU" w:eastAsia="ru-RU"/>
    </w:rPr>
  </w:style>
  <w:style w:type="paragraph" w:customStyle="1" w:styleId="Web">
    <w:name w:val="Обычный (Web)"/>
    <w:basedOn w:val="Normal"/>
    <w:pPr>
      <w:spacing w:before="100" w:beforeAutospacing="1" w:after="100" w:afterAutospacing="1" w:line="480" w:lineRule="auto"/>
    </w:pPr>
    <w:rPr>
      <w:b/>
      <w:bCs/>
      <w:sz w:val="24"/>
      <w:szCs w:val="24"/>
      <w:lang w:val="ru-RU" w:eastAsia="ru-RU"/>
    </w:rPr>
  </w:style>
  <w:style w:type="paragraph" w:styleId="ListBullet">
    <w:name w:val="List Bullet"/>
    <w:basedOn w:val="Normal"/>
    <w:semiHidden/>
    <w:pPr>
      <w:numPr>
        <w:numId w:val="1"/>
      </w:numPr>
      <w:tabs>
        <w:tab w:val="left" w:pos="567"/>
      </w:tabs>
      <w:spacing w:after="160"/>
    </w:pPr>
    <w:rPr>
      <w:sz w:val="22"/>
    </w:rPr>
  </w:style>
  <w:style w:type="paragraph" w:styleId="TOC4">
    <w:name w:val="toc 4"/>
    <w:basedOn w:val="Normal"/>
    <w:next w:val="Normal"/>
    <w:autoRedefine/>
    <w:semiHidden/>
    <w:pPr>
      <w:ind w:left="600"/>
    </w:pPr>
  </w:style>
  <w:style w:type="paragraph" w:styleId="TOC1">
    <w:name w:val="toc 1"/>
    <w:basedOn w:val="Normal"/>
    <w:next w:val="Normal"/>
    <w:autoRedefine/>
    <w:semiHidden/>
    <w:pPr>
      <w:tabs>
        <w:tab w:val="left" w:pos="567"/>
        <w:tab w:val="left" w:pos="1134"/>
        <w:tab w:val="left" w:leader="dot" w:pos="8789"/>
        <w:tab w:val="right" w:pos="9356"/>
      </w:tabs>
      <w:spacing w:after="120"/>
    </w:pPr>
    <w:rPr>
      <w:noProof/>
      <w:sz w:val="22"/>
      <w:szCs w:val="22"/>
      <w:lang w:val="ru-RU"/>
    </w:rPr>
  </w:style>
  <w:style w:type="paragraph" w:styleId="TOC2">
    <w:name w:val="toc 2"/>
    <w:basedOn w:val="Normal"/>
    <w:next w:val="Normal"/>
    <w:autoRedefine/>
    <w:semiHidden/>
    <w:pPr>
      <w:tabs>
        <w:tab w:val="left" w:pos="567"/>
        <w:tab w:val="left" w:pos="1134"/>
        <w:tab w:val="left" w:leader="dot" w:pos="8789"/>
        <w:tab w:val="right" w:pos="9356"/>
      </w:tabs>
      <w:spacing w:after="240"/>
      <w:ind w:left="1474" w:hanging="907"/>
    </w:pPr>
    <w:rPr>
      <w:noProof/>
      <w:sz w:val="22"/>
      <w:szCs w:val="22"/>
      <w:lang w:val="ru-RU"/>
    </w:rPr>
  </w:style>
  <w:style w:type="paragraph" w:styleId="TOC3">
    <w:name w:val="toc 3"/>
    <w:basedOn w:val="Normal"/>
    <w:next w:val="Normal"/>
    <w:autoRedefine/>
    <w:semiHidden/>
    <w:pPr>
      <w:tabs>
        <w:tab w:val="left" w:pos="567"/>
        <w:tab w:val="left" w:pos="1134"/>
        <w:tab w:val="left" w:leader="dot" w:pos="8789"/>
        <w:tab w:val="right" w:pos="9356"/>
      </w:tabs>
      <w:spacing w:after="120"/>
    </w:pPr>
    <w:rPr>
      <w:sz w:val="22"/>
      <w:szCs w:val="22"/>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extodeglobo">
    <w:name w:val="Texto de globo"/>
    <w:basedOn w:val="Normal"/>
    <w:semiHidden/>
    <w:rPr>
      <w:rFonts w:ascii="Tahoma" w:hAnsi="Tahoma" w:cs="TMS Roman 12pt"/>
      <w:sz w:val="16"/>
      <w:szCs w:val="16"/>
      <w:lang w:val="es-ES" w:eastAsia="es-ES"/>
    </w:rPr>
  </w:style>
  <w:style w:type="character" w:styleId="CommentReference">
    <w:name w:val="annotation reference"/>
    <w:semiHidden/>
    <w:rPr>
      <w:sz w:val="16"/>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46680</Words>
  <Characters>266080</Characters>
  <Application>Microsoft Office Word</Application>
  <DocSecurity>4</DocSecurity>
  <Lines>2217</Lines>
  <Paragraphs>532</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326764</CharactersWithSpaces>
  <SharedDoc>false</SharedDoc>
  <HLinks>
    <vt:vector size="6" baseType="variant">
      <vt:variant>
        <vt:i4>8257630</vt:i4>
      </vt:variant>
      <vt:variant>
        <vt:i4>1128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Tatyana Nikitina</cp:lastModifiedBy>
  <cp:revision>4</cp:revision>
  <cp:lastPrinted>2006-04-06T08:27:00Z</cp:lastPrinted>
  <dcterms:created xsi:type="dcterms:W3CDTF">2006-04-06T08:25:00Z</dcterms:created>
  <dcterms:modified xsi:type="dcterms:W3CDTF">2006-04-06T14:51:00Z</dcterms:modified>
</cp:coreProperties>
</file>