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 в</w:t>
      </w:r>
      <w:r>
        <w:br/>
        <w:t>отношении женщин</w:t>
      </w:r>
    </w:p>
    <w:p w:rsidR="00000000" w:rsidRDefault="00000000">
      <w:pPr>
        <w:pStyle w:val="H23"/>
      </w:pPr>
      <w:r>
        <w:t>Двадцать вторая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449-м заседании,</w:t>
      </w:r>
    </w:p>
    <w:p w:rsidR="00000000" w:rsidRDefault="00000000">
      <w:r>
        <w:t>состоявшемся в Центральных учреждениях, Нью-Йорк, в четверг, 20 января 2000 года, в 15 ч. 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г-жа Гонсалес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jc w:val="left"/>
      </w:pPr>
      <w:r>
        <w:t>Рассмотрение докладов, представленных государствами-участниками</w:t>
      </w:r>
      <w:r>
        <w:br/>
        <w:t>во и</w:t>
      </w:r>
      <w:r>
        <w:t>с</w:t>
      </w:r>
      <w:r>
        <w:t>полнение статьи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rPr>
          <w:i/>
        </w:rPr>
      </w:pPr>
      <w:r>
        <w:tab/>
      </w:r>
      <w:r>
        <w:rPr>
          <w:i/>
        </w:rPr>
        <w:t>Первоначальный и второй доклады Иордании</w:t>
      </w:r>
      <w:r>
        <w:t xml:space="preserve"> (</w:t>
      </w:r>
      <w:r>
        <w:rPr>
          <w:i/>
        </w:rPr>
        <w:t>продолж</w:t>
      </w:r>
      <w:r>
        <w:rPr>
          <w:i/>
        </w:rPr>
        <w:t>е</w:t>
      </w:r>
      <w:r>
        <w:rPr>
          <w:i/>
        </w:rPr>
        <w:t>ние</w:t>
      </w:r>
      <w:r>
        <w:t>)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15 ч. 00 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во исполнение статьи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Первоначальный и второй доклады Иордании </w:t>
      </w:r>
      <w:r>
        <w:rPr>
          <w:i w:val="0"/>
        </w:rPr>
        <w:t>(CEDAW/C/JOR/1 и 2) (</w:t>
      </w:r>
      <w:r>
        <w:t>продолжение</w:t>
      </w:r>
      <w:r>
        <w:rPr>
          <w:i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г</w:t>
      </w:r>
      <w:r>
        <w:noBreakHyphen/>
        <w:t>жа Саббах (Иордания) занимает место за ст</w:t>
      </w:r>
      <w:r>
        <w:t>о</w:t>
      </w:r>
      <w:r>
        <w:t>лом Комитета.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7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Г-жа Феррер</w:t>
      </w:r>
      <w:r>
        <w:t xml:space="preserve"> отмечает, что в 1993 году в р</w:t>
      </w:r>
      <w:r>
        <w:t>е</w:t>
      </w:r>
      <w:r>
        <w:t>зультате инициативы председателя Иорданского н</w:t>
      </w:r>
      <w:r>
        <w:t>а</w:t>
      </w:r>
      <w:r>
        <w:t>ционального комитета по делам женщин принцессы Басмы Бинт Талаль на выборах в городские советы победило 10 женщин. В 1999 году, согласно инфо</w:t>
      </w:r>
      <w:r>
        <w:t>р</w:t>
      </w:r>
      <w:r>
        <w:t>мации, полученной утром, в числе кандидатов было 35 женщин, и восемь из них были избраны предс</w:t>
      </w:r>
      <w:r>
        <w:t>е</w:t>
      </w:r>
      <w:r>
        <w:t>дателями своих городских советов. Первые 10 и</w:t>
      </w:r>
      <w:r>
        <w:t>з</w:t>
      </w:r>
      <w:r>
        <w:t>бранных женщин, безусловно, доказали свою ко</w:t>
      </w:r>
      <w:r>
        <w:t>м</w:t>
      </w:r>
      <w:r>
        <w:t>петентность; с учетом этой успешной инициативы оратор приветствовала бы любую дальнейшую и</w:t>
      </w:r>
      <w:r>
        <w:t>н</w:t>
      </w:r>
      <w:r>
        <w:t>формацию, которая может быть представлена, кас</w:t>
      </w:r>
      <w:r>
        <w:t>а</w:t>
      </w:r>
      <w:r>
        <w:t>тельно эффективности работы женщин и степени их признания среди населения в ц</w:t>
      </w:r>
      <w:r>
        <w:t>е</w:t>
      </w:r>
      <w:r>
        <w:t>лом.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Г-жа Корти</w:t>
      </w:r>
      <w:r>
        <w:t xml:space="preserve"> приветствует прогресс, достигн</w:t>
      </w:r>
      <w:r>
        <w:t>у</w:t>
      </w:r>
      <w:r>
        <w:t>тый в различных областях, включая и тот факт, что впервые в истории Иордании женщина занимает пост заместителя премьер-министра. Поскольку в</w:t>
      </w:r>
      <w:r>
        <w:t>о</w:t>
      </w:r>
      <w:r>
        <w:t>прос о продвижении женщин на должности, упо</w:t>
      </w:r>
      <w:r>
        <w:t>л</w:t>
      </w:r>
      <w:r>
        <w:t>номочивающие их принимать решения, и об их уч</w:t>
      </w:r>
      <w:r>
        <w:t>а</w:t>
      </w:r>
      <w:r>
        <w:t>стии в политической жизни имеет важнейшее зн</w:t>
      </w:r>
      <w:r>
        <w:t>а</w:t>
      </w:r>
      <w:r>
        <w:t>чение во всех странах, представляется, что роль Иорданского национального комитета по делам женщин должна быть более активной в этой обла</w:t>
      </w:r>
      <w:r>
        <w:t>с</w:t>
      </w:r>
      <w:r>
        <w:t>ти.</w:t>
      </w:r>
    </w:p>
    <w:p w:rsidR="00000000" w:rsidRDefault="00000000">
      <w:pPr>
        <w:pStyle w:val="DualTxt"/>
      </w:pPr>
      <w:r>
        <w:t>4.</w:t>
      </w:r>
      <w:r>
        <w:tab/>
        <w:t>Она задает вопрос о том, какая стратегия пр</w:t>
      </w:r>
      <w:r>
        <w:t>и</w:t>
      </w:r>
      <w:r>
        <w:t>меняется в Иордании для повышения низкого уро</w:t>
      </w:r>
      <w:r>
        <w:t>в</w:t>
      </w:r>
      <w:r>
        <w:t>ня представительства женщин в парламенте. Было упомянуто проведенное одной из неправительс</w:t>
      </w:r>
      <w:r>
        <w:t>т</w:t>
      </w:r>
      <w:r>
        <w:t>венных организаций исследование, в котором н</w:t>
      </w:r>
      <w:r>
        <w:t>е</w:t>
      </w:r>
      <w:r>
        <w:t>способность выдвинуть больше кандидаток или и</w:t>
      </w:r>
      <w:r>
        <w:t>з</w:t>
      </w:r>
      <w:r>
        <w:t>брать большее число женщин объясняется стере</w:t>
      </w:r>
      <w:r>
        <w:t>о</w:t>
      </w:r>
      <w:r>
        <w:t>типами общества, отсутствием должной квалиф</w:t>
      </w:r>
      <w:r>
        <w:t>и</w:t>
      </w:r>
      <w:r>
        <w:t>кации у женщин, племенными инстинктами и н</w:t>
      </w:r>
      <w:r>
        <w:t>е</w:t>
      </w:r>
      <w:r>
        <w:t>правильным пониманием религиозных принципов. Опыт других стран показывает, что женщины ну</w:t>
      </w:r>
      <w:r>
        <w:t>ж</w:t>
      </w:r>
      <w:r>
        <w:t>даются в организации и в принятии совместных усилий по решению волнующих их проблем, с тем чтобы пробиться в парламент. Необходимо срочно организовать дальнейшую работу на местах в сфере формирования общественного мнения и в неправ</w:t>
      </w:r>
      <w:r>
        <w:t>и</w:t>
      </w:r>
      <w:r>
        <w:t>тельственных организациях. В этой связи она задает вопрос о том, как финансируются неправительс</w:t>
      </w:r>
      <w:r>
        <w:t>т</w:t>
      </w:r>
      <w:r>
        <w:t>венные организации, вносит ли какой-либо вклад государство и имеют ли такие организации возмо</w:t>
      </w:r>
      <w:r>
        <w:t>ж</w:t>
      </w:r>
      <w:r>
        <w:t>ность способствовать финансированию избирател</w:t>
      </w:r>
      <w:r>
        <w:t>ь</w:t>
      </w:r>
      <w:r>
        <w:t>ных кампаний кандидатов-женщин. Поскольку ка</w:t>
      </w:r>
      <w:r>
        <w:t>ж</w:t>
      </w:r>
      <w:r>
        <w:t>дый избиратель может голосовать лишь за одну партию, она спрашивает, не рассматривает ли пр</w:t>
      </w:r>
      <w:r>
        <w:t>а</w:t>
      </w:r>
      <w:r>
        <w:t>вительство возможность изменения закона о выб</w:t>
      </w:r>
      <w:r>
        <w:t>о</w:t>
      </w:r>
      <w:r>
        <w:t>рах для содействия избранию большего числа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5.</w:t>
      </w:r>
      <w:r>
        <w:tab/>
        <w:t>Приветствуя назначение ряда женщин в сенат, она отмечает, что тот факт, что они были назначены правительством или политической партией, а не и</w:t>
      </w:r>
      <w:r>
        <w:t>з</w:t>
      </w:r>
      <w:r>
        <w:t>браны в результате собственной кампании, может ограничить их способность проводить свою пол</w:t>
      </w:r>
      <w:r>
        <w:t>и</w:t>
      </w:r>
      <w:r>
        <w:t>тику. Политическая подготовка для женщин имеет весьма важное значение, дабы они могли проводить свою кампанию, добиваться изменения отношения избирателей к женщинам и выполнять свои фун</w:t>
      </w:r>
      <w:r>
        <w:t>к</w:t>
      </w:r>
      <w:r>
        <w:t>ции в случае избрания. В нескольких странах же</w:t>
      </w:r>
      <w:r>
        <w:t>н</w:t>
      </w:r>
      <w:r>
        <w:t>ские лобби играют весьма важную роль в этом о</w:t>
      </w:r>
      <w:r>
        <w:t>т</w:t>
      </w:r>
      <w:r>
        <w:t>ношении, функционируя в качестве свободной а</w:t>
      </w:r>
      <w:r>
        <w:t>с</w:t>
      </w:r>
      <w:r>
        <w:t>социации различных неправительственных орган</w:t>
      </w:r>
      <w:r>
        <w:t>и</w:t>
      </w:r>
      <w:r>
        <w:t>заций, которая занимается разработкой специал</w:t>
      </w:r>
      <w:r>
        <w:t>ь</w:t>
      </w:r>
      <w:r>
        <w:t>ных программ по сбору информации и оказанию организационно-финансовой поддержки кандид</w:t>
      </w:r>
      <w:r>
        <w:t>а</w:t>
      </w:r>
      <w:r>
        <w:t>там в парламент из числа женщин. Это не обесп</w:t>
      </w:r>
      <w:r>
        <w:t>е</w:t>
      </w:r>
      <w:r>
        <w:t>чивает незамедлительных изменений, а представл</w:t>
      </w:r>
      <w:r>
        <w:t>я</w:t>
      </w:r>
      <w:r>
        <w:t>ет собой медленный и верный метод продвижения большего числа женщин в парламент, где вследс</w:t>
      </w:r>
      <w:r>
        <w:t>т</w:t>
      </w:r>
      <w:r>
        <w:t>вие этого будет легче вносить изменения в сущес</w:t>
      </w:r>
      <w:r>
        <w:t>т</w:t>
      </w:r>
      <w:r>
        <w:t>вующие законы.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Г-жа Риель</w:t>
      </w:r>
      <w:r>
        <w:t xml:space="preserve"> говорит, что изменений удастся добиться лишь тогда, когда в политической жизни будет участвовать больше женщин, и для справе</w:t>
      </w:r>
      <w:r>
        <w:t>д</w:t>
      </w:r>
      <w:r>
        <w:t>ливого представительства общества доля женщин и доля мужчин на политических должностях должны быть одинаковыми. Известно, что в странах Севе</w:t>
      </w:r>
      <w:r>
        <w:t>р</w:t>
      </w:r>
      <w:r>
        <w:t>ной Европы в политической жизни участвует бол</w:t>
      </w:r>
      <w:r>
        <w:t>ь</w:t>
      </w:r>
      <w:r>
        <w:t>шое число женщин. В Швеции, например, кабинет министров состоит из 11 женщин и 9 мужчин. Такие изменения не приходят сами по себе. Необходимы соответствующие инструменты и неустанные ус</w:t>
      </w:r>
      <w:r>
        <w:t>и</w:t>
      </w:r>
      <w:r>
        <w:t>лия в течение длительных периодов времени по введению квот, проведению кампаний по повыш</w:t>
      </w:r>
      <w:r>
        <w:t>е</w:t>
      </w:r>
      <w:r>
        <w:t>нию уровня информированности общественности и поощрению женщин к тому, чтобы они голосовали за женщин. В Иордании голосует значительная доля женщин, однако они голосуют за мужчин, которые занимают более видное положение в общественной жизни.</w:t>
      </w:r>
    </w:p>
    <w:p w:rsidR="00000000" w:rsidRDefault="00000000">
      <w:pPr>
        <w:pStyle w:val="DualTxt"/>
      </w:pPr>
      <w:r>
        <w:t>7.</w:t>
      </w:r>
      <w:r>
        <w:tab/>
        <w:t>В связи с процедурой голосования оратор не поняла, ведется ли голосование по партийным сп</w:t>
      </w:r>
      <w:r>
        <w:t>и</w:t>
      </w:r>
      <w:r>
        <w:t>скам или же голосуют за отдельных лиц. Если и</w:t>
      </w:r>
      <w:r>
        <w:t>с</w:t>
      </w:r>
      <w:r>
        <w:t>пользуются списки, то в них должна быть устано</w:t>
      </w:r>
      <w:r>
        <w:t>в</w:t>
      </w:r>
      <w:r>
        <w:t>лена и кв</w:t>
      </w:r>
      <w:r>
        <w:t>о</w:t>
      </w:r>
      <w:r>
        <w:t>та для женщин.</w:t>
      </w:r>
    </w:p>
    <w:p w:rsidR="00000000" w:rsidRDefault="00000000">
      <w:pPr>
        <w:pStyle w:val="DualTxt"/>
      </w:pPr>
      <w:r>
        <w:t>8.</w:t>
      </w:r>
      <w:r>
        <w:tab/>
        <w:t>В каждом обществе существует множество м</w:t>
      </w:r>
      <w:r>
        <w:t>е</w:t>
      </w:r>
      <w:r>
        <w:t>стных органов, принимающих решения, имеющие важное значение для общины; женщины должны быть хорошо представлены в этих органах. Ее стр</w:t>
      </w:r>
      <w:r>
        <w:t>а</w:t>
      </w:r>
      <w:r>
        <w:t>на имеет опыт использования квот для этой цели с хорошими результатами. Можно, например, испол</w:t>
      </w:r>
      <w:r>
        <w:t>ь</w:t>
      </w:r>
      <w:r>
        <w:t>зовать гендерно-нейтральную квоту с целью обе</w:t>
      </w:r>
      <w:r>
        <w:t>с</w:t>
      </w:r>
      <w:r>
        <w:t>печить, чтобы доля мужчин или женщин в членском составе таких органов составляла по меньшей мере 40 процентов. Вопрос о квалификации не должен быть препятствием, ибо местные органы должны включать людей с различными квалификациями. Важно использовать квоты в таких органах, с тем чтобы женщины занимали более видное положение в обществе, создавая тем самым образцы для по</w:t>
      </w:r>
      <w:r>
        <w:t>д</w:t>
      </w:r>
      <w:r>
        <w:t>ражания для других женщин и облегчая в дальне</w:t>
      </w:r>
      <w:r>
        <w:t>й</w:t>
      </w:r>
      <w:r>
        <w:t>шем участие женщин в пол</w:t>
      </w:r>
      <w:r>
        <w:t>и</w:t>
      </w:r>
      <w:r>
        <w:t>тической жизни.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Г-жа Ким</w:t>
      </w:r>
      <w:r>
        <w:t xml:space="preserve"> Юн-Чун отмечает, что Иорданский национальный комитет по делам женщин в сотру</w:t>
      </w:r>
      <w:r>
        <w:t>д</w:t>
      </w:r>
      <w:r>
        <w:t>ничестве с министерством планирования пришел к согласию о том, чтобы не выделять женскую пр</w:t>
      </w:r>
      <w:r>
        <w:t>о</w:t>
      </w:r>
      <w:r>
        <w:t>блематику в качестве отдельного раздела, а вкл</w:t>
      </w:r>
      <w:r>
        <w:t>ю</w:t>
      </w:r>
      <w:r>
        <w:t>чать ее во все сферы национального плана. Она р</w:t>
      </w:r>
      <w:r>
        <w:t>е</w:t>
      </w:r>
      <w:r>
        <w:t>шительно поддерживает эту политику, которая о</w:t>
      </w:r>
      <w:r>
        <w:t>т</w:t>
      </w:r>
      <w:r>
        <w:t>вечает содержащемуся в Пекинской платформе де</w:t>
      </w:r>
      <w:r>
        <w:t>й</w:t>
      </w:r>
      <w:r>
        <w:t xml:space="preserve">ствий конкретному призыву к принятию мер </w:t>
      </w:r>
      <w:r>
        <w:rPr>
          <w:lang/>
        </w:rPr>
        <w:t>во</w:t>
      </w:r>
      <w:r>
        <w:t xml:space="preserve"> всех областях.</w:t>
      </w:r>
    </w:p>
    <w:p w:rsidR="00000000" w:rsidRDefault="00000000">
      <w:pPr>
        <w:pStyle w:val="DualTxt"/>
      </w:pPr>
      <w:r>
        <w:t>10.</w:t>
      </w:r>
      <w:r>
        <w:tab/>
        <w:t>Она хотела бы получить более подробную и</w:t>
      </w:r>
      <w:r>
        <w:t>н</w:t>
      </w:r>
      <w:r>
        <w:t>формацию о 99 женщинах, назначенных в городские и сельские советы. Она интересуется тем, являются ли такие назначения — или масштабы таких назн</w:t>
      </w:r>
      <w:r>
        <w:t>а</w:t>
      </w:r>
      <w:r>
        <w:t>чений — новым явлением и работают ли эти же</w:t>
      </w:r>
      <w:r>
        <w:t>н</w:t>
      </w:r>
      <w:r>
        <w:t>щины по-прежнему в качестве членов советов. О женщинах — членах парламента не упоминается, и она интересуется, назначались ли женщины в сенат и избирались ли они в нижнюю палату.</w:t>
      </w:r>
    </w:p>
    <w:p w:rsidR="00000000" w:rsidRDefault="00000000">
      <w:pPr>
        <w:pStyle w:val="DualTxt"/>
      </w:pPr>
      <w:r>
        <w:t>11.</w:t>
      </w:r>
      <w:r>
        <w:tab/>
        <w:t>Она хотела бы знать, провозглашается ли в рамках национальной стратегии в интересах же</w:t>
      </w:r>
      <w:r>
        <w:t>н</w:t>
      </w:r>
      <w:r>
        <w:t>щин или национальной программы действий цель продвижения женщин на должности, уполномоч</w:t>
      </w:r>
      <w:r>
        <w:t>и</w:t>
      </w:r>
      <w:r>
        <w:t>вающие их принимать решения, будь то посредс</w:t>
      </w:r>
      <w:r>
        <w:t>т</w:t>
      </w:r>
      <w:r>
        <w:t>вом назначения или в результате выборов. Она спрашивает, каким является соответствующий ц</w:t>
      </w:r>
      <w:r>
        <w:t>е</w:t>
      </w:r>
      <w:r>
        <w:t>левой показатель, если такой существует, и соста</w:t>
      </w:r>
      <w:r>
        <w:t>в</w:t>
      </w:r>
      <w:r>
        <w:t>лен ли всеоб</w:t>
      </w:r>
      <w:r>
        <w:t>ъ</w:t>
      </w:r>
      <w:r>
        <w:t>емлющий план по его достижению.</w:t>
      </w:r>
    </w:p>
    <w:p w:rsidR="00000000" w:rsidRDefault="00000000">
      <w:pPr>
        <w:pStyle w:val="DualTxt"/>
      </w:pPr>
      <w:r>
        <w:t>12.</w:t>
      </w:r>
      <w:r>
        <w:tab/>
        <w:t>Что касается учебной подготовки женщин на предмет участия в политической жизни, то она о</w:t>
      </w:r>
      <w:r>
        <w:t>т</w:t>
      </w:r>
      <w:r>
        <w:t>мечает, что женщины составляют 10 процентов от общей численности членов политических партий. Она хотела бы знать, играют ли они какую-либо роль в руководстве этих партий, каков их статус в этих партиях и какие существуют программы с</w:t>
      </w:r>
      <w:r>
        <w:t>о</w:t>
      </w:r>
      <w:r>
        <w:t>действия им в продвижении своих канд</w:t>
      </w:r>
      <w:r>
        <w:t>и</w:t>
      </w:r>
      <w:r>
        <w:t>датур.</w:t>
      </w:r>
    </w:p>
    <w:p w:rsidR="00000000" w:rsidRDefault="00000000">
      <w:pPr>
        <w:pStyle w:val="DualTxt"/>
      </w:pPr>
      <w:r>
        <w:t>13.</w:t>
      </w:r>
      <w:r>
        <w:tab/>
        <w:t>Еще одной сферой, в которой не следует и</w:t>
      </w:r>
      <w:r>
        <w:t>с</w:t>
      </w:r>
      <w:r>
        <w:t>ключать участия женщин, является полиция. В ее стране первая женщина была недавно назначена на должность комиссара полиции в крупном районе Сеула, и ее приверженность и честность уже прин</w:t>
      </w:r>
      <w:r>
        <w:t>о</w:t>
      </w:r>
      <w:r>
        <w:t>сят свои плоды в усилиях по предотвращению то</w:t>
      </w:r>
      <w:r>
        <w:t>р</w:t>
      </w:r>
      <w:r>
        <w:t>говли женщинами и девочками — эта проблема б</w:t>
      </w:r>
      <w:r>
        <w:t>о</w:t>
      </w:r>
      <w:r>
        <w:t>лее не может оставаться без внимания полиции, общины и страны в целом. Она задает вопрос о том, прилагаются ли в Иордании какие-либо усилия по поощрению участия женщин в работе п</w:t>
      </w:r>
      <w:r>
        <w:t>о</w:t>
      </w:r>
      <w:r>
        <w:t>лиции.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>жа Шёпп-Шиллинг</w:t>
      </w:r>
      <w:r>
        <w:t xml:space="preserve"> отмечает, что неправ</w:t>
      </w:r>
      <w:r>
        <w:t>и</w:t>
      </w:r>
      <w:r>
        <w:t>тельственные организации играют ценную роль в решении вопросов, касающихся женщин, и спраш</w:t>
      </w:r>
      <w:r>
        <w:t>и</w:t>
      </w:r>
      <w:r>
        <w:t>вает, какие из этих организаций получают финанс</w:t>
      </w:r>
      <w:r>
        <w:t>о</w:t>
      </w:r>
      <w:r>
        <w:t>вую поддержку от государства, если они вообще ее получают; если же они не получают государстве</w:t>
      </w:r>
      <w:r>
        <w:t>н</w:t>
      </w:r>
      <w:r>
        <w:t>ной поддержки, то каким образом они финансир</w:t>
      </w:r>
      <w:r>
        <w:t>у</w:t>
      </w:r>
      <w:r>
        <w:t>ются. Она спрашивает также, выделяет ли прав</w:t>
      </w:r>
      <w:r>
        <w:t>и</w:t>
      </w:r>
      <w:r>
        <w:t>тельство или Иорданский национальный комитет по делам женщин бюджетные ассигнования на фина</w:t>
      </w:r>
      <w:r>
        <w:t>н</w:t>
      </w:r>
      <w:r>
        <w:t>сирование проектов, осуществляемых женскими о</w:t>
      </w:r>
      <w:r>
        <w:t>р</w:t>
      </w:r>
      <w:r>
        <w:t>ганиз</w:t>
      </w:r>
      <w:r>
        <w:t>а</w:t>
      </w:r>
      <w:r>
        <w:t>циями.</w:t>
      </w:r>
    </w:p>
    <w:p w:rsidR="00000000" w:rsidRDefault="00000000">
      <w:pPr>
        <w:pStyle w:val="DualTxt"/>
      </w:pPr>
      <w:r>
        <w:t>15.</w:t>
      </w:r>
      <w:r>
        <w:tab/>
        <w:t>В связи с упомянутыми во втором докладе о</w:t>
      </w:r>
      <w:r>
        <w:t>г</w:t>
      </w:r>
      <w:r>
        <w:t>раничениями на политическую деятельность же</w:t>
      </w:r>
      <w:r>
        <w:t>н</w:t>
      </w:r>
      <w:r>
        <w:t>ских ассоциаций, введенными согласно акту № 33 от 1966 года, она просит представить примеры т</w:t>
      </w:r>
      <w:r>
        <w:t>а</w:t>
      </w:r>
      <w:r>
        <w:t>ких ограничений.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>жа Манало</w:t>
      </w:r>
      <w:r>
        <w:t xml:space="preserve"> приветствует сообщение о том, что доля женщин, принимающих участие в выборах в Иордании, выше доли голосующих мужчин, одн</w:t>
      </w:r>
      <w:r>
        <w:t>а</w:t>
      </w:r>
      <w:r>
        <w:t>ко она хотела бы знать, каковы соответствующие показатели в процентах и какие шаги могут быть предприняты в целях поощрения еще большего числа женщин к участию в голосовании. Важно д</w:t>
      </w:r>
      <w:r>
        <w:t>о</w:t>
      </w:r>
      <w:r>
        <w:t>биться того, чтобы они голосовали за женщин или за мужчин, поддерживающих осуществление Ко</w:t>
      </w:r>
      <w:r>
        <w:t>н</w:t>
      </w:r>
      <w:r>
        <w:t>венции.</w:t>
      </w:r>
    </w:p>
    <w:p w:rsidR="00000000" w:rsidRDefault="00000000">
      <w:pPr>
        <w:pStyle w:val="DualTxt"/>
      </w:pPr>
      <w:r>
        <w:t>17.</w:t>
      </w:r>
      <w:r>
        <w:tab/>
        <w:t>Что касается женщин в законодательных орг</w:t>
      </w:r>
      <w:r>
        <w:t>а</w:t>
      </w:r>
      <w:r>
        <w:t>нах, то в пункте 42 второго доклада упоминается одна женщина, избранная в 1993 году. В докладе, как представляется, указывается, что многопарти</w:t>
      </w:r>
      <w:r>
        <w:t>й</w:t>
      </w:r>
      <w:r>
        <w:t>ная система была учреждена лишь недавно и что обычаи и традиции, равно как и законы о выборах не содействуют женщинам в выдвижении их канд</w:t>
      </w:r>
      <w:r>
        <w:t>и</w:t>
      </w:r>
      <w:r>
        <w:t>датур. Ей интересно знать, какие конкретные меры принимаются к поощрению кандидатов из числа женщин и обеспечивается ли им необходимая по</w:t>
      </w:r>
      <w:r>
        <w:t>д</w:t>
      </w:r>
      <w:r>
        <w:t>готовка и организационная и финансовая поддержка для преодоления препятствий, возникающих у них при выдвижении своих кандидатур. Кроме того, она запросила информацию о шагах, предпринимаемых для повышения осведомленности избирателей о правах женщин на участие в выборах в качестве и</w:t>
      </w:r>
      <w:r>
        <w:t>з</w:t>
      </w:r>
      <w:r>
        <w:t>бирателей и избираемых, а также для обеспечения того, чтобы обычаи и традиции не препятствовали эффективному осуществл</w:t>
      </w:r>
      <w:r>
        <w:t>е</w:t>
      </w:r>
      <w:r>
        <w:t>нию законов.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8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>жа Манало</w:t>
      </w:r>
      <w:r>
        <w:t xml:space="preserve"> отмечает, что иорданские же</w:t>
      </w:r>
      <w:r>
        <w:t>н</w:t>
      </w:r>
      <w:r>
        <w:t>щины никогда не назначались на дипломатические должности высокого уровня, например на дол</w:t>
      </w:r>
      <w:r>
        <w:t>ж</w:t>
      </w:r>
      <w:r>
        <w:t>ность посла. Она спрашивает, открыта ли для же</w:t>
      </w:r>
      <w:r>
        <w:t>н</w:t>
      </w:r>
      <w:r>
        <w:t>щин кар</w:t>
      </w:r>
      <w:r>
        <w:t>ь</w:t>
      </w:r>
      <w:r>
        <w:t>ера на дипломатической службе.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9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>жа Гунесекере</w:t>
      </w:r>
      <w:r>
        <w:t xml:space="preserve"> отмечает, что многие страны унаследовали от британского общего права конце</w:t>
      </w:r>
      <w:r>
        <w:t>п</w:t>
      </w:r>
      <w:r>
        <w:t>цию о том, что женщины не могут передавать свое гражданство детям. Это, по всей видимости, не с</w:t>
      </w:r>
      <w:r>
        <w:t>о</w:t>
      </w:r>
      <w:r>
        <w:t>ответствует исламскому праву, которое, в отличие от других ранних правовых систем, предоставило женщинам предпочтительное право на попечение над детьми. Гражданство передается по признаку крови от матери ребенку. Она надеется, что в Ио</w:t>
      </w:r>
      <w:r>
        <w:t>р</w:t>
      </w:r>
      <w:r>
        <w:t>дании будет произведен пересмотр законов о гра</w:t>
      </w:r>
      <w:r>
        <w:t>ж</w:t>
      </w:r>
      <w:r>
        <w:t>данстве.</w:t>
      </w:r>
    </w:p>
    <w:p w:rsidR="00000000" w:rsidRDefault="00000000">
      <w:pPr>
        <w:pStyle w:val="DualTxt"/>
      </w:pPr>
      <w:r>
        <w:t>20.</w:t>
      </w:r>
      <w:r>
        <w:tab/>
        <w:t>Трудно понять предложение Иорданского н</w:t>
      </w:r>
      <w:r>
        <w:t>а</w:t>
      </w:r>
      <w:r>
        <w:t>ционального комитета по делам женщин о предо</w:t>
      </w:r>
      <w:r>
        <w:t>с</w:t>
      </w:r>
      <w:r>
        <w:t>тавлении иорданского гражданства детям иорда</w:t>
      </w:r>
      <w:r>
        <w:t>н</w:t>
      </w:r>
      <w:r>
        <w:t>ских женщин, находящихся замужем за иностра</w:t>
      </w:r>
      <w:r>
        <w:t>н</w:t>
      </w:r>
      <w:r>
        <w:t>цами «по гуманитарным причинам», с тем чтобы они могли получать образование. Это не только противоречит идее о том, что женщины имеют пр</w:t>
      </w:r>
      <w:r>
        <w:t>а</w:t>
      </w:r>
      <w:r>
        <w:t>во передавать свое гражданство детям, но и, по всей видимости, подразумевает, что доступ к образов</w:t>
      </w:r>
      <w:r>
        <w:t>а</w:t>
      </w:r>
      <w:r>
        <w:t>нию является благом, а не правом. Она просит представить разъяснения относительно предлага</w:t>
      </w:r>
      <w:r>
        <w:t>е</w:t>
      </w:r>
      <w:r>
        <w:t>мых реформ.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жа Хан</w:t>
      </w:r>
      <w:r>
        <w:t xml:space="preserve"> отмечает, что в Иордании находится полтора миллиона палестинских беженцев, что тр</w:t>
      </w:r>
      <w:r>
        <w:t>е</w:t>
      </w:r>
      <w:r>
        <w:t>бует со стороны Иордании больших гуманитарных усилий. Этим беженцам выданы иорданские па</w:t>
      </w:r>
      <w:r>
        <w:t>с</w:t>
      </w:r>
      <w:r>
        <w:t>порта, но, по</w:t>
      </w:r>
      <w:r>
        <w:noBreakHyphen/>
        <w:t>видимому, они не могут занимать в</w:t>
      </w:r>
      <w:r>
        <w:t>ы</w:t>
      </w:r>
      <w:r>
        <w:t>борные должности. Она спрашивает, означает ли это общественные должности или должности в о</w:t>
      </w:r>
      <w:r>
        <w:t>р</w:t>
      </w:r>
      <w:r>
        <w:t>ганах управления, и хотела бы знать, чем статус б</w:t>
      </w:r>
      <w:r>
        <w:t>е</w:t>
      </w:r>
      <w:r>
        <w:t>женцев отличается от статуса иорданских граждан. Она спрашивает также, каким профессиям посв</w:t>
      </w:r>
      <w:r>
        <w:t>я</w:t>
      </w:r>
      <w:r>
        <w:t>щают себя беженцы, особенно палестинские же</w:t>
      </w:r>
      <w:r>
        <w:t>н</w:t>
      </w:r>
      <w:r>
        <w:t>щины, и могут ли они принимать участие в голос</w:t>
      </w:r>
      <w:r>
        <w:t>о</w:t>
      </w:r>
      <w:r>
        <w:t>вании. Если иорданский паспорт выдается лишь как документ для совершения поездок, то вместо этого палестинцам можно было бы предоставить статус беженцев. Она хотела бы знать, ратифицировала ли Иордания Конвенцию о статусе беженцев 1951 года, которая предоставляет определенные льготы и зн</w:t>
      </w:r>
      <w:r>
        <w:t>а</w:t>
      </w:r>
      <w:r>
        <w:t>чительно облегчает последующую реинт</w:t>
      </w:r>
      <w:r>
        <w:t>е</w:t>
      </w:r>
      <w:r>
        <w:t>грацию.</w:t>
      </w:r>
    </w:p>
    <w:p w:rsidR="00000000" w:rsidRDefault="00000000">
      <w:pPr>
        <w:pStyle w:val="DualTxt"/>
      </w:pPr>
      <w:r>
        <w:t>22.</w:t>
      </w:r>
      <w:r>
        <w:tab/>
        <w:t>В отношении закона о гражданстве проделана работа, достойная высокой оценки. Однако она х</w:t>
      </w:r>
      <w:r>
        <w:t>о</w:t>
      </w:r>
      <w:r>
        <w:t>тела бы знать, обладают ли дети иорданских же</w:t>
      </w:r>
      <w:r>
        <w:t>н</w:t>
      </w:r>
      <w:r>
        <w:t>щин, вышедших замуж за иностранцев и впоследс</w:t>
      </w:r>
      <w:r>
        <w:t>т</w:t>
      </w:r>
      <w:r>
        <w:t>вии овдовевших, теми же правами, что и дети ио</w:t>
      </w:r>
      <w:r>
        <w:t>р</w:t>
      </w:r>
      <w:r>
        <w:t>данских отцов. Кроме того, она настоятельно пр</w:t>
      </w:r>
      <w:r>
        <w:t>и</w:t>
      </w:r>
      <w:r>
        <w:t>звала Иорданию рассмотреть возможность снятия оговорки к статье 9 Конвенции.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10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Ким </w:t>
      </w:r>
      <w:r>
        <w:t>Юн-Чун приветствует учреждение программы обучения по женской проблематике на уровне магистра в одном из государственных ун</w:t>
      </w:r>
      <w:r>
        <w:t>и</w:t>
      </w:r>
      <w:r>
        <w:t>верситетов; она надеется, что этому примеру посл</w:t>
      </w:r>
      <w:r>
        <w:t>е</w:t>
      </w:r>
      <w:r>
        <w:t>дуют и другие университеты. Она выражает обе</w:t>
      </w:r>
      <w:r>
        <w:t>с</w:t>
      </w:r>
      <w:r>
        <w:t>покоенность в связи с тем, что в школьных пр</w:t>
      </w:r>
      <w:r>
        <w:t>о</w:t>
      </w:r>
      <w:r>
        <w:t>граммах и учебниках женщины изображаются в к</w:t>
      </w:r>
      <w:r>
        <w:t>а</w:t>
      </w:r>
      <w:r>
        <w:t>честве матерей и домохозяек, и интересуется тем, какие шаги были предприняты для исправления этого положения, в том числе Иорданским наци</w:t>
      </w:r>
      <w:r>
        <w:t>о</w:t>
      </w:r>
      <w:r>
        <w:t>нальным комитетом по делам женщин. Она будет признательна за представление доклада о ходе р</w:t>
      </w:r>
      <w:r>
        <w:t>а</w:t>
      </w:r>
      <w:r>
        <w:t>боты национального совета по образованию в о</w:t>
      </w:r>
      <w:r>
        <w:t>б</w:t>
      </w:r>
      <w:r>
        <w:t>ласти прав человека, учрежденного в мае 1999 года, и дополнительных подробностей о его персонале и бюдж</w:t>
      </w:r>
      <w:r>
        <w:t>е</w:t>
      </w:r>
      <w:r>
        <w:t>те.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жа Акар</w:t>
      </w:r>
      <w:r>
        <w:t xml:space="preserve"> интересуется мерами по расшир</w:t>
      </w:r>
      <w:r>
        <w:t>е</w:t>
      </w:r>
      <w:r>
        <w:t>нию выбора учебно-профессиональных курсов для женщин во избежание увековечения гендерных ст</w:t>
      </w:r>
      <w:r>
        <w:t>е</w:t>
      </w:r>
      <w:r>
        <w:t>реотипов. Она приветствует увеличение числа ст</w:t>
      </w:r>
      <w:r>
        <w:t>у</w:t>
      </w:r>
      <w:r>
        <w:t>денток в школах бизнеса и запрашивает информ</w:t>
      </w:r>
      <w:r>
        <w:t>а</w:t>
      </w:r>
      <w:r>
        <w:t>цию о том, какого рода работу им удается найти. Она выражает обеспокоенность тем, что впеча</w:t>
      </w:r>
      <w:r>
        <w:t>т</w:t>
      </w:r>
      <w:r>
        <w:t>ляющая численность студенток в университетах может отражать двухъярусную систему высшего образования, в рамках которой мужчинам предо</w:t>
      </w:r>
      <w:r>
        <w:t>с</w:t>
      </w:r>
      <w:r>
        <w:t>тавляется более престижная возможность учиться за рубежом, тогда как свобода передвижения же</w:t>
      </w:r>
      <w:r>
        <w:t>н</w:t>
      </w:r>
      <w:r>
        <w:t>щин ограничивается. Государство-участник должно рассказать о любых мерах, принимаемых в связи с этим явлением. Она задает вопрос о том, имеются ли какие-либо программы содействия женщинам среднего и престарелого возраста, на долю которых приходится значительная доля неграмотного нас</w:t>
      </w:r>
      <w:r>
        <w:t>е</w:t>
      </w:r>
      <w:r>
        <w:t>ления. В заключение, она хотела бы знать, сколько женщин занимают должности преподавателей в университетах и на каком уровне. Было бы инт</w:t>
      </w:r>
      <w:r>
        <w:t>е</w:t>
      </w:r>
      <w:r>
        <w:t>ресно услышать о карьере женщин в академическом мире.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11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Г-жа Шёпп-Шиллинг</w:t>
      </w:r>
      <w:r>
        <w:t xml:space="preserve"> просит представить больше статистических данных по большому числу иорданских женщин, являющихся безработными, особенно об их образовательном уровне и видах р</w:t>
      </w:r>
      <w:r>
        <w:t>а</w:t>
      </w:r>
      <w:r>
        <w:t>боты, которую они ищут. Кроме того, она была бы признательна за подробные сведения о принима</w:t>
      </w:r>
      <w:r>
        <w:t>е</w:t>
      </w:r>
      <w:r>
        <w:t>мых правительством мерах по борьбе с безработ</w:t>
      </w:r>
      <w:r>
        <w:t>и</w:t>
      </w:r>
      <w:r>
        <w:t>цей в контексте роста населения, которое включает в себя все большее число высокообразованных женщин. Она интересуется, соответствует ли пр</w:t>
      </w:r>
      <w:r>
        <w:t>и</w:t>
      </w:r>
      <w:r>
        <w:t>нятое правительством решение запретить прин</w:t>
      </w:r>
      <w:r>
        <w:t>и</w:t>
      </w:r>
      <w:r>
        <w:t>мать женщин на некоторые виды работы стандартам Международной организации труда, и выражает обеспокоенность в связи с тем, что это законод</w:t>
      </w:r>
      <w:r>
        <w:t>а</w:t>
      </w:r>
      <w:r>
        <w:t>тельство, предназначенное обеспечить защиту женщин, может фактически быть дискриминацио</w:t>
      </w:r>
      <w:r>
        <w:t>н</w:t>
      </w:r>
      <w:r>
        <w:t>ным и привести к чрезмерной концентрации же</w:t>
      </w:r>
      <w:r>
        <w:t>н</w:t>
      </w:r>
      <w:r>
        <w:t>щин на некоторых видах работы, а следовательно и к безр</w:t>
      </w:r>
      <w:r>
        <w:t>а</w:t>
      </w:r>
      <w:r>
        <w:t>ботице.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12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Г-жа Абака</w:t>
      </w:r>
      <w:r>
        <w:t xml:space="preserve"> высоко оценивает достижения г</w:t>
      </w:r>
      <w:r>
        <w:t>о</w:t>
      </w:r>
      <w:r>
        <w:t>сударства-участника в области охраны здоровья женщин, особенно создание Комиссии безопасного материнства (CEDAW/C/JOR/2, пункт 120) и ста</w:t>
      </w:r>
      <w:r>
        <w:t>в</w:t>
      </w:r>
      <w:r>
        <w:t>шее результатом этого снижение младенческой и материнской смертности. Вместе с тем она отмеч</w:t>
      </w:r>
      <w:r>
        <w:t>а</w:t>
      </w:r>
      <w:r>
        <w:t>ет, что охрана репродуктивного здоровья не своди</w:t>
      </w:r>
      <w:r>
        <w:t>т</w:t>
      </w:r>
      <w:r>
        <w:t>ся лишь к безопасному материнству. Она спрашив</w:t>
      </w:r>
      <w:r>
        <w:t>а</w:t>
      </w:r>
      <w:r>
        <w:t>ет, осуществляет ли Комиссия свою работу и в и</w:t>
      </w:r>
      <w:r>
        <w:t>н</w:t>
      </w:r>
      <w:r>
        <w:t>тересах палестинских женщин, и она будет призн</w:t>
      </w:r>
      <w:r>
        <w:t>а</w:t>
      </w:r>
      <w:r>
        <w:t>тельна, если будут приведены какие-либо показат</w:t>
      </w:r>
      <w:r>
        <w:t>е</w:t>
      </w:r>
      <w:r>
        <w:t>ли на этот счет. Отмечая, что, как говорится в пун</w:t>
      </w:r>
      <w:r>
        <w:t>к</w:t>
      </w:r>
      <w:r>
        <w:t>те 121, ведущей причиной материнской смертности является кровотечение, она подчеркивает необх</w:t>
      </w:r>
      <w:r>
        <w:t>о</w:t>
      </w:r>
      <w:r>
        <w:t>димость борьбы с анемией во время беременности. Она приветствует высокие показатели грудного вскармливания в Иордании и запрет на распростр</w:t>
      </w:r>
      <w:r>
        <w:t>а</w:t>
      </w:r>
      <w:r>
        <w:t>нение в больницах детского питания; нередко в ра</w:t>
      </w:r>
      <w:r>
        <w:t>з</w:t>
      </w:r>
      <w:r>
        <w:t>вивающиеся страны поставляются излишки детск</w:t>
      </w:r>
      <w:r>
        <w:t>о</w:t>
      </w:r>
      <w:r>
        <w:t>го питания. Она приветствует также охарактериз</w:t>
      </w:r>
      <w:r>
        <w:t>о</w:t>
      </w:r>
      <w:r>
        <w:t>ванную в пункте 118 инициативу по обеспечению ухода за детьми в больницах. Что касается пун</w:t>
      </w:r>
      <w:r>
        <w:t>к</w:t>
      </w:r>
      <w:r>
        <w:t>та 119, то она задает вопрос о семейном положении и типе работы женщин с синдромом приобретенн</w:t>
      </w:r>
      <w:r>
        <w:t>о</w:t>
      </w:r>
      <w:r>
        <w:t>го иммунодефицита (СПИД). Крайне полезным б</w:t>
      </w:r>
      <w:r>
        <w:t>ы</w:t>
      </w:r>
      <w:r>
        <w:t>ло бы представить дополнительные статистические данные по СПИДу и информацию о других забол</w:t>
      </w:r>
      <w:r>
        <w:t>е</w:t>
      </w:r>
      <w:r>
        <w:t>ваниях, передаваемых половым путем. Приветствуя снижение показателей пристрастия женщин к на</w:t>
      </w:r>
      <w:r>
        <w:t>р</w:t>
      </w:r>
      <w:r>
        <w:t>котическим средствам (пункт 119), она говорит, что было бы интересно знать, к каким видам наркот</w:t>
      </w:r>
      <w:r>
        <w:t>и</w:t>
      </w:r>
      <w:r>
        <w:t>ческих средств имеют пристрастие женщ</w:t>
      </w:r>
      <w:r>
        <w:t>и</w:t>
      </w:r>
      <w:r>
        <w:t>ны.</w:t>
      </w:r>
    </w:p>
    <w:p w:rsidR="00000000" w:rsidRDefault="00000000">
      <w:pPr>
        <w:pStyle w:val="DualTxt"/>
      </w:pPr>
      <w:r>
        <w:t>27.</w:t>
      </w:r>
      <w:r>
        <w:tab/>
        <w:t>Государство-участник должно указать, имеют ли палестинские женщины такой же доступ к пр</w:t>
      </w:r>
      <w:r>
        <w:t>о</w:t>
      </w:r>
      <w:r>
        <w:t>тивозачаточным средствам и услугам по планиров</w:t>
      </w:r>
      <w:r>
        <w:t>а</w:t>
      </w:r>
      <w:r>
        <w:t>нию семьи и предоставляются ли и им такие услуги бесплатно. Она хотела бы знать, осуществляет ли государство-участник программы по популяризации использования противозачаточных средств мужч</w:t>
      </w:r>
      <w:r>
        <w:t>и</w:t>
      </w:r>
      <w:r>
        <w:t>нами, равно как и женщинами, хотя она признает трудности осуществления такой деятельности в обществе с глубокими традициями, и интересуется, не намеревается ли правительство рассмотреть во</w:t>
      </w:r>
      <w:r>
        <w:t>з</w:t>
      </w:r>
      <w:r>
        <w:t>можность внесения поправки в закон об абортах в отношении случаев изнасилования или кровосм</w:t>
      </w:r>
      <w:r>
        <w:t>е</w:t>
      </w:r>
      <w:r>
        <w:t>шения. Наконец, она подчеркивает, что во исполн</w:t>
      </w:r>
      <w:r>
        <w:t>е</w:t>
      </w:r>
      <w:r>
        <w:t>ние Конвенции правительство Иордании должно принимать меры к обеспечению одинаковой пр</w:t>
      </w:r>
      <w:r>
        <w:t>о</w:t>
      </w:r>
      <w:r>
        <w:t>должительности отпуска по беременности и родам в государственном и час</w:t>
      </w:r>
      <w:r>
        <w:t>т</w:t>
      </w:r>
      <w:r>
        <w:t>ном секторах.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Г-жа Манало</w:t>
      </w:r>
      <w:r>
        <w:t xml:space="preserve"> отмечает, что в докладе не с</w:t>
      </w:r>
      <w:r>
        <w:t>о</w:t>
      </w:r>
      <w:r>
        <w:t>держится информации о программах охраны псих</w:t>
      </w:r>
      <w:r>
        <w:t>и</w:t>
      </w:r>
      <w:r>
        <w:t>ческого здоровья, осуществляемых в интересах иорданских женщин, особенно женщин, ставших жер</w:t>
      </w:r>
      <w:r>
        <w:t>т</w:t>
      </w:r>
      <w:r>
        <w:t>вами насилия.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13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Г-жа Корти</w:t>
      </w:r>
      <w:r>
        <w:t xml:space="preserve"> высоко оценивает Национальный фонд вспомоществования, учрежденный государс</w:t>
      </w:r>
      <w:r>
        <w:t>т</w:t>
      </w:r>
      <w:r>
        <w:t>вом-участником (пункт 138) и предназначенный для распределения денежной помощи среди беднейших слоев населения. Однако вызывает разочарование, что женщины не имеют права претендовать на н</w:t>
      </w:r>
      <w:r>
        <w:t>а</w:t>
      </w:r>
      <w:r>
        <w:t>логовые льготы (пункт 139) без согласия мужа, д</w:t>
      </w:r>
      <w:r>
        <w:t>а</w:t>
      </w:r>
      <w:r>
        <w:t>же если эти женщины имеют попечение над детьми. Хотелось бы получить дополнительную информ</w:t>
      </w:r>
      <w:r>
        <w:t>а</w:t>
      </w:r>
      <w:r>
        <w:t>цию о специальной программе выделения жилья женщинам и о тех, кто пользуется ее льготами. Она отмечает также аномалию в системе предоставл</w:t>
      </w:r>
      <w:r>
        <w:t>е</w:t>
      </w:r>
      <w:r>
        <w:t>ния банковских займов, ипотеки и других форм ф</w:t>
      </w:r>
      <w:r>
        <w:t>и</w:t>
      </w:r>
      <w:r>
        <w:t>нансового кредита: хотя Иорданский национальный комитет по делам женщин добился равных прав для женщин в этой области, осуществление этих прав сопряжено со сложностями, в том числе с требов</w:t>
      </w:r>
      <w:r>
        <w:t>а</w:t>
      </w:r>
      <w:r>
        <w:t>нием о залоговом обеспечении женщинами предо</w:t>
      </w:r>
      <w:r>
        <w:t>с</w:t>
      </w:r>
      <w:r>
        <w:t>тавляемых им займов.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14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Г-жа Уэдраого</w:t>
      </w:r>
      <w:r>
        <w:t xml:space="preserve"> высоко оценивает успехи, до</w:t>
      </w:r>
      <w:r>
        <w:t>с</w:t>
      </w:r>
      <w:r>
        <w:t>тигнутые государством-участником в увеличении числа центров охраны здоровья в сельских районах (пункт 152) и числа проектов, предназначенных для улучшения положения сельских женщин. Она пр</w:t>
      </w:r>
      <w:r>
        <w:t>и</w:t>
      </w:r>
      <w:r>
        <w:t>ветствует также ту откровенность, с которой Ио</w:t>
      </w:r>
      <w:r>
        <w:t>р</w:t>
      </w:r>
      <w:r>
        <w:t>дания признает определенные проблемы, например в отношении доступа женщин-предпринимателей к кредитам и сбора статистических данных. Отмечая прямую связь между уровнем образования женщин и здоровьем детей, она настоятельно призывает г</w:t>
      </w:r>
      <w:r>
        <w:t>о</w:t>
      </w:r>
      <w:r>
        <w:t>сударство-участник основывать свои программы в интересах сельских женщин на профессиональной подготовке и обучении в области охраны здоровья семьи, в частности на обучении навыкам в сферах медицинского обслуживания, гигиены и питания. Она рекомендует также организовывать професси</w:t>
      </w:r>
      <w:r>
        <w:t>о</w:t>
      </w:r>
      <w:r>
        <w:t>нальную подготовку и создавать специальные фо</w:t>
      </w:r>
      <w:r>
        <w:t>н</w:t>
      </w:r>
      <w:r>
        <w:t>ды и женские банки в целях ликвидации нищеты среди женщин и, в конечном счете, обеспечения их экономической независимости, которая имеет осн</w:t>
      </w:r>
      <w:r>
        <w:t>о</w:t>
      </w:r>
      <w:r>
        <w:t>вополагающее значение для того, чтобы добиться уважения в обществе.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Г-жа Фэн Цуй</w:t>
      </w:r>
      <w:r>
        <w:t xml:space="preserve"> говорит, что были достигнуты, безусловно, большие успехи в распространении школьной сети на сельские районы. Что касается статьи 14 в целом, то представляется, что прав</w:t>
      </w:r>
      <w:r>
        <w:t>и</w:t>
      </w:r>
      <w:r>
        <w:t>тельство осуществляет многочисленные програ</w:t>
      </w:r>
      <w:r>
        <w:t>м</w:t>
      </w:r>
      <w:r>
        <w:t>мы, однако ему необходимо изыскать пути проп</w:t>
      </w:r>
      <w:r>
        <w:t>а</w:t>
      </w:r>
      <w:r>
        <w:t>ганды их выгод среди женщин и создания возмо</w:t>
      </w:r>
      <w:r>
        <w:t>ж</w:t>
      </w:r>
      <w:r>
        <w:t>ностей для того, чтобы они пользовались такими программами. Во втором периодическом докладе упоминается ряд статистических обследований сельских женщин, и она интересуется тем, в какой степени результаты обследований повлияли на ра</w:t>
      </w:r>
      <w:r>
        <w:t>з</w:t>
      </w:r>
      <w:r>
        <w:t>работку политики. Ей было бы также интересно знать, включает ли план экономического развития на 1999–2003 годы какие-либо конкретные целевые показатели по сельским женщинам, например в сфере микрокредитования, или конкретные пр</w:t>
      </w:r>
      <w:r>
        <w:t>о</w:t>
      </w:r>
      <w:r>
        <w:t>граммы обучения сельских женщин навыкам в о</w:t>
      </w:r>
      <w:r>
        <w:t>б</w:t>
      </w:r>
      <w:r>
        <w:t>ласти маркетинга и коммерции, с тем чтобы они могли сами о себе заботиться.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Статься 15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Г-жа Хан</w:t>
      </w:r>
      <w:r>
        <w:t xml:space="preserve"> настоятельно призывает Иорданию снять свою оговорку к пункту 4 статьи 15 Конве</w:t>
      </w:r>
      <w:r>
        <w:t>н</w:t>
      </w:r>
      <w:r>
        <w:t>ции касательно свободы выбора женщинами своего домицилия. Поскольку, согласно шариату, женщине разрешается включать в брачный договор условия, позволяющие выбирать свое место жительства, из этого вытекает, что свободный выбор домицилия сам по себе не противоречит исламскому праву, и поэтому у Иордании нет необходимости выражать оговорку на этих основаниях.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жа Манало</w:t>
      </w:r>
      <w:r>
        <w:t xml:space="preserve"> согласна с тем, что оговорка Иордании в отношении домицилия не имеет лог</w:t>
      </w:r>
      <w:r>
        <w:t>и</w:t>
      </w:r>
      <w:r>
        <w:t>ческого обоснования.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16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>жа Хан</w:t>
      </w:r>
      <w:r>
        <w:t xml:space="preserve"> говорит, что есть все основания для того, чтобы Иордания пересмотрела свои оговорки к пункту 1(c), (d) и (g) статьи 16. В пункте 1(c) пр</w:t>
      </w:r>
      <w:r>
        <w:t>е</w:t>
      </w:r>
      <w:r>
        <w:t>дусматривается, что мужчины и женщины польз</w:t>
      </w:r>
      <w:r>
        <w:t>у</w:t>
      </w:r>
      <w:r>
        <w:t>ются одними и теми же правами и имеют одинак</w:t>
      </w:r>
      <w:r>
        <w:t>о</w:t>
      </w:r>
      <w:r>
        <w:t>вые обязанности в браке и по его расторжении. Х</w:t>
      </w:r>
      <w:r>
        <w:t>о</w:t>
      </w:r>
      <w:r>
        <w:t>тя исламское право действительно предоставляет мужчинам бóльшие права в браке, например допу</w:t>
      </w:r>
      <w:r>
        <w:t>с</w:t>
      </w:r>
      <w:r>
        <w:t>кая многоженство, когда речь идет о расторжении брака, шариат предоставляет женщинам право на развод, если это было оговорено в брачном контра</w:t>
      </w:r>
      <w:r>
        <w:t>к</w:t>
      </w:r>
      <w:r>
        <w:t>те. Другие мусульманские страны, в частности И</w:t>
      </w:r>
      <w:r>
        <w:t>н</w:t>
      </w:r>
      <w:r>
        <w:t>донезия и Йемен, не сочли необходимым выражать оговорку к статье 16. Иордания может подать пр</w:t>
      </w:r>
      <w:r>
        <w:t>и</w:t>
      </w:r>
      <w:r>
        <w:t>мер, сняв свою ог</w:t>
      </w:r>
      <w:r>
        <w:t>о</w:t>
      </w:r>
      <w:r>
        <w:t>ворку к пункту 1(c).</w:t>
      </w:r>
    </w:p>
    <w:p w:rsidR="00000000" w:rsidRDefault="00000000">
      <w:pPr>
        <w:pStyle w:val="DualTxt"/>
      </w:pPr>
      <w:r>
        <w:t>35.</w:t>
      </w:r>
      <w:r>
        <w:tab/>
        <w:t>По ее мнению, пункт 1(d), касающийся род</w:t>
      </w:r>
      <w:r>
        <w:t>и</w:t>
      </w:r>
      <w:r>
        <w:t>тельских обязанностей, не противоречит исламск</w:t>
      </w:r>
      <w:r>
        <w:t>о</w:t>
      </w:r>
      <w:r>
        <w:t>му праву. Шариат возлагает на отца финансовую ответственность за детей, однако право попечения над детьми обычно предоставляется матери, кот</w:t>
      </w:r>
      <w:r>
        <w:t>о</w:t>
      </w:r>
      <w:r>
        <w:t>рая может также в добровольном порядке взять на себя финансовую ответственность за их содерж</w:t>
      </w:r>
      <w:r>
        <w:t>а</w:t>
      </w:r>
      <w:r>
        <w:t>ние. Поэтому у Иордании нет необходимости с</w:t>
      </w:r>
      <w:r>
        <w:t>о</w:t>
      </w:r>
      <w:r>
        <w:t>хранять свою оговорку на этих осн</w:t>
      </w:r>
      <w:r>
        <w:t>о</w:t>
      </w:r>
      <w:r>
        <w:t>ваниях.</w:t>
      </w:r>
    </w:p>
    <w:p w:rsidR="00000000" w:rsidRDefault="00000000">
      <w:pPr>
        <w:pStyle w:val="DualTxt"/>
      </w:pPr>
      <w:r>
        <w:t>36.</w:t>
      </w:r>
      <w:r>
        <w:tab/>
        <w:t>Наконец, оговорка к пункту 1(g), касающемуся права на выбор фамилии, не подкрепляется исла</w:t>
      </w:r>
      <w:r>
        <w:t>м</w:t>
      </w:r>
      <w:r>
        <w:t>ской традицией; концепция фамилий является з</w:t>
      </w:r>
      <w:r>
        <w:t>а</w:t>
      </w:r>
      <w:r>
        <w:t>падной, а также представляет собой относительно недавнее веяние. Она надеется, что Иордания в кратчайшие сроки сн</w:t>
      </w:r>
      <w:r>
        <w:t>и</w:t>
      </w:r>
      <w:r>
        <w:t>мет эту оговорку.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>жа Мьякаяка-Манзини</w:t>
      </w:r>
      <w:r>
        <w:t xml:space="preserve"> говорит, что поз</w:t>
      </w:r>
      <w:r>
        <w:t>и</w:t>
      </w:r>
      <w:r>
        <w:t>ция Иордании является противоречивой в том пл</w:t>
      </w:r>
      <w:r>
        <w:t>а</w:t>
      </w:r>
      <w:r>
        <w:t>не, что матери предоставляется право на попечение, а гражданство передается только по отцовской л</w:t>
      </w:r>
      <w:r>
        <w:t>и</w:t>
      </w:r>
      <w:r>
        <w:t>нии. Поэтому она настоятельно призывает пер</w:t>
      </w:r>
      <w:r>
        <w:t>е</w:t>
      </w:r>
      <w:r>
        <w:t>смотреть оговорку относительно гражданства, кот</w:t>
      </w:r>
      <w:r>
        <w:t>о</w:t>
      </w:r>
      <w:r>
        <w:t>рая, как отмечалось, оказывает негативное возде</w:t>
      </w:r>
      <w:r>
        <w:t>й</w:t>
      </w:r>
      <w:r>
        <w:t>ствие на образование, охрану здоровья и общее бл</w:t>
      </w:r>
      <w:r>
        <w:t>а</w:t>
      </w:r>
      <w:r>
        <w:t>госостояние детей, т.е. именно на то, что, по зая</w:t>
      </w:r>
      <w:r>
        <w:t>в</w:t>
      </w:r>
      <w:r>
        <w:t>лению Иордании, имеет первостепенное знач</w:t>
      </w:r>
      <w:r>
        <w:t>е</w:t>
      </w:r>
      <w:r>
        <w:t>ние.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присоединяется к др</w:t>
      </w:r>
      <w:r>
        <w:t>у</w:t>
      </w:r>
      <w:r>
        <w:t>гим членам Комитета, настоятельно призывая Ио</w:t>
      </w:r>
      <w:r>
        <w:t>р</w:t>
      </w:r>
      <w:r>
        <w:t>данию пересмотреть сделанные ею оговорки к Ко</w:t>
      </w:r>
      <w:r>
        <w:t>н</w:t>
      </w:r>
      <w:r>
        <w:t>венции. Ей будет интересно узнать, какова в Иорд</w:t>
      </w:r>
      <w:r>
        <w:t>а</w:t>
      </w:r>
      <w:r>
        <w:t>нии доля женщин, не являющихся мусульманками, и каким образом Акт о личном статусе применяется к ним. Некоторые замечания в докладе свидетельс</w:t>
      </w:r>
      <w:r>
        <w:t>т</w:t>
      </w:r>
      <w:r>
        <w:t>вуют о том, что христианские церкви играют опр</w:t>
      </w:r>
      <w:r>
        <w:t>е</w:t>
      </w:r>
      <w:r>
        <w:t>деленную роль в решении вопросов личного статуса членов их общин.</w:t>
      </w:r>
    </w:p>
    <w:p w:rsidR="00000000" w:rsidRDefault="00000000">
      <w:pPr>
        <w:pStyle w:val="DualTxt"/>
      </w:pPr>
      <w:r>
        <w:t>39.</w:t>
      </w:r>
      <w:r>
        <w:tab/>
        <w:t>В докладе упоминаются предложения об изм</w:t>
      </w:r>
      <w:r>
        <w:t>е</w:t>
      </w:r>
      <w:r>
        <w:t>нении положений о многоженстве в статье 40 Акта о личном статусе. Она будет признательна за раз</w:t>
      </w:r>
      <w:r>
        <w:t>ъ</w:t>
      </w:r>
      <w:r>
        <w:t>яснения относительно источника предложений, п</w:t>
      </w:r>
      <w:r>
        <w:t>о</w:t>
      </w:r>
      <w:r>
        <w:t>зиции правительства в этой связи, вероятности принятия такой п</w:t>
      </w:r>
      <w:r>
        <w:t>о</w:t>
      </w:r>
      <w:r>
        <w:t>правки и возможных сроков.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>жа Ауидж</w:t>
      </w:r>
      <w:r>
        <w:t xml:space="preserve"> говорит, что государс</w:t>
      </w:r>
      <w:r>
        <w:t>т</w:t>
      </w:r>
      <w:r>
        <w:t>во-участник должно прояснить, почему только кади обладают юрисдикцией рассматривать вопросы личного статуса. В ряде арабских и других мусул</w:t>
      </w:r>
      <w:r>
        <w:t>ь</w:t>
      </w:r>
      <w:r>
        <w:t>манских стран дела о семейном положении и ли</w:t>
      </w:r>
      <w:r>
        <w:t>ч</w:t>
      </w:r>
      <w:r>
        <w:t>ном статусе рассматриваются не религиозными л</w:t>
      </w:r>
      <w:r>
        <w:t>и</w:t>
      </w:r>
      <w:r>
        <w:t>дерами, а обычными магистратами, которые в большей степени склонны находить компромисс между положениями шариата и требованиями с</w:t>
      </w:r>
      <w:r>
        <w:t>о</w:t>
      </w:r>
      <w:r>
        <w:t>временной жизни и применять нормы междунаро</w:t>
      </w:r>
      <w:r>
        <w:t>д</w:t>
      </w:r>
      <w:r>
        <w:t>ного права, включая Конвенцию. Более того, теперь, когда женщин начали назначать в судебные органы в Иордании, их решения по вопросам личного ст</w:t>
      </w:r>
      <w:r>
        <w:t>а</w:t>
      </w:r>
      <w:r>
        <w:t>туса могут иметь весьма ценное значение для улучшения положения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41.</w:t>
      </w:r>
      <w:r>
        <w:tab/>
        <w:t>Поскольку показатель многоженства в Иорд</w:t>
      </w:r>
      <w:r>
        <w:t>а</w:t>
      </w:r>
      <w:r>
        <w:t>нии составляет лишь 8 процентов, пришло время для того, чтобы правительство ввело ограничения и начало регулировать полигамию с целью ликвид</w:t>
      </w:r>
      <w:r>
        <w:t>и</w:t>
      </w:r>
      <w:r>
        <w:t>ровать ее в более долгосрочной перспективе. Пол</w:t>
      </w:r>
      <w:r>
        <w:t>и</w:t>
      </w:r>
      <w:r>
        <w:t>гамия не является основополагающим принципом ислама или его исключительной характеристикой: она практиковалась и в других культурах. Мног</w:t>
      </w:r>
      <w:r>
        <w:t>о</w:t>
      </w:r>
      <w:r>
        <w:t>женство стало анахронизмом, и она надеется, что Иорданский национальный комитет по делам же</w:t>
      </w:r>
      <w:r>
        <w:t>н</w:t>
      </w:r>
      <w:r>
        <w:t>щин смело возьмется за решение этого вопр</w:t>
      </w:r>
      <w:r>
        <w:t>о</w:t>
      </w:r>
      <w:r>
        <w:t>са.</w:t>
      </w:r>
    </w:p>
    <w:p w:rsidR="00000000" w:rsidRDefault="00000000">
      <w:pPr>
        <w:pStyle w:val="DualTxt"/>
      </w:pPr>
      <w:r>
        <w:t>42.</w:t>
      </w:r>
      <w:r>
        <w:tab/>
        <w:t>Согласно докладу, Акт о личном статусе пр</w:t>
      </w:r>
      <w:r>
        <w:t>е</w:t>
      </w:r>
      <w:r>
        <w:t>доставляет жене право на расторжение брака, если ее муж не способен выполнять свои супружеские обязанности, стал душевнобольным или покинул ее. Она будет приветствовать информацию о числе т</w:t>
      </w:r>
      <w:r>
        <w:t>а</w:t>
      </w:r>
      <w:r>
        <w:t>ких дел, с которыми женщины обращались к кади, и об итогах их рассмотрения. Аналогичным образом, ей интересно получить информацию о том, возбу</w:t>
      </w:r>
      <w:r>
        <w:t>ж</w:t>
      </w:r>
      <w:r>
        <w:t>дали ли женщины в судах дела о получении ко</w:t>
      </w:r>
      <w:r>
        <w:t>м</w:t>
      </w:r>
      <w:r>
        <w:t>пенсации за произвольный развод и с каким усп</w:t>
      </w:r>
      <w:r>
        <w:t>е</w:t>
      </w:r>
      <w:r>
        <w:t>хом.</w:t>
      </w:r>
    </w:p>
    <w:p w:rsidR="00000000" w:rsidRDefault="00000000">
      <w:pPr>
        <w:pStyle w:val="DualTxt"/>
      </w:pPr>
      <w:r>
        <w:t>43.</w:t>
      </w:r>
      <w:r>
        <w:tab/>
        <w:t>Поскольку многие женщины не знают своих прав, они не могут пользоваться возможностью, предоставляемой шариатом, и включать в свои брачные контракты клаузулы, позволяющие им, н</w:t>
      </w:r>
      <w:r>
        <w:t>а</w:t>
      </w:r>
      <w:r>
        <w:t>пример, работать за пределами дома или выбирать свое место жительства. Иорданский национальный комитет по делам женщин в сотрудничестве с н</w:t>
      </w:r>
      <w:r>
        <w:t>е</w:t>
      </w:r>
      <w:r>
        <w:t>правительственными организациями должен пр</w:t>
      </w:r>
      <w:r>
        <w:t>о</w:t>
      </w:r>
      <w:r>
        <w:t>вести информационную кампанию, посвященную положениям, которые могут быть включены в бра</w:t>
      </w:r>
      <w:r>
        <w:t>ч</w:t>
      </w:r>
      <w:r>
        <w:t>ные ко</w:t>
      </w:r>
      <w:r>
        <w:t>н</w:t>
      </w:r>
      <w:r>
        <w:t>тракты.</w:t>
      </w:r>
    </w:p>
    <w:p w:rsidR="00000000" w:rsidRDefault="00000000">
      <w:pPr>
        <w:pStyle w:val="DualTxt"/>
      </w:pPr>
      <w:r>
        <w:t>44.</w:t>
      </w:r>
      <w:r>
        <w:tab/>
        <w:t>В отношении статьи 16 Конвенции мусульма</w:t>
      </w:r>
      <w:r>
        <w:t>н</w:t>
      </w:r>
      <w:r>
        <w:t>скими странами, как правило, выражается на</w:t>
      </w:r>
      <w:r>
        <w:t>и</w:t>
      </w:r>
      <w:r>
        <w:t>большее число оговорок. По ее мнению, любая сн</w:t>
      </w:r>
      <w:r>
        <w:t>я</w:t>
      </w:r>
      <w:r>
        <w:t>тая или определенная более узко оговорка пре</w:t>
      </w:r>
      <w:r>
        <w:t>д</w:t>
      </w:r>
      <w:r>
        <w:t>ставляет собой важный шаг в деле улучшения п</w:t>
      </w:r>
      <w:r>
        <w:t>о</w:t>
      </w:r>
      <w:r>
        <w:t>ложения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жа Саббах</w:t>
      </w:r>
      <w:r>
        <w:t xml:space="preserve"> (Иордания) говорит, что вопросы членов Комитета дали ее делегации много пищи для размышлений. Члены ее делегации приложат все усилия к тому, чтобы подготовить ответы для Ком</w:t>
      </w:r>
      <w:r>
        <w:t>и</w:t>
      </w:r>
      <w:r>
        <w:t>тета на нынешней сессии, однако любые нереше</w:t>
      </w:r>
      <w:r>
        <w:t>н</w:t>
      </w:r>
      <w:r>
        <w:t>ные вопросы будут, конечно же, рассмотрены в сл</w:t>
      </w:r>
      <w:r>
        <w:t>е</w:t>
      </w:r>
      <w:r>
        <w:t>дующем периодическом докладе Иордании.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Заседание закрывается в 16 ч. 45 м.</w:t>
      </w:r>
    </w:p>
    <w:p w:rsidR="00000000" w:rsidRDefault="00000000">
      <w:pPr>
        <w:pStyle w:val="DualTxt"/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NO&gt;&gt;N0025080R&lt;&lt;ODS JOB NO&gt;&gt;</w:t>
      </w:r>
    </w:p>
    <w:p w:rsidR="00000000" w:rsidRDefault="00000000">
      <w:pPr>
        <w:pStyle w:val="CommentText"/>
      </w:pPr>
      <w:r>
        <w:t>&lt;&lt;ODS DOC SYMBOL1&gt;&gt;CEDAW/C/SR.449&lt;&lt;ODS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00-25080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*0025080*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CEDAW/C/SR.449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CEDAW/C/SR.449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/C/SR.449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16</w:t>
          </w:r>
          <w:r>
            <w:t xml:space="preserve"> November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4/11/2001 2:18: PM"/>
    <w:docVar w:name="DocCategory" w:val="SROthers"/>
    <w:docVar w:name="DocType" w:val="Final"/>
    <w:docVar w:name="JobNo" w:val="0025080R"/>
    <w:docVar w:name="OandT" w:val=" "/>
    <w:docVar w:name="Symbol1" w:val="CEDAW/C/SR.449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</Pages>
  <Words>3432</Words>
  <Characters>22313</Characters>
  <Application>Microsoft Office Word</Application>
  <DocSecurity>4</DocSecurity>
  <Lines>619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26774</CharactersWithSpaces>
  <SharedDoc>false</SharedDoc>
  <HLinks>
    <vt:vector size="6" baseType="variant">
      <vt:variant>
        <vt:i4>4522087</vt:i4>
      </vt:variant>
      <vt:variant>
        <vt:i4>53998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5</cp:revision>
  <cp:lastPrinted>2001-11-15T09:38:00Z</cp:lastPrinted>
  <dcterms:created xsi:type="dcterms:W3CDTF">2001-11-15T09:38:00Z</dcterms:created>
  <dcterms:modified xsi:type="dcterms:W3CDTF">2001-11-15T09:43:00Z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0025080</vt:lpwstr>
  </property>
  <property fmtid="{D5CDD505-2E9C-101B-9397-08002B2CF9AE}" pid="3" name="Symbol1">
    <vt:lpwstr>CEDAW/C/SR.449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8</vt:lpwstr>
  </property>
  <property fmtid="{D5CDD505-2E9C-101B-9397-08002B2CF9AE}" pid="8" name="Operator">
    <vt:lpwstr>Филиппова</vt:lpwstr>
  </property>
</Properties>
</file>