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28D" w:rsidRDefault="0056628D">
      <w:pPr>
        <w:spacing w:line="60" w:lineRule="exact"/>
        <w:rPr>
          <w:rFonts w:ascii="Times New Roman"/>
          <w:sz w:val="6"/>
        </w:rPr>
        <w:sectPr w:rsidR="0056628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56628D" w:rsidRDefault="0056628D">
      <w:pPr>
        <w:pStyle w:val="H1"/>
        <w:spacing w:line="340" w:lineRule="exact"/>
      </w:pPr>
      <w:r>
        <w:t>消除对妇女歧视委员会</w:t>
      </w:r>
    </w:p>
    <w:p w:rsidR="0056628D" w:rsidRDefault="0056628D">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56628D" w:rsidRDefault="0056628D">
      <w:pPr>
        <w:pStyle w:val="DualTxt"/>
        <w:spacing w:after="0"/>
        <w:rPr>
          <w:rFonts w:ascii="SimHei" w:eastAsia="SimHei"/>
          <w:color w:val="FF0000"/>
        </w:rPr>
      </w:pPr>
      <w:r>
        <w:rPr>
          <w:rFonts w:ascii="SimHei" w:eastAsia="SimHei"/>
          <w:color w:val="FF0000"/>
        </w:rPr>
        <w:t>第</w:t>
      </w:r>
      <w:r>
        <w:rPr>
          <w:rFonts w:ascii="SimHei" w:eastAsia="SimHei" w:hint="eastAsia"/>
          <w:color w:val="FF0000"/>
        </w:rPr>
        <w:t>802</w:t>
      </w:r>
      <w:r>
        <w:rPr>
          <w:rFonts w:ascii="SimHei" w:eastAsia="SimHei"/>
          <w:color w:val="FF0000"/>
        </w:rPr>
        <w:t>次会议</w:t>
      </w:r>
      <w:r>
        <w:rPr>
          <w:rFonts w:ascii="SimHei" w:eastAsia="SimHei" w:hint="eastAsia"/>
          <w:color w:val="FF0000"/>
        </w:rPr>
        <w:t>简要记录（A室）</w:t>
      </w:r>
    </w:p>
    <w:p w:rsidR="0056628D" w:rsidRDefault="0056628D">
      <w:pPr>
        <w:spacing w:afterLines="50" w:after="156"/>
        <w:rPr>
          <w:rFonts w:ascii="Times New Roman"/>
        </w:rPr>
      </w:pPr>
      <w:r>
        <w:rPr>
          <w:rFonts w:ascii="Times New Roman"/>
        </w:rPr>
        <w:t>2007</w:t>
      </w:r>
      <w:r>
        <w:rPr>
          <w:rFonts w:ascii="Times New Roman"/>
        </w:rPr>
        <w:t>年</w:t>
      </w:r>
      <w:r>
        <w:rPr>
          <w:rFonts w:ascii="Times New Roman" w:hint="eastAsia"/>
        </w:rPr>
        <w:t>7</w:t>
      </w:r>
      <w:r>
        <w:rPr>
          <w:rFonts w:ascii="Times New Roman"/>
        </w:rPr>
        <w:t>月</w:t>
      </w:r>
      <w:r>
        <w:rPr>
          <w:rFonts w:ascii="Times New Roman" w:hint="eastAsia"/>
        </w:rPr>
        <w:t>31</w:t>
      </w:r>
      <w:r>
        <w:rPr>
          <w:rFonts w:ascii="Times New Roman"/>
        </w:rPr>
        <w:t>日，星期</w:t>
      </w:r>
      <w:r>
        <w:rPr>
          <w:rFonts w:ascii="Times New Roman" w:hint="eastAsia"/>
        </w:rPr>
        <w:t>二</w:t>
      </w:r>
      <w:r>
        <w:rPr>
          <w:rFonts w:ascii="Times New Roman"/>
        </w:rPr>
        <w:t>，</w:t>
      </w:r>
      <w:r>
        <w:rPr>
          <w:rFonts w:ascii="Times New Roman" w:hint="eastAsia"/>
        </w:rPr>
        <w:t>下</w:t>
      </w:r>
      <w:r>
        <w:rPr>
          <w:rFonts w:ascii="Times New Roman"/>
        </w:rPr>
        <w:t>午</w:t>
      </w:r>
      <w:r>
        <w:rPr>
          <w:rFonts w:ascii="Times New Roman" w:hint="eastAsia"/>
        </w:rPr>
        <w:t>3</w:t>
      </w:r>
      <w:r>
        <w:rPr>
          <w:rFonts w:ascii="Times New Roman"/>
        </w:rPr>
        <w:t>时在纽约总部举行</w:t>
      </w:r>
    </w:p>
    <w:p w:rsidR="0056628D" w:rsidRDefault="0056628D">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hint="eastAsia"/>
        </w:rPr>
        <w:t>贾布尔女士（副主席）</w:t>
      </w:r>
    </w:p>
    <w:p w:rsidR="0056628D" w:rsidRDefault="0056628D">
      <w:pPr>
        <w:tabs>
          <w:tab w:val="left" w:pos="1260"/>
          <w:tab w:val="right" w:leader="dot" w:pos="8568"/>
        </w:tabs>
        <w:spacing w:line="360" w:lineRule="auto"/>
        <w:ind w:right="1267"/>
        <w:rPr>
          <w:rFonts w:ascii="Times New Roman"/>
        </w:rPr>
      </w:pPr>
    </w:p>
    <w:p w:rsidR="0056628D" w:rsidRDefault="0056628D">
      <w:pPr>
        <w:tabs>
          <w:tab w:val="left" w:pos="1267"/>
          <w:tab w:val="right" w:leader="dot" w:pos="8568"/>
        </w:tabs>
        <w:spacing w:line="120" w:lineRule="exact"/>
        <w:ind w:right="1267"/>
        <w:rPr>
          <w:rFonts w:ascii="Times New Roman"/>
          <w:sz w:val="10"/>
        </w:rPr>
      </w:pPr>
    </w:p>
    <w:p w:rsidR="0056628D" w:rsidRDefault="0056628D">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56628D" w:rsidRDefault="0056628D">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56628D" w:rsidRDefault="0056628D" w:rsidP="00AF2F68">
      <w:pPr>
        <w:pStyle w:val="SingleTxt"/>
        <w:spacing w:after="180" w:line="340" w:lineRule="exact"/>
        <w:ind w:leftChars="602" w:left="31680" w:firstLineChars="200" w:firstLine="31680"/>
        <w:rPr>
          <w:rFonts w:eastAsia="KaiTi_GB2312"/>
          <w:color w:val="0000FF"/>
        </w:rPr>
      </w:pPr>
      <w:r>
        <w:rPr>
          <w:rFonts w:eastAsia="KaiTi_GB2312" w:hint="eastAsia"/>
          <w:color w:val="0000FF"/>
        </w:rPr>
        <w:t>匈牙利的第六次定期报告</w:t>
      </w:r>
      <w:r>
        <w:rPr>
          <w:rFonts w:ascii="Times New Roman"/>
        </w:rPr>
        <w:t>（</w:t>
      </w:r>
      <w:r>
        <w:rPr>
          <w:rFonts w:ascii="Times New Roman" w:eastAsia="KaiTi_GB2312"/>
          <w:color w:val="0000FF"/>
        </w:rPr>
        <w:t>续</w:t>
      </w:r>
      <w:r>
        <w:rPr>
          <w:rFonts w:ascii="Times New Roman"/>
        </w:rPr>
        <w:t>）</w:t>
      </w:r>
    </w:p>
    <w:p w:rsidR="0056628D" w:rsidRDefault="0056628D">
      <w:pPr>
        <w:pStyle w:val="SingleTxt"/>
        <w:spacing w:after="0" w:line="240" w:lineRule="exact"/>
        <w:rPr>
          <w:rFonts w:ascii="Times New Roman"/>
        </w:rPr>
      </w:pPr>
    </w:p>
    <w:p w:rsidR="0056628D" w:rsidRDefault="0056628D">
      <w:pPr>
        <w:pStyle w:val="SingleTxt"/>
        <w:spacing w:after="0" w:line="240" w:lineRule="exact"/>
        <w:rPr>
          <w:rFonts w:ascii="Times New Roman"/>
        </w:rPr>
        <w:sectPr w:rsidR="0056628D">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56628D" w:rsidRDefault="0056628D">
      <w:pPr>
        <w:pStyle w:val="SingleTxt"/>
        <w:spacing w:after="0" w:line="20" w:lineRule="exact"/>
        <w:rPr>
          <w:rFonts w:ascii="Times New Roman"/>
        </w:rPr>
        <w:sectPr w:rsidR="0056628D">
          <w:endnotePr>
            <w:numFmt w:val="decimal"/>
          </w:endnotePr>
          <w:pgSz w:w="12242" w:h="15842" w:code="1"/>
          <w:pgMar w:top="1742" w:right="1195" w:bottom="1898" w:left="1195" w:header="576" w:footer="1030" w:gutter="0"/>
          <w:cols w:space="425"/>
          <w:noEndnote/>
          <w:docGrid w:type="lines" w:linePitch="312"/>
        </w:sectPr>
      </w:pPr>
    </w:p>
    <w:p w:rsidR="0056628D" w:rsidRDefault="0056628D">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因加斯帕德女士缺席，副主席贾布尔女士代行主席职务。</w:t>
      </w:r>
    </w:p>
    <w:p w:rsidR="0056628D" w:rsidRDefault="0056628D">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下午3时宣布开会</w:t>
      </w:r>
    </w:p>
    <w:p w:rsidR="0056628D" w:rsidRDefault="0056628D">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56628D" w:rsidRDefault="0056628D">
      <w:pPr>
        <w:tabs>
          <w:tab w:val="left" w:pos="420"/>
        </w:tabs>
        <w:spacing w:after="180" w:line="340" w:lineRule="exact"/>
        <w:ind w:left="420"/>
        <w:jc w:val="both"/>
        <w:rPr>
          <w:rFonts w:ascii="Times New Roman" w:eastAsia="KaiTi_GB2312" w:hint="eastAsia"/>
          <w:color w:val="0000FF"/>
        </w:rPr>
      </w:pPr>
      <w:r>
        <w:rPr>
          <w:rFonts w:ascii="Times New Roman" w:eastAsia="KaiTi_GB2312" w:hint="eastAsia"/>
          <w:color w:val="0000FF"/>
          <w:spacing w:val="-2"/>
        </w:rPr>
        <w:t>匈牙利的第六次定期报告（续）（</w:t>
      </w:r>
      <w:r>
        <w:rPr>
          <w:rFonts w:ascii="Times New Roman" w:eastAsia="KaiTi_GB2312"/>
          <w:color w:val="0000FF"/>
          <w:spacing w:val="-2"/>
        </w:rPr>
        <w:t>CEDAW/C/</w:t>
      </w:r>
      <w:r>
        <w:rPr>
          <w:rFonts w:ascii="Times New Roman" w:eastAsia="KaiTi_GB2312" w:hint="eastAsia"/>
          <w:color w:val="0000FF"/>
          <w:spacing w:val="-2"/>
        </w:rPr>
        <w:t>HUN</w:t>
      </w:r>
      <w:r>
        <w:rPr>
          <w:rFonts w:ascii="Times New Roman" w:eastAsia="KaiTi_GB2312"/>
          <w:color w:val="0000FF"/>
          <w:spacing w:val="-2"/>
        </w:rPr>
        <w:t>/</w:t>
      </w:r>
      <w:r>
        <w:rPr>
          <w:rFonts w:ascii="Times New Roman" w:eastAsia="KaiTi_GB2312" w:hint="eastAsia"/>
          <w:color w:val="0000FF"/>
        </w:rPr>
        <w:t xml:space="preserve"> 6</w:t>
      </w:r>
      <w:r>
        <w:rPr>
          <w:rFonts w:ascii="Times New Roman" w:eastAsia="KaiTi_GB2312" w:hint="eastAsia"/>
          <w:color w:val="0000FF"/>
        </w:rPr>
        <w:t>、</w:t>
      </w:r>
      <w:r>
        <w:rPr>
          <w:rFonts w:ascii="Times New Roman" w:eastAsia="KaiTi_GB2312"/>
          <w:color w:val="0000FF"/>
        </w:rPr>
        <w:t>CEDAW/C/</w:t>
      </w:r>
      <w:r>
        <w:rPr>
          <w:rFonts w:ascii="Times New Roman" w:eastAsia="KaiTi_GB2312" w:hint="eastAsia"/>
          <w:color w:val="0000FF"/>
        </w:rPr>
        <w:t>HUN</w:t>
      </w:r>
      <w:r>
        <w:rPr>
          <w:rFonts w:ascii="Times New Roman" w:eastAsia="KaiTi_GB2312"/>
          <w:color w:val="0000FF"/>
        </w:rPr>
        <w:t>/Q/</w:t>
      </w:r>
      <w:r>
        <w:rPr>
          <w:rFonts w:ascii="Times New Roman" w:eastAsia="KaiTi_GB2312" w:hint="eastAsia"/>
          <w:color w:val="0000FF"/>
        </w:rPr>
        <w:t>6</w:t>
      </w:r>
      <w:r>
        <w:rPr>
          <w:rFonts w:ascii="Times New Roman" w:eastAsia="KaiTi_GB2312" w:hint="eastAsia"/>
          <w:color w:val="0000FF"/>
        </w:rPr>
        <w:t>和</w:t>
      </w:r>
      <w:r>
        <w:rPr>
          <w:rFonts w:ascii="Times New Roman" w:eastAsia="KaiTi_GB2312"/>
          <w:color w:val="0000FF"/>
        </w:rPr>
        <w:t>Add.1</w:t>
      </w:r>
      <w:r>
        <w:rPr>
          <w:rFonts w:ascii="Times New Roman" w:eastAsia="KaiTi_GB2312" w:hint="eastAsia"/>
          <w:color w:val="0000FF"/>
        </w:rPr>
        <w:t>）</w:t>
      </w:r>
    </w:p>
    <w:p w:rsidR="0056628D" w:rsidRDefault="0056628D">
      <w:pPr>
        <w:pStyle w:val="DualTxt"/>
        <w:spacing w:line="340" w:lineRule="exact"/>
        <w:rPr>
          <w:rFonts w:ascii="Times New Roman"/>
          <w:i/>
        </w:rPr>
      </w:pPr>
      <w:r>
        <w:rPr>
          <w:rFonts w:ascii="Times New Roman"/>
        </w:rPr>
        <w:t>1.</w:t>
      </w:r>
      <w:r>
        <w:rPr>
          <w:rFonts w:ascii="Times New Roman"/>
        </w:rPr>
        <w:tab/>
      </w:r>
      <w:r>
        <w:rPr>
          <w:rFonts w:ascii="Times New Roman" w:eastAsia="KaiTi_GB2312" w:hint="eastAsia"/>
          <w:color w:val="0000FF"/>
          <w:spacing w:val="-4"/>
        </w:rPr>
        <w:t>应主席邀请，</w:t>
      </w:r>
      <w:r>
        <w:rPr>
          <w:rFonts w:ascii="Times New Roman" w:eastAsia="KaiTi_GB2312"/>
          <w:color w:val="0000FF"/>
          <w:spacing w:val="-4"/>
        </w:rPr>
        <w:t xml:space="preserve"> </w:t>
      </w:r>
      <w:r>
        <w:rPr>
          <w:rFonts w:ascii="Times New Roman" w:eastAsia="KaiTi_GB2312" w:hint="eastAsia"/>
          <w:color w:val="0000FF"/>
          <w:spacing w:val="-4"/>
        </w:rPr>
        <w:t>匈牙利代表团成员在委员会议席就座。</w:t>
      </w:r>
    </w:p>
    <w:p w:rsidR="0056628D" w:rsidRDefault="0056628D">
      <w:pPr>
        <w:pStyle w:val="DualTxt"/>
        <w:spacing w:line="340" w:lineRule="exact"/>
        <w:rPr>
          <w:rFonts w:ascii="Times New Roman" w:hint="eastAsia"/>
        </w:rPr>
      </w:pPr>
      <w:r>
        <w:rPr>
          <w:rFonts w:ascii="Times New Roman"/>
        </w:rPr>
        <w:t>2.</w:t>
      </w:r>
      <w:r>
        <w:rPr>
          <w:rFonts w:ascii="Times New Roman"/>
        </w:rPr>
        <w:tab/>
      </w:r>
      <w:r>
        <w:rPr>
          <w:rFonts w:ascii="SimHei" w:eastAsia="SimHei" w:hint="eastAsia"/>
          <w:color w:val="FF0000"/>
        </w:rPr>
        <w:t>主席</w:t>
      </w:r>
      <w:r>
        <w:rPr>
          <w:rFonts w:ascii="Times New Roman" w:hint="eastAsia"/>
        </w:rPr>
        <w:t>请该代表团继续回答上次会议根据《公约》第</w:t>
      </w:r>
      <w:r>
        <w:rPr>
          <w:rFonts w:ascii="Times New Roman" w:hint="eastAsia"/>
        </w:rPr>
        <w:t>7</w:t>
      </w:r>
      <w:r>
        <w:rPr>
          <w:rFonts w:ascii="Times New Roman" w:hint="eastAsia"/>
        </w:rPr>
        <w:t>条至第</w:t>
      </w:r>
      <w:r>
        <w:rPr>
          <w:rFonts w:ascii="Times New Roman" w:hint="eastAsia"/>
        </w:rPr>
        <w:t>9</w:t>
      </w:r>
      <w:r>
        <w:rPr>
          <w:rFonts w:ascii="Times New Roman" w:hint="eastAsia"/>
        </w:rPr>
        <w:t>条提出的问题。</w:t>
      </w:r>
    </w:p>
    <w:p w:rsidR="0056628D" w:rsidRDefault="0056628D">
      <w:pPr>
        <w:pStyle w:val="DualTxt"/>
        <w:spacing w:line="340" w:lineRule="exact"/>
        <w:rPr>
          <w:rFonts w:ascii="Times New Roman" w:eastAsia="KaiTi_GB2312"/>
          <w:color w:val="0000FF"/>
          <w:spacing w:val="-4"/>
        </w:rPr>
      </w:pPr>
      <w:r>
        <w:rPr>
          <w:rFonts w:ascii="Times New Roman" w:eastAsia="KaiTi_GB2312" w:hint="eastAsia"/>
          <w:color w:val="0000FF"/>
          <w:spacing w:val="-4"/>
        </w:rPr>
        <w:t>第</w:t>
      </w:r>
      <w:r>
        <w:rPr>
          <w:rFonts w:ascii="Times New Roman" w:eastAsia="KaiTi_GB2312" w:hint="eastAsia"/>
          <w:color w:val="0000FF"/>
          <w:spacing w:val="-4"/>
        </w:rPr>
        <w:t>7</w:t>
      </w:r>
      <w:r>
        <w:rPr>
          <w:rFonts w:ascii="Times New Roman" w:eastAsia="KaiTi_GB2312" w:hint="eastAsia"/>
          <w:color w:val="0000FF"/>
          <w:spacing w:val="-4"/>
        </w:rPr>
        <w:t>条至第</w:t>
      </w:r>
      <w:r>
        <w:rPr>
          <w:rFonts w:ascii="Times New Roman" w:eastAsia="KaiTi_GB2312" w:hint="eastAsia"/>
          <w:color w:val="0000FF"/>
          <w:spacing w:val="-4"/>
        </w:rPr>
        <w:t>9</w:t>
      </w:r>
      <w:r>
        <w:rPr>
          <w:rFonts w:ascii="Times New Roman" w:eastAsia="KaiTi_GB2312" w:hint="eastAsia"/>
          <w:color w:val="0000FF"/>
          <w:spacing w:val="-4"/>
        </w:rPr>
        <w:t>条</w:t>
      </w:r>
    </w:p>
    <w:p w:rsidR="0056628D" w:rsidRDefault="0056628D">
      <w:pPr>
        <w:pStyle w:val="DualTxt"/>
        <w:spacing w:line="340" w:lineRule="exact"/>
        <w:rPr>
          <w:rFonts w:ascii="Times New Roman"/>
        </w:rPr>
      </w:pPr>
      <w:r>
        <w:rPr>
          <w:rFonts w:ascii="Times New Roman"/>
        </w:rPr>
        <w:t>3.</w:t>
      </w:r>
      <w:r>
        <w:rPr>
          <w:rFonts w:ascii="Times New Roman"/>
        </w:rPr>
        <w:tab/>
      </w:r>
      <w:r>
        <w:rPr>
          <w:rFonts w:ascii="SimHei" w:eastAsia="SimHei"/>
          <w:color w:val="FF0000"/>
        </w:rPr>
        <w:t>Rauh</w:t>
      </w:r>
      <w:r>
        <w:rPr>
          <w:rFonts w:ascii="SimHei" w:eastAsia="SimHei" w:hint="eastAsia"/>
          <w:color w:val="FF0000"/>
        </w:rPr>
        <w:t>女士</w:t>
      </w:r>
      <w:r>
        <w:rPr>
          <w:rFonts w:ascii="Times New Roman" w:hint="eastAsia"/>
        </w:rPr>
        <w:t>（匈牙利）说，关于性骚扰的控诉通常在法院审理前撤诉，因为虽然有证人保护方案，但仍很难让证人出庭作证。</w:t>
      </w:r>
    </w:p>
    <w:p w:rsidR="0056628D" w:rsidRDefault="0056628D">
      <w:pPr>
        <w:pStyle w:val="DualTxt"/>
        <w:spacing w:line="340" w:lineRule="exact"/>
        <w:rPr>
          <w:rFonts w:ascii="Times New Roman"/>
        </w:rPr>
      </w:pPr>
      <w:r>
        <w:rPr>
          <w:rFonts w:ascii="Times New Roman"/>
        </w:rPr>
        <w:t>4.</w:t>
      </w:r>
      <w:r>
        <w:rPr>
          <w:rFonts w:ascii="Times New Roman"/>
        </w:rPr>
        <w:tab/>
      </w:r>
      <w:r>
        <w:rPr>
          <w:rFonts w:ascii="SimHei" w:eastAsia="SimHei"/>
          <w:color w:val="FF0000"/>
        </w:rPr>
        <w:t>Buz</w:t>
      </w:r>
      <w:r>
        <w:rPr>
          <w:rFonts w:ascii="SimHei" w:eastAsia="SimHei"/>
          <w:color w:val="FF0000"/>
        </w:rPr>
        <w:t>á</w:t>
      </w:r>
      <w:r>
        <w:rPr>
          <w:rFonts w:ascii="SimHei" w:eastAsia="SimHei"/>
          <w:color w:val="FF0000"/>
        </w:rPr>
        <w:t>s</w:t>
      </w:r>
      <w:r>
        <w:rPr>
          <w:rFonts w:ascii="SimHei" w:eastAsia="SimHei" w:hint="eastAsia"/>
          <w:color w:val="FF0000"/>
        </w:rPr>
        <w:t>女士</w:t>
      </w:r>
      <w:r>
        <w:rPr>
          <w:rFonts w:ascii="Times New Roman" w:hint="eastAsia"/>
        </w:rPr>
        <w:t>（匈牙利）说，政府正在考虑成立一个部门间人权委员会，每年召集六次会议，以协调和监督人权活动，包括向各条约机构提出报告。委员会中也将有民间社会组织、非政府组织和实地科研机构的代表参与，从而确立一种所需要的公共机构关系。</w:t>
      </w:r>
    </w:p>
    <w:p w:rsidR="0056628D" w:rsidRDefault="0056628D">
      <w:pPr>
        <w:pStyle w:val="DualTxt"/>
        <w:spacing w:line="340" w:lineRule="exact"/>
        <w:rPr>
          <w:rFonts w:ascii="Times New Roman"/>
        </w:rPr>
      </w:pPr>
      <w:r>
        <w:rPr>
          <w:rFonts w:ascii="Times New Roman"/>
        </w:rPr>
        <w:t>5.</w:t>
      </w:r>
      <w:r>
        <w:rPr>
          <w:rFonts w:ascii="Times New Roman"/>
        </w:rPr>
        <w:tab/>
      </w:r>
      <w:r>
        <w:rPr>
          <w:rFonts w:ascii="SimHei" w:eastAsia="SimHei"/>
          <w:color w:val="FF0000"/>
        </w:rPr>
        <w:t>Mak</w:t>
      </w:r>
      <w:r>
        <w:rPr>
          <w:rFonts w:ascii="SimHei" w:eastAsia="SimHei"/>
          <w:color w:val="FF0000"/>
        </w:rPr>
        <w:t>á</w:t>
      </w:r>
      <w:r>
        <w:rPr>
          <w:rFonts w:ascii="SimHei" w:eastAsia="SimHei"/>
          <w:color w:val="FF0000"/>
        </w:rPr>
        <w:t>r</w:t>
      </w:r>
      <w:r>
        <w:rPr>
          <w:rFonts w:ascii="SimHei" w:eastAsia="SimHei" w:hint="eastAsia"/>
          <w:color w:val="FF0000"/>
        </w:rPr>
        <w:t>女士</w:t>
      </w:r>
      <w:r>
        <w:rPr>
          <w:rFonts w:ascii="Times New Roman" w:hint="eastAsia"/>
        </w:rPr>
        <w:t>（匈牙利）说，议会人权委员会新成立的两性平等小组委员会中，男女成员数量相当。该小组委员会自</w:t>
      </w:r>
      <w:r>
        <w:rPr>
          <w:rFonts w:ascii="Times New Roman" w:hint="eastAsia"/>
        </w:rPr>
        <w:t>2</w:t>
      </w:r>
      <w:r>
        <w:rPr>
          <w:rFonts w:ascii="Times New Roman" w:hint="eastAsia"/>
        </w:rPr>
        <w:t>月以来已开会三次。它在工作中与社会事务和劳动部互相配合，但有自己的工作计划。</w:t>
      </w:r>
    </w:p>
    <w:p w:rsidR="0056628D" w:rsidRDefault="0056628D">
      <w:pPr>
        <w:pStyle w:val="DualTxt"/>
        <w:spacing w:line="340" w:lineRule="exact"/>
        <w:rPr>
          <w:rFonts w:ascii="Times New Roman"/>
        </w:rPr>
      </w:pPr>
      <w:r>
        <w:rPr>
          <w:rFonts w:ascii="Times New Roman"/>
        </w:rPr>
        <w:t>6.</w:t>
      </w:r>
      <w:r>
        <w:rPr>
          <w:rFonts w:ascii="Times New Roman"/>
        </w:rPr>
        <w:tab/>
      </w:r>
      <w:r>
        <w:rPr>
          <w:rFonts w:ascii="Times New Roman" w:hint="eastAsia"/>
        </w:rPr>
        <w:t>多年来社会事务和劳动部与中央数据办公室共同出版一部统计年鉴，提供多领域的按性别分列的数据。虽然年鉴尚未涵盖地方公共行政部门，但它提供了可接受的数据，反映了在各部门担任领导职务的妇女人数。</w:t>
      </w:r>
    </w:p>
    <w:p w:rsidR="0056628D" w:rsidRDefault="0056628D">
      <w:pPr>
        <w:pStyle w:val="DualTxt"/>
        <w:spacing w:line="348" w:lineRule="exact"/>
        <w:rPr>
          <w:rFonts w:ascii="Times New Roman"/>
        </w:rPr>
      </w:pPr>
      <w:r>
        <w:rPr>
          <w:rFonts w:ascii="Times New Roman"/>
        </w:rPr>
        <w:t>7.</w:t>
      </w:r>
      <w:r>
        <w:rPr>
          <w:rFonts w:ascii="Times New Roman"/>
        </w:rPr>
        <w:tab/>
      </w:r>
      <w:r>
        <w:rPr>
          <w:rFonts w:ascii="Times New Roman" w:hint="eastAsia"/>
        </w:rPr>
        <w:t>社会党自行规定了国家公职女性候选人的比例限额为</w:t>
      </w:r>
      <w:r>
        <w:rPr>
          <w:rFonts w:ascii="Times New Roman" w:hint="eastAsia"/>
        </w:rPr>
        <w:t>20%</w:t>
      </w:r>
      <w:r>
        <w:rPr>
          <w:rFonts w:ascii="Times New Roman" w:hint="eastAsia"/>
        </w:rPr>
        <w:t>，但是计划在秋季讨论并通过的议会议案包括了地方和国家应该在选举前公布的候选人名单，并且还规定合并名单中的男女人数均等。为了增进议员（过去大多数议员是男性）对性别问题的敏感认识并促进公平决策，政府计划向所有议会议员分发有关该问题的资料汇编，并赞助议会“</w:t>
      </w:r>
      <w:r>
        <w:rPr>
          <w:rFonts w:ascii="Times New Roman" w:hint="eastAsia"/>
        </w:rPr>
        <w:t>50</w:t>
      </w:r>
      <w:r>
        <w:rPr>
          <w:rFonts w:ascii="Times New Roman" w:hint="eastAsia"/>
        </w:rPr>
        <w:t>：</w:t>
      </w:r>
      <w:r>
        <w:rPr>
          <w:rFonts w:ascii="Times New Roman" w:hint="eastAsia"/>
        </w:rPr>
        <w:t>50</w:t>
      </w:r>
      <w:r>
        <w:rPr>
          <w:rFonts w:ascii="Times New Roman" w:hint="eastAsia"/>
        </w:rPr>
        <w:t>日”之类的活动。</w:t>
      </w:r>
    </w:p>
    <w:p w:rsidR="0056628D" w:rsidRDefault="0056628D">
      <w:pPr>
        <w:pStyle w:val="DualTxt"/>
        <w:spacing w:line="348" w:lineRule="exact"/>
        <w:rPr>
          <w:rFonts w:ascii="Times New Roman"/>
        </w:rPr>
      </w:pPr>
      <w:r>
        <w:rPr>
          <w:rFonts w:ascii="Times New Roman"/>
        </w:rPr>
        <w:t>8.</w:t>
      </w:r>
      <w:r>
        <w:rPr>
          <w:rFonts w:ascii="Times New Roman"/>
        </w:rPr>
        <w:tab/>
      </w:r>
      <w:r>
        <w:rPr>
          <w:rFonts w:ascii="SimHei" w:eastAsia="SimHei"/>
          <w:color w:val="FF0000"/>
        </w:rPr>
        <w:t>Buz</w:t>
      </w:r>
      <w:r>
        <w:rPr>
          <w:rFonts w:ascii="SimHei" w:eastAsia="SimHei"/>
          <w:color w:val="FF0000"/>
        </w:rPr>
        <w:t>á</w:t>
      </w:r>
      <w:r>
        <w:rPr>
          <w:rFonts w:ascii="SimHei" w:eastAsia="SimHei"/>
          <w:color w:val="FF0000"/>
        </w:rPr>
        <w:t>s</w:t>
      </w:r>
      <w:r>
        <w:rPr>
          <w:rFonts w:ascii="SimHei" w:eastAsia="SimHei" w:hint="eastAsia"/>
          <w:color w:val="FF0000"/>
        </w:rPr>
        <w:t>女士</w:t>
      </w:r>
      <w:r>
        <w:rPr>
          <w:rFonts w:ascii="Times New Roman" w:hint="eastAsia"/>
        </w:rPr>
        <w:t>（匈牙利）谈到从事外交工作的女性，她说，外交部职业工作人员有三分之一是女性：部长和国务秘书都是女性，还有</w:t>
      </w:r>
      <w:r>
        <w:rPr>
          <w:rFonts w:ascii="Times New Roman" w:hint="eastAsia"/>
        </w:rPr>
        <w:t>21</w:t>
      </w:r>
      <w:r>
        <w:rPr>
          <w:rFonts w:ascii="Times New Roman" w:hint="eastAsia"/>
        </w:rPr>
        <w:t>名女性中层管理者。驻外方面的情况差一些：虽然在领事一级任职的妇女人数较多，但只有</w:t>
      </w:r>
      <w:r>
        <w:rPr>
          <w:rFonts w:ascii="Times New Roman" w:hint="eastAsia"/>
        </w:rPr>
        <w:t>3</w:t>
      </w:r>
      <w:r>
        <w:rPr>
          <w:rFonts w:ascii="Times New Roman" w:hint="eastAsia"/>
        </w:rPr>
        <w:t>名使团团长和</w:t>
      </w:r>
      <w:r>
        <w:rPr>
          <w:rFonts w:ascii="Times New Roman" w:hint="eastAsia"/>
        </w:rPr>
        <w:t>6</w:t>
      </w:r>
      <w:r>
        <w:rPr>
          <w:rFonts w:ascii="Times New Roman" w:hint="eastAsia"/>
        </w:rPr>
        <w:t>名女大使。外交部的机会均等计划旨在实现更大的两性平等。但申请职位时没有男女之分，资格是唯一的选择标准。</w:t>
      </w:r>
    </w:p>
    <w:p w:rsidR="0056628D" w:rsidRDefault="0056628D">
      <w:pPr>
        <w:pStyle w:val="DualTxt"/>
        <w:spacing w:line="348" w:lineRule="exact"/>
        <w:rPr>
          <w:rFonts w:ascii="Times New Roman"/>
        </w:rPr>
      </w:pPr>
      <w:r>
        <w:rPr>
          <w:rFonts w:ascii="Times New Roman"/>
        </w:rPr>
        <w:t>9.</w:t>
      </w:r>
      <w:r>
        <w:rPr>
          <w:rFonts w:ascii="Times New Roman"/>
        </w:rPr>
        <w:tab/>
      </w:r>
      <w:r>
        <w:rPr>
          <w:rFonts w:ascii="SimHei" w:eastAsia="SimHei"/>
          <w:color w:val="FF0000"/>
        </w:rPr>
        <w:t>Rauh</w:t>
      </w:r>
      <w:r>
        <w:rPr>
          <w:rFonts w:ascii="SimHei" w:eastAsia="SimHei" w:hint="eastAsia"/>
          <w:color w:val="FF0000"/>
        </w:rPr>
        <w:t>女士</w:t>
      </w:r>
      <w:r>
        <w:rPr>
          <w:rFonts w:ascii="Times New Roman" w:hint="eastAsia"/>
        </w:rPr>
        <w:t>（匈牙利）说，虽然在社会事务和劳动部的主页上可以看到报告文本，但迄今为止议会两性平等小组委员会还没有收到报告副本。不过，社会事务和劳动部计划今秋就此事项向小组委员会提出报告。</w:t>
      </w:r>
    </w:p>
    <w:p w:rsidR="0056628D" w:rsidRDefault="0056628D">
      <w:pPr>
        <w:pStyle w:val="DualTxt"/>
        <w:spacing w:line="348" w:lineRule="exact"/>
        <w:rPr>
          <w:rFonts w:ascii="Times New Roman" w:eastAsia="KaiTi_GB2312"/>
          <w:color w:val="0000FF"/>
          <w:spacing w:val="-4"/>
        </w:rPr>
      </w:pPr>
      <w:r>
        <w:rPr>
          <w:rFonts w:ascii="Times New Roman" w:eastAsia="KaiTi_GB2312" w:hint="eastAsia"/>
          <w:color w:val="0000FF"/>
          <w:spacing w:val="-4"/>
        </w:rPr>
        <w:t>第</w:t>
      </w:r>
      <w:r>
        <w:rPr>
          <w:rFonts w:ascii="Times New Roman" w:eastAsia="KaiTi_GB2312" w:hint="eastAsia"/>
          <w:color w:val="0000FF"/>
          <w:spacing w:val="-4"/>
        </w:rPr>
        <w:t>10</w:t>
      </w:r>
      <w:r>
        <w:rPr>
          <w:rFonts w:ascii="Times New Roman" w:eastAsia="KaiTi_GB2312" w:hint="eastAsia"/>
          <w:color w:val="0000FF"/>
          <w:spacing w:val="-4"/>
        </w:rPr>
        <w:t>条至第</w:t>
      </w:r>
      <w:r>
        <w:rPr>
          <w:rFonts w:ascii="Times New Roman" w:eastAsia="KaiTi_GB2312" w:hint="eastAsia"/>
          <w:color w:val="0000FF"/>
          <w:spacing w:val="-4"/>
        </w:rPr>
        <w:t>14</w:t>
      </w:r>
      <w:r>
        <w:rPr>
          <w:rFonts w:ascii="Times New Roman" w:eastAsia="KaiTi_GB2312" w:hint="eastAsia"/>
          <w:color w:val="0000FF"/>
          <w:spacing w:val="-4"/>
        </w:rPr>
        <w:t>条</w:t>
      </w:r>
    </w:p>
    <w:p w:rsidR="0056628D" w:rsidRDefault="0056628D">
      <w:pPr>
        <w:pStyle w:val="DualTxt"/>
        <w:spacing w:line="348" w:lineRule="exact"/>
        <w:rPr>
          <w:rFonts w:ascii="Times New Roman"/>
        </w:rPr>
      </w:pPr>
      <w:r>
        <w:rPr>
          <w:rFonts w:ascii="Times New Roman"/>
        </w:rPr>
        <w:t>10.</w:t>
      </w:r>
      <w:r>
        <w:rPr>
          <w:rFonts w:ascii="Times New Roman"/>
        </w:rPr>
        <w:tab/>
      </w:r>
      <w:r>
        <w:rPr>
          <w:rFonts w:ascii="SimHei" w:eastAsia="SimHei"/>
          <w:color w:val="FF0000"/>
        </w:rPr>
        <w:t>Simms</w:t>
      </w:r>
      <w:r>
        <w:rPr>
          <w:rFonts w:ascii="SimHei" w:eastAsia="SimHei" w:hint="eastAsia"/>
          <w:color w:val="FF0000"/>
        </w:rPr>
        <w:t>女士</w:t>
      </w:r>
      <w:r>
        <w:rPr>
          <w:rFonts w:ascii="Times New Roman" w:hint="eastAsia"/>
        </w:rPr>
        <w:t>认为罗姆女孩和妇女面临的问题不是受教育机会问题，而是入学后受到的歧视性待遇。她询问，如果要通过课程设置的改变来消除定型观念，作为其中的一部分，政府是否计划把罗姆妇女的积极形象纳入课程；以及政府是否打算采取暂行特别措施来解决罗姆妇女受教育不足的问题。</w:t>
      </w:r>
    </w:p>
    <w:p w:rsidR="0056628D" w:rsidRDefault="0056628D">
      <w:pPr>
        <w:pStyle w:val="DualTxt"/>
        <w:spacing w:line="340" w:lineRule="exact"/>
        <w:rPr>
          <w:rFonts w:ascii="Times New Roman"/>
        </w:rPr>
      </w:pPr>
      <w:r>
        <w:rPr>
          <w:rFonts w:ascii="Times New Roman"/>
        </w:rPr>
        <w:t>11.</w:t>
      </w:r>
      <w:r>
        <w:rPr>
          <w:rFonts w:ascii="Times New Roman"/>
        </w:rPr>
        <w:tab/>
      </w:r>
      <w:r>
        <w:rPr>
          <w:rFonts w:ascii="SimHei" w:eastAsia="SimHei"/>
          <w:color w:val="FF0000"/>
        </w:rPr>
        <w:t>Pimentel</w:t>
      </w:r>
      <w:r>
        <w:rPr>
          <w:rFonts w:ascii="SimHei" w:eastAsia="SimHei" w:hint="eastAsia"/>
          <w:color w:val="FF0000"/>
        </w:rPr>
        <w:t>女士</w:t>
      </w:r>
      <w:r>
        <w:rPr>
          <w:rFonts w:ascii="Times New Roman" w:hint="eastAsia"/>
        </w:rPr>
        <w:t>高度评价政府在减少把堕胎作为计划生育手段方面做出的努力。但同时她也担心，在答复议题和问题清单（</w:t>
      </w:r>
      <w:r>
        <w:rPr>
          <w:rFonts w:ascii="Times New Roman"/>
        </w:rPr>
        <w:t>CEDAW/C/HUN/Q/6/</w:t>
      </w:r>
      <w:r>
        <w:rPr>
          <w:rFonts w:ascii="Times New Roman" w:hint="eastAsia"/>
        </w:rPr>
        <w:t xml:space="preserve"> </w:t>
      </w:r>
      <w:r>
        <w:rPr>
          <w:rFonts w:ascii="Times New Roman"/>
        </w:rPr>
        <w:t>Add.1</w:t>
      </w:r>
      <w:r>
        <w:rPr>
          <w:rFonts w:ascii="Times New Roman" w:hint="eastAsia"/>
        </w:rPr>
        <w:t>，答复问题</w:t>
      </w:r>
      <w:r>
        <w:rPr>
          <w:rFonts w:ascii="Times New Roman" w:hint="eastAsia"/>
        </w:rPr>
        <w:t>25</w:t>
      </w:r>
      <w:r>
        <w:rPr>
          <w:rFonts w:ascii="Times New Roman"/>
        </w:rPr>
        <w:t xml:space="preserve"> </w:t>
      </w:r>
      <w:r>
        <w:rPr>
          <w:rFonts w:ascii="Times New Roman" w:hint="eastAsia"/>
        </w:rPr>
        <w:t>）时引用的计划生育小册子可能被用来推动保守日程，以完全否定堕胎。她还想知道，在匈牙利，人们是否支付得起避孕药具。</w:t>
      </w:r>
    </w:p>
    <w:p w:rsidR="0056628D" w:rsidRDefault="0056628D">
      <w:pPr>
        <w:pStyle w:val="DualTxt"/>
        <w:spacing w:line="360" w:lineRule="exact"/>
        <w:rPr>
          <w:rFonts w:ascii="Times New Roman"/>
        </w:rPr>
      </w:pPr>
      <w:r>
        <w:rPr>
          <w:rFonts w:ascii="Times New Roman"/>
        </w:rPr>
        <w:t>12.</w:t>
      </w:r>
      <w:r>
        <w:rPr>
          <w:rFonts w:ascii="Times New Roman"/>
        </w:rPr>
        <w:tab/>
      </w:r>
      <w:r>
        <w:rPr>
          <w:rFonts w:ascii="SimHei" w:eastAsia="SimHei"/>
          <w:color w:val="FF0000"/>
        </w:rPr>
        <w:t>Patten</w:t>
      </w:r>
      <w:r>
        <w:rPr>
          <w:rFonts w:ascii="SimHei" w:eastAsia="SimHei" w:hint="eastAsia"/>
          <w:color w:val="FF0000"/>
        </w:rPr>
        <w:t>女士</w:t>
      </w:r>
      <w:r>
        <w:rPr>
          <w:rFonts w:ascii="Times New Roman" w:hint="eastAsia"/>
        </w:rPr>
        <w:t>赞扬政府在就业领域推出诸多法律和政策举措，她询问，激励雇主雇用那些难以进入劳动力市场的群体中的妇女的法律是否有影响；</w:t>
      </w:r>
      <w:r>
        <w:rPr>
          <w:rFonts w:ascii="Times New Roman" w:hint="eastAsia"/>
        </w:rPr>
        <w:t>2004</w:t>
      </w:r>
      <w:r>
        <w:rPr>
          <w:rFonts w:ascii="Times New Roman" w:hint="eastAsia"/>
        </w:rPr>
        <w:t>至</w:t>
      </w:r>
      <w:r>
        <w:rPr>
          <w:rFonts w:ascii="Times New Roman" w:hint="eastAsia"/>
        </w:rPr>
        <w:t>2006</w:t>
      </w:r>
      <w:r>
        <w:rPr>
          <w:rFonts w:ascii="Times New Roman" w:hint="eastAsia"/>
        </w:rPr>
        <w:t>年欧洲社会基金赞助的项目向这些弱势妇女提供了哪些服务；以及</w:t>
      </w:r>
      <w:r>
        <w:rPr>
          <w:rFonts w:ascii="Times New Roman" w:hint="eastAsia"/>
        </w:rPr>
        <w:t>2004</w:t>
      </w:r>
      <w:r>
        <w:rPr>
          <w:rFonts w:ascii="Times New Roman" w:hint="eastAsia"/>
        </w:rPr>
        <w:t>年发起的平等社区行动项目是否成功。她还想知道，政府是如何执行《劳动法》的具体条款的，这些条款鼓励公有和私营雇主广泛采用公平的职业类别和工资等级制以及机会均等项目，以实现同工同酬。最好提供进一步的资料，说明在非正规部门不断扩大的同时，政府如何来帮助在法律保护范围之外工作的妇女，包括提供有关妇女人数和相关职业部门的统计数据。</w:t>
      </w:r>
    </w:p>
    <w:p w:rsidR="0056628D" w:rsidRDefault="0056628D">
      <w:pPr>
        <w:pStyle w:val="DualTxt"/>
        <w:spacing w:line="360" w:lineRule="exact"/>
        <w:rPr>
          <w:rFonts w:ascii="Times New Roman"/>
        </w:rPr>
      </w:pPr>
      <w:r>
        <w:rPr>
          <w:rFonts w:ascii="Times New Roman"/>
        </w:rPr>
        <w:t>13.</w:t>
      </w:r>
      <w:r>
        <w:rPr>
          <w:rFonts w:ascii="Times New Roman"/>
        </w:rPr>
        <w:tab/>
      </w:r>
      <w:r>
        <w:rPr>
          <w:rFonts w:ascii="SimHei" w:eastAsia="SimHei"/>
          <w:color w:val="FF0000"/>
        </w:rPr>
        <w:t>Shin</w:t>
      </w:r>
      <w:r>
        <w:rPr>
          <w:rFonts w:ascii="SimHei" w:eastAsia="SimHei" w:hint="eastAsia"/>
          <w:color w:val="FF0000"/>
        </w:rPr>
        <w:t>女士</w:t>
      </w:r>
      <w:r>
        <w:rPr>
          <w:rFonts w:ascii="Times New Roman" w:hint="eastAsia"/>
        </w:rPr>
        <w:t>询问罗姆妇女是否可以得到政府诸多的妇女卫生项目和服务。她认为政府应当有办法让避孕便利可行，费用可负担得起，这样就不会把堕胎作为计划生育的一种手段。为此她想知道，在匈牙利，除了避孕药，还有没有别的避孕方法。</w:t>
      </w:r>
    </w:p>
    <w:p w:rsidR="0056628D" w:rsidRDefault="0056628D">
      <w:pPr>
        <w:pStyle w:val="DualTxt"/>
        <w:spacing w:line="360" w:lineRule="exact"/>
        <w:rPr>
          <w:rFonts w:ascii="Times New Roman"/>
        </w:rPr>
      </w:pPr>
      <w:r>
        <w:rPr>
          <w:rFonts w:ascii="Times New Roman"/>
        </w:rPr>
        <w:t>14.</w:t>
      </w:r>
      <w:r>
        <w:rPr>
          <w:rFonts w:ascii="Times New Roman"/>
        </w:rPr>
        <w:tab/>
      </w:r>
      <w:r>
        <w:rPr>
          <w:rFonts w:ascii="SimHei" w:eastAsia="SimHei"/>
          <w:color w:val="FF0000"/>
        </w:rPr>
        <w:t>Begum</w:t>
      </w:r>
      <w:r>
        <w:rPr>
          <w:rFonts w:ascii="SimHei" w:eastAsia="SimHei" w:hint="eastAsia"/>
          <w:color w:val="FF0000"/>
        </w:rPr>
        <w:t>女士</w:t>
      </w:r>
      <w:r>
        <w:rPr>
          <w:rFonts w:ascii="Times New Roman" w:hint="eastAsia"/>
        </w:rPr>
        <w:t>询问欧洲联盟资助的匈牙利农村发展新项目（答复问题</w:t>
      </w:r>
      <w:r>
        <w:rPr>
          <w:rFonts w:ascii="Times New Roman" w:hint="eastAsia"/>
        </w:rPr>
        <w:t>27</w:t>
      </w:r>
      <w:r>
        <w:rPr>
          <w:rFonts w:ascii="Times New Roman" w:hint="eastAsia"/>
        </w:rPr>
        <w:t>）是否正在全面满足包括最与世隔绝的罗姆妇女在内的农村妇女的卫生、教育和就业需求；政府正在采取什么具体行动帮助老年农妇保持竞争力，或培训妇女掌握现代农业需要的新型企业家技能，并确保妇女得到与男子同等的、必要的信贷和设施。</w:t>
      </w:r>
      <w:r>
        <w:rPr>
          <w:rFonts w:ascii="Times New Roman"/>
        </w:rPr>
        <w:t xml:space="preserve"> </w:t>
      </w:r>
    </w:p>
    <w:p w:rsidR="0056628D" w:rsidRDefault="0056628D">
      <w:pPr>
        <w:pStyle w:val="DualTxt"/>
        <w:spacing w:line="340" w:lineRule="exact"/>
        <w:rPr>
          <w:rFonts w:ascii="Times New Roman"/>
        </w:rPr>
      </w:pPr>
      <w:r>
        <w:rPr>
          <w:rFonts w:ascii="Times New Roman"/>
        </w:rPr>
        <w:t>15.</w:t>
      </w:r>
      <w:r>
        <w:rPr>
          <w:rFonts w:ascii="Times New Roman"/>
        </w:rPr>
        <w:tab/>
      </w:r>
      <w:r>
        <w:rPr>
          <w:rFonts w:ascii="SimHei" w:eastAsia="SimHei"/>
          <w:color w:val="FF0000"/>
        </w:rPr>
        <w:t>Rauh</w:t>
      </w:r>
      <w:r>
        <w:rPr>
          <w:rFonts w:ascii="SimHei" w:eastAsia="SimHei" w:hint="eastAsia"/>
          <w:color w:val="FF0000"/>
        </w:rPr>
        <w:t>女士</w:t>
      </w:r>
      <w:r>
        <w:rPr>
          <w:rFonts w:ascii="Times New Roman" w:hint="eastAsia"/>
        </w:rPr>
        <w:t>（匈牙利）说，在匈牙利所有的少数民族中，罗姆人受到最多的偏见和歧视。</w:t>
      </w:r>
      <w:r>
        <w:rPr>
          <w:rFonts w:ascii="Times New Roman" w:hint="eastAsia"/>
        </w:rPr>
        <w:t>1993</w:t>
      </w:r>
      <w:r>
        <w:rPr>
          <w:rFonts w:ascii="Times New Roman" w:hint="eastAsia"/>
        </w:rPr>
        <w:t>年以来，政府一直大力宣传罗姆人的积极形象。现在，国家设置的课程中列入了罗姆文化教材，早期教育项目中宏扬文化多样性；如果有足够多的家长提出要求，学校必须开设当地文化课程，包括罗姆文化和语言课；政府还努力消除媒体中负面的定型观念，并提高人们对少数民族为匈牙利社会和文化所做积极贡献的认识。</w:t>
      </w:r>
    </w:p>
    <w:p w:rsidR="0056628D" w:rsidRDefault="0056628D">
      <w:pPr>
        <w:pStyle w:val="DualTxt"/>
        <w:spacing w:line="340" w:lineRule="exact"/>
        <w:rPr>
          <w:rFonts w:ascii="Times New Roman"/>
        </w:rPr>
      </w:pPr>
      <w:r>
        <w:rPr>
          <w:rFonts w:ascii="Times New Roman"/>
        </w:rPr>
        <w:t>16.</w:t>
      </w:r>
      <w:r>
        <w:rPr>
          <w:rFonts w:ascii="Times New Roman"/>
        </w:rPr>
        <w:tab/>
      </w:r>
      <w:r>
        <w:rPr>
          <w:rFonts w:ascii="Times New Roman" w:hint="eastAsia"/>
        </w:rPr>
        <w:t>2007</w:t>
      </w:r>
      <w:r>
        <w:rPr>
          <w:rFonts w:ascii="Times New Roman" w:hint="eastAsia"/>
        </w:rPr>
        <w:t>年</w:t>
      </w:r>
      <w:r>
        <w:rPr>
          <w:rFonts w:ascii="Times New Roman" w:hint="eastAsia"/>
        </w:rPr>
        <w:t>6</w:t>
      </w:r>
      <w:r>
        <w:rPr>
          <w:rFonts w:ascii="Times New Roman" w:hint="eastAsia"/>
        </w:rPr>
        <w:t>月</w:t>
      </w:r>
      <w:r>
        <w:rPr>
          <w:rFonts w:ascii="Times New Roman" w:hint="eastAsia"/>
        </w:rPr>
        <w:t>25</w:t>
      </w:r>
      <w:r>
        <w:rPr>
          <w:rFonts w:ascii="Times New Roman" w:hint="eastAsia"/>
        </w:rPr>
        <w:t>日，议会做出了一项具有里程碑意义的决定，通过改善所有少数民族的教育，带动其社会和经济状况的改善。措施包括开办更多的学校，废除种族隔离式的教育，向弱势儿童发放补助金，复核法律，并制定教育和工作相结合计划。</w:t>
      </w:r>
    </w:p>
    <w:p w:rsidR="0056628D" w:rsidRDefault="0056628D">
      <w:pPr>
        <w:pStyle w:val="DualTxt"/>
        <w:spacing w:line="340" w:lineRule="exact"/>
        <w:rPr>
          <w:rFonts w:ascii="Times New Roman"/>
        </w:rPr>
      </w:pPr>
      <w:r>
        <w:rPr>
          <w:rFonts w:ascii="Times New Roman"/>
        </w:rPr>
        <w:t>17.</w:t>
      </w:r>
      <w:r>
        <w:rPr>
          <w:rFonts w:ascii="Times New Roman"/>
        </w:rPr>
        <w:tab/>
      </w:r>
      <w:r>
        <w:rPr>
          <w:rFonts w:ascii="SimHei" w:eastAsia="SimHei"/>
          <w:color w:val="FF0000"/>
        </w:rPr>
        <w:t>Rapi</w:t>
      </w:r>
      <w:r>
        <w:rPr>
          <w:rFonts w:ascii="SimHei" w:eastAsia="SimHei" w:hint="eastAsia"/>
          <w:color w:val="FF0000"/>
        </w:rPr>
        <w:t>女士</w:t>
      </w:r>
      <w:r>
        <w:rPr>
          <w:rFonts w:ascii="Times New Roman" w:hint="eastAsia"/>
        </w:rPr>
        <w:t>（匈牙利）说，为了对</w:t>
      </w:r>
      <w:r>
        <w:rPr>
          <w:rFonts w:ascii="Times New Roman" w:hint="eastAsia"/>
        </w:rPr>
        <w:t>14</w:t>
      </w:r>
      <w:r>
        <w:rPr>
          <w:rFonts w:ascii="Times New Roman" w:hint="eastAsia"/>
        </w:rPr>
        <w:t>岁以下少年开展性教育以及减少堕胎节育做法，议会通过了一项以计划生育为重点的青年卫生项目。全国性</w:t>
      </w:r>
      <w:r>
        <w:rPr>
          <w:rFonts w:ascii="Times New Roman"/>
          <w:color w:val="000000"/>
        </w:rPr>
        <w:t>社区护士</w:t>
      </w:r>
      <w:r>
        <w:rPr>
          <w:rFonts w:ascii="Times New Roman" w:hint="eastAsia"/>
        </w:rPr>
        <w:t>网络负责通过该项目在全国各地教育机构提供卫生和性教育。</w:t>
      </w:r>
      <w:r>
        <w:rPr>
          <w:rFonts w:ascii="Times New Roman" w:hint="eastAsia"/>
        </w:rPr>
        <w:t>2005</w:t>
      </w:r>
      <w:r>
        <w:rPr>
          <w:rFonts w:ascii="Times New Roman" w:hint="eastAsia"/>
        </w:rPr>
        <w:t>年，参与的</w:t>
      </w:r>
      <w:r>
        <w:rPr>
          <w:rFonts w:ascii="Times New Roman"/>
          <w:color w:val="000000"/>
        </w:rPr>
        <w:t>社区护士</w:t>
      </w:r>
      <w:r>
        <w:rPr>
          <w:rFonts w:ascii="Times New Roman" w:hint="eastAsia"/>
        </w:rPr>
        <w:t>、分配的国家资金和开展的活动均有所增加，报告标准也有所拓展。</w:t>
      </w:r>
    </w:p>
    <w:p w:rsidR="0056628D" w:rsidRDefault="0056628D">
      <w:pPr>
        <w:pStyle w:val="DualTxt"/>
        <w:spacing w:line="340" w:lineRule="exact"/>
        <w:rPr>
          <w:rFonts w:ascii="Times New Roman"/>
        </w:rPr>
      </w:pPr>
      <w:r>
        <w:rPr>
          <w:rFonts w:ascii="Times New Roman"/>
        </w:rPr>
        <w:t>18.</w:t>
      </w:r>
      <w:r>
        <w:rPr>
          <w:rFonts w:ascii="Times New Roman"/>
        </w:rPr>
        <w:tab/>
      </w:r>
      <w:r>
        <w:rPr>
          <w:rFonts w:ascii="Times New Roman" w:hint="eastAsia"/>
        </w:rPr>
        <w:t>编写计划生育小册子时尽量保持了公正和客观；不过，不同群体总是可以根据自身利益解释其中的讯息。关于避孕药具的获取和可用性，她说，每月避孕药大约花费</w:t>
      </w:r>
      <w:r>
        <w:rPr>
          <w:rFonts w:ascii="Times New Roman" w:hint="eastAsia"/>
        </w:rPr>
        <w:t>1.5</w:t>
      </w:r>
      <w:r>
        <w:rPr>
          <w:rFonts w:ascii="Times New Roman" w:hint="eastAsia"/>
        </w:rPr>
        <w:t>美元，另外，所有医学上可接受的避孕形式都可采用。过去</w:t>
      </w:r>
      <w:r>
        <w:rPr>
          <w:rFonts w:ascii="Times New Roman" w:hint="eastAsia"/>
        </w:rPr>
        <w:t>10</w:t>
      </w:r>
      <w:r>
        <w:rPr>
          <w:rFonts w:ascii="Times New Roman" w:hint="eastAsia"/>
        </w:rPr>
        <w:t>年，堕胎数量显著减少，这说明减少堕胎节育做法战略发挥了作用。</w:t>
      </w:r>
    </w:p>
    <w:p w:rsidR="0056628D" w:rsidRDefault="0056628D">
      <w:pPr>
        <w:pStyle w:val="DualTxt"/>
        <w:spacing w:line="340" w:lineRule="exact"/>
        <w:rPr>
          <w:rFonts w:ascii="Times New Roman"/>
        </w:rPr>
      </w:pPr>
      <w:r>
        <w:rPr>
          <w:rFonts w:ascii="Times New Roman"/>
        </w:rPr>
        <w:t>19.</w:t>
      </w:r>
      <w:r>
        <w:rPr>
          <w:rFonts w:ascii="Times New Roman"/>
        </w:rPr>
        <w:tab/>
      </w:r>
      <w:r>
        <w:rPr>
          <w:rFonts w:ascii="Times New Roman" w:hint="eastAsia"/>
        </w:rPr>
        <w:t>农村妇女获得医疗保健比城市妇女要困难，但国家正在努力增加医院床位，另外，现在借助移动设施可以提供专门护理。还鼓励医生通过财政激励计划去边远地区和农村地区工作。四项由世卫组织赞助进行的关于平等获取医疗保健的研究即将开始，研究结果应有助于该领域的决策。</w:t>
      </w:r>
    </w:p>
    <w:p w:rsidR="0056628D" w:rsidRDefault="0056628D">
      <w:pPr>
        <w:pStyle w:val="DualTxt"/>
        <w:spacing w:line="340" w:lineRule="exact"/>
        <w:rPr>
          <w:rFonts w:ascii="Times New Roman"/>
        </w:rPr>
      </w:pPr>
      <w:r>
        <w:rPr>
          <w:rFonts w:ascii="Times New Roman"/>
        </w:rPr>
        <w:t>20.</w:t>
      </w:r>
      <w:r>
        <w:rPr>
          <w:rFonts w:ascii="Times New Roman"/>
        </w:rPr>
        <w:tab/>
      </w:r>
      <w:r>
        <w:rPr>
          <w:rFonts w:ascii="SimHei" w:eastAsia="SimHei"/>
          <w:color w:val="FF0000"/>
        </w:rPr>
        <w:t>Mak</w:t>
      </w:r>
      <w:r>
        <w:rPr>
          <w:rFonts w:ascii="SimHei" w:eastAsia="SimHei"/>
          <w:color w:val="FF0000"/>
        </w:rPr>
        <w:t>á</w:t>
      </w:r>
      <w:r>
        <w:rPr>
          <w:rFonts w:ascii="SimHei" w:eastAsia="SimHei"/>
          <w:color w:val="FF0000"/>
        </w:rPr>
        <w:t>r</w:t>
      </w:r>
      <w:r>
        <w:rPr>
          <w:rFonts w:ascii="SimHei" w:eastAsia="SimHei" w:hint="eastAsia"/>
          <w:color w:val="FF0000"/>
        </w:rPr>
        <w:t>女士</w:t>
      </w:r>
      <w:r>
        <w:rPr>
          <w:rFonts w:ascii="Times New Roman" w:hint="eastAsia"/>
        </w:rPr>
        <w:t>（匈牙利）在谈到就业问题时说，人们正在利用孩子不满</w:t>
      </w:r>
      <w:r>
        <w:rPr>
          <w:rFonts w:ascii="Times New Roman" w:hint="eastAsia"/>
        </w:rPr>
        <w:t>3</w:t>
      </w:r>
      <w:r>
        <w:rPr>
          <w:rFonts w:ascii="Times New Roman" w:hint="eastAsia"/>
        </w:rPr>
        <w:t>岁时雇员有权获得的带薪产假和陪产假。劳工组织的机会均等方案已通过五个伙伴关系安排得以执行，其结果正由一个由政府代表和非政府组织组成的委员会评估。该方案包括面向失业和就业妇女的职业和专业发展培训课程。还设计了一个项目，收集关于工资的数据。政府一直在与雇主合作，力图改善机会均等计划的质量，并更有效地努力执行《劳动法》，以解决在某些部门存在的工资差距大的问题，并实行同工同酬原则。很难比较不同部门的工作：差距似乎取决于企业的规模，以及是属于公共部门还是私营部门。</w:t>
      </w:r>
    </w:p>
    <w:p w:rsidR="0056628D" w:rsidRDefault="0056628D">
      <w:pPr>
        <w:pStyle w:val="DualTxt"/>
        <w:spacing w:line="340" w:lineRule="exact"/>
        <w:rPr>
          <w:rFonts w:ascii="Times New Roman"/>
        </w:rPr>
      </w:pPr>
      <w:r>
        <w:rPr>
          <w:rFonts w:ascii="Times New Roman"/>
        </w:rPr>
        <w:t>21.</w:t>
      </w:r>
      <w:r>
        <w:rPr>
          <w:rFonts w:ascii="Times New Roman"/>
        </w:rPr>
        <w:tab/>
      </w:r>
      <w:r>
        <w:rPr>
          <w:rFonts w:ascii="Times New Roman" w:hint="eastAsia"/>
        </w:rPr>
        <w:t>政府还在大力使家庭职业和其他非正规劳动正规化，并把黑市经济纳入正规经济范畴。</w:t>
      </w:r>
    </w:p>
    <w:p w:rsidR="0056628D" w:rsidRDefault="0056628D">
      <w:pPr>
        <w:pStyle w:val="DualTxt"/>
        <w:spacing w:line="340" w:lineRule="exact"/>
        <w:rPr>
          <w:rFonts w:ascii="Times New Roman"/>
        </w:rPr>
      </w:pPr>
      <w:r>
        <w:rPr>
          <w:rFonts w:ascii="Times New Roman"/>
        </w:rPr>
        <w:t>22.</w:t>
      </w:r>
      <w:r>
        <w:rPr>
          <w:rFonts w:ascii="Times New Roman"/>
        </w:rPr>
        <w:tab/>
      </w:r>
      <w:r>
        <w:rPr>
          <w:rFonts w:ascii="Times New Roman" w:hint="eastAsia"/>
        </w:rPr>
        <w:t>关于招聘中的歧视性做法，允许询问健康和婚姻状况方面的问题，这一做法显然影响了妇女的就业机会。应当禁止询问有关家庭生活的问题，而关于健康的问题只有当工作存在某种健康风险时才能询问。</w:t>
      </w:r>
    </w:p>
    <w:p w:rsidR="0056628D" w:rsidRDefault="0056628D">
      <w:pPr>
        <w:pStyle w:val="DualTxt"/>
        <w:spacing w:line="340" w:lineRule="exact"/>
        <w:rPr>
          <w:rFonts w:ascii="Times New Roman"/>
        </w:rPr>
      </w:pPr>
      <w:r>
        <w:rPr>
          <w:rFonts w:ascii="Times New Roman"/>
        </w:rPr>
        <w:t>23.</w:t>
      </w:r>
      <w:r>
        <w:rPr>
          <w:rFonts w:ascii="Times New Roman"/>
        </w:rPr>
        <w:tab/>
      </w:r>
      <w:r>
        <w:rPr>
          <w:rFonts w:ascii="Times New Roman" w:hint="eastAsia"/>
        </w:rPr>
        <w:t>两性平等原则已纳入农业和农村发展部的各项计划。现在，该部正在制定项目，以应对越来越多的老年妇女在农村地区工作的情况。妇女非政府组织也在努力确保匈牙利发展新计划解决性别问题。</w:t>
      </w:r>
    </w:p>
    <w:p w:rsidR="0056628D" w:rsidRDefault="0056628D">
      <w:pPr>
        <w:pStyle w:val="DualTxt"/>
        <w:spacing w:line="340" w:lineRule="exact"/>
        <w:rPr>
          <w:rFonts w:ascii="Times New Roman"/>
        </w:rPr>
      </w:pPr>
      <w:r>
        <w:rPr>
          <w:rFonts w:ascii="Times New Roman"/>
        </w:rPr>
        <w:t>24.</w:t>
      </w:r>
      <w:r>
        <w:rPr>
          <w:rFonts w:ascii="Times New Roman"/>
        </w:rPr>
        <w:tab/>
      </w:r>
      <w:r>
        <w:rPr>
          <w:rFonts w:ascii="SimHei" w:eastAsia="SimHei"/>
          <w:color w:val="FF0000"/>
        </w:rPr>
        <w:t xml:space="preserve">Rauh </w:t>
      </w:r>
      <w:r>
        <w:rPr>
          <w:rFonts w:ascii="SimHei" w:eastAsia="SimHei" w:hint="eastAsia"/>
          <w:color w:val="FF0000"/>
        </w:rPr>
        <w:t>女士</w:t>
      </w:r>
      <w:r>
        <w:rPr>
          <w:rFonts w:ascii="Times New Roman" w:hint="eastAsia"/>
        </w:rPr>
        <w:t>（匈牙利）说，政府已开展几项行动，解决几十万住在农村地区和城市贫民窟的罗姆人面临的紧迫的住房、就业和医疗保健问题。政府启动了成人教育方案，以帮助罗姆人弥补儿童时期缺失的教育，政府还派遣社会工作者为政府的综合住房项目争取支持。匈牙利发展新计划和农村发展战略计划针对的是大多数罗姆人居住的最贫穷的次区域。</w:t>
      </w:r>
    </w:p>
    <w:p w:rsidR="0056628D" w:rsidRDefault="0056628D">
      <w:pPr>
        <w:pStyle w:val="DualTxt"/>
        <w:spacing w:line="340" w:lineRule="exact"/>
        <w:rPr>
          <w:rFonts w:ascii="Times New Roman"/>
        </w:rPr>
      </w:pPr>
      <w:r>
        <w:rPr>
          <w:rFonts w:ascii="Times New Roman"/>
        </w:rPr>
        <w:t>25.</w:t>
      </w:r>
      <w:r>
        <w:rPr>
          <w:rFonts w:ascii="Times New Roman"/>
        </w:rPr>
        <w:tab/>
      </w:r>
      <w:r>
        <w:rPr>
          <w:rFonts w:ascii="SimHei" w:eastAsia="SimHei"/>
          <w:color w:val="FF0000"/>
        </w:rPr>
        <w:t>Gaspard</w:t>
      </w:r>
      <w:r>
        <w:rPr>
          <w:rFonts w:ascii="SimHei" w:eastAsia="SimHei" w:hint="eastAsia"/>
          <w:color w:val="FF0000"/>
        </w:rPr>
        <w:t>女士</w:t>
      </w:r>
      <w:r>
        <w:rPr>
          <w:rFonts w:ascii="Times New Roman" w:hint="eastAsia"/>
        </w:rPr>
        <w:t>要求澄清允许</w:t>
      </w:r>
      <w:r>
        <w:rPr>
          <w:rFonts w:ascii="Times New Roman" w:hint="eastAsia"/>
        </w:rPr>
        <w:t>16</w:t>
      </w:r>
      <w:r>
        <w:rPr>
          <w:rFonts w:ascii="Times New Roman" w:hint="eastAsia"/>
        </w:rPr>
        <w:t>或</w:t>
      </w:r>
      <w:r>
        <w:rPr>
          <w:rFonts w:ascii="Times New Roman" w:hint="eastAsia"/>
        </w:rPr>
        <w:t>17</w:t>
      </w:r>
      <w:r>
        <w:rPr>
          <w:rFonts w:ascii="Times New Roman" w:hint="eastAsia"/>
        </w:rPr>
        <w:t>岁儿童结婚的频率、原因和条件。</w:t>
      </w:r>
    </w:p>
    <w:p w:rsidR="0056628D" w:rsidRDefault="0056628D">
      <w:pPr>
        <w:pStyle w:val="DualTxt"/>
        <w:spacing w:line="340" w:lineRule="exact"/>
        <w:rPr>
          <w:rFonts w:ascii="Times New Roman"/>
        </w:rPr>
      </w:pPr>
      <w:r>
        <w:rPr>
          <w:rFonts w:ascii="Times New Roman"/>
        </w:rPr>
        <w:t>26.</w:t>
      </w:r>
      <w:r>
        <w:rPr>
          <w:rFonts w:ascii="Times New Roman"/>
        </w:rPr>
        <w:tab/>
      </w:r>
      <w:r>
        <w:rPr>
          <w:rFonts w:ascii="SimHei" w:eastAsia="SimHei"/>
          <w:color w:val="FF0000"/>
        </w:rPr>
        <w:t>D</w:t>
      </w:r>
      <w:r>
        <w:rPr>
          <w:rFonts w:ascii="SimHei" w:eastAsia="SimHei"/>
          <w:color w:val="FF0000"/>
        </w:rPr>
        <w:t>ó</w:t>
      </w:r>
      <w:r>
        <w:rPr>
          <w:rFonts w:ascii="SimHei" w:eastAsia="SimHei"/>
          <w:color w:val="FF0000"/>
        </w:rPr>
        <w:t>sa</w:t>
      </w:r>
      <w:r>
        <w:rPr>
          <w:rFonts w:ascii="SimHei" w:eastAsia="SimHei" w:hint="eastAsia"/>
          <w:color w:val="FF0000"/>
        </w:rPr>
        <w:t>女士</w:t>
      </w:r>
      <w:r>
        <w:rPr>
          <w:rFonts w:ascii="Times New Roman" w:hint="eastAsia"/>
        </w:rPr>
        <w:t>说，只有提交文件证明申请人身心适合结婚、有足够的收入来源，并上过婚姻咨询课程，才允许在</w:t>
      </w:r>
      <w:r>
        <w:rPr>
          <w:rFonts w:ascii="Times New Roman" w:hint="eastAsia"/>
        </w:rPr>
        <w:t>16</w:t>
      </w:r>
      <w:r>
        <w:rPr>
          <w:rFonts w:ascii="Times New Roman" w:hint="eastAsia"/>
        </w:rPr>
        <w:t>或</w:t>
      </w:r>
      <w:r>
        <w:rPr>
          <w:rFonts w:ascii="Times New Roman" w:hint="eastAsia"/>
        </w:rPr>
        <w:t>17</w:t>
      </w:r>
      <w:r>
        <w:rPr>
          <w:rFonts w:ascii="Times New Roman" w:hint="eastAsia"/>
        </w:rPr>
        <w:t>岁结婚。已举行了听证会并进行了调查，以确保婚姻符合未成年人的利益并且婚姻是自主的。怀孕不是批准申请的原因，但是一个考虑因素。</w:t>
      </w:r>
    </w:p>
    <w:p w:rsidR="0056628D" w:rsidRDefault="0056628D">
      <w:pPr>
        <w:pStyle w:val="DualTxt"/>
        <w:spacing w:line="340" w:lineRule="exact"/>
        <w:rPr>
          <w:rFonts w:ascii="Times New Roman"/>
        </w:rPr>
      </w:pPr>
      <w:r>
        <w:rPr>
          <w:rFonts w:ascii="Times New Roman"/>
        </w:rPr>
        <w:t>27.</w:t>
      </w:r>
      <w:r>
        <w:rPr>
          <w:rFonts w:ascii="Times New Roman"/>
        </w:rPr>
        <w:tab/>
      </w:r>
      <w:r>
        <w:rPr>
          <w:rFonts w:ascii="SimHei" w:eastAsia="SimHei"/>
          <w:color w:val="FF0000"/>
        </w:rPr>
        <w:t>Neubauer</w:t>
      </w:r>
      <w:r>
        <w:rPr>
          <w:rFonts w:ascii="SimHei" w:eastAsia="SimHei" w:hint="eastAsia"/>
          <w:color w:val="FF0000"/>
        </w:rPr>
        <w:t>女士</w:t>
      </w:r>
      <w:r>
        <w:rPr>
          <w:rFonts w:ascii="Times New Roman" w:hint="eastAsia"/>
        </w:rPr>
        <w:t>说，罗姆妇女和男子遭受的歧视似乎程度不同；妇女通常遭受多重歧视。议会计划改善他们境况的一系列措施似乎不分性别；她想知道，部门内是否有性别专家解决罗姆人的问题，以及如何在十年计划中保证两性平等。</w:t>
      </w:r>
    </w:p>
    <w:p w:rsidR="0056628D" w:rsidRDefault="0056628D">
      <w:pPr>
        <w:pStyle w:val="DualTxt"/>
        <w:spacing w:line="350" w:lineRule="exact"/>
        <w:rPr>
          <w:rFonts w:ascii="Times New Roman" w:hint="eastAsia"/>
        </w:rPr>
      </w:pPr>
      <w:r>
        <w:rPr>
          <w:rFonts w:ascii="Times New Roman"/>
        </w:rPr>
        <w:t>28.</w:t>
      </w:r>
      <w:r>
        <w:rPr>
          <w:rFonts w:ascii="Times New Roman"/>
        </w:rPr>
        <w:tab/>
      </w:r>
      <w:r>
        <w:rPr>
          <w:rFonts w:ascii="SimHei" w:eastAsia="SimHei"/>
          <w:color w:val="FF0000"/>
        </w:rPr>
        <w:t>Patten</w:t>
      </w:r>
      <w:r>
        <w:rPr>
          <w:rFonts w:ascii="SimHei" w:eastAsia="SimHei" w:hint="eastAsia"/>
          <w:color w:val="FF0000"/>
        </w:rPr>
        <w:t>女士</w:t>
      </w:r>
      <w:r>
        <w:rPr>
          <w:rFonts w:ascii="Times New Roman" w:hint="eastAsia"/>
        </w:rPr>
        <w:t>注意到匈牙利法院已执行斯特拉斯堡欧洲人权法院做出的决定，支付了损害赔偿金。事实上，为支付该项损害赔偿金，已确定了单独的预算项目。她想知道，政府是否打算采取相似的方法来执行根据《任择议定书》所做出的决定。</w:t>
      </w:r>
    </w:p>
    <w:p w:rsidR="0056628D" w:rsidRDefault="0056628D">
      <w:pPr>
        <w:pStyle w:val="DualTxt"/>
        <w:spacing w:line="350" w:lineRule="exact"/>
        <w:rPr>
          <w:rFonts w:ascii="Times New Roman"/>
        </w:rPr>
      </w:pPr>
      <w:r>
        <w:rPr>
          <w:rFonts w:ascii="Times New Roman"/>
        </w:rPr>
        <w:t>29.</w:t>
      </w:r>
      <w:r>
        <w:rPr>
          <w:rFonts w:ascii="Times New Roman"/>
        </w:rPr>
        <w:tab/>
      </w:r>
      <w:r>
        <w:rPr>
          <w:rFonts w:ascii="SimHei" w:eastAsia="SimHei"/>
          <w:color w:val="FF0000"/>
        </w:rPr>
        <w:t xml:space="preserve">Gaspard </w:t>
      </w:r>
      <w:r>
        <w:rPr>
          <w:rFonts w:ascii="SimHei" w:eastAsia="SimHei" w:hint="eastAsia"/>
          <w:color w:val="FF0000"/>
        </w:rPr>
        <w:t>女士</w:t>
      </w:r>
      <w:r>
        <w:rPr>
          <w:rFonts w:ascii="Times New Roman" w:hint="eastAsia"/>
        </w:rPr>
        <w:t>提请人们注意，只有</w:t>
      </w:r>
      <w:r>
        <w:rPr>
          <w:rFonts w:ascii="Times New Roman" w:hint="eastAsia"/>
        </w:rPr>
        <w:t>7%</w:t>
      </w:r>
      <w:r>
        <w:rPr>
          <w:rFonts w:ascii="Times New Roman" w:hint="eastAsia"/>
        </w:rPr>
        <w:t>的大学教授是女性。她询问，是否有政策措施，包括暂行特别措施，招聘更多女性担任大学教授。她赞扬公布性别专家名单，另外她想知道教育部是否参与了对妇女的培训。最后，她要求提供托儿所可接收人数的最新数据。最近几年，由于大批妇女离开了就业市场，托儿所接收名额骤减。</w:t>
      </w:r>
    </w:p>
    <w:p w:rsidR="0056628D" w:rsidRDefault="0056628D">
      <w:pPr>
        <w:pStyle w:val="DualTxt"/>
        <w:spacing w:line="350" w:lineRule="exact"/>
        <w:rPr>
          <w:rFonts w:ascii="Times New Roman"/>
        </w:rPr>
      </w:pPr>
      <w:r>
        <w:rPr>
          <w:rFonts w:ascii="Times New Roman"/>
        </w:rPr>
        <w:t>30.</w:t>
      </w:r>
      <w:r>
        <w:rPr>
          <w:rFonts w:ascii="SimHei" w:eastAsia="SimHei"/>
          <w:color w:val="FF0000"/>
        </w:rPr>
        <w:tab/>
        <w:t>Rauh</w:t>
      </w:r>
      <w:r>
        <w:rPr>
          <w:rFonts w:ascii="SimHei" w:eastAsia="SimHei" w:hint="eastAsia"/>
          <w:color w:val="FF0000"/>
        </w:rPr>
        <w:t>女士</w:t>
      </w:r>
      <w:r>
        <w:rPr>
          <w:rFonts w:ascii="Times New Roman" w:hint="eastAsia"/>
        </w:rPr>
        <w:t>（匈牙利）说，最近关于歧视的议会决定没有出现有关性别的文字，这可能是个缺陷。在十年计划下即将举行的磋商中将会考虑委员会这方面的建议，该磋商的目的是制定今后两年的工作计划和相关的预算要求。</w:t>
      </w:r>
    </w:p>
    <w:p w:rsidR="0056628D" w:rsidRDefault="0056628D">
      <w:pPr>
        <w:pStyle w:val="DualTxt"/>
        <w:spacing w:line="350" w:lineRule="exact"/>
        <w:rPr>
          <w:rFonts w:ascii="Times New Roman"/>
        </w:rPr>
      </w:pPr>
      <w:r>
        <w:rPr>
          <w:rFonts w:ascii="Times New Roman"/>
        </w:rPr>
        <w:t>31.</w:t>
      </w:r>
      <w:r>
        <w:rPr>
          <w:rFonts w:ascii="Times New Roman"/>
        </w:rPr>
        <w:tab/>
      </w:r>
      <w:r>
        <w:rPr>
          <w:rFonts w:ascii="SimHei" w:eastAsia="SimHei"/>
          <w:color w:val="FF0000"/>
        </w:rPr>
        <w:t>Mak</w:t>
      </w:r>
      <w:r>
        <w:rPr>
          <w:rFonts w:ascii="SimHei" w:eastAsia="SimHei"/>
          <w:color w:val="FF0000"/>
        </w:rPr>
        <w:t>á</w:t>
      </w:r>
      <w:r>
        <w:rPr>
          <w:rFonts w:ascii="SimHei" w:eastAsia="SimHei"/>
          <w:color w:val="FF0000"/>
        </w:rPr>
        <w:t>r</w:t>
      </w:r>
      <w:r>
        <w:rPr>
          <w:rFonts w:ascii="SimHei" w:eastAsia="SimHei" w:hint="eastAsia"/>
          <w:color w:val="FF0000"/>
        </w:rPr>
        <w:t>女士</w:t>
      </w:r>
      <w:r>
        <w:rPr>
          <w:rFonts w:ascii="Times New Roman" w:hint="eastAsia"/>
        </w:rPr>
        <w:t>（匈牙利）说，虽然欧洲人权法院的裁决的确推翻了国内的裁决，但是委员会不是法院，而且她预测，对于根据《任择议定书》做出的决定，不会划拨预算来支付赔偿。</w:t>
      </w:r>
    </w:p>
    <w:p w:rsidR="0056628D" w:rsidRDefault="0056628D">
      <w:pPr>
        <w:pStyle w:val="DualTxt"/>
        <w:spacing w:line="340" w:lineRule="exact"/>
        <w:rPr>
          <w:rFonts w:ascii="Times New Roman"/>
        </w:rPr>
      </w:pPr>
      <w:r>
        <w:rPr>
          <w:rFonts w:ascii="Times New Roman"/>
        </w:rPr>
        <w:t>32.</w:t>
      </w:r>
      <w:r>
        <w:rPr>
          <w:rFonts w:ascii="Times New Roman"/>
        </w:rPr>
        <w:tab/>
      </w:r>
      <w:r>
        <w:rPr>
          <w:rFonts w:ascii="Times New Roman" w:hint="eastAsia"/>
        </w:rPr>
        <w:t>的确，大学院校中女教职员工的比例与女学生的比例不符，另外，一个推动女性参与科研的基金会正在研究解决该问题的办法。目前，尚未制定肯定行动措施。</w:t>
      </w:r>
    </w:p>
    <w:p w:rsidR="0056628D" w:rsidRDefault="0056628D">
      <w:pPr>
        <w:pStyle w:val="DualTxt"/>
        <w:spacing w:line="340" w:lineRule="exact"/>
        <w:rPr>
          <w:rFonts w:ascii="Times New Roman"/>
        </w:rPr>
      </w:pPr>
      <w:r>
        <w:rPr>
          <w:rFonts w:ascii="Times New Roman"/>
        </w:rPr>
        <w:t>33.</w:t>
      </w:r>
      <w:r>
        <w:rPr>
          <w:rFonts w:ascii="Times New Roman"/>
        </w:rPr>
        <w:tab/>
      </w:r>
      <w:r>
        <w:rPr>
          <w:rFonts w:ascii="Times New Roman" w:hint="eastAsia"/>
        </w:rPr>
        <w:t>尽管现在要求所有人口超过</w:t>
      </w:r>
      <w:r>
        <w:rPr>
          <w:rFonts w:ascii="Times New Roman" w:hint="eastAsia"/>
        </w:rPr>
        <w:t>1</w:t>
      </w:r>
      <w:r>
        <w:rPr>
          <w:rFonts w:ascii="Times New Roman" w:hint="eastAsia"/>
        </w:rPr>
        <w:t>万的城镇为</w:t>
      </w:r>
      <w:r>
        <w:rPr>
          <w:rFonts w:ascii="Times New Roman" w:hint="eastAsia"/>
        </w:rPr>
        <w:t>3</w:t>
      </w:r>
      <w:r>
        <w:rPr>
          <w:rFonts w:ascii="Times New Roman" w:hint="eastAsia"/>
        </w:rPr>
        <w:t>岁以下儿童开设日托中心，但是在过去</w:t>
      </w:r>
      <w:r>
        <w:rPr>
          <w:rFonts w:ascii="Times New Roman" w:hint="eastAsia"/>
        </w:rPr>
        <w:t>20</w:t>
      </w:r>
      <w:r>
        <w:rPr>
          <w:rFonts w:ascii="Times New Roman" w:hint="eastAsia"/>
        </w:rPr>
        <w:t>年，接收</w:t>
      </w:r>
      <w:r>
        <w:rPr>
          <w:rFonts w:ascii="Times New Roman" w:hint="eastAsia"/>
        </w:rPr>
        <w:t>3</w:t>
      </w:r>
      <w:r>
        <w:rPr>
          <w:rFonts w:ascii="Times New Roman" w:hint="eastAsia"/>
        </w:rPr>
        <w:t>岁以下儿童的托儿所名额数量减少。现在，每</w:t>
      </w:r>
      <w:r>
        <w:rPr>
          <w:rFonts w:ascii="Times New Roman" w:hint="eastAsia"/>
        </w:rPr>
        <w:t>100</w:t>
      </w:r>
      <w:r>
        <w:rPr>
          <w:rFonts w:ascii="Times New Roman" w:hint="eastAsia"/>
        </w:rPr>
        <w:t>个儿童有</w:t>
      </w:r>
      <w:r>
        <w:rPr>
          <w:rFonts w:ascii="Times New Roman" w:hint="eastAsia"/>
        </w:rPr>
        <w:t>47</w:t>
      </w:r>
      <w:r>
        <w:rPr>
          <w:rFonts w:ascii="Times New Roman" w:hint="eastAsia"/>
        </w:rPr>
        <w:t>个名额。</w:t>
      </w:r>
      <w:r>
        <w:rPr>
          <w:rFonts w:ascii="Times New Roman" w:hint="eastAsia"/>
        </w:rPr>
        <w:t>3</w:t>
      </w:r>
      <w:r>
        <w:rPr>
          <w:rFonts w:ascii="Times New Roman" w:hint="eastAsia"/>
        </w:rPr>
        <w:t>至</w:t>
      </w:r>
      <w:r>
        <w:rPr>
          <w:rFonts w:ascii="Times New Roman" w:hint="eastAsia"/>
        </w:rPr>
        <w:t>6</w:t>
      </w:r>
      <w:r>
        <w:rPr>
          <w:rFonts w:ascii="Times New Roman" w:hint="eastAsia"/>
        </w:rPr>
        <w:t>岁儿童的情况稍好，每</w:t>
      </w:r>
      <w:r>
        <w:rPr>
          <w:rFonts w:ascii="Times New Roman" w:hint="eastAsia"/>
        </w:rPr>
        <w:t>100</w:t>
      </w:r>
      <w:r>
        <w:rPr>
          <w:rFonts w:ascii="Times New Roman" w:hint="eastAsia"/>
        </w:rPr>
        <w:t>个儿童有</w:t>
      </w:r>
      <w:r>
        <w:rPr>
          <w:rFonts w:ascii="Times New Roman" w:hint="eastAsia"/>
        </w:rPr>
        <w:t>120</w:t>
      </w:r>
      <w:r>
        <w:rPr>
          <w:rFonts w:ascii="Times New Roman" w:hint="eastAsia"/>
        </w:rPr>
        <w:t>个名额，但是各地区的可用性不均衡。根据《劳动法》，妇女休产假后返回岗位的权利在特定时间内受到保护。</w:t>
      </w:r>
    </w:p>
    <w:p w:rsidR="0056628D" w:rsidRDefault="0056628D">
      <w:pPr>
        <w:pStyle w:val="DualTxt"/>
        <w:spacing w:after="180" w:line="360" w:lineRule="exact"/>
        <w:rPr>
          <w:rFonts w:ascii="Times New Roman"/>
        </w:rPr>
      </w:pPr>
      <w:r>
        <w:rPr>
          <w:rFonts w:ascii="Times New Roman"/>
        </w:rPr>
        <w:t>34.</w:t>
      </w:r>
      <w:r>
        <w:rPr>
          <w:rFonts w:ascii="Times New Roman"/>
        </w:rPr>
        <w:tab/>
      </w:r>
      <w:r>
        <w:rPr>
          <w:rFonts w:ascii="SimHei" w:eastAsia="SimHei"/>
          <w:color w:val="FF0000"/>
        </w:rPr>
        <w:t>Shin</w:t>
      </w:r>
      <w:r>
        <w:rPr>
          <w:rFonts w:ascii="SimHei" w:eastAsia="SimHei" w:hint="eastAsia"/>
          <w:color w:val="FF0000"/>
        </w:rPr>
        <w:t>女士</w:t>
      </w:r>
      <w:r>
        <w:rPr>
          <w:rFonts w:ascii="Times New Roman" w:hint="eastAsia"/>
        </w:rPr>
        <w:t>谈到赔偿的问题，她说，委员会的确不是法院，但是，缔约国有法律义务执行根据《任择议定书》做出的决定。她还想知道，政府打算如何处理根据《任择议定书》提交的来文，以及法官是否了解《公约》及其在国内法中的地位。</w:t>
      </w:r>
    </w:p>
    <w:p w:rsidR="0056628D" w:rsidRDefault="0056628D">
      <w:pPr>
        <w:pStyle w:val="DualTxt"/>
        <w:spacing w:after="180" w:line="360" w:lineRule="exact"/>
        <w:rPr>
          <w:rFonts w:ascii="Times New Roman" w:hint="eastAsia"/>
        </w:rPr>
      </w:pPr>
      <w:r>
        <w:rPr>
          <w:rFonts w:ascii="Times New Roman"/>
        </w:rPr>
        <w:t>35.</w:t>
      </w:r>
      <w:r>
        <w:rPr>
          <w:rFonts w:ascii="Times New Roman"/>
        </w:rPr>
        <w:tab/>
      </w:r>
      <w:r>
        <w:rPr>
          <w:rFonts w:ascii="SimHei" w:eastAsia="SimHei"/>
          <w:color w:val="FF0000"/>
        </w:rPr>
        <w:t>Mak</w:t>
      </w:r>
      <w:r>
        <w:rPr>
          <w:rFonts w:ascii="SimHei" w:eastAsia="SimHei"/>
          <w:color w:val="FF0000"/>
        </w:rPr>
        <w:t>á</w:t>
      </w:r>
      <w:r>
        <w:rPr>
          <w:rFonts w:ascii="SimHei" w:eastAsia="SimHei"/>
          <w:color w:val="FF0000"/>
        </w:rPr>
        <w:t>r</w:t>
      </w:r>
      <w:r>
        <w:rPr>
          <w:rFonts w:ascii="SimHei" w:eastAsia="SimHei" w:hint="eastAsia"/>
          <w:color w:val="FF0000"/>
        </w:rPr>
        <w:t>女士</w:t>
      </w:r>
      <w:r>
        <w:rPr>
          <w:rFonts w:ascii="Times New Roman" w:hint="eastAsia"/>
        </w:rPr>
        <w:t>（匈牙利）说，一段时间以来，《公约》都是匈牙利法律体系的一部分。但是，当讨论的案例发生时，《任择议定书》还没有获得批准。裁决已经做出，而且已经结案。</w:t>
      </w:r>
    </w:p>
    <w:p w:rsidR="0056628D" w:rsidRDefault="0056628D">
      <w:pPr>
        <w:pStyle w:val="DualTxt"/>
        <w:spacing w:line="360" w:lineRule="exact"/>
        <w:rPr>
          <w:rFonts w:ascii="Times New Roman"/>
        </w:rPr>
      </w:pPr>
      <w:r>
        <w:rPr>
          <w:rFonts w:ascii="Times New Roman"/>
        </w:rPr>
        <w:t>36.</w:t>
      </w:r>
      <w:r>
        <w:rPr>
          <w:rFonts w:ascii="Times New Roman"/>
        </w:rPr>
        <w:tab/>
      </w:r>
      <w:r>
        <w:rPr>
          <w:rFonts w:ascii="SimHei" w:eastAsia="SimHei"/>
          <w:color w:val="FF0000"/>
        </w:rPr>
        <w:t>Patten</w:t>
      </w:r>
      <w:r>
        <w:rPr>
          <w:rFonts w:ascii="SimHei" w:eastAsia="SimHei" w:hint="eastAsia"/>
          <w:color w:val="FF0000"/>
        </w:rPr>
        <w:t>女士</w:t>
      </w:r>
      <w:r>
        <w:rPr>
          <w:rFonts w:ascii="Times New Roman" w:hint="eastAsia"/>
        </w:rPr>
        <w:t>澄清说，为了让委员会审理根据《任</w:t>
      </w:r>
      <w:r>
        <w:rPr>
          <w:rFonts w:ascii="Times New Roman" w:hint="eastAsia"/>
          <w:spacing w:val="4"/>
        </w:rPr>
        <w:t>择议定书》提交的来文，也就是该案例，必须用尽</w:t>
      </w:r>
    </w:p>
    <w:p w:rsidR="0056628D" w:rsidRPr="00D06509" w:rsidRDefault="0056628D" w:rsidP="00D06509">
      <w:pPr>
        <w:pStyle w:val="DualTxt"/>
        <w:spacing w:after="160" w:line="380" w:lineRule="exact"/>
        <w:rPr>
          <w:rFonts w:ascii="Times New Roman" w:hint="eastAsia"/>
          <w:spacing w:val="10"/>
        </w:rPr>
      </w:pPr>
      <w:r>
        <w:rPr>
          <w:rFonts w:ascii="Times New Roman"/>
        </w:rPr>
        <w:br w:type="column"/>
      </w:r>
      <w:r w:rsidRPr="00D06509">
        <w:rPr>
          <w:rFonts w:ascii="Times New Roman" w:hint="eastAsia"/>
          <w:spacing w:val="10"/>
        </w:rPr>
        <w:t>一切当地补救办法。</w:t>
      </w:r>
      <w:r w:rsidRPr="00D06509">
        <w:rPr>
          <w:rFonts w:ascii="Times New Roman"/>
          <w:spacing w:val="10"/>
        </w:rPr>
        <w:t>一审法院</w:t>
      </w:r>
      <w:r w:rsidRPr="00D06509">
        <w:rPr>
          <w:rFonts w:ascii="Times New Roman" w:hint="eastAsia"/>
          <w:spacing w:val="10"/>
        </w:rPr>
        <w:t>已认定有违规行为，但是没有判予赔偿；上诉法院维持原判。委员会是一个准司法机关，它对来文提出了自己的建议。国内法院不能推翻它的意见，必须根据《任择议定书》第</w:t>
      </w:r>
      <w:r w:rsidRPr="00D06509">
        <w:rPr>
          <w:rFonts w:ascii="Times New Roman" w:hint="eastAsia"/>
          <w:spacing w:val="10"/>
        </w:rPr>
        <w:t>7</w:t>
      </w:r>
      <w:r w:rsidRPr="00D06509">
        <w:rPr>
          <w:rFonts w:ascii="Times New Roman" w:hint="eastAsia"/>
          <w:spacing w:val="10"/>
        </w:rPr>
        <w:t>条第</w:t>
      </w:r>
      <w:r w:rsidRPr="00D06509">
        <w:rPr>
          <w:rFonts w:ascii="Times New Roman" w:hint="eastAsia"/>
          <w:spacing w:val="10"/>
        </w:rPr>
        <w:t>4</w:t>
      </w:r>
      <w:r w:rsidRPr="00D06509">
        <w:rPr>
          <w:rFonts w:ascii="Times New Roman" w:hint="eastAsia"/>
          <w:spacing w:val="10"/>
        </w:rPr>
        <w:t>款对该意见予以适当考虑。</w:t>
      </w:r>
    </w:p>
    <w:p w:rsidR="0056628D" w:rsidRDefault="0056628D" w:rsidP="00D06509">
      <w:pPr>
        <w:pStyle w:val="DualTxt"/>
        <w:spacing w:after="160" w:line="380" w:lineRule="exact"/>
        <w:rPr>
          <w:rFonts w:ascii="Times New Roman" w:hint="eastAsia"/>
        </w:rPr>
      </w:pPr>
      <w:r>
        <w:rPr>
          <w:rFonts w:ascii="Times New Roman"/>
        </w:rPr>
        <w:t>37.</w:t>
      </w:r>
      <w:r>
        <w:rPr>
          <w:rFonts w:ascii="SimHei" w:eastAsia="SimHei"/>
          <w:color w:val="FF0000"/>
        </w:rPr>
        <w:tab/>
      </w:r>
      <w:r>
        <w:rPr>
          <w:rFonts w:ascii="SimHei" w:eastAsia="SimHei" w:hint="eastAsia"/>
          <w:color w:val="FF0000"/>
        </w:rPr>
        <w:t>主席</w:t>
      </w:r>
      <w:r>
        <w:rPr>
          <w:rFonts w:ascii="Times New Roman" w:hint="eastAsia"/>
        </w:rPr>
        <w:t>说，委员会赞赏自审议上次报告以来匈牙利取得的所有成就，并希望在促进妇女平等的立法措施和国家机制领域中取得更大的进步。她希望能继续与民间社会合作，并强调委员会很重视罗姆妇女的境况。</w:t>
      </w:r>
    </w:p>
    <w:p w:rsidR="0056628D" w:rsidRDefault="0056628D" w:rsidP="00D06509">
      <w:pPr>
        <w:pStyle w:val="DualTxt"/>
        <w:spacing w:after="160" w:line="380" w:lineRule="exact"/>
        <w:rPr>
          <w:rFonts w:hint="eastAsia"/>
        </w:rPr>
      </w:pPr>
      <w:r>
        <w:rPr>
          <w:rFonts w:ascii="Times New Roman"/>
        </w:rPr>
        <w:t>38.</w:t>
      </w:r>
      <w:r>
        <w:rPr>
          <w:rFonts w:ascii="Times New Roman"/>
        </w:rPr>
        <w:tab/>
      </w:r>
      <w:r>
        <w:rPr>
          <w:rFonts w:ascii="SimHei" w:eastAsia="SimHei" w:hint="eastAsia"/>
          <w:color w:val="FF0000"/>
        </w:rPr>
        <w:t>Rauh女士</w:t>
      </w:r>
      <w:r>
        <w:rPr>
          <w:rFonts w:ascii="Times New Roman" w:hint="eastAsia"/>
        </w:rPr>
        <w:t>（匈牙利）说，代表团将就与委员会进行的建设性对话向议会人权委员会提出报告，并将提出一份有关《任择议定书》的特别报告。</w:t>
      </w:r>
    </w:p>
    <w:p w:rsidR="0056628D" w:rsidRDefault="0056628D">
      <w:pPr>
        <w:tabs>
          <w:tab w:val="left" w:pos="420"/>
        </w:tabs>
        <w:spacing w:after="140" w:line="340" w:lineRule="exact"/>
        <w:jc w:val="both"/>
        <w:rPr>
          <w:rFonts w:ascii="Times New Roman" w:eastAsia="KaiTi_GB2312"/>
          <w:color w:val="0000FF"/>
        </w:rPr>
        <w:sectPr w:rsidR="0056628D">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时散会</w:t>
      </w:r>
    </w:p>
    <w:p w:rsidR="0056628D" w:rsidRDefault="0056628D">
      <w:pPr>
        <w:tabs>
          <w:tab w:val="left" w:pos="420"/>
        </w:tabs>
        <w:spacing w:after="180" w:line="340" w:lineRule="exact"/>
        <w:jc w:val="both"/>
        <w:rPr>
          <w:rFonts w:ascii="KaiTi_GB2312" w:eastAsia="KaiTi_GB2312"/>
          <w:color w:val="0000FF"/>
        </w:rPr>
      </w:pPr>
    </w:p>
    <w:p w:rsidR="0056628D" w:rsidRDefault="0056628D">
      <w:pPr>
        <w:tabs>
          <w:tab w:val="left" w:pos="420"/>
        </w:tabs>
        <w:spacing w:after="180" w:line="340" w:lineRule="exact"/>
        <w:jc w:val="both"/>
        <w:rPr>
          <w:rFonts w:ascii="KaiTi_GB2312" w:eastAsia="KaiTi_GB2312"/>
          <w:color w:val="0000FF"/>
        </w:rPr>
      </w:pPr>
    </w:p>
    <w:sectPr w:rsidR="0056628D">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5T21:17:00Z" w:initials="Start">
    <w:p w:rsidR="00FE668E" w:rsidRDefault="00FE668E">
      <w:pPr>
        <w:pStyle w:val="CommentText"/>
        <w:rPr>
          <w:rFonts w:ascii="Times New Roman"/>
        </w:rPr>
      </w:pPr>
      <w:r>
        <w:rPr>
          <w:rStyle w:val="CommentReference"/>
          <w:rFonts w:ascii="Times New Roman" w:hint="eastAsia"/>
        </w:rPr>
        <w:annotationRef/>
      </w:r>
      <w:r>
        <w:rPr>
          <w:rFonts w:ascii="Times New Roman"/>
        </w:rPr>
        <w:t>&lt;&lt;ODS JOB NO&gt;&gt;N0744426C&lt;&lt;ODS JOB NO&gt;&gt;</w:t>
      </w:r>
    </w:p>
    <w:p w:rsidR="00FE668E" w:rsidRDefault="00FE668E">
      <w:pPr>
        <w:pStyle w:val="CommentText"/>
        <w:rPr>
          <w:rFonts w:ascii="Times New Roman"/>
        </w:rPr>
      </w:pPr>
      <w:r>
        <w:rPr>
          <w:rFonts w:ascii="Times New Roman"/>
        </w:rPr>
        <w:t>&lt;&lt;ODS DOC SYMBOL1&gt;&gt;CEDAW/C/SR.802 (A)&lt;&lt;ODS DOC SYMBOL1&gt;&gt;</w:t>
      </w:r>
    </w:p>
    <w:p w:rsidR="00FE668E" w:rsidRDefault="00FE668E">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4FA" w:rsidRDefault="00E724FA">
      <w:r>
        <w:separator/>
      </w:r>
    </w:p>
  </w:endnote>
  <w:endnote w:type="continuationSeparator" w:id="0">
    <w:p w:rsidR="00E724FA" w:rsidRDefault="00E72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FE668E">
      <w:tblPrEx>
        <w:tblCellMar>
          <w:top w:w="0" w:type="dxa"/>
          <w:bottom w:w="0" w:type="dxa"/>
        </w:tblCellMar>
      </w:tblPrEx>
      <w:tc>
        <w:tcPr>
          <w:tcW w:w="5034" w:type="dxa"/>
          <w:vAlign w:val="bottom"/>
        </w:tcPr>
        <w:p w:rsidR="00FE668E" w:rsidRDefault="00FE668E">
          <w:pPr>
            <w:pStyle w:val="Footer"/>
            <w:rPr>
              <w:sz w:val="18"/>
            </w:rPr>
          </w:pPr>
          <w:r>
            <w:rPr>
              <w:sz w:val="18"/>
            </w:rPr>
            <w:fldChar w:fldCharType="begin"/>
          </w:r>
          <w:r>
            <w:rPr>
              <w:sz w:val="18"/>
            </w:rPr>
            <w:instrText xml:space="preserve"> PAGE  \* MERGEFORMAT </w:instrText>
          </w:r>
          <w:r>
            <w:rPr>
              <w:sz w:val="18"/>
            </w:rPr>
            <w:fldChar w:fldCharType="separate"/>
          </w:r>
          <w:r w:rsidR="00FF6731">
            <w:rPr>
              <w:sz w:val="18"/>
            </w:rPr>
            <w:t>4</w:t>
          </w:r>
          <w:r>
            <w:rPr>
              <w:sz w:val="18"/>
            </w:rPr>
            <w:fldChar w:fldCharType="end"/>
          </w:r>
        </w:p>
      </w:tc>
      <w:tc>
        <w:tcPr>
          <w:tcW w:w="5034" w:type="dxa"/>
          <w:vAlign w:val="bottom"/>
        </w:tcPr>
        <w:p w:rsidR="00FE668E" w:rsidRDefault="00FE668E">
          <w:pPr>
            <w:pStyle w:val="Footer"/>
            <w:jc w:val="right"/>
          </w:pPr>
        </w:p>
      </w:tc>
    </w:tr>
  </w:tbl>
  <w:p w:rsidR="00FE668E" w:rsidRDefault="00FE66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FE668E">
      <w:tblPrEx>
        <w:tblCellMar>
          <w:top w:w="0" w:type="dxa"/>
          <w:bottom w:w="0" w:type="dxa"/>
        </w:tblCellMar>
      </w:tblPrEx>
      <w:tc>
        <w:tcPr>
          <w:tcW w:w="5034" w:type="dxa"/>
          <w:vAlign w:val="bottom"/>
        </w:tcPr>
        <w:p w:rsidR="00FE668E" w:rsidRDefault="00FE668E">
          <w:pPr>
            <w:pStyle w:val="Footer"/>
          </w:pPr>
        </w:p>
      </w:tc>
      <w:tc>
        <w:tcPr>
          <w:tcW w:w="5034" w:type="dxa"/>
          <w:vAlign w:val="bottom"/>
        </w:tcPr>
        <w:p w:rsidR="00FE668E" w:rsidRDefault="00FE668E">
          <w:pPr>
            <w:pStyle w:val="Footer"/>
            <w:jc w:val="right"/>
            <w:rPr>
              <w:sz w:val="18"/>
            </w:rPr>
          </w:pPr>
          <w:r>
            <w:rPr>
              <w:sz w:val="18"/>
            </w:rPr>
            <w:fldChar w:fldCharType="begin"/>
          </w:r>
          <w:r>
            <w:rPr>
              <w:sz w:val="18"/>
            </w:rPr>
            <w:instrText xml:space="preserve"> PAGE  \* MERGEFORMAT </w:instrText>
          </w:r>
          <w:r>
            <w:rPr>
              <w:sz w:val="18"/>
            </w:rPr>
            <w:fldChar w:fldCharType="separate"/>
          </w:r>
          <w:r w:rsidR="00FF6731">
            <w:rPr>
              <w:sz w:val="18"/>
            </w:rPr>
            <w:t>5</w:t>
          </w:r>
          <w:r>
            <w:rPr>
              <w:sz w:val="18"/>
            </w:rPr>
            <w:fldChar w:fldCharType="end"/>
          </w:r>
        </w:p>
      </w:tc>
    </w:tr>
  </w:tbl>
  <w:p w:rsidR="00FE668E" w:rsidRDefault="00FE66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68E" w:rsidRDefault="00FE668E">
    <w:pPr>
      <w:pStyle w:val="Footer"/>
    </w:pPr>
  </w:p>
  <w:p w:rsidR="00FE668E" w:rsidRDefault="00FE668E">
    <w:pPr>
      <w:pStyle w:val="Footer"/>
      <w:pBdr>
        <w:top w:val="single" w:sz="2" w:space="0" w:color="000000"/>
      </w:pBdr>
      <w:rPr>
        <w:sz w:val="2"/>
      </w:rPr>
    </w:pPr>
  </w:p>
  <w:p w:rsidR="00FE668E" w:rsidRDefault="00FE668E">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FE668E" w:rsidRDefault="00FE668E">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FE668E" w:rsidRDefault="00FE668E">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FE668E" w:rsidRDefault="00FE668E">
    <w:pPr>
      <w:pStyle w:val="Footer"/>
      <w:rPr>
        <w:b w:val="0"/>
        <w:snapToGrid w:val="0"/>
        <w:sz w:val="21"/>
      </w:rPr>
    </w:pPr>
    <w:r>
      <w:rPr>
        <w:b w:val="0"/>
        <w:snapToGrid w:val="0"/>
        <w:sz w:val="21"/>
      </w:rPr>
      <w:t>07-</w:t>
    </w:r>
    <w:r>
      <w:rPr>
        <w:rFonts w:hint="eastAsia"/>
        <w:b w:val="0"/>
        <w:snapToGrid w:val="0"/>
        <w:sz w:val="21"/>
      </w:rPr>
      <w:t>44426</w:t>
    </w:r>
    <w:r>
      <w:rPr>
        <w:b w:val="0"/>
        <w:snapToGrid w:val="0"/>
        <w:sz w:val="21"/>
      </w:rPr>
      <w:t xml:space="preserve"> (C)</w:t>
    </w:r>
  </w:p>
  <w:p w:rsidR="00FE668E" w:rsidRPr="00D06509" w:rsidRDefault="00FE668E">
    <w:pPr>
      <w:pStyle w:val="Footer"/>
      <w:rPr>
        <w:rFonts w:ascii="Barcode 3 of 9 by request" w:hAnsi="Barcode 3 of 9 by request"/>
        <w:bCs/>
        <w:snapToGrid w:val="0"/>
        <w:sz w:val="21"/>
      </w:rPr>
    </w:pPr>
    <w:r w:rsidRPr="00D06509">
      <w:rPr>
        <w:rFonts w:ascii="Barcode 3 of 9 by request" w:hAnsi="Barcode 3 of 9 by request"/>
        <w:bCs/>
        <w:snapToGrid w:val="0"/>
        <w:sz w:val="21"/>
      </w:rPr>
      <w:t>*0744426*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4FA" w:rsidRDefault="00E724FA">
      <w:r>
        <w:separator/>
      </w:r>
    </w:p>
  </w:footnote>
  <w:footnote w:type="continuationSeparator" w:id="0">
    <w:p w:rsidR="00E724FA" w:rsidRDefault="00E724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68E" w:rsidRDefault="00FE668E">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E668E">
                  <w:tblPrEx>
                    <w:tblCellMar>
                      <w:top w:w="0" w:type="dxa"/>
                      <w:bottom w:w="0" w:type="dxa"/>
                    </w:tblCellMar>
                  </w:tblPrEx>
                  <w:trPr>
                    <w:trHeight w:hRule="exact" w:val="864"/>
                  </w:trPr>
                  <w:tc>
                    <w:tcPr>
                      <w:tcW w:w="4838" w:type="dxa"/>
                      <w:vAlign w:val="bottom"/>
                    </w:tcPr>
                    <w:p w:rsidR="00FE668E" w:rsidRDefault="00FE668E">
                      <w:pPr>
                        <w:pStyle w:val="Header"/>
                        <w:spacing w:after="80"/>
                        <w:rPr>
                          <w:rFonts w:hint="eastAsia"/>
                          <w:b/>
                        </w:rPr>
                      </w:pPr>
                      <w:r>
                        <w:rPr>
                          <w:b/>
                        </w:rPr>
                        <w:t>CEDAW/C/SR.</w:t>
                      </w:r>
                      <w:r>
                        <w:rPr>
                          <w:rFonts w:hint="eastAsia"/>
                          <w:b/>
                        </w:rPr>
                        <w:t>802</w:t>
                      </w:r>
                      <w:r>
                        <w:rPr>
                          <w:b/>
                        </w:rPr>
                        <w:t xml:space="preserve"> (</w:t>
                      </w:r>
                      <w:r>
                        <w:rPr>
                          <w:rFonts w:hint="eastAsia"/>
                          <w:b/>
                        </w:rPr>
                        <w:t>A</w:t>
                      </w:r>
                      <w:r>
                        <w:rPr>
                          <w:b/>
                        </w:rPr>
                        <w:t>)</w:t>
                      </w:r>
                    </w:p>
                  </w:tc>
                  <w:tc>
                    <w:tcPr>
                      <w:tcW w:w="5048" w:type="dxa"/>
                      <w:vAlign w:val="bottom"/>
                    </w:tcPr>
                    <w:p w:rsidR="00FE668E" w:rsidRDefault="00FE668E">
                      <w:pPr>
                        <w:pStyle w:val="Header"/>
                      </w:pPr>
                    </w:p>
                  </w:tc>
                </w:tr>
              </w:tbl>
              <w:p w:rsidR="00FE668E" w:rsidRDefault="00FE668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68E" w:rsidRDefault="00FE668E">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E668E">
                  <w:tblPrEx>
                    <w:tblCellMar>
                      <w:top w:w="0" w:type="dxa"/>
                      <w:bottom w:w="0" w:type="dxa"/>
                    </w:tblCellMar>
                  </w:tblPrEx>
                  <w:trPr>
                    <w:trHeight w:hRule="exact" w:val="864"/>
                  </w:trPr>
                  <w:tc>
                    <w:tcPr>
                      <w:tcW w:w="4838" w:type="dxa"/>
                      <w:vAlign w:val="bottom"/>
                    </w:tcPr>
                    <w:p w:rsidR="00FE668E" w:rsidRDefault="00FE668E">
                      <w:pPr>
                        <w:pStyle w:val="Header"/>
                      </w:pPr>
                    </w:p>
                  </w:tc>
                  <w:tc>
                    <w:tcPr>
                      <w:tcW w:w="5048" w:type="dxa"/>
                      <w:vAlign w:val="bottom"/>
                    </w:tcPr>
                    <w:p w:rsidR="00FE668E" w:rsidRDefault="00FE668E">
                      <w:pPr>
                        <w:pStyle w:val="Header"/>
                        <w:spacing w:after="80"/>
                        <w:jc w:val="right"/>
                        <w:rPr>
                          <w:rFonts w:hint="eastAsia"/>
                          <w:b/>
                        </w:rPr>
                      </w:pPr>
                      <w:r>
                        <w:rPr>
                          <w:b/>
                        </w:rPr>
                        <w:t>CEDAW/C/SR.</w:t>
                      </w:r>
                      <w:r>
                        <w:rPr>
                          <w:rFonts w:hint="eastAsia"/>
                          <w:b/>
                        </w:rPr>
                        <w:t>802</w:t>
                      </w:r>
                      <w:r>
                        <w:rPr>
                          <w:b/>
                        </w:rPr>
                        <w:t xml:space="preserve"> (</w:t>
                      </w:r>
                      <w:r>
                        <w:rPr>
                          <w:rFonts w:hint="eastAsia"/>
                          <w:b/>
                        </w:rPr>
                        <w:t>A</w:t>
                      </w:r>
                      <w:r>
                        <w:rPr>
                          <w:b/>
                        </w:rPr>
                        <w:t>)</w:t>
                      </w:r>
                    </w:p>
                  </w:tc>
                </w:tr>
              </w:tbl>
              <w:p w:rsidR="00FE668E" w:rsidRDefault="00FE668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E668E">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FE668E" w:rsidRDefault="00FE668E">
          <w:pPr>
            <w:pStyle w:val="Header"/>
            <w:spacing w:after="120"/>
          </w:pPr>
        </w:p>
      </w:tc>
      <w:tc>
        <w:tcPr>
          <w:tcW w:w="1872" w:type="dxa"/>
          <w:tcBorders>
            <w:top w:val="nil"/>
            <w:left w:val="nil"/>
            <w:bottom w:val="single" w:sz="4" w:space="0" w:color="auto"/>
            <w:right w:val="nil"/>
          </w:tcBorders>
          <w:vAlign w:val="bottom"/>
        </w:tcPr>
        <w:p w:rsidR="00FE668E" w:rsidRDefault="00FE668E">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FE668E" w:rsidRDefault="00FE668E">
          <w:pPr>
            <w:pStyle w:val="Header"/>
            <w:spacing w:after="120"/>
          </w:pPr>
        </w:p>
      </w:tc>
      <w:tc>
        <w:tcPr>
          <w:tcW w:w="6523" w:type="dxa"/>
          <w:gridSpan w:val="3"/>
          <w:tcBorders>
            <w:top w:val="nil"/>
            <w:left w:val="nil"/>
            <w:bottom w:val="single" w:sz="4" w:space="0" w:color="auto"/>
            <w:right w:val="nil"/>
          </w:tcBorders>
          <w:vAlign w:val="bottom"/>
        </w:tcPr>
        <w:p w:rsidR="00FE668E" w:rsidRDefault="00FE668E">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802</w:t>
          </w:r>
          <w:r>
            <w:rPr>
              <w:rFonts w:ascii="Times New Roman"/>
              <w:position w:val="-4"/>
            </w:rPr>
            <w:t xml:space="preserve"> (</w:t>
          </w:r>
          <w:r>
            <w:rPr>
              <w:rFonts w:ascii="Times New Roman" w:hint="eastAsia"/>
              <w:position w:val="-4"/>
            </w:rPr>
            <w:t>A</w:t>
          </w:r>
          <w:r>
            <w:rPr>
              <w:rFonts w:ascii="Times New Roman"/>
              <w:position w:val="-4"/>
            </w:rPr>
            <w:t>)</w:t>
          </w:r>
        </w:p>
      </w:tc>
    </w:tr>
    <w:tr w:rsidR="00FE668E">
      <w:tblPrEx>
        <w:tblCellMar>
          <w:top w:w="0" w:type="dxa"/>
          <w:bottom w:w="0" w:type="dxa"/>
        </w:tblCellMar>
      </w:tblPrEx>
      <w:trPr>
        <w:trHeight w:hRule="exact" w:val="2880"/>
      </w:trPr>
      <w:tc>
        <w:tcPr>
          <w:tcW w:w="1267" w:type="dxa"/>
          <w:tcBorders>
            <w:left w:val="nil"/>
            <w:bottom w:val="single" w:sz="12" w:space="0" w:color="auto"/>
            <w:right w:val="nil"/>
          </w:tcBorders>
        </w:tcPr>
        <w:p w:rsidR="00FE668E" w:rsidRDefault="00FE668E">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FE668E" w:rsidRDefault="00FE668E">
          <w:pPr>
            <w:pStyle w:val="Header"/>
            <w:spacing w:before="109"/>
            <w:ind w:left="-72"/>
          </w:pPr>
        </w:p>
      </w:tc>
      <w:tc>
        <w:tcPr>
          <w:tcW w:w="5227" w:type="dxa"/>
          <w:gridSpan w:val="3"/>
          <w:tcBorders>
            <w:left w:val="nil"/>
            <w:bottom w:val="single" w:sz="12" w:space="0" w:color="auto"/>
            <w:right w:val="nil"/>
          </w:tcBorders>
        </w:tcPr>
        <w:p w:rsidR="00FE668E" w:rsidRDefault="00FE668E">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FE668E" w:rsidRDefault="00FE668E">
          <w:pPr>
            <w:rPr>
              <w:rFonts w:eastAsia="KaiTi_GB2312"/>
              <w:color w:val="0000FF"/>
              <w:sz w:val="28"/>
            </w:rPr>
          </w:pPr>
        </w:p>
      </w:tc>
      <w:tc>
        <w:tcPr>
          <w:tcW w:w="245" w:type="dxa"/>
          <w:tcBorders>
            <w:left w:val="nil"/>
            <w:bottom w:val="single" w:sz="12" w:space="0" w:color="auto"/>
            <w:right w:val="nil"/>
          </w:tcBorders>
        </w:tcPr>
        <w:p w:rsidR="00FE668E" w:rsidRDefault="00FE668E">
          <w:pPr>
            <w:pStyle w:val="Header"/>
            <w:spacing w:before="109"/>
          </w:pPr>
        </w:p>
      </w:tc>
      <w:tc>
        <w:tcPr>
          <w:tcW w:w="3180" w:type="dxa"/>
          <w:gridSpan w:val="2"/>
          <w:tcBorders>
            <w:left w:val="nil"/>
            <w:bottom w:val="single" w:sz="12" w:space="0" w:color="auto"/>
            <w:right w:val="nil"/>
          </w:tcBorders>
        </w:tcPr>
        <w:p w:rsidR="00FE668E" w:rsidRDefault="00FE668E">
          <w:pPr>
            <w:spacing w:before="240" w:line="240" w:lineRule="exact"/>
            <w:rPr>
              <w:rFonts w:ascii="Times New Roman"/>
            </w:rPr>
          </w:pPr>
          <w:r>
            <w:rPr>
              <w:rFonts w:ascii="Times New Roman"/>
            </w:rPr>
            <w:t>Distr.: General</w:t>
          </w:r>
        </w:p>
        <w:p w:rsidR="00FE668E" w:rsidRDefault="00FE668E">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15 October 2007</w:t>
          </w:r>
        </w:p>
        <w:p w:rsidR="00FE668E" w:rsidRDefault="00FE668E">
          <w:pPr>
            <w:spacing w:line="240" w:lineRule="exact"/>
            <w:rPr>
              <w:rFonts w:ascii="Times New Roman"/>
            </w:rPr>
          </w:pPr>
        </w:p>
        <w:p w:rsidR="00FE668E" w:rsidRDefault="00FE668E">
          <w:pPr>
            <w:spacing w:line="240" w:lineRule="exact"/>
            <w:rPr>
              <w:rFonts w:ascii="Times New Roman"/>
            </w:rPr>
          </w:pPr>
          <w:r>
            <w:rPr>
              <w:rFonts w:ascii="Times New Roman"/>
            </w:rPr>
            <w:t>Chinese</w:t>
          </w:r>
        </w:p>
        <w:p w:rsidR="00FE668E" w:rsidRDefault="00FE668E">
          <w:pPr>
            <w:spacing w:line="240" w:lineRule="exact"/>
            <w:rPr>
              <w:rFonts w:ascii="Times New Roman"/>
            </w:rPr>
          </w:pPr>
          <w:r>
            <w:rPr>
              <w:rFonts w:ascii="Times New Roman"/>
            </w:rPr>
            <w:t>Original: English</w:t>
          </w:r>
        </w:p>
      </w:tc>
    </w:tr>
  </w:tbl>
  <w:p w:rsidR="00FE668E" w:rsidRDefault="00FE668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426*"/>
    <w:docVar w:name="CreationDt" w:val="19/03/2003 9:37: AM"/>
    <w:docVar w:name="DocCategory" w:val="SRMain"/>
    <w:docVar w:name="DocType" w:val="Final"/>
    <w:docVar w:name="FooterJN" w:val="07-44426"/>
    <w:docVar w:name="Jobn" w:val="07-44426 (C)"/>
    <w:docVar w:name="JobNo" w:val="0744426C"/>
    <w:docVar w:name="OandT" w:val="DLF"/>
    <w:docVar w:name="sss1" w:val="CEDAW/C/SR.802 (A)"/>
    <w:docVar w:name="Symbol1" w:val="CEDAW/C/SR.802 (A)"/>
    <w:docVar w:name="Symbol2" w:val="-"/>
  </w:docVars>
  <w:rsids>
    <w:rsidRoot w:val="0056628D"/>
    <w:rsid w:val="000B3F79"/>
    <w:rsid w:val="002E4A94"/>
    <w:rsid w:val="0056628D"/>
    <w:rsid w:val="009A3888"/>
    <w:rsid w:val="00AF2F68"/>
    <w:rsid w:val="00C84958"/>
    <w:rsid w:val="00D06509"/>
    <w:rsid w:val="00D70CF1"/>
    <w:rsid w:val="00E724FA"/>
    <w:rsid w:val="00FE668E"/>
    <w:rsid w:val="00FF673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717</Words>
  <Characters>4088</Characters>
  <Application>Microsoft Office Word</Application>
  <DocSecurity>4</DocSecurity>
  <Lines>34</Lines>
  <Paragraphs>9</Paragraphs>
  <ScaleCrop>false</ScaleCrop>
  <Company>ctpc</Company>
  <LinksUpToDate>false</LinksUpToDate>
  <CharactersWithSpaces>4796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Daoyi.Zhang</cp:lastModifiedBy>
  <cp:revision>14</cp:revision>
  <cp:lastPrinted>2007-10-15T16:52:00Z</cp:lastPrinted>
  <dcterms:created xsi:type="dcterms:W3CDTF">2007-10-15T15:28:00Z</dcterms:created>
  <dcterms:modified xsi:type="dcterms:W3CDTF">2007-10-15T19:18:00Z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0744426C</vt:lpwstr>
  </property>
  <property fmtid="{D5CDD505-2E9C-101B-9397-08002B2CF9AE}" pid="8" name="Symbol1">
    <vt:lpwstr>CEDAW/C/SR.802 (A)</vt:lpwstr>
  </property>
  <property fmtid="{D5CDD505-2E9C-101B-9397-08002B2CF9AE}" pid="9" name="sss1">
    <vt:lpwstr>CEDAW/C/SR.802 (A)</vt:lpwstr>
  </property>
</Properties>
</file>