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095" w:rsidRPr="00BF5038" w:rsidRDefault="006F0095" w:rsidP="006F0095">
      <w:pPr>
        <w:pStyle w:val="NormalSchedule"/>
        <w:spacing w:line="240" w:lineRule="auto"/>
        <w:rPr>
          <w:sz w:val="6"/>
        </w:rPr>
        <w:sectPr w:rsidR="006F0095" w:rsidRPr="00BF5038" w:rsidSect="00A5562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</w:p>
    <w:p w:rsidR="00BF5038" w:rsidRDefault="00BF5038" w:rsidP="00BF50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Comité de los Derechos del Niño</w:t>
      </w:r>
    </w:p>
    <w:p w:rsidR="00BF5038" w:rsidRDefault="00BF5038" w:rsidP="00BF50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54º período de sesiones</w:t>
      </w:r>
    </w:p>
    <w:p w:rsidR="00BF5038" w:rsidRPr="00BF5038" w:rsidRDefault="00BF5038" w:rsidP="00BF50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BF5038" w:rsidRDefault="00BF5038" w:rsidP="00BF50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Acta resumida de la primera parte (pública)* de la 1518ª sesión </w:t>
      </w:r>
    </w:p>
    <w:p w:rsidR="00CE1224" w:rsidRDefault="00BF5038" w:rsidP="00CE12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(Sala B)</w:t>
      </w:r>
    </w:p>
    <w:p w:rsidR="00CE1224" w:rsidRPr="00CE1224" w:rsidRDefault="00BF5038" w:rsidP="00CE12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 w:rsidRPr="00CE1224">
        <w:rPr>
          <w:b w:val="0"/>
        </w:rPr>
        <w:t>Celebrada en el Palais Wilson, Ginebra, el lunes 31 de mayo de 2010, a las 15.00 horas</w:t>
      </w:r>
      <w:r w:rsidR="00CE1224" w:rsidRPr="00CE1224">
        <w:rPr>
          <w:b w:val="0"/>
        </w:rPr>
        <w:t xml:space="preserve"> </w:t>
      </w:r>
    </w:p>
    <w:p w:rsidR="00AF7C8B" w:rsidRPr="00AF7C8B" w:rsidRDefault="00AF7C8B" w:rsidP="00AF7C8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b w:val="0"/>
          <w:i/>
          <w:sz w:val="10"/>
        </w:rPr>
      </w:pPr>
    </w:p>
    <w:p w:rsidR="00BF5038" w:rsidRPr="00CE1224" w:rsidRDefault="00BF5038" w:rsidP="00CE122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 w:rsidRPr="00CE1224">
        <w:rPr>
          <w:b w:val="0"/>
          <w:i/>
        </w:rPr>
        <w:t>Presidente</w:t>
      </w:r>
      <w:r>
        <w:t xml:space="preserve">: </w:t>
      </w:r>
      <w:r w:rsidRPr="00CE1224">
        <w:rPr>
          <w:b w:val="0"/>
        </w:rPr>
        <w:t>Sr. Zermatten (Vicepresidente)</w:t>
      </w:r>
    </w:p>
    <w:p w:rsidR="00CE1224" w:rsidRPr="00CE0FFC" w:rsidRDefault="00CE1224" w:rsidP="00CE1224">
      <w:pPr>
        <w:tabs>
          <w:tab w:val="right" w:pos="1714"/>
          <w:tab w:val="left" w:pos="1800"/>
          <w:tab w:val="right" w:leader="dot" w:pos="8568"/>
        </w:tabs>
        <w:spacing w:line="120" w:lineRule="exact"/>
        <w:ind w:right="1267"/>
        <w:rPr>
          <w:sz w:val="10"/>
        </w:rPr>
      </w:pPr>
    </w:p>
    <w:p w:rsidR="00CE1224" w:rsidRPr="00CE0FFC" w:rsidRDefault="00CE1224" w:rsidP="00CE1224">
      <w:pPr>
        <w:tabs>
          <w:tab w:val="right" w:pos="1714"/>
          <w:tab w:val="left" w:pos="1800"/>
          <w:tab w:val="right" w:leader="dot" w:pos="8568"/>
        </w:tabs>
        <w:spacing w:line="120" w:lineRule="exact"/>
        <w:ind w:right="1267"/>
        <w:rPr>
          <w:sz w:val="10"/>
        </w:rPr>
      </w:pPr>
    </w:p>
    <w:p w:rsidR="00CE1224" w:rsidRPr="00CE0FFC" w:rsidRDefault="00CE1224" w:rsidP="00CE1224">
      <w:pPr>
        <w:tabs>
          <w:tab w:val="right" w:pos="1714"/>
          <w:tab w:val="left" w:pos="1800"/>
          <w:tab w:val="right" w:leader="dot" w:pos="8568"/>
        </w:tabs>
        <w:spacing w:line="120" w:lineRule="exact"/>
        <w:ind w:right="1267"/>
        <w:rPr>
          <w:sz w:val="10"/>
        </w:rPr>
      </w:pPr>
    </w:p>
    <w:p w:rsidR="00CE1224" w:rsidRPr="00CE0FFC" w:rsidRDefault="00CE1224" w:rsidP="00CE1224">
      <w:pPr>
        <w:pStyle w:val="HCh"/>
        <w:rPr>
          <w:b w:val="0"/>
        </w:rPr>
      </w:pPr>
      <w:r w:rsidRPr="00CE0FFC">
        <w:rPr>
          <w:b w:val="0"/>
        </w:rPr>
        <w:t>Sumario</w:t>
      </w:r>
    </w:p>
    <w:p w:rsidR="00CE1224" w:rsidRPr="003F29DD" w:rsidRDefault="00CE1224" w:rsidP="00CE1224">
      <w:pPr>
        <w:pStyle w:val="HCh"/>
        <w:spacing w:line="120" w:lineRule="exact"/>
        <w:rPr>
          <w:b w:val="0"/>
          <w:sz w:val="10"/>
        </w:rPr>
      </w:pPr>
    </w:p>
    <w:p w:rsidR="00CE1224" w:rsidRPr="003F29DD" w:rsidRDefault="00CE1224" w:rsidP="00CE1224">
      <w:pPr>
        <w:spacing w:line="120" w:lineRule="exact"/>
        <w:rPr>
          <w:sz w:val="10"/>
        </w:rPr>
      </w:pPr>
    </w:p>
    <w:p w:rsidR="00CE1224" w:rsidRDefault="00CE1224" w:rsidP="00BC6D73">
      <w:pPr>
        <w:pStyle w:val="SingleTxt"/>
        <w:jc w:val="left"/>
      </w:pPr>
      <w:r>
        <w:t>Examen de los informes presentados por los Estados partes (</w:t>
      </w:r>
      <w:r w:rsidRPr="00744331">
        <w:rPr>
          <w:i/>
        </w:rPr>
        <w:t>continuación</w:t>
      </w:r>
      <w:r>
        <w:t>)</w:t>
      </w:r>
    </w:p>
    <w:p w:rsidR="00BF5038" w:rsidRPr="00D3015F" w:rsidRDefault="00D3015F" w:rsidP="00D3015F">
      <w:pPr>
        <w:pStyle w:val="SingleTxt"/>
        <w:suppressAutoHyphens/>
        <w:ind w:left="1742" w:hanging="475"/>
        <w:jc w:val="left"/>
        <w:rPr>
          <w:i/>
        </w:rPr>
      </w:pPr>
      <w:r>
        <w:rPr>
          <w:i/>
        </w:rPr>
        <w:tab/>
      </w:r>
      <w:r w:rsidR="00BF5038" w:rsidRPr="00D3015F">
        <w:rPr>
          <w:i/>
        </w:rPr>
        <w:t xml:space="preserve">Segundo informe periódico de Granada sobre la aplicación de la Convención sobre los Derechos del Niño </w:t>
      </w:r>
      <w:r w:rsidR="00BF5038" w:rsidRPr="00D3015F">
        <w:t>(</w:t>
      </w:r>
      <w:r w:rsidR="00BF5038" w:rsidRPr="00D3015F">
        <w:rPr>
          <w:i/>
        </w:rPr>
        <w:t>continuación</w:t>
      </w:r>
      <w:r w:rsidR="00BF5038" w:rsidRPr="00D3015F">
        <w:t>)</w:t>
      </w:r>
    </w:p>
    <w:p w:rsidR="00BF5038" w:rsidRDefault="00BF5038" w:rsidP="00BF5038">
      <w:pPr>
        <w:pStyle w:val="SingleTxt"/>
      </w:pPr>
    </w:p>
    <w:p w:rsidR="007669DF" w:rsidRDefault="007669DF" w:rsidP="00BF5038">
      <w:pPr>
        <w:pStyle w:val="SingleTxt"/>
      </w:pPr>
    </w:p>
    <w:p w:rsidR="007669DF" w:rsidRDefault="007669DF" w:rsidP="007669DF">
      <w:pPr>
        <w:pStyle w:val="SingleTxt"/>
        <w:jc w:val="left"/>
      </w:pPr>
    </w:p>
    <w:p w:rsidR="007669DF" w:rsidRDefault="007669DF" w:rsidP="007669DF">
      <w:pPr>
        <w:pStyle w:val="SingleTxt"/>
        <w:jc w:val="left"/>
      </w:pPr>
    </w:p>
    <w:p w:rsidR="007669DF" w:rsidRDefault="007669DF" w:rsidP="007669DF">
      <w:pPr>
        <w:pStyle w:val="SingleTxt"/>
        <w:jc w:val="left"/>
      </w:pPr>
    </w:p>
    <w:p w:rsidR="007669DF" w:rsidRDefault="007669DF" w:rsidP="007669DF">
      <w:pPr>
        <w:pStyle w:val="SingleTxt"/>
        <w:jc w:val="left"/>
      </w:pPr>
    </w:p>
    <w:p w:rsidR="007669DF" w:rsidRDefault="007669DF" w:rsidP="007669DF">
      <w:pPr>
        <w:pStyle w:val="SingleTxt"/>
        <w:jc w:val="left"/>
      </w:pPr>
    </w:p>
    <w:p w:rsidR="007669DF" w:rsidRDefault="007669DF" w:rsidP="007669DF">
      <w:pPr>
        <w:pStyle w:val="SingleTxt"/>
        <w:jc w:val="left"/>
      </w:pPr>
    </w:p>
    <w:p w:rsidR="007A46F4" w:rsidRDefault="007A46F4" w:rsidP="007669DF">
      <w:pPr>
        <w:pStyle w:val="SingleTxt"/>
        <w:jc w:val="left"/>
      </w:pPr>
    </w:p>
    <w:p w:rsidR="00AF7C8B" w:rsidRDefault="00AF7C8B" w:rsidP="007669DF">
      <w:pPr>
        <w:pStyle w:val="SingleTxt"/>
        <w:jc w:val="left"/>
      </w:pPr>
    </w:p>
    <w:tbl>
      <w:tblPr>
        <w:tblW w:w="7609" w:type="dxa"/>
        <w:tblInd w:w="1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"/>
        <w:gridCol w:w="7321"/>
        <w:gridCol w:w="144"/>
      </w:tblGrid>
      <w:tr w:rsidR="007669DF" w:rsidTr="0068588D">
        <w:tblPrEx>
          <w:tblCellMar>
            <w:top w:w="0" w:type="dxa"/>
            <w:bottom w:w="0" w:type="dxa"/>
          </w:tblCellMar>
        </w:tblPrEx>
        <w:tc>
          <w:tcPr>
            <w:tcW w:w="144" w:type="dxa"/>
            <w:shd w:val="clear" w:color="auto" w:fill="auto"/>
          </w:tcPr>
          <w:p w:rsidR="007669DF" w:rsidRDefault="007669DF" w:rsidP="0068588D">
            <w:pPr>
              <w:pStyle w:val="SingleTxt"/>
            </w:pPr>
          </w:p>
        </w:tc>
        <w:tc>
          <w:tcPr>
            <w:tcW w:w="7321" w:type="dxa"/>
            <w:shd w:val="clear" w:color="auto" w:fill="auto"/>
          </w:tcPr>
          <w:p w:rsidR="007669DF" w:rsidRPr="003F29DD" w:rsidRDefault="007669DF" w:rsidP="0068588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spacing w:after="0" w:line="120" w:lineRule="exact"/>
              <w:ind w:left="0" w:right="0"/>
              <w:rPr>
                <w:sz w:val="10"/>
              </w:rPr>
            </w:pPr>
            <w:r>
              <w:rPr>
                <w:noProof/>
                <w:w w:val="100"/>
                <w:sz w:val="10"/>
                <w:lang w:val="en-US"/>
              </w:rPr>
              <w:pict>
                <v:line id="_x0000_s1027" style="position:absolute;left:0;text-align:left;z-index:1;mso-position-horizontal-relative:text;mso-position-vertical-relative:text" from="0,.7pt" to="1in,.7pt" strokeweight=".25pt">
                  <w10:wrap type="topAndBottom"/>
                </v:line>
              </w:pict>
            </w:r>
          </w:p>
          <w:p w:rsidR="007669DF" w:rsidRPr="003F29DD" w:rsidRDefault="007669DF" w:rsidP="0068588D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right" w:pos="418"/>
                <w:tab w:val="left" w:pos="475"/>
              </w:tabs>
              <w:spacing w:after="0" w:line="240" w:lineRule="auto"/>
              <w:ind w:left="475" w:right="0" w:hanging="576"/>
              <w:rPr>
                <w:sz w:val="17"/>
              </w:rPr>
            </w:pPr>
            <w:r>
              <w:rPr>
                <w:sz w:val="17"/>
              </w:rPr>
              <w:tab/>
              <w:t>*</w:t>
            </w:r>
            <w:r>
              <w:rPr>
                <w:sz w:val="17"/>
              </w:rPr>
              <w:tab/>
              <w:t>No se levantó acta resumida de la segunda parte (privada) de la sesión</w:t>
            </w:r>
            <w:r w:rsidRPr="003F29DD">
              <w:rPr>
                <w:sz w:val="17"/>
              </w:rPr>
              <w:t>.</w:t>
            </w:r>
          </w:p>
        </w:tc>
        <w:tc>
          <w:tcPr>
            <w:tcW w:w="144" w:type="dxa"/>
            <w:shd w:val="clear" w:color="auto" w:fill="auto"/>
          </w:tcPr>
          <w:p w:rsidR="007669DF" w:rsidRDefault="007669DF" w:rsidP="0068588D">
            <w:pPr>
              <w:pStyle w:val="SingleTxt"/>
            </w:pPr>
          </w:p>
        </w:tc>
      </w:tr>
    </w:tbl>
    <w:p w:rsidR="00AF7C8B" w:rsidRDefault="00AF7C8B" w:rsidP="00BF5038">
      <w:pPr>
        <w:pStyle w:val="SingleTxt"/>
      </w:pPr>
    </w:p>
    <w:p w:rsidR="00B004D8" w:rsidRDefault="00B004D8" w:rsidP="00B004D8">
      <w:pPr>
        <w:pStyle w:val="SingleTxt"/>
        <w:sectPr w:rsidR="00B004D8" w:rsidSect="00B004D8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docGrid w:linePitch="360"/>
        </w:sectPr>
      </w:pPr>
    </w:p>
    <w:p w:rsidR="00BF5038" w:rsidRDefault="00C178AF" w:rsidP="00C178A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F5038" w:rsidRPr="00B004D8">
        <w:t>Se declara abierta la sesión a las 15.00 horas</w:t>
      </w:r>
      <w:r>
        <w:t>.</w:t>
      </w:r>
    </w:p>
    <w:p w:rsidR="00C178AF" w:rsidRPr="00C178AF" w:rsidRDefault="00C178AF" w:rsidP="00C178AF">
      <w:pPr>
        <w:pStyle w:val="SingleTxt"/>
        <w:spacing w:after="0" w:line="120" w:lineRule="exact"/>
        <w:rPr>
          <w:sz w:val="10"/>
        </w:rPr>
      </w:pPr>
    </w:p>
    <w:p w:rsidR="00C178AF" w:rsidRPr="00C178AF" w:rsidRDefault="00C178AF" w:rsidP="00C178AF">
      <w:pPr>
        <w:pStyle w:val="SingleTxt"/>
        <w:spacing w:after="0" w:line="120" w:lineRule="exact"/>
        <w:rPr>
          <w:sz w:val="10"/>
        </w:rPr>
      </w:pPr>
    </w:p>
    <w:p w:rsidR="00BF5038" w:rsidRDefault="00CA51C7" w:rsidP="00CA51C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3162" w:hanging="1267"/>
        <w:rPr>
          <w:b w:val="0"/>
        </w:rPr>
      </w:pPr>
      <w:r>
        <w:tab/>
      </w:r>
      <w:r>
        <w:tab/>
      </w:r>
      <w:r w:rsidR="00BF5038" w:rsidRPr="00B004D8">
        <w:t xml:space="preserve">Examen de los informes presentados por los Estados </w:t>
      </w:r>
      <w:r w:rsidRPr="00B004D8">
        <w:t>partes</w:t>
      </w:r>
      <w:r>
        <w:t xml:space="preserve"> </w:t>
      </w:r>
      <w:r w:rsidR="00BF5038" w:rsidRPr="00CA51C7">
        <w:rPr>
          <w:b w:val="0"/>
        </w:rPr>
        <w:t>(tema 4 del orden del día) (</w:t>
      </w:r>
      <w:r w:rsidR="00BF5038" w:rsidRPr="00CA51C7">
        <w:rPr>
          <w:b w:val="0"/>
          <w:i/>
        </w:rPr>
        <w:t>continuación</w:t>
      </w:r>
      <w:r w:rsidR="00BF5038" w:rsidRPr="00CA51C7">
        <w:rPr>
          <w:b w:val="0"/>
        </w:rPr>
        <w:t>)</w:t>
      </w:r>
    </w:p>
    <w:p w:rsidR="00CA51C7" w:rsidRPr="00CA51C7" w:rsidRDefault="00CA51C7" w:rsidP="00CA51C7">
      <w:pPr>
        <w:pStyle w:val="SingleTxt"/>
        <w:spacing w:after="0" w:line="120" w:lineRule="exact"/>
        <w:rPr>
          <w:sz w:val="10"/>
        </w:rPr>
      </w:pPr>
    </w:p>
    <w:p w:rsidR="00CA51C7" w:rsidRPr="00CA51C7" w:rsidRDefault="00CA51C7" w:rsidP="00CA51C7">
      <w:pPr>
        <w:pStyle w:val="SingleTxt"/>
        <w:spacing w:after="0" w:line="120" w:lineRule="exact"/>
        <w:rPr>
          <w:sz w:val="10"/>
        </w:rPr>
      </w:pPr>
    </w:p>
    <w:p w:rsidR="00BF5038" w:rsidRDefault="00CA51C7" w:rsidP="00CA51C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2407" w:hanging="1267"/>
        <w:rPr>
          <w:i w:val="0"/>
        </w:rPr>
      </w:pPr>
      <w:r>
        <w:tab/>
      </w:r>
      <w:r>
        <w:tab/>
      </w:r>
      <w:r w:rsidR="00BF5038" w:rsidRPr="00B004D8">
        <w:t>Segundo informe periódico de Granada sobre la aplicación de la Convención sobre los Derechos del Niño</w:t>
      </w:r>
      <w:r w:rsidR="00BF5038">
        <w:t xml:space="preserve"> </w:t>
      </w:r>
      <w:r w:rsidR="00BF5038" w:rsidRPr="00CA51C7">
        <w:rPr>
          <w:i w:val="0"/>
        </w:rPr>
        <w:t>(CRC/C/GRD/2; lista de cuestiones (CRC/C/GRD/Q/2))</w:t>
      </w:r>
      <w:r w:rsidR="00BF5038" w:rsidRPr="00F301B1">
        <w:t xml:space="preserve"> </w:t>
      </w:r>
      <w:r>
        <w:rPr>
          <w:i w:val="0"/>
        </w:rPr>
        <w:t>(</w:t>
      </w:r>
      <w:r>
        <w:t>continuación</w:t>
      </w:r>
      <w:r>
        <w:rPr>
          <w:i w:val="0"/>
        </w:rPr>
        <w:t>)</w:t>
      </w:r>
    </w:p>
    <w:p w:rsidR="00CA51C7" w:rsidRPr="00CA51C7" w:rsidRDefault="00CA51C7" w:rsidP="00CA51C7">
      <w:pPr>
        <w:pStyle w:val="SingleTxt"/>
        <w:spacing w:after="0" w:line="120" w:lineRule="exact"/>
        <w:rPr>
          <w:sz w:val="10"/>
        </w:rPr>
      </w:pPr>
    </w:p>
    <w:p w:rsidR="00B004D8" w:rsidRPr="00C178AF" w:rsidRDefault="00B004D8" w:rsidP="00C178AF">
      <w:pPr>
        <w:pStyle w:val="SingleTxt"/>
        <w:spacing w:after="0" w:line="120" w:lineRule="exact"/>
        <w:rPr>
          <w:sz w:val="10"/>
        </w:rPr>
      </w:pPr>
    </w:p>
    <w:p w:rsidR="00BF5038" w:rsidRDefault="00BF5038" w:rsidP="00CA51C7">
      <w:pPr>
        <w:pStyle w:val="SingleTxt"/>
        <w:numPr>
          <w:ilvl w:val="0"/>
          <w:numId w:val="10"/>
        </w:numPr>
        <w:tabs>
          <w:tab w:val="clear" w:pos="1729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/>
      </w:pPr>
      <w:r w:rsidRPr="000F450F">
        <w:rPr>
          <w:i/>
        </w:rPr>
        <w:t xml:space="preserve">Por invitación del Presidente, la delegación </w:t>
      </w:r>
      <w:r w:rsidR="00B12CAE" w:rsidRPr="000F450F">
        <w:rPr>
          <w:i/>
        </w:rPr>
        <w:t>de Granada</w:t>
      </w:r>
      <w:r w:rsidRPr="000F450F">
        <w:rPr>
          <w:i/>
        </w:rPr>
        <w:t xml:space="preserve"> toma asiento como participante a la mesa del Comité</w:t>
      </w:r>
      <w:r>
        <w:t>.</w:t>
      </w:r>
    </w:p>
    <w:p w:rsidR="00BF5038" w:rsidRDefault="00BF5038" w:rsidP="00CA51C7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B12CAE">
        <w:rPr>
          <w:b/>
        </w:rPr>
        <w:t>El Sr. Quarless</w:t>
      </w:r>
      <w:r>
        <w:t xml:space="preserve"> (Granada) indica que las </w:t>
      </w:r>
      <w:r w:rsidR="00B12CAE">
        <w:t xml:space="preserve">clínicas de </w:t>
      </w:r>
      <w:r>
        <w:t xml:space="preserve">maternidad promueven la presencia del padre durante el parto, excepto en los casos en que haya otra parturienta en el mismo momento. Las autoridades sanitarias alientan a las madres a amamantar a </w:t>
      </w:r>
      <w:r w:rsidR="00B12CAE">
        <w:t>los</w:t>
      </w:r>
      <w:r>
        <w:t xml:space="preserve"> hijos hasta los 4 meses. </w:t>
      </w:r>
    </w:p>
    <w:p w:rsidR="00BF5038" w:rsidRDefault="00BF5038" w:rsidP="000F450F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El Ministerio de Educación </w:t>
      </w:r>
      <w:r w:rsidR="00B12CAE">
        <w:t xml:space="preserve">ha puesto en práctica </w:t>
      </w:r>
      <w:r>
        <w:t xml:space="preserve">un programa de educación sexual basado en la abstinencia y </w:t>
      </w:r>
      <w:r w:rsidR="00B12CAE">
        <w:t xml:space="preserve">con arreglo al cual se suministran anticonceptivos a los jóvenes de 16 y más años de edad, los </w:t>
      </w:r>
      <w:r w:rsidR="00374F5E">
        <w:t>adolescentes</w:t>
      </w:r>
      <w:r w:rsidR="00B12CAE">
        <w:t xml:space="preserve"> menores de </w:t>
      </w:r>
      <w:r>
        <w:t>16 años que desee</w:t>
      </w:r>
      <w:r w:rsidR="00B12CAE">
        <w:t>n</w:t>
      </w:r>
      <w:r>
        <w:t xml:space="preserve"> obtener anticonceptivos debe</w:t>
      </w:r>
      <w:r w:rsidR="00B12CAE">
        <w:t>n</w:t>
      </w:r>
      <w:r>
        <w:t xml:space="preserve"> contar con la autorización de sus padres. El </w:t>
      </w:r>
      <w:r w:rsidR="00B12CAE">
        <w:t>G</w:t>
      </w:r>
      <w:r>
        <w:t>obierno no tiene una política oficial en materia de salud reproductiva de los adolescentes.</w:t>
      </w:r>
    </w:p>
    <w:p w:rsidR="00BF5038" w:rsidRDefault="00BF5038" w:rsidP="00FA1CE0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B12CAE">
        <w:rPr>
          <w:b/>
        </w:rPr>
        <w:t>La Sra. Herczog</w:t>
      </w:r>
      <w:r>
        <w:t xml:space="preserve"> (Relatora para Granada) desea saber si </w:t>
      </w:r>
      <w:r w:rsidR="00B12CAE">
        <w:t>en las clínicas de maternidad los recién</w:t>
      </w:r>
      <w:r>
        <w:t xml:space="preserve"> nacidos pueden permanecer junto a su</w:t>
      </w:r>
      <w:r w:rsidR="00B12CAE">
        <w:t>s</w:t>
      </w:r>
      <w:r>
        <w:t xml:space="preserve"> madre</w:t>
      </w:r>
      <w:r w:rsidR="00B12CAE">
        <w:t>s</w:t>
      </w:r>
      <w:r>
        <w:t xml:space="preserve"> o si se los coloca en una </w:t>
      </w:r>
      <w:r w:rsidR="00B12CAE">
        <w:t xml:space="preserve">sala aparte, y si sería posible habilitar </w:t>
      </w:r>
      <w:r>
        <w:t xml:space="preserve">más salas de parto para los casos en que haya más de una parturienta al mismo tiempo. </w:t>
      </w:r>
      <w:r w:rsidR="00050880">
        <w:t xml:space="preserve">Recordando </w:t>
      </w:r>
      <w:r>
        <w:t>que la Organización Mundial de la Salud (OMS) recomienda</w:t>
      </w:r>
      <w:r w:rsidR="00050880">
        <w:t xml:space="preserve"> alimentar a los niños exclusivamente con </w:t>
      </w:r>
      <w:r>
        <w:t xml:space="preserve">leche materna hasta los 6 meses de </w:t>
      </w:r>
      <w:r w:rsidR="00050880">
        <w:t>vida</w:t>
      </w:r>
      <w:r>
        <w:t xml:space="preserve">, pregunta por qué las autoridades de Granada alientan a las madres a amamantar </w:t>
      </w:r>
      <w:r w:rsidR="00050880">
        <w:t>a los hijos solo hasta los 4 meses.</w:t>
      </w:r>
      <w:r>
        <w:t xml:space="preserve"> </w:t>
      </w:r>
    </w:p>
    <w:p w:rsidR="00BF5038" w:rsidRDefault="00BF5038" w:rsidP="00FA1CE0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050880">
        <w:rPr>
          <w:b/>
        </w:rPr>
        <w:t>El Sr. Quarless</w:t>
      </w:r>
      <w:r>
        <w:t xml:space="preserve"> (Granada) dice que, tradicionalmente, muchas madres no desean amamantar a sus hijos durante más de dos meses,</w:t>
      </w:r>
      <w:r w:rsidR="00050880">
        <w:t xml:space="preserve"> por lo que las autoridades, al tiempo que promueven la lactancia materna </w:t>
      </w:r>
      <w:r>
        <w:t>exclusiv</w:t>
      </w:r>
      <w:r w:rsidR="00050880">
        <w:t>a</w:t>
      </w:r>
      <w:r>
        <w:t xml:space="preserve"> durante seis meses, alientan a las madres a amamantar </w:t>
      </w:r>
      <w:r w:rsidR="00050880">
        <w:t xml:space="preserve">a los hijos </w:t>
      </w:r>
      <w:r>
        <w:t xml:space="preserve">por lo menos durante cuatro meses. El número de nacimientos es muy bajo, por lo que no se ha considerado necesario </w:t>
      </w:r>
      <w:r w:rsidR="00050880">
        <w:t xml:space="preserve">habilitar </w:t>
      </w:r>
      <w:r>
        <w:t>salas de parto separadas. No se separa a los recién nacidos de sus madres, excepto cuando estos deben</w:t>
      </w:r>
      <w:r w:rsidR="00050880">
        <w:t xml:space="preserve"> ser sometidos a </w:t>
      </w:r>
      <w:r>
        <w:t>observación.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Se plantean numerosos problemas </w:t>
      </w:r>
      <w:r w:rsidR="00050880">
        <w:t xml:space="preserve">con las licencias de </w:t>
      </w:r>
      <w:r>
        <w:t>maternidad</w:t>
      </w:r>
      <w:r w:rsidR="00050880">
        <w:t>,</w:t>
      </w:r>
      <w:r>
        <w:t xml:space="preserve"> dada la difícil situación económica del país. Alrededor del 37% de la población vive por debajo del umbral de pobreza. Para atenuar las consecuencias de esta pobreza, el </w:t>
      </w:r>
      <w:r w:rsidR="00050880">
        <w:t>G</w:t>
      </w:r>
      <w:r>
        <w:t xml:space="preserve">obierno </w:t>
      </w:r>
      <w:r w:rsidR="00050880">
        <w:t>creó</w:t>
      </w:r>
      <w:r>
        <w:t xml:space="preserve"> una red de protección social </w:t>
      </w:r>
      <w:r w:rsidR="00050880">
        <w:t>integrada por una serie de programas, como los de</w:t>
      </w:r>
      <w:r>
        <w:t xml:space="preserve"> distribución de manuales escolares, asistencia pública, ayuda a los indigentes, transporte escolar y cantina escolar.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Respecto de la ayuda a los padres solteros, en particular a las madres, el Sr. Quarless indica que algunos programas de ayuda a los padres se dirigen sobre todo a las madres solteras, mientras que otros, como el programa en favor de la juventud y el programa de </w:t>
      </w:r>
      <w:r w:rsidR="00184446">
        <w:t>desbroce y mantenimiento de carreteras, que proporcionan empleo a los más pobres, priorizan a las m</w:t>
      </w:r>
      <w:r>
        <w:t>adres solteras. Los tribunales fijan las</w:t>
      </w:r>
      <w:r w:rsidR="00184446">
        <w:t xml:space="preserve"> pensiones de alimentos, y si estas no se pagan, las madres pueden recurrir </w:t>
      </w:r>
      <w:r>
        <w:t xml:space="preserve">a la policía.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Respecto de la ayuda que puede darse a Granada, el Sr. Quarless indica que sería </w:t>
      </w:r>
      <w:r w:rsidR="00184446">
        <w:t xml:space="preserve">bueno </w:t>
      </w:r>
      <w:r>
        <w:t>recibir</w:t>
      </w:r>
      <w:r w:rsidR="00184446">
        <w:t xml:space="preserve"> </w:t>
      </w:r>
      <w:r>
        <w:t xml:space="preserve">apoyo financiero para la creación de un centro de consulta familiar </w:t>
      </w:r>
      <w:r w:rsidR="00184446">
        <w:t xml:space="preserve">y la puesta en práctica </w:t>
      </w:r>
      <w:r>
        <w:t xml:space="preserve">de un nuevo programa de ayuda a las víctimas de la violencia.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No existe ninguna disposición legislativa específica </w:t>
      </w:r>
      <w:r w:rsidR="00184446">
        <w:t xml:space="preserve">respecto de </w:t>
      </w:r>
      <w:r>
        <w:t>la homosexualidad, pero la sociedad la rechaza. Por último, en Granada no hay una política oficial sob</w:t>
      </w:r>
      <w:r w:rsidR="00184446">
        <w:t>r</w:t>
      </w:r>
      <w:r>
        <w:t>e la anemia falciforme, si bien se prevé abordar este tema.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184446">
        <w:rPr>
          <w:b/>
        </w:rPr>
        <w:t>El Sr. Filali</w:t>
      </w:r>
      <w:r>
        <w:t xml:space="preserve"> desea saber si existe un fondo nacional que asegure el pago de las pensiones de alimentos cuando el padre no cumple con sus obligaciones</w:t>
      </w:r>
      <w:r w:rsidR="00184446">
        <w:t>,</w:t>
      </w:r>
      <w:r>
        <w:t xml:space="preserve"> y si este puede ser </w:t>
      </w:r>
      <w:r w:rsidR="00184446">
        <w:t>enjuiciado.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184446">
        <w:rPr>
          <w:b/>
        </w:rPr>
        <w:t>La Sra. Daniel</w:t>
      </w:r>
      <w:r>
        <w:t xml:space="preserve"> (Granada) indica que no hay ningún fondo centralizado </w:t>
      </w:r>
      <w:r w:rsidR="00184446">
        <w:t xml:space="preserve">a esos efectos. Por lo general, los asuntos relativos a las pensiones de alimentos, la </w:t>
      </w:r>
      <w:r w:rsidR="00374F5E">
        <w:t>custodia</w:t>
      </w:r>
      <w:r w:rsidR="00184446">
        <w:t xml:space="preserve"> de los hijos y los derechos de visita se resuelven inicialmente con la mediación de </w:t>
      </w:r>
      <w:r>
        <w:t xml:space="preserve">una organización no gubernamental que </w:t>
      </w:r>
      <w:r w:rsidR="00184446">
        <w:t>presta</w:t>
      </w:r>
      <w:r>
        <w:t xml:space="preserve"> servicios de consultoría y asistencia jurídica. Este método da buenos resultados. Cuando </w:t>
      </w:r>
      <w:r w:rsidR="00973C4B">
        <w:t>esa</w:t>
      </w:r>
      <w:r>
        <w:t xml:space="preserve"> mediación fracasa, en muchos casos </w:t>
      </w:r>
      <w:r w:rsidR="00973C4B">
        <w:t xml:space="preserve">se recurre </w:t>
      </w:r>
      <w:r>
        <w:t xml:space="preserve">a los tribunales. Si el padre no paga las sumas que fija el tribunal, se lo </w:t>
      </w:r>
      <w:r w:rsidR="00973C4B">
        <w:t xml:space="preserve">vuelve a enjuiciar, </w:t>
      </w:r>
      <w:r>
        <w:t xml:space="preserve">y puede recibir una sanción severa.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973C4B">
        <w:rPr>
          <w:b/>
        </w:rPr>
        <w:t>El Presidente</w:t>
      </w:r>
      <w:r>
        <w:t xml:space="preserve"> pregunta si las madres </w:t>
      </w:r>
      <w:r w:rsidR="00973C4B">
        <w:t xml:space="preserve">reciben </w:t>
      </w:r>
      <w:r>
        <w:t>una asistencia jurídica que les facilite el acceso a los tribunales.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973C4B">
        <w:rPr>
          <w:b/>
        </w:rPr>
        <w:t>La Sra. Daniel</w:t>
      </w:r>
      <w:r>
        <w:t xml:space="preserve"> (Granada) dice que la organización no gubernamental </w:t>
      </w:r>
      <w:r w:rsidR="00973C4B">
        <w:t xml:space="preserve">antes </w:t>
      </w:r>
      <w:r>
        <w:t>mencionada</w:t>
      </w:r>
      <w:r w:rsidR="00973C4B">
        <w:t xml:space="preserve"> presta esa asistencia.</w:t>
      </w:r>
      <w:r>
        <w:t xml:space="preserve"> </w:t>
      </w:r>
      <w:r w:rsidR="00374F5E">
        <w:t xml:space="preserve">Sin embargo, por lo general, las madres son reticentes a entablar procesos judiciales contra los padres y prefieren la vía de la mediación. </w:t>
      </w:r>
      <w:r>
        <w:t xml:space="preserve">El </w:t>
      </w:r>
      <w:r w:rsidR="00973C4B">
        <w:t>G</w:t>
      </w:r>
      <w:r>
        <w:t xml:space="preserve">obierno prevé aprobar una nueva </w:t>
      </w:r>
      <w:r w:rsidR="00973C4B">
        <w:t xml:space="preserve">ley sobre la custodia de los hijos, los derechos de visita y las pensiones de alimentos, en la que el sistema de mediación familiar y </w:t>
      </w:r>
      <w:r>
        <w:t>arreglo extrajudicial de litigios</w:t>
      </w:r>
      <w:r w:rsidR="00973C4B">
        <w:t xml:space="preserve"> sea un elemento </w:t>
      </w:r>
      <w:r>
        <w:t>fundamental; en la etapa inicial de un litigio habría una mediación y los tribunales no intervendrían a menos que esta fracasara.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973C4B">
        <w:rPr>
          <w:b/>
        </w:rPr>
        <w:t>El Sr. Filali</w:t>
      </w:r>
      <w:r>
        <w:t xml:space="preserve"> cree que la mediación puede ser muy útil cuando el padre tiene los medios para pagar la pensión de alimentos. Sin embargo, el verdadero problema se plantea cuando el padre </w:t>
      </w:r>
      <w:r w:rsidR="0050529A">
        <w:t xml:space="preserve">no los tiene. Si no existe </w:t>
      </w:r>
      <w:r>
        <w:t>un fondo nacional, la madre no tiene a quien recurrir.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50529A">
        <w:rPr>
          <w:b/>
        </w:rPr>
        <w:t>La Sra. Daniel</w:t>
      </w:r>
      <w:r>
        <w:t xml:space="preserve"> (Granada) dice que la </w:t>
      </w:r>
      <w:r w:rsidR="0050529A">
        <w:t xml:space="preserve">creación </w:t>
      </w:r>
      <w:r>
        <w:t xml:space="preserve">de un fondo nacional plantea numerosos problemas para un país pequeño como Granada. El </w:t>
      </w:r>
      <w:r w:rsidR="00AF7C8B">
        <w:t>G</w:t>
      </w:r>
      <w:r>
        <w:t xml:space="preserve">obierno </w:t>
      </w:r>
      <w:r w:rsidR="00AF7C8B">
        <w:t>trata de ayudar</w:t>
      </w:r>
      <w:r>
        <w:t xml:space="preserve"> a las madres en dificultad</w:t>
      </w:r>
      <w:r w:rsidR="00AF7C8B">
        <w:t>e</w:t>
      </w:r>
      <w:r>
        <w:t xml:space="preserve">s por medio de la red de protección social que ha </w:t>
      </w:r>
      <w:r w:rsidR="00AF7C8B">
        <w:t>establecido</w:t>
      </w:r>
      <w:r>
        <w:t>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AF7C8B">
        <w:rPr>
          <w:b/>
        </w:rPr>
        <w:t>El Sr. Quarless</w:t>
      </w:r>
      <w:r>
        <w:t xml:space="preserve"> (Granada), refiriéndose a la justicia de menores, dice que las autoridades intentan aplicar penas sustitutivas. El </w:t>
      </w:r>
      <w:r w:rsidR="00AF7C8B">
        <w:t>G</w:t>
      </w:r>
      <w:r>
        <w:t>obierno acaba de iniciar un programa en favor de los jóvenes en situación de vulnerabilidad centrado en la autonomía funcional, la educación y el acompañamiento. Además, deberá encontrar los recursos necesarios para financiar el programa de acogida familiar que hasta ahora se financi</w:t>
      </w:r>
      <w:r w:rsidR="00AF7C8B">
        <w:t xml:space="preserve">a con </w:t>
      </w:r>
      <w:r w:rsidR="00374F5E">
        <w:t>contribuciones</w:t>
      </w:r>
      <w:r w:rsidR="00AF7C8B">
        <w:t xml:space="preserve"> de f</w:t>
      </w:r>
      <w:r>
        <w:t xml:space="preserve">uentes externas.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AF7C8B">
        <w:rPr>
          <w:b/>
        </w:rPr>
        <w:t>La Sra. Herczog</w:t>
      </w:r>
      <w:r>
        <w:t xml:space="preserve"> (Relatora para Granada) dice que la experiencia de muchos países </w:t>
      </w:r>
      <w:r w:rsidR="00AF7C8B">
        <w:t>de</w:t>
      </w:r>
      <w:r>
        <w:t xml:space="preserve">muestra que </w:t>
      </w:r>
      <w:r w:rsidR="00AF7C8B">
        <w:t xml:space="preserve">la colocación en </w:t>
      </w:r>
      <w:r>
        <w:t>hogares de acogida es</w:t>
      </w:r>
      <w:r w:rsidR="00AF7C8B">
        <w:t xml:space="preserve"> mejor que el internamiento e</w:t>
      </w:r>
      <w:r>
        <w:t xml:space="preserve">n una institución. Teniendo en cuenta la situación económica del Estado </w:t>
      </w:r>
      <w:r w:rsidR="00AF7C8B">
        <w:t>p</w:t>
      </w:r>
      <w:r>
        <w:t xml:space="preserve">arte, quizás sería mejor </w:t>
      </w:r>
      <w:r w:rsidR="00B004D8">
        <w:t xml:space="preserve">crear </w:t>
      </w:r>
      <w:r>
        <w:t xml:space="preserve">un sistema de hogares de acogida </w:t>
      </w:r>
      <w:r w:rsidR="00B004D8">
        <w:t xml:space="preserve">que seguir administrando instituciones </w:t>
      </w:r>
      <w:r w:rsidR="00374F5E">
        <w:t>costosas</w:t>
      </w:r>
      <w:r w:rsidR="00B004D8">
        <w:t>.</w:t>
      </w:r>
      <w:r>
        <w:t xml:space="preserve"> Además, los hogares de acogida ofrecen la importante ventaja de permitir </w:t>
      </w:r>
      <w:r w:rsidR="00B004D8">
        <w:t xml:space="preserve">que los niños permanezcan </w:t>
      </w:r>
      <w:r>
        <w:t>en un entorno familiar.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B004D8">
        <w:rPr>
          <w:b/>
        </w:rPr>
        <w:t>La Sra. Daniel</w:t>
      </w:r>
      <w:r>
        <w:t xml:space="preserve"> (Granada) comparte el punto de vista de la Sra. Herczog e indica que el </w:t>
      </w:r>
      <w:r w:rsidR="00E42ACA">
        <w:t>G</w:t>
      </w:r>
      <w:r>
        <w:t xml:space="preserve">obierno ha previsto iniciar </w:t>
      </w:r>
      <w:r w:rsidR="00E42ACA">
        <w:t>dentro de dos meses una cam</w:t>
      </w:r>
      <w:r>
        <w:t xml:space="preserve">paña de captación de familias de acogida. El </w:t>
      </w:r>
      <w:r w:rsidR="00B004D8">
        <w:t>G</w:t>
      </w:r>
      <w:r>
        <w:t xml:space="preserve">obierno desea </w:t>
      </w:r>
      <w:r w:rsidR="00E42ACA">
        <w:t xml:space="preserve">crear un sistema mediante el cual el menor sea internado </w:t>
      </w:r>
      <w:r>
        <w:t>durante un período de estabilización antes de ser confiado a una familia de acogida.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E42ACA">
        <w:rPr>
          <w:b/>
        </w:rPr>
        <w:t>La Sra. Herczog</w:t>
      </w:r>
      <w:r>
        <w:t xml:space="preserve"> (Relatora para Granada) dice que la experiencia </w:t>
      </w:r>
      <w:r w:rsidR="00E42ACA">
        <w:t>de</w:t>
      </w:r>
      <w:r>
        <w:t xml:space="preserve">muestra que, a menudo, </w:t>
      </w:r>
      <w:r w:rsidR="00E42ACA">
        <w:t xml:space="preserve">el internamiento temporal de los niños beneficia más a la institución en que son internados que a los niños, y que su duración es excesiva. Las </w:t>
      </w:r>
      <w:r>
        <w:t xml:space="preserve">transiciones </w:t>
      </w:r>
      <w:r w:rsidR="00E42ACA">
        <w:t xml:space="preserve">siempre son dolorosas para los niños, que ya sufren el trauma de la </w:t>
      </w:r>
      <w:r>
        <w:t>pérdida de su entorno familiar</w:t>
      </w:r>
      <w:r w:rsidR="00E42ACA">
        <w:t>,</w:t>
      </w:r>
      <w:r>
        <w:t xml:space="preserve"> y es importante evitar que sufran dos veces. Algunos países hacen </w:t>
      </w:r>
      <w:r w:rsidR="00E42ACA">
        <w:t xml:space="preserve">llamamientos urgentes en busca de </w:t>
      </w:r>
      <w:r>
        <w:t xml:space="preserve">familias de acogida y la Sra. Herczog insta al Estado </w:t>
      </w:r>
      <w:r w:rsidR="00E42ACA">
        <w:t>p</w:t>
      </w:r>
      <w:r>
        <w:t>arte a considerar esa posibilidad.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E42ACA">
        <w:rPr>
          <w:b/>
        </w:rPr>
        <w:t>La Sra. Daniel</w:t>
      </w:r>
      <w:r>
        <w:t xml:space="preserve"> (Granada) dice que </w:t>
      </w:r>
      <w:r w:rsidR="00E42ACA">
        <w:t xml:space="preserve">los menores </w:t>
      </w:r>
      <w:r>
        <w:t>de 15 años no puede</w:t>
      </w:r>
      <w:r w:rsidR="00E42ACA">
        <w:t>n</w:t>
      </w:r>
      <w:r>
        <w:t xml:space="preserve"> en ningún caso obtener permiso</w:t>
      </w:r>
      <w:r w:rsidR="00E42ACA">
        <w:t>s</w:t>
      </w:r>
      <w:r>
        <w:t xml:space="preserve"> de trabajo. </w:t>
      </w:r>
      <w:r w:rsidR="00E42ACA">
        <w:t xml:space="preserve">En ocasiones, se otorgan permisos de trabajo a niños </w:t>
      </w:r>
      <w:r>
        <w:t xml:space="preserve">menores de 15 años que </w:t>
      </w:r>
      <w:r w:rsidR="00E42ACA">
        <w:t xml:space="preserve">han completado el ciclo de la </w:t>
      </w:r>
      <w:r>
        <w:t xml:space="preserve">enseñanza secundaria.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El empleo de funcionarios encargados de controlar el ausentismo escolar ha permitido </w:t>
      </w:r>
      <w:r w:rsidR="00E42ACA">
        <w:t xml:space="preserve">reducir </w:t>
      </w:r>
      <w:r>
        <w:t xml:space="preserve">su tasa. El problema del ausentismo afecta sobre todo a los estudiantes de secundaria y está más relacionado con cuestiones de comportamiento que con cuestiones de acceso a la educación. El Ministerio de Educación se propone revisar los programas </w:t>
      </w:r>
      <w:r w:rsidR="008E0DF0">
        <w:t xml:space="preserve">de estudio </w:t>
      </w:r>
      <w:r w:rsidR="005C4E00">
        <w:t xml:space="preserve">a </w:t>
      </w:r>
      <w:r>
        <w:t xml:space="preserve">fin de preparar mejor a los jóvenes para la vida activa y asegurar una mayor adecuación del sistema escolar a las necesidades del mercado de trabajo. Sin embargo, esta reforma suscita la oposición </w:t>
      </w:r>
      <w:r w:rsidR="008E0DF0">
        <w:t xml:space="preserve">de los maestros, </w:t>
      </w:r>
      <w:r>
        <w:t xml:space="preserve">ya que supone una extensión de la jornada escolar. Para solucionar el problema </w:t>
      </w:r>
      <w:r w:rsidR="008E0DF0">
        <w:t xml:space="preserve">del bajo </w:t>
      </w:r>
      <w:r>
        <w:t xml:space="preserve">nivel escolar, las autoridades hacen hincapié, </w:t>
      </w:r>
      <w:r w:rsidR="008E0DF0">
        <w:t xml:space="preserve">en los cursos de capacitación de los maestros, </w:t>
      </w:r>
      <w:r>
        <w:t xml:space="preserve">en el refuerzo de la instrucción elemental. Muchos </w:t>
      </w:r>
      <w:r w:rsidR="008E0DF0">
        <w:t xml:space="preserve">maestros también reciben formación especializada para atender </w:t>
      </w:r>
      <w:r w:rsidR="005C4E00">
        <w:t xml:space="preserve">a </w:t>
      </w:r>
      <w:r w:rsidR="008E0DF0">
        <w:t xml:space="preserve">los </w:t>
      </w:r>
      <w:r>
        <w:t xml:space="preserve">niños con dificultades particulares.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E0DF0">
        <w:rPr>
          <w:b/>
        </w:rPr>
        <w:t>El Presidente</w:t>
      </w:r>
      <w:r>
        <w:t xml:space="preserve"> desea saber si, además de los programas de enseñanza general, existen programas de formación profesional o si los jóvenes tienen la posibilidad de aprender un oficio.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E0DF0">
        <w:rPr>
          <w:b/>
        </w:rPr>
        <w:t>La Sra. Daniel</w:t>
      </w:r>
      <w:r>
        <w:t xml:space="preserve"> (Granada) dice que la enseñanza primaria y secundaria es muy general y no brinda a los</w:t>
      </w:r>
      <w:r w:rsidR="008E0DF0">
        <w:t xml:space="preserve"> niños una verdadera preparación profesional.</w:t>
      </w:r>
      <w:r>
        <w:t xml:space="preserve"> Sin embargo, en el T. A. Marryshow Community College se ofrecen programas de formación profesional.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En Granada hay actualmente unos 100 niños internados en instituciones. Algunos son niños con discapacidad, otros </w:t>
      </w:r>
      <w:r w:rsidR="008E0DF0">
        <w:t xml:space="preserve">han sido </w:t>
      </w:r>
      <w:r>
        <w:t>abandonados por su familia. Alrededor de 80 niños viven con familias de acogida.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En materia de protección </w:t>
      </w:r>
      <w:r w:rsidR="008E0DF0">
        <w:t xml:space="preserve">de los niños, </w:t>
      </w:r>
      <w:r>
        <w:t xml:space="preserve">las autoridades granadinas </w:t>
      </w:r>
      <w:r w:rsidR="008E0DF0">
        <w:t xml:space="preserve">carecen </w:t>
      </w:r>
      <w:r>
        <w:t xml:space="preserve">de recursos financieros y humanos. Granada </w:t>
      </w:r>
      <w:r w:rsidR="008E0DF0">
        <w:t xml:space="preserve">se apresta a </w:t>
      </w:r>
      <w:r>
        <w:t xml:space="preserve">asumir la gestión completa del programa de </w:t>
      </w:r>
      <w:r w:rsidR="008E0DF0">
        <w:t>hogares de acogida</w:t>
      </w:r>
      <w:r>
        <w:t xml:space="preserve"> </w:t>
      </w:r>
      <w:r w:rsidR="008E0DF0">
        <w:t>—</w:t>
      </w:r>
      <w:r>
        <w:t>creado</w:t>
      </w:r>
      <w:r w:rsidR="00184446">
        <w:t xml:space="preserve"> </w:t>
      </w:r>
      <w:r>
        <w:t xml:space="preserve">y administrado por un órgano externo con el apoyo del </w:t>
      </w:r>
      <w:r w:rsidR="008E0DF0">
        <w:t>G</w:t>
      </w:r>
      <w:r>
        <w:t>obierno granadino</w:t>
      </w:r>
      <w:r w:rsidR="008E0DF0">
        <w:t>—</w:t>
      </w:r>
      <w:r>
        <w:t xml:space="preserve"> y </w:t>
      </w:r>
      <w:r w:rsidR="00803FEF">
        <w:t>se apresta también a fortale</w:t>
      </w:r>
      <w:r>
        <w:t xml:space="preserve">cerlo. El </w:t>
      </w:r>
      <w:r w:rsidR="00803FEF">
        <w:t>G</w:t>
      </w:r>
      <w:r>
        <w:t xml:space="preserve">obierno agradecería recibir apoyo técnico </w:t>
      </w:r>
      <w:r w:rsidR="00803FEF">
        <w:t>en este ámbito</w:t>
      </w:r>
      <w:r>
        <w:t xml:space="preserve">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Los niños que se encuentran en instituciones </w:t>
      </w:r>
      <w:r w:rsidR="00803FEF">
        <w:t xml:space="preserve">públicas </w:t>
      </w:r>
      <w:r>
        <w:t xml:space="preserve">tienen acceso a servicios de consultoría. El </w:t>
      </w:r>
      <w:r w:rsidR="00803FEF">
        <w:t>G</w:t>
      </w:r>
      <w:r>
        <w:t xml:space="preserve">obierno desea extender este servicio a todos los hogares que acogen a niños.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Con el fin de ampliar la eficacia del sistema de protección de </w:t>
      </w:r>
      <w:r w:rsidR="00803FEF">
        <w:t xml:space="preserve">los niños, </w:t>
      </w:r>
      <w:r>
        <w:t xml:space="preserve">desde hace dos años el </w:t>
      </w:r>
      <w:r w:rsidR="00803FEF">
        <w:t>G</w:t>
      </w:r>
      <w:r>
        <w:t xml:space="preserve">obierno trabaja en la </w:t>
      </w:r>
      <w:r w:rsidR="00374F5E">
        <w:t>reestructuración</w:t>
      </w:r>
      <w:r>
        <w:t xml:space="preserve"> de la autoridad de protección de </w:t>
      </w:r>
      <w:r w:rsidR="00803FEF">
        <w:t>los niños</w:t>
      </w:r>
      <w:r>
        <w:t>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03FEF">
        <w:rPr>
          <w:b/>
        </w:rPr>
        <w:t>La Sra. Herczog</w:t>
      </w:r>
      <w:r>
        <w:t xml:space="preserve"> pregunta quién toma la decisión de internar a un niño y qué procedimiento se sigue.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03FEF">
        <w:rPr>
          <w:b/>
        </w:rPr>
        <w:t xml:space="preserve">La Sra. Daniel </w:t>
      </w:r>
      <w:r>
        <w:t xml:space="preserve">(Granada) dice que, en </w:t>
      </w:r>
      <w:r w:rsidR="00803FEF">
        <w:t xml:space="preserve">los </w:t>
      </w:r>
      <w:r>
        <w:t>caso</w:t>
      </w:r>
      <w:r w:rsidR="00803FEF">
        <w:t>s</w:t>
      </w:r>
      <w:r>
        <w:t xml:space="preserve"> de maltrato y violencia sexual contra un niño, si </w:t>
      </w:r>
      <w:r w:rsidR="00803FEF">
        <w:t xml:space="preserve">la familia apoya al niño y </w:t>
      </w:r>
      <w:r>
        <w:t xml:space="preserve">logra que el autor de los actos se aleje del domicilio, el niño permanece con </w:t>
      </w:r>
      <w:r w:rsidR="00803FEF">
        <w:t xml:space="preserve">la familia. De lo </w:t>
      </w:r>
      <w:r>
        <w:t xml:space="preserve">contrario, en particular en los casos de incesto, se lo interna en una institución. En general, la decisión </w:t>
      </w:r>
      <w:r w:rsidR="00803FEF">
        <w:t xml:space="preserve">al respecto </w:t>
      </w:r>
      <w:r>
        <w:t xml:space="preserve">la toman los asistentes sociales. </w:t>
      </w:r>
      <w:r w:rsidR="00374F5E">
        <w:t xml:space="preserve">Cabe subrayar que los niños que son víctimas de violencia sexual dudan en utilizar a la línea telefónica directa que se ha habilitado para niños víctimas de maltratos porque el país es pequeño y no puede garantizarse el anonimato, lo que puede comprometer la reputación de su familia y plantear el riesgo de que el niño sea estigmatizado y sea objeto de las burlas de los demás niños de su propia edad.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1332CD">
        <w:rPr>
          <w:b/>
        </w:rPr>
        <w:t>La Sra. Herczog</w:t>
      </w:r>
      <w:r>
        <w:t xml:space="preserve"> rec</w:t>
      </w:r>
      <w:r w:rsidR="001332CD">
        <w:t xml:space="preserve">ordando </w:t>
      </w:r>
      <w:r>
        <w:t xml:space="preserve">que la legislación de Granada no prevé una edad de consentimiento para las relaciones sexuales en el caso de los </w:t>
      </w:r>
      <w:r w:rsidR="001332CD">
        <w:t xml:space="preserve">varones, </w:t>
      </w:r>
      <w:r>
        <w:t xml:space="preserve">pregunta de qué manera el Estado </w:t>
      </w:r>
      <w:r w:rsidR="001332CD">
        <w:t>p</w:t>
      </w:r>
      <w:r>
        <w:t xml:space="preserve">arte </w:t>
      </w:r>
      <w:r w:rsidR="001332CD">
        <w:t xml:space="preserve">combate la explotación y la violencia sexuales cuando las </w:t>
      </w:r>
      <w:r>
        <w:t>víctimas son varones</w:t>
      </w:r>
      <w:r w:rsidR="001332CD">
        <w:t xml:space="preserve">, y qué hace el Estado parte para combatir el fenómeno de los </w:t>
      </w:r>
      <w:r w:rsidR="00482182">
        <w:t>“</w:t>
      </w:r>
      <w:r w:rsidR="001332CD">
        <w:rPr>
          <w:i/>
        </w:rPr>
        <w:t>sugar daddies</w:t>
      </w:r>
      <w:r w:rsidR="008948BE">
        <w:t>”</w:t>
      </w:r>
      <w:r w:rsidR="001332CD">
        <w:t xml:space="preserve"> (hombres mayores que ofrecen regalos y dinero a jóvenes a cambio de sexo), </w:t>
      </w:r>
      <w:r>
        <w:t xml:space="preserve">fortalecer la capacidad de los padres para </w:t>
      </w:r>
      <w:r w:rsidR="001332CD">
        <w:t xml:space="preserve">proteger </w:t>
      </w:r>
      <w:r>
        <w:t xml:space="preserve">a sus hijos y sensibilizar a los </w:t>
      </w:r>
      <w:r w:rsidR="001332CD">
        <w:t xml:space="preserve">menores sobre </w:t>
      </w:r>
      <w:r>
        <w:t>los riesgos que corren.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1332CD">
        <w:rPr>
          <w:b/>
        </w:rPr>
        <w:t>La Sra. Daniel</w:t>
      </w:r>
      <w:r>
        <w:t xml:space="preserve"> (Granada) dice que ese fenómeno, y el de las transacciones sexuales entre adolescentes, en que se negocian objetos como teléfonos celulares o tarjetas telefónicas,</w:t>
      </w:r>
      <w:r w:rsidR="00184446">
        <w:t xml:space="preserve"> </w:t>
      </w:r>
      <w:r>
        <w:t>preocupan a las autoridades granadinas. Según algunos estudios realizados en los últimos años, en Granada las relaciones sexuales comienzan muy precozmente y las autoridades, así como las organizaciones no gubernamentales, realizan campañas de sensibilización para alentar la abstinencia sexual.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La cantidad de casos de violencia sexual </w:t>
      </w:r>
      <w:r w:rsidR="00EA191D">
        <w:t>contra</w:t>
      </w:r>
      <w:r>
        <w:t xml:space="preserve"> los varones en su niñez está aumentando. Lamentablemente, muy pocas víctimas los denuncian por temor a ser estigmatizad</w:t>
      </w:r>
      <w:r w:rsidR="00EA191D">
        <w:t>a</w:t>
      </w:r>
      <w:r>
        <w:t>s, dado que, en</w:t>
      </w:r>
      <w:r w:rsidR="00184446">
        <w:t xml:space="preserve"> </w:t>
      </w:r>
      <w:r>
        <w:t xml:space="preserve">general, la sociedad granadina es homófoba. El </w:t>
      </w:r>
      <w:r w:rsidR="00EA191D">
        <w:t>G</w:t>
      </w:r>
      <w:r>
        <w:t>obierno continúa</w:t>
      </w:r>
      <w:r w:rsidR="00EA191D">
        <w:t xml:space="preserve"> ejecutando </w:t>
      </w:r>
      <w:r>
        <w:t xml:space="preserve">medidas de sensibilización de la población sobre este tema.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EA191D">
        <w:rPr>
          <w:b/>
        </w:rPr>
        <w:t>El Presidente</w:t>
      </w:r>
      <w:r>
        <w:t xml:space="preserve"> pregunta si el Estado </w:t>
      </w:r>
      <w:r w:rsidR="00EA191D">
        <w:t>p</w:t>
      </w:r>
      <w:r>
        <w:t xml:space="preserve">arte </w:t>
      </w:r>
      <w:r w:rsidR="00EA191D">
        <w:t xml:space="preserve">tiene </w:t>
      </w:r>
      <w:r>
        <w:t>una política específica para los niños con discapacidad.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EA191D">
        <w:rPr>
          <w:b/>
        </w:rPr>
        <w:t>La Sra. Daniel</w:t>
      </w:r>
      <w:r>
        <w:t xml:space="preserve"> (Granada) dice que las instituciones para las personas con discapacidad no están </w:t>
      </w:r>
      <w:r w:rsidR="00EA191D">
        <w:t xml:space="preserve">aptas para </w:t>
      </w:r>
      <w:r>
        <w:t>recibir niños pequeños. Cuando es posible, los niños permanecen con su</w:t>
      </w:r>
      <w:r w:rsidR="00EA191D">
        <w:t>s</w:t>
      </w:r>
      <w:r>
        <w:t xml:space="preserve"> familia</w:t>
      </w:r>
      <w:r w:rsidR="00EA191D">
        <w:t>s</w:t>
      </w:r>
      <w:r>
        <w:t xml:space="preserve">, </w:t>
      </w:r>
      <w:r w:rsidR="00B127B7">
        <w:t xml:space="preserve">las </w:t>
      </w:r>
      <w:r w:rsidR="00EA191D">
        <w:t xml:space="preserve">cuales se benefician </w:t>
      </w:r>
      <w:r>
        <w:t xml:space="preserve">de la protección social. </w:t>
      </w:r>
      <w:r w:rsidR="00EA191D">
        <w:t xml:space="preserve">En el resto de los casos, los </w:t>
      </w:r>
      <w:r>
        <w:t>niños se envían a familias de acogida o a hogares infantiles comunes, a veces desde su nacimiento. Cuando esos niños crecen</w:t>
      </w:r>
      <w:r w:rsidR="00EA191D">
        <w:t xml:space="preserve">, si sus familias no desean seguir haciéndose </w:t>
      </w:r>
      <w:r>
        <w:t>cargo de ellos, son transferidos a una institución para personas con discapacidad.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La legislación granadina prohíbe la prostitución. En Granada no hay </w:t>
      </w:r>
      <w:r w:rsidR="00EA191D">
        <w:t xml:space="preserve">graves problemas de turismo sexual </w:t>
      </w:r>
      <w:r>
        <w:t>y se conocen muy pocos casos de trata de personas,</w:t>
      </w:r>
      <w:r w:rsidR="00EA191D">
        <w:t xml:space="preserve"> los que han sido</w:t>
      </w:r>
      <w:r>
        <w:t xml:space="preserve"> investigados por las fuerzas del orden.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EA191D">
        <w:rPr>
          <w:b/>
        </w:rPr>
        <w:t>El Sr. Koompraphant</w:t>
      </w:r>
      <w:r>
        <w:t xml:space="preserve"> pregunta si, en virtud de la legislación, los clientes de las prostitutas y ellas mismas, </w:t>
      </w:r>
      <w:r w:rsidR="00EA191D">
        <w:t>ya sean may</w:t>
      </w:r>
      <w:r>
        <w:t>ores o menores</w:t>
      </w:r>
      <w:r w:rsidR="00EA191D">
        <w:t xml:space="preserve"> de edad</w:t>
      </w:r>
      <w:r>
        <w:t>, pueden ser procesados.</w:t>
      </w:r>
      <w:r w:rsidR="00184446">
        <w:t xml:space="preserve">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EA191D">
        <w:rPr>
          <w:b/>
        </w:rPr>
        <w:t>La Sra. Daniel</w:t>
      </w:r>
      <w:r>
        <w:t xml:space="preserve"> (Granada) responde que las personas que participan en la prostitución pueden ser </w:t>
      </w:r>
      <w:r w:rsidR="004340A2">
        <w:t xml:space="preserve">enjuiciadas </w:t>
      </w:r>
      <w:r>
        <w:t>si se presenta una denuncia, lo que es muy raro. En Granada, la prostitución es, en efecto, una práctica oculta y no organizada</w:t>
      </w:r>
      <w:r w:rsidR="004340A2">
        <w:t xml:space="preserve">, que </w:t>
      </w:r>
      <w:r>
        <w:t>obedece a la ley del silencio. Las prostitutas son adultas. No se considera que un niño víctima de violencia sexual se haya prostituido</w:t>
      </w:r>
      <w:r w:rsidR="004340A2">
        <w:t>;</w:t>
      </w:r>
      <w:r>
        <w:t xml:space="preserve"> un menor que se</w:t>
      </w:r>
      <w:r w:rsidR="004340A2">
        <w:t xml:space="preserve">a </w:t>
      </w:r>
      <w:r>
        <w:t>obligado a prostituirse no sería tratado como un adulto.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>Granada no dispone de personal capacitado para</w:t>
      </w:r>
      <w:r w:rsidR="004340A2">
        <w:t xml:space="preserve"> atender ni para ofrecer protección especial a los extranjeros víctimas de trata que sean llevados a territorio granadino. </w:t>
      </w:r>
      <w:r>
        <w:t xml:space="preserve">Dada su situación geográfica y su </w:t>
      </w:r>
      <w:r w:rsidR="004340A2">
        <w:t xml:space="preserve">idioma, </w:t>
      </w:r>
      <w:r>
        <w:t xml:space="preserve">Granada no es un país de destino </w:t>
      </w:r>
      <w:r w:rsidR="004340A2">
        <w:t xml:space="preserve">de </w:t>
      </w:r>
      <w:r>
        <w:t xml:space="preserve">la trata de personas </w:t>
      </w:r>
      <w:r w:rsidR="004340A2">
        <w:t xml:space="preserve">ni </w:t>
      </w:r>
      <w:r>
        <w:t>un país de origen</w:t>
      </w:r>
      <w:r w:rsidR="004340A2">
        <w:t xml:space="preserve"> de ese fenómeno</w:t>
      </w:r>
      <w:r>
        <w:t xml:space="preserve">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4340A2">
        <w:rPr>
          <w:b/>
        </w:rPr>
        <w:t>El Sr. Filali</w:t>
      </w:r>
      <w:r>
        <w:t xml:space="preserve"> pregunta </w:t>
      </w:r>
      <w:r w:rsidR="004340A2">
        <w:t xml:space="preserve">si </w:t>
      </w:r>
      <w:r>
        <w:t xml:space="preserve">un niño que se prostituye es considerado víctima y </w:t>
      </w:r>
      <w:r w:rsidR="004340A2">
        <w:t xml:space="preserve">qué prevé la legislación al respecto.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4340A2">
        <w:rPr>
          <w:b/>
        </w:rPr>
        <w:t>La Sra. Daniel</w:t>
      </w:r>
      <w:r>
        <w:t xml:space="preserve"> (Granada) dice que si un niño se prostituye y su familia no está en condiciones de ofrecerle la protección necesaria, el Estado se hace cargo de él en virtud de la ley de protección de</w:t>
      </w:r>
      <w:r w:rsidR="004340A2">
        <w:t>l menor</w:t>
      </w:r>
      <w:r>
        <w:t>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4340A2">
        <w:rPr>
          <w:b/>
        </w:rPr>
        <w:t>El Sr. Koompraphant</w:t>
      </w:r>
      <w:r>
        <w:t xml:space="preserve"> pregunta qué ayuda puede dar el </w:t>
      </w:r>
      <w:r w:rsidR="004340A2">
        <w:t>G</w:t>
      </w:r>
      <w:r>
        <w:t xml:space="preserve">obierno a las familias de los niños que se prostituyen.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4340A2">
        <w:rPr>
          <w:b/>
        </w:rPr>
        <w:t>La Sra. Daniel</w:t>
      </w:r>
      <w:r>
        <w:t xml:space="preserve"> (Granada) dice que el hecho de que un niño se prostituya </w:t>
      </w:r>
      <w:r w:rsidR="007837F0">
        <w:t xml:space="preserve">o se </w:t>
      </w:r>
      <w:r w:rsidR="00374F5E">
        <w:t>someta</w:t>
      </w:r>
      <w:r w:rsidR="007837F0">
        <w:t xml:space="preserve"> a la </w:t>
      </w:r>
      <w:r w:rsidR="008948BE">
        <w:t>“</w:t>
      </w:r>
      <w:r>
        <w:t>protección</w:t>
      </w:r>
      <w:r w:rsidR="008948BE">
        <w:t>”</w:t>
      </w:r>
      <w:r>
        <w:t xml:space="preserve"> de un </w:t>
      </w:r>
      <w:r w:rsidR="008948BE">
        <w:t>“</w:t>
      </w:r>
      <w:r w:rsidR="007837F0" w:rsidRPr="007837F0">
        <w:t>sugar daddy</w:t>
      </w:r>
      <w:r w:rsidR="008948BE">
        <w:t>”</w:t>
      </w:r>
      <w:r w:rsidR="007837F0">
        <w:t xml:space="preserve"> no es </w:t>
      </w:r>
      <w:r>
        <w:t xml:space="preserve">necesariamente consecuencia de la pobreza. </w:t>
      </w:r>
      <w:r w:rsidR="007837F0">
        <w:t xml:space="preserve">Ese </w:t>
      </w:r>
      <w:r>
        <w:t xml:space="preserve">fenómeno también está vinculado con el cambio del estilo de vida y de los valores. El </w:t>
      </w:r>
      <w:r w:rsidR="007837F0">
        <w:t>G</w:t>
      </w:r>
      <w:r>
        <w:t xml:space="preserve">obierno combina </w:t>
      </w:r>
      <w:r w:rsidR="007837F0">
        <w:t xml:space="preserve">las </w:t>
      </w:r>
      <w:r>
        <w:t xml:space="preserve">medidas de protección </w:t>
      </w:r>
      <w:r w:rsidR="007837F0">
        <w:t xml:space="preserve">de los niños </w:t>
      </w:r>
      <w:r>
        <w:t xml:space="preserve">con medidas de formación parental.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837F0">
        <w:rPr>
          <w:b/>
        </w:rPr>
        <w:t>El Presidente</w:t>
      </w:r>
      <w:r>
        <w:t xml:space="preserve"> pregunta qué medidas ha puesto en práctica el Estado </w:t>
      </w:r>
      <w:r w:rsidR="007837F0">
        <w:t>p</w:t>
      </w:r>
      <w:r>
        <w:t xml:space="preserve">arte para prevenir la prostitución </w:t>
      </w:r>
      <w:r w:rsidR="007837F0">
        <w:t xml:space="preserve">infantil y el maltrato </w:t>
      </w:r>
      <w:r>
        <w:t>de los niños, y para apoyar a las familias monoparentales.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837F0">
        <w:rPr>
          <w:b/>
        </w:rPr>
        <w:t>La Sra. Daniel</w:t>
      </w:r>
      <w:r>
        <w:t xml:space="preserve"> (Granada) dice que el </w:t>
      </w:r>
      <w:r w:rsidR="007837F0">
        <w:t>G</w:t>
      </w:r>
      <w:r>
        <w:t>obierno</w:t>
      </w:r>
      <w:r w:rsidR="007837F0">
        <w:t>,</w:t>
      </w:r>
      <w:r>
        <w:t xml:space="preserve"> en colaboración con las organizaciones no gubernamentales,</w:t>
      </w:r>
      <w:r w:rsidR="007837F0">
        <w:t xml:space="preserve"> realiza</w:t>
      </w:r>
      <w:r>
        <w:t xml:space="preserve"> campañas de educación y sensibilización sobre los temas del maltrato y de la violencia sexual. Estos temas también se integran </w:t>
      </w:r>
      <w:r w:rsidR="007837F0">
        <w:t xml:space="preserve">en </w:t>
      </w:r>
      <w:r>
        <w:t xml:space="preserve">los programas de enseñanza escolar y preescolar.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837F0">
        <w:rPr>
          <w:b/>
        </w:rPr>
        <w:t>La Sra. Herczog</w:t>
      </w:r>
      <w:r>
        <w:t xml:space="preserve"> pregunta si el Estado </w:t>
      </w:r>
      <w:r w:rsidR="007837F0">
        <w:t>p</w:t>
      </w:r>
      <w:r>
        <w:t xml:space="preserve">arte no podría aplicar medidas de sensibilización </w:t>
      </w:r>
      <w:r w:rsidR="007837F0">
        <w:t>de</w:t>
      </w:r>
      <w:r>
        <w:t xml:space="preserve"> los niños,</w:t>
      </w:r>
      <w:r w:rsidR="007837F0">
        <w:t xml:space="preserve"> para </w:t>
      </w:r>
      <w:r>
        <w:t xml:space="preserve">prevenir la actividad sexual temprana y </w:t>
      </w:r>
      <w:r w:rsidR="007837F0">
        <w:t xml:space="preserve">el </w:t>
      </w:r>
      <w:r>
        <w:t>embarazo preco</w:t>
      </w:r>
      <w:r w:rsidR="007837F0">
        <w:t>z</w:t>
      </w:r>
      <w:r>
        <w:t xml:space="preserve">. A este respecto, también convendría sensibilizar a los padres sobre la necesidad de </w:t>
      </w:r>
      <w:r w:rsidR="007837F0">
        <w:t xml:space="preserve">dialogar </w:t>
      </w:r>
      <w:r>
        <w:t xml:space="preserve">con sus hijos sobre </w:t>
      </w:r>
      <w:r w:rsidR="008A4EAF">
        <w:t>el uso de anticonceptivos y</w:t>
      </w:r>
      <w:r>
        <w:t xml:space="preserve"> la protección contra </w:t>
      </w:r>
      <w:r w:rsidR="008A4EAF">
        <w:t xml:space="preserve">las </w:t>
      </w:r>
      <w:r>
        <w:t>infecciones de transmisión sexual, sobre todo el VIH/SIDA. En particular, debería alentarse la utilización de preservativo</w:t>
      </w:r>
      <w:r w:rsidR="008A4EAF">
        <w:t>s</w:t>
      </w:r>
      <w:r>
        <w:t xml:space="preserve">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A4EAF">
        <w:rPr>
          <w:b/>
        </w:rPr>
        <w:t>La Sra. Daniel</w:t>
      </w:r>
      <w:r>
        <w:t xml:space="preserve"> (Granada) dice que este proceso de sensibilización ya está en curso, pero que lleva tiempo.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>
        <w:t xml:space="preserve">En Granada </w:t>
      </w:r>
      <w:r w:rsidR="008A4EAF">
        <w:t xml:space="preserve">se producen </w:t>
      </w:r>
      <w:r>
        <w:t>alrededor de 20 adopciones de niños por año</w:t>
      </w:r>
      <w:r w:rsidR="008A4EAF">
        <w:t xml:space="preserve">, de las que más del 80% son realizadas por familiares. En la mayoría de los casos, se trata de adopciones de niñas, puesto que se considera que estas son más dóciles, y pueden contribuir a las tareas domésticas. Granada no es signataria del </w:t>
      </w:r>
      <w:r>
        <w:t>Convenio de La Haya sobre la Protección de los Niños y la Cooperación en materia de Adopción Internacional</w:t>
      </w:r>
      <w:r w:rsidR="00B127B7">
        <w:t>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A4EAF">
        <w:rPr>
          <w:b/>
        </w:rPr>
        <w:t>El Sr. Quarless</w:t>
      </w:r>
      <w:r>
        <w:t xml:space="preserve"> (Granada) dice que, en materia de justicia de menores, el </w:t>
      </w:r>
      <w:r w:rsidR="008A4EAF">
        <w:t>G</w:t>
      </w:r>
      <w:r>
        <w:t xml:space="preserve">obierno privilegia las medidas sustitutivas de la privación de </w:t>
      </w:r>
      <w:r w:rsidR="008A4EAF">
        <w:t xml:space="preserve">libertad, y está tratando de crear </w:t>
      </w:r>
      <w:r>
        <w:t>un sistema de familias de acogida especialmente formadas y remuneradas para hacerse cargo de niños en conflicto con la ley</w:t>
      </w:r>
      <w:r w:rsidR="008A4EAF">
        <w:t>, y ha iniciado un programa para dotar a los menores infractores de conocimientos prácticos y o</w:t>
      </w:r>
      <w:r>
        <w:t>frecerles servicios de consultoría.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A4EAF">
        <w:rPr>
          <w:b/>
        </w:rPr>
        <w:t>La Sra. Daniel</w:t>
      </w:r>
      <w:r>
        <w:t xml:space="preserve"> (Granada) dice que</w:t>
      </w:r>
      <w:r w:rsidR="008A4EAF">
        <w:t>,</w:t>
      </w:r>
      <w:r>
        <w:t xml:space="preserve"> cuando se presenta una denuncia contra un menor que ha cometido una infracción, la policía alienta al denunciante a aceptar un arreglo informal. </w:t>
      </w:r>
      <w:r w:rsidR="008A4EAF">
        <w:t xml:space="preserve">La reclusión </w:t>
      </w:r>
      <w:r>
        <w:t xml:space="preserve">de menores </w:t>
      </w:r>
      <w:r w:rsidR="00886519">
        <w:t xml:space="preserve">en </w:t>
      </w:r>
      <w:r>
        <w:t>establecimiento</w:t>
      </w:r>
      <w:r w:rsidR="00886519">
        <w:t>s</w:t>
      </w:r>
      <w:r>
        <w:t xml:space="preserve"> penitenciario</w:t>
      </w:r>
      <w:r w:rsidR="00886519">
        <w:t>s</w:t>
      </w:r>
      <w:r>
        <w:t xml:space="preserve"> para adultos no es una solución aceptable para el </w:t>
      </w:r>
      <w:r w:rsidR="00886519">
        <w:t>G</w:t>
      </w:r>
      <w:r>
        <w:t xml:space="preserve">obierno y solo se apela a ella como último recurso, </w:t>
      </w:r>
      <w:r w:rsidR="00886519">
        <w:t xml:space="preserve">fundamentalmente en casos de </w:t>
      </w:r>
      <w:r>
        <w:t>reincidencia, cuando las medidas extrajudiciales han resultado ineficaces.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86519">
        <w:rPr>
          <w:b/>
        </w:rPr>
        <w:t>El Sr. Koompraphant</w:t>
      </w:r>
      <w:r>
        <w:t xml:space="preserve"> pregunta s</w:t>
      </w:r>
      <w:r w:rsidR="00886519">
        <w:t>i</w:t>
      </w:r>
      <w:r>
        <w:t xml:space="preserve"> existe algún programa para tratar los casos de niños en conflicto con la ley sin recurrir a los tribunales.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86519">
        <w:rPr>
          <w:b/>
        </w:rPr>
        <w:t>La Sra. Dan</w:t>
      </w:r>
      <w:r w:rsidRPr="00B127B7">
        <w:rPr>
          <w:b/>
        </w:rPr>
        <w:t>iel</w:t>
      </w:r>
      <w:r>
        <w:t xml:space="preserve"> (Granada) responde que acaba de</w:t>
      </w:r>
      <w:r w:rsidR="00886519">
        <w:t xml:space="preserve"> emprenderse </w:t>
      </w:r>
      <w:r>
        <w:t xml:space="preserve">un programa de ese tipo. En colaboración con organizaciones no gubernamentales, el </w:t>
      </w:r>
      <w:r w:rsidR="00886519">
        <w:t>G</w:t>
      </w:r>
      <w:r>
        <w:t>obierno</w:t>
      </w:r>
      <w:r w:rsidR="00886519">
        <w:t xml:space="preserve"> ha puesto </w:t>
      </w:r>
      <w:r>
        <w:t>en práctica recientemente un programa para</w:t>
      </w:r>
      <w:r w:rsidR="00886519">
        <w:t xml:space="preserve"> los menores </w:t>
      </w:r>
      <w:r>
        <w:t>en conflicto con la ley que están escolarizados</w:t>
      </w:r>
      <w:r w:rsidR="00886519">
        <w:t xml:space="preserve">, </w:t>
      </w:r>
      <w:r>
        <w:t xml:space="preserve">con el fin de alentarlos a asistir a la escuela y ofrecerles servicios educativos, y de seguimiento y apoyo psicológico. Los jueces generalmente acuerdan </w:t>
      </w:r>
      <w:r w:rsidR="00886519">
        <w:t xml:space="preserve">suspender el enjuiciamiento del menor infractor hasta que </w:t>
      </w:r>
      <w:r>
        <w:t>complete este programa. Una vez completado</w:t>
      </w:r>
      <w:r w:rsidR="00886519">
        <w:t xml:space="preserve"> el programa</w:t>
      </w:r>
      <w:r>
        <w:t>, se presenta un informe al tribunal, que decide</w:t>
      </w:r>
      <w:r w:rsidR="00184446">
        <w:t xml:space="preserve"> </w:t>
      </w:r>
      <w:r>
        <w:t xml:space="preserve">si </w:t>
      </w:r>
      <w:r w:rsidR="00886519">
        <w:t xml:space="preserve">mantiene la suspensión o impone una sanción. </w:t>
      </w:r>
      <w:r>
        <w:t xml:space="preserve">Por otra parte, el problema de los </w:t>
      </w:r>
      <w:r w:rsidR="00886519">
        <w:t xml:space="preserve">menores infractores </w:t>
      </w:r>
      <w:r>
        <w:t xml:space="preserve">que no están escolarizados, que en general son mayores y </w:t>
      </w:r>
      <w:r w:rsidR="00886519">
        <w:t xml:space="preserve">cometen </w:t>
      </w:r>
      <w:r>
        <w:t xml:space="preserve">infracciones más graves, aún no se ha resuelto y preocupa especialmente al </w:t>
      </w:r>
      <w:r w:rsidR="00886519">
        <w:t>G</w:t>
      </w:r>
      <w:r>
        <w:t xml:space="preserve">obierno y a los jueces, que intentan encontrar la manera de </w:t>
      </w:r>
      <w:r w:rsidR="0082770D">
        <w:t xml:space="preserve">solucionar el problema de los menores infractores recurriendo a los hogares </w:t>
      </w:r>
      <w:r>
        <w:t>de acogida, la formación, la educación y la ayuda psicológica.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82770D">
        <w:rPr>
          <w:b/>
        </w:rPr>
        <w:t>El Presidente</w:t>
      </w:r>
      <w:r>
        <w:t xml:space="preserve"> alienta a Granada a mejorar la situación poco satisfactoria de los menores detenidos, que no siempre permanecen separados de los adultos. Pregunta si los niños en conflicto con la ley reciben asistencia jurídica </w:t>
      </w:r>
      <w:r w:rsidR="0082770D">
        <w:t xml:space="preserve">y, observando </w:t>
      </w:r>
      <w:r>
        <w:t>que en el sistema de Granada el Estado mismo inflige castigos corporales a esos niños, solicita información relativa a la formación que se da a los fiscales sobre este tema.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La Sra. Daniel</w:t>
      </w:r>
      <w:r>
        <w:t xml:space="preserve"> (Granada) dice que los niños en conflicto con la ley generalmente son representados por el Ministerio de Desarrollo Social o se benefician de un sistema de asistencia jurídica</w:t>
      </w:r>
      <w:r w:rsidR="00D4635E">
        <w:t xml:space="preserve">. No obstante, </w:t>
      </w:r>
      <w:r>
        <w:t xml:space="preserve">debería brindarse una formación más amplia, no solamente a los fiscales, sino también a todas las personas que trabajan con niños, </w:t>
      </w:r>
      <w:r w:rsidR="00D4635E">
        <w:t xml:space="preserve">incluidos los funcionarios </w:t>
      </w:r>
      <w:r>
        <w:t>de los servicios sociales.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El Presidente</w:t>
      </w:r>
      <w:r>
        <w:t xml:space="preserve"> pregunta si en Granada hay niños que viv</w:t>
      </w:r>
      <w:r w:rsidR="00D4635E">
        <w:t>e</w:t>
      </w:r>
      <w:r>
        <w:t>n en la calle.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El Sr. Quarless</w:t>
      </w:r>
      <w:r>
        <w:t xml:space="preserve"> (Granada) indica que el Estado no dispone de datos </w:t>
      </w:r>
      <w:r w:rsidR="00D4635E">
        <w:t xml:space="preserve">al respecto, </w:t>
      </w:r>
      <w:r>
        <w:t>pero que no debe excluirse esa posibilidad dada la situación económica del país.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El Presidente</w:t>
      </w:r>
      <w:r>
        <w:t xml:space="preserve"> solicita detalles sobre la explotación comercial de los niños.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La Sra. Daniel</w:t>
      </w:r>
      <w:r>
        <w:t xml:space="preserve"> (Granada) dice que es difícil hablar de explotación de los niños </w:t>
      </w:r>
      <w:r w:rsidR="00D4635E">
        <w:t xml:space="preserve">dado </w:t>
      </w:r>
      <w:r>
        <w:t>que estos reciben el mismo salario que los adultos por el mismo trabajo, lo que significa que los niños no son discriminados cuando acceden al mercado de trabajo.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El Sr. Koompraphant</w:t>
      </w:r>
      <w:r>
        <w:t xml:space="preserve"> destaca que la remuneración no es la única forma de explotación </w:t>
      </w:r>
      <w:r w:rsidR="00D4635E">
        <w:t xml:space="preserve">de los niños y que factores </w:t>
      </w:r>
      <w:r w:rsidR="00374F5E">
        <w:t>como las</w:t>
      </w:r>
      <w:r w:rsidR="00D4635E">
        <w:t xml:space="preserve"> condiciones y la cantidad de horas de trabajo </w:t>
      </w:r>
      <w:r>
        <w:t xml:space="preserve">también deben tomarse en cuenta. Alienta al Estado </w:t>
      </w:r>
      <w:r w:rsidR="00D4635E">
        <w:t>p</w:t>
      </w:r>
      <w:r>
        <w:t xml:space="preserve">arte a </w:t>
      </w:r>
      <w:r w:rsidR="00D4635E">
        <w:t xml:space="preserve">establecer </w:t>
      </w:r>
      <w:r>
        <w:t>un servicio especial encargado de proteger a los niños que trabajan.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La Sra. Daniel</w:t>
      </w:r>
      <w:r>
        <w:t xml:space="preserve"> (Granada) dice que si Granada no posee un servicio especial de ese tipo es porque no registra un problema particular </w:t>
      </w:r>
      <w:r w:rsidR="00D4635E">
        <w:t xml:space="preserve">en ese ámbito, ya que, en general, los niños </w:t>
      </w:r>
      <w:r>
        <w:t>trabajan en las mismas condiciones que los adultos.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El Sr. Koompraphant</w:t>
      </w:r>
      <w:r>
        <w:t xml:space="preserve"> insiste en que un niño no</w:t>
      </w:r>
      <w:r w:rsidR="00D4635E">
        <w:t xml:space="preserve"> es igual </w:t>
      </w:r>
      <w:r>
        <w:t xml:space="preserve">que un adulto, es diferente </w:t>
      </w:r>
      <w:r w:rsidR="00D4635E">
        <w:t xml:space="preserve">física y </w:t>
      </w:r>
      <w:r>
        <w:t>psicológic</w:t>
      </w:r>
      <w:r w:rsidR="00D4635E">
        <w:t>amente, por lo que no puede trabaja</w:t>
      </w:r>
      <w:r>
        <w:t>r en las mismas condiciones que un adulto.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4635E">
        <w:rPr>
          <w:b/>
        </w:rPr>
        <w:t>La Sra. Daniel</w:t>
      </w:r>
      <w:r>
        <w:t xml:space="preserve"> (Granada) aclara que los </w:t>
      </w:r>
      <w:r w:rsidR="00FD242D">
        <w:t xml:space="preserve">menores </w:t>
      </w:r>
      <w:r>
        <w:t>que trabajan tienen por lo menos 16 años de edad</w:t>
      </w:r>
      <w:r w:rsidR="00FD242D">
        <w:t>,</w:t>
      </w:r>
      <w:r>
        <w:t xml:space="preserve"> y que en Granada los niños menores de 16 años no trabajan.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FD242D">
        <w:rPr>
          <w:b/>
        </w:rPr>
        <w:t>El Sr. Quarless</w:t>
      </w:r>
      <w:r>
        <w:t xml:space="preserve"> (Granada) indica que los niños menores de 16 años solo trabajan en </w:t>
      </w:r>
      <w:r w:rsidR="00FD242D">
        <w:t xml:space="preserve">la familia, por ejemplo, </w:t>
      </w:r>
      <w:r>
        <w:t>ayudando a sus padres en el campo, a menudo debido a la situación económica. Además, la cuestión del ausentismo escolar ha evolucionado con el tiempo. Actualmente, entre un</w:t>
      </w:r>
      <w:r w:rsidR="00184446">
        <w:t xml:space="preserve"> </w:t>
      </w:r>
      <w:r>
        <w:t xml:space="preserve">90% y un 95% de los niños asiste a la escuela. En caso de ausentismo, una persona designada al efecto visita a la familia del niño para </w:t>
      </w:r>
      <w:r w:rsidR="00FD242D">
        <w:t xml:space="preserve">procurar que este </w:t>
      </w:r>
      <w:r>
        <w:t xml:space="preserve">vuelva a la escuela. Además, el Estado favorece la escolarización de los niños respondiendo a sus necesidades </w:t>
      </w:r>
      <w:r w:rsidR="00FD242D">
        <w:t>de útiles, comidas o transporte escolar.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FD242D">
        <w:rPr>
          <w:b/>
        </w:rPr>
        <w:t>La Sra. Varmah</w:t>
      </w:r>
      <w:r>
        <w:t xml:space="preserve"> pide a la delegación que confirme la información que figura en el informe del Estado </w:t>
      </w:r>
      <w:r w:rsidR="00FD242D">
        <w:t>p</w:t>
      </w:r>
      <w:r>
        <w:t>arte</w:t>
      </w:r>
      <w:r w:rsidR="00FD242D">
        <w:t>,</w:t>
      </w:r>
      <w:r>
        <w:t xml:space="preserve"> según la cual los niños menores de 15</w:t>
      </w:r>
      <w:r w:rsidR="00FD242D">
        <w:t> </w:t>
      </w:r>
      <w:r>
        <w:t xml:space="preserve">años </w:t>
      </w:r>
      <w:r w:rsidR="00FD242D">
        <w:t xml:space="preserve">pueden </w:t>
      </w:r>
      <w:r>
        <w:t xml:space="preserve">trabajar si obtienen un </w:t>
      </w:r>
      <w:r w:rsidR="00FD242D">
        <w:t>permiso d</w:t>
      </w:r>
      <w:r>
        <w:t>el Ministerio de Trabajo.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FD242D">
        <w:rPr>
          <w:b/>
        </w:rPr>
        <w:t>La Sra. Daniel</w:t>
      </w:r>
      <w:r>
        <w:t xml:space="preserve"> (Granada) dice que los niños menores de 16 años que </w:t>
      </w:r>
      <w:r w:rsidR="00FD242D">
        <w:t xml:space="preserve">trabajan </w:t>
      </w:r>
      <w:r>
        <w:t xml:space="preserve">son pocos, dado que la política nacional hace hincapié en la importancia de su escolarización. Para obtener </w:t>
      </w:r>
      <w:r w:rsidR="00FD242D">
        <w:t xml:space="preserve">un permiso de trabajo, esos niños deben probar que han completado sus estudios secundarios. Sin embargo, muy pocos niños inician sus estudios secundarios a los </w:t>
      </w:r>
      <w:r>
        <w:t xml:space="preserve">10 años (en lugar de a los 11 años) y los completan antes de los 16 años. En consecuencia, el otorgamiento de </w:t>
      </w:r>
      <w:r w:rsidR="00FD242D">
        <w:t xml:space="preserve">un permiso de trabajo </w:t>
      </w:r>
      <w:r>
        <w:t>a los menores de 16 años es extremadamente raro.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FD242D">
        <w:rPr>
          <w:b/>
        </w:rPr>
        <w:t>El Presidente</w:t>
      </w:r>
      <w:r>
        <w:t xml:space="preserve"> solicita detalles sobre el seguimiento dado a la encuesta de 2005 sobre el consumo de drogas, sobre todo por parte de estudiantes de secundaria, que puso </w:t>
      </w:r>
      <w:r w:rsidR="00FD242D">
        <w:t xml:space="preserve">de manifiesto </w:t>
      </w:r>
      <w:r>
        <w:t>la insuficiencia de las medidas de prevención.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FD242D">
        <w:rPr>
          <w:b/>
        </w:rPr>
        <w:t>La Sra. Daniel</w:t>
      </w:r>
      <w:r>
        <w:t xml:space="preserve"> (Granada) aclara que en el Ministerio de Educación existe una Secretaría para el control de drogas</w:t>
      </w:r>
      <w:r w:rsidR="0071056E">
        <w:t>,</w:t>
      </w:r>
      <w:r>
        <w:t xml:space="preserve"> encargada del seguimiento de los </w:t>
      </w:r>
      <w:r w:rsidR="0071056E">
        <w:t xml:space="preserve">estudiantes de </w:t>
      </w:r>
      <w:r>
        <w:t>primaria y secundaria que consumen drogas, sobre todo marihuana, y alcohol. En las escuelas se realizan campañas de sensibilización sobre el tema.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DD6A98">
        <w:rPr>
          <w:b/>
        </w:rPr>
        <w:t>El Sr. Quarless</w:t>
      </w:r>
      <w:r>
        <w:t xml:space="preserve"> (Granada) recuerda que en 2006 se inició el programa de educación para </w:t>
      </w:r>
      <w:r w:rsidR="0049230A">
        <w:t>prevenir</w:t>
      </w:r>
      <w:r w:rsidR="0071056E">
        <w:t xml:space="preserve"> el</w:t>
      </w:r>
      <w:r w:rsidR="00374F5E">
        <w:t xml:space="preserve"> </w:t>
      </w:r>
      <w:r>
        <w:t xml:space="preserve">consumo de drogas en las escuelas </w:t>
      </w:r>
      <w:r w:rsidR="0071056E">
        <w:t>primarias y secundarias, y reconoce la necesidad de reforzar este programa y hacerlo más coherente.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1056E">
        <w:rPr>
          <w:b/>
        </w:rPr>
        <w:t>El Presidente</w:t>
      </w:r>
      <w:r>
        <w:t xml:space="preserve"> desea saber si en el país existen prácticas tradicionales </w:t>
      </w:r>
      <w:r w:rsidR="0071056E">
        <w:t xml:space="preserve">nocivas, </w:t>
      </w:r>
      <w:r>
        <w:t>como el matrimonio forzado, la mutilación genital femenina o cualquier otra práctica que pueda atentar contra la salud u otros derechos del niño.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1056E">
        <w:rPr>
          <w:b/>
        </w:rPr>
        <w:t xml:space="preserve">El Sr. Quarless </w:t>
      </w:r>
      <w:r>
        <w:t xml:space="preserve">(Granada) dice que en Granada no existen esas prácticas. Más del 70% de las mujeres granadinas son madres solteras </w:t>
      </w:r>
      <w:r w:rsidR="0071056E">
        <w:t xml:space="preserve">y las </w:t>
      </w:r>
      <w:r>
        <w:t>estadísticas</w:t>
      </w:r>
      <w:r w:rsidR="0071056E">
        <w:t xml:space="preserve"> más recientes registran solo </w:t>
      </w:r>
      <w:r>
        <w:t xml:space="preserve">200 matrimonios por año. En general, los granadinos no se casan antes de </w:t>
      </w:r>
      <w:r w:rsidR="0071056E">
        <w:t xml:space="preserve">los </w:t>
      </w:r>
      <w:r>
        <w:t>25</w:t>
      </w:r>
      <w:r w:rsidR="0071056E">
        <w:t> </w:t>
      </w:r>
      <w:r>
        <w:t>años. En el territorio de Granada no se practica</w:t>
      </w:r>
      <w:r w:rsidR="0071056E">
        <w:t xml:space="preserve"> la mutilación genital</w:t>
      </w:r>
      <w:r>
        <w:t>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1056E">
        <w:rPr>
          <w:b/>
        </w:rPr>
        <w:t>El Presidente</w:t>
      </w:r>
      <w:r>
        <w:t xml:space="preserve"> pregunta si la posición geográfica de Granada protege al país de la llegada de refugiados o de solicitantes de asilo y de la trata de personas.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1056E">
        <w:rPr>
          <w:b/>
        </w:rPr>
        <w:t>La Sra. Daniel</w:t>
      </w:r>
      <w:r>
        <w:t xml:space="preserve"> (Granada) reconoce que la situación geográfica de Granada, así como el predominio de la lengua inglesa en el país, no atraen a los refugiados, que en general hablan francés o español.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1056E">
        <w:rPr>
          <w:b/>
        </w:rPr>
        <w:t>El Presidente</w:t>
      </w:r>
      <w:r>
        <w:t xml:space="preserve"> agradece a la delegación </w:t>
      </w:r>
      <w:r w:rsidR="0071056E">
        <w:t xml:space="preserve">sus respuestas a las preguntas del Comité y su voluntad de </w:t>
      </w:r>
      <w:r>
        <w:t>diálogo.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71056E">
        <w:rPr>
          <w:b/>
        </w:rPr>
        <w:t>La Sra. Herczog</w:t>
      </w:r>
      <w:r>
        <w:t xml:space="preserve"> </w:t>
      </w:r>
      <w:r w:rsidR="00DD6A98">
        <w:t xml:space="preserve">indica </w:t>
      </w:r>
      <w:r>
        <w:t xml:space="preserve">que Granada trabaja activamente para mejorar el bienestar y la situación de los niños granadinos, así como para aplicar la Convención, a pesar de su situación económica, sus particularidades geográficas y las consecuencias de los huracanes que </w:t>
      </w:r>
      <w:r w:rsidR="0071056E">
        <w:t>han asolado su</w:t>
      </w:r>
      <w:r>
        <w:t xml:space="preserve"> territorio. Subraya que se están elaborando varios proyectos de ley, pero que, a excepción del relativo a la mediación, ninguno ha dado resultados aún. </w:t>
      </w:r>
      <w:r w:rsidR="00374F5E">
        <w:t xml:space="preserve">Alienta al Estado parte a ratificar los instrumentos internacionales y recuerda las dificultades, mencionadas por la delegación, que se derivan de la función doble o triple que desempeñan algunos agentes (encargados de la formulación de políticas y diversas instituciones, entre otros) debido al escaso número de profesionales que existe en algunas esferas. 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374F5E">
        <w:rPr>
          <w:b/>
        </w:rPr>
        <w:t>El Sr. Quarless</w:t>
      </w:r>
      <w:r>
        <w:t xml:space="preserve"> (Granada) subraya la voluntad política del </w:t>
      </w:r>
      <w:r w:rsidR="00374F5E">
        <w:t>G</w:t>
      </w:r>
      <w:r>
        <w:t xml:space="preserve">obierno de responder </w:t>
      </w:r>
      <w:r w:rsidR="00374F5E">
        <w:t>a determinados d</w:t>
      </w:r>
      <w:r>
        <w:t xml:space="preserve">esafíos, como </w:t>
      </w:r>
      <w:r w:rsidR="00374F5E">
        <w:t xml:space="preserve">los relacionados con </w:t>
      </w:r>
      <w:r>
        <w:t xml:space="preserve">las normas y prácticas culturales, </w:t>
      </w:r>
      <w:r w:rsidR="00374F5E">
        <w:t xml:space="preserve">el fomento </w:t>
      </w:r>
      <w:r>
        <w:t>de los recursos humanos, el fortalecimiento del marco institucional y el desarrollo de infraestructuras para la ejecución de programas en favor de los niños en todo el territorio. Agradece al Comité el respaldo que da a Granada en sus esfuerzos para aplicar las políticas y los programas relativos a los niños.</w:t>
      </w:r>
    </w:p>
    <w:p w:rsidR="00BF5038" w:rsidRDefault="00BF5038" w:rsidP="00120475">
      <w:pPr>
        <w:pStyle w:val="SingleTxt"/>
        <w:numPr>
          <w:ilvl w:val="0"/>
          <w:numId w:val="10"/>
        </w:numPr>
        <w:tabs>
          <w:tab w:val="clear" w:pos="1729"/>
          <w:tab w:val="num" w:pos="1742"/>
        </w:tabs>
        <w:suppressAutoHyphens/>
        <w:ind w:left="1267"/>
      </w:pPr>
      <w:r w:rsidRPr="00374F5E">
        <w:t>La delegación de Granada se retira</w:t>
      </w:r>
      <w:r>
        <w:t xml:space="preserve">. </w:t>
      </w:r>
    </w:p>
    <w:p w:rsidR="00645DF2" w:rsidRPr="00BF5038" w:rsidRDefault="00BF5038" w:rsidP="00C178AF">
      <w:pPr>
        <w:pStyle w:val="SingleTxt"/>
      </w:pPr>
      <w:r w:rsidRPr="00DD6A98">
        <w:rPr>
          <w:i/>
        </w:rPr>
        <w:t>Se levanta la primera parte (pública) de la sesión a las 16.45 horas</w:t>
      </w:r>
      <w:r>
        <w:t>.</w:t>
      </w:r>
    </w:p>
    <w:sectPr w:rsidR="00645DF2" w:rsidRPr="00BF5038" w:rsidSect="00C178AF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24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E2C" w:rsidRDefault="00F47E2C" w:rsidP="006F0095">
      <w:pPr>
        <w:pStyle w:val="Footer"/>
      </w:pPr>
      <w:r>
        <w:separator/>
      </w:r>
    </w:p>
  </w:endnote>
  <w:endnote w:type="continuationSeparator" w:id="0">
    <w:p w:rsidR="00F47E2C" w:rsidRDefault="00F47E2C" w:rsidP="006F0095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F370A" w:rsidTr="006F009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F370A" w:rsidRPr="006F0095" w:rsidRDefault="006F370A" w:rsidP="006F0095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GE.10-42905</w:t>
          </w:r>
        </w:p>
      </w:tc>
      <w:tc>
        <w:tcPr>
          <w:tcW w:w="5033" w:type="dxa"/>
          <w:shd w:val="clear" w:color="auto" w:fill="auto"/>
        </w:tcPr>
        <w:p w:rsidR="006F370A" w:rsidRPr="006F0095" w:rsidRDefault="006F370A" w:rsidP="006F0095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E92167"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:rsidR="006F370A" w:rsidRPr="006F0095" w:rsidRDefault="006F370A" w:rsidP="006F00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F370A" w:rsidTr="006F0095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6F370A" w:rsidRPr="006F0095" w:rsidRDefault="006F370A" w:rsidP="006F0095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E92167">
            <w:rPr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6F370A" w:rsidRPr="006F0095" w:rsidRDefault="006F370A" w:rsidP="006F0095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GE.10-42905</w:t>
          </w:r>
        </w:p>
      </w:tc>
    </w:tr>
  </w:tbl>
  <w:p w:rsidR="006F370A" w:rsidRPr="006F0095" w:rsidRDefault="006F370A" w:rsidP="006F009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70A" w:rsidRDefault="006F370A" w:rsidP="006F0095">
    <w:pPr>
      <w:pStyle w:val="Footer"/>
      <w:pBdr>
        <w:top w:val="single" w:sz="2" w:space="1" w:color="auto"/>
      </w:pBdr>
      <w:rPr>
        <w:sz w:val="2"/>
      </w:rPr>
    </w:pPr>
  </w:p>
  <w:p w:rsidR="006F370A" w:rsidRDefault="006F370A" w:rsidP="007D05F3">
    <w:pPr>
      <w:pStyle w:val="FootnoteText"/>
      <w:spacing w:after="120"/>
      <w:ind w:left="1267" w:right="1267"/>
    </w:pPr>
    <w:r>
      <w:tab/>
      <w:t>La presente acta podrá ser objeto de correcciones.</w:t>
    </w:r>
  </w:p>
  <w:p w:rsidR="006F370A" w:rsidRDefault="006F370A" w:rsidP="007D05F3">
    <w:pPr>
      <w:pStyle w:val="FootnoteText"/>
      <w:spacing w:after="120"/>
      <w:ind w:left="1267" w:right="1267"/>
    </w:pPr>
    <w:r>
      <w:tab/>
      <w:t xml:space="preserve">Las correcciones deberán redactarse en uno de los idiomas de trabajo. Deberán presentarse en forma de memorando, incorporarse en un ejemplar del acta y enviarse, </w:t>
    </w:r>
    <w:r w:rsidRPr="00F06531">
      <w:rPr>
        <w:i/>
      </w:rPr>
      <w:t>dentro del plazo de una semana a partir de la fecha del presente documento</w:t>
    </w:r>
    <w:r>
      <w:t>, a la Dependencia de Edición, oficina E.4108, Palacio de las Naciones, Ginebra.</w:t>
    </w:r>
  </w:p>
  <w:p w:rsidR="006F370A" w:rsidRDefault="006F370A" w:rsidP="007D05F3">
    <w:pPr>
      <w:pStyle w:val="FootnoteText"/>
      <w:spacing w:after="120"/>
      <w:ind w:left="1267" w:right="1267"/>
    </w:pPr>
    <w:r>
      <w:tab/>
      <w:t>Las correcciones que se introduzcan en las actas de las sesiones públicas del Comité se reunirán en un documento único que se publicará poco después del período de sesiones.</w:t>
    </w:r>
  </w:p>
  <w:p w:rsidR="006F370A" w:rsidRPr="006F0095" w:rsidRDefault="006F370A" w:rsidP="006F0095">
    <w:pPr>
      <w:pStyle w:val="FootnoteText"/>
      <w:spacing w:line="120" w:lineRule="exact"/>
      <w:ind w:left="1267" w:right="1267" w:firstLine="0"/>
      <w:rPr>
        <w:sz w:val="10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F370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6F370A" w:rsidRDefault="006F370A" w:rsidP="006F0095">
          <w:pPr>
            <w:pStyle w:val="Footer"/>
            <w:spacing w:before="80" w:line="210" w:lineRule="exact"/>
            <w:rPr>
              <w:b w:val="0"/>
              <w:sz w:val="20"/>
            </w:rPr>
          </w:pPr>
          <w:r>
            <w:rPr>
              <w:b w:val="0"/>
              <w:sz w:val="20"/>
            </w:rPr>
            <w:t>NY.11-39604 (S)</w:t>
          </w:r>
        </w:p>
        <w:p w:rsidR="006F370A" w:rsidRPr="00D06866" w:rsidRDefault="006F370A" w:rsidP="006F0095">
          <w:pPr>
            <w:pStyle w:val="Footer"/>
            <w:spacing w:before="80" w:line="210" w:lineRule="exact"/>
            <w:rPr>
              <w:b w:val="0"/>
              <w:sz w:val="20"/>
            </w:rPr>
          </w:pPr>
          <w:r>
            <w:rPr>
              <w:b w:val="0"/>
              <w:sz w:val="20"/>
            </w:rPr>
            <w:t>GE.10-42905 (S)    280911    031011</w:t>
          </w:r>
        </w:p>
      </w:tc>
      <w:tc>
        <w:tcPr>
          <w:tcW w:w="5033" w:type="dxa"/>
        </w:tcPr>
        <w:p w:rsidR="006F370A" w:rsidRDefault="006F370A" w:rsidP="006F0095">
          <w:pPr>
            <w:pStyle w:val="Footer"/>
            <w:jc w:val="right"/>
            <w:rPr>
              <w:b w:val="0"/>
              <w:sz w:val="20"/>
            </w:rPr>
          </w:pPr>
          <w:r w:rsidRPr="006F0095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5.5pt;height:18pt">
                <v:imagedata r:id="rId1" o:title="recycle_Spanish"/>
              </v:shape>
            </w:pict>
          </w:r>
        </w:p>
      </w:tc>
    </w:tr>
  </w:tbl>
  <w:p w:rsidR="006F370A" w:rsidRPr="006F0095" w:rsidRDefault="006F370A" w:rsidP="006F009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E2C" w:rsidRDefault="00F47E2C" w:rsidP="006F0095">
      <w:pPr>
        <w:pStyle w:val="Footer"/>
      </w:pPr>
      <w:r>
        <w:separator/>
      </w:r>
    </w:p>
  </w:footnote>
  <w:footnote w:type="continuationSeparator" w:id="0">
    <w:p w:rsidR="00F47E2C" w:rsidRDefault="00F47E2C" w:rsidP="006F0095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F370A" w:rsidTr="006F009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F370A" w:rsidRPr="006F0095" w:rsidRDefault="006F370A" w:rsidP="006F009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2167">
            <w:rPr>
              <w:b/>
            </w:rPr>
            <w:t>CRC/C/SR.1518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F370A" w:rsidRDefault="006F370A" w:rsidP="006F0095">
          <w:pPr>
            <w:pStyle w:val="Header"/>
          </w:pPr>
        </w:p>
      </w:tc>
    </w:tr>
  </w:tbl>
  <w:p w:rsidR="006F370A" w:rsidRPr="006F0095" w:rsidRDefault="006F370A" w:rsidP="006F00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F370A" w:rsidTr="006F009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F370A" w:rsidRDefault="006F370A" w:rsidP="006F009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F370A" w:rsidRPr="006F0095" w:rsidRDefault="006F370A" w:rsidP="006F009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2167">
            <w:rPr>
              <w:b/>
            </w:rPr>
            <w:t>CRC/C/SR.1518</w:t>
          </w:r>
          <w:r>
            <w:rPr>
              <w:b/>
            </w:rPr>
            <w:fldChar w:fldCharType="end"/>
          </w:r>
        </w:p>
      </w:tc>
    </w:tr>
  </w:tbl>
  <w:p w:rsidR="006F370A" w:rsidRPr="006F0095" w:rsidRDefault="006F370A" w:rsidP="006F00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6F370A" w:rsidTr="006F0095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F370A" w:rsidRDefault="006F370A" w:rsidP="006F0095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F370A" w:rsidRPr="006F0095" w:rsidRDefault="006F370A" w:rsidP="006F009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F370A" w:rsidRDefault="006F370A" w:rsidP="006F0095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F370A" w:rsidRPr="006F0095" w:rsidRDefault="006F370A" w:rsidP="006F0095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CRC</w:t>
          </w:r>
          <w:r>
            <w:rPr>
              <w:position w:val="-4"/>
            </w:rPr>
            <w:t>/C/SR.1518</w:t>
          </w:r>
        </w:p>
      </w:tc>
    </w:tr>
    <w:tr w:rsidR="006F370A" w:rsidRPr="006F0095" w:rsidTr="006F009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370A" w:rsidRDefault="006F370A" w:rsidP="006F009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F370A" w:rsidRPr="006F0095" w:rsidRDefault="006F370A" w:rsidP="006F009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370A" w:rsidRDefault="006F370A" w:rsidP="006F009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los</w:t>
          </w:r>
          <w:r>
            <w:rPr>
              <w:sz w:val="34"/>
            </w:rPr>
            <w:br/>
            <w:t>Derechos del Niño</w:t>
          </w:r>
        </w:p>
        <w:p w:rsidR="006F370A" w:rsidRPr="006F0095" w:rsidRDefault="006F370A" w:rsidP="006F0095">
          <w:pPr>
            <w:pStyle w:val="XLarge"/>
            <w:spacing w:line="330" w:lineRule="exact"/>
            <w:rPr>
              <w:sz w:val="34"/>
            </w:rPr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370A" w:rsidRPr="00BF5038" w:rsidRDefault="006F370A" w:rsidP="006F0095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370A" w:rsidRDefault="006F370A" w:rsidP="006F0095">
          <w:pPr>
            <w:spacing w:before="240"/>
          </w:pPr>
          <w:r>
            <w:t>Distr. general</w:t>
          </w:r>
        </w:p>
        <w:p w:rsidR="006F370A" w:rsidRDefault="006F370A" w:rsidP="006F0095">
          <w:r>
            <w:t>3 de octubre de 2011</w:t>
          </w:r>
        </w:p>
        <w:p w:rsidR="006F370A" w:rsidRDefault="006F370A" w:rsidP="006F0095">
          <w:r>
            <w:t>Español</w:t>
          </w:r>
        </w:p>
        <w:p w:rsidR="006F370A" w:rsidRPr="006F0095" w:rsidRDefault="006F370A" w:rsidP="006F0095">
          <w:r>
            <w:t>Original: francés</w:t>
          </w:r>
        </w:p>
      </w:tc>
    </w:tr>
  </w:tbl>
  <w:p w:rsidR="006F370A" w:rsidRPr="00BC6D73" w:rsidRDefault="006F370A" w:rsidP="006F0095">
    <w:pPr>
      <w:pStyle w:val="Header"/>
      <w:rPr>
        <w:sz w:val="2"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22341"/>
    <w:multiLevelType w:val="hybridMultilevel"/>
    <w:tmpl w:val="899CA9F6"/>
    <w:lvl w:ilvl="0" w:tplc="B06E06F0">
      <w:start w:val="1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1">
    <w:nsid w:val="058B5491"/>
    <w:multiLevelType w:val="singleLevel"/>
    <w:tmpl w:val="0AEECDB4"/>
    <w:lvl w:ilvl="0">
      <w:start w:val="1"/>
      <w:numFmt w:val="decimal"/>
      <w:lvlRestart w:val="0"/>
      <w:lvlText w:val="%1."/>
      <w:lvlJc w:val="left"/>
      <w:pPr>
        <w:tabs>
          <w:tab w:val="num" w:pos="1729"/>
        </w:tabs>
        <w:ind w:left="1254" w:firstLine="0"/>
      </w:pPr>
      <w:rPr>
        <w:spacing w:val="0"/>
        <w:w w:val="100"/>
      </w:rPr>
    </w:lvl>
  </w:abstractNum>
  <w:abstractNum w:abstractNumId="2">
    <w:nsid w:val="11D43663"/>
    <w:multiLevelType w:val="singleLevel"/>
    <w:tmpl w:val="69C056D0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3">
    <w:nsid w:val="12D6579A"/>
    <w:multiLevelType w:val="singleLevel"/>
    <w:tmpl w:val="69C056D0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4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5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6">
    <w:nsid w:val="296C3E3A"/>
    <w:multiLevelType w:val="singleLevel"/>
    <w:tmpl w:val="53C66CAC"/>
    <w:lvl w:ilvl="0">
      <w:start w:val="70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7">
    <w:nsid w:val="47E147FC"/>
    <w:multiLevelType w:val="singleLevel"/>
    <w:tmpl w:val="69C056D0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8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7"/>
  </w:num>
  <w:num w:numId="7">
    <w:abstractNumId w:val="7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8">
    <w:abstractNumId w:val="2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139604*"/>
    <w:docVar w:name="CreationDt" w:val="30/08/2011 13:04:37"/>
    <w:docVar w:name="DocCategory" w:val="SRMain"/>
    <w:docVar w:name="DocType" w:val="Final"/>
    <w:docVar w:name="FooterJN" w:val="11-39604"/>
    <w:docVar w:name="jobn" w:val="11-39604 (S)"/>
    <w:docVar w:name="jobnDT" w:val="11-39604 (S)   300811"/>
    <w:docVar w:name="jobnDTDT" w:val="11-39604 (S)   300811   300811"/>
    <w:docVar w:name="JobNo" w:val="1139604S"/>
    <w:docVar w:name="OandT" w:val="aída"/>
    <w:docVar w:name="sss1" w:val="CRC/C/SR.1518"/>
    <w:docVar w:name="sss2" w:val="-"/>
    <w:docVar w:name="Symbol1" w:val="CRC/C/SR.1518"/>
    <w:docVar w:name="Symbol2" w:val="-"/>
  </w:docVars>
  <w:rsids>
    <w:rsidRoot w:val="007C5D08"/>
    <w:rsid w:val="0000430F"/>
    <w:rsid w:val="000271D6"/>
    <w:rsid w:val="00030FE1"/>
    <w:rsid w:val="000336E0"/>
    <w:rsid w:val="00044517"/>
    <w:rsid w:val="00050880"/>
    <w:rsid w:val="000534EB"/>
    <w:rsid w:val="00061177"/>
    <w:rsid w:val="00067D9C"/>
    <w:rsid w:val="000752DA"/>
    <w:rsid w:val="000806AC"/>
    <w:rsid w:val="000871C1"/>
    <w:rsid w:val="000A0C7C"/>
    <w:rsid w:val="000A1971"/>
    <w:rsid w:val="000A58CA"/>
    <w:rsid w:val="000B2A4E"/>
    <w:rsid w:val="000B3BAB"/>
    <w:rsid w:val="000C1009"/>
    <w:rsid w:val="000C4DCC"/>
    <w:rsid w:val="000C51E4"/>
    <w:rsid w:val="000D21E6"/>
    <w:rsid w:val="000D64ED"/>
    <w:rsid w:val="000F450F"/>
    <w:rsid w:val="00102135"/>
    <w:rsid w:val="001109AD"/>
    <w:rsid w:val="00120475"/>
    <w:rsid w:val="001259AF"/>
    <w:rsid w:val="001332CD"/>
    <w:rsid w:val="00143B7C"/>
    <w:rsid w:val="00152E53"/>
    <w:rsid w:val="00153EA2"/>
    <w:rsid w:val="001701FE"/>
    <w:rsid w:val="00170784"/>
    <w:rsid w:val="00182180"/>
    <w:rsid w:val="00184446"/>
    <w:rsid w:val="001A2E38"/>
    <w:rsid w:val="001A2FAC"/>
    <w:rsid w:val="001A72EA"/>
    <w:rsid w:val="001B2FC3"/>
    <w:rsid w:val="001C64C9"/>
    <w:rsid w:val="001F74B0"/>
    <w:rsid w:val="00200A61"/>
    <w:rsid w:val="0022060C"/>
    <w:rsid w:val="0025615B"/>
    <w:rsid w:val="00266F6B"/>
    <w:rsid w:val="002741CA"/>
    <w:rsid w:val="002841B4"/>
    <w:rsid w:val="00297ED1"/>
    <w:rsid w:val="002B7407"/>
    <w:rsid w:val="002C345B"/>
    <w:rsid w:val="002C3E79"/>
    <w:rsid w:val="002E1262"/>
    <w:rsid w:val="002F0A5D"/>
    <w:rsid w:val="003359DE"/>
    <w:rsid w:val="003452B8"/>
    <w:rsid w:val="00360124"/>
    <w:rsid w:val="0037429E"/>
    <w:rsid w:val="00374F5E"/>
    <w:rsid w:val="00375801"/>
    <w:rsid w:val="00397636"/>
    <w:rsid w:val="003A5CE7"/>
    <w:rsid w:val="003B613E"/>
    <w:rsid w:val="003C12C7"/>
    <w:rsid w:val="003C473B"/>
    <w:rsid w:val="003C5008"/>
    <w:rsid w:val="003C67B3"/>
    <w:rsid w:val="003D2D4A"/>
    <w:rsid w:val="003F3C3C"/>
    <w:rsid w:val="00400307"/>
    <w:rsid w:val="00431501"/>
    <w:rsid w:val="004340A2"/>
    <w:rsid w:val="004452B0"/>
    <w:rsid w:val="00460EF2"/>
    <w:rsid w:val="004713D8"/>
    <w:rsid w:val="00482182"/>
    <w:rsid w:val="0048255F"/>
    <w:rsid w:val="004843EE"/>
    <w:rsid w:val="0049207E"/>
    <w:rsid w:val="0049230A"/>
    <w:rsid w:val="004A7C6C"/>
    <w:rsid w:val="004C1BCD"/>
    <w:rsid w:val="004D6407"/>
    <w:rsid w:val="004D69CF"/>
    <w:rsid w:val="004D779E"/>
    <w:rsid w:val="004E757B"/>
    <w:rsid w:val="004F14EE"/>
    <w:rsid w:val="004F34C1"/>
    <w:rsid w:val="0050529A"/>
    <w:rsid w:val="00507265"/>
    <w:rsid w:val="005130D6"/>
    <w:rsid w:val="00524C14"/>
    <w:rsid w:val="00534D37"/>
    <w:rsid w:val="00542A52"/>
    <w:rsid w:val="005434BC"/>
    <w:rsid w:val="00550243"/>
    <w:rsid w:val="00587E23"/>
    <w:rsid w:val="00593952"/>
    <w:rsid w:val="00595DE1"/>
    <w:rsid w:val="005A1463"/>
    <w:rsid w:val="005C4E00"/>
    <w:rsid w:val="005D3721"/>
    <w:rsid w:val="00612DA1"/>
    <w:rsid w:val="00616088"/>
    <w:rsid w:val="006169F5"/>
    <w:rsid w:val="00620953"/>
    <w:rsid w:val="00630CE1"/>
    <w:rsid w:val="00636DA1"/>
    <w:rsid w:val="00637AB0"/>
    <w:rsid w:val="00641130"/>
    <w:rsid w:val="00645DF2"/>
    <w:rsid w:val="006463C7"/>
    <w:rsid w:val="00664183"/>
    <w:rsid w:val="00677487"/>
    <w:rsid w:val="0068588D"/>
    <w:rsid w:val="00696921"/>
    <w:rsid w:val="006C6173"/>
    <w:rsid w:val="006D3321"/>
    <w:rsid w:val="006E0E95"/>
    <w:rsid w:val="006F0095"/>
    <w:rsid w:val="006F36E2"/>
    <w:rsid w:val="006F370A"/>
    <w:rsid w:val="0070602F"/>
    <w:rsid w:val="0071056E"/>
    <w:rsid w:val="0074000F"/>
    <w:rsid w:val="007669DF"/>
    <w:rsid w:val="00781DFE"/>
    <w:rsid w:val="007837F0"/>
    <w:rsid w:val="007A46F4"/>
    <w:rsid w:val="007B04E8"/>
    <w:rsid w:val="007B2E44"/>
    <w:rsid w:val="007C566A"/>
    <w:rsid w:val="007C5D08"/>
    <w:rsid w:val="007C78C3"/>
    <w:rsid w:val="007D05F3"/>
    <w:rsid w:val="007D0893"/>
    <w:rsid w:val="007D59F4"/>
    <w:rsid w:val="007E322D"/>
    <w:rsid w:val="007F5AF9"/>
    <w:rsid w:val="00803FEF"/>
    <w:rsid w:val="00813690"/>
    <w:rsid w:val="00813C40"/>
    <w:rsid w:val="00815EA8"/>
    <w:rsid w:val="00821E34"/>
    <w:rsid w:val="00823BE3"/>
    <w:rsid w:val="0082770D"/>
    <w:rsid w:val="00830010"/>
    <w:rsid w:val="00834163"/>
    <w:rsid w:val="0083457C"/>
    <w:rsid w:val="008466A7"/>
    <w:rsid w:val="00886519"/>
    <w:rsid w:val="008948BE"/>
    <w:rsid w:val="008A4EAF"/>
    <w:rsid w:val="008B5FC3"/>
    <w:rsid w:val="008D17EE"/>
    <w:rsid w:val="008D53A0"/>
    <w:rsid w:val="008E0DF0"/>
    <w:rsid w:val="008E2B2E"/>
    <w:rsid w:val="008F3E8E"/>
    <w:rsid w:val="00913197"/>
    <w:rsid w:val="0091591F"/>
    <w:rsid w:val="0093190E"/>
    <w:rsid w:val="00934B5B"/>
    <w:rsid w:val="00935AD9"/>
    <w:rsid w:val="00936752"/>
    <w:rsid w:val="009540A8"/>
    <w:rsid w:val="00957597"/>
    <w:rsid w:val="00973C4B"/>
    <w:rsid w:val="00984E6C"/>
    <w:rsid w:val="0099447C"/>
    <w:rsid w:val="00995BD2"/>
    <w:rsid w:val="009A7B37"/>
    <w:rsid w:val="009B1C06"/>
    <w:rsid w:val="009B26B8"/>
    <w:rsid w:val="009B6140"/>
    <w:rsid w:val="009C3306"/>
    <w:rsid w:val="009D32AC"/>
    <w:rsid w:val="009E5765"/>
    <w:rsid w:val="009E6D58"/>
    <w:rsid w:val="009F6D65"/>
    <w:rsid w:val="009F701F"/>
    <w:rsid w:val="00A01177"/>
    <w:rsid w:val="00A0166A"/>
    <w:rsid w:val="00A02FF4"/>
    <w:rsid w:val="00A058FF"/>
    <w:rsid w:val="00A10FDF"/>
    <w:rsid w:val="00A319A4"/>
    <w:rsid w:val="00A5353F"/>
    <w:rsid w:val="00A55622"/>
    <w:rsid w:val="00A627D6"/>
    <w:rsid w:val="00A6761C"/>
    <w:rsid w:val="00A86FEA"/>
    <w:rsid w:val="00AA3804"/>
    <w:rsid w:val="00AB7836"/>
    <w:rsid w:val="00AD5D6A"/>
    <w:rsid w:val="00AF7C8B"/>
    <w:rsid w:val="00B004D8"/>
    <w:rsid w:val="00B127B7"/>
    <w:rsid w:val="00B12CAE"/>
    <w:rsid w:val="00B151F5"/>
    <w:rsid w:val="00B34BCE"/>
    <w:rsid w:val="00B54C88"/>
    <w:rsid w:val="00BC1D43"/>
    <w:rsid w:val="00BC6D73"/>
    <w:rsid w:val="00BC7B5B"/>
    <w:rsid w:val="00BE2BF9"/>
    <w:rsid w:val="00BF5038"/>
    <w:rsid w:val="00C02367"/>
    <w:rsid w:val="00C13D38"/>
    <w:rsid w:val="00C178AF"/>
    <w:rsid w:val="00C37F25"/>
    <w:rsid w:val="00C4700A"/>
    <w:rsid w:val="00C613C2"/>
    <w:rsid w:val="00C72AD9"/>
    <w:rsid w:val="00C8131F"/>
    <w:rsid w:val="00C847F0"/>
    <w:rsid w:val="00C859E1"/>
    <w:rsid w:val="00C91CE9"/>
    <w:rsid w:val="00CA51C7"/>
    <w:rsid w:val="00CB5C47"/>
    <w:rsid w:val="00CD4760"/>
    <w:rsid w:val="00CD57FF"/>
    <w:rsid w:val="00CE0045"/>
    <w:rsid w:val="00CE1224"/>
    <w:rsid w:val="00CE1381"/>
    <w:rsid w:val="00D06866"/>
    <w:rsid w:val="00D2412C"/>
    <w:rsid w:val="00D2784E"/>
    <w:rsid w:val="00D3015F"/>
    <w:rsid w:val="00D41068"/>
    <w:rsid w:val="00D4635E"/>
    <w:rsid w:val="00D75DCF"/>
    <w:rsid w:val="00D944CD"/>
    <w:rsid w:val="00DA7DFA"/>
    <w:rsid w:val="00DB5C37"/>
    <w:rsid w:val="00DD2ECB"/>
    <w:rsid w:val="00DD6A98"/>
    <w:rsid w:val="00E054C0"/>
    <w:rsid w:val="00E241A1"/>
    <w:rsid w:val="00E31D49"/>
    <w:rsid w:val="00E42ACA"/>
    <w:rsid w:val="00E50390"/>
    <w:rsid w:val="00E51BC9"/>
    <w:rsid w:val="00E57A36"/>
    <w:rsid w:val="00E65BE8"/>
    <w:rsid w:val="00E84B10"/>
    <w:rsid w:val="00E875CB"/>
    <w:rsid w:val="00E92167"/>
    <w:rsid w:val="00E932A5"/>
    <w:rsid w:val="00EA191D"/>
    <w:rsid w:val="00EA6925"/>
    <w:rsid w:val="00EB3BF0"/>
    <w:rsid w:val="00EC3D06"/>
    <w:rsid w:val="00ED1F10"/>
    <w:rsid w:val="00F061A0"/>
    <w:rsid w:val="00F06B9B"/>
    <w:rsid w:val="00F249E4"/>
    <w:rsid w:val="00F274AF"/>
    <w:rsid w:val="00F301B1"/>
    <w:rsid w:val="00F35B3D"/>
    <w:rsid w:val="00F44608"/>
    <w:rsid w:val="00F44E91"/>
    <w:rsid w:val="00F47E2C"/>
    <w:rsid w:val="00F47FCF"/>
    <w:rsid w:val="00F920FD"/>
    <w:rsid w:val="00F92E1F"/>
    <w:rsid w:val="00FA1CE0"/>
    <w:rsid w:val="00FB2CE9"/>
    <w:rsid w:val="00FC4C00"/>
    <w:rsid w:val="00FD17C3"/>
    <w:rsid w:val="00FD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SingleTxt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rsid w:val="00E50390"/>
    <w:pPr>
      <w:keepLines/>
      <w:numPr>
        <w:numId w:val="3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rsid w:val="000D21E6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sid w:val="00A86FEA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rsid w:val="003C67B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rsid w:val="00A86FEA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rsid w:val="004D6407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rsid w:val="00152E53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rsid w:val="00170784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rsid w:val="00170784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semiHidden/>
    <w:rsid w:val="006F0095"/>
  </w:style>
  <w:style w:type="paragraph" w:styleId="CommentSubject">
    <w:name w:val="annotation subject"/>
    <w:basedOn w:val="CommentText"/>
    <w:next w:val="CommentText"/>
    <w:semiHidden/>
    <w:rsid w:val="006F00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4208</Words>
  <Characters>21298</Characters>
  <Application>Microsoft Office Word</Application>
  <DocSecurity>4</DocSecurity>
  <Lines>394</Lines>
  <Paragraphs>105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25401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STPU User</dc:creator>
  <cp:keywords/>
  <dc:description/>
  <cp:lastModifiedBy>María de la Plaza</cp:lastModifiedBy>
  <cp:revision>3</cp:revision>
  <cp:lastPrinted>2011-10-03T09:12:00Z</cp:lastPrinted>
  <dcterms:created xsi:type="dcterms:W3CDTF">2011-10-03T09:12:00Z</dcterms:created>
  <dcterms:modified xsi:type="dcterms:W3CDTF">2011-10-03T09:12:00Z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1139604</vt:lpwstr>
  </property>
  <property fmtid="{D5CDD505-2E9C-101B-9397-08002B2CF9AE}" pid="3" name="Symbol1">
    <vt:lpwstr>CRC/C/SR.1518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aída/NB</vt:lpwstr>
  </property>
</Properties>
</file>