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9F20E1B" w14:textId="77777777" w:rsidTr="000D1B89">
        <w:trPr>
          <w:cantSplit/>
          <w:trHeight w:hRule="exact" w:val="851"/>
        </w:trPr>
        <w:tc>
          <w:tcPr>
            <w:tcW w:w="1276" w:type="dxa"/>
            <w:tcBorders>
              <w:bottom w:val="single" w:sz="4" w:space="0" w:color="auto"/>
            </w:tcBorders>
            <w:vAlign w:val="bottom"/>
          </w:tcPr>
          <w:p w14:paraId="3A1E9D3E" w14:textId="77777777" w:rsidR="00717266" w:rsidRDefault="00717266" w:rsidP="000D1B89">
            <w:pPr>
              <w:spacing w:after="80"/>
            </w:pPr>
          </w:p>
        </w:tc>
        <w:tc>
          <w:tcPr>
            <w:tcW w:w="2268" w:type="dxa"/>
            <w:tcBorders>
              <w:bottom w:val="single" w:sz="4" w:space="0" w:color="auto"/>
            </w:tcBorders>
            <w:vAlign w:val="bottom"/>
          </w:tcPr>
          <w:p w14:paraId="4383239F"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8FA6B46" w14:textId="77777777" w:rsidR="00717266" w:rsidRPr="00D47EEA" w:rsidRDefault="005C51C5" w:rsidP="005C51C5">
            <w:pPr>
              <w:suppressAutoHyphens w:val="0"/>
              <w:spacing w:after="20"/>
              <w:jc w:val="right"/>
            </w:pPr>
            <w:r w:rsidRPr="005C51C5">
              <w:rPr>
                <w:sz w:val="40"/>
              </w:rPr>
              <w:t>E</w:t>
            </w:r>
            <w:r>
              <w:t>/C.12/MRT/RQ/2</w:t>
            </w:r>
          </w:p>
        </w:tc>
      </w:tr>
      <w:tr w:rsidR="00717266" w14:paraId="003BDD49" w14:textId="77777777" w:rsidTr="000D1B89">
        <w:trPr>
          <w:cantSplit/>
          <w:trHeight w:hRule="exact" w:val="2835"/>
        </w:trPr>
        <w:tc>
          <w:tcPr>
            <w:tcW w:w="1276" w:type="dxa"/>
            <w:tcBorders>
              <w:top w:val="single" w:sz="4" w:space="0" w:color="auto"/>
              <w:bottom w:val="single" w:sz="12" w:space="0" w:color="auto"/>
            </w:tcBorders>
          </w:tcPr>
          <w:p w14:paraId="36140C0F" w14:textId="77777777" w:rsidR="00717266" w:rsidRDefault="00717266" w:rsidP="000D1B89">
            <w:pPr>
              <w:spacing w:before="120"/>
            </w:pPr>
            <w:r>
              <w:rPr>
                <w:noProof/>
                <w:lang w:val="fr-CH" w:eastAsia="fr-CH"/>
              </w:rPr>
              <w:drawing>
                <wp:inline distT="0" distB="0" distL="0" distR="0" wp14:anchorId="3486FD54" wp14:editId="39B14DF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1F64A8"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1654643" w14:textId="77777777" w:rsidR="00717266" w:rsidRDefault="005C51C5" w:rsidP="005C51C5">
            <w:pPr>
              <w:spacing w:before="240"/>
            </w:pPr>
            <w:r>
              <w:t>Distr.: General</w:t>
            </w:r>
          </w:p>
          <w:p w14:paraId="05457241" w14:textId="77777777" w:rsidR="005C51C5" w:rsidRDefault="005C51C5" w:rsidP="005C51C5">
            <w:pPr>
              <w:suppressAutoHyphens w:val="0"/>
            </w:pPr>
            <w:r>
              <w:t>15 December 2023</w:t>
            </w:r>
          </w:p>
          <w:p w14:paraId="543CC908" w14:textId="7D7BBB92" w:rsidR="005C51C5" w:rsidRDefault="005C51C5" w:rsidP="005C51C5">
            <w:pPr>
              <w:suppressAutoHyphens w:val="0"/>
            </w:pPr>
            <w:r>
              <w:t>English</w:t>
            </w:r>
          </w:p>
          <w:p w14:paraId="106538BE" w14:textId="77777777" w:rsidR="005C51C5" w:rsidRDefault="005C51C5" w:rsidP="005C51C5">
            <w:pPr>
              <w:suppressAutoHyphens w:val="0"/>
            </w:pPr>
            <w:r>
              <w:t>Original: French</w:t>
            </w:r>
          </w:p>
          <w:p w14:paraId="3AF91232" w14:textId="01A60E1D" w:rsidR="00210F34" w:rsidRDefault="00210F34" w:rsidP="005C51C5">
            <w:pPr>
              <w:suppressAutoHyphens w:val="0"/>
            </w:pPr>
            <w:r>
              <w:t xml:space="preserve">English, French and Spanish only </w:t>
            </w:r>
          </w:p>
        </w:tc>
      </w:tr>
    </w:tbl>
    <w:p w14:paraId="5F7AD280" w14:textId="77777777" w:rsidR="000B5CDE" w:rsidRPr="000B5CDE" w:rsidRDefault="000B5CDE" w:rsidP="000B5CDE">
      <w:pPr>
        <w:spacing w:before="120"/>
        <w:rPr>
          <w:b/>
          <w:bCs/>
          <w:sz w:val="24"/>
          <w:szCs w:val="24"/>
          <w:lang w:val="en-US"/>
        </w:rPr>
      </w:pPr>
      <w:r w:rsidRPr="000B5CDE">
        <w:rPr>
          <w:b/>
          <w:bCs/>
          <w:sz w:val="24"/>
          <w:szCs w:val="24"/>
        </w:rPr>
        <w:t>Committee on Economic, Social and Cultural Rights</w:t>
      </w:r>
    </w:p>
    <w:p w14:paraId="05EA5E42" w14:textId="77777777" w:rsidR="000B5CDE" w:rsidRPr="00992A9B" w:rsidRDefault="000B5CDE" w:rsidP="000B5CDE">
      <w:pPr>
        <w:rPr>
          <w:b/>
          <w:bCs/>
          <w:color w:val="000000" w:themeColor="text1"/>
          <w:lang w:val="en-US"/>
        </w:rPr>
      </w:pPr>
      <w:r w:rsidRPr="00992A9B">
        <w:rPr>
          <w:b/>
          <w:bCs/>
        </w:rPr>
        <w:t>Seventy-fifth session</w:t>
      </w:r>
    </w:p>
    <w:p w14:paraId="0B2EB0B8" w14:textId="77777777" w:rsidR="000B5CDE" w:rsidRPr="00992A9B" w:rsidRDefault="000B5CDE" w:rsidP="000B5CDE">
      <w:pPr>
        <w:rPr>
          <w:color w:val="000000" w:themeColor="text1"/>
          <w:lang w:val="en-US"/>
        </w:rPr>
      </w:pPr>
      <w:r w:rsidRPr="00992A9B">
        <w:t>12 February–1 March 2024</w:t>
      </w:r>
    </w:p>
    <w:p w14:paraId="193E32CD" w14:textId="77777777" w:rsidR="000B5CDE" w:rsidRPr="00992A9B" w:rsidRDefault="000B5CDE" w:rsidP="000B5CDE">
      <w:pPr>
        <w:rPr>
          <w:color w:val="000000" w:themeColor="text1"/>
          <w:lang w:val="en-US"/>
        </w:rPr>
      </w:pPr>
      <w:r w:rsidRPr="00992A9B">
        <w:t>Item 6 (a) of the provisional agenda</w:t>
      </w:r>
    </w:p>
    <w:p w14:paraId="2424B684" w14:textId="77777777" w:rsidR="00007FE3" w:rsidRDefault="000B5CDE" w:rsidP="000B5CDE">
      <w:r w:rsidRPr="00992A9B">
        <w:rPr>
          <w:b/>
          <w:bCs/>
        </w:rPr>
        <w:t xml:space="preserve">Consideration of reports: reports submitted by States parties </w:t>
      </w:r>
      <w:r w:rsidRPr="00992A9B">
        <w:rPr>
          <w:b/>
          <w:bCs/>
        </w:rPr>
        <w:br/>
        <w:t>in accordance with articles 16 and 17 of the Covenant</w:t>
      </w:r>
    </w:p>
    <w:p w14:paraId="78084C64" w14:textId="63C8A9BD" w:rsidR="000B5CDE" w:rsidRPr="00992A9B" w:rsidRDefault="000B5CDE" w:rsidP="000B5CDE">
      <w:pPr>
        <w:pStyle w:val="HChG"/>
        <w:rPr>
          <w:lang w:val="en-US"/>
        </w:rPr>
      </w:pPr>
      <w:r w:rsidRPr="00992A9B">
        <w:tab/>
      </w:r>
      <w:r w:rsidRPr="00992A9B">
        <w:tab/>
        <w:t>Replies of Mauritania to the list of issues in relation to its second periodic report</w:t>
      </w:r>
      <w:r w:rsidRPr="00F47753">
        <w:rPr>
          <w:rStyle w:val="FootnoteReference"/>
          <w:b w:val="0"/>
          <w:bCs/>
          <w:sz w:val="20"/>
          <w:vertAlign w:val="baseline"/>
        </w:rPr>
        <w:footnoteReference w:customMarkFollows="1" w:id="1"/>
        <w:t>*</w:t>
      </w:r>
    </w:p>
    <w:p w14:paraId="7167A1AC" w14:textId="77777777" w:rsidR="000B5CDE" w:rsidRPr="00992A9B" w:rsidRDefault="000B5CDE" w:rsidP="000B5CDE">
      <w:pPr>
        <w:pStyle w:val="SingleTxtG"/>
        <w:jc w:val="right"/>
        <w:rPr>
          <w:lang w:val="en-US"/>
        </w:rPr>
      </w:pPr>
      <w:r w:rsidRPr="00992A9B">
        <w:t>[Date received: 8 December 2023]</w:t>
      </w:r>
    </w:p>
    <w:p w14:paraId="2FB2324E" w14:textId="77777777" w:rsidR="000B5CDE" w:rsidRPr="00992A9B" w:rsidRDefault="000B5CDE" w:rsidP="000B5CDE">
      <w:pPr>
        <w:rPr>
          <w:lang w:val="en-US"/>
        </w:rPr>
      </w:pPr>
      <w:r w:rsidRPr="00992A9B">
        <w:rPr>
          <w:lang w:val="en-US"/>
        </w:rPr>
        <w:br w:type="page"/>
      </w:r>
    </w:p>
    <w:p w14:paraId="1056A05D" w14:textId="3209894E" w:rsidR="00007FE3" w:rsidRDefault="000B5CDE" w:rsidP="00F47753">
      <w:pPr>
        <w:pStyle w:val="SingleTxtG"/>
      </w:pPr>
      <w:r w:rsidRPr="00992A9B">
        <w:lastRenderedPageBreak/>
        <w:t>1.</w:t>
      </w:r>
      <w:r w:rsidRPr="00992A9B">
        <w:tab/>
        <w:t>The Committee on Economic, Social and Cultural Rights examined the second periodic report of Mauritania on the measures taken to give effect to the provisions of the International Covenant on Economic, Social and Cultural Rights, and on the progress made with respect to the enjoyment of those rights. Subsequently, the Committee submitted a list of issues in relation to the report (</w:t>
      </w:r>
      <w:hyperlink r:id="rId9" w:history="1">
        <w:r w:rsidR="00E41136">
          <w:rPr>
            <w:rStyle w:val="Hyperlink"/>
          </w:rPr>
          <w:t>E/C.12/MRT/Q/2</w:t>
        </w:r>
      </w:hyperlink>
      <w:r w:rsidRPr="00992A9B">
        <w:t>), in which it requested further information prior to the report</w:t>
      </w:r>
      <w:r w:rsidR="008050AE">
        <w:t>’</w:t>
      </w:r>
      <w:r w:rsidRPr="00992A9B">
        <w:t>s consideration. The present document provides information in response to the questions raised in the aforementioned list of issues.</w:t>
      </w:r>
    </w:p>
    <w:p w14:paraId="65478B4C" w14:textId="2F7AAD49" w:rsidR="000B5CDE" w:rsidRPr="00992A9B" w:rsidRDefault="00F47753" w:rsidP="00F47753">
      <w:pPr>
        <w:pStyle w:val="HChG"/>
        <w:rPr>
          <w:lang w:val="en-US"/>
        </w:rPr>
      </w:pPr>
      <w:r>
        <w:tab/>
      </w:r>
      <w:r w:rsidR="000B5CDE" w:rsidRPr="00992A9B">
        <w:t>I.</w:t>
      </w:r>
      <w:r w:rsidR="000B5CDE" w:rsidRPr="00992A9B">
        <w:tab/>
        <w:t>General information</w:t>
      </w:r>
    </w:p>
    <w:p w14:paraId="1319307C" w14:textId="2821879B" w:rsidR="00007FE3" w:rsidRDefault="000B5CDE" w:rsidP="00E1351D">
      <w:pPr>
        <w:pStyle w:val="H23G"/>
      </w:pPr>
      <w:r w:rsidRPr="00992A9B">
        <w:tab/>
      </w:r>
      <w:r w:rsidRPr="00992A9B">
        <w:tab/>
        <w:t xml:space="preserve">Reply to the issues raised in paragraph 1 of the list of issues </w:t>
      </w:r>
      <w:r w:rsidRPr="00992A9B">
        <w:rPr>
          <w:bCs/>
        </w:rPr>
        <w:t>(</w:t>
      </w:r>
      <w:hyperlink r:id="rId10" w:history="1">
        <w:r w:rsidR="00E41136">
          <w:rPr>
            <w:rStyle w:val="Hyperlink"/>
            <w:bCs/>
          </w:rPr>
          <w:t>E/C.12/MRT/Q/2</w:t>
        </w:r>
      </w:hyperlink>
      <w:r w:rsidRPr="00992A9B">
        <w:rPr>
          <w:bCs/>
        </w:rPr>
        <w:t>)</w:t>
      </w:r>
    </w:p>
    <w:p w14:paraId="03280A0D" w14:textId="77777777" w:rsidR="00007FE3" w:rsidRDefault="000B5CDE" w:rsidP="00F47753">
      <w:pPr>
        <w:pStyle w:val="SingleTxtG"/>
      </w:pPr>
      <w:r w:rsidRPr="00992A9B">
        <w:t>2.</w:t>
      </w:r>
      <w:r w:rsidRPr="00992A9B">
        <w:tab/>
        <w:t xml:space="preserve">In accordance with article 8 of the Code of Civil, Commercial and Administrative Procedure, the courts are empowered, in considering matters brought before them, to interpret all acts of the administrative authorities. Under article 19 of the Code, the competent courts hear all civil, commercial and administrative cases and decide them in accordance with the substantive rules applicable. All administrative disputes that do not fall within the </w:t>
      </w:r>
      <w:proofErr w:type="gramStart"/>
      <w:r w:rsidRPr="00992A9B">
        <w:t>jurisdiction</w:t>
      </w:r>
      <w:proofErr w:type="gramEnd"/>
      <w:r w:rsidRPr="00992A9B">
        <w:t xml:space="preserve"> of the administrative division of the Supreme Court, as provided for in article 28 of the Code, fall within the jurisdiction of the </w:t>
      </w:r>
      <w:r w:rsidRPr="00992A9B">
        <w:rPr>
          <w:i/>
          <w:iCs/>
        </w:rPr>
        <w:t xml:space="preserve">wilaya </w:t>
      </w:r>
      <w:r w:rsidRPr="00992A9B">
        <w:t>courts and are heard in the administrative divisions of those courts (Code, art. 25).</w:t>
      </w:r>
    </w:p>
    <w:p w14:paraId="0AAE1405" w14:textId="4865C449" w:rsidR="000B5CDE" w:rsidRPr="00992A9B" w:rsidRDefault="000B5CDE" w:rsidP="00F47753">
      <w:pPr>
        <w:pStyle w:val="SingleTxtG"/>
        <w:rPr>
          <w:lang w:val="en-US"/>
        </w:rPr>
      </w:pPr>
      <w:r w:rsidRPr="00992A9B">
        <w:t>3.</w:t>
      </w:r>
      <w:r w:rsidRPr="00992A9B">
        <w:tab/>
        <w:t>In social matters, in accordance with the provisions of the Labour Code, the Minister of Labour may decide, entirely at his or her discretion, to submit a collective dispute to arbitration, taking into account, in particular, the circumstances and repercussions of the dispute. Such proceedings fall within the remit of the arbitration council, a body of the Labour Court; its composition is defined in article 351 of the Labour Code.</w:t>
      </w:r>
    </w:p>
    <w:p w14:paraId="5342C381" w14:textId="77777777" w:rsidR="000B5CDE" w:rsidRPr="00992A9B" w:rsidRDefault="000B5CDE" w:rsidP="00F47753">
      <w:pPr>
        <w:pStyle w:val="SingleTxtG"/>
        <w:rPr>
          <w:lang w:val="en-US"/>
        </w:rPr>
      </w:pPr>
      <w:r w:rsidRPr="00992A9B">
        <w:t>4.</w:t>
      </w:r>
      <w:r w:rsidRPr="00992A9B">
        <w:tab/>
        <w:t>In order to strengthen the protection of human rights, enforcement by committal has been completely abolished in civil matters (Act No. 2020-032). In criminal matters, enforcement by committal has been strictly limited to fines and monetary penalties owed to the State (Act No. 2020-033).</w:t>
      </w:r>
    </w:p>
    <w:p w14:paraId="435314D7" w14:textId="77777777" w:rsidR="000B5CDE" w:rsidRPr="00992A9B" w:rsidRDefault="000B5CDE" w:rsidP="00E1351D">
      <w:pPr>
        <w:pStyle w:val="H23G"/>
        <w:rPr>
          <w:lang w:val="en-US"/>
        </w:rPr>
      </w:pPr>
      <w:r w:rsidRPr="00992A9B">
        <w:tab/>
      </w:r>
      <w:r w:rsidRPr="00992A9B">
        <w:tab/>
        <w:t>Reply to the issues raised in paragraph 2 of the list of issues</w:t>
      </w:r>
    </w:p>
    <w:p w14:paraId="655341F0" w14:textId="77777777" w:rsidR="000B5CDE" w:rsidRPr="00992A9B" w:rsidRDefault="000B5CDE" w:rsidP="00F47753">
      <w:pPr>
        <w:pStyle w:val="SingleTxtG"/>
        <w:rPr>
          <w:lang w:val="en-US"/>
        </w:rPr>
      </w:pPr>
      <w:r w:rsidRPr="00992A9B">
        <w:t>5.</w:t>
      </w:r>
      <w:r w:rsidRPr="00992A9B">
        <w:tab/>
        <w:t xml:space="preserve">Freedom of association and expression are guaranteed by the Constitution and the law and are fully respected by the Government. Human rights defenders enjoy the protection of the law and </w:t>
      </w:r>
      <w:proofErr w:type="gramStart"/>
      <w:r w:rsidRPr="00992A9B">
        <w:t>carry out</w:t>
      </w:r>
      <w:proofErr w:type="gramEnd"/>
      <w:r w:rsidRPr="00992A9B">
        <w:t xml:space="preserve"> their activities freely, without any hindrance or harassment.</w:t>
      </w:r>
    </w:p>
    <w:p w14:paraId="4615791E" w14:textId="77777777" w:rsidR="000B5CDE" w:rsidRPr="00992A9B" w:rsidRDefault="000B5CDE" w:rsidP="00F47753">
      <w:pPr>
        <w:pStyle w:val="SingleTxtG"/>
        <w:rPr>
          <w:lang w:val="en-US"/>
        </w:rPr>
      </w:pPr>
      <w:r w:rsidRPr="00992A9B">
        <w:t>6.</w:t>
      </w:r>
      <w:r w:rsidRPr="00992A9B">
        <w:tab/>
        <w:t>Act No. 004/2021 on Associations, Foundations and Networks establishes a system of registration by declaration when associations and non-governmental organizations are set up. This system enables all individuals, including human rights defenders, to form associations with relatively simple procedures and formalities.</w:t>
      </w:r>
    </w:p>
    <w:p w14:paraId="40D44113" w14:textId="77777777" w:rsidR="000B5CDE" w:rsidRPr="00992A9B" w:rsidRDefault="000B5CDE" w:rsidP="00E1351D">
      <w:pPr>
        <w:pStyle w:val="H23G"/>
        <w:rPr>
          <w:lang w:val="en-US"/>
        </w:rPr>
      </w:pPr>
      <w:r w:rsidRPr="00992A9B">
        <w:tab/>
      </w:r>
      <w:r w:rsidRPr="00992A9B">
        <w:tab/>
        <w:t>Reply to the issues raised in paragraph 3 of the list of issues</w:t>
      </w:r>
    </w:p>
    <w:p w14:paraId="29D15331" w14:textId="77777777" w:rsidR="000B5CDE" w:rsidRPr="00992A9B" w:rsidRDefault="000B5CDE" w:rsidP="00E1351D">
      <w:pPr>
        <w:pStyle w:val="H4G"/>
        <w:rPr>
          <w:lang w:val="en-US"/>
        </w:rPr>
      </w:pPr>
      <w:r w:rsidRPr="00992A9B">
        <w:tab/>
      </w:r>
      <w:r w:rsidRPr="00992A9B">
        <w:tab/>
        <w:t>Climate change mitigation measures: overall results of the mitigation assessment</w:t>
      </w:r>
    </w:p>
    <w:p w14:paraId="1C91B60E" w14:textId="77777777" w:rsidR="00007FE3" w:rsidRDefault="000B5CDE" w:rsidP="00F47753">
      <w:pPr>
        <w:pStyle w:val="SingleTxtG"/>
      </w:pPr>
      <w:r w:rsidRPr="00992A9B">
        <w:t>7.</w:t>
      </w:r>
      <w:r w:rsidRPr="00992A9B">
        <w:tab/>
        <w:t>The mitigation assessment covers 19 measures with a cumulative greenhouse gas emission reduction potential of around 40,327.813 Gg CO</w:t>
      </w:r>
      <w:r w:rsidRPr="00992A9B">
        <w:rPr>
          <w:vertAlign w:val="subscript"/>
        </w:rPr>
        <w:t>2</w:t>
      </w:r>
      <w:r w:rsidRPr="00992A9B">
        <w:t>-equivalent by 2030, that is, a reduction in the rate of emissions growth of around 40.62 per cent, as follows:</w:t>
      </w:r>
    </w:p>
    <w:p w14:paraId="38747606" w14:textId="1E983567" w:rsidR="000B5CDE" w:rsidRPr="00992A9B" w:rsidRDefault="000B5CDE" w:rsidP="00E3357F">
      <w:pPr>
        <w:pStyle w:val="Bullet1G"/>
        <w:rPr>
          <w:lang w:val="en-US"/>
        </w:rPr>
      </w:pPr>
      <w:r w:rsidRPr="00992A9B">
        <w:t>Energy sector (10 projects with an overall mitigation potential of 9,640.124 Gg CO</w:t>
      </w:r>
      <w:r w:rsidRPr="00992A9B">
        <w:rPr>
          <w:vertAlign w:val="subscript"/>
        </w:rPr>
        <w:t>2</w:t>
      </w:r>
      <w:r w:rsidR="002A4205">
        <w:noBreakHyphen/>
      </w:r>
      <w:r w:rsidRPr="00992A9B">
        <w:t>equivalent, or 23.9 per cent of national potential)</w:t>
      </w:r>
    </w:p>
    <w:p w14:paraId="7247B1AA" w14:textId="77777777" w:rsidR="00007FE3" w:rsidRDefault="000B5CDE" w:rsidP="00E3357F">
      <w:pPr>
        <w:pStyle w:val="Bullet1G"/>
      </w:pPr>
      <w:r w:rsidRPr="00992A9B">
        <w:t>Agriculture, Forestry and Other Land Use sector (7 projects with a cumulative mitigation potential of 30,270.996 Gg CO</w:t>
      </w:r>
      <w:r w:rsidRPr="00992A9B">
        <w:rPr>
          <w:vertAlign w:val="subscript"/>
        </w:rPr>
        <w:t>2</w:t>
      </w:r>
      <w:r w:rsidRPr="00992A9B">
        <w:t>-equivalent, or 75.06 per cent of national potential for the period 2010–2030)</w:t>
      </w:r>
    </w:p>
    <w:p w14:paraId="645AE5A6" w14:textId="77777777" w:rsidR="00007FE3" w:rsidRDefault="000B5CDE" w:rsidP="00E3357F">
      <w:pPr>
        <w:pStyle w:val="Bullet1G"/>
      </w:pPr>
      <w:r w:rsidRPr="00992A9B">
        <w:t>Industrial Processes and Product Use sector (2 projects with a combined mitigation potential of 30.5 Gg CO</w:t>
      </w:r>
      <w:r w:rsidRPr="00992A9B">
        <w:rPr>
          <w:vertAlign w:val="subscript"/>
        </w:rPr>
        <w:t>2</w:t>
      </w:r>
      <w:r w:rsidRPr="00992A9B">
        <w:t>-equivalent, or 0.08 per cent of national potential)</w:t>
      </w:r>
    </w:p>
    <w:p w14:paraId="3E36559A" w14:textId="4377C204" w:rsidR="000B5CDE" w:rsidRPr="00992A9B" w:rsidRDefault="000B5CDE" w:rsidP="00E3357F">
      <w:pPr>
        <w:pStyle w:val="Bullet1G"/>
        <w:rPr>
          <w:lang w:val="en-US"/>
        </w:rPr>
      </w:pPr>
      <w:r w:rsidRPr="00992A9B">
        <w:t>Waste sector (this remains a low-emission sector, with the fossilization of solid waste due to its low moisture content and the non-treatment of wastewater)</w:t>
      </w:r>
    </w:p>
    <w:p w14:paraId="54500AE9" w14:textId="77777777" w:rsidR="00007FE3" w:rsidRDefault="000B5CDE" w:rsidP="00F47753">
      <w:pPr>
        <w:pStyle w:val="SingleTxtG"/>
      </w:pPr>
      <w:r w:rsidRPr="00992A9B">
        <w:lastRenderedPageBreak/>
        <w:t>8.</w:t>
      </w:r>
      <w:r w:rsidRPr="00992A9B">
        <w:tab/>
        <w:t>Other measures taken to implement the United Nations Framework Convention on Climate Change include :</w:t>
      </w:r>
    </w:p>
    <w:p w14:paraId="56D3664A" w14:textId="77777777" w:rsidR="00007FE3" w:rsidRDefault="000B5CDE" w:rsidP="00E3357F">
      <w:pPr>
        <w:pStyle w:val="H4G"/>
      </w:pPr>
      <w:r w:rsidRPr="00992A9B">
        <w:tab/>
      </w:r>
      <w:r w:rsidRPr="00992A9B">
        <w:tab/>
        <w:t>Mainstreaming climate change into public policy</w:t>
      </w:r>
    </w:p>
    <w:p w14:paraId="5B3394D0" w14:textId="77777777" w:rsidR="00007FE3" w:rsidRDefault="000B5CDE" w:rsidP="00F47753">
      <w:pPr>
        <w:pStyle w:val="SingleTxtG"/>
      </w:pPr>
      <w:r w:rsidRPr="00992A9B">
        <w:t>9.</w:t>
      </w:r>
      <w:r w:rsidRPr="00992A9B">
        <w:tab/>
        <w:t>To date, climate change has been mainstreamed into the following key framework and planning documents:</w:t>
      </w:r>
    </w:p>
    <w:p w14:paraId="2280B937" w14:textId="77777777" w:rsidR="00007FE3" w:rsidRDefault="000B5CDE" w:rsidP="00E3357F">
      <w:pPr>
        <w:pStyle w:val="Bullet1G"/>
      </w:pPr>
      <w:r w:rsidRPr="00992A9B">
        <w:t>The Strategy for Accelerated Growth and Shared Prosperity</w:t>
      </w:r>
    </w:p>
    <w:p w14:paraId="383F58F9" w14:textId="77777777" w:rsidR="00007FE3" w:rsidRDefault="000B5CDE" w:rsidP="00E3357F">
      <w:pPr>
        <w:pStyle w:val="Bullet1G"/>
      </w:pPr>
      <w:r w:rsidRPr="00992A9B">
        <w:t>The National Environmental Action Plan</w:t>
      </w:r>
    </w:p>
    <w:p w14:paraId="02FCBDE6" w14:textId="77777777" w:rsidR="00007FE3" w:rsidRDefault="000B5CDE" w:rsidP="00E3357F">
      <w:pPr>
        <w:pStyle w:val="Bullet1G"/>
      </w:pPr>
      <w:r w:rsidRPr="00992A9B">
        <w:t>The following sectoral strategies:</w:t>
      </w:r>
    </w:p>
    <w:p w14:paraId="33FA5CC6" w14:textId="714519D4" w:rsidR="000B5CDE" w:rsidRPr="00992A9B" w:rsidRDefault="000B5CDE" w:rsidP="00E3357F">
      <w:pPr>
        <w:pStyle w:val="Bullet2G"/>
        <w:rPr>
          <w:lang w:val="en-US"/>
        </w:rPr>
      </w:pPr>
      <w:r w:rsidRPr="00992A9B">
        <w:t>The National Action Plan to Combat Desertification of the Ministry of Environment and Sustainable Development</w:t>
      </w:r>
    </w:p>
    <w:p w14:paraId="6F49C00B" w14:textId="77777777" w:rsidR="00007FE3" w:rsidRDefault="000B5CDE" w:rsidP="00E3357F">
      <w:pPr>
        <w:pStyle w:val="Bullet2G"/>
      </w:pPr>
      <w:r w:rsidRPr="00992A9B">
        <w:t>The National Food Security Strategy for Mauritania</w:t>
      </w:r>
    </w:p>
    <w:p w14:paraId="2CCFC596" w14:textId="77777777" w:rsidR="00007FE3" w:rsidRDefault="000B5CDE" w:rsidP="00E3357F">
      <w:pPr>
        <w:pStyle w:val="Bullet2G"/>
      </w:pPr>
      <w:r w:rsidRPr="00992A9B">
        <w:t>The National Agricultural Investment and Food Security Programme for Mauritania</w:t>
      </w:r>
    </w:p>
    <w:p w14:paraId="43C04223" w14:textId="77777777" w:rsidR="00007FE3" w:rsidRDefault="000B5CDE" w:rsidP="00E3357F">
      <w:pPr>
        <w:pStyle w:val="H4G"/>
      </w:pPr>
      <w:r w:rsidRPr="00992A9B">
        <w:tab/>
      </w:r>
      <w:r w:rsidRPr="00992A9B">
        <w:tab/>
        <w:t>Technology transfer needs</w:t>
      </w:r>
    </w:p>
    <w:p w14:paraId="01BBDA36" w14:textId="77777777" w:rsidR="00007FE3" w:rsidRDefault="000B5CDE" w:rsidP="00F47753">
      <w:pPr>
        <w:pStyle w:val="SingleTxtG"/>
      </w:pPr>
      <w:r w:rsidRPr="00992A9B">
        <w:t>10.</w:t>
      </w:r>
      <w:r w:rsidRPr="00992A9B">
        <w:tab/>
        <w:t>Regarding the introduction of technologies in Mauritania in response to the impact of climate change, the following should be noted:</w:t>
      </w:r>
    </w:p>
    <w:p w14:paraId="37227692" w14:textId="77777777" w:rsidR="00007FE3" w:rsidRDefault="000B5CDE" w:rsidP="00E3357F">
      <w:pPr>
        <w:pStyle w:val="Bullet1G"/>
      </w:pPr>
      <w:r w:rsidRPr="00992A9B">
        <w:t>Introduction and promotion of adapted, early-maturing or resilient species and varieties</w:t>
      </w:r>
    </w:p>
    <w:p w14:paraId="62782E36" w14:textId="77777777" w:rsidR="00007FE3" w:rsidRDefault="000B5CDE" w:rsidP="00E3357F">
      <w:pPr>
        <w:pStyle w:val="Bullet1G"/>
      </w:pPr>
      <w:r w:rsidRPr="00992A9B">
        <w:t>Intensification and diversification of irrigated crops</w:t>
      </w:r>
    </w:p>
    <w:p w14:paraId="6D66FBEB" w14:textId="77777777" w:rsidR="00007FE3" w:rsidRDefault="000B5CDE" w:rsidP="00E3357F">
      <w:pPr>
        <w:pStyle w:val="Bullet1G"/>
      </w:pPr>
      <w:r w:rsidRPr="00992A9B">
        <w:t>Integrated pest management</w:t>
      </w:r>
    </w:p>
    <w:p w14:paraId="545FD991" w14:textId="77777777" w:rsidR="00007FE3" w:rsidRDefault="000B5CDE" w:rsidP="00E3357F">
      <w:pPr>
        <w:pStyle w:val="Bullet1G"/>
      </w:pPr>
      <w:r w:rsidRPr="00992A9B">
        <w:t>Optimization of irrigation management techniques</w:t>
      </w:r>
    </w:p>
    <w:p w14:paraId="0421477B" w14:textId="77777777" w:rsidR="00007FE3" w:rsidRDefault="000B5CDE" w:rsidP="00E3357F">
      <w:pPr>
        <w:pStyle w:val="Bullet1G"/>
      </w:pPr>
      <w:r w:rsidRPr="00992A9B">
        <w:t>Construction of hydraulic microdams and development of lowlands</w:t>
      </w:r>
    </w:p>
    <w:p w14:paraId="5B9B5F58" w14:textId="77777777" w:rsidR="00007FE3" w:rsidRDefault="000B5CDE" w:rsidP="00E3357F">
      <w:pPr>
        <w:pStyle w:val="Bullet1G"/>
      </w:pPr>
      <w:r w:rsidRPr="00992A9B">
        <w:t>Sustainable land management techniques</w:t>
      </w:r>
    </w:p>
    <w:p w14:paraId="54A1ACAA" w14:textId="77777777" w:rsidR="00007FE3" w:rsidRDefault="000B5CDE" w:rsidP="00E3357F">
      <w:pPr>
        <w:pStyle w:val="Bullet1G"/>
      </w:pPr>
      <w:r w:rsidRPr="00992A9B">
        <w:t>Integrated soil fertility management</w:t>
      </w:r>
    </w:p>
    <w:p w14:paraId="4A5C7D1E" w14:textId="77777777" w:rsidR="00007FE3" w:rsidRDefault="000B5CDE" w:rsidP="00E3357F">
      <w:pPr>
        <w:pStyle w:val="Bullet1G"/>
      </w:pPr>
      <w:r w:rsidRPr="00992A9B">
        <w:t>Soil and water conservation and soil protection and restoration techniques</w:t>
      </w:r>
    </w:p>
    <w:p w14:paraId="717E808E" w14:textId="77777777" w:rsidR="00007FE3" w:rsidRDefault="000B5CDE" w:rsidP="00E3357F">
      <w:pPr>
        <w:pStyle w:val="Bullet1G"/>
      </w:pPr>
      <w:r w:rsidRPr="00992A9B">
        <w:t>Agroforestry</w:t>
      </w:r>
    </w:p>
    <w:p w14:paraId="0A358D96" w14:textId="77777777" w:rsidR="00007FE3" w:rsidRDefault="000B5CDE" w:rsidP="00E3357F">
      <w:pPr>
        <w:pStyle w:val="Bullet1G"/>
      </w:pPr>
      <w:r w:rsidRPr="00992A9B">
        <w:t xml:space="preserve">Introduction of sulphuric acid generators, </w:t>
      </w:r>
      <w:proofErr w:type="gramStart"/>
      <w:r w:rsidRPr="00992A9B">
        <w:t>a new technology</w:t>
      </w:r>
      <w:proofErr w:type="gramEnd"/>
      <w:r w:rsidRPr="00992A9B">
        <w:t xml:space="preserve"> for rehabilitating saline-sodic soils</w:t>
      </w:r>
    </w:p>
    <w:p w14:paraId="75839293" w14:textId="1D16AE9D" w:rsidR="000B5CDE" w:rsidRPr="00992A9B" w:rsidRDefault="000B5CDE" w:rsidP="00E3357F">
      <w:pPr>
        <w:pStyle w:val="Bullet1G"/>
        <w:rPr>
          <w:lang w:val="en-US"/>
        </w:rPr>
      </w:pPr>
      <w:r w:rsidRPr="00992A9B">
        <w:t>Laying out of fields according to contour lines</w:t>
      </w:r>
    </w:p>
    <w:p w14:paraId="7150184E" w14:textId="77777777" w:rsidR="00007FE3" w:rsidRDefault="000B5CDE" w:rsidP="00E3357F">
      <w:pPr>
        <w:pStyle w:val="Bullet1G"/>
      </w:pPr>
      <w:r w:rsidRPr="00992A9B">
        <w:t>Grain banks</w:t>
      </w:r>
    </w:p>
    <w:p w14:paraId="1BE049D2" w14:textId="77777777" w:rsidR="00007FE3" w:rsidRDefault="000B5CDE" w:rsidP="00E3357F">
      <w:pPr>
        <w:pStyle w:val="Bullet1G"/>
      </w:pPr>
      <w:r w:rsidRPr="00992A9B">
        <w:t>Induction of rainfall</w:t>
      </w:r>
    </w:p>
    <w:p w14:paraId="79F7B0F7" w14:textId="77777777" w:rsidR="00007FE3" w:rsidRDefault="000B5CDE" w:rsidP="00E3357F">
      <w:pPr>
        <w:pStyle w:val="Bullet1G"/>
      </w:pPr>
      <w:r w:rsidRPr="00992A9B">
        <w:t>Seeding of natural pastures</w:t>
      </w:r>
    </w:p>
    <w:p w14:paraId="57EC585E" w14:textId="77777777" w:rsidR="00007FE3" w:rsidRDefault="000B5CDE" w:rsidP="00E3357F">
      <w:pPr>
        <w:pStyle w:val="Bullet1G"/>
      </w:pPr>
      <w:r w:rsidRPr="00992A9B">
        <w:t>Development of forage crops</w:t>
      </w:r>
    </w:p>
    <w:p w14:paraId="22F5AFF4" w14:textId="77777777" w:rsidR="00007FE3" w:rsidRDefault="000B5CDE" w:rsidP="00E3357F">
      <w:pPr>
        <w:pStyle w:val="Bullet1G"/>
      </w:pPr>
      <w:r w:rsidRPr="00992A9B">
        <w:t>Processing of coarse fodder and production of multi-nutritional blocks</w:t>
      </w:r>
    </w:p>
    <w:p w14:paraId="333F3F07" w14:textId="77777777" w:rsidR="00007FE3" w:rsidRDefault="000B5CDE" w:rsidP="00E3357F">
      <w:pPr>
        <w:pStyle w:val="Bullet1G"/>
      </w:pPr>
      <w:r w:rsidRPr="00992A9B">
        <w:t>Silage-making techniques</w:t>
      </w:r>
    </w:p>
    <w:p w14:paraId="6BFC42DA" w14:textId="77777777" w:rsidR="00007FE3" w:rsidRDefault="000B5CDE" w:rsidP="00E3357F">
      <w:pPr>
        <w:pStyle w:val="Bullet1G"/>
      </w:pPr>
      <w:r w:rsidRPr="00992A9B">
        <w:t>Pasture monitoring</w:t>
      </w:r>
    </w:p>
    <w:p w14:paraId="044F7DB5" w14:textId="77777777" w:rsidR="00007FE3" w:rsidRDefault="000B5CDE" w:rsidP="00E3357F">
      <w:pPr>
        <w:pStyle w:val="Bullet1G"/>
      </w:pPr>
      <w:r w:rsidRPr="00992A9B">
        <w:t>Artificial insemination techniques</w:t>
      </w:r>
    </w:p>
    <w:p w14:paraId="361B9A69" w14:textId="77777777" w:rsidR="00007FE3" w:rsidRDefault="000B5CDE" w:rsidP="00E3357F">
      <w:pPr>
        <w:pStyle w:val="Bullet1G"/>
      </w:pPr>
      <w:r w:rsidRPr="00992A9B">
        <w:t>Promotion of family poultry farming</w:t>
      </w:r>
    </w:p>
    <w:p w14:paraId="7195884F" w14:textId="77777777" w:rsidR="00007FE3" w:rsidRDefault="000B5CDE" w:rsidP="00E3357F">
      <w:pPr>
        <w:pStyle w:val="Bullet1G"/>
      </w:pPr>
      <w:r w:rsidRPr="00992A9B">
        <w:t>Generation of electrical energy from renewable natural resources</w:t>
      </w:r>
    </w:p>
    <w:p w14:paraId="2AB2A4BE" w14:textId="77777777" w:rsidR="00007FE3" w:rsidRDefault="000B5CDE" w:rsidP="00E3357F">
      <w:pPr>
        <w:pStyle w:val="Bullet1G"/>
      </w:pPr>
      <w:r w:rsidRPr="00992A9B">
        <w:t>Generation of electricity from less-polluting, energy-efficient fossil fuels</w:t>
      </w:r>
    </w:p>
    <w:p w14:paraId="5C834E32" w14:textId="77777777" w:rsidR="00007FE3" w:rsidRDefault="000B5CDE" w:rsidP="00E3357F">
      <w:pPr>
        <w:pStyle w:val="Bullet1G"/>
      </w:pPr>
      <w:r w:rsidRPr="00992A9B">
        <w:t>Energy from natural gas</w:t>
      </w:r>
    </w:p>
    <w:p w14:paraId="3C828A49" w14:textId="77777777" w:rsidR="00007FE3" w:rsidRDefault="000B5CDE" w:rsidP="00E3357F">
      <w:pPr>
        <w:pStyle w:val="Bullet1G"/>
      </w:pPr>
      <w:r w:rsidRPr="00992A9B">
        <w:lastRenderedPageBreak/>
        <w:t>Combined cycle technologies</w:t>
      </w:r>
    </w:p>
    <w:p w14:paraId="52607F80" w14:textId="77777777" w:rsidR="00007FE3" w:rsidRDefault="000B5CDE" w:rsidP="00E3357F">
      <w:pPr>
        <w:pStyle w:val="Bullet1G"/>
      </w:pPr>
      <w:r w:rsidRPr="00992A9B">
        <w:t>Energy efficiency</w:t>
      </w:r>
    </w:p>
    <w:p w14:paraId="634B3C16" w14:textId="77777777" w:rsidR="00007FE3" w:rsidRDefault="000B5CDE" w:rsidP="00E3357F">
      <w:pPr>
        <w:pStyle w:val="Bullet1G"/>
      </w:pPr>
      <w:r w:rsidRPr="00992A9B">
        <w:t>Forest management for carbon conservation</w:t>
      </w:r>
    </w:p>
    <w:p w14:paraId="1DBAA977" w14:textId="77777777" w:rsidR="00007FE3" w:rsidRDefault="000B5CDE" w:rsidP="00E3357F">
      <w:pPr>
        <w:pStyle w:val="Bullet1G"/>
      </w:pPr>
      <w:r w:rsidRPr="00992A9B">
        <w:t>Forest management for carbon sequestration</w:t>
      </w:r>
    </w:p>
    <w:p w14:paraId="3A4A4FDC" w14:textId="77777777" w:rsidR="00007FE3" w:rsidRDefault="000B5CDE" w:rsidP="00E3357F">
      <w:pPr>
        <w:pStyle w:val="Bullet1G"/>
      </w:pPr>
      <w:r w:rsidRPr="00992A9B">
        <w:t>Management for carbon substitution</w:t>
      </w:r>
    </w:p>
    <w:p w14:paraId="56A01F9E" w14:textId="77777777" w:rsidR="00007FE3" w:rsidRDefault="000B5CDE" w:rsidP="00E3357F">
      <w:pPr>
        <w:pStyle w:val="Bullet1G"/>
      </w:pPr>
      <w:r w:rsidRPr="00992A9B">
        <w:t>Aerial seeding</w:t>
      </w:r>
    </w:p>
    <w:p w14:paraId="41CEF780" w14:textId="77777777" w:rsidR="00007FE3" w:rsidRDefault="000B5CDE" w:rsidP="00E3357F">
      <w:pPr>
        <w:pStyle w:val="H4G"/>
      </w:pPr>
      <w:r w:rsidRPr="00992A9B">
        <w:tab/>
      </w:r>
      <w:r w:rsidRPr="00992A9B">
        <w:tab/>
        <w:t>Research and systematic observations</w:t>
      </w:r>
    </w:p>
    <w:p w14:paraId="788B297B" w14:textId="77777777" w:rsidR="00007FE3" w:rsidRDefault="000B5CDE" w:rsidP="00F47753">
      <w:pPr>
        <w:pStyle w:val="SingleTxtG"/>
      </w:pPr>
      <w:r w:rsidRPr="00992A9B">
        <w:t>11.</w:t>
      </w:r>
      <w:r w:rsidRPr="00992A9B">
        <w:tab/>
        <w:t>Systematic observations :</w:t>
      </w:r>
    </w:p>
    <w:p w14:paraId="17A4522A" w14:textId="27BF4ED8" w:rsidR="00007FE3" w:rsidRDefault="000B5CDE" w:rsidP="00E3357F">
      <w:pPr>
        <w:pStyle w:val="Bullet1G"/>
      </w:pPr>
      <w:r w:rsidRPr="00992A9B">
        <w:t>Meteorological observations: the national terrestrial observation network comprises three main branches: the synoptic network (comprising 10 automatic weather stations and 4 conventional stations), the network of marine stations (3 automatic marine weather stations are currently operational on the Atlantic coast of Mauritania, of which 1 is equipped with radar; a project to install 3 marine stations is under way (Global System for Mobile Communication)) and the rainfall network (around 150</w:t>
      </w:r>
      <w:r w:rsidR="00A42C05">
        <w:t> </w:t>
      </w:r>
      <w:r w:rsidRPr="00992A9B">
        <w:t>SPIEA rainfall posts are operational and 400 farmers</w:t>
      </w:r>
      <w:r w:rsidR="008050AE">
        <w:t>’</w:t>
      </w:r>
      <w:r w:rsidRPr="00992A9B">
        <w:t xml:space="preserve"> rain gauges are in the test phase)</w:t>
      </w:r>
    </w:p>
    <w:p w14:paraId="671F7AAC" w14:textId="0DC347C0" w:rsidR="000B5CDE" w:rsidRPr="00992A9B" w:rsidRDefault="000B5CDE" w:rsidP="00E3357F">
      <w:pPr>
        <w:pStyle w:val="Bullet1G"/>
        <w:rPr>
          <w:lang w:val="en-US"/>
        </w:rPr>
      </w:pPr>
      <w:r w:rsidRPr="00992A9B">
        <w:t>Space observations: satellite data for weather observation are received from 2 ground stations</w:t>
      </w:r>
    </w:p>
    <w:p w14:paraId="549BE013" w14:textId="77777777" w:rsidR="00007FE3" w:rsidRDefault="000B5CDE" w:rsidP="00E3357F">
      <w:pPr>
        <w:pStyle w:val="H4G"/>
      </w:pPr>
      <w:r w:rsidRPr="00992A9B">
        <w:tab/>
      </w:r>
      <w:r w:rsidRPr="00992A9B">
        <w:tab/>
        <w:t>Observation of water resources</w:t>
      </w:r>
    </w:p>
    <w:p w14:paraId="69FFD2AE" w14:textId="77777777" w:rsidR="00007FE3" w:rsidRDefault="000B5CDE" w:rsidP="00F47753">
      <w:pPr>
        <w:pStyle w:val="SingleTxtG"/>
      </w:pPr>
      <w:r w:rsidRPr="00992A9B">
        <w:t>12.</w:t>
      </w:r>
      <w:r w:rsidRPr="00992A9B">
        <w:tab/>
      </w:r>
      <w:proofErr w:type="gramStart"/>
      <w:r w:rsidRPr="00992A9B">
        <w:t>Several</w:t>
      </w:r>
      <w:proofErr w:type="gramEnd"/>
      <w:r w:rsidRPr="00992A9B">
        <w:t xml:space="preserve"> entities share the task of resource management:</w:t>
      </w:r>
    </w:p>
    <w:p w14:paraId="09854E83" w14:textId="77777777" w:rsidR="00007FE3" w:rsidRDefault="000B5CDE" w:rsidP="00E3357F">
      <w:pPr>
        <w:pStyle w:val="Bullet1G"/>
      </w:pPr>
      <w:r w:rsidRPr="00992A9B">
        <w:t>Surface water resources are monitored by the Directorate for Rural Development of the Ministry of Agriculture</w:t>
      </w:r>
    </w:p>
    <w:p w14:paraId="5ADFE380" w14:textId="77777777" w:rsidR="00007FE3" w:rsidRDefault="000B5CDE" w:rsidP="00E3357F">
      <w:pPr>
        <w:pStyle w:val="Bullet1G"/>
      </w:pPr>
      <w:r w:rsidRPr="00992A9B">
        <w:t>Terrestrial observations are the responsibility of the Directorate</w:t>
      </w:r>
    </w:p>
    <w:p w14:paraId="37EB42AD" w14:textId="77777777" w:rsidR="00007FE3" w:rsidRDefault="000B5CDE" w:rsidP="00E3357F">
      <w:pPr>
        <w:pStyle w:val="Bullet1G"/>
      </w:pPr>
      <w:r w:rsidRPr="00992A9B">
        <w:t>Space observations are supported by the African Union, the European Organization for the Exploitation of Meteorological Satellites (EUMETSAT) and the Permanent Inter-State Committee on Drought Control in the Sahel (Regional Training Centre for Agrometeorology and Operational Hydrology and their Application (AGRHYMET)), which provides technical support; a satellite data reception ground station (African Monitoring of the Environment for Sustainable Development (AMESD)) was installed in 2011 to strengthen the Directorate</w:t>
      </w:r>
      <w:r w:rsidR="008050AE">
        <w:t>’</w:t>
      </w:r>
      <w:r w:rsidRPr="00992A9B">
        <w:t>s capacity for systematic resource monitoring</w:t>
      </w:r>
    </w:p>
    <w:p w14:paraId="0D010969" w14:textId="77777777" w:rsidR="00007FE3" w:rsidRDefault="000B5CDE" w:rsidP="00E3357F">
      <w:pPr>
        <w:pStyle w:val="Bullet1G"/>
      </w:pPr>
      <w:r w:rsidRPr="00992A9B">
        <w:t xml:space="preserve">Observation and monitoring of hydrogeological resources are </w:t>
      </w:r>
      <w:proofErr w:type="gramStart"/>
      <w:r w:rsidRPr="00992A9B">
        <w:t>carried out</w:t>
      </w:r>
      <w:proofErr w:type="gramEnd"/>
      <w:r w:rsidRPr="00992A9B">
        <w:t xml:space="preserve"> on an ad hoc basis for the purposes of exploration and exploitation of the main underground aquifers, namely, Bénichab, Boulenouar and the Dhar aquifer; the main players in this field are the National Water Resource Centre and the National Water Company, under the supervision of the Ministry of Hydraulics and Sanitation</w:t>
      </w:r>
    </w:p>
    <w:p w14:paraId="5BFDD9BA" w14:textId="77777777" w:rsidR="00007FE3" w:rsidRDefault="000B5CDE" w:rsidP="00E3357F">
      <w:pPr>
        <w:pStyle w:val="H4G"/>
      </w:pPr>
      <w:r w:rsidRPr="00992A9B">
        <w:tab/>
      </w:r>
      <w:r w:rsidRPr="00992A9B">
        <w:tab/>
        <w:t>Scientific research</w:t>
      </w:r>
    </w:p>
    <w:p w14:paraId="11E48129" w14:textId="67AF7470" w:rsidR="00007FE3" w:rsidRDefault="000B5CDE" w:rsidP="00F47753">
      <w:pPr>
        <w:pStyle w:val="SingleTxtG"/>
      </w:pPr>
      <w:r w:rsidRPr="00992A9B">
        <w:t>13.</w:t>
      </w:r>
      <w:r w:rsidRPr="00992A9B">
        <w:tab/>
        <w:t>The scientific research is in its infancy. The main centres are the National Me</w:t>
      </w:r>
      <w:r w:rsidR="00AA30A5">
        <w:t>t</w:t>
      </w:r>
      <w:r w:rsidRPr="00992A9B">
        <w:t>eo</w:t>
      </w:r>
      <w:r w:rsidR="00AA30A5">
        <w:t>ro</w:t>
      </w:r>
      <w:r w:rsidRPr="00992A9B">
        <w:t xml:space="preserve">logical Office, the National Institute of Public Health Research, the University of Nouakchott, the École Normale Supérieure and the Mauritanian Institute for Oceanographic Research and Fisheries. Activities are mainly </w:t>
      </w:r>
      <w:proofErr w:type="gramStart"/>
      <w:r w:rsidRPr="00992A9B">
        <w:t>carried out</w:t>
      </w:r>
      <w:proofErr w:type="gramEnd"/>
      <w:r w:rsidRPr="00992A9B">
        <w:t xml:space="preserve"> within the framework of development projects and programmes, by three entities:</w:t>
      </w:r>
    </w:p>
    <w:p w14:paraId="3CCF01FE" w14:textId="77777777" w:rsidR="00007FE3" w:rsidRDefault="000B5CDE" w:rsidP="00E3357F">
      <w:pPr>
        <w:pStyle w:val="Bullet1G"/>
      </w:pPr>
      <w:r w:rsidRPr="00992A9B">
        <w:t>The National Meteorological Office</w:t>
      </w:r>
    </w:p>
    <w:p w14:paraId="5CBEF323" w14:textId="77777777" w:rsidR="00007FE3" w:rsidRDefault="000B5CDE" w:rsidP="00E3357F">
      <w:pPr>
        <w:pStyle w:val="Bullet1G"/>
      </w:pPr>
      <w:r w:rsidRPr="00992A9B">
        <w:t xml:space="preserve">The National Institute of Public Health Research (an initiative on the health and environmental vulnerability of disadvantaged districts of Nouakchott has been launched with the National Centre of Competence in Research (NCCR) North-South, with financial support from the Swiss National Science Foundation and the Swiss </w:t>
      </w:r>
      <w:r w:rsidRPr="00992A9B">
        <w:lastRenderedPageBreak/>
        <w:t>Agency for Development and Cooperation, in order to analyse the conditions for the emergence and development of diseases in Sahelian urban environments)</w:t>
      </w:r>
    </w:p>
    <w:p w14:paraId="3A2B0A27" w14:textId="77777777" w:rsidR="00007FE3" w:rsidRDefault="000B5CDE" w:rsidP="00E3357F">
      <w:pPr>
        <w:pStyle w:val="Bullet1G"/>
      </w:pPr>
      <w:r w:rsidRPr="00992A9B">
        <w:t xml:space="preserve">The Mauritanian Institute for Oceanographic Research and Fisheries, which conducts various </w:t>
      </w:r>
      <w:r w:rsidR="006D23C5">
        <w:t>“</w:t>
      </w:r>
      <w:r w:rsidRPr="00992A9B">
        <w:t>climate resources</w:t>
      </w:r>
      <w:r w:rsidR="006D23C5">
        <w:t>”</w:t>
      </w:r>
      <w:r w:rsidRPr="00992A9B">
        <w:t xml:space="preserve"> research programmes</w:t>
      </w:r>
    </w:p>
    <w:p w14:paraId="6935E2B7" w14:textId="24826A0C" w:rsidR="000B5CDE" w:rsidRPr="00992A9B" w:rsidRDefault="000B5CDE" w:rsidP="00E3357F">
      <w:pPr>
        <w:pStyle w:val="H4G"/>
        <w:rPr>
          <w:lang w:val="en-US"/>
        </w:rPr>
      </w:pPr>
      <w:r w:rsidRPr="00992A9B">
        <w:tab/>
      </w:r>
      <w:r w:rsidRPr="00992A9B">
        <w:tab/>
        <w:t>Education, training and public awareness</w:t>
      </w:r>
    </w:p>
    <w:p w14:paraId="534776A6" w14:textId="5DB174C3" w:rsidR="000B5CDE" w:rsidRPr="00992A9B" w:rsidRDefault="000B5CDE" w:rsidP="00F47753">
      <w:pPr>
        <w:pStyle w:val="SingleTxtG"/>
        <w:rPr>
          <w:lang w:val="en-US"/>
        </w:rPr>
      </w:pPr>
      <w:r w:rsidRPr="00992A9B">
        <w:t>14.</w:t>
      </w:r>
      <w:r w:rsidRPr="00992A9B">
        <w:tab/>
        <w:t>Considerable efforts have been made by the Coordinating Unit of the National Climate Change Programme in respect of training, particularly in areas covered by the Institute for Global Environmental Strategies, mitigation, vulnerability and adaptation, but also with regard to education and awareness-raising on climate change. In all, 46 types of training have been provided, for experts, secondary school trainers and decision</w:t>
      </w:r>
      <w:r w:rsidR="008050AE">
        <w:t xml:space="preserve"> </w:t>
      </w:r>
      <w:r w:rsidRPr="00992A9B">
        <w:t>makers.</w:t>
      </w:r>
    </w:p>
    <w:p w14:paraId="779F94EB" w14:textId="0B0BDCB4" w:rsidR="000B5CDE" w:rsidRPr="00992A9B" w:rsidRDefault="00E3357F" w:rsidP="00E3357F">
      <w:pPr>
        <w:pStyle w:val="HChG"/>
        <w:rPr>
          <w:lang w:val="en-US"/>
        </w:rPr>
      </w:pPr>
      <w:r>
        <w:tab/>
      </w:r>
      <w:r w:rsidR="000B5CDE" w:rsidRPr="00992A9B">
        <w:t>II.</w:t>
      </w:r>
      <w:r w:rsidR="000B5CDE" w:rsidRPr="00992A9B">
        <w:tab/>
        <w:t>Issues relating to the general provisions of the Covenant (arts. 1–5)</w:t>
      </w:r>
    </w:p>
    <w:p w14:paraId="4020FAAD" w14:textId="6FBCFC84" w:rsidR="000B5CDE" w:rsidRPr="00E3357F" w:rsidRDefault="00E3357F" w:rsidP="00E3357F">
      <w:pPr>
        <w:pStyle w:val="H1G"/>
      </w:pPr>
      <w:r>
        <w:tab/>
      </w:r>
      <w:r w:rsidR="000B5CDE" w:rsidRPr="00992A9B">
        <w:t>A.</w:t>
      </w:r>
      <w:r w:rsidR="000B5CDE" w:rsidRPr="00992A9B">
        <w:tab/>
        <w:t>Right to freely dispose of natural wealth and resources (art. 1 (2))</w:t>
      </w:r>
      <w:bookmarkStart w:id="0" w:name="_Hlk6321971"/>
      <w:bookmarkEnd w:id="0"/>
    </w:p>
    <w:p w14:paraId="4C3D89B3" w14:textId="77777777" w:rsidR="000B5CDE" w:rsidRPr="00992A9B" w:rsidRDefault="000B5CDE" w:rsidP="00E3357F">
      <w:pPr>
        <w:pStyle w:val="H23G"/>
        <w:rPr>
          <w:lang w:val="en-US"/>
        </w:rPr>
      </w:pPr>
      <w:r w:rsidRPr="00992A9B">
        <w:tab/>
      </w:r>
      <w:r w:rsidRPr="00992A9B">
        <w:tab/>
        <w:t>Reply to the issues raised in paragraph 4 of the list of issues</w:t>
      </w:r>
    </w:p>
    <w:p w14:paraId="6FD88379" w14:textId="77777777" w:rsidR="000B5CDE" w:rsidRPr="00992A9B" w:rsidRDefault="000B5CDE" w:rsidP="00F47753">
      <w:pPr>
        <w:pStyle w:val="SingleTxtG"/>
        <w:rPr>
          <w:lang w:val="en-US"/>
        </w:rPr>
      </w:pPr>
      <w:r w:rsidRPr="00992A9B">
        <w:t>15.</w:t>
      </w:r>
      <w:r w:rsidRPr="00992A9B">
        <w:tab/>
        <w:t>Under Act No. 2000/45, the Environment Framework Act, title V:</w:t>
      </w:r>
    </w:p>
    <w:p w14:paraId="6038A4ED" w14:textId="45008CC8" w:rsidR="000B5CDE" w:rsidRPr="00992A9B" w:rsidRDefault="006D23C5" w:rsidP="00E3357F">
      <w:pPr>
        <w:pStyle w:val="SingleTxtG"/>
        <w:ind w:left="1701"/>
        <w:rPr>
          <w:lang w:val="en-US"/>
        </w:rPr>
      </w:pPr>
      <w:r>
        <w:t>“</w:t>
      </w:r>
      <w:r w:rsidR="000B5CDE" w:rsidRPr="00992A9B">
        <w:t>Article 93: A fine of between 3,000 and 200,000 ouguiyas will be imposed on anyone who: (1) is in possession of or abandons waste in violation of articles 62 and 63; (2)</w:t>
      </w:r>
      <w:r w:rsidR="008A4277">
        <w:t> </w:t>
      </w:r>
      <w:r w:rsidR="000B5CDE" w:rsidRPr="00992A9B">
        <w:t>makes discharges in violation of articles 46 and 50 above.</w:t>
      </w:r>
    </w:p>
    <w:p w14:paraId="1F25E5C3" w14:textId="77777777" w:rsidR="00007FE3" w:rsidRDefault="000B5CDE" w:rsidP="00E3357F">
      <w:pPr>
        <w:pStyle w:val="SingleTxtG"/>
        <w:ind w:left="1701"/>
      </w:pPr>
      <w:r w:rsidRPr="00992A9B">
        <w:t>Article 94: A fine of between 5,000 and 500,000 ouguiyas will be imposed on anyone who: (1) fails to hand over waste that they have produced or are in possession of in violation of the statement of requirements referred to in article 68; or (2) makes discharges that are prohibited or, in the case of discharges subject to authorization under article 39 above, discharges that are unauthorized, or contravenes the conditions of the authorization they hold; (3) takes water, establishes facilities, equipment or installations in the public domain or digs a well for the purpose of taking water without the required authorization; (4) opens, establishes or enlarges, increases the production capacity or substantially modifies the technical characteristics of an installation included in the list in article 53 above or starts work for that purpose without the required authorization, or disregards the regulations applicable to their installation or the requirements of the authorization they hold; or (5) introduces or attempts to introduce into Mauritania the animal or plant species referred to in article 28.</w:t>
      </w:r>
    </w:p>
    <w:p w14:paraId="00AB4A5F" w14:textId="77777777" w:rsidR="00007FE3" w:rsidRDefault="000B5CDE" w:rsidP="00E3357F">
      <w:pPr>
        <w:pStyle w:val="SingleTxtG"/>
        <w:ind w:left="1701"/>
      </w:pPr>
      <w:r w:rsidRPr="00992A9B">
        <w:t>Article 95: A fine of between 10,000 and 1,000,000 ouguiyas will be imposed on anyone who: (1) provides information and statistics which they were legally obliged to supply, but which are deliberately inaccurate or grossly incomplete; or (2) obstructs or attempts to obstruct checks legally organized under the provisions of the present law or its implementing regulations.</w:t>
      </w:r>
    </w:p>
    <w:p w14:paraId="0485B48C" w14:textId="0BEC3B4A" w:rsidR="000B5CDE" w:rsidRPr="00992A9B" w:rsidRDefault="000B5CDE" w:rsidP="00E3357F">
      <w:pPr>
        <w:pStyle w:val="SingleTxtG"/>
        <w:ind w:left="1701"/>
        <w:rPr>
          <w:lang w:val="en-US"/>
        </w:rPr>
      </w:pPr>
      <w:r w:rsidRPr="00992A9B">
        <w:t>Article 96: A penalty of life imprisonment will be imposed on persons who import, purchase, sell, transport, store or stock toxic waste and environmentally hazardous radioactive products from abroad.</w:t>
      </w:r>
    </w:p>
    <w:p w14:paraId="25B1674B" w14:textId="77777777" w:rsidR="00007FE3" w:rsidRDefault="000B5CDE" w:rsidP="00E3357F">
      <w:pPr>
        <w:pStyle w:val="SingleTxtG"/>
        <w:ind w:left="1701"/>
      </w:pPr>
      <w:r w:rsidRPr="00992A9B">
        <w:t>Article 98: Infringements of the provisions of the present law concerning protected animal and plant species will be punished in accordance with the provisions of the laws and regulations in force concerning hunting, fishing and forestry. If no penalty is provided for in these laws and regulations for the species in question, the perpetrator will be liable to a fine of between 5,000 and 100,000 ouguiyas.</w:t>
      </w:r>
    </w:p>
    <w:p w14:paraId="077DC298" w14:textId="4F57E2CD" w:rsidR="000B5CDE" w:rsidRPr="00992A9B" w:rsidRDefault="000B5CDE" w:rsidP="00E3357F">
      <w:pPr>
        <w:pStyle w:val="SingleTxtG"/>
        <w:ind w:left="1701"/>
        <w:rPr>
          <w:lang w:val="en-US"/>
        </w:rPr>
      </w:pPr>
      <w:r w:rsidRPr="00992A9B">
        <w:t xml:space="preserve">Article 99: Other than in the cases envisaged in articles 96 and 97, when the offences referred to in articles 93 and 98 of the present law result in serious and manifest damage to a natural environment, flora, essential resources, a protected environmental area or human health, the penalty inflictable will be doubled. The same will apply when the perpetrator of the offence or an accomplice is a civil servant or public </w:t>
      </w:r>
      <w:r w:rsidRPr="00992A9B">
        <w:lastRenderedPageBreak/>
        <w:t>employee responsible in any capacity for the protection of the interests referred to in article 1 of the present law.</w:t>
      </w:r>
      <w:r w:rsidR="006D23C5">
        <w:t>”</w:t>
      </w:r>
    </w:p>
    <w:p w14:paraId="7E9F0673" w14:textId="77777777" w:rsidR="000B5CDE" w:rsidRPr="00992A9B" w:rsidRDefault="000B5CDE" w:rsidP="00F47753">
      <w:pPr>
        <w:pStyle w:val="SingleTxtG"/>
        <w:rPr>
          <w:lang w:val="en-US"/>
        </w:rPr>
      </w:pPr>
      <w:r w:rsidRPr="00992A9B">
        <w:t>16.</w:t>
      </w:r>
      <w:r w:rsidRPr="00992A9B">
        <w:tab/>
        <w:t>In addition, Act No. 2008-011, the Mining Code Act, provides in title XI:</w:t>
      </w:r>
    </w:p>
    <w:p w14:paraId="6C08EBC8" w14:textId="2AA8E737" w:rsidR="00007FE3" w:rsidRDefault="006D23C5" w:rsidP="00E3357F">
      <w:pPr>
        <w:pStyle w:val="SingleTxtG"/>
        <w:ind w:left="1701"/>
      </w:pPr>
      <w:r>
        <w:t>“</w:t>
      </w:r>
      <w:r w:rsidR="000B5CDE" w:rsidRPr="00992A9B">
        <w:t xml:space="preserve">Article 130: The following offences are punishable by a prison sentence of from </w:t>
      </w:r>
      <w:r w:rsidR="00D67C16">
        <w:t>1</w:t>
      </w:r>
      <w:r w:rsidR="000B5CDE" w:rsidRPr="00992A9B">
        <w:t xml:space="preserve"> to 3 months and/or a daily fine of at least 500,000 to 1,000,000 ouguiyas:</w:t>
      </w:r>
    </w:p>
    <w:p w14:paraId="3D481ECB" w14:textId="21D463E4" w:rsidR="000B5CDE" w:rsidRPr="00992A9B" w:rsidRDefault="000B5CDE" w:rsidP="00E3357F">
      <w:pPr>
        <w:pStyle w:val="Bullet2G"/>
        <w:rPr>
          <w:lang w:val="en-US"/>
        </w:rPr>
      </w:pPr>
      <w:r w:rsidRPr="00992A9B">
        <w:t>Exploring or exploiting mineral substances (mining or quarrying) without holding an appropriate mining or quarrying permit</w:t>
      </w:r>
    </w:p>
    <w:p w14:paraId="12D23302" w14:textId="5B9C8411" w:rsidR="000B5CDE" w:rsidRPr="00992A9B" w:rsidRDefault="000B5CDE" w:rsidP="00E3357F">
      <w:pPr>
        <w:pStyle w:val="Bullet2G"/>
        <w:rPr>
          <w:lang w:val="en-US"/>
        </w:rPr>
      </w:pPr>
      <w:r w:rsidRPr="00992A9B">
        <w:t>Failing to declare, at the end of the period of validity of the permit, the definitive cessation of all work</w:t>
      </w:r>
    </w:p>
    <w:p w14:paraId="24FB7E5D" w14:textId="1E836DF3" w:rsidR="000B5CDE" w:rsidRPr="00992A9B" w:rsidRDefault="000B5CDE" w:rsidP="00E3357F">
      <w:pPr>
        <w:pStyle w:val="Bullet2G"/>
        <w:rPr>
          <w:lang w:val="en-US"/>
        </w:rPr>
      </w:pPr>
      <w:r w:rsidRPr="00992A9B">
        <w:t>Contravening the provisions of articles 62, 81 and 100 of the present law</w:t>
      </w:r>
    </w:p>
    <w:p w14:paraId="13F4B478" w14:textId="77777777" w:rsidR="00007FE3" w:rsidRDefault="000B5CDE" w:rsidP="000107AD">
      <w:pPr>
        <w:pStyle w:val="SingleTxtG"/>
        <w:ind w:left="1701"/>
      </w:pPr>
      <w:r w:rsidRPr="00992A9B">
        <w:t>Article 131: A prison sentence of from 6 months to 1 year and/or a daily fine of at least 5,000,000 ouguiyas will be imposed on anyone who contravenes the regulations concerning public safety and public health and the preservation of the environment and, in particular, who:</w:t>
      </w:r>
    </w:p>
    <w:p w14:paraId="23260BDC" w14:textId="77777777" w:rsidR="00007FE3" w:rsidRDefault="000B5CDE" w:rsidP="00E3357F">
      <w:pPr>
        <w:pStyle w:val="Bullet2G"/>
      </w:pPr>
      <w:r w:rsidRPr="00992A9B">
        <w:t>Conducts such work without complying with the provisions of article 63 (1) of the present law</w:t>
      </w:r>
    </w:p>
    <w:p w14:paraId="291819F1" w14:textId="77777777" w:rsidR="00007FE3" w:rsidRDefault="000B5CDE" w:rsidP="00E3357F">
      <w:pPr>
        <w:pStyle w:val="Bullet2G"/>
      </w:pPr>
      <w:r w:rsidRPr="00992A9B">
        <w:t xml:space="preserve">Prevents the </w:t>
      </w:r>
      <w:proofErr w:type="gramStart"/>
      <w:r w:rsidRPr="00992A9B">
        <w:t>carrying out</w:t>
      </w:r>
      <w:proofErr w:type="gramEnd"/>
      <w:r w:rsidRPr="00992A9B">
        <w:t xml:space="preserve"> of the measures prescribed in article 63 (2), 73 and 74 of the present law</w:t>
      </w:r>
    </w:p>
    <w:p w14:paraId="5770569C" w14:textId="05A1BE8F" w:rsidR="000B5CDE" w:rsidRPr="00992A9B" w:rsidRDefault="000B5CDE" w:rsidP="00E3357F">
      <w:pPr>
        <w:pStyle w:val="SingleTxtG"/>
        <w:ind w:left="1701"/>
        <w:rPr>
          <w:lang w:val="en-US"/>
        </w:rPr>
      </w:pPr>
      <w:r w:rsidRPr="00992A9B">
        <w:t>Article 132 : The perpetrator of an infringement of any provision of the present law other than those referred to in articles 130 and l3l above and, in particular, those envisaged in article 56, is liable to a daily fine of between 1,000,000 and 3,000,000 ouguiyas.</w:t>
      </w:r>
      <w:r w:rsidR="006D23C5">
        <w:t>”</w:t>
      </w:r>
    </w:p>
    <w:p w14:paraId="0BB77944" w14:textId="77777777" w:rsidR="000B5CDE" w:rsidRPr="00992A9B" w:rsidRDefault="000B5CDE" w:rsidP="00E3357F">
      <w:pPr>
        <w:pStyle w:val="H23G"/>
        <w:rPr>
          <w:lang w:val="en-US"/>
        </w:rPr>
      </w:pPr>
      <w:r w:rsidRPr="00992A9B">
        <w:tab/>
      </w:r>
      <w:r w:rsidRPr="00992A9B">
        <w:tab/>
        <w:t>Reply to the issues raised in paragraph 5 of the list of issues</w:t>
      </w:r>
    </w:p>
    <w:p w14:paraId="18B3C9F9" w14:textId="77777777" w:rsidR="000B5CDE" w:rsidRPr="00992A9B" w:rsidRDefault="000B5CDE" w:rsidP="00F47753">
      <w:pPr>
        <w:pStyle w:val="SingleTxtG"/>
        <w:rPr>
          <w:lang w:val="en-US"/>
        </w:rPr>
      </w:pPr>
      <w:r w:rsidRPr="00992A9B">
        <w:t>17.</w:t>
      </w:r>
      <w:r w:rsidRPr="00992A9B">
        <w:tab/>
        <w:t>Mauritania has adopted a participatory approach as part of its environmental protection programmes. This approach has enabled the environment to be effectively managed, protected and preserved. The results obtained have contributed significantly to the attainment of the Sustainable Development Goals. The key strengths of this approach are as follows:</w:t>
      </w:r>
    </w:p>
    <w:p w14:paraId="445805A3" w14:textId="5BA8739D" w:rsidR="000B5CDE" w:rsidRPr="00992A9B" w:rsidRDefault="000B5CDE" w:rsidP="00771154">
      <w:pPr>
        <w:pStyle w:val="Bullet1G"/>
        <w:rPr>
          <w:lang w:val="en-US"/>
        </w:rPr>
      </w:pPr>
      <w:r w:rsidRPr="00992A9B">
        <w:t>Mobilization and involvement of communities in the management and protection of natural resources</w:t>
      </w:r>
    </w:p>
    <w:p w14:paraId="7FDD102F" w14:textId="6868301D" w:rsidR="000B5CDE" w:rsidRPr="00992A9B" w:rsidRDefault="000B5CDE" w:rsidP="00771154">
      <w:pPr>
        <w:pStyle w:val="Bullet1G"/>
        <w:rPr>
          <w:lang w:val="en-US"/>
        </w:rPr>
      </w:pPr>
      <w:r w:rsidRPr="00992A9B">
        <w:t>Dynamism of civil society organizations and their commitment to sustainable development</w:t>
      </w:r>
    </w:p>
    <w:p w14:paraId="5EC2D056" w14:textId="000ABFD3" w:rsidR="000B5CDE" w:rsidRPr="00992A9B" w:rsidRDefault="000B5CDE" w:rsidP="00771154">
      <w:pPr>
        <w:pStyle w:val="Bullet1G"/>
        <w:rPr>
          <w:lang w:val="en-US"/>
        </w:rPr>
      </w:pPr>
      <w:r w:rsidRPr="00992A9B">
        <w:t>Existence of technical and human capital within communities and civil society organizations for environmental management and protection</w:t>
      </w:r>
    </w:p>
    <w:p w14:paraId="72BF576B" w14:textId="376DBBB9" w:rsidR="000B5CDE" w:rsidRPr="00992A9B" w:rsidRDefault="000B5CDE" w:rsidP="00771154">
      <w:pPr>
        <w:pStyle w:val="Bullet1G"/>
        <w:rPr>
          <w:lang w:val="en-US"/>
        </w:rPr>
      </w:pPr>
      <w:r w:rsidRPr="00992A9B">
        <w:t>Positive development and emergence of environmentally responsible collective behaviour</w:t>
      </w:r>
    </w:p>
    <w:p w14:paraId="70B78622" w14:textId="77777777" w:rsidR="00007FE3" w:rsidRDefault="00D206DA" w:rsidP="00D206DA">
      <w:pPr>
        <w:pStyle w:val="H1G"/>
      </w:pPr>
      <w:r>
        <w:tab/>
      </w:r>
      <w:r w:rsidR="000B5CDE" w:rsidRPr="00992A9B">
        <w:t>B.</w:t>
      </w:r>
      <w:r w:rsidR="000B5CDE" w:rsidRPr="00992A9B">
        <w:tab/>
        <w:t xml:space="preserve">Obligation to take steps to the maximum of available resources </w:t>
      </w:r>
      <w:r w:rsidR="00EF2A3A">
        <w:br/>
      </w:r>
      <w:r w:rsidR="000B5CDE" w:rsidRPr="00992A9B">
        <w:t>(art. 2 (1))</w:t>
      </w:r>
    </w:p>
    <w:p w14:paraId="0790A847" w14:textId="1CA7E98D" w:rsidR="000B5CDE" w:rsidRPr="00992A9B" w:rsidRDefault="000B5CDE" w:rsidP="00052D8D">
      <w:pPr>
        <w:pStyle w:val="H23G"/>
        <w:rPr>
          <w:lang w:val="en-US"/>
        </w:rPr>
      </w:pPr>
      <w:r w:rsidRPr="00992A9B">
        <w:tab/>
      </w:r>
      <w:r w:rsidRPr="00992A9B">
        <w:tab/>
        <w:t>Reply to the issues raised in paragraph 6 of the list of issues</w:t>
      </w:r>
    </w:p>
    <w:p w14:paraId="539460FE" w14:textId="45EAA44C" w:rsidR="000B5CDE" w:rsidRPr="00992A9B" w:rsidRDefault="000B5CDE" w:rsidP="00052D8D">
      <w:pPr>
        <w:pStyle w:val="H23G"/>
        <w:rPr>
          <w:lang w:val="en-US"/>
        </w:rPr>
      </w:pPr>
      <w:r w:rsidRPr="00992A9B">
        <w:tab/>
      </w:r>
      <w:r w:rsidRPr="00992A9B">
        <w:tab/>
        <w:t xml:space="preserve">Prevalence of poverty = 28.2% </w:t>
      </w:r>
      <w:r w:rsidR="00632DD5">
        <w:t>–</w:t>
      </w:r>
      <w:r w:rsidRPr="00992A9B">
        <w:t xml:space="preserve"> D10/D1 expenditure ratio = 7.704</w:t>
      </w:r>
    </w:p>
    <w:tbl>
      <w:tblPr>
        <w:tblW w:w="8487"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67"/>
        <w:gridCol w:w="567"/>
        <w:gridCol w:w="660"/>
        <w:gridCol w:w="616"/>
        <w:gridCol w:w="567"/>
        <w:gridCol w:w="682"/>
        <w:gridCol w:w="682"/>
        <w:gridCol w:w="682"/>
        <w:gridCol w:w="682"/>
        <w:gridCol w:w="682"/>
        <w:gridCol w:w="682"/>
      </w:tblGrid>
      <w:tr w:rsidR="00F47753" w:rsidRPr="00F47753" w14:paraId="7299D475" w14:textId="77777777" w:rsidTr="0032470F">
        <w:trPr>
          <w:tblHeader/>
        </w:trPr>
        <w:tc>
          <w:tcPr>
            <w:tcW w:w="1418" w:type="dxa"/>
            <w:tcBorders>
              <w:top w:val="single" w:sz="4" w:space="0" w:color="auto"/>
              <w:bottom w:val="single" w:sz="12" w:space="0" w:color="auto"/>
            </w:tcBorders>
            <w:shd w:val="clear" w:color="auto" w:fill="auto"/>
            <w:noWrap/>
            <w:vAlign w:val="bottom"/>
            <w:hideMark/>
          </w:tcPr>
          <w:p w14:paraId="7E59C8C3"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left"/>
              <w:rPr>
                <w:i/>
                <w:sz w:val="16"/>
              </w:rPr>
            </w:pPr>
            <w:r w:rsidRPr="00F47753">
              <w:rPr>
                <w:i/>
                <w:iCs/>
                <w:sz w:val="16"/>
              </w:rPr>
              <w:t>Billions of ouguiyas</w:t>
            </w:r>
          </w:p>
        </w:tc>
        <w:tc>
          <w:tcPr>
            <w:tcW w:w="567" w:type="dxa"/>
            <w:tcBorders>
              <w:top w:val="single" w:sz="4" w:space="0" w:color="auto"/>
              <w:bottom w:val="single" w:sz="12" w:space="0" w:color="auto"/>
            </w:tcBorders>
            <w:shd w:val="clear" w:color="auto" w:fill="auto"/>
            <w:vAlign w:val="bottom"/>
          </w:tcPr>
          <w:p w14:paraId="5577CE89" w14:textId="77777777" w:rsidR="000B5CDE" w:rsidRPr="00F47753" w:rsidRDefault="000B5CDE" w:rsidP="00A24EBF">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2013</w:t>
            </w:r>
          </w:p>
        </w:tc>
        <w:tc>
          <w:tcPr>
            <w:tcW w:w="567" w:type="dxa"/>
            <w:tcBorders>
              <w:top w:val="single" w:sz="4" w:space="0" w:color="auto"/>
              <w:bottom w:val="single" w:sz="12" w:space="0" w:color="auto"/>
            </w:tcBorders>
            <w:shd w:val="clear" w:color="auto" w:fill="auto"/>
            <w:vAlign w:val="bottom"/>
          </w:tcPr>
          <w:p w14:paraId="703B349C"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2014</w:t>
            </w:r>
          </w:p>
        </w:tc>
        <w:tc>
          <w:tcPr>
            <w:tcW w:w="660" w:type="dxa"/>
            <w:tcBorders>
              <w:top w:val="single" w:sz="4" w:space="0" w:color="auto"/>
              <w:bottom w:val="single" w:sz="12" w:space="0" w:color="auto"/>
            </w:tcBorders>
            <w:shd w:val="clear" w:color="auto" w:fill="auto"/>
            <w:vAlign w:val="bottom"/>
          </w:tcPr>
          <w:p w14:paraId="2A5E3285"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2015</w:t>
            </w:r>
          </w:p>
        </w:tc>
        <w:tc>
          <w:tcPr>
            <w:tcW w:w="616" w:type="dxa"/>
            <w:tcBorders>
              <w:top w:val="single" w:sz="4" w:space="0" w:color="auto"/>
              <w:bottom w:val="single" w:sz="12" w:space="0" w:color="auto"/>
            </w:tcBorders>
            <w:shd w:val="clear" w:color="auto" w:fill="auto"/>
            <w:vAlign w:val="bottom"/>
          </w:tcPr>
          <w:p w14:paraId="7AC4D6E1"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2016</w:t>
            </w:r>
          </w:p>
        </w:tc>
        <w:tc>
          <w:tcPr>
            <w:tcW w:w="567" w:type="dxa"/>
            <w:tcBorders>
              <w:top w:val="single" w:sz="4" w:space="0" w:color="auto"/>
              <w:bottom w:val="single" w:sz="12" w:space="0" w:color="auto"/>
            </w:tcBorders>
            <w:shd w:val="clear" w:color="auto" w:fill="auto"/>
            <w:vAlign w:val="bottom"/>
          </w:tcPr>
          <w:p w14:paraId="6C746946"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2017</w:t>
            </w:r>
          </w:p>
        </w:tc>
        <w:tc>
          <w:tcPr>
            <w:tcW w:w="682" w:type="dxa"/>
            <w:tcBorders>
              <w:top w:val="single" w:sz="4" w:space="0" w:color="auto"/>
              <w:bottom w:val="single" w:sz="12" w:space="0" w:color="auto"/>
            </w:tcBorders>
            <w:shd w:val="clear" w:color="auto" w:fill="auto"/>
            <w:vAlign w:val="bottom"/>
          </w:tcPr>
          <w:p w14:paraId="48F7A63A"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2018</w:t>
            </w:r>
          </w:p>
        </w:tc>
        <w:tc>
          <w:tcPr>
            <w:tcW w:w="682" w:type="dxa"/>
            <w:tcBorders>
              <w:top w:val="single" w:sz="4" w:space="0" w:color="auto"/>
              <w:bottom w:val="single" w:sz="12" w:space="0" w:color="auto"/>
            </w:tcBorders>
            <w:shd w:val="clear" w:color="auto" w:fill="auto"/>
            <w:vAlign w:val="bottom"/>
          </w:tcPr>
          <w:p w14:paraId="5FB0EC64"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2019</w:t>
            </w:r>
          </w:p>
        </w:tc>
        <w:tc>
          <w:tcPr>
            <w:tcW w:w="682" w:type="dxa"/>
            <w:tcBorders>
              <w:top w:val="single" w:sz="4" w:space="0" w:color="auto"/>
              <w:bottom w:val="single" w:sz="12" w:space="0" w:color="auto"/>
            </w:tcBorders>
            <w:shd w:val="clear" w:color="auto" w:fill="auto"/>
            <w:vAlign w:val="bottom"/>
          </w:tcPr>
          <w:p w14:paraId="216992B2"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2020</w:t>
            </w:r>
          </w:p>
        </w:tc>
        <w:tc>
          <w:tcPr>
            <w:tcW w:w="682" w:type="dxa"/>
            <w:tcBorders>
              <w:top w:val="single" w:sz="4" w:space="0" w:color="auto"/>
              <w:bottom w:val="single" w:sz="12" w:space="0" w:color="auto"/>
            </w:tcBorders>
            <w:shd w:val="clear" w:color="auto" w:fill="auto"/>
            <w:vAlign w:val="bottom"/>
          </w:tcPr>
          <w:p w14:paraId="6A2D6C63"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2021</w:t>
            </w:r>
          </w:p>
        </w:tc>
        <w:tc>
          <w:tcPr>
            <w:tcW w:w="682" w:type="dxa"/>
            <w:tcBorders>
              <w:top w:val="single" w:sz="4" w:space="0" w:color="auto"/>
              <w:bottom w:val="single" w:sz="12" w:space="0" w:color="auto"/>
            </w:tcBorders>
            <w:shd w:val="clear" w:color="auto" w:fill="auto"/>
            <w:vAlign w:val="bottom"/>
          </w:tcPr>
          <w:p w14:paraId="6BA3F4DE"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2022</w:t>
            </w:r>
          </w:p>
        </w:tc>
        <w:tc>
          <w:tcPr>
            <w:tcW w:w="682" w:type="dxa"/>
            <w:tcBorders>
              <w:top w:val="single" w:sz="4" w:space="0" w:color="auto"/>
              <w:bottom w:val="single" w:sz="12" w:space="0" w:color="auto"/>
            </w:tcBorders>
            <w:shd w:val="clear" w:color="auto" w:fill="auto"/>
            <w:vAlign w:val="bottom"/>
          </w:tcPr>
          <w:p w14:paraId="0BF5DFDD"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2023 (up to Oct.)</w:t>
            </w:r>
          </w:p>
        </w:tc>
      </w:tr>
      <w:tr w:rsidR="00F47753" w:rsidRPr="00A24EBF" w14:paraId="175D1168" w14:textId="77777777" w:rsidTr="0032470F">
        <w:tc>
          <w:tcPr>
            <w:tcW w:w="1418" w:type="dxa"/>
            <w:tcBorders>
              <w:top w:val="single" w:sz="12" w:space="0" w:color="auto"/>
              <w:bottom w:val="nil"/>
            </w:tcBorders>
            <w:shd w:val="clear" w:color="auto" w:fill="auto"/>
            <w:noWrap/>
            <w:hideMark/>
          </w:tcPr>
          <w:p w14:paraId="12788F08" w14:textId="77777777" w:rsidR="000B5CDE" w:rsidRPr="00A24EBF" w:rsidRDefault="000B5CDE" w:rsidP="00052D8D">
            <w:pPr>
              <w:pStyle w:val="SingleTxtG"/>
              <w:tabs>
                <w:tab w:val="clear" w:pos="1701"/>
                <w:tab w:val="clear" w:pos="2268"/>
              </w:tabs>
              <w:suppressAutoHyphens w:val="0"/>
              <w:spacing w:before="80" w:after="80" w:line="220" w:lineRule="exact"/>
              <w:ind w:left="0" w:right="113"/>
              <w:jc w:val="right"/>
              <w:rPr>
                <w:b/>
                <w:sz w:val="18"/>
                <w:szCs w:val="16"/>
                <w:lang w:val="en-US"/>
              </w:rPr>
            </w:pPr>
            <w:r w:rsidRPr="00A24EBF">
              <w:rPr>
                <w:b/>
                <w:sz w:val="18"/>
              </w:rPr>
              <w:t xml:space="preserve">Total revenues and grants </w:t>
            </w:r>
            <w:r w:rsidRPr="00A24EBF">
              <w:rPr>
                <w:b/>
                <w:sz w:val="18"/>
              </w:rPr>
              <w:lastRenderedPageBreak/>
              <w:t>(including oil revenues)</w:t>
            </w:r>
          </w:p>
        </w:tc>
        <w:tc>
          <w:tcPr>
            <w:tcW w:w="567" w:type="dxa"/>
            <w:tcBorders>
              <w:top w:val="single" w:sz="12" w:space="0" w:color="auto"/>
              <w:bottom w:val="nil"/>
            </w:tcBorders>
            <w:shd w:val="clear" w:color="auto" w:fill="auto"/>
            <w:vAlign w:val="bottom"/>
          </w:tcPr>
          <w:p w14:paraId="3613E991" w14:textId="77777777" w:rsidR="000B5CDE" w:rsidRPr="00A24EBF" w:rsidRDefault="000B5CDE" w:rsidP="00052D8D">
            <w:pPr>
              <w:pStyle w:val="SingleTxtG"/>
              <w:tabs>
                <w:tab w:val="clear" w:pos="1701"/>
                <w:tab w:val="clear" w:pos="2268"/>
              </w:tabs>
              <w:suppressAutoHyphens w:val="0"/>
              <w:spacing w:before="80" w:after="80" w:line="220" w:lineRule="exact"/>
              <w:ind w:left="0" w:right="113"/>
              <w:jc w:val="right"/>
              <w:rPr>
                <w:b/>
                <w:sz w:val="18"/>
              </w:rPr>
            </w:pPr>
            <w:r w:rsidRPr="00A24EBF">
              <w:rPr>
                <w:b/>
                <w:sz w:val="18"/>
              </w:rPr>
              <w:lastRenderedPageBreak/>
              <w:t>42.3</w:t>
            </w:r>
          </w:p>
        </w:tc>
        <w:tc>
          <w:tcPr>
            <w:tcW w:w="567" w:type="dxa"/>
            <w:tcBorders>
              <w:top w:val="single" w:sz="12" w:space="0" w:color="auto"/>
              <w:bottom w:val="nil"/>
            </w:tcBorders>
            <w:shd w:val="clear" w:color="auto" w:fill="auto"/>
            <w:vAlign w:val="bottom"/>
          </w:tcPr>
          <w:p w14:paraId="34F43A57" w14:textId="77777777" w:rsidR="000B5CDE" w:rsidRPr="00A24EBF" w:rsidRDefault="000B5CDE" w:rsidP="00052D8D">
            <w:pPr>
              <w:pStyle w:val="SingleTxtG"/>
              <w:tabs>
                <w:tab w:val="clear" w:pos="1701"/>
                <w:tab w:val="clear" w:pos="2268"/>
              </w:tabs>
              <w:suppressAutoHyphens w:val="0"/>
              <w:spacing w:before="80" w:after="80" w:line="220" w:lineRule="exact"/>
              <w:ind w:left="0" w:right="113"/>
              <w:jc w:val="right"/>
              <w:rPr>
                <w:b/>
                <w:sz w:val="18"/>
              </w:rPr>
            </w:pPr>
            <w:r w:rsidRPr="00A24EBF">
              <w:rPr>
                <w:b/>
                <w:sz w:val="18"/>
              </w:rPr>
              <w:t>42.8</w:t>
            </w:r>
          </w:p>
        </w:tc>
        <w:tc>
          <w:tcPr>
            <w:tcW w:w="660" w:type="dxa"/>
            <w:tcBorders>
              <w:top w:val="single" w:sz="12" w:space="0" w:color="auto"/>
              <w:bottom w:val="nil"/>
            </w:tcBorders>
            <w:shd w:val="clear" w:color="auto" w:fill="auto"/>
            <w:vAlign w:val="bottom"/>
          </w:tcPr>
          <w:p w14:paraId="186EED35" w14:textId="77777777" w:rsidR="000B5CDE" w:rsidRPr="00A24EBF" w:rsidRDefault="000B5CDE" w:rsidP="0032470F">
            <w:pPr>
              <w:pStyle w:val="SingleTxtG"/>
              <w:tabs>
                <w:tab w:val="clear" w:pos="1701"/>
                <w:tab w:val="clear" w:pos="2268"/>
              </w:tabs>
              <w:suppressAutoHyphens w:val="0"/>
              <w:spacing w:before="80" w:after="80" w:line="220" w:lineRule="exact"/>
              <w:ind w:left="0" w:right="113"/>
              <w:jc w:val="right"/>
              <w:rPr>
                <w:b/>
                <w:sz w:val="18"/>
              </w:rPr>
            </w:pPr>
            <w:r w:rsidRPr="00A24EBF">
              <w:rPr>
                <w:b/>
                <w:sz w:val="18"/>
              </w:rPr>
              <w:t>45.6</w:t>
            </w:r>
          </w:p>
        </w:tc>
        <w:tc>
          <w:tcPr>
            <w:tcW w:w="616" w:type="dxa"/>
            <w:tcBorders>
              <w:top w:val="single" w:sz="12" w:space="0" w:color="auto"/>
              <w:bottom w:val="nil"/>
            </w:tcBorders>
            <w:shd w:val="clear" w:color="auto" w:fill="auto"/>
            <w:vAlign w:val="bottom"/>
          </w:tcPr>
          <w:p w14:paraId="728EB64F" w14:textId="77777777" w:rsidR="000B5CDE" w:rsidRPr="00A24EBF" w:rsidRDefault="000B5CDE" w:rsidP="00052D8D">
            <w:pPr>
              <w:pStyle w:val="SingleTxtG"/>
              <w:tabs>
                <w:tab w:val="clear" w:pos="1701"/>
                <w:tab w:val="clear" w:pos="2268"/>
              </w:tabs>
              <w:suppressAutoHyphens w:val="0"/>
              <w:spacing w:before="80" w:after="80" w:line="220" w:lineRule="exact"/>
              <w:ind w:left="0" w:right="113"/>
              <w:jc w:val="right"/>
              <w:rPr>
                <w:b/>
                <w:sz w:val="18"/>
              </w:rPr>
            </w:pPr>
            <w:r w:rsidRPr="00A24EBF">
              <w:rPr>
                <w:b/>
                <w:sz w:val="18"/>
              </w:rPr>
              <w:t>46.8</w:t>
            </w:r>
          </w:p>
        </w:tc>
        <w:tc>
          <w:tcPr>
            <w:tcW w:w="567" w:type="dxa"/>
            <w:tcBorders>
              <w:top w:val="single" w:sz="12" w:space="0" w:color="auto"/>
              <w:bottom w:val="nil"/>
            </w:tcBorders>
            <w:shd w:val="clear" w:color="auto" w:fill="auto"/>
            <w:vAlign w:val="bottom"/>
          </w:tcPr>
          <w:p w14:paraId="67F4ED68" w14:textId="77777777" w:rsidR="000B5CDE" w:rsidRPr="00A24EBF" w:rsidRDefault="000B5CDE" w:rsidP="00052D8D">
            <w:pPr>
              <w:pStyle w:val="SingleTxtG"/>
              <w:tabs>
                <w:tab w:val="clear" w:pos="1701"/>
                <w:tab w:val="clear" w:pos="2268"/>
              </w:tabs>
              <w:suppressAutoHyphens w:val="0"/>
              <w:spacing w:before="80" w:after="80" w:line="220" w:lineRule="exact"/>
              <w:ind w:left="0" w:right="113"/>
              <w:jc w:val="right"/>
              <w:rPr>
                <w:b/>
                <w:sz w:val="18"/>
              </w:rPr>
            </w:pPr>
            <w:r w:rsidRPr="00A24EBF">
              <w:rPr>
                <w:b/>
                <w:sz w:val="18"/>
              </w:rPr>
              <w:t>49.3</w:t>
            </w:r>
          </w:p>
        </w:tc>
        <w:tc>
          <w:tcPr>
            <w:tcW w:w="682" w:type="dxa"/>
            <w:tcBorders>
              <w:top w:val="single" w:sz="12" w:space="0" w:color="auto"/>
              <w:bottom w:val="nil"/>
            </w:tcBorders>
            <w:shd w:val="clear" w:color="auto" w:fill="auto"/>
            <w:vAlign w:val="bottom"/>
          </w:tcPr>
          <w:p w14:paraId="3A44A099" w14:textId="77777777" w:rsidR="000B5CDE" w:rsidRPr="00A24EBF" w:rsidRDefault="000B5CDE" w:rsidP="00052D8D">
            <w:pPr>
              <w:pStyle w:val="SingleTxtG"/>
              <w:tabs>
                <w:tab w:val="clear" w:pos="1701"/>
                <w:tab w:val="clear" w:pos="2268"/>
              </w:tabs>
              <w:suppressAutoHyphens w:val="0"/>
              <w:spacing w:before="80" w:after="80" w:line="220" w:lineRule="exact"/>
              <w:ind w:left="0" w:right="113"/>
              <w:jc w:val="right"/>
              <w:rPr>
                <w:b/>
                <w:sz w:val="18"/>
              </w:rPr>
            </w:pPr>
            <w:r w:rsidRPr="00A24EBF">
              <w:rPr>
                <w:b/>
                <w:sz w:val="18"/>
              </w:rPr>
              <w:t>53.7</w:t>
            </w:r>
          </w:p>
        </w:tc>
        <w:tc>
          <w:tcPr>
            <w:tcW w:w="682" w:type="dxa"/>
            <w:tcBorders>
              <w:top w:val="single" w:sz="12" w:space="0" w:color="auto"/>
              <w:bottom w:val="nil"/>
            </w:tcBorders>
            <w:shd w:val="clear" w:color="auto" w:fill="auto"/>
            <w:vAlign w:val="bottom"/>
          </w:tcPr>
          <w:p w14:paraId="75D1E40C" w14:textId="77777777" w:rsidR="000B5CDE" w:rsidRPr="00A24EBF" w:rsidRDefault="000B5CDE" w:rsidP="00052D8D">
            <w:pPr>
              <w:pStyle w:val="SingleTxtG"/>
              <w:tabs>
                <w:tab w:val="clear" w:pos="1701"/>
                <w:tab w:val="clear" w:pos="2268"/>
              </w:tabs>
              <w:suppressAutoHyphens w:val="0"/>
              <w:spacing w:before="80" w:after="80" w:line="220" w:lineRule="exact"/>
              <w:ind w:left="0" w:right="113"/>
              <w:jc w:val="right"/>
              <w:rPr>
                <w:b/>
                <w:sz w:val="18"/>
              </w:rPr>
            </w:pPr>
            <w:r w:rsidRPr="00A24EBF">
              <w:rPr>
                <w:b/>
                <w:sz w:val="18"/>
              </w:rPr>
              <w:t>57.6</w:t>
            </w:r>
          </w:p>
        </w:tc>
        <w:tc>
          <w:tcPr>
            <w:tcW w:w="682" w:type="dxa"/>
            <w:tcBorders>
              <w:top w:val="single" w:sz="12" w:space="0" w:color="auto"/>
              <w:bottom w:val="nil"/>
            </w:tcBorders>
            <w:shd w:val="clear" w:color="auto" w:fill="auto"/>
            <w:vAlign w:val="bottom"/>
          </w:tcPr>
          <w:p w14:paraId="102691BB" w14:textId="77777777" w:rsidR="000B5CDE" w:rsidRPr="00A24EBF" w:rsidRDefault="000B5CDE" w:rsidP="00052D8D">
            <w:pPr>
              <w:pStyle w:val="SingleTxtG"/>
              <w:tabs>
                <w:tab w:val="clear" w:pos="1701"/>
                <w:tab w:val="clear" w:pos="2268"/>
              </w:tabs>
              <w:suppressAutoHyphens w:val="0"/>
              <w:spacing w:before="80" w:after="80" w:line="220" w:lineRule="exact"/>
              <w:ind w:left="0" w:right="113"/>
              <w:jc w:val="right"/>
              <w:rPr>
                <w:b/>
                <w:sz w:val="18"/>
              </w:rPr>
            </w:pPr>
            <w:r w:rsidRPr="00A24EBF">
              <w:rPr>
                <w:b/>
                <w:sz w:val="18"/>
              </w:rPr>
              <w:t>63.8</w:t>
            </w:r>
          </w:p>
        </w:tc>
        <w:tc>
          <w:tcPr>
            <w:tcW w:w="682" w:type="dxa"/>
            <w:tcBorders>
              <w:top w:val="single" w:sz="12" w:space="0" w:color="auto"/>
              <w:bottom w:val="nil"/>
            </w:tcBorders>
            <w:shd w:val="clear" w:color="auto" w:fill="auto"/>
            <w:vAlign w:val="bottom"/>
          </w:tcPr>
          <w:p w14:paraId="32B15FAB" w14:textId="77777777" w:rsidR="000B5CDE" w:rsidRPr="00A24EBF" w:rsidRDefault="000B5CDE" w:rsidP="00052D8D">
            <w:pPr>
              <w:pStyle w:val="SingleTxtG"/>
              <w:tabs>
                <w:tab w:val="clear" w:pos="1701"/>
                <w:tab w:val="clear" w:pos="2268"/>
              </w:tabs>
              <w:suppressAutoHyphens w:val="0"/>
              <w:spacing w:before="80" w:after="80" w:line="220" w:lineRule="exact"/>
              <w:ind w:left="0" w:right="113"/>
              <w:jc w:val="right"/>
              <w:rPr>
                <w:b/>
                <w:sz w:val="18"/>
              </w:rPr>
            </w:pPr>
            <w:r w:rsidRPr="00A24EBF">
              <w:rPr>
                <w:b/>
                <w:sz w:val="18"/>
              </w:rPr>
              <w:t>76.4</w:t>
            </w:r>
          </w:p>
        </w:tc>
        <w:tc>
          <w:tcPr>
            <w:tcW w:w="682" w:type="dxa"/>
            <w:tcBorders>
              <w:top w:val="single" w:sz="12" w:space="0" w:color="auto"/>
              <w:bottom w:val="nil"/>
            </w:tcBorders>
            <w:shd w:val="clear" w:color="auto" w:fill="auto"/>
            <w:vAlign w:val="bottom"/>
          </w:tcPr>
          <w:p w14:paraId="59AFE774" w14:textId="77777777" w:rsidR="000B5CDE" w:rsidRPr="00A24EBF" w:rsidRDefault="000B5CDE" w:rsidP="00052D8D">
            <w:pPr>
              <w:pStyle w:val="SingleTxtG"/>
              <w:tabs>
                <w:tab w:val="clear" w:pos="1701"/>
                <w:tab w:val="clear" w:pos="2268"/>
              </w:tabs>
              <w:suppressAutoHyphens w:val="0"/>
              <w:spacing w:before="80" w:after="80" w:line="220" w:lineRule="exact"/>
              <w:ind w:left="0" w:right="113"/>
              <w:jc w:val="right"/>
              <w:rPr>
                <w:b/>
                <w:sz w:val="18"/>
              </w:rPr>
            </w:pPr>
            <w:r w:rsidRPr="00A24EBF">
              <w:rPr>
                <w:b/>
                <w:sz w:val="18"/>
              </w:rPr>
              <w:t>87.7</w:t>
            </w:r>
          </w:p>
        </w:tc>
        <w:tc>
          <w:tcPr>
            <w:tcW w:w="682" w:type="dxa"/>
            <w:tcBorders>
              <w:top w:val="single" w:sz="12" w:space="0" w:color="auto"/>
              <w:bottom w:val="nil"/>
            </w:tcBorders>
            <w:shd w:val="clear" w:color="auto" w:fill="auto"/>
            <w:vAlign w:val="bottom"/>
          </w:tcPr>
          <w:p w14:paraId="4C4F4028" w14:textId="77777777" w:rsidR="000B5CDE" w:rsidRPr="00A24EBF" w:rsidRDefault="000B5CDE" w:rsidP="00052D8D">
            <w:pPr>
              <w:pStyle w:val="SingleTxtG"/>
              <w:tabs>
                <w:tab w:val="clear" w:pos="1701"/>
                <w:tab w:val="clear" w:pos="2268"/>
              </w:tabs>
              <w:suppressAutoHyphens w:val="0"/>
              <w:spacing w:before="80" w:after="80" w:line="220" w:lineRule="exact"/>
              <w:ind w:left="0" w:right="113"/>
              <w:jc w:val="right"/>
              <w:rPr>
                <w:b/>
                <w:sz w:val="18"/>
              </w:rPr>
            </w:pPr>
            <w:r w:rsidRPr="00A24EBF">
              <w:rPr>
                <w:b/>
                <w:sz w:val="18"/>
              </w:rPr>
              <w:t>64.6</w:t>
            </w:r>
          </w:p>
        </w:tc>
      </w:tr>
      <w:tr w:rsidR="00052D8D" w:rsidRPr="00F47753" w14:paraId="34650BA5" w14:textId="77777777" w:rsidTr="0032470F">
        <w:tc>
          <w:tcPr>
            <w:tcW w:w="1418" w:type="dxa"/>
            <w:tcBorders>
              <w:top w:val="nil"/>
              <w:bottom w:val="nil"/>
            </w:tcBorders>
            <w:shd w:val="clear" w:color="auto" w:fill="auto"/>
            <w:noWrap/>
            <w:hideMark/>
          </w:tcPr>
          <w:p w14:paraId="68717235"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left"/>
              <w:rPr>
                <w:sz w:val="18"/>
                <w:szCs w:val="16"/>
              </w:rPr>
            </w:pPr>
            <w:r w:rsidRPr="00F47753">
              <w:rPr>
                <w:sz w:val="18"/>
              </w:rPr>
              <w:t>Tax revenues (excluding oil)</w:t>
            </w:r>
          </w:p>
        </w:tc>
        <w:tc>
          <w:tcPr>
            <w:tcW w:w="567" w:type="dxa"/>
            <w:tcBorders>
              <w:top w:val="nil"/>
              <w:bottom w:val="nil"/>
            </w:tcBorders>
            <w:shd w:val="clear" w:color="auto" w:fill="auto"/>
            <w:vAlign w:val="bottom"/>
          </w:tcPr>
          <w:p w14:paraId="63375AA1"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26.9</w:t>
            </w:r>
          </w:p>
        </w:tc>
        <w:tc>
          <w:tcPr>
            <w:tcW w:w="567" w:type="dxa"/>
            <w:tcBorders>
              <w:top w:val="nil"/>
              <w:bottom w:val="nil"/>
            </w:tcBorders>
            <w:shd w:val="clear" w:color="auto" w:fill="auto"/>
            <w:vAlign w:val="bottom"/>
          </w:tcPr>
          <w:p w14:paraId="5D9CCA99"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28.5</w:t>
            </w:r>
          </w:p>
        </w:tc>
        <w:tc>
          <w:tcPr>
            <w:tcW w:w="660" w:type="dxa"/>
            <w:tcBorders>
              <w:top w:val="nil"/>
              <w:bottom w:val="nil"/>
            </w:tcBorders>
            <w:shd w:val="clear" w:color="auto" w:fill="auto"/>
            <w:vAlign w:val="bottom"/>
          </w:tcPr>
          <w:p w14:paraId="63152FF0"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26.7</w:t>
            </w:r>
          </w:p>
        </w:tc>
        <w:tc>
          <w:tcPr>
            <w:tcW w:w="616" w:type="dxa"/>
            <w:tcBorders>
              <w:top w:val="nil"/>
              <w:bottom w:val="nil"/>
            </w:tcBorders>
            <w:shd w:val="clear" w:color="auto" w:fill="auto"/>
            <w:vAlign w:val="bottom"/>
          </w:tcPr>
          <w:p w14:paraId="3EDCFAA8"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28.8</w:t>
            </w:r>
          </w:p>
        </w:tc>
        <w:tc>
          <w:tcPr>
            <w:tcW w:w="567" w:type="dxa"/>
            <w:tcBorders>
              <w:top w:val="nil"/>
              <w:bottom w:val="nil"/>
            </w:tcBorders>
            <w:shd w:val="clear" w:color="auto" w:fill="auto"/>
            <w:vAlign w:val="bottom"/>
          </w:tcPr>
          <w:p w14:paraId="3E88CB29"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32.3</w:t>
            </w:r>
          </w:p>
        </w:tc>
        <w:tc>
          <w:tcPr>
            <w:tcW w:w="682" w:type="dxa"/>
            <w:tcBorders>
              <w:top w:val="nil"/>
              <w:bottom w:val="nil"/>
            </w:tcBorders>
            <w:shd w:val="clear" w:color="auto" w:fill="auto"/>
            <w:vAlign w:val="bottom"/>
          </w:tcPr>
          <w:p w14:paraId="20E6AC5A"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36.2</w:t>
            </w:r>
          </w:p>
        </w:tc>
        <w:tc>
          <w:tcPr>
            <w:tcW w:w="682" w:type="dxa"/>
            <w:tcBorders>
              <w:top w:val="nil"/>
              <w:bottom w:val="nil"/>
            </w:tcBorders>
            <w:shd w:val="clear" w:color="auto" w:fill="auto"/>
            <w:vAlign w:val="bottom"/>
          </w:tcPr>
          <w:p w14:paraId="4C6EC4F9"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37.3</w:t>
            </w:r>
          </w:p>
        </w:tc>
        <w:tc>
          <w:tcPr>
            <w:tcW w:w="682" w:type="dxa"/>
            <w:tcBorders>
              <w:top w:val="nil"/>
              <w:bottom w:val="nil"/>
            </w:tcBorders>
            <w:shd w:val="clear" w:color="auto" w:fill="auto"/>
            <w:vAlign w:val="bottom"/>
          </w:tcPr>
          <w:p w14:paraId="50875AD9"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36.8</w:t>
            </w:r>
          </w:p>
        </w:tc>
        <w:tc>
          <w:tcPr>
            <w:tcW w:w="682" w:type="dxa"/>
            <w:tcBorders>
              <w:top w:val="nil"/>
              <w:bottom w:val="nil"/>
            </w:tcBorders>
            <w:shd w:val="clear" w:color="auto" w:fill="auto"/>
            <w:vAlign w:val="bottom"/>
          </w:tcPr>
          <w:p w14:paraId="73B5213A"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44.2</w:t>
            </w:r>
          </w:p>
        </w:tc>
        <w:tc>
          <w:tcPr>
            <w:tcW w:w="682" w:type="dxa"/>
            <w:tcBorders>
              <w:top w:val="nil"/>
              <w:bottom w:val="nil"/>
            </w:tcBorders>
            <w:shd w:val="clear" w:color="auto" w:fill="auto"/>
            <w:vAlign w:val="bottom"/>
          </w:tcPr>
          <w:p w14:paraId="06C8AB94"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47.5</w:t>
            </w:r>
          </w:p>
        </w:tc>
        <w:tc>
          <w:tcPr>
            <w:tcW w:w="682" w:type="dxa"/>
            <w:tcBorders>
              <w:top w:val="nil"/>
              <w:bottom w:val="nil"/>
            </w:tcBorders>
            <w:shd w:val="clear" w:color="auto" w:fill="auto"/>
            <w:vAlign w:val="bottom"/>
          </w:tcPr>
          <w:p w14:paraId="5B6B09D5"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40.0</w:t>
            </w:r>
          </w:p>
        </w:tc>
      </w:tr>
      <w:tr w:rsidR="00052D8D" w:rsidRPr="00F47753" w14:paraId="0DD286D4" w14:textId="77777777" w:rsidTr="0032470F">
        <w:tc>
          <w:tcPr>
            <w:tcW w:w="1418" w:type="dxa"/>
            <w:tcBorders>
              <w:top w:val="nil"/>
            </w:tcBorders>
            <w:shd w:val="clear" w:color="auto" w:fill="auto"/>
            <w:noWrap/>
            <w:hideMark/>
          </w:tcPr>
          <w:p w14:paraId="237C758F"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left"/>
              <w:rPr>
                <w:sz w:val="18"/>
                <w:szCs w:val="16"/>
                <w:lang w:val="en-US"/>
              </w:rPr>
            </w:pPr>
            <w:r w:rsidRPr="00F47753">
              <w:rPr>
                <w:sz w:val="18"/>
              </w:rPr>
              <w:t xml:space="preserve">Share of tax revenues (excluding oil) </w:t>
            </w:r>
          </w:p>
        </w:tc>
        <w:tc>
          <w:tcPr>
            <w:tcW w:w="567" w:type="dxa"/>
            <w:tcBorders>
              <w:top w:val="nil"/>
            </w:tcBorders>
            <w:shd w:val="clear" w:color="auto" w:fill="auto"/>
            <w:vAlign w:val="bottom"/>
          </w:tcPr>
          <w:p w14:paraId="78B6C6C3"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64%</w:t>
            </w:r>
          </w:p>
        </w:tc>
        <w:tc>
          <w:tcPr>
            <w:tcW w:w="567" w:type="dxa"/>
            <w:tcBorders>
              <w:top w:val="nil"/>
            </w:tcBorders>
            <w:shd w:val="clear" w:color="auto" w:fill="auto"/>
            <w:vAlign w:val="bottom"/>
          </w:tcPr>
          <w:p w14:paraId="16F4228D"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67%</w:t>
            </w:r>
          </w:p>
        </w:tc>
        <w:tc>
          <w:tcPr>
            <w:tcW w:w="660" w:type="dxa"/>
            <w:tcBorders>
              <w:top w:val="nil"/>
            </w:tcBorders>
            <w:shd w:val="clear" w:color="auto" w:fill="auto"/>
            <w:vAlign w:val="bottom"/>
          </w:tcPr>
          <w:p w14:paraId="2EDE2A81"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59%</w:t>
            </w:r>
          </w:p>
        </w:tc>
        <w:tc>
          <w:tcPr>
            <w:tcW w:w="616" w:type="dxa"/>
            <w:tcBorders>
              <w:top w:val="nil"/>
            </w:tcBorders>
            <w:shd w:val="clear" w:color="auto" w:fill="auto"/>
            <w:vAlign w:val="bottom"/>
          </w:tcPr>
          <w:p w14:paraId="1C1161F2"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62%</w:t>
            </w:r>
          </w:p>
        </w:tc>
        <w:tc>
          <w:tcPr>
            <w:tcW w:w="567" w:type="dxa"/>
            <w:tcBorders>
              <w:top w:val="nil"/>
            </w:tcBorders>
            <w:shd w:val="clear" w:color="auto" w:fill="auto"/>
            <w:vAlign w:val="bottom"/>
          </w:tcPr>
          <w:p w14:paraId="61E7348A"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65%</w:t>
            </w:r>
          </w:p>
        </w:tc>
        <w:tc>
          <w:tcPr>
            <w:tcW w:w="682" w:type="dxa"/>
            <w:tcBorders>
              <w:top w:val="nil"/>
            </w:tcBorders>
            <w:shd w:val="clear" w:color="auto" w:fill="auto"/>
            <w:vAlign w:val="bottom"/>
          </w:tcPr>
          <w:p w14:paraId="7DD771BD"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67%</w:t>
            </w:r>
          </w:p>
        </w:tc>
        <w:tc>
          <w:tcPr>
            <w:tcW w:w="682" w:type="dxa"/>
            <w:tcBorders>
              <w:top w:val="nil"/>
            </w:tcBorders>
            <w:shd w:val="clear" w:color="auto" w:fill="auto"/>
            <w:vAlign w:val="bottom"/>
          </w:tcPr>
          <w:p w14:paraId="4D33572C"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65%</w:t>
            </w:r>
          </w:p>
        </w:tc>
        <w:tc>
          <w:tcPr>
            <w:tcW w:w="682" w:type="dxa"/>
            <w:tcBorders>
              <w:top w:val="nil"/>
            </w:tcBorders>
            <w:shd w:val="clear" w:color="auto" w:fill="auto"/>
            <w:vAlign w:val="bottom"/>
          </w:tcPr>
          <w:p w14:paraId="45A40209"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58%</w:t>
            </w:r>
          </w:p>
        </w:tc>
        <w:tc>
          <w:tcPr>
            <w:tcW w:w="682" w:type="dxa"/>
            <w:tcBorders>
              <w:top w:val="nil"/>
            </w:tcBorders>
            <w:shd w:val="clear" w:color="auto" w:fill="auto"/>
            <w:vAlign w:val="bottom"/>
          </w:tcPr>
          <w:p w14:paraId="3FEEDEF3"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58%</w:t>
            </w:r>
          </w:p>
        </w:tc>
        <w:tc>
          <w:tcPr>
            <w:tcW w:w="682" w:type="dxa"/>
            <w:tcBorders>
              <w:top w:val="nil"/>
            </w:tcBorders>
            <w:shd w:val="clear" w:color="auto" w:fill="auto"/>
            <w:vAlign w:val="bottom"/>
          </w:tcPr>
          <w:p w14:paraId="49EBD549"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54%</w:t>
            </w:r>
          </w:p>
        </w:tc>
        <w:tc>
          <w:tcPr>
            <w:tcW w:w="682" w:type="dxa"/>
            <w:tcBorders>
              <w:top w:val="nil"/>
            </w:tcBorders>
            <w:shd w:val="clear" w:color="auto" w:fill="auto"/>
            <w:vAlign w:val="bottom"/>
          </w:tcPr>
          <w:p w14:paraId="77623685"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rPr>
            </w:pPr>
            <w:r w:rsidRPr="00F47753">
              <w:rPr>
                <w:sz w:val="18"/>
              </w:rPr>
              <w:t>62%</w:t>
            </w:r>
          </w:p>
        </w:tc>
      </w:tr>
    </w:tbl>
    <w:p w14:paraId="608B25E4" w14:textId="77777777" w:rsidR="000B5CDE" w:rsidRPr="00A24EBF" w:rsidRDefault="000B5CDE" w:rsidP="00A24EBF">
      <w:pPr>
        <w:pStyle w:val="SingleTxtG"/>
        <w:spacing w:before="120" w:after="240"/>
        <w:ind w:firstLine="170"/>
        <w:jc w:val="left"/>
        <w:rPr>
          <w:sz w:val="18"/>
          <w:lang w:eastAsia="en-US"/>
        </w:rPr>
      </w:pPr>
      <w:r w:rsidRPr="00A24EBF">
        <w:rPr>
          <w:i/>
          <w:iCs/>
          <w:sz w:val="18"/>
          <w:lang w:eastAsia="en-US"/>
        </w:rPr>
        <w:t>Source</w:t>
      </w:r>
      <w:r w:rsidRPr="00A24EBF">
        <w:rPr>
          <w:sz w:val="18"/>
          <w:lang w:eastAsia="en-US"/>
        </w:rPr>
        <w:t xml:space="preserve">: National Agency for Statistics and Demographic and Economic Analysis </w:t>
      </w:r>
      <w:r w:rsidRPr="00992A9B">
        <w:t>(</w:t>
      </w:r>
      <w:r w:rsidRPr="00A24EBF">
        <w:rPr>
          <w:sz w:val="18"/>
          <w:lang w:eastAsia="en-US"/>
        </w:rPr>
        <w:t>ANSADE), 2023.</w:t>
      </w:r>
    </w:p>
    <w:p w14:paraId="5539827B" w14:textId="78A726CA" w:rsidR="000B5CDE" w:rsidRPr="00A24EBF" w:rsidRDefault="008061DA" w:rsidP="008061DA">
      <w:pPr>
        <w:pStyle w:val="H23G"/>
        <w:spacing w:after="0"/>
      </w:pPr>
      <w:r>
        <w:tab/>
      </w:r>
      <w:r>
        <w:tab/>
      </w:r>
      <w:r w:rsidR="000B5CDE" w:rsidRPr="00A24EBF">
        <w:t>Real job growth from 2013 to 2022</w:t>
      </w:r>
    </w:p>
    <w:p w14:paraId="1A4F7CAE" w14:textId="25F8BBB0" w:rsidR="000B5CDE" w:rsidRPr="008061DA" w:rsidRDefault="000B5CDE" w:rsidP="008F7323">
      <w:pPr>
        <w:pStyle w:val="SingleTxtG"/>
        <w:rPr>
          <w:b/>
          <w:sz w:val="16"/>
          <w:szCs w:val="16"/>
        </w:rPr>
      </w:pPr>
      <w:r w:rsidRPr="008061DA">
        <w:rPr>
          <w:sz w:val="16"/>
          <w:szCs w:val="16"/>
        </w:rPr>
        <w:t>(Percentage)</w:t>
      </w:r>
    </w:p>
    <w:tbl>
      <w:tblPr>
        <w:tblW w:w="849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722"/>
        <w:gridCol w:w="722"/>
        <w:gridCol w:w="722"/>
        <w:gridCol w:w="722"/>
        <w:gridCol w:w="722"/>
        <w:gridCol w:w="722"/>
        <w:gridCol w:w="722"/>
        <w:gridCol w:w="722"/>
        <w:gridCol w:w="722"/>
        <w:gridCol w:w="722"/>
      </w:tblGrid>
      <w:tr w:rsidR="00F47753" w:rsidRPr="00F47753" w14:paraId="347D3C69" w14:textId="77777777" w:rsidTr="008F7323">
        <w:trPr>
          <w:tblHeader/>
        </w:trPr>
        <w:tc>
          <w:tcPr>
            <w:tcW w:w="1276" w:type="dxa"/>
            <w:tcBorders>
              <w:top w:val="single" w:sz="4" w:space="0" w:color="auto"/>
              <w:bottom w:val="single" w:sz="12" w:space="0" w:color="auto"/>
            </w:tcBorders>
            <w:shd w:val="clear" w:color="auto" w:fill="auto"/>
            <w:vAlign w:val="bottom"/>
          </w:tcPr>
          <w:p w14:paraId="766EEA70" w14:textId="77777777" w:rsidR="000B5CDE" w:rsidRPr="00F47753" w:rsidRDefault="000B5CDE" w:rsidP="008F7323">
            <w:pPr>
              <w:pStyle w:val="SingleTxtG"/>
              <w:tabs>
                <w:tab w:val="clear" w:pos="1701"/>
                <w:tab w:val="clear" w:pos="2268"/>
              </w:tabs>
              <w:suppressAutoHyphens w:val="0"/>
              <w:spacing w:before="80" w:after="80" w:line="200" w:lineRule="exact"/>
              <w:ind w:left="0" w:right="113"/>
              <w:jc w:val="left"/>
              <w:rPr>
                <w:bCs/>
                <w:i/>
                <w:sz w:val="16"/>
              </w:rPr>
            </w:pPr>
            <w:r w:rsidRPr="00F47753">
              <w:rPr>
                <w:i/>
                <w:iCs/>
                <w:sz w:val="16"/>
              </w:rPr>
              <w:t>Description</w:t>
            </w:r>
          </w:p>
        </w:tc>
        <w:tc>
          <w:tcPr>
            <w:tcW w:w="722" w:type="dxa"/>
            <w:tcBorders>
              <w:top w:val="single" w:sz="4" w:space="0" w:color="auto"/>
              <w:bottom w:val="single" w:sz="12" w:space="0" w:color="auto"/>
            </w:tcBorders>
            <w:shd w:val="clear" w:color="auto" w:fill="auto"/>
            <w:noWrap/>
            <w:vAlign w:val="bottom"/>
            <w:hideMark/>
          </w:tcPr>
          <w:p w14:paraId="1824B29E" w14:textId="77777777" w:rsidR="000B5CDE" w:rsidRPr="00F47753" w:rsidRDefault="000B5CDE" w:rsidP="008F732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2013</w:t>
            </w:r>
          </w:p>
        </w:tc>
        <w:tc>
          <w:tcPr>
            <w:tcW w:w="722" w:type="dxa"/>
            <w:tcBorders>
              <w:top w:val="single" w:sz="4" w:space="0" w:color="auto"/>
              <w:bottom w:val="single" w:sz="12" w:space="0" w:color="auto"/>
            </w:tcBorders>
            <w:shd w:val="clear" w:color="auto" w:fill="auto"/>
            <w:noWrap/>
            <w:vAlign w:val="bottom"/>
            <w:hideMark/>
          </w:tcPr>
          <w:p w14:paraId="52E5087A"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2014</w:t>
            </w:r>
          </w:p>
        </w:tc>
        <w:tc>
          <w:tcPr>
            <w:tcW w:w="722" w:type="dxa"/>
            <w:tcBorders>
              <w:top w:val="single" w:sz="4" w:space="0" w:color="auto"/>
              <w:bottom w:val="single" w:sz="12" w:space="0" w:color="auto"/>
            </w:tcBorders>
            <w:shd w:val="clear" w:color="auto" w:fill="auto"/>
            <w:noWrap/>
            <w:vAlign w:val="bottom"/>
            <w:hideMark/>
          </w:tcPr>
          <w:p w14:paraId="37830930"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2015</w:t>
            </w:r>
          </w:p>
        </w:tc>
        <w:tc>
          <w:tcPr>
            <w:tcW w:w="722" w:type="dxa"/>
            <w:tcBorders>
              <w:top w:val="single" w:sz="4" w:space="0" w:color="auto"/>
              <w:bottom w:val="single" w:sz="12" w:space="0" w:color="auto"/>
            </w:tcBorders>
            <w:shd w:val="clear" w:color="auto" w:fill="auto"/>
            <w:noWrap/>
            <w:vAlign w:val="bottom"/>
            <w:hideMark/>
          </w:tcPr>
          <w:p w14:paraId="39043A40"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2016</w:t>
            </w:r>
          </w:p>
        </w:tc>
        <w:tc>
          <w:tcPr>
            <w:tcW w:w="722" w:type="dxa"/>
            <w:tcBorders>
              <w:top w:val="single" w:sz="4" w:space="0" w:color="auto"/>
              <w:bottom w:val="single" w:sz="12" w:space="0" w:color="auto"/>
            </w:tcBorders>
            <w:shd w:val="clear" w:color="auto" w:fill="auto"/>
            <w:noWrap/>
            <w:vAlign w:val="bottom"/>
            <w:hideMark/>
          </w:tcPr>
          <w:p w14:paraId="723B6B7C"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2017</w:t>
            </w:r>
          </w:p>
        </w:tc>
        <w:tc>
          <w:tcPr>
            <w:tcW w:w="722" w:type="dxa"/>
            <w:tcBorders>
              <w:top w:val="single" w:sz="4" w:space="0" w:color="auto"/>
              <w:bottom w:val="single" w:sz="12" w:space="0" w:color="auto"/>
            </w:tcBorders>
            <w:shd w:val="clear" w:color="auto" w:fill="auto"/>
            <w:noWrap/>
            <w:vAlign w:val="bottom"/>
            <w:hideMark/>
          </w:tcPr>
          <w:p w14:paraId="6C9763C3"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2018</w:t>
            </w:r>
          </w:p>
        </w:tc>
        <w:tc>
          <w:tcPr>
            <w:tcW w:w="722" w:type="dxa"/>
            <w:tcBorders>
              <w:top w:val="single" w:sz="4" w:space="0" w:color="auto"/>
              <w:bottom w:val="single" w:sz="12" w:space="0" w:color="auto"/>
            </w:tcBorders>
            <w:shd w:val="clear" w:color="auto" w:fill="auto"/>
            <w:noWrap/>
            <w:vAlign w:val="bottom"/>
            <w:hideMark/>
          </w:tcPr>
          <w:p w14:paraId="06DB2974"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2019</w:t>
            </w:r>
          </w:p>
        </w:tc>
        <w:tc>
          <w:tcPr>
            <w:tcW w:w="722" w:type="dxa"/>
            <w:tcBorders>
              <w:top w:val="single" w:sz="4" w:space="0" w:color="auto"/>
              <w:bottom w:val="single" w:sz="12" w:space="0" w:color="auto"/>
            </w:tcBorders>
            <w:shd w:val="clear" w:color="auto" w:fill="auto"/>
            <w:noWrap/>
            <w:vAlign w:val="bottom"/>
            <w:hideMark/>
          </w:tcPr>
          <w:p w14:paraId="20D1F320"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2020</w:t>
            </w:r>
          </w:p>
        </w:tc>
        <w:tc>
          <w:tcPr>
            <w:tcW w:w="722" w:type="dxa"/>
            <w:tcBorders>
              <w:top w:val="single" w:sz="4" w:space="0" w:color="auto"/>
              <w:bottom w:val="single" w:sz="12" w:space="0" w:color="auto"/>
            </w:tcBorders>
            <w:shd w:val="clear" w:color="auto" w:fill="auto"/>
            <w:noWrap/>
            <w:vAlign w:val="bottom"/>
            <w:hideMark/>
          </w:tcPr>
          <w:p w14:paraId="3168DE01"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2021</w:t>
            </w:r>
          </w:p>
        </w:tc>
        <w:tc>
          <w:tcPr>
            <w:tcW w:w="722" w:type="dxa"/>
            <w:tcBorders>
              <w:top w:val="single" w:sz="4" w:space="0" w:color="auto"/>
              <w:bottom w:val="single" w:sz="12" w:space="0" w:color="auto"/>
            </w:tcBorders>
            <w:shd w:val="clear" w:color="auto" w:fill="auto"/>
            <w:noWrap/>
            <w:vAlign w:val="bottom"/>
            <w:hideMark/>
          </w:tcPr>
          <w:p w14:paraId="1F199BDD" w14:textId="77777777" w:rsidR="000B5CDE" w:rsidRPr="00F47753" w:rsidRDefault="000B5CDE" w:rsidP="00F47753">
            <w:pPr>
              <w:pStyle w:val="SingleTxtG"/>
              <w:tabs>
                <w:tab w:val="clear" w:pos="1701"/>
                <w:tab w:val="clear" w:pos="2268"/>
              </w:tabs>
              <w:suppressAutoHyphens w:val="0"/>
              <w:spacing w:before="80" w:after="80" w:line="200" w:lineRule="exact"/>
              <w:ind w:left="0" w:right="113"/>
              <w:jc w:val="right"/>
              <w:rPr>
                <w:bCs/>
                <w:i/>
                <w:sz w:val="16"/>
              </w:rPr>
            </w:pPr>
            <w:r w:rsidRPr="00F47753">
              <w:rPr>
                <w:i/>
                <w:iCs/>
                <w:sz w:val="16"/>
              </w:rPr>
              <w:t>2022</w:t>
            </w:r>
          </w:p>
        </w:tc>
      </w:tr>
      <w:tr w:rsidR="00F47753" w:rsidRPr="00F47753" w14:paraId="128BF821" w14:textId="77777777" w:rsidTr="008F7323">
        <w:tc>
          <w:tcPr>
            <w:tcW w:w="1276" w:type="dxa"/>
            <w:tcBorders>
              <w:top w:val="single" w:sz="12" w:space="0" w:color="auto"/>
            </w:tcBorders>
            <w:shd w:val="clear" w:color="auto" w:fill="auto"/>
          </w:tcPr>
          <w:p w14:paraId="43835ACA"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left"/>
              <w:rPr>
                <w:sz w:val="18"/>
                <w:szCs w:val="16"/>
              </w:rPr>
            </w:pPr>
            <w:r w:rsidRPr="00F47753">
              <w:rPr>
                <w:sz w:val="18"/>
              </w:rPr>
              <w:t>Imports</w:t>
            </w:r>
          </w:p>
        </w:tc>
        <w:tc>
          <w:tcPr>
            <w:tcW w:w="722" w:type="dxa"/>
            <w:tcBorders>
              <w:top w:val="single" w:sz="12" w:space="0" w:color="auto"/>
            </w:tcBorders>
            <w:shd w:val="clear" w:color="auto" w:fill="auto"/>
            <w:noWrap/>
            <w:vAlign w:val="bottom"/>
            <w:hideMark/>
          </w:tcPr>
          <w:p w14:paraId="213EDEA3"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-4.7</w:t>
            </w:r>
          </w:p>
        </w:tc>
        <w:tc>
          <w:tcPr>
            <w:tcW w:w="722" w:type="dxa"/>
            <w:tcBorders>
              <w:top w:val="single" w:sz="12" w:space="0" w:color="auto"/>
            </w:tcBorders>
            <w:shd w:val="clear" w:color="auto" w:fill="auto"/>
            <w:noWrap/>
            <w:vAlign w:val="bottom"/>
            <w:hideMark/>
          </w:tcPr>
          <w:p w14:paraId="03EFD23C"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-15.0</w:t>
            </w:r>
          </w:p>
        </w:tc>
        <w:tc>
          <w:tcPr>
            <w:tcW w:w="722" w:type="dxa"/>
            <w:tcBorders>
              <w:top w:val="single" w:sz="12" w:space="0" w:color="auto"/>
            </w:tcBorders>
            <w:shd w:val="clear" w:color="auto" w:fill="auto"/>
            <w:noWrap/>
            <w:vAlign w:val="bottom"/>
            <w:hideMark/>
          </w:tcPr>
          <w:p w14:paraId="2260F20F"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-7.1</w:t>
            </w:r>
          </w:p>
        </w:tc>
        <w:tc>
          <w:tcPr>
            <w:tcW w:w="722" w:type="dxa"/>
            <w:tcBorders>
              <w:top w:val="single" w:sz="12" w:space="0" w:color="auto"/>
            </w:tcBorders>
            <w:shd w:val="clear" w:color="auto" w:fill="auto"/>
            <w:noWrap/>
            <w:vAlign w:val="bottom"/>
            <w:hideMark/>
          </w:tcPr>
          <w:p w14:paraId="7C32EE01"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-2.9</w:t>
            </w:r>
          </w:p>
        </w:tc>
        <w:tc>
          <w:tcPr>
            <w:tcW w:w="722" w:type="dxa"/>
            <w:tcBorders>
              <w:top w:val="single" w:sz="12" w:space="0" w:color="auto"/>
            </w:tcBorders>
            <w:shd w:val="clear" w:color="auto" w:fill="auto"/>
            <w:noWrap/>
            <w:vAlign w:val="bottom"/>
            <w:hideMark/>
          </w:tcPr>
          <w:p w14:paraId="48E1A448"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14.7</w:t>
            </w:r>
          </w:p>
        </w:tc>
        <w:tc>
          <w:tcPr>
            <w:tcW w:w="722" w:type="dxa"/>
            <w:tcBorders>
              <w:top w:val="single" w:sz="12" w:space="0" w:color="auto"/>
            </w:tcBorders>
            <w:shd w:val="clear" w:color="auto" w:fill="auto"/>
            <w:noWrap/>
            <w:vAlign w:val="bottom"/>
            <w:hideMark/>
          </w:tcPr>
          <w:p w14:paraId="13684B2E"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37.2</w:t>
            </w:r>
          </w:p>
        </w:tc>
        <w:tc>
          <w:tcPr>
            <w:tcW w:w="722" w:type="dxa"/>
            <w:tcBorders>
              <w:top w:val="single" w:sz="12" w:space="0" w:color="auto"/>
            </w:tcBorders>
            <w:shd w:val="clear" w:color="auto" w:fill="auto"/>
            <w:noWrap/>
            <w:vAlign w:val="bottom"/>
            <w:hideMark/>
          </w:tcPr>
          <w:p w14:paraId="2318E234"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6.7</w:t>
            </w:r>
          </w:p>
        </w:tc>
        <w:tc>
          <w:tcPr>
            <w:tcW w:w="722" w:type="dxa"/>
            <w:tcBorders>
              <w:top w:val="single" w:sz="12" w:space="0" w:color="auto"/>
            </w:tcBorders>
            <w:shd w:val="clear" w:color="auto" w:fill="auto"/>
            <w:noWrap/>
            <w:vAlign w:val="bottom"/>
            <w:hideMark/>
          </w:tcPr>
          <w:p w14:paraId="0CAAAB1A"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0.4</w:t>
            </w:r>
          </w:p>
        </w:tc>
        <w:tc>
          <w:tcPr>
            <w:tcW w:w="722" w:type="dxa"/>
            <w:tcBorders>
              <w:top w:val="single" w:sz="12" w:space="0" w:color="auto"/>
            </w:tcBorders>
            <w:shd w:val="clear" w:color="auto" w:fill="auto"/>
            <w:noWrap/>
            <w:vAlign w:val="bottom"/>
            <w:hideMark/>
          </w:tcPr>
          <w:p w14:paraId="0A72BF7E"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-3.3</w:t>
            </w:r>
          </w:p>
        </w:tc>
        <w:tc>
          <w:tcPr>
            <w:tcW w:w="722" w:type="dxa"/>
            <w:tcBorders>
              <w:top w:val="single" w:sz="12" w:space="0" w:color="auto"/>
            </w:tcBorders>
            <w:shd w:val="clear" w:color="auto" w:fill="auto"/>
            <w:noWrap/>
            <w:vAlign w:val="bottom"/>
            <w:hideMark/>
          </w:tcPr>
          <w:p w14:paraId="6F28FD57"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15.8</w:t>
            </w:r>
          </w:p>
        </w:tc>
      </w:tr>
      <w:tr w:rsidR="00F47753" w:rsidRPr="00F47753" w14:paraId="43EDDCFA" w14:textId="77777777" w:rsidTr="008F7323">
        <w:tc>
          <w:tcPr>
            <w:tcW w:w="1276" w:type="dxa"/>
            <w:shd w:val="clear" w:color="auto" w:fill="auto"/>
          </w:tcPr>
          <w:p w14:paraId="1EBAD7D7"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left"/>
              <w:rPr>
                <w:b/>
                <w:bCs/>
                <w:sz w:val="18"/>
              </w:rPr>
            </w:pPr>
            <w:r w:rsidRPr="00F47753">
              <w:rPr>
                <w:b/>
                <w:bCs/>
                <w:sz w:val="18"/>
              </w:rPr>
              <w:t>GDP</w:t>
            </w:r>
          </w:p>
        </w:tc>
        <w:tc>
          <w:tcPr>
            <w:tcW w:w="722" w:type="dxa"/>
            <w:shd w:val="clear" w:color="auto" w:fill="auto"/>
            <w:noWrap/>
            <w:vAlign w:val="bottom"/>
            <w:hideMark/>
          </w:tcPr>
          <w:p w14:paraId="00F72262"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b/>
                <w:bCs/>
                <w:sz w:val="18"/>
                <w:lang w:val="fr-FR"/>
              </w:rPr>
            </w:pPr>
            <w:r w:rsidRPr="00F47753">
              <w:rPr>
                <w:b/>
                <w:bCs/>
                <w:sz w:val="18"/>
                <w:lang w:val="fr-FR"/>
              </w:rPr>
              <w:t>4.15</w:t>
            </w:r>
          </w:p>
        </w:tc>
        <w:tc>
          <w:tcPr>
            <w:tcW w:w="722" w:type="dxa"/>
            <w:shd w:val="clear" w:color="auto" w:fill="auto"/>
            <w:noWrap/>
            <w:vAlign w:val="bottom"/>
            <w:hideMark/>
          </w:tcPr>
          <w:p w14:paraId="23EEC3D3"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b/>
                <w:bCs/>
                <w:sz w:val="18"/>
                <w:lang w:val="fr-FR"/>
              </w:rPr>
            </w:pPr>
            <w:r w:rsidRPr="00F47753">
              <w:rPr>
                <w:b/>
                <w:bCs/>
                <w:sz w:val="18"/>
                <w:lang w:val="fr-FR"/>
              </w:rPr>
              <w:t>4.27</w:t>
            </w:r>
          </w:p>
        </w:tc>
        <w:tc>
          <w:tcPr>
            <w:tcW w:w="722" w:type="dxa"/>
            <w:shd w:val="clear" w:color="auto" w:fill="auto"/>
            <w:noWrap/>
            <w:vAlign w:val="bottom"/>
            <w:hideMark/>
          </w:tcPr>
          <w:p w14:paraId="19DB2E4D"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b/>
                <w:bCs/>
                <w:sz w:val="18"/>
                <w:lang w:val="fr-FR"/>
              </w:rPr>
            </w:pPr>
            <w:r w:rsidRPr="00F47753">
              <w:rPr>
                <w:b/>
                <w:bCs/>
                <w:sz w:val="18"/>
                <w:lang w:val="fr-FR"/>
              </w:rPr>
              <w:t>5.38</w:t>
            </w:r>
          </w:p>
        </w:tc>
        <w:tc>
          <w:tcPr>
            <w:tcW w:w="722" w:type="dxa"/>
            <w:shd w:val="clear" w:color="auto" w:fill="auto"/>
            <w:noWrap/>
            <w:vAlign w:val="bottom"/>
            <w:hideMark/>
          </w:tcPr>
          <w:p w14:paraId="088C0B3E"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b/>
                <w:bCs/>
                <w:sz w:val="18"/>
                <w:lang w:val="fr-FR"/>
              </w:rPr>
            </w:pPr>
            <w:r w:rsidRPr="00F47753">
              <w:rPr>
                <w:b/>
                <w:bCs/>
                <w:sz w:val="18"/>
                <w:lang w:val="fr-FR"/>
              </w:rPr>
              <w:t>1.26</w:t>
            </w:r>
          </w:p>
        </w:tc>
        <w:tc>
          <w:tcPr>
            <w:tcW w:w="722" w:type="dxa"/>
            <w:shd w:val="clear" w:color="auto" w:fill="auto"/>
            <w:noWrap/>
            <w:vAlign w:val="bottom"/>
            <w:hideMark/>
          </w:tcPr>
          <w:p w14:paraId="7F97FB62"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b/>
                <w:bCs/>
                <w:sz w:val="18"/>
                <w:lang w:val="fr-FR"/>
              </w:rPr>
            </w:pPr>
            <w:r w:rsidRPr="00F47753">
              <w:rPr>
                <w:b/>
                <w:bCs/>
                <w:sz w:val="18"/>
                <w:lang w:val="fr-FR"/>
              </w:rPr>
              <w:t>6.27</w:t>
            </w:r>
          </w:p>
        </w:tc>
        <w:tc>
          <w:tcPr>
            <w:tcW w:w="722" w:type="dxa"/>
            <w:shd w:val="clear" w:color="auto" w:fill="auto"/>
            <w:noWrap/>
            <w:vAlign w:val="bottom"/>
            <w:hideMark/>
          </w:tcPr>
          <w:p w14:paraId="0493ED75"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b/>
                <w:bCs/>
                <w:sz w:val="18"/>
                <w:lang w:val="fr-FR"/>
              </w:rPr>
            </w:pPr>
            <w:r w:rsidRPr="00F47753">
              <w:rPr>
                <w:b/>
                <w:bCs/>
                <w:sz w:val="18"/>
                <w:lang w:val="fr-FR"/>
              </w:rPr>
              <w:t>4.77</w:t>
            </w:r>
          </w:p>
        </w:tc>
        <w:tc>
          <w:tcPr>
            <w:tcW w:w="722" w:type="dxa"/>
            <w:shd w:val="clear" w:color="auto" w:fill="auto"/>
            <w:noWrap/>
            <w:vAlign w:val="bottom"/>
            <w:hideMark/>
          </w:tcPr>
          <w:p w14:paraId="3A094D56"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b/>
                <w:bCs/>
                <w:sz w:val="18"/>
                <w:lang w:val="fr-FR"/>
              </w:rPr>
            </w:pPr>
            <w:r w:rsidRPr="00F47753">
              <w:rPr>
                <w:b/>
                <w:bCs/>
                <w:sz w:val="18"/>
                <w:lang w:val="fr-FR"/>
              </w:rPr>
              <w:t>3.14</w:t>
            </w:r>
          </w:p>
        </w:tc>
        <w:tc>
          <w:tcPr>
            <w:tcW w:w="722" w:type="dxa"/>
            <w:shd w:val="clear" w:color="auto" w:fill="auto"/>
            <w:noWrap/>
            <w:vAlign w:val="bottom"/>
            <w:hideMark/>
          </w:tcPr>
          <w:p w14:paraId="11E8C00D"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b/>
                <w:bCs/>
                <w:sz w:val="18"/>
                <w:lang w:val="fr-FR"/>
              </w:rPr>
            </w:pPr>
            <w:r w:rsidRPr="00F47753">
              <w:rPr>
                <w:b/>
                <w:bCs/>
                <w:sz w:val="18"/>
                <w:lang w:val="fr-FR"/>
              </w:rPr>
              <w:t>-0.36</w:t>
            </w:r>
          </w:p>
        </w:tc>
        <w:tc>
          <w:tcPr>
            <w:tcW w:w="722" w:type="dxa"/>
            <w:shd w:val="clear" w:color="auto" w:fill="auto"/>
            <w:noWrap/>
            <w:vAlign w:val="bottom"/>
            <w:hideMark/>
          </w:tcPr>
          <w:p w14:paraId="291C641A"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b/>
                <w:bCs/>
                <w:sz w:val="18"/>
                <w:lang w:val="fr-FR"/>
              </w:rPr>
            </w:pPr>
            <w:r w:rsidRPr="00F47753">
              <w:rPr>
                <w:b/>
                <w:bCs/>
                <w:sz w:val="18"/>
                <w:lang w:val="fr-FR"/>
              </w:rPr>
              <w:t>0.7</w:t>
            </w:r>
          </w:p>
        </w:tc>
        <w:tc>
          <w:tcPr>
            <w:tcW w:w="722" w:type="dxa"/>
            <w:shd w:val="clear" w:color="auto" w:fill="auto"/>
            <w:noWrap/>
            <w:vAlign w:val="bottom"/>
            <w:hideMark/>
          </w:tcPr>
          <w:p w14:paraId="413907D2"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b/>
                <w:bCs/>
                <w:sz w:val="18"/>
                <w:lang w:val="fr-FR"/>
              </w:rPr>
            </w:pPr>
            <w:r w:rsidRPr="00F47753">
              <w:rPr>
                <w:b/>
                <w:bCs/>
                <w:sz w:val="18"/>
                <w:lang w:val="fr-FR"/>
              </w:rPr>
              <w:t>6.4</w:t>
            </w:r>
          </w:p>
        </w:tc>
      </w:tr>
      <w:tr w:rsidR="00F47753" w:rsidRPr="00F47753" w14:paraId="613DA07E" w14:textId="77777777" w:rsidTr="008F7323">
        <w:tc>
          <w:tcPr>
            <w:tcW w:w="1276" w:type="dxa"/>
            <w:shd w:val="clear" w:color="auto" w:fill="auto"/>
          </w:tcPr>
          <w:p w14:paraId="17434CEC"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left"/>
              <w:rPr>
                <w:sz w:val="18"/>
                <w:szCs w:val="16"/>
              </w:rPr>
            </w:pPr>
            <w:r w:rsidRPr="00F47753">
              <w:rPr>
                <w:sz w:val="18"/>
              </w:rPr>
              <w:t>Final consumption</w:t>
            </w:r>
          </w:p>
        </w:tc>
        <w:tc>
          <w:tcPr>
            <w:tcW w:w="722" w:type="dxa"/>
            <w:shd w:val="clear" w:color="auto" w:fill="auto"/>
            <w:noWrap/>
            <w:vAlign w:val="bottom"/>
            <w:hideMark/>
          </w:tcPr>
          <w:p w14:paraId="0BEAB502"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1.9</w:t>
            </w:r>
          </w:p>
        </w:tc>
        <w:tc>
          <w:tcPr>
            <w:tcW w:w="722" w:type="dxa"/>
            <w:shd w:val="clear" w:color="auto" w:fill="auto"/>
            <w:noWrap/>
            <w:vAlign w:val="bottom"/>
            <w:hideMark/>
          </w:tcPr>
          <w:p w14:paraId="462EB4D7"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3.3</w:t>
            </w:r>
          </w:p>
        </w:tc>
        <w:tc>
          <w:tcPr>
            <w:tcW w:w="722" w:type="dxa"/>
            <w:shd w:val="clear" w:color="auto" w:fill="auto"/>
            <w:noWrap/>
            <w:vAlign w:val="bottom"/>
            <w:hideMark/>
          </w:tcPr>
          <w:p w14:paraId="08DC6EE8"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4.6</w:t>
            </w:r>
          </w:p>
        </w:tc>
        <w:tc>
          <w:tcPr>
            <w:tcW w:w="722" w:type="dxa"/>
            <w:shd w:val="clear" w:color="auto" w:fill="auto"/>
            <w:noWrap/>
            <w:vAlign w:val="bottom"/>
            <w:hideMark/>
          </w:tcPr>
          <w:p w14:paraId="0B9762BF"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4.0</w:t>
            </w:r>
          </w:p>
        </w:tc>
        <w:tc>
          <w:tcPr>
            <w:tcW w:w="722" w:type="dxa"/>
            <w:shd w:val="clear" w:color="auto" w:fill="auto"/>
            <w:noWrap/>
            <w:vAlign w:val="bottom"/>
            <w:hideMark/>
          </w:tcPr>
          <w:p w14:paraId="49B3F029"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3.3</w:t>
            </w:r>
          </w:p>
        </w:tc>
        <w:tc>
          <w:tcPr>
            <w:tcW w:w="722" w:type="dxa"/>
            <w:shd w:val="clear" w:color="auto" w:fill="auto"/>
            <w:noWrap/>
            <w:vAlign w:val="bottom"/>
            <w:hideMark/>
          </w:tcPr>
          <w:p w14:paraId="17112645"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4.1</w:t>
            </w:r>
          </w:p>
        </w:tc>
        <w:tc>
          <w:tcPr>
            <w:tcW w:w="722" w:type="dxa"/>
            <w:shd w:val="clear" w:color="auto" w:fill="auto"/>
            <w:noWrap/>
            <w:vAlign w:val="bottom"/>
            <w:hideMark/>
          </w:tcPr>
          <w:p w14:paraId="07F5E296"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4.0</w:t>
            </w:r>
          </w:p>
        </w:tc>
        <w:tc>
          <w:tcPr>
            <w:tcW w:w="722" w:type="dxa"/>
            <w:shd w:val="clear" w:color="auto" w:fill="auto"/>
            <w:noWrap/>
            <w:vAlign w:val="bottom"/>
            <w:hideMark/>
          </w:tcPr>
          <w:p w14:paraId="7F024CD6"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-0.1</w:t>
            </w:r>
          </w:p>
        </w:tc>
        <w:tc>
          <w:tcPr>
            <w:tcW w:w="722" w:type="dxa"/>
            <w:shd w:val="clear" w:color="auto" w:fill="auto"/>
            <w:noWrap/>
            <w:vAlign w:val="bottom"/>
            <w:hideMark/>
          </w:tcPr>
          <w:p w14:paraId="164A9E5D"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7.7</w:t>
            </w:r>
          </w:p>
        </w:tc>
        <w:tc>
          <w:tcPr>
            <w:tcW w:w="722" w:type="dxa"/>
            <w:shd w:val="clear" w:color="auto" w:fill="auto"/>
            <w:noWrap/>
            <w:vAlign w:val="bottom"/>
            <w:hideMark/>
          </w:tcPr>
          <w:p w14:paraId="47AA098F"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7.1</w:t>
            </w:r>
          </w:p>
        </w:tc>
      </w:tr>
      <w:tr w:rsidR="00F47753" w:rsidRPr="00F47753" w14:paraId="24B02AAC" w14:textId="77777777" w:rsidTr="008F7323">
        <w:tc>
          <w:tcPr>
            <w:tcW w:w="1276" w:type="dxa"/>
            <w:shd w:val="clear" w:color="auto" w:fill="auto"/>
          </w:tcPr>
          <w:p w14:paraId="1442F10C"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left"/>
              <w:rPr>
                <w:sz w:val="18"/>
                <w:szCs w:val="16"/>
              </w:rPr>
            </w:pPr>
            <w:r w:rsidRPr="00F47753">
              <w:rPr>
                <w:sz w:val="18"/>
              </w:rPr>
              <w:t xml:space="preserve">Household final consumption </w:t>
            </w:r>
          </w:p>
        </w:tc>
        <w:tc>
          <w:tcPr>
            <w:tcW w:w="722" w:type="dxa"/>
            <w:shd w:val="clear" w:color="auto" w:fill="auto"/>
            <w:noWrap/>
            <w:vAlign w:val="bottom"/>
            <w:hideMark/>
          </w:tcPr>
          <w:p w14:paraId="672602B8"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2.0</w:t>
            </w:r>
          </w:p>
        </w:tc>
        <w:tc>
          <w:tcPr>
            <w:tcW w:w="722" w:type="dxa"/>
            <w:shd w:val="clear" w:color="auto" w:fill="auto"/>
            <w:noWrap/>
            <w:vAlign w:val="bottom"/>
            <w:hideMark/>
          </w:tcPr>
          <w:p w14:paraId="384330E0"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3.0</w:t>
            </w:r>
          </w:p>
        </w:tc>
        <w:tc>
          <w:tcPr>
            <w:tcW w:w="722" w:type="dxa"/>
            <w:shd w:val="clear" w:color="auto" w:fill="auto"/>
            <w:noWrap/>
            <w:vAlign w:val="bottom"/>
            <w:hideMark/>
          </w:tcPr>
          <w:p w14:paraId="04B6C7A9"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4.3</w:t>
            </w:r>
          </w:p>
        </w:tc>
        <w:tc>
          <w:tcPr>
            <w:tcW w:w="722" w:type="dxa"/>
            <w:shd w:val="clear" w:color="auto" w:fill="auto"/>
            <w:noWrap/>
            <w:vAlign w:val="bottom"/>
            <w:hideMark/>
          </w:tcPr>
          <w:p w14:paraId="73166067"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4.3</w:t>
            </w:r>
          </w:p>
        </w:tc>
        <w:tc>
          <w:tcPr>
            <w:tcW w:w="722" w:type="dxa"/>
            <w:shd w:val="clear" w:color="auto" w:fill="auto"/>
            <w:noWrap/>
            <w:vAlign w:val="bottom"/>
            <w:hideMark/>
          </w:tcPr>
          <w:p w14:paraId="3C7D5098"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2.8</w:t>
            </w:r>
          </w:p>
        </w:tc>
        <w:tc>
          <w:tcPr>
            <w:tcW w:w="722" w:type="dxa"/>
            <w:shd w:val="clear" w:color="auto" w:fill="auto"/>
            <w:noWrap/>
            <w:vAlign w:val="bottom"/>
            <w:hideMark/>
          </w:tcPr>
          <w:p w14:paraId="2E89B6C1"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3.7</w:t>
            </w:r>
          </w:p>
        </w:tc>
        <w:tc>
          <w:tcPr>
            <w:tcW w:w="722" w:type="dxa"/>
            <w:shd w:val="clear" w:color="auto" w:fill="auto"/>
            <w:noWrap/>
            <w:vAlign w:val="bottom"/>
            <w:hideMark/>
          </w:tcPr>
          <w:p w14:paraId="7434D44A"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2.6</w:t>
            </w:r>
          </w:p>
        </w:tc>
        <w:tc>
          <w:tcPr>
            <w:tcW w:w="722" w:type="dxa"/>
            <w:shd w:val="clear" w:color="auto" w:fill="auto"/>
            <w:noWrap/>
            <w:vAlign w:val="bottom"/>
            <w:hideMark/>
          </w:tcPr>
          <w:p w14:paraId="29C11458"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0.9</w:t>
            </w:r>
          </w:p>
        </w:tc>
        <w:tc>
          <w:tcPr>
            <w:tcW w:w="722" w:type="dxa"/>
            <w:shd w:val="clear" w:color="auto" w:fill="auto"/>
            <w:noWrap/>
            <w:vAlign w:val="bottom"/>
            <w:hideMark/>
          </w:tcPr>
          <w:p w14:paraId="6F363860"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3.4</w:t>
            </w:r>
          </w:p>
        </w:tc>
        <w:tc>
          <w:tcPr>
            <w:tcW w:w="722" w:type="dxa"/>
            <w:shd w:val="clear" w:color="auto" w:fill="auto"/>
            <w:noWrap/>
            <w:vAlign w:val="bottom"/>
            <w:hideMark/>
          </w:tcPr>
          <w:p w14:paraId="0E1DB4DD"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2.7</w:t>
            </w:r>
          </w:p>
        </w:tc>
      </w:tr>
      <w:tr w:rsidR="00F47753" w:rsidRPr="00F47753" w14:paraId="2E00B473" w14:textId="77777777" w:rsidTr="008F7323">
        <w:tc>
          <w:tcPr>
            <w:tcW w:w="1276" w:type="dxa"/>
            <w:shd w:val="clear" w:color="auto" w:fill="auto"/>
          </w:tcPr>
          <w:p w14:paraId="1561DEA8"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left"/>
              <w:rPr>
                <w:sz w:val="18"/>
                <w:szCs w:val="16"/>
                <w:lang w:val="en-US"/>
              </w:rPr>
            </w:pPr>
            <w:r w:rsidRPr="00F47753">
              <w:rPr>
                <w:sz w:val="18"/>
              </w:rPr>
              <w:t>Household final consumption, non-market</w:t>
            </w:r>
          </w:p>
        </w:tc>
        <w:tc>
          <w:tcPr>
            <w:tcW w:w="722" w:type="dxa"/>
            <w:shd w:val="clear" w:color="auto" w:fill="auto"/>
            <w:noWrap/>
            <w:vAlign w:val="bottom"/>
            <w:hideMark/>
          </w:tcPr>
          <w:p w14:paraId="66A78229"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-1.5</w:t>
            </w:r>
          </w:p>
        </w:tc>
        <w:tc>
          <w:tcPr>
            <w:tcW w:w="722" w:type="dxa"/>
            <w:shd w:val="clear" w:color="auto" w:fill="auto"/>
            <w:noWrap/>
            <w:vAlign w:val="bottom"/>
            <w:hideMark/>
          </w:tcPr>
          <w:p w14:paraId="43394266"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2.2</w:t>
            </w:r>
          </w:p>
        </w:tc>
        <w:tc>
          <w:tcPr>
            <w:tcW w:w="722" w:type="dxa"/>
            <w:shd w:val="clear" w:color="auto" w:fill="auto"/>
            <w:noWrap/>
            <w:vAlign w:val="bottom"/>
            <w:hideMark/>
          </w:tcPr>
          <w:p w14:paraId="06B5254A"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4.1</w:t>
            </w:r>
          </w:p>
        </w:tc>
        <w:tc>
          <w:tcPr>
            <w:tcW w:w="722" w:type="dxa"/>
            <w:shd w:val="clear" w:color="auto" w:fill="auto"/>
            <w:noWrap/>
            <w:vAlign w:val="bottom"/>
            <w:hideMark/>
          </w:tcPr>
          <w:p w14:paraId="6E644060"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2.7</w:t>
            </w:r>
          </w:p>
        </w:tc>
        <w:tc>
          <w:tcPr>
            <w:tcW w:w="722" w:type="dxa"/>
            <w:shd w:val="clear" w:color="auto" w:fill="auto"/>
            <w:noWrap/>
            <w:vAlign w:val="bottom"/>
            <w:hideMark/>
          </w:tcPr>
          <w:p w14:paraId="1706A16F"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1.7</w:t>
            </w:r>
          </w:p>
        </w:tc>
        <w:tc>
          <w:tcPr>
            <w:tcW w:w="722" w:type="dxa"/>
            <w:shd w:val="clear" w:color="auto" w:fill="auto"/>
            <w:noWrap/>
            <w:vAlign w:val="bottom"/>
            <w:hideMark/>
          </w:tcPr>
          <w:p w14:paraId="746BCADB"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6.3</w:t>
            </w:r>
          </w:p>
        </w:tc>
        <w:tc>
          <w:tcPr>
            <w:tcW w:w="722" w:type="dxa"/>
            <w:shd w:val="clear" w:color="auto" w:fill="auto"/>
            <w:noWrap/>
            <w:vAlign w:val="bottom"/>
            <w:hideMark/>
          </w:tcPr>
          <w:p w14:paraId="665221DA"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0.3</w:t>
            </w:r>
          </w:p>
        </w:tc>
        <w:tc>
          <w:tcPr>
            <w:tcW w:w="722" w:type="dxa"/>
            <w:shd w:val="clear" w:color="auto" w:fill="auto"/>
            <w:noWrap/>
            <w:vAlign w:val="bottom"/>
            <w:hideMark/>
          </w:tcPr>
          <w:p w14:paraId="77E9906B"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7.0</w:t>
            </w:r>
          </w:p>
        </w:tc>
        <w:tc>
          <w:tcPr>
            <w:tcW w:w="722" w:type="dxa"/>
            <w:shd w:val="clear" w:color="auto" w:fill="auto"/>
            <w:noWrap/>
            <w:vAlign w:val="bottom"/>
            <w:hideMark/>
          </w:tcPr>
          <w:p w14:paraId="56564C1C"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-2.1</w:t>
            </w:r>
          </w:p>
        </w:tc>
        <w:tc>
          <w:tcPr>
            <w:tcW w:w="722" w:type="dxa"/>
            <w:shd w:val="clear" w:color="auto" w:fill="auto"/>
            <w:noWrap/>
            <w:vAlign w:val="bottom"/>
            <w:hideMark/>
          </w:tcPr>
          <w:p w14:paraId="47B2B619"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2.7</w:t>
            </w:r>
          </w:p>
        </w:tc>
      </w:tr>
      <w:tr w:rsidR="00F47753" w:rsidRPr="00F47753" w14:paraId="6D9DA704" w14:textId="77777777" w:rsidTr="008F7323">
        <w:tc>
          <w:tcPr>
            <w:tcW w:w="1276" w:type="dxa"/>
            <w:shd w:val="clear" w:color="auto" w:fill="auto"/>
          </w:tcPr>
          <w:p w14:paraId="6C1771AC"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left"/>
              <w:rPr>
                <w:sz w:val="18"/>
                <w:szCs w:val="16"/>
              </w:rPr>
            </w:pPr>
            <w:r w:rsidRPr="00F47753">
              <w:rPr>
                <w:sz w:val="18"/>
              </w:rPr>
              <w:t xml:space="preserve">Household final consumption, market </w:t>
            </w:r>
          </w:p>
        </w:tc>
        <w:tc>
          <w:tcPr>
            <w:tcW w:w="722" w:type="dxa"/>
            <w:shd w:val="clear" w:color="auto" w:fill="auto"/>
            <w:noWrap/>
            <w:vAlign w:val="bottom"/>
            <w:hideMark/>
          </w:tcPr>
          <w:p w14:paraId="5A70C1C7"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2.6</w:t>
            </w:r>
          </w:p>
        </w:tc>
        <w:tc>
          <w:tcPr>
            <w:tcW w:w="722" w:type="dxa"/>
            <w:shd w:val="clear" w:color="auto" w:fill="auto"/>
            <w:noWrap/>
            <w:vAlign w:val="bottom"/>
            <w:hideMark/>
          </w:tcPr>
          <w:p w14:paraId="32C6D785"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3.1</w:t>
            </w:r>
          </w:p>
        </w:tc>
        <w:tc>
          <w:tcPr>
            <w:tcW w:w="722" w:type="dxa"/>
            <w:shd w:val="clear" w:color="auto" w:fill="auto"/>
            <w:noWrap/>
            <w:vAlign w:val="bottom"/>
            <w:hideMark/>
          </w:tcPr>
          <w:p w14:paraId="1146D632"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4.3</w:t>
            </w:r>
          </w:p>
        </w:tc>
        <w:tc>
          <w:tcPr>
            <w:tcW w:w="722" w:type="dxa"/>
            <w:shd w:val="clear" w:color="auto" w:fill="auto"/>
            <w:noWrap/>
            <w:vAlign w:val="bottom"/>
            <w:hideMark/>
          </w:tcPr>
          <w:p w14:paraId="6593FD93"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4.6</w:t>
            </w:r>
          </w:p>
        </w:tc>
        <w:tc>
          <w:tcPr>
            <w:tcW w:w="722" w:type="dxa"/>
            <w:shd w:val="clear" w:color="auto" w:fill="auto"/>
            <w:noWrap/>
            <w:vAlign w:val="bottom"/>
            <w:hideMark/>
          </w:tcPr>
          <w:p w14:paraId="7973E031"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3.0</w:t>
            </w:r>
          </w:p>
        </w:tc>
        <w:tc>
          <w:tcPr>
            <w:tcW w:w="722" w:type="dxa"/>
            <w:shd w:val="clear" w:color="auto" w:fill="auto"/>
            <w:noWrap/>
            <w:vAlign w:val="bottom"/>
            <w:hideMark/>
          </w:tcPr>
          <w:p w14:paraId="6D6CB84D"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3.3</w:t>
            </w:r>
          </w:p>
        </w:tc>
        <w:tc>
          <w:tcPr>
            <w:tcW w:w="722" w:type="dxa"/>
            <w:shd w:val="clear" w:color="auto" w:fill="auto"/>
            <w:noWrap/>
            <w:vAlign w:val="bottom"/>
            <w:hideMark/>
          </w:tcPr>
          <w:p w14:paraId="7EE74F97"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3.0</w:t>
            </w:r>
          </w:p>
        </w:tc>
        <w:tc>
          <w:tcPr>
            <w:tcW w:w="722" w:type="dxa"/>
            <w:shd w:val="clear" w:color="auto" w:fill="auto"/>
            <w:noWrap/>
            <w:vAlign w:val="bottom"/>
            <w:hideMark/>
          </w:tcPr>
          <w:p w14:paraId="0AE54A2C"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0.0</w:t>
            </w:r>
          </w:p>
        </w:tc>
        <w:tc>
          <w:tcPr>
            <w:tcW w:w="722" w:type="dxa"/>
            <w:shd w:val="clear" w:color="auto" w:fill="auto"/>
            <w:noWrap/>
            <w:vAlign w:val="bottom"/>
            <w:hideMark/>
          </w:tcPr>
          <w:p w14:paraId="195B2645"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4.3</w:t>
            </w:r>
          </w:p>
        </w:tc>
        <w:tc>
          <w:tcPr>
            <w:tcW w:w="722" w:type="dxa"/>
            <w:shd w:val="clear" w:color="auto" w:fill="auto"/>
            <w:noWrap/>
            <w:vAlign w:val="bottom"/>
            <w:hideMark/>
          </w:tcPr>
          <w:p w14:paraId="58D7E5F4"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2.7</w:t>
            </w:r>
          </w:p>
        </w:tc>
      </w:tr>
      <w:tr w:rsidR="00F47753" w:rsidRPr="00F47753" w14:paraId="736D05F6" w14:textId="77777777" w:rsidTr="008F7323">
        <w:tc>
          <w:tcPr>
            <w:tcW w:w="1276" w:type="dxa"/>
            <w:shd w:val="clear" w:color="auto" w:fill="auto"/>
          </w:tcPr>
          <w:p w14:paraId="541D3B70"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left"/>
              <w:rPr>
                <w:sz w:val="18"/>
                <w:szCs w:val="16"/>
                <w:lang w:val="en-US"/>
              </w:rPr>
            </w:pPr>
            <w:r w:rsidRPr="00F47753">
              <w:rPr>
                <w:sz w:val="18"/>
              </w:rPr>
              <w:t xml:space="preserve">Final consumption of public administrations </w:t>
            </w:r>
          </w:p>
        </w:tc>
        <w:tc>
          <w:tcPr>
            <w:tcW w:w="722" w:type="dxa"/>
            <w:shd w:val="clear" w:color="auto" w:fill="auto"/>
            <w:noWrap/>
            <w:vAlign w:val="bottom"/>
            <w:hideMark/>
          </w:tcPr>
          <w:p w14:paraId="007E229D"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1.3</w:t>
            </w:r>
          </w:p>
        </w:tc>
        <w:tc>
          <w:tcPr>
            <w:tcW w:w="722" w:type="dxa"/>
            <w:shd w:val="clear" w:color="auto" w:fill="auto"/>
            <w:noWrap/>
            <w:vAlign w:val="bottom"/>
            <w:hideMark/>
          </w:tcPr>
          <w:p w14:paraId="02029C3C"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4.6</w:t>
            </w:r>
          </w:p>
        </w:tc>
        <w:tc>
          <w:tcPr>
            <w:tcW w:w="722" w:type="dxa"/>
            <w:shd w:val="clear" w:color="auto" w:fill="auto"/>
            <w:noWrap/>
            <w:vAlign w:val="bottom"/>
            <w:hideMark/>
          </w:tcPr>
          <w:p w14:paraId="393049F1"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6.0</w:t>
            </w:r>
          </w:p>
        </w:tc>
        <w:tc>
          <w:tcPr>
            <w:tcW w:w="722" w:type="dxa"/>
            <w:shd w:val="clear" w:color="auto" w:fill="auto"/>
            <w:noWrap/>
            <w:vAlign w:val="bottom"/>
            <w:hideMark/>
          </w:tcPr>
          <w:p w14:paraId="0C9184F8"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2.7</w:t>
            </w:r>
          </w:p>
        </w:tc>
        <w:tc>
          <w:tcPr>
            <w:tcW w:w="722" w:type="dxa"/>
            <w:shd w:val="clear" w:color="auto" w:fill="auto"/>
            <w:noWrap/>
            <w:vAlign w:val="bottom"/>
            <w:hideMark/>
          </w:tcPr>
          <w:p w14:paraId="45A6E43A"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5.6</w:t>
            </w:r>
          </w:p>
        </w:tc>
        <w:tc>
          <w:tcPr>
            <w:tcW w:w="722" w:type="dxa"/>
            <w:shd w:val="clear" w:color="auto" w:fill="auto"/>
            <w:noWrap/>
            <w:vAlign w:val="bottom"/>
            <w:hideMark/>
          </w:tcPr>
          <w:p w14:paraId="2E8E5F83"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5.5</w:t>
            </w:r>
          </w:p>
        </w:tc>
        <w:tc>
          <w:tcPr>
            <w:tcW w:w="722" w:type="dxa"/>
            <w:shd w:val="clear" w:color="auto" w:fill="auto"/>
            <w:noWrap/>
            <w:vAlign w:val="bottom"/>
            <w:hideMark/>
          </w:tcPr>
          <w:p w14:paraId="26F2E149"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10.2</w:t>
            </w:r>
          </w:p>
        </w:tc>
        <w:tc>
          <w:tcPr>
            <w:tcW w:w="722" w:type="dxa"/>
            <w:shd w:val="clear" w:color="auto" w:fill="auto"/>
            <w:noWrap/>
            <w:vAlign w:val="bottom"/>
            <w:hideMark/>
          </w:tcPr>
          <w:p w14:paraId="4EB965F1"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-4.4</w:t>
            </w:r>
          </w:p>
        </w:tc>
        <w:tc>
          <w:tcPr>
            <w:tcW w:w="722" w:type="dxa"/>
            <w:shd w:val="clear" w:color="auto" w:fill="auto"/>
            <w:noWrap/>
            <w:vAlign w:val="bottom"/>
            <w:hideMark/>
          </w:tcPr>
          <w:p w14:paraId="39889FC6"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26.8</w:t>
            </w:r>
          </w:p>
        </w:tc>
        <w:tc>
          <w:tcPr>
            <w:tcW w:w="722" w:type="dxa"/>
            <w:shd w:val="clear" w:color="auto" w:fill="auto"/>
            <w:noWrap/>
            <w:vAlign w:val="bottom"/>
            <w:hideMark/>
          </w:tcPr>
          <w:p w14:paraId="496644DF"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22.3</w:t>
            </w:r>
          </w:p>
        </w:tc>
      </w:tr>
      <w:tr w:rsidR="00F47753" w:rsidRPr="00F47753" w14:paraId="6B9E3E2A" w14:textId="77777777" w:rsidTr="008F7323">
        <w:tc>
          <w:tcPr>
            <w:tcW w:w="1276" w:type="dxa"/>
            <w:shd w:val="clear" w:color="auto" w:fill="auto"/>
          </w:tcPr>
          <w:p w14:paraId="388A9E3C"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left"/>
              <w:rPr>
                <w:sz w:val="18"/>
                <w:szCs w:val="16"/>
                <w:lang w:val="en-US"/>
              </w:rPr>
            </w:pPr>
            <w:r w:rsidRPr="00F47753">
              <w:rPr>
                <w:sz w:val="18"/>
              </w:rPr>
              <w:t xml:space="preserve">Final consumption of non-profit institutions serving households </w:t>
            </w:r>
          </w:p>
        </w:tc>
        <w:tc>
          <w:tcPr>
            <w:tcW w:w="722" w:type="dxa"/>
            <w:shd w:val="clear" w:color="auto" w:fill="auto"/>
            <w:noWrap/>
            <w:vAlign w:val="bottom"/>
            <w:hideMark/>
          </w:tcPr>
          <w:p w14:paraId="38E544FB"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2.9</w:t>
            </w:r>
          </w:p>
        </w:tc>
        <w:tc>
          <w:tcPr>
            <w:tcW w:w="722" w:type="dxa"/>
            <w:shd w:val="clear" w:color="auto" w:fill="auto"/>
            <w:noWrap/>
            <w:vAlign w:val="bottom"/>
            <w:hideMark/>
          </w:tcPr>
          <w:p w14:paraId="4E941B36"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5.0</w:t>
            </w:r>
          </w:p>
        </w:tc>
        <w:tc>
          <w:tcPr>
            <w:tcW w:w="722" w:type="dxa"/>
            <w:shd w:val="clear" w:color="auto" w:fill="auto"/>
            <w:noWrap/>
            <w:vAlign w:val="bottom"/>
            <w:hideMark/>
          </w:tcPr>
          <w:p w14:paraId="22E4D224"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13.4</w:t>
            </w:r>
          </w:p>
        </w:tc>
        <w:tc>
          <w:tcPr>
            <w:tcW w:w="722" w:type="dxa"/>
            <w:shd w:val="clear" w:color="auto" w:fill="auto"/>
            <w:noWrap/>
            <w:vAlign w:val="bottom"/>
            <w:hideMark/>
          </w:tcPr>
          <w:p w14:paraId="3F5E7BA8"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0.7</w:t>
            </w:r>
          </w:p>
        </w:tc>
        <w:tc>
          <w:tcPr>
            <w:tcW w:w="722" w:type="dxa"/>
            <w:shd w:val="clear" w:color="auto" w:fill="auto"/>
            <w:noWrap/>
            <w:vAlign w:val="bottom"/>
            <w:hideMark/>
          </w:tcPr>
          <w:p w14:paraId="26BAA7EF"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-0.8</w:t>
            </w:r>
          </w:p>
        </w:tc>
        <w:tc>
          <w:tcPr>
            <w:tcW w:w="722" w:type="dxa"/>
            <w:shd w:val="clear" w:color="auto" w:fill="auto"/>
            <w:noWrap/>
            <w:vAlign w:val="bottom"/>
            <w:hideMark/>
          </w:tcPr>
          <w:p w14:paraId="61C955BD"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3.4</w:t>
            </w:r>
          </w:p>
        </w:tc>
        <w:tc>
          <w:tcPr>
            <w:tcW w:w="722" w:type="dxa"/>
            <w:shd w:val="clear" w:color="auto" w:fill="auto"/>
            <w:noWrap/>
            <w:vAlign w:val="bottom"/>
            <w:hideMark/>
          </w:tcPr>
          <w:p w14:paraId="03EB0C4E"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3.6</w:t>
            </w:r>
          </w:p>
        </w:tc>
        <w:tc>
          <w:tcPr>
            <w:tcW w:w="722" w:type="dxa"/>
            <w:shd w:val="clear" w:color="auto" w:fill="auto"/>
            <w:noWrap/>
            <w:vAlign w:val="bottom"/>
            <w:hideMark/>
          </w:tcPr>
          <w:p w14:paraId="6B43BB3D"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7.5</w:t>
            </w:r>
          </w:p>
        </w:tc>
        <w:tc>
          <w:tcPr>
            <w:tcW w:w="722" w:type="dxa"/>
            <w:shd w:val="clear" w:color="auto" w:fill="auto"/>
            <w:noWrap/>
            <w:vAlign w:val="bottom"/>
            <w:hideMark/>
          </w:tcPr>
          <w:p w14:paraId="20730820"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-4.3</w:t>
            </w:r>
          </w:p>
        </w:tc>
        <w:tc>
          <w:tcPr>
            <w:tcW w:w="722" w:type="dxa"/>
            <w:shd w:val="clear" w:color="auto" w:fill="auto"/>
            <w:noWrap/>
            <w:vAlign w:val="bottom"/>
            <w:hideMark/>
          </w:tcPr>
          <w:p w14:paraId="780B7BED"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31.3</w:t>
            </w:r>
          </w:p>
        </w:tc>
      </w:tr>
      <w:tr w:rsidR="00F47753" w:rsidRPr="00F47753" w14:paraId="2FFF3504" w14:textId="77777777" w:rsidTr="008F7323">
        <w:tc>
          <w:tcPr>
            <w:tcW w:w="1276" w:type="dxa"/>
            <w:shd w:val="clear" w:color="auto" w:fill="auto"/>
          </w:tcPr>
          <w:p w14:paraId="30C3AFE5"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left"/>
              <w:rPr>
                <w:sz w:val="18"/>
                <w:szCs w:val="16"/>
              </w:rPr>
            </w:pPr>
            <w:r w:rsidRPr="00F47753">
              <w:rPr>
                <w:sz w:val="18"/>
              </w:rPr>
              <w:t>Gross fixed capital formation</w:t>
            </w:r>
          </w:p>
        </w:tc>
        <w:tc>
          <w:tcPr>
            <w:tcW w:w="722" w:type="dxa"/>
            <w:shd w:val="clear" w:color="auto" w:fill="auto"/>
            <w:noWrap/>
            <w:vAlign w:val="bottom"/>
            <w:hideMark/>
          </w:tcPr>
          <w:p w14:paraId="5E3FA78D"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3.3</w:t>
            </w:r>
          </w:p>
        </w:tc>
        <w:tc>
          <w:tcPr>
            <w:tcW w:w="722" w:type="dxa"/>
            <w:shd w:val="clear" w:color="auto" w:fill="auto"/>
            <w:noWrap/>
            <w:vAlign w:val="bottom"/>
            <w:hideMark/>
          </w:tcPr>
          <w:p w14:paraId="4B0BB160"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2.7</w:t>
            </w:r>
          </w:p>
        </w:tc>
        <w:tc>
          <w:tcPr>
            <w:tcW w:w="722" w:type="dxa"/>
            <w:shd w:val="clear" w:color="auto" w:fill="auto"/>
            <w:noWrap/>
            <w:vAlign w:val="bottom"/>
            <w:hideMark/>
          </w:tcPr>
          <w:p w14:paraId="1AA091F5"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-9.0</w:t>
            </w:r>
          </w:p>
        </w:tc>
        <w:tc>
          <w:tcPr>
            <w:tcW w:w="722" w:type="dxa"/>
            <w:shd w:val="clear" w:color="auto" w:fill="auto"/>
            <w:noWrap/>
            <w:vAlign w:val="bottom"/>
            <w:hideMark/>
          </w:tcPr>
          <w:p w14:paraId="1D0C34EE"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-6.0</w:t>
            </w:r>
          </w:p>
        </w:tc>
        <w:tc>
          <w:tcPr>
            <w:tcW w:w="722" w:type="dxa"/>
            <w:shd w:val="clear" w:color="auto" w:fill="auto"/>
            <w:noWrap/>
            <w:vAlign w:val="bottom"/>
            <w:hideMark/>
          </w:tcPr>
          <w:p w14:paraId="78574887"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12.8</w:t>
            </w:r>
          </w:p>
        </w:tc>
        <w:tc>
          <w:tcPr>
            <w:tcW w:w="722" w:type="dxa"/>
            <w:shd w:val="clear" w:color="auto" w:fill="auto"/>
            <w:noWrap/>
            <w:vAlign w:val="bottom"/>
            <w:hideMark/>
          </w:tcPr>
          <w:p w14:paraId="47865A7B"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18.7</w:t>
            </w:r>
          </w:p>
        </w:tc>
        <w:tc>
          <w:tcPr>
            <w:tcW w:w="722" w:type="dxa"/>
            <w:shd w:val="clear" w:color="auto" w:fill="auto"/>
            <w:noWrap/>
            <w:vAlign w:val="bottom"/>
            <w:hideMark/>
          </w:tcPr>
          <w:p w14:paraId="0849E8D8"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3.0</w:t>
            </w:r>
          </w:p>
        </w:tc>
        <w:tc>
          <w:tcPr>
            <w:tcW w:w="722" w:type="dxa"/>
            <w:shd w:val="clear" w:color="auto" w:fill="auto"/>
            <w:noWrap/>
            <w:vAlign w:val="bottom"/>
            <w:hideMark/>
          </w:tcPr>
          <w:p w14:paraId="167656E0"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-17.0</w:t>
            </w:r>
          </w:p>
        </w:tc>
        <w:tc>
          <w:tcPr>
            <w:tcW w:w="722" w:type="dxa"/>
            <w:shd w:val="clear" w:color="auto" w:fill="auto"/>
            <w:noWrap/>
            <w:vAlign w:val="bottom"/>
            <w:hideMark/>
          </w:tcPr>
          <w:p w14:paraId="54EF8FE3"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12.1</w:t>
            </w:r>
          </w:p>
        </w:tc>
        <w:tc>
          <w:tcPr>
            <w:tcW w:w="722" w:type="dxa"/>
            <w:shd w:val="clear" w:color="auto" w:fill="auto"/>
            <w:noWrap/>
            <w:vAlign w:val="bottom"/>
            <w:hideMark/>
          </w:tcPr>
          <w:p w14:paraId="056FE05E"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-7.3</w:t>
            </w:r>
          </w:p>
        </w:tc>
      </w:tr>
      <w:tr w:rsidR="00F47753" w:rsidRPr="00F47753" w14:paraId="5D9CE8EF" w14:textId="77777777" w:rsidTr="008F7323">
        <w:tc>
          <w:tcPr>
            <w:tcW w:w="1276" w:type="dxa"/>
            <w:shd w:val="clear" w:color="auto" w:fill="auto"/>
          </w:tcPr>
          <w:p w14:paraId="6CA19D23"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left"/>
              <w:rPr>
                <w:sz w:val="18"/>
                <w:szCs w:val="16"/>
              </w:rPr>
            </w:pPr>
            <w:r w:rsidRPr="00F47753">
              <w:rPr>
                <w:sz w:val="18"/>
              </w:rPr>
              <w:t>Inventory changes</w:t>
            </w:r>
          </w:p>
        </w:tc>
        <w:tc>
          <w:tcPr>
            <w:tcW w:w="722" w:type="dxa"/>
            <w:shd w:val="clear" w:color="auto" w:fill="auto"/>
            <w:noWrap/>
            <w:vAlign w:val="bottom"/>
            <w:hideMark/>
          </w:tcPr>
          <w:p w14:paraId="0F163AE2"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-10.5</w:t>
            </w:r>
          </w:p>
        </w:tc>
        <w:tc>
          <w:tcPr>
            <w:tcW w:w="722" w:type="dxa"/>
            <w:shd w:val="clear" w:color="auto" w:fill="auto"/>
            <w:noWrap/>
            <w:vAlign w:val="bottom"/>
            <w:hideMark/>
          </w:tcPr>
          <w:p w14:paraId="62DDAA9E"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-57.0</w:t>
            </w:r>
          </w:p>
        </w:tc>
        <w:tc>
          <w:tcPr>
            <w:tcW w:w="722" w:type="dxa"/>
            <w:shd w:val="clear" w:color="auto" w:fill="auto"/>
            <w:noWrap/>
            <w:vAlign w:val="bottom"/>
            <w:hideMark/>
          </w:tcPr>
          <w:p w14:paraId="6CE76A47"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13.2</w:t>
            </w:r>
          </w:p>
        </w:tc>
        <w:tc>
          <w:tcPr>
            <w:tcW w:w="722" w:type="dxa"/>
            <w:shd w:val="clear" w:color="auto" w:fill="auto"/>
            <w:noWrap/>
            <w:vAlign w:val="bottom"/>
            <w:hideMark/>
          </w:tcPr>
          <w:p w14:paraId="04E521CE"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-25.5</w:t>
            </w:r>
          </w:p>
        </w:tc>
        <w:tc>
          <w:tcPr>
            <w:tcW w:w="722" w:type="dxa"/>
            <w:shd w:val="clear" w:color="auto" w:fill="auto"/>
            <w:noWrap/>
            <w:vAlign w:val="bottom"/>
            <w:hideMark/>
          </w:tcPr>
          <w:p w14:paraId="654E80A0"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151.4</w:t>
            </w:r>
          </w:p>
        </w:tc>
        <w:tc>
          <w:tcPr>
            <w:tcW w:w="722" w:type="dxa"/>
            <w:shd w:val="clear" w:color="auto" w:fill="auto"/>
            <w:noWrap/>
            <w:vAlign w:val="bottom"/>
            <w:hideMark/>
          </w:tcPr>
          <w:p w14:paraId="0FA95B16"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158.2</w:t>
            </w:r>
          </w:p>
        </w:tc>
        <w:tc>
          <w:tcPr>
            <w:tcW w:w="722" w:type="dxa"/>
            <w:shd w:val="clear" w:color="auto" w:fill="auto"/>
            <w:noWrap/>
            <w:vAlign w:val="bottom"/>
            <w:hideMark/>
          </w:tcPr>
          <w:p w14:paraId="6F18101D"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-21.0</w:t>
            </w:r>
          </w:p>
        </w:tc>
        <w:tc>
          <w:tcPr>
            <w:tcW w:w="722" w:type="dxa"/>
            <w:shd w:val="clear" w:color="auto" w:fill="auto"/>
            <w:noWrap/>
            <w:vAlign w:val="bottom"/>
            <w:hideMark/>
          </w:tcPr>
          <w:p w14:paraId="092F206D"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109.7</w:t>
            </w:r>
          </w:p>
        </w:tc>
        <w:tc>
          <w:tcPr>
            <w:tcW w:w="722" w:type="dxa"/>
            <w:shd w:val="clear" w:color="auto" w:fill="auto"/>
            <w:noWrap/>
            <w:vAlign w:val="bottom"/>
            <w:hideMark/>
          </w:tcPr>
          <w:p w14:paraId="6FFB9AAF"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-24.8</w:t>
            </w:r>
          </w:p>
        </w:tc>
        <w:tc>
          <w:tcPr>
            <w:tcW w:w="722" w:type="dxa"/>
            <w:shd w:val="clear" w:color="auto" w:fill="auto"/>
            <w:noWrap/>
            <w:vAlign w:val="bottom"/>
            <w:hideMark/>
          </w:tcPr>
          <w:p w14:paraId="226A2868"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-37.9</w:t>
            </w:r>
          </w:p>
        </w:tc>
      </w:tr>
      <w:tr w:rsidR="00F47753" w:rsidRPr="00F47753" w14:paraId="258FA4FF" w14:textId="77777777" w:rsidTr="008F7323">
        <w:tc>
          <w:tcPr>
            <w:tcW w:w="1276" w:type="dxa"/>
            <w:shd w:val="clear" w:color="auto" w:fill="auto"/>
          </w:tcPr>
          <w:p w14:paraId="67A0F9C8"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left"/>
              <w:rPr>
                <w:sz w:val="18"/>
                <w:szCs w:val="16"/>
              </w:rPr>
            </w:pPr>
            <w:r w:rsidRPr="00F47753">
              <w:rPr>
                <w:sz w:val="18"/>
              </w:rPr>
              <w:t>Net acquisitions of valuables</w:t>
            </w:r>
          </w:p>
        </w:tc>
        <w:tc>
          <w:tcPr>
            <w:tcW w:w="722" w:type="dxa"/>
            <w:shd w:val="clear" w:color="auto" w:fill="auto"/>
            <w:noWrap/>
            <w:vAlign w:val="bottom"/>
            <w:hideMark/>
          </w:tcPr>
          <w:p w14:paraId="259B4925"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0.0</w:t>
            </w:r>
          </w:p>
        </w:tc>
        <w:tc>
          <w:tcPr>
            <w:tcW w:w="722" w:type="dxa"/>
            <w:shd w:val="clear" w:color="auto" w:fill="auto"/>
            <w:noWrap/>
            <w:vAlign w:val="bottom"/>
            <w:hideMark/>
          </w:tcPr>
          <w:p w14:paraId="5151E1F6"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0.0</w:t>
            </w:r>
          </w:p>
        </w:tc>
        <w:tc>
          <w:tcPr>
            <w:tcW w:w="722" w:type="dxa"/>
            <w:shd w:val="clear" w:color="auto" w:fill="auto"/>
            <w:noWrap/>
            <w:vAlign w:val="bottom"/>
            <w:hideMark/>
          </w:tcPr>
          <w:p w14:paraId="4D568C2F"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0.0</w:t>
            </w:r>
          </w:p>
        </w:tc>
        <w:tc>
          <w:tcPr>
            <w:tcW w:w="722" w:type="dxa"/>
            <w:shd w:val="clear" w:color="auto" w:fill="auto"/>
            <w:noWrap/>
            <w:vAlign w:val="bottom"/>
            <w:hideMark/>
          </w:tcPr>
          <w:p w14:paraId="0C4CBD8C"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0.0</w:t>
            </w:r>
          </w:p>
        </w:tc>
        <w:tc>
          <w:tcPr>
            <w:tcW w:w="722" w:type="dxa"/>
            <w:shd w:val="clear" w:color="auto" w:fill="auto"/>
            <w:noWrap/>
            <w:vAlign w:val="bottom"/>
            <w:hideMark/>
          </w:tcPr>
          <w:p w14:paraId="7710487F"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0.0</w:t>
            </w:r>
          </w:p>
        </w:tc>
        <w:tc>
          <w:tcPr>
            <w:tcW w:w="722" w:type="dxa"/>
            <w:shd w:val="clear" w:color="auto" w:fill="auto"/>
            <w:noWrap/>
            <w:vAlign w:val="bottom"/>
            <w:hideMark/>
          </w:tcPr>
          <w:p w14:paraId="46BA2985"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6.5</w:t>
            </w:r>
          </w:p>
        </w:tc>
        <w:tc>
          <w:tcPr>
            <w:tcW w:w="722" w:type="dxa"/>
            <w:shd w:val="clear" w:color="auto" w:fill="auto"/>
            <w:noWrap/>
            <w:vAlign w:val="bottom"/>
            <w:hideMark/>
          </w:tcPr>
          <w:p w14:paraId="6ED7B70B" w14:textId="3E3E4E30"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w:t>
            </w:r>
            <w:r w:rsidR="00E021A6">
              <w:rPr>
                <w:sz w:val="18"/>
                <w:lang w:val="fr-FR"/>
              </w:rPr>
              <w:t xml:space="preserve"> </w:t>
            </w:r>
            <w:r w:rsidRPr="00F47753">
              <w:rPr>
                <w:sz w:val="18"/>
                <w:lang w:val="fr-FR"/>
              </w:rPr>
              <w:t>963.6</w:t>
            </w:r>
          </w:p>
        </w:tc>
        <w:tc>
          <w:tcPr>
            <w:tcW w:w="722" w:type="dxa"/>
            <w:shd w:val="clear" w:color="auto" w:fill="auto"/>
            <w:noWrap/>
            <w:vAlign w:val="bottom"/>
            <w:hideMark/>
          </w:tcPr>
          <w:p w14:paraId="64961821"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 </w:t>
            </w:r>
          </w:p>
        </w:tc>
        <w:tc>
          <w:tcPr>
            <w:tcW w:w="722" w:type="dxa"/>
            <w:shd w:val="clear" w:color="auto" w:fill="auto"/>
            <w:noWrap/>
            <w:vAlign w:val="bottom"/>
            <w:hideMark/>
          </w:tcPr>
          <w:p w14:paraId="6D28A2FF"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 </w:t>
            </w:r>
          </w:p>
        </w:tc>
        <w:tc>
          <w:tcPr>
            <w:tcW w:w="722" w:type="dxa"/>
            <w:shd w:val="clear" w:color="auto" w:fill="auto"/>
            <w:noWrap/>
            <w:vAlign w:val="bottom"/>
            <w:hideMark/>
          </w:tcPr>
          <w:p w14:paraId="4B01F7E3"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 </w:t>
            </w:r>
          </w:p>
        </w:tc>
      </w:tr>
      <w:tr w:rsidR="00F47753" w:rsidRPr="00F47753" w14:paraId="79752787" w14:textId="77777777" w:rsidTr="008F7323">
        <w:tc>
          <w:tcPr>
            <w:tcW w:w="1276" w:type="dxa"/>
            <w:shd w:val="clear" w:color="auto" w:fill="auto"/>
          </w:tcPr>
          <w:p w14:paraId="12B982D6"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left"/>
              <w:rPr>
                <w:sz w:val="18"/>
                <w:szCs w:val="16"/>
              </w:rPr>
            </w:pPr>
            <w:r w:rsidRPr="00F47753">
              <w:rPr>
                <w:sz w:val="18"/>
              </w:rPr>
              <w:t>Exports</w:t>
            </w:r>
          </w:p>
        </w:tc>
        <w:tc>
          <w:tcPr>
            <w:tcW w:w="722" w:type="dxa"/>
            <w:shd w:val="clear" w:color="auto" w:fill="auto"/>
            <w:noWrap/>
            <w:vAlign w:val="bottom"/>
            <w:hideMark/>
          </w:tcPr>
          <w:p w14:paraId="71DD080F"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1.2</w:t>
            </w:r>
          </w:p>
        </w:tc>
        <w:tc>
          <w:tcPr>
            <w:tcW w:w="722" w:type="dxa"/>
            <w:shd w:val="clear" w:color="auto" w:fill="auto"/>
            <w:noWrap/>
            <w:vAlign w:val="bottom"/>
            <w:hideMark/>
          </w:tcPr>
          <w:p w14:paraId="478B09C1"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2.7</w:t>
            </w:r>
          </w:p>
        </w:tc>
        <w:tc>
          <w:tcPr>
            <w:tcW w:w="722" w:type="dxa"/>
            <w:shd w:val="clear" w:color="auto" w:fill="auto"/>
            <w:noWrap/>
            <w:vAlign w:val="bottom"/>
            <w:hideMark/>
          </w:tcPr>
          <w:p w14:paraId="3C0216F1"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2.6</w:t>
            </w:r>
          </w:p>
        </w:tc>
        <w:tc>
          <w:tcPr>
            <w:tcW w:w="722" w:type="dxa"/>
            <w:shd w:val="clear" w:color="auto" w:fill="auto"/>
            <w:noWrap/>
            <w:vAlign w:val="bottom"/>
            <w:hideMark/>
          </w:tcPr>
          <w:p w14:paraId="3736EF9F"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-0.4</w:t>
            </w:r>
          </w:p>
        </w:tc>
        <w:tc>
          <w:tcPr>
            <w:tcW w:w="722" w:type="dxa"/>
            <w:shd w:val="clear" w:color="auto" w:fill="auto"/>
            <w:noWrap/>
            <w:vAlign w:val="bottom"/>
            <w:hideMark/>
          </w:tcPr>
          <w:p w14:paraId="519378F5"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7.1</w:t>
            </w:r>
          </w:p>
        </w:tc>
        <w:tc>
          <w:tcPr>
            <w:tcW w:w="722" w:type="dxa"/>
            <w:shd w:val="clear" w:color="auto" w:fill="auto"/>
            <w:noWrap/>
            <w:vAlign w:val="bottom"/>
            <w:hideMark/>
          </w:tcPr>
          <w:p w14:paraId="219432D0"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1.8</w:t>
            </w:r>
          </w:p>
        </w:tc>
        <w:tc>
          <w:tcPr>
            <w:tcW w:w="722" w:type="dxa"/>
            <w:shd w:val="clear" w:color="auto" w:fill="auto"/>
            <w:noWrap/>
            <w:vAlign w:val="bottom"/>
            <w:hideMark/>
          </w:tcPr>
          <w:p w14:paraId="4D6E06F1"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14.3</w:t>
            </w:r>
          </w:p>
        </w:tc>
        <w:tc>
          <w:tcPr>
            <w:tcW w:w="722" w:type="dxa"/>
            <w:shd w:val="clear" w:color="auto" w:fill="auto"/>
            <w:noWrap/>
            <w:vAlign w:val="bottom"/>
            <w:hideMark/>
          </w:tcPr>
          <w:p w14:paraId="110D19EE"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-9.2</w:t>
            </w:r>
          </w:p>
        </w:tc>
        <w:tc>
          <w:tcPr>
            <w:tcW w:w="722" w:type="dxa"/>
            <w:shd w:val="clear" w:color="auto" w:fill="auto"/>
            <w:noWrap/>
            <w:vAlign w:val="bottom"/>
            <w:hideMark/>
          </w:tcPr>
          <w:p w14:paraId="3EA872CA"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-12.9</w:t>
            </w:r>
          </w:p>
        </w:tc>
        <w:tc>
          <w:tcPr>
            <w:tcW w:w="722" w:type="dxa"/>
            <w:shd w:val="clear" w:color="auto" w:fill="auto"/>
            <w:noWrap/>
            <w:vAlign w:val="bottom"/>
            <w:hideMark/>
          </w:tcPr>
          <w:p w14:paraId="5F48731E" w14:textId="77777777" w:rsidR="000B5CDE" w:rsidRPr="00F47753" w:rsidRDefault="000B5CDE" w:rsidP="00F47753">
            <w:pPr>
              <w:pStyle w:val="SingleTxtG"/>
              <w:tabs>
                <w:tab w:val="clear" w:pos="1701"/>
                <w:tab w:val="clear" w:pos="2268"/>
              </w:tabs>
              <w:suppressAutoHyphens w:val="0"/>
              <w:spacing w:before="40" w:after="40" w:line="220" w:lineRule="exact"/>
              <w:ind w:left="0" w:right="113"/>
              <w:jc w:val="right"/>
              <w:rPr>
                <w:sz w:val="18"/>
                <w:lang w:val="fr-FR"/>
              </w:rPr>
            </w:pPr>
            <w:r w:rsidRPr="00F47753">
              <w:rPr>
                <w:sz w:val="18"/>
                <w:lang w:val="fr-FR"/>
              </w:rPr>
              <w:t>39.9</w:t>
            </w:r>
          </w:p>
        </w:tc>
      </w:tr>
    </w:tbl>
    <w:p w14:paraId="1E7A59E2" w14:textId="77777777" w:rsidR="000B5CDE" w:rsidRPr="008F7323" w:rsidRDefault="000B5CDE" w:rsidP="008F7323">
      <w:pPr>
        <w:spacing w:before="120" w:after="240"/>
        <w:ind w:left="1134" w:right="1134" w:firstLine="170"/>
        <w:rPr>
          <w:sz w:val="18"/>
        </w:rPr>
      </w:pPr>
      <w:r w:rsidRPr="008F7323">
        <w:rPr>
          <w:i/>
          <w:iCs/>
          <w:sz w:val="18"/>
        </w:rPr>
        <w:t>Source</w:t>
      </w:r>
      <w:r w:rsidRPr="008F7323">
        <w:rPr>
          <w:sz w:val="18"/>
        </w:rPr>
        <w:t>: ANSADE, 2023.</w:t>
      </w:r>
    </w:p>
    <w:p w14:paraId="56D7060C" w14:textId="77777777" w:rsidR="000B5CDE" w:rsidRPr="00992A9B" w:rsidRDefault="000B5CDE" w:rsidP="005E5AE8">
      <w:pPr>
        <w:pStyle w:val="H23G"/>
        <w:rPr>
          <w:lang w:val="en-US"/>
        </w:rPr>
      </w:pPr>
      <w:r w:rsidRPr="00992A9B">
        <w:lastRenderedPageBreak/>
        <w:tab/>
      </w:r>
      <w:r w:rsidRPr="00992A9B">
        <w:tab/>
        <w:t>Current GDP by industry from 2013 to 2022</w:t>
      </w:r>
    </w:p>
    <w:tbl>
      <w:tblPr>
        <w:tblW w:w="8478"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706"/>
        <w:gridCol w:w="706"/>
        <w:gridCol w:w="706"/>
        <w:gridCol w:w="706"/>
        <w:gridCol w:w="706"/>
        <w:gridCol w:w="706"/>
        <w:gridCol w:w="706"/>
        <w:gridCol w:w="706"/>
        <w:gridCol w:w="706"/>
        <w:gridCol w:w="706"/>
      </w:tblGrid>
      <w:tr w:rsidR="005E5AE8" w:rsidRPr="00CA659D" w14:paraId="400AF557" w14:textId="77777777" w:rsidTr="000A51A8">
        <w:trPr>
          <w:tblHeader/>
        </w:trPr>
        <w:tc>
          <w:tcPr>
            <w:tcW w:w="1418" w:type="dxa"/>
            <w:tcBorders>
              <w:top w:val="single" w:sz="4" w:space="0" w:color="auto"/>
              <w:bottom w:val="single" w:sz="12" w:space="0" w:color="auto"/>
            </w:tcBorders>
            <w:shd w:val="clear" w:color="auto" w:fill="auto"/>
            <w:vAlign w:val="bottom"/>
          </w:tcPr>
          <w:p w14:paraId="120FD720" w14:textId="77777777" w:rsidR="000B5CDE" w:rsidRPr="00CA659D" w:rsidRDefault="000B5CDE" w:rsidP="005E5AE8">
            <w:pPr>
              <w:pStyle w:val="SingleTxtG"/>
              <w:keepNext/>
              <w:keepLines/>
              <w:tabs>
                <w:tab w:val="clear" w:pos="1701"/>
                <w:tab w:val="clear" w:pos="2268"/>
              </w:tabs>
              <w:suppressAutoHyphens w:val="0"/>
              <w:spacing w:before="80" w:after="80" w:line="200" w:lineRule="exact"/>
              <w:ind w:left="0" w:right="113"/>
              <w:jc w:val="left"/>
              <w:rPr>
                <w:bCs/>
                <w:i/>
                <w:sz w:val="16"/>
                <w:szCs w:val="16"/>
              </w:rPr>
            </w:pPr>
            <w:r w:rsidRPr="00CA659D">
              <w:rPr>
                <w:i/>
                <w:iCs/>
                <w:sz w:val="16"/>
              </w:rPr>
              <w:t>Millions of ouguiyas</w:t>
            </w:r>
          </w:p>
        </w:tc>
        <w:tc>
          <w:tcPr>
            <w:tcW w:w="706" w:type="dxa"/>
            <w:tcBorders>
              <w:top w:val="single" w:sz="4" w:space="0" w:color="auto"/>
              <w:bottom w:val="single" w:sz="12" w:space="0" w:color="auto"/>
            </w:tcBorders>
            <w:shd w:val="clear" w:color="auto" w:fill="auto"/>
            <w:noWrap/>
            <w:vAlign w:val="bottom"/>
            <w:hideMark/>
          </w:tcPr>
          <w:p w14:paraId="04BC9529" w14:textId="77777777" w:rsidR="000B5CDE" w:rsidRPr="00CA659D" w:rsidRDefault="000B5CDE" w:rsidP="00320DA7">
            <w:pPr>
              <w:pStyle w:val="SingleTxtG"/>
              <w:keepNext/>
              <w:keepLines/>
              <w:tabs>
                <w:tab w:val="clear" w:pos="1701"/>
                <w:tab w:val="clear" w:pos="2268"/>
              </w:tabs>
              <w:suppressAutoHyphens w:val="0"/>
              <w:spacing w:before="80" w:after="80" w:line="200" w:lineRule="exact"/>
              <w:ind w:left="0" w:right="113"/>
              <w:jc w:val="right"/>
              <w:rPr>
                <w:bCs/>
                <w:i/>
                <w:sz w:val="16"/>
              </w:rPr>
            </w:pPr>
            <w:r w:rsidRPr="00CA659D">
              <w:rPr>
                <w:i/>
                <w:iCs/>
                <w:sz w:val="16"/>
              </w:rPr>
              <w:t>2013</w:t>
            </w:r>
          </w:p>
        </w:tc>
        <w:tc>
          <w:tcPr>
            <w:tcW w:w="706" w:type="dxa"/>
            <w:tcBorders>
              <w:top w:val="single" w:sz="4" w:space="0" w:color="auto"/>
              <w:bottom w:val="single" w:sz="12" w:space="0" w:color="auto"/>
            </w:tcBorders>
            <w:shd w:val="clear" w:color="auto" w:fill="auto"/>
            <w:noWrap/>
            <w:vAlign w:val="bottom"/>
            <w:hideMark/>
          </w:tcPr>
          <w:p w14:paraId="51B2F1A7" w14:textId="77777777" w:rsidR="000B5CDE" w:rsidRPr="00CA659D" w:rsidRDefault="000B5CDE" w:rsidP="005E5AE8">
            <w:pPr>
              <w:pStyle w:val="SingleTxtG"/>
              <w:keepNext/>
              <w:keepLines/>
              <w:tabs>
                <w:tab w:val="clear" w:pos="1701"/>
                <w:tab w:val="clear" w:pos="2268"/>
              </w:tabs>
              <w:suppressAutoHyphens w:val="0"/>
              <w:spacing w:before="80" w:after="80" w:line="200" w:lineRule="exact"/>
              <w:ind w:left="0" w:right="113"/>
              <w:jc w:val="right"/>
              <w:rPr>
                <w:bCs/>
                <w:i/>
                <w:sz w:val="16"/>
              </w:rPr>
            </w:pPr>
            <w:r w:rsidRPr="00CA659D">
              <w:rPr>
                <w:i/>
                <w:iCs/>
                <w:sz w:val="16"/>
              </w:rPr>
              <w:t>2014</w:t>
            </w:r>
          </w:p>
        </w:tc>
        <w:tc>
          <w:tcPr>
            <w:tcW w:w="706" w:type="dxa"/>
            <w:tcBorders>
              <w:top w:val="single" w:sz="4" w:space="0" w:color="auto"/>
              <w:bottom w:val="single" w:sz="12" w:space="0" w:color="auto"/>
            </w:tcBorders>
            <w:shd w:val="clear" w:color="auto" w:fill="auto"/>
            <w:noWrap/>
            <w:vAlign w:val="bottom"/>
            <w:hideMark/>
          </w:tcPr>
          <w:p w14:paraId="58ED7081" w14:textId="77777777" w:rsidR="000B5CDE" w:rsidRPr="00CA659D" w:rsidRDefault="000B5CDE" w:rsidP="005E5AE8">
            <w:pPr>
              <w:pStyle w:val="SingleTxtG"/>
              <w:keepNext/>
              <w:keepLines/>
              <w:tabs>
                <w:tab w:val="clear" w:pos="1701"/>
                <w:tab w:val="clear" w:pos="2268"/>
              </w:tabs>
              <w:suppressAutoHyphens w:val="0"/>
              <w:spacing w:before="80" w:after="80" w:line="200" w:lineRule="exact"/>
              <w:ind w:left="0" w:right="113"/>
              <w:jc w:val="right"/>
              <w:rPr>
                <w:bCs/>
                <w:i/>
                <w:sz w:val="16"/>
              </w:rPr>
            </w:pPr>
            <w:r w:rsidRPr="00CA659D">
              <w:rPr>
                <w:i/>
                <w:iCs/>
                <w:sz w:val="16"/>
              </w:rPr>
              <w:t>2015</w:t>
            </w:r>
          </w:p>
        </w:tc>
        <w:tc>
          <w:tcPr>
            <w:tcW w:w="706" w:type="dxa"/>
            <w:tcBorders>
              <w:top w:val="single" w:sz="4" w:space="0" w:color="auto"/>
              <w:bottom w:val="single" w:sz="12" w:space="0" w:color="auto"/>
            </w:tcBorders>
            <w:shd w:val="clear" w:color="auto" w:fill="auto"/>
            <w:noWrap/>
            <w:vAlign w:val="bottom"/>
            <w:hideMark/>
          </w:tcPr>
          <w:p w14:paraId="2801E0BA" w14:textId="77777777" w:rsidR="000B5CDE" w:rsidRPr="00CA659D" w:rsidRDefault="000B5CDE" w:rsidP="005E5AE8">
            <w:pPr>
              <w:pStyle w:val="SingleTxtG"/>
              <w:keepNext/>
              <w:keepLines/>
              <w:tabs>
                <w:tab w:val="clear" w:pos="1701"/>
                <w:tab w:val="clear" w:pos="2268"/>
              </w:tabs>
              <w:suppressAutoHyphens w:val="0"/>
              <w:spacing w:before="80" w:after="80" w:line="200" w:lineRule="exact"/>
              <w:ind w:left="0" w:right="113"/>
              <w:jc w:val="right"/>
              <w:rPr>
                <w:bCs/>
                <w:i/>
                <w:sz w:val="16"/>
              </w:rPr>
            </w:pPr>
            <w:r w:rsidRPr="00CA659D">
              <w:rPr>
                <w:i/>
                <w:iCs/>
                <w:sz w:val="16"/>
              </w:rPr>
              <w:t>2016</w:t>
            </w:r>
          </w:p>
        </w:tc>
        <w:tc>
          <w:tcPr>
            <w:tcW w:w="706" w:type="dxa"/>
            <w:tcBorders>
              <w:top w:val="single" w:sz="4" w:space="0" w:color="auto"/>
              <w:bottom w:val="single" w:sz="12" w:space="0" w:color="auto"/>
            </w:tcBorders>
            <w:shd w:val="clear" w:color="auto" w:fill="auto"/>
            <w:noWrap/>
            <w:vAlign w:val="bottom"/>
            <w:hideMark/>
          </w:tcPr>
          <w:p w14:paraId="6B170D92" w14:textId="77777777" w:rsidR="000B5CDE" w:rsidRPr="00CA659D" w:rsidRDefault="000B5CDE" w:rsidP="005E5AE8">
            <w:pPr>
              <w:pStyle w:val="SingleTxtG"/>
              <w:keepNext/>
              <w:keepLines/>
              <w:tabs>
                <w:tab w:val="clear" w:pos="1701"/>
                <w:tab w:val="clear" w:pos="2268"/>
              </w:tabs>
              <w:suppressAutoHyphens w:val="0"/>
              <w:spacing w:before="80" w:after="80" w:line="200" w:lineRule="exact"/>
              <w:ind w:left="0" w:right="113"/>
              <w:jc w:val="right"/>
              <w:rPr>
                <w:bCs/>
                <w:i/>
                <w:sz w:val="16"/>
              </w:rPr>
            </w:pPr>
            <w:r w:rsidRPr="00CA659D">
              <w:rPr>
                <w:i/>
                <w:iCs/>
                <w:sz w:val="16"/>
              </w:rPr>
              <w:t>2017</w:t>
            </w:r>
          </w:p>
        </w:tc>
        <w:tc>
          <w:tcPr>
            <w:tcW w:w="706" w:type="dxa"/>
            <w:tcBorders>
              <w:top w:val="single" w:sz="4" w:space="0" w:color="auto"/>
              <w:bottom w:val="single" w:sz="12" w:space="0" w:color="auto"/>
            </w:tcBorders>
            <w:shd w:val="clear" w:color="auto" w:fill="auto"/>
            <w:noWrap/>
            <w:vAlign w:val="bottom"/>
            <w:hideMark/>
          </w:tcPr>
          <w:p w14:paraId="6E70773F" w14:textId="77777777" w:rsidR="000B5CDE" w:rsidRPr="00CA659D" w:rsidRDefault="000B5CDE" w:rsidP="005E5AE8">
            <w:pPr>
              <w:pStyle w:val="SingleTxtG"/>
              <w:keepNext/>
              <w:keepLines/>
              <w:tabs>
                <w:tab w:val="clear" w:pos="1701"/>
                <w:tab w:val="clear" w:pos="2268"/>
              </w:tabs>
              <w:suppressAutoHyphens w:val="0"/>
              <w:spacing w:before="80" w:after="80" w:line="200" w:lineRule="exact"/>
              <w:ind w:left="0" w:right="113"/>
              <w:jc w:val="right"/>
              <w:rPr>
                <w:bCs/>
                <w:i/>
                <w:sz w:val="16"/>
              </w:rPr>
            </w:pPr>
            <w:r w:rsidRPr="00CA659D">
              <w:rPr>
                <w:i/>
                <w:iCs/>
                <w:sz w:val="16"/>
              </w:rPr>
              <w:t>2018</w:t>
            </w:r>
          </w:p>
        </w:tc>
        <w:tc>
          <w:tcPr>
            <w:tcW w:w="706" w:type="dxa"/>
            <w:tcBorders>
              <w:top w:val="single" w:sz="4" w:space="0" w:color="auto"/>
              <w:bottom w:val="single" w:sz="12" w:space="0" w:color="auto"/>
            </w:tcBorders>
            <w:shd w:val="clear" w:color="auto" w:fill="auto"/>
            <w:noWrap/>
            <w:vAlign w:val="bottom"/>
            <w:hideMark/>
          </w:tcPr>
          <w:p w14:paraId="6B9BAA97" w14:textId="77777777" w:rsidR="000B5CDE" w:rsidRPr="00CA659D" w:rsidRDefault="000B5CDE" w:rsidP="005E5AE8">
            <w:pPr>
              <w:pStyle w:val="SingleTxtG"/>
              <w:keepNext/>
              <w:keepLines/>
              <w:tabs>
                <w:tab w:val="clear" w:pos="1701"/>
                <w:tab w:val="clear" w:pos="2268"/>
              </w:tabs>
              <w:suppressAutoHyphens w:val="0"/>
              <w:spacing w:before="80" w:after="80" w:line="200" w:lineRule="exact"/>
              <w:ind w:left="0" w:right="113"/>
              <w:jc w:val="right"/>
              <w:rPr>
                <w:bCs/>
                <w:i/>
                <w:sz w:val="16"/>
              </w:rPr>
            </w:pPr>
            <w:r w:rsidRPr="00CA659D">
              <w:rPr>
                <w:i/>
                <w:iCs/>
                <w:sz w:val="16"/>
              </w:rPr>
              <w:t>2019</w:t>
            </w:r>
          </w:p>
        </w:tc>
        <w:tc>
          <w:tcPr>
            <w:tcW w:w="706" w:type="dxa"/>
            <w:tcBorders>
              <w:top w:val="single" w:sz="4" w:space="0" w:color="auto"/>
              <w:bottom w:val="single" w:sz="12" w:space="0" w:color="auto"/>
            </w:tcBorders>
            <w:shd w:val="clear" w:color="auto" w:fill="auto"/>
            <w:noWrap/>
            <w:vAlign w:val="bottom"/>
            <w:hideMark/>
          </w:tcPr>
          <w:p w14:paraId="4DEC42B0" w14:textId="77777777" w:rsidR="000B5CDE" w:rsidRPr="00CA659D" w:rsidRDefault="000B5CDE" w:rsidP="005E5AE8">
            <w:pPr>
              <w:pStyle w:val="SingleTxtG"/>
              <w:keepNext/>
              <w:keepLines/>
              <w:tabs>
                <w:tab w:val="clear" w:pos="1701"/>
                <w:tab w:val="clear" w:pos="2268"/>
              </w:tabs>
              <w:suppressAutoHyphens w:val="0"/>
              <w:spacing w:before="80" w:after="80" w:line="200" w:lineRule="exact"/>
              <w:ind w:left="0" w:right="113"/>
              <w:jc w:val="right"/>
              <w:rPr>
                <w:bCs/>
                <w:i/>
                <w:sz w:val="16"/>
              </w:rPr>
            </w:pPr>
            <w:r w:rsidRPr="00CA659D">
              <w:rPr>
                <w:i/>
                <w:iCs/>
                <w:sz w:val="16"/>
              </w:rPr>
              <w:t>2020</w:t>
            </w:r>
          </w:p>
        </w:tc>
        <w:tc>
          <w:tcPr>
            <w:tcW w:w="706" w:type="dxa"/>
            <w:tcBorders>
              <w:top w:val="single" w:sz="4" w:space="0" w:color="auto"/>
              <w:bottom w:val="single" w:sz="12" w:space="0" w:color="auto"/>
            </w:tcBorders>
            <w:shd w:val="clear" w:color="auto" w:fill="auto"/>
            <w:noWrap/>
            <w:vAlign w:val="bottom"/>
            <w:hideMark/>
          </w:tcPr>
          <w:p w14:paraId="7BC74010" w14:textId="77777777" w:rsidR="000B5CDE" w:rsidRPr="00CA659D" w:rsidRDefault="000B5CDE" w:rsidP="005E5AE8">
            <w:pPr>
              <w:pStyle w:val="SingleTxtG"/>
              <w:keepNext/>
              <w:keepLines/>
              <w:tabs>
                <w:tab w:val="clear" w:pos="1701"/>
                <w:tab w:val="clear" w:pos="2268"/>
              </w:tabs>
              <w:suppressAutoHyphens w:val="0"/>
              <w:spacing w:before="80" w:after="80" w:line="200" w:lineRule="exact"/>
              <w:ind w:left="0" w:right="113"/>
              <w:jc w:val="right"/>
              <w:rPr>
                <w:bCs/>
                <w:i/>
                <w:sz w:val="16"/>
              </w:rPr>
            </w:pPr>
            <w:r w:rsidRPr="00CA659D">
              <w:rPr>
                <w:i/>
                <w:iCs/>
                <w:sz w:val="16"/>
              </w:rPr>
              <w:t>2021</w:t>
            </w:r>
          </w:p>
        </w:tc>
        <w:tc>
          <w:tcPr>
            <w:tcW w:w="706" w:type="dxa"/>
            <w:tcBorders>
              <w:top w:val="single" w:sz="4" w:space="0" w:color="auto"/>
              <w:bottom w:val="single" w:sz="12" w:space="0" w:color="auto"/>
            </w:tcBorders>
            <w:shd w:val="clear" w:color="auto" w:fill="auto"/>
            <w:noWrap/>
            <w:vAlign w:val="bottom"/>
            <w:hideMark/>
          </w:tcPr>
          <w:p w14:paraId="25F195C2" w14:textId="77777777" w:rsidR="000B5CDE" w:rsidRPr="00CA659D" w:rsidRDefault="000B5CDE" w:rsidP="005E5AE8">
            <w:pPr>
              <w:pStyle w:val="SingleTxtG"/>
              <w:keepNext/>
              <w:keepLines/>
              <w:tabs>
                <w:tab w:val="clear" w:pos="1701"/>
                <w:tab w:val="clear" w:pos="2268"/>
              </w:tabs>
              <w:suppressAutoHyphens w:val="0"/>
              <w:spacing w:before="80" w:after="80" w:line="200" w:lineRule="exact"/>
              <w:ind w:left="0" w:right="113"/>
              <w:jc w:val="right"/>
              <w:rPr>
                <w:bCs/>
                <w:i/>
                <w:sz w:val="16"/>
              </w:rPr>
            </w:pPr>
            <w:r w:rsidRPr="00CA659D">
              <w:rPr>
                <w:i/>
                <w:iCs/>
                <w:sz w:val="16"/>
              </w:rPr>
              <w:t>2022</w:t>
            </w:r>
          </w:p>
        </w:tc>
      </w:tr>
      <w:tr w:rsidR="000A51A8" w:rsidRPr="00CA659D" w14:paraId="0EC65AF4" w14:textId="77777777" w:rsidTr="000A51A8">
        <w:tc>
          <w:tcPr>
            <w:tcW w:w="1418" w:type="dxa"/>
            <w:tcBorders>
              <w:top w:val="single" w:sz="12" w:space="0" w:color="auto"/>
            </w:tcBorders>
            <w:shd w:val="clear" w:color="auto" w:fill="auto"/>
          </w:tcPr>
          <w:p w14:paraId="7F72D77A"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left"/>
              <w:rPr>
                <w:b/>
                <w:bCs/>
                <w:sz w:val="18"/>
                <w:szCs w:val="16"/>
              </w:rPr>
            </w:pPr>
            <w:r w:rsidRPr="00CA659D">
              <w:rPr>
                <w:b/>
                <w:bCs/>
                <w:sz w:val="18"/>
              </w:rPr>
              <w:t>Primary sector</w:t>
            </w:r>
          </w:p>
        </w:tc>
        <w:tc>
          <w:tcPr>
            <w:tcW w:w="706" w:type="dxa"/>
            <w:tcBorders>
              <w:top w:val="single" w:sz="12" w:space="0" w:color="auto"/>
            </w:tcBorders>
            <w:shd w:val="clear" w:color="auto" w:fill="auto"/>
            <w:noWrap/>
            <w:vAlign w:val="bottom"/>
            <w:hideMark/>
          </w:tcPr>
          <w:p w14:paraId="73C17175" w14:textId="77777777" w:rsidR="000B5CDE" w:rsidRPr="00CA659D" w:rsidRDefault="000B5CDE" w:rsidP="00320DA7">
            <w:pPr>
              <w:pStyle w:val="SingleTxtG"/>
              <w:keepNext/>
              <w:keepLines/>
              <w:tabs>
                <w:tab w:val="clear" w:pos="1701"/>
                <w:tab w:val="clear" w:pos="2268"/>
              </w:tabs>
              <w:suppressAutoHyphens w:val="0"/>
              <w:spacing w:before="40" w:after="40" w:line="220" w:lineRule="exact"/>
              <w:ind w:left="0" w:right="113"/>
              <w:jc w:val="right"/>
              <w:rPr>
                <w:b/>
                <w:bCs/>
                <w:sz w:val="18"/>
              </w:rPr>
            </w:pPr>
            <w:r w:rsidRPr="00CA659D">
              <w:rPr>
                <w:b/>
                <w:bCs/>
                <w:sz w:val="18"/>
              </w:rPr>
              <w:t>35.363</w:t>
            </w:r>
          </w:p>
        </w:tc>
        <w:tc>
          <w:tcPr>
            <w:tcW w:w="706" w:type="dxa"/>
            <w:tcBorders>
              <w:top w:val="single" w:sz="12" w:space="0" w:color="auto"/>
            </w:tcBorders>
            <w:shd w:val="clear" w:color="auto" w:fill="auto"/>
            <w:noWrap/>
            <w:vAlign w:val="bottom"/>
            <w:hideMark/>
          </w:tcPr>
          <w:p w14:paraId="5F2A855F"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right"/>
              <w:rPr>
                <w:b/>
                <w:bCs/>
                <w:sz w:val="18"/>
              </w:rPr>
            </w:pPr>
            <w:r w:rsidRPr="00CA659D">
              <w:rPr>
                <w:b/>
                <w:bCs/>
                <w:sz w:val="18"/>
              </w:rPr>
              <w:t>37.548</w:t>
            </w:r>
          </w:p>
        </w:tc>
        <w:tc>
          <w:tcPr>
            <w:tcW w:w="706" w:type="dxa"/>
            <w:tcBorders>
              <w:top w:val="single" w:sz="12" w:space="0" w:color="auto"/>
            </w:tcBorders>
            <w:shd w:val="clear" w:color="auto" w:fill="auto"/>
            <w:noWrap/>
            <w:vAlign w:val="bottom"/>
            <w:hideMark/>
          </w:tcPr>
          <w:p w14:paraId="7D4B6EB1"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right"/>
              <w:rPr>
                <w:b/>
                <w:bCs/>
                <w:sz w:val="18"/>
              </w:rPr>
            </w:pPr>
            <w:r w:rsidRPr="00CA659D">
              <w:rPr>
                <w:b/>
                <w:bCs/>
                <w:sz w:val="18"/>
              </w:rPr>
              <w:t>41.305</w:t>
            </w:r>
          </w:p>
        </w:tc>
        <w:tc>
          <w:tcPr>
            <w:tcW w:w="706" w:type="dxa"/>
            <w:tcBorders>
              <w:top w:val="single" w:sz="12" w:space="0" w:color="auto"/>
            </w:tcBorders>
            <w:shd w:val="clear" w:color="auto" w:fill="auto"/>
            <w:noWrap/>
            <w:vAlign w:val="bottom"/>
            <w:hideMark/>
          </w:tcPr>
          <w:p w14:paraId="51E26CB1"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right"/>
              <w:rPr>
                <w:b/>
                <w:bCs/>
                <w:sz w:val="18"/>
              </w:rPr>
            </w:pPr>
            <w:r w:rsidRPr="00CA659D">
              <w:rPr>
                <w:b/>
                <w:bCs/>
                <w:sz w:val="18"/>
              </w:rPr>
              <w:t>49.016</w:t>
            </w:r>
          </w:p>
        </w:tc>
        <w:tc>
          <w:tcPr>
            <w:tcW w:w="706" w:type="dxa"/>
            <w:tcBorders>
              <w:top w:val="single" w:sz="12" w:space="0" w:color="auto"/>
            </w:tcBorders>
            <w:shd w:val="clear" w:color="auto" w:fill="auto"/>
            <w:noWrap/>
            <w:vAlign w:val="bottom"/>
            <w:hideMark/>
          </w:tcPr>
          <w:p w14:paraId="7670ADD2"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right"/>
              <w:rPr>
                <w:b/>
                <w:bCs/>
                <w:sz w:val="18"/>
              </w:rPr>
            </w:pPr>
            <w:r w:rsidRPr="00CA659D">
              <w:rPr>
                <w:b/>
                <w:bCs/>
                <w:sz w:val="18"/>
              </w:rPr>
              <w:t>55.299</w:t>
            </w:r>
          </w:p>
        </w:tc>
        <w:tc>
          <w:tcPr>
            <w:tcW w:w="706" w:type="dxa"/>
            <w:tcBorders>
              <w:top w:val="single" w:sz="12" w:space="0" w:color="auto"/>
            </w:tcBorders>
            <w:shd w:val="clear" w:color="auto" w:fill="auto"/>
            <w:noWrap/>
            <w:vAlign w:val="bottom"/>
            <w:hideMark/>
          </w:tcPr>
          <w:p w14:paraId="5BC9443A"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right"/>
              <w:rPr>
                <w:b/>
                <w:bCs/>
                <w:sz w:val="18"/>
              </w:rPr>
            </w:pPr>
            <w:r w:rsidRPr="00CA659D">
              <w:rPr>
                <w:b/>
                <w:bCs/>
                <w:sz w:val="18"/>
              </w:rPr>
              <w:t>63.076</w:t>
            </w:r>
          </w:p>
        </w:tc>
        <w:tc>
          <w:tcPr>
            <w:tcW w:w="706" w:type="dxa"/>
            <w:tcBorders>
              <w:top w:val="single" w:sz="12" w:space="0" w:color="auto"/>
            </w:tcBorders>
            <w:shd w:val="clear" w:color="auto" w:fill="auto"/>
            <w:noWrap/>
            <w:vAlign w:val="bottom"/>
            <w:hideMark/>
          </w:tcPr>
          <w:p w14:paraId="534B577C"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right"/>
              <w:rPr>
                <w:b/>
                <w:bCs/>
                <w:sz w:val="18"/>
              </w:rPr>
            </w:pPr>
            <w:r w:rsidRPr="00CA659D">
              <w:rPr>
                <w:b/>
                <w:bCs/>
                <w:sz w:val="18"/>
              </w:rPr>
              <w:t>57.811</w:t>
            </w:r>
          </w:p>
        </w:tc>
        <w:tc>
          <w:tcPr>
            <w:tcW w:w="706" w:type="dxa"/>
            <w:tcBorders>
              <w:top w:val="single" w:sz="12" w:space="0" w:color="auto"/>
            </w:tcBorders>
            <w:shd w:val="clear" w:color="auto" w:fill="auto"/>
            <w:noWrap/>
            <w:vAlign w:val="bottom"/>
            <w:hideMark/>
          </w:tcPr>
          <w:p w14:paraId="0C6817E7"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right"/>
              <w:rPr>
                <w:b/>
                <w:bCs/>
                <w:sz w:val="18"/>
              </w:rPr>
            </w:pPr>
            <w:r w:rsidRPr="00CA659D">
              <w:rPr>
                <w:b/>
                <w:bCs/>
                <w:sz w:val="18"/>
              </w:rPr>
              <w:t>58.838</w:t>
            </w:r>
          </w:p>
        </w:tc>
        <w:tc>
          <w:tcPr>
            <w:tcW w:w="706" w:type="dxa"/>
            <w:tcBorders>
              <w:top w:val="single" w:sz="12" w:space="0" w:color="auto"/>
            </w:tcBorders>
            <w:shd w:val="clear" w:color="auto" w:fill="auto"/>
            <w:noWrap/>
            <w:vAlign w:val="bottom"/>
            <w:hideMark/>
          </w:tcPr>
          <w:p w14:paraId="1069A2F5"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right"/>
              <w:rPr>
                <w:b/>
                <w:bCs/>
                <w:sz w:val="18"/>
              </w:rPr>
            </w:pPr>
            <w:r w:rsidRPr="00CA659D">
              <w:rPr>
                <w:b/>
                <w:bCs/>
                <w:sz w:val="18"/>
              </w:rPr>
              <w:t>63.687</w:t>
            </w:r>
          </w:p>
        </w:tc>
        <w:tc>
          <w:tcPr>
            <w:tcW w:w="706" w:type="dxa"/>
            <w:tcBorders>
              <w:top w:val="single" w:sz="12" w:space="0" w:color="auto"/>
            </w:tcBorders>
            <w:shd w:val="clear" w:color="auto" w:fill="auto"/>
            <w:noWrap/>
            <w:vAlign w:val="bottom"/>
            <w:hideMark/>
          </w:tcPr>
          <w:p w14:paraId="3F9D40A9"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right"/>
              <w:rPr>
                <w:b/>
                <w:bCs/>
                <w:sz w:val="18"/>
              </w:rPr>
            </w:pPr>
            <w:r w:rsidRPr="00CA659D">
              <w:rPr>
                <w:b/>
                <w:bCs/>
                <w:sz w:val="18"/>
              </w:rPr>
              <w:t>80.409</w:t>
            </w:r>
          </w:p>
        </w:tc>
      </w:tr>
      <w:tr w:rsidR="000A51A8" w:rsidRPr="00CA659D" w14:paraId="06EAD1B9" w14:textId="77777777" w:rsidTr="000A51A8">
        <w:tc>
          <w:tcPr>
            <w:tcW w:w="1418" w:type="dxa"/>
            <w:shd w:val="clear" w:color="auto" w:fill="auto"/>
            <w:vAlign w:val="bottom"/>
          </w:tcPr>
          <w:p w14:paraId="6A9C0806" w14:textId="33926B4E"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left"/>
              <w:rPr>
                <w:sz w:val="18"/>
                <w:szCs w:val="16"/>
              </w:rPr>
            </w:pPr>
            <w:r w:rsidRPr="00CA659D">
              <w:rPr>
                <w:sz w:val="18"/>
              </w:rPr>
              <w:t xml:space="preserve">1. </w:t>
            </w:r>
            <w:r w:rsidR="003E64E7">
              <w:rPr>
                <w:sz w:val="18"/>
              </w:rPr>
              <w:br/>
            </w:r>
            <w:r w:rsidRPr="00CA659D">
              <w:rPr>
                <w:sz w:val="18"/>
              </w:rPr>
              <w:t>Agriculture, fishing and logging</w:t>
            </w:r>
          </w:p>
        </w:tc>
        <w:tc>
          <w:tcPr>
            <w:tcW w:w="706" w:type="dxa"/>
            <w:shd w:val="clear" w:color="auto" w:fill="auto"/>
            <w:noWrap/>
            <w:vAlign w:val="bottom"/>
            <w:hideMark/>
          </w:tcPr>
          <w:p w14:paraId="7EECAFA8" w14:textId="77777777" w:rsidR="000B5CDE" w:rsidRPr="00CA659D" w:rsidRDefault="000B5CDE" w:rsidP="00320DA7">
            <w:pPr>
              <w:pStyle w:val="SingleTxtG"/>
              <w:keepNext/>
              <w:keepLines/>
              <w:tabs>
                <w:tab w:val="clear" w:pos="1701"/>
                <w:tab w:val="clear" w:pos="2268"/>
              </w:tabs>
              <w:suppressAutoHyphens w:val="0"/>
              <w:spacing w:before="40" w:after="40" w:line="220" w:lineRule="exact"/>
              <w:ind w:left="0" w:right="113"/>
              <w:jc w:val="right"/>
              <w:rPr>
                <w:sz w:val="18"/>
              </w:rPr>
            </w:pPr>
            <w:r w:rsidRPr="00CA659D">
              <w:rPr>
                <w:sz w:val="18"/>
              </w:rPr>
              <w:t>35.363</w:t>
            </w:r>
          </w:p>
        </w:tc>
        <w:tc>
          <w:tcPr>
            <w:tcW w:w="706" w:type="dxa"/>
            <w:shd w:val="clear" w:color="auto" w:fill="auto"/>
            <w:noWrap/>
            <w:vAlign w:val="bottom"/>
            <w:hideMark/>
          </w:tcPr>
          <w:p w14:paraId="591BCC4C"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right"/>
              <w:rPr>
                <w:sz w:val="18"/>
              </w:rPr>
            </w:pPr>
            <w:r w:rsidRPr="00CA659D">
              <w:rPr>
                <w:sz w:val="18"/>
              </w:rPr>
              <w:t>37.548</w:t>
            </w:r>
          </w:p>
        </w:tc>
        <w:tc>
          <w:tcPr>
            <w:tcW w:w="706" w:type="dxa"/>
            <w:shd w:val="clear" w:color="auto" w:fill="auto"/>
            <w:noWrap/>
            <w:vAlign w:val="bottom"/>
            <w:hideMark/>
          </w:tcPr>
          <w:p w14:paraId="1A795AA6"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right"/>
              <w:rPr>
                <w:sz w:val="18"/>
              </w:rPr>
            </w:pPr>
            <w:r w:rsidRPr="00CA659D">
              <w:rPr>
                <w:sz w:val="18"/>
              </w:rPr>
              <w:t>41.305</w:t>
            </w:r>
          </w:p>
        </w:tc>
        <w:tc>
          <w:tcPr>
            <w:tcW w:w="706" w:type="dxa"/>
            <w:shd w:val="clear" w:color="auto" w:fill="auto"/>
            <w:noWrap/>
            <w:vAlign w:val="bottom"/>
            <w:hideMark/>
          </w:tcPr>
          <w:p w14:paraId="3C976061"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right"/>
              <w:rPr>
                <w:sz w:val="18"/>
              </w:rPr>
            </w:pPr>
            <w:r w:rsidRPr="00CA659D">
              <w:rPr>
                <w:sz w:val="18"/>
              </w:rPr>
              <w:t>49.016</w:t>
            </w:r>
          </w:p>
        </w:tc>
        <w:tc>
          <w:tcPr>
            <w:tcW w:w="706" w:type="dxa"/>
            <w:shd w:val="clear" w:color="auto" w:fill="auto"/>
            <w:noWrap/>
            <w:vAlign w:val="bottom"/>
            <w:hideMark/>
          </w:tcPr>
          <w:p w14:paraId="16594D6C"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right"/>
              <w:rPr>
                <w:sz w:val="18"/>
              </w:rPr>
            </w:pPr>
            <w:r w:rsidRPr="00CA659D">
              <w:rPr>
                <w:sz w:val="18"/>
              </w:rPr>
              <w:t>55.299</w:t>
            </w:r>
          </w:p>
        </w:tc>
        <w:tc>
          <w:tcPr>
            <w:tcW w:w="706" w:type="dxa"/>
            <w:shd w:val="clear" w:color="auto" w:fill="auto"/>
            <w:noWrap/>
            <w:vAlign w:val="bottom"/>
            <w:hideMark/>
          </w:tcPr>
          <w:p w14:paraId="7AFBD616"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right"/>
              <w:rPr>
                <w:sz w:val="18"/>
              </w:rPr>
            </w:pPr>
            <w:r w:rsidRPr="00CA659D">
              <w:rPr>
                <w:sz w:val="18"/>
              </w:rPr>
              <w:t>63.076</w:t>
            </w:r>
          </w:p>
        </w:tc>
        <w:tc>
          <w:tcPr>
            <w:tcW w:w="706" w:type="dxa"/>
            <w:shd w:val="clear" w:color="auto" w:fill="auto"/>
            <w:noWrap/>
            <w:vAlign w:val="bottom"/>
            <w:hideMark/>
          </w:tcPr>
          <w:p w14:paraId="2A51107D"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right"/>
              <w:rPr>
                <w:sz w:val="18"/>
              </w:rPr>
            </w:pPr>
            <w:r w:rsidRPr="00CA659D">
              <w:rPr>
                <w:sz w:val="18"/>
              </w:rPr>
              <w:t>57.811</w:t>
            </w:r>
          </w:p>
        </w:tc>
        <w:tc>
          <w:tcPr>
            <w:tcW w:w="706" w:type="dxa"/>
            <w:shd w:val="clear" w:color="auto" w:fill="auto"/>
            <w:noWrap/>
            <w:vAlign w:val="bottom"/>
            <w:hideMark/>
          </w:tcPr>
          <w:p w14:paraId="02F2670D"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right"/>
              <w:rPr>
                <w:sz w:val="18"/>
              </w:rPr>
            </w:pPr>
            <w:r w:rsidRPr="00CA659D">
              <w:rPr>
                <w:sz w:val="18"/>
              </w:rPr>
              <w:t>58.838</w:t>
            </w:r>
          </w:p>
        </w:tc>
        <w:tc>
          <w:tcPr>
            <w:tcW w:w="706" w:type="dxa"/>
            <w:shd w:val="clear" w:color="auto" w:fill="auto"/>
            <w:noWrap/>
            <w:vAlign w:val="bottom"/>
            <w:hideMark/>
          </w:tcPr>
          <w:p w14:paraId="286816D2"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right"/>
              <w:rPr>
                <w:sz w:val="18"/>
              </w:rPr>
            </w:pPr>
            <w:r w:rsidRPr="00CA659D">
              <w:rPr>
                <w:sz w:val="18"/>
              </w:rPr>
              <w:t>63.687</w:t>
            </w:r>
          </w:p>
        </w:tc>
        <w:tc>
          <w:tcPr>
            <w:tcW w:w="706" w:type="dxa"/>
            <w:shd w:val="clear" w:color="auto" w:fill="auto"/>
            <w:noWrap/>
            <w:vAlign w:val="bottom"/>
            <w:hideMark/>
          </w:tcPr>
          <w:p w14:paraId="3C403981" w14:textId="77777777" w:rsidR="000B5CDE" w:rsidRPr="00CA659D" w:rsidRDefault="000B5CDE" w:rsidP="005E5AE8">
            <w:pPr>
              <w:pStyle w:val="SingleTxtG"/>
              <w:keepNext/>
              <w:keepLines/>
              <w:tabs>
                <w:tab w:val="clear" w:pos="1701"/>
                <w:tab w:val="clear" w:pos="2268"/>
              </w:tabs>
              <w:suppressAutoHyphens w:val="0"/>
              <w:spacing w:before="40" w:after="40" w:line="220" w:lineRule="exact"/>
              <w:ind w:left="0" w:right="113"/>
              <w:jc w:val="right"/>
              <w:rPr>
                <w:sz w:val="18"/>
              </w:rPr>
            </w:pPr>
            <w:r w:rsidRPr="00CA659D">
              <w:rPr>
                <w:sz w:val="18"/>
              </w:rPr>
              <w:t>80.409</w:t>
            </w:r>
          </w:p>
        </w:tc>
      </w:tr>
      <w:tr w:rsidR="00F47753" w:rsidRPr="00CA659D" w14:paraId="36238D08" w14:textId="77777777" w:rsidTr="000A51A8">
        <w:tc>
          <w:tcPr>
            <w:tcW w:w="1418" w:type="dxa"/>
            <w:shd w:val="clear" w:color="auto" w:fill="auto"/>
            <w:vAlign w:val="bottom"/>
          </w:tcPr>
          <w:p w14:paraId="797C6119" w14:textId="132B5A91" w:rsidR="000B5CDE" w:rsidRPr="00CA659D" w:rsidRDefault="000B5CDE" w:rsidP="00CA659D">
            <w:pPr>
              <w:pStyle w:val="SingleTxtG"/>
              <w:tabs>
                <w:tab w:val="clear" w:pos="1701"/>
                <w:tab w:val="clear" w:pos="2268"/>
              </w:tabs>
              <w:suppressAutoHyphens w:val="0"/>
              <w:spacing w:before="40" w:after="40" w:line="220" w:lineRule="exact"/>
              <w:ind w:left="0" w:right="113"/>
              <w:jc w:val="left"/>
              <w:rPr>
                <w:sz w:val="18"/>
                <w:szCs w:val="16"/>
              </w:rPr>
            </w:pPr>
            <w:r w:rsidRPr="00CA659D">
              <w:rPr>
                <w:sz w:val="18"/>
              </w:rPr>
              <w:t xml:space="preserve">1.1 </w:t>
            </w:r>
            <w:r w:rsidR="003E64E7">
              <w:rPr>
                <w:sz w:val="18"/>
              </w:rPr>
              <w:br/>
            </w:r>
            <w:r w:rsidRPr="00CA659D">
              <w:rPr>
                <w:sz w:val="18"/>
              </w:rPr>
              <w:t>Agriculture, forestry and logging</w:t>
            </w:r>
          </w:p>
        </w:tc>
        <w:tc>
          <w:tcPr>
            <w:tcW w:w="706" w:type="dxa"/>
            <w:shd w:val="clear" w:color="auto" w:fill="auto"/>
            <w:noWrap/>
            <w:vAlign w:val="bottom"/>
            <w:hideMark/>
          </w:tcPr>
          <w:p w14:paraId="33A5F372" w14:textId="77777777" w:rsidR="000B5CDE" w:rsidRPr="00CA659D" w:rsidRDefault="000B5CDE" w:rsidP="00320DA7">
            <w:pPr>
              <w:pStyle w:val="SingleTxtG"/>
              <w:keepNext/>
              <w:keepLines/>
              <w:tabs>
                <w:tab w:val="clear" w:pos="1701"/>
                <w:tab w:val="clear" w:pos="2268"/>
              </w:tabs>
              <w:suppressAutoHyphens w:val="0"/>
              <w:spacing w:before="40" w:after="40" w:line="220" w:lineRule="exact"/>
              <w:ind w:left="0" w:right="113"/>
              <w:jc w:val="right"/>
              <w:rPr>
                <w:sz w:val="18"/>
              </w:rPr>
            </w:pPr>
            <w:r w:rsidRPr="00CA659D">
              <w:rPr>
                <w:sz w:val="18"/>
              </w:rPr>
              <w:t>11.478</w:t>
            </w:r>
          </w:p>
        </w:tc>
        <w:tc>
          <w:tcPr>
            <w:tcW w:w="706" w:type="dxa"/>
            <w:shd w:val="clear" w:color="auto" w:fill="auto"/>
            <w:noWrap/>
            <w:vAlign w:val="bottom"/>
            <w:hideMark/>
          </w:tcPr>
          <w:p w14:paraId="00791D88"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10.561</w:t>
            </w:r>
          </w:p>
        </w:tc>
        <w:tc>
          <w:tcPr>
            <w:tcW w:w="706" w:type="dxa"/>
            <w:shd w:val="clear" w:color="auto" w:fill="auto"/>
            <w:noWrap/>
            <w:vAlign w:val="bottom"/>
            <w:hideMark/>
          </w:tcPr>
          <w:p w14:paraId="416E97F7"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9.945</w:t>
            </w:r>
          </w:p>
        </w:tc>
        <w:tc>
          <w:tcPr>
            <w:tcW w:w="706" w:type="dxa"/>
            <w:shd w:val="clear" w:color="auto" w:fill="auto"/>
            <w:noWrap/>
            <w:vAlign w:val="bottom"/>
            <w:hideMark/>
          </w:tcPr>
          <w:p w14:paraId="4AC8A2FE"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10.266</w:t>
            </w:r>
          </w:p>
        </w:tc>
        <w:tc>
          <w:tcPr>
            <w:tcW w:w="706" w:type="dxa"/>
            <w:shd w:val="clear" w:color="auto" w:fill="auto"/>
            <w:noWrap/>
            <w:vAlign w:val="bottom"/>
            <w:hideMark/>
          </w:tcPr>
          <w:p w14:paraId="0E21BB6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10.510</w:t>
            </w:r>
          </w:p>
        </w:tc>
        <w:tc>
          <w:tcPr>
            <w:tcW w:w="706" w:type="dxa"/>
            <w:shd w:val="clear" w:color="auto" w:fill="auto"/>
            <w:noWrap/>
            <w:vAlign w:val="bottom"/>
            <w:hideMark/>
          </w:tcPr>
          <w:p w14:paraId="3F1FED36"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11.822</w:t>
            </w:r>
          </w:p>
        </w:tc>
        <w:tc>
          <w:tcPr>
            <w:tcW w:w="706" w:type="dxa"/>
            <w:shd w:val="clear" w:color="auto" w:fill="auto"/>
            <w:noWrap/>
            <w:vAlign w:val="bottom"/>
            <w:hideMark/>
          </w:tcPr>
          <w:p w14:paraId="46DBF554"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12.091</w:t>
            </w:r>
          </w:p>
        </w:tc>
        <w:tc>
          <w:tcPr>
            <w:tcW w:w="706" w:type="dxa"/>
            <w:shd w:val="clear" w:color="auto" w:fill="auto"/>
            <w:noWrap/>
            <w:vAlign w:val="bottom"/>
            <w:hideMark/>
          </w:tcPr>
          <w:p w14:paraId="7F5F60A4"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11.815</w:t>
            </w:r>
          </w:p>
        </w:tc>
        <w:tc>
          <w:tcPr>
            <w:tcW w:w="706" w:type="dxa"/>
            <w:shd w:val="clear" w:color="auto" w:fill="auto"/>
            <w:noWrap/>
            <w:vAlign w:val="bottom"/>
            <w:hideMark/>
          </w:tcPr>
          <w:p w14:paraId="090B7E93"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13.104</w:t>
            </w:r>
          </w:p>
        </w:tc>
        <w:tc>
          <w:tcPr>
            <w:tcW w:w="706" w:type="dxa"/>
            <w:shd w:val="clear" w:color="auto" w:fill="auto"/>
            <w:noWrap/>
            <w:vAlign w:val="bottom"/>
            <w:hideMark/>
          </w:tcPr>
          <w:p w14:paraId="19037EC8"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17.696</w:t>
            </w:r>
          </w:p>
        </w:tc>
      </w:tr>
      <w:tr w:rsidR="00F47753" w:rsidRPr="00CA659D" w14:paraId="0703E820" w14:textId="77777777" w:rsidTr="000A51A8">
        <w:tc>
          <w:tcPr>
            <w:tcW w:w="1418" w:type="dxa"/>
            <w:shd w:val="clear" w:color="auto" w:fill="auto"/>
            <w:vAlign w:val="bottom"/>
          </w:tcPr>
          <w:p w14:paraId="0CE64599" w14:textId="013E2E3E" w:rsidR="000B5CDE" w:rsidRPr="00CA659D" w:rsidRDefault="000B5CDE" w:rsidP="00CA659D">
            <w:pPr>
              <w:pStyle w:val="SingleTxtG"/>
              <w:tabs>
                <w:tab w:val="clear" w:pos="1701"/>
                <w:tab w:val="clear" w:pos="2268"/>
              </w:tabs>
              <w:suppressAutoHyphens w:val="0"/>
              <w:spacing w:before="40" w:after="40" w:line="220" w:lineRule="exact"/>
              <w:ind w:left="0" w:right="113"/>
              <w:jc w:val="left"/>
              <w:rPr>
                <w:sz w:val="18"/>
                <w:szCs w:val="16"/>
              </w:rPr>
            </w:pPr>
            <w:r w:rsidRPr="00CA659D">
              <w:rPr>
                <w:sz w:val="18"/>
              </w:rPr>
              <w:t xml:space="preserve">1.2 </w:t>
            </w:r>
            <w:r w:rsidR="003E64E7">
              <w:rPr>
                <w:sz w:val="18"/>
              </w:rPr>
              <w:br/>
            </w:r>
            <w:r w:rsidRPr="00CA659D">
              <w:rPr>
                <w:sz w:val="18"/>
              </w:rPr>
              <w:t>Animal husbandry and hunting</w:t>
            </w:r>
          </w:p>
        </w:tc>
        <w:tc>
          <w:tcPr>
            <w:tcW w:w="706" w:type="dxa"/>
            <w:shd w:val="clear" w:color="auto" w:fill="auto"/>
            <w:noWrap/>
            <w:vAlign w:val="bottom"/>
            <w:hideMark/>
          </w:tcPr>
          <w:p w14:paraId="7908C250" w14:textId="77777777" w:rsidR="000B5CDE" w:rsidRPr="00CA659D" w:rsidRDefault="000B5CDE" w:rsidP="00320DA7">
            <w:pPr>
              <w:pStyle w:val="SingleTxtG"/>
              <w:keepNext/>
              <w:keepLines/>
              <w:tabs>
                <w:tab w:val="clear" w:pos="1701"/>
                <w:tab w:val="clear" w:pos="2268"/>
              </w:tabs>
              <w:suppressAutoHyphens w:val="0"/>
              <w:spacing w:before="40" w:after="40" w:line="220" w:lineRule="exact"/>
              <w:ind w:left="0" w:right="113"/>
              <w:jc w:val="right"/>
              <w:rPr>
                <w:sz w:val="18"/>
              </w:rPr>
            </w:pPr>
            <w:r w:rsidRPr="00CA659D">
              <w:rPr>
                <w:sz w:val="18"/>
              </w:rPr>
              <w:t>15.797</w:t>
            </w:r>
          </w:p>
        </w:tc>
        <w:tc>
          <w:tcPr>
            <w:tcW w:w="706" w:type="dxa"/>
            <w:shd w:val="clear" w:color="auto" w:fill="auto"/>
            <w:noWrap/>
            <w:vAlign w:val="bottom"/>
            <w:hideMark/>
          </w:tcPr>
          <w:p w14:paraId="60137F0E"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18.700</w:t>
            </w:r>
          </w:p>
        </w:tc>
        <w:tc>
          <w:tcPr>
            <w:tcW w:w="706" w:type="dxa"/>
            <w:shd w:val="clear" w:color="auto" w:fill="auto"/>
            <w:noWrap/>
            <w:vAlign w:val="bottom"/>
            <w:hideMark/>
          </w:tcPr>
          <w:p w14:paraId="66FE2FFF"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21.744</w:t>
            </w:r>
          </w:p>
        </w:tc>
        <w:tc>
          <w:tcPr>
            <w:tcW w:w="706" w:type="dxa"/>
            <w:shd w:val="clear" w:color="auto" w:fill="auto"/>
            <w:noWrap/>
            <w:vAlign w:val="bottom"/>
            <w:hideMark/>
          </w:tcPr>
          <w:p w14:paraId="408449C4"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24.391</w:t>
            </w:r>
          </w:p>
        </w:tc>
        <w:tc>
          <w:tcPr>
            <w:tcW w:w="706" w:type="dxa"/>
            <w:shd w:val="clear" w:color="auto" w:fill="auto"/>
            <w:noWrap/>
            <w:vAlign w:val="bottom"/>
            <w:hideMark/>
          </w:tcPr>
          <w:p w14:paraId="2E0EAEE8"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25.830</w:t>
            </w:r>
          </w:p>
        </w:tc>
        <w:tc>
          <w:tcPr>
            <w:tcW w:w="706" w:type="dxa"/>
            <w:shd w:val="clear" w:color="auto" w:fill="auto"/>
            <w:noWrap/>
            <w:vAlign w:val="bottom"/>
            <w:hideMark/>
          </w:tcPr>
          <w:p w14:paraId="0458D7CC"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27.159</w:t>
            </w:r>
          </w:p>
        </w:tc>
        <w:tc>
          <w:tcPr>
            <w:tcW w:w="706" w:type="dxa"/>
            <w:shd w:val="clear" w:color="auto" w:fill="auto"/>
            <w:noWrap/>
            <w:vAlign w:val="bottom"/>
            <w:hideMark/>
          </w:tcPr>
          <w:p w14:paraId="5F5B5498"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26.790</w:t>
            </w:r>
          </w:p>
        </w:tc>
        <w:tc>
          <w:tcPr>
            <w:tcW w:w="706" w:type="dxa"/>
            <w:shd w:val="clear" w:color="auto" w:fill="auto"/>
            <w:noWrap/>
            <w:vAlign w:val="bottom"/>
            <w:hideMark/>
          </w:tcPr>
          <w:p w14:paraId="4DC940D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27.799</w:t>
            </w:r>
          </w:p>
        </w:tc>
        <w:tc>
          <w:tcPr>
            <w:tcW w:w="706" w:type="dxa"/>
            <w:shd w:val="clear" w:color="auto" w:fill="auto"/>
            <w:noWrap/>
            <w:vAlign w:val="bottom"/>
            <w:hideMark/>
          </w:tcPr>
          <w:p w14:paraId="3CC9F224"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33.712</w:t>
            </w:r>
          </w:p>
        </w:tc>
        <w:tc>
          <w:tcPr>
            <w:tcW w:w="706" w:type="dxa"/>
            <w:shd w:val="clear" w:color="auto" w:fill="auto"/>
            <w:noWrap/>
            <w:vAlign w:val="bottom"/>
            <w:hideMark/>
          </w:tcPr>
          <w:p w14:paraId="2A5B2E17"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41.950</w:t>
            </w:r>
          </w:p>
        </w:tc>
      </w:tr>
      <w:tr w:rsidR="00F47753" w:rsidRPr="00CA659D" w14:paraId="763BB447" w14:textId="77777777" w:rsidTr="000A51A8">
        <w:tc>
          <w:tcPr>
            <w:tcW w:w="1418" w:type="dxa"/>
            <w:shd w:val="clear" w:color="auto" w:fill="auto"/>
            <w:vAlign w:val="bottom"/>
          </w:tcPr>
          <w:p w14:paraId="032F3E2F" w14:textId="4980B187" w:rsidR="000B5CDE" w:rsidRPr="00CA659D" w:rsidRDefault="000B5CDE" w:rsidP="00AF01A1">
            <w:pPr>
              <w:pStyle w:val="SingleTxtG"/>
              <w:tabs>
                <w:tab w:val="clear" w:pos="1701"/>
                <w:tab w:val="clear" w:pos="2268"/>
              </w:tabs>
              <w:suppressAutoHyphens w:val="0"/>
              <w:spacing w:before="40" w:after="40" w:line="220" w:lineRule="exact"/>
              <w:ind w:left="0" w:right="113"/>
              <w:jc w:val="left"/>
              <w:rPr>
                <w:sz w:val="18"/>
                <w:szCs w:val="16"/>
              </w:rPr>
            </w:pPr>
            <w:r w:rsidRPr="00CA659D">
              <w:rPr>
                <w:sz w:val="18"/>
              </w:rPr>
              <w:t xml:space="preserve">1.3 </w:t>
            </w:r>
            <w:r w:rsidR="003E64E7">
              <w:rPr>
                <w:sz w:val="18"/>
              </w:rPr>
              <w:br/>
            </w:r>
            <w:r w:rsidRPr="00CA659D">
              <w:rPr>
                <w:sz w:val="18"/>
              </w:rPr>
              <w:t>Fishing</w:t>
            </w:r>
          </w:p>
        </w:tc>
        <w:tc>
          <w:tcPr>
            <w:tcW w:w="706" w:type="dxa"/>
            <w:shd w:val="clear" w:color="auto" w:fill="auto"/>
            <w:noWrap/>
            <w:vAlign w:val="bottom"/>
            <w:hideMark/>
          </w:tcPr>
          <w:p w14:paraId="46715004" w14:textId="77777777" w:rsidR="000B5CDE" w:rsidRPr="00CA659D" w:rsidRDefault="000B5CDE" w:rsidP="00320DA7">
            <w:pPr>
              <w:pStyle w:val="SingleTxtG"/>
              <w:keepNext/>
              <w:keepLines/>
              <w:tabs>
                <w:tab w:val="clear" w:pos="1701"/>
                <w:tab w:val="clear" w:pos="2268"/>
              </w:tabs>
              <w:suppressAutoHyphens w:val="0"/>
              <w:spacing w:before="40" w:after="40" w:line="220" w:lineRule="exact"/>
              <w:ind w:left="0" w:right="113"/>
              <w:jc w:val="right"/>
              <w:rPr>
                <w:sz w:val="18"/>
              </w:rPr>
            </w:pPr>
            <w:r w:rsidRPr="00CA659D">
              <w:rPr>
                <w:sz w:val="18"/>
              </w:rPr>
              <w:t>8.089</w:t>
            </w:r>
          </w:p>
        </w:tc>
        <w:tc>
          <w:tcPr>
            <w:tcW w:w="706" w:type="dxa"/>
            <w:shd w:val="clear" w:color="auto" w:fill="auto"/>
            <w:noWrap/>
            <w:vAlign w:val="bottom"/>
            <w:hideMark/>
          </w:tcPr>
          <w:p w14:paraId="0417731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8.287</w:t>
            </w:r>
          </w:p>
        </w:tc>
        <w:tc>
          <w:tcPr>
            <w:tcW w:w="706" w:type="dxa"/>
            <w:shd w:val="clear" w:color="auto" w:fill="auto"/>
            <w:noWrap/>
            <w:vAlign w:val="bottom"/>
            <w:hideMark/>
          </w:tcPr>
          <w:p w14:paraId="12A7D8DC"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9.616</w:t>
            </w:r>
          </w:p>
        </w:tc>
        <w:tc>
          <w:tcPr>
            <w:tcW w:w="706" w:type="dxa"/>
            <w:shd w:val="clear" w:color="auto" w:fill="auto"/>
            <w:noWrap/>
            <w:vAlign w:val="bottom"/>
            <w:hideMark/>
          </w:tcPr>
          <w:p w14:paraId="4C3721A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14.359</w:t>
            </w:r>
          </w:p>
        </w:tc>
        <w:tc>
          <w:tcPr>
            <w:tcW w:w="706" w:type="dxa"/>
            <w:shd w:val="clear" w:color="auto" w:fill="auto"/>
            <w:noWrap/>
            <w:vAlign w:val="bottom"/>
            <w:hideMark/>
          </w:tcPr>
          <w:p w14:paraId="7A13B4B3"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18.959</w:t>
            </w:r>
          </w:p>
        </w:tc>
        <w:tc>
          <w:tcPr>
            <w:tcW w:w="706" w:type="dxa"/>
            <w:shd w:val="clear" w:color="auto" w:fill="auto"/>
            <w:noWrap/>
            <w:vAlign w:val="bottom"/>
            <w:hideMark/>
          </w:tcPr>
          <w:p w14:paraId="61082279"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24.095</w:t>
            </w:r>
          </w:p>
        </w:tc>
        <w:tc>
          <w:tcPr>
            <w:tcW w:w="706" w:type="dxa"/>
            <w:shd w:val="clear" w:color="auto" w:fill="auto"/>
            <w:noWrap/>
            <w:vAlign w:val="bottom"/>
            <w:hideMark/>
          </w:tcPr>
          <w:p w14:paraId="101F6815"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18.930</w:t>
            </w:r>
          </w:p>
        </w:tc>
        <w:tc>
          <w:tcPr>
            <w:tcW w:w="706" w:type="dxa"/>
            <w:shd w:val="clear" w:color="auto" w:fill="auto"/>
            <w:noWrap/>
            <w:vAlign w:val="bottom"/>
            <w:hideMark/>
          </w:tcPr>
          <w:p w14:paraId="1FE8A53A"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19.224</w:t>
            </w:r>
          </w:p>
        </w:tc>
        <w:tc>
          <w:tcPr>
            <w:tcW w:w="706" w:type="dxa"/>
            <w:shd w:val="clear" w:color="auto" w:fill="auto"/>
            <w:noWrap/>
            <w:vAlign w:val="bottom"/>
            <w:hideMark/>
          </w:tcPr>
          <w:p w14:paraId="3B17735E"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16.871</w:t>
            </w:r>
          </w:p>
        </w:tc>
        <w:tc>
          <w:tcPr>
            <w:tcW w:w="706" w:type="dxa"/>
            <w:shd w:val="clear" w:color="auto" w:fill="auto"/>
            <w:noWrap/>
            <w:vAlign w:val="bottom"/>
            <w:hideMark/>
          </w:tcPr>
          <w:p w14:paraId="0DB1BA10"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20.763</w:t>
            </w:r>
          </w:p>
        </w:tc>
      </w:tr>
      <w:tr w:rsidR="00F47753" w:rsidRPr="00CA659D" w14:paraId="7669E7F5" w14:textId="77777777" w:rsidTr="000A51A8">
        <w:tc>
          <w:tcPr>
            <w:tcW w:w="1418" w:type="dxa"/>
            <w:shd w:val="clear" w:color="auto" w:fill="auto"/>
          </w:tcPr>
          <w:p w14:paraId="6B7FF809"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left"/>
              <w:rPr>
                <w:b/>
                <w:bCs/>
                <w:sz w:val="18"/>
                <w:szCs w:val="16"/>
              </w:rPr>
            </w:pPr>
            <w:r w:rsidRPr="00CA659D">
              <w:rPr>
                <w:b/>
                <w:bCs/>
                <w:sz w:val="18"/>
              </w:rPr>
              <w:t>Secondary sector</w:t>
            </w:r>
          </w:p>
        </w:tc>
        <w:tc>
          <w:tcPr>
            <w:tcW w:w="706" w:type="dxa"/>
            <w:shd w:val="clear" w:color="auto" w:fill="auto"/>
            <w:noWrap/>
            <w:vAlign w:val="bottom"/>
            <w:hideMark/>
          </w:tcPr>
          <w:p w14:paraId="275B4F02"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83.854</w:t>
            </w:r>
          </w:p>
        </w:tc>
        <w:tc>
          <w:tcPr>
            <w:tcW w:w="706" w:type="dxa"/>
            <w:shd w:val="clear" w:color="auto" w:fill="auto"/>
            <w:noWrap/>
            <w:vAlign w:val="bottom"/>
            <w:hideMark/>
          </w:tcPr>
          <w:p w14:paraId="74F2BC31" w14:textId="77777777" w:rsidR="000B5CDE" w:rsidRPr="00CA659D" w:rsidRDefault="000B5CDE" w:rsidP="00AF01A1">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56.753</w:t>
            </w:r>
          </w:p>
        </w:tc>
        <w:tc>
          <w:tcPr>
            <w:tcW w:w="706" w:type="dxa"/>
            <w:shd w:val="clear" w:color="auto" w:fill="auto"/>
            <w:noWrap/>
            <w:vAlign w:val="bottom"/>
            <w:hideMark/>
          </w:tcPr>
          <w:p w14:paraId="1F2A940C"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45.543</w:t>
            </w:r>
          </w:p>
        </w:tc>
        <w:tc>
          <w:tcPr>
            <w:tcW w:w="706" w:type="dxa"/>
            <w:shd w:val="clear" w:color="auto" w:fill="auto"/>
            <w:noWrap/>
            <w:vAlign w:val="bottom"/>
            <w:hideMark/>
          </w:tcPr>
          <w:p w14:paraId="3F7E47B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56.864</w:t>
            </w:r>
          </w:p>
        </w:tc>
        <w:tc>
          <w:tcPr>
            <w:tcW w:w="706" w:type="dxa"/>
            <w:shd w:val="clear" w:color="auto" w:fill="auto"/>
            <w:noWrap/>
            <w:vAlign w:val="bottom"/>
            <w:hideMark/>
          </w:tcPr>
          <w:p w14:paraId="6A92B3B0"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57.799</w:t>
            </w:r>
          </w:p>
        </w:tc>
        <w:tc>
          <w:tcPr>
            <w:tcW w:w="706" w:type="dxa"/>
            <w:shd w:val="clear" w:color="auto" w:fill="auto"/>
            <w:noWrap/>
            <w:vAlign w:val="bottom"/>
            <w:hideMark/>
          </w:tcPr>
          <w:p w14:paraId="19045037"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63.020</w:t>
            </w:r>
          </w:p>
        </w:tc>
        <w:tc>
          <w:tcPr>
            <w:tcW w:w="706" w:type="dxa"/>
            <w:shd w:val="clear" w:color="auto" w:fill="auto"/>
            <w:noWrap/>
            <w:vAlign w:val="bottom"/>
            <w:hideMark/>
          </w:tcPr>
          <w:p w14:paraId="55860953"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82.840</w:t>
            </w:r>
          </w:p>
        </w:tc>
        <w:tc>
          <w:tcPr>
            <w:tcW w:w="706" w:type="dxa"/>
            <w:shd w:val="clear" w:color="auto" w:fill="auto"/>
            <w:noWrap/>
            <w:vAlign w:val="bottom"/>
            <w:hideMark/>
          </w:tcPr>
          <w:p w14:paraId="1220899A"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103.366</w:t>
            </w:r>
          </w:p>
        </w:tc>
        <w:tc>
          <w:tcPr>
            <w:tcW w:w="706" w:type="dxa"/>
            <w:shd w:val="clear" w:color="auto" w:fill="auto"/>
            <w:noWrap/>
            <w:vAlign w:val="bottom"/>
            <w:hideMark/>
          </w:tcPr>
          <w:p w14:paraId="054B8143"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106.703</w:t>
            </w:r>
          </w:p>
        </w:tc>
        <w:tc>
          <w:tcPr>
            <w:tcW w:w="706" w:type="dxa"/>
            <w:shd w:val="clear" w:color="auto" w:fill="auto"/>
            <w:noWrap/>
            <w:vAlign w:val="bottom"/>
            <w:hideMark/>
          </w:tcPr>
          <w:p w14:paraId="3CAA902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109.187</w:t>
            </w:r>
          </w:p>
        </w:tc>
      </w:tr>
      <w:tr w:rsidR="00F47753" w:rsidRPr="00CA659D" w14:paraId="69E5896D" w14:textId="77777777" w:rsidTr="000A51A8">
        <w:tc>
          <w:tcPr>
            <w:tcW w:w="1418" w:type="dxa"/>
            <w:shd w:val="clear" w:color="auto" w:fill="auto"/>
          </w:tcPr>
          <w:p w14:paraId="57F4AB7F" w14:textId="692759F0" w:rsidR="000B5CDE" w:rsidRPr="00CA659D" w:rsidRDefault="000B5CDE" w:rsidP="00CA659D">
            <w:pPr>
              <w:pStyle w:val="SingleTxtG"/>
              <w:tabs>
                <w:tab w:val="clear" w:pos="1701"/>
                <w:tab w:val="clear" w:pos="2268"/>
              </w:tabs>
              <w:suppressAutoHyphens w:val="0"/>
              <w:spacing w:before="40" w:after="40" w:line="220" w:lineRule="exact"/>
              <w:ind w:left="0" w:right="113"/>
              <w:jc w:val="left"/>
              <w:rPr>
                <w:sz w:val="18"/>
                <w:szCs w:val="16"/>
              </w:rPr>
            </w:pPr>
            <w:r w:rsidRPr="00CA659D">
              <w:rPr>
                <w:sz w:val="18"/>
              </w:rPr>
              <w:t xml:space="preserve">2. </w:t>
            </w:r>
            <w:r w:rsidR="003E64E7">
              <w:rPr>
                <w:sz w:val="18"/>
              </w:rPr>
              <w:br/>
            </w:r>
            <w:r w:rsidRPr="00CA659D">
              <w:rPr>
                <w:sz w:val="18"/>
              </w:rPr>
              <w:t>Mining and quarrying</w:t>
            </w:r>
          </w:p>
        </w:tc>
        <w:tc>
          <w:tcPr>
            <w:tcW w:w="706" w:type="dxa"/>
            <w:shd w:val="clear" w:color="auto" w:fill="auto"/>
            <w:noWrap/>
            <w:vAlign w:val="bottom"/>
            <w:hideMark/>
          </w:tcPr>
          <w:p w14:paraId="60640CF6"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sz w:val="18"/>
              </w:rPr>
            </w:pPr>
            <w:r w:rsidRPr="00CA659D">
              <w:rPr>
                <w:sz w:val="18"/>
              </w:rPr>
              <w:t>56.010</w:t>
            </w:r>
          </w:p>
        </w:tc>
        <w:tc>
          <w:tcPr>
            <w:tcW w:w="706" w:type="dxa"/>
            <w:shd w:val="clear" w:color="auto" w:fill="auto"/>
            <w:noWrap/>
            <w:vAlign w:val="bottom"/>
            <w:hideMark/>
          </w:tcPr>
          <w:p w14:paraId="795233CC"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26.338</w:t>
            </w:r>
          </w:p>
        </w:tc>
        <w:tc>
          <w:tcPr>
            <w:tcW w:w="706" w:type="dxa"/>
            <w:shd w:val="clear" w:color="auto" w:fill="auto"/>
            <w:noWrap/>
            <w:vAlign w:val="bottom"/>
            <w:hideMark/>
          </w:tcPr>
          <w:p w14:paraId="619A11A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12.914</w:t>
            </w:r>
          </w:p>
        </w:tc>
        <w:tc>
          <w:tcPr>
            <w:tcW w:w="706" w:type="dxa"/>
            <w:shd w:val="clear" w:color="auto" w:fill="auto"/>
            <w:noWrap/>
            <w:vAlign w:val="bottom"/>
            <w:hideMark/>
          </w:tcPr>
          <w:p w14:paraId="6EA4B0FF"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25.467</w:t>
            </w:r>
          </w:p>
        </w:tc>
        <w:tc>
          <w:tcPr>
            <w:tcW w:w="706" w:type="dxa"/>
            <w:shd w:val="clear" w:color="auto" w:fill="auto"/>
            <w:noWrap/>
            <w:vAlign w:val="bottom"/>
            <w:hideMark/>
          </w:tcPr>
          <w:p w14:paraId="3F272BB6"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24.915</w:t>
            </w:r>
          </w:p>
        </w:tc>
        <w:tc>
          <w:tcPr>
            <w:tcW w:w="706" w:type="dxa"/>
            <w:shd w:val="clear" w:color="auto" w:fill="auto"/>
            <w:noWrap/>
            <w:vAlign w:val="bottom"/>
            <w:hideMark/>
          </w:tcPr>
          <w:p w14:paraId="5CC4AF5F"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26.457</w:t>
            </w:r>
          </w:p>
        </w:tc>
        <w:tc>
          <w:tcPr>
            <w:tcW w:w="706" w:type="dxa"/>
            <w:shd w:val="clear" w:color="auto" w:fill="auto"/>
            <w:noWrap/>
            <w:vAlign w:val="bottom"/>
            <w:hideMark/>
          </w:tcPr>
          <w:p w14:paraId="0088A994"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43.006</w:t>
            </w:r>
          </w:p>
        </w:tc>
        <w:tc>
          <w:tcPr>
            <w:tcW w:w="706" w:type="dxa"/>
            <w:shd w:val="clear" w:color="auto" w:fill="auto"/>
            <w:noWrap/>
            <w:vAlign w:val="bottom"/>
            <w:hideMark/>
          </w:tcPr>
          <w:p w14:paraId="15DE52F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64.303</w:t>
            </w:r>
          </w:p>
        </w:tc>
        <w:tc>
          <w:tcPr>
            <w:tcW w:w="706" w:type="dxa"/>
            <w:shd w:val="clear" w:color="auto" w:fill="auto"/>
            <w:noWrap/>
            <w:vAlign w:val="bottom"/>
            <w:hideMark/>
          </w:tcPr>
          <w:p w14:paraId="0D223437"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68.479</w:t>
            </w:r>
          </w:p>
        </w:tc>
        <w:tc>
          <w:tcPr>
            <w:tcW w:w="706" w:type="dxa"/>
            <w:shd w:val="clear" w:color="auto" w:fill="auto"/>
            <w:noWrap/>
            <w:vAlign w:val="bottom"/>
            <w:hideMark/>
          </w:tcPr>
          <w:p w14:paraId="7439D677"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68.834</w:t>
            </w:r>
          </w:p>
        </w:tc>
      </w:tr>
      <w:tr w:rsidR="00F47753" w:rsidRPr="00CA659D" w14:paraId="0B9C3425" w14:textId="77777777" w:rsidTr="000A51A8">
        <w:tc>
          <w:tcPr>
            <w:tcW w:w="1418" w:type="dxa"/>
            <w:shd w:val="clear" w:color="auto" w:fill="auto"/>
          </w:tcPr>
          <w:p w14:paraId="25D61C4D" w14:textId="4332351F" w:rsidR="000B5CDE" w:rsidRPr="00CA659D" w:rsidRDefault="000B5CDE" w:rsidP="00CA659D">
            <w:pPr>
              <w:pStyle w:val="SingleTxtG"/>
              <w:tabs>
                <w:tab w:val="clear" w:pos="1701"/>
                <w:tab w:val="clear" w:pos="2268"/>
              </w:tabs>
              <w:suppressAutoHyphens w:val="0"/>
              <w:spacing w:before="40" w:after="40" w:line="220" w:lineRule="exact"/>
              <w:ind w:left="0" w:right="113"/>
              <w:jc w:val="left"/>
              <w:rPr>
                <w:sz w:val="18"/>
                <w:szCs w:val="16"/>
                <w:lang w:val="en-US"/>
              </w:rPr>
            </w:pPr>
            <w:r w:rsidRPr="00CA659D">
              <w:rPr>
                <w:sz w:val="18"/>
              </w:rPr>
              <w:t>2.1</w:t>
            </w:r>
            <w:r w:rsidR="003E64E7">
              <w:rPr>
                <w:sz w:val="18"/>
              </w:rPr>
              <w:br/>
            </w:r>
            <w:r w:rsidRPr="00CA659D">
              <w:rPr>
                <w:sz w:val="18"/>
              </w:rPr>
              <w:t>Extraction of petroleum and gas products</w:t>
            </w:r>
          </w:p>
        </w:tc>
        <w:tc>
          <w:tcPr>
            <w:tcW w:w="706" w:type="dxa"/>
            <w:shd w:val="clear" w:color="auto" w:fill="auto"/>
            <w:noWrap/>
            <w:vAlign w:val="bottom"/>
            <w:hideMark/>
          </w:tcPr>
          <w:p w14:paraId="2208798F"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sz w:val="18"/>
              </w:rPr>
            </w:pPr>
            <w:r w:rsidRPr="00CA659D">
              <w:rPr>
                <w:sz w:val="18"/>
              </w:rPr>
              <w:t>3.232</w:t>
            </w:r>
          </w:p>
        </w:tc>
        <w:tc>
          <w:tcPr>
            <w:tcW w:w="706" w:type="dxa"/>
            <w:shd w:val="clear" w:color="auto" w:fill="auto"/>
            <w:noWrap/>
            <w:vAlign w:val="bottom"/>
            <w:hideMark/>
          </w:tcPr>
          <w:p w14:paraId="3A2C36A5"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3.570</w:t>
            </w:r>
          </w:p>
        </w:tc>
        <w:tc>
          <w:tcPr>
            <w:tcW w:w="706" w:type="dxa"/>
            <w:shd w:val="clear" w:color="auto" w:fill="auto"/>
            <w:noWrap/>
            <w:vAlign w:val="bottom"/>
            <w:hideMark/>
          </w:tcPr>
          <w:p w14:paraId="4D392DA9"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649</w:t>
            </w:r>
          </w:p>
        </w:tc>
        <w:tc>
          <w:tcPr>
            <w:tcW w:w="706" w:type="dxa"/>
            <w:shd w:val="clear" w:color="auto" w:fill="auto"/>
            <w:noWrap/>
            <w:vAlign w:val="bottom"/>
            <w:hideMark/>
          </w:tcPr>
          <w:p w14:paraId="25997E71"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882</w:t>
            </w:r>
          </w:p>
        </w:tc>
        <w:tc>
          <w:tcPr>
            <w:tcW w:w="706" w:type="dxa"/>
            <w:shd w:val="clear" w:color="auto" w:fill="auto"/>
            <w:noWrap/>
            <w:vAlign w:val="bottom"/>
            <w:hideMark/>
          </w:tcPr>
          <w:p w14:paraId="0C948AEC"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702</w:t>
            </w:r>
          </w:p>
        </w:tc>
        <w:tc>
          <w:tcPr>
            <w:tcW w:w="706" w:type="dxa"/>
            <w:shd w:val="clear" w:color="auto" w:fill="auto"/>
            <w:noWrap/>
            <w:vAlign w:val="bottom"/>
            <w:hideMark/>
          </w:tcPr>
          <w:p w14:paraId="39A2395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353</w:t>
            </w:r>
          </w:p>
        </w:tc>
        <w:tc>
          <w:tcPr>
            <w:tcW w:w="706" w:type="dxa"/>
            <w:shd w:val="clear" w:color="auto" w:fill="auto"/>
            <w:noWrap/>
            <w:vAlign w:val="bottom"/>
            <w:hideMark/>
          </w:tcPr>
          <w:p w14:paraId="1F7F25B0"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lang w:val="fr-FR"/>
              </w:rPr>
            </w:pPr>
            <w:r w:rsidRPr="00CA659D">
              <w:rPr>
                <w:sz w:val="18"/>
                <w:lang w:val="fr-FR"/>
              </w:rPr>
              <w:t> </w:t>
            </w:r>
          </w:p>
        </w:tc>
        <w:tc>
          <w:tcPr>
            <w:tcW w:w="706" w:type="dxa"/>
            <w:shd w:val="clear" w:color="auto" w:fill="auto"/>
            <w:noWrap/>
            <w:vAlign w:val="bottom"/>
            <w:hideMark/>
          </w:tcPr>
          <w:p w14:paraId="6BD58B4E"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lang w:val="fr-FR"/>
              </w:rPr>
            </w:pPr>
            <w:r w:rsidRPr="00CA659D">
              <w:rPr>
                <w:sz w:val="18"/>
                <w:lang w:val="fr-FR"/>
              </w:rPr>
              <w:t> </w:t>
            </w:r>
          </w:p>
        </w:tc>
        <w:tc>
          <w:tcPr>
            <w:tcW w:w="706" w:type="dxa"/>
            <w:shd w:val="clear" w:color="auto" w:fill="auto"/>
            <w:noWrap/>
            <w:vAlign w:val="bottom"/>
            <w:hideMark/>
          </w:tcPr>
          <w:p w14:paraId="7A4E1C47"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lang w:val="fr-FR"/>
              </w:rPr>
            </w:pPr>
            <w:r w:rsidRPr="00CA659D">
              <w:rPr>
                <w:sz w:val="18"/>
                <w:lang w:val="fr-FR"/>
              </w:rPr>
              <w:t> </w:t>
            </w:r>
          </w:p>
        </w:tc>
        <w:tc>
          <w:tcPr>
            <w:tcW w:w="706" w:type="dxa"/>
            <w:shd w:val="clear" w:color="auto" w:fill="auto"/>
            <w:noWrap/>
            <w:vAlign w:val="bottom"/>
            <w:hideMark/>
          </w:tcPr>
          <w:p w14:paraId="219FD432"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lang w:val="fr-FR"/>
              </w:rPr>
            </w:pPr>
            <w:r w:rsidRPr="00CA659D">
              <w:rPr>
                <w:sz w:val="18"/>
                <w:lang w:val="fr-FR"/>
              </w:rPr>
              <w:t> </w:t>
            </w:r>
          </w:p>
        </w:tc>
      </w:tr>
      <w:tr w:rsidR="00F47753" w:rsidRPr="00CA659D" w14:paraId="41E30C50" w14:textId="77777777" w:rsidTr="000A51A8">
        <w:tc>
          <w:tcPr>
            <w:tcW w:w="1418" w:type="dxa"/>
            <w:shd w:val="clear" w:color="auto" w:fill="auto"/>
          </w:tcPr>
          <w:p w14:paraId="028928D7" w14:textId="782CC8CA" w:rsidR="000B5CDE" w:rsidRPr="00CA659D" w:rsidRDefault="000B5CDE" w:rsidP="00CA659D">
            <w:pPr>
              <w:pStyle w:val="SingleTxtG"/>
              <w:tabs>
                <w:tab w:val="clear" w:pos="1701"/>
                <w:tab w:val="clear" w:pos="2268"/>
              </w:tabs>
              <w:suppressAutoHyphens w:val="0"/>
              <w:spacing w:before="40" w:after="40" w:line="220" w:lineRule="exact"/>
              <w:ind w:left="0" w:right="113"/>
              <w:jc w:val="left"/>
              <w:rPr>
                <w:sz w:val="18"/>
                <w:szCs w:val="16"/>
                <w:lang w:val="en-US"/>
              </w:rPr>
            </w:pPr>
            <w:r w:rsidRPr="00CA659D">
              <w:rPr>
                <w:sz w:val="18"/>
              </w:rPr>
              <w:t xml:space="preserve">2.2 </w:t>
            </w:r>
            <w:r w:rsidR="003E64E7">
              <w:rPr>
                <w:sz w:val="18"/>
              </w:rPr>
              <w:br/>
            </w:r>
            <w:r w:rsidRPr="00CA659D">
              <w:rPr>
                <w:sz w:val="18"/>
              </w:rPr>
              <w:t>Mining and quarrying other than extraction of petroleum and gas products</w:t>
            </w:r>
          </w:p>
        </w:tc>
        <w:tc>
          <w:tcPr>
            <w:tcW w:w="706" w:type="dxa"/>
            <w:shd w:val="clear" w:color="auto" w:fill="auto"/>
            <w:noWrap/>
            <w:vAlign w:val="bottom"/>
            <w:hideMark/>
          </w:tcPr>
          <w:p w14:paraId="62F078D3"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sz w:val="18"/>
              </w:rPr>
            </w:pPr>
            <w:r w:rsidRPr="00CA659D">
              <w:rPr>
                <w:sz w:val="18"/>
              </w:rPr>
              <w:t>52.778</w:t>
            </w:r>
          </w:p>
        </w:tc>
        <w:tc>
          <w:tcPr>
            <w:tcW w:w="706" w:type="dxa"/>
            <w:shd w:val="clear" w:color="auto" w:fill="auto"/>
            <w:noWrap/>
            <w:vAlign w:val="bottom"/>
            <w:hideMark/>
          </w:tcPr>
          <w:p w14:paraId="3E5823C0"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22.769</w:t>
            </w:r>
          </w:p>
        </w:tc>
        <w:tc>
          <w:tcPr>
            <w:tcW w:w="706" w:type="dxa"/>
            <w:shd w:val="clear" w:color="auto" w:fill="auto"/>
            <w:noWrap/>
            <w:vAlign w:val="bottom"/>
            <w:hideMark/>
          </w:tcPr>
          <w:p w14:paraId="56605936"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12.266</w:t>
            </w:r>
          </w:p>
        </w:tc>
        <w:tc>
          <w:tcPr>
            <w:tcW w:w="706" w:type="dxa"/>
            <w:shd w:val="clear" w:color="auto" w:fill="auto"/>
            <w:noWrap/>
            <w:vAlign w:val="bottom"/>
            <w:hideMark/>
          </w:tcPr>
          <w:p w14:paraId="494B4C00"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24.584</w:t>
            </w:r>
          </w:p>
        </w:tc>
        <w:tc>
          <w:tcPr>
            <w:tcW w:w="706" w:type="dxa"/>
            <w:shd w:val="clear" w:color="auto" w:fill="auto"/>
            <w:noWrap/>
            <w:vAlign w:val="bottom"/>
            <w:hideMark/>
          </w:tcPr>
          <w:p w14:paraId="68AF7E9A"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24.214</w:t>
            </w:r>
          </w:p>
        </w:tc>
        <w:tc>
          <w:tcPr>
            <w:tcW w:w="706" w:type="dxa"/>
            <w:shd w:val="clear" w:color="auto" w:fill="auto"/>
            <w:noWrap/>
            <w:vAlign w:val="bottom"/>
            <w:hideMark/>
          </w:tcPr>
          <w:p w14:paraId="2F98DBA6"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26.104</w:t>
            </w:r>
          </w:p>
        </w:tc>
        <w:tc>
          <w:tcPr>
            <w:tcW w:w="706" w:type="dxa"/>
            <w:shd w:val="clear" w:color="auto" w:fill="auto"/>
            <w:noWrap/>
            <w:vAlign w:val="bottom"/>
            <w:hideMark/>
          </w:tcPr>
          <w:p w14:paraId="162F32E5"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43.006</w:t>
            </w:r>
          </w:p>
        </w:tc>
        <w:tc>
          <w:tcPr>
            <w:tcW w:w="706" w:type="dxa"/>
            <w:shd w:val="clear" w:color="auto" w:fill="auto"/>
            <w:noWrap/>
            <w:vAlign w:val="bottom"/>
            <w:hideMark/>
          </w:tcPr>
          <w:p w14:paraId="2BC02886"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64.303</w:t>
            </w:r>
          </w:p>
        </w:tc>
        <w:tc>
          <w:tcPr>
            <w:tcW w:w="706" w:type="dxa"/>
            <w:shd w:val="clear" w:color="auto" w:fill="auto"/>
            <w:noWrap/>
            <w:vAlign w:val="bottom"/>
            <w:hideMark/>
          </w:tcPr>
          <w:p w14:paraId="05DF7267"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68.479</w:t>
            </w:r>
          </w:p>
        </w:tc>
        <w:tc>
          <w:tcPr>
            <w:tcW w:w="706" w:type="dxa"/>
            <w:shd w:val="clear" w:color="auto" w:fill="auto"/>
            <w:noWrap/>
            <w:vAlign w:val="bottom"/>
            <w:hideMark/>
          </w:tcPr>
          <w:p w14:paraId="68348519"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68.834</w:t>
            </w:r>
          </w:p>
        </w:tc>
      </w:tr>
      <w:tr w:rsidR="00F47753" w:rsidRPr="00CA659D" w14:paraId="5383D5DC" w14:textId="77777777" w:rsidTr="000A51A8">
        <w:tc>
          <w:tcPr>
            <w:tcW w:w="1418" w:type="dxa"/>
            <w:shd w:val="clear" w:color="auto" w:fill="auto"/>
          </w:tcPr>
          <w:p w14:paraId="3E5C390C" w14:textId="691FE81D" w:rsidR="000B5CDE" w:rsidRPr="00CA659D" w:rsidRDefault="000B5CDE" w:rsidP="00CA659D">
            <w:pPr>
              <w:pStyle w:val="SingleTxtG"/>
              <w:tabs>
                <w:tab w:val="clear" w:pos="1701"/>
                <w:tab w:val="clear" w:pos="2268"/>
              </w:tabs>
              <w:suppressAutoHyphens w:val="0"/>
              <w:spacing w:before="40" w:after="40" w:line="220" w:lineRule="exact"/>
              <w:ind w:left="0" w:right="113"/>
              <w:jc w:val="left"/>
              <w:rPr>
                <w:sz w:val="18"/>
                <w:szCs w:val="16"/>
              </w:rPr>
            </w:pPr>
            <w:r w:rsidRPr="00CA659D">
              <w:rPr>
                <w:sz w:val="18"/>
              </w:rPr>
              <w:t xml:space="preserve">2. 2.1 </w:t>
            </w:r>
            <w:r w:rsidR="003E64E7">
              <w:rPr>
                <w:sz w:val="18"/>
              </w:rPr>
              <w:br/>
            </w:r>
            <w:r w:rsidRPr="00CA659D">
              <w:rPr>
                <w:sz w:val="18"/>
              </w:rPr>
              <w:t>Mining of metallic ores</w:t>
            </w:r>
          </w:p>
        </w:tc>
        <w:tc>
          <w:tcPr>
            <w:tcW w:w="706" w:type="dxa"/>
            <w:shd w:val="clear" w:color="auto" w:fill="auto"/>
            <w:noWrap/>
            <w:vAlign w:val="bottom"/>
            <w:hideMark/>
          </w:tcPr>
          <w:p w14:paraId="73054EFB"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sz w:val="18"/>
              </w:rPr>
            </w:pPr>
            <w:r w:rsidRPr="00CA659D">
              <w:rPr>
                <w:sz w:val="18"/>
              </w:rPr>
              <w:t>50.264</w:t>
            </w:r>
          </w:p>
        </w:tc>
        <w:tc>
          <w:tcPr>
            <w:tcW w:w="706" w:type="dxa"/>
            <w:shd w:val="clear" w:color="auto" w:fill="auto"/>
            <w:noWrap/>
            <w:vAlign w:val="bottom"/>
            <w:hideMark/>
          </w:tcPr>
          <w:p w14:paraId="2DB3FA48"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19.550</w:t>
            </w:r>
          </w:p>
        </w:tc>
        <w:tc>
          <w:tcPr>
            <w:tcW w:w="706" w:type="dxa"/>
            <w:shd w:val="clear" w:color="auto" w:fill="auto"/>
            <w:noWrap/>
            <w:vAlign w:val="bottom"/>
            <w:hideMark/>
          </w:tcPr>
          <w:p w14:paraId="6C9562D0"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8.627</w:t>
            </w:r>
          </w:p>
        </w:tc>
        <w:tc>
          <w:tcPr>
            <w:tcW w:w="706" w:type="dxa"/>
            <w:shd w:val="clear" w:color="auto" w:fill="auto"/>
            <w:noWrap/>
            <w:vAlign w:val="bottom"/>
            <w:hideMark/>
          </w:tcPr>
          <w:p w14:paraId="39FCAA6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20.538</w:t>
            </w:r>
          </w:p>
        </w:tc>
        <w:tc>
          <w:tcPr>
            <w:tcW w:w="706" w:type="dxa"/>
            <w:shd w:val="clear" w:color="auto" w:fill="auto"/>
            <w:noWrap/>
            <w:vAlign w:val="bottom"/>
            <w:hideMark/>
          </w:tcPr>
          <w:p w14:paraId="2D22913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19.028</w:t>
            </w:r>
          </w:p>
        </w:tc>
        <w:tc>
          <w:tcPr>
            <w:tcW w:w="706" w:type="dxa"/>
            <w:shd w:val="clear" w:color="auto" w:fill="auto"/>
            <w:noWrap/>
            <w:vAlign w:val="bottom"/>
            <w:hideMark/>
          </w:tcPr>
          <w:p w14:paraId="222A4D6A"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19.349</w:t>
            </w:r>
          </w:p>
        </w:tc>
        <w:tc>
          <w:tcPr>
            <w:tcW w:w="706" w:type="dxa"/>
            <w:shd w:val="clear" w:color="auto" w:fill="auto"/>
            <w:noWrap/>
            <w:vAlign w:val="bottom"/>
            <w:hideMark/>
          </w:tcPr>
          <w:p w14:paraId="4BE8B233"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36.491</w:t>
            </w:r>
          </w:p>
        </w:tc>
        <w:tc>
          <w:tcPr>
            <w:tcW w:w="706" w:type="dxa"/>
            <w:shd w:val="clear" w:color="auto" w:fill="auto"/>
            <w:noWrap/>
            <w:vAlign w:val="bottom"/>
            <w:hideMark/>
          </w:tcPr>
          <w:p w14:paraId="39092E70"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58.842</w:t>
            </w:r>
          </w:p>
        </w:tc>
        <w:tc>
          <w:tcPr>
            <w:tcW w:w="706" w:type="dxa"/>
            <w:shd w:val="clear" w:color="auto" w:fill="auto"/>
            <w:noWrap/>
            <w:vAlign w:val="bottom"/>
            <w:hideMark/>
          </w:tcPr>
          <w:p w14:paraId="30474559"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63.493</w:t>
            </w:r>
          </w:p>
        </w:tc>
        <w:tc>
          <w:tcPr>
            <w:tcW w:w="706" w:type="dxa"/>
            <w:shd w:val="clear" w:color="auto" w:fill="auto"/>
            <w:noWrap/>
            <w:vAlign w:val="bottom"/>
            <w:hideMark/>
          </w:tcPr>
          <w:p w14:paraId="393C25D3"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63.000</w:t>
            </w:r>
          </w:p>
        </w:tc>
      </w:tr>
      <w:tr w:rsidR="00F47753" w:rsidRPr="00CA659D" w14:paraId="48F19F36" w14:textId="77777777" w:rsidTr="000A51A8">
        <w:tc>
          <w:tcPr>
            <w:tcW w:w="1418" w:type="dxa"/>
            <w:shd w:val="clear" w:color="auto" w:fill="auto"/>
          </w:tcPr>
          <w:p w14:paraId="03B03A55" w14:textId="24C8E20F" w:rsidR="000B5CDE" w:rsidRPr="00CA659D" w:rsidRDefault="000B5CDE" w:rsidP="003E64E7">
            <w:pPr>
              <w:pStyle w:val="SingleTxtG"/>
              <w:tabs>
                <w:tab w:val="clear" w:pos="1701"/>
                <w:tab w:val="clear" w:pos="2268"/>
              </w:tabs>
              <w:suppressAutoHyphens w:val="0"/>
              <w:spacing w:before="40" w:after="40" w:line="220" w:lineRule="exact"/>
              <w:ind w:left="144" w:right="113"/>
              <w:jc w:val="left"/>
              <w:rPr>
                <w:sz w:val="18"/>
                <w:szCs w:val="16"/>
              </w:rPr>
            </w:pPr>
            <w:r w:rsidRPr="00CA659D">
              <w:rPr>
                <w:sz w:val="18"/>
              </w:rPr>
              <w:t>Iron, National Industrial and Mining Company</w:t>
            </w:r>
          </w:p>
        </w:tc>
        <w:tc>
          <w:tcPr>
            <w:tcW w:w="706" w:type="dxa"/>
            <w:shd w:val="clear" w:color="auto" w:fill="auto"/>
            <w:noWrap/>
            <w:vAlign w:val="bottom"/>
            <w:hideMark/>
          </w:tcPr>
          <w:p w14:paraId="1ABA8774"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sz w:val="18"/>
              </w:rPr>
            </w:pPr>
            <w:r w:rsidRPr="00CA659D">
              <w:rPr>
                <w:sz w:val="18"/>
              </w:rPr>
              <w:t>39.211</w:t>
            </w:r>
          </w:p>
        </w:tc>
        <w:tc>
          <w:tcPr>
            <w:tcW w:w="706" w:type="dxa"/>
            <w:shd w:val="clear" w:color="auto" w:fill="auto"/>
            <w:noWrap/>
            <w:vAlign w:val="bottom"/>
            <w:hideMark/>
          </w:tcPr>
          <w:p w14:paraId="00EB25F1"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13.650</w:t>
            </w:r>
          </w:p>
        </w:tc>
        <w:tc>
          <w:tcPr>
            <w:tcW w:w="706" w:type="dxa"/>
            <w:shd w:val="clear" w:color="auto" w:fill="auto"/>
            <w:noWrap/>
            <w:vAlign w:val="bottom"/>
            <w:hideMark/>
          </w:tcPr>
          <w:p w14:paraId="581B35E3"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3.840</w:t>
            </w:r>
          </w:p>
        </w:tc>
        <w:tc>
          <w:tcPr>
            <w:tcW w:w="706" w:type="dxa"/>
            <w:shd w:val="clear" w:color="auto" w:fill="auto"/>
            <w:noWrap/>
            <w:vAlign w:val="bottom"/>
            <w:hideMark/>
          </w:tcPr>
          <w:p w14:paraId="26EF2D2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14.654</w:t>
            </w:r>
          </w:p>
        </w:tc>
        <w:tc>
          <w:tcPr>
            <w:tcW w:w="706" w:type="dxa"/>
            <w:shd w:val="clear" w:color="auto" w:fill="auto"/>
            <w:noWrap/>
            <w:vAlign w:val="bottom"/>
            <w:hideMark/>
          </w:tcPr>
          <w:p w14:paraId="40A4988C"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11.864</w:t>
            </w:r>
          </w:p>
        </w:tc>
        <w:tc>
          <w:tcPr>
            <w:tcW w:w="706" w:type="dxa"/>
            <w:shd w:val="clear" w:color="auto" w:fill="auto"/>
            <w:noWrap/>
            <w:vAlign w:val="bottom"/>
            <w:hideMark/>
          </w:tcPr>
          <w:p w14:paraId="057D091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10.413</w:t>
            </w:r>
          </w:p>
        </w:tc>
        <w:tc>
          <w:tcPr>
            <w:tcW w:w="706" w:type="dxa"/>
            <w:shd w:val="clear" w:color="auto" w:fill="auto"/>
            <w:noWrap/>
            <w:vAlign w:val="bottom"/>
            <w:hideMark/>
          </w:tcPr>
          <w:p w14:paraId="28D306E9"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23.629</w:t>
            </w:r>
          </w:p>
        </w:tc>
        <w:tc>
          <w:tcPr>
            <w:tcW w:w="706" w:type="dxa"/>
            <w:shd w:val="clear" w:color="auto" w:fill="auto"/>
            <w:noWrap/>
            <w:vAlign w:val="bottom"/>
            <w:hideMark/>
          </w:tcPr>
          <w:p w14:paraId="42BCD1AA"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35.770</w:t>
            </w:r>
          </w:p>
        </w:tc>
        <w:tc>
          <w:tcPr>
            <w:tcW w:w="706" w:type="dxa"/>
            <w:shd w:val="clear" w:color="auto" w:fill="auto"/>
            <w:noWrap/>
            <w:vAlign w:val="bottom"/>
            <w:hideMark/>
          </w:tcPr>
          <w:p w14:paraId="60C4495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48.025</w:t>
            </w:r>
          </w:p>
        </w:tc>
        <w:tc>
          <w:tcPr>
            <w:tcW w:w="706" w:type="dxa"/>
            <w:shd w:val="clear" w:color="auto" w:fill="auto"/>
            <w:noWrap/>
            <w:vAlign w:val="bottom"/>
            <w:hideMark/>
          </w:tcPr>
          <w:p w14:paraId="653F501F"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36.329</w:t>
            </w:r>
          </w:p>
        </w:tc>
      </w:tr>
      <w:tr w:rsidR="00F47753" w:rsidRPr="00CA659D" w14:paraId="052A668D" w14:textId="77777777" w:rsidTr="000A51A8">
        <w:tc>
          <w:tcPr>
            <w:tcW w:w="1418" w:type="dxa"/>
            <w:shd w:val="clear" w:color="auto" w:fill="auto"/>
          </w:tcPr>
          <w:p w14:paraId="7875AE4F" w14:textId="49951AB6" w:rsidR="000B5CDE" w:rsidRPr="00CA659D" w:rsidRDefault="000B5CDE" w:rsidP="003E64E7">
            <w:pPr>
              <w:pStyle w:val="SingleTxtG"/>
              <w:tabs>
                <w:tab w:val="clear" w:pos="1701"/>
                <w:tab w:val="clear" w:pos="2268"/>
              </w:tabs>
              <w:suppressAutoHyphens w:val="0"/>
              <w:spacing w:before="40" w:after="40" w:line="220" w:lineRule="exact"/>
              <w:ind w:left="144" w:right="113"/>
              <w:jc w:val="left"/>
              <w:rPr>
                <w:sz w:val="18"/>
                <w:szCs w:val="16"/>
              </w:rPr>
            </w:pPr>
            <w:r w:rsidRPr="00CA659D">
              <w:rPr>
                <w:sz w:val="18"/>
              </w:rPr>
              <w:t>Gold and copper</w:t>
            </w:r>
          </w:p>
        </w:tc>
        <w:tc>
          <w:tcPr>
            <w:tcW w:w="706" w:type="dxa"/>
            <w:shd w:val="clear" w:color="auto" w:fill="auto"/>
            <w:noWrap/>
            <w:vAlign w:val="bottom"/>
            <w:hideMark/>
          </w:tcPr>
          <w:p w14:paraId="55AD08C8"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sz w:val="18"/>
              </w:rPr>
            </w:pPr>
            <w:r w:rsidRPr="00CA659D">
              <w:rPr>
                <w:sz w:val="18"/>
              </w:rPr>
              <w:t>11.053</w:t>
            </w:r>
          </w:p>
        </w:tc>
        <w:tc>
          <w:tcPr>
            <w:tcW w:w="706" w:type="dxa"/>
            <w:shd w:val="clear" w:color="auto" w:fill="auto"/>
            <w:noWrap/>
            <w:vAlign w:val="bottom"/>
            <w:hideMark/>
          </w:tcPr>
          <w:p w14:paraId="6A36B2B3"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5.900</w:t>
            </w:r>
          </w:p>
        </w:tc>
        <w:tc>
          <w:tcPr>
            <w:tcW w:w="706" w:type="dxa"/>
            <w:shd w:val="clear" w:color="auto" w:fill="auto"/>
            <w:noWrap/>
            <w:vAlign w:val="bottom"/>
            <w:hideMark/>
          </w:tcPr>
          <w:p w14:paraId="4F727942"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4.787</w:t>
            </w:r>
          </w:p>
        </w:tc>
        <w:tc>
          <w:tcPr>
            <w:tcW w:w="706" w:type="dxa"/>
            <w:shd w:val="clear" w:color="auto" w:fill="auto"/>
            <w:noWrap/>
            <w:vAlign w:val="bottom"/>
            <w:hideMark/>
          </w:tcPr>
          <w:p w14:paraId="75A2B8F5"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5.884</w:t>
            </w:r>
          </w:p>
        </w:tc>
        <w:tc>
          <w:tcPr>
            <w:tcW w:w="706" w:type="dxa"/>
            <w:shd w:val="clear" w:color="auto" w:fill="auto"/>
            <w:noWrap/>
            <w:vAlign w:val="bottom"/>
            <w:hideMark/>
          </w:tcPr>
          <w:p w14:paraId="7E9E82F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7.164</w:t>
            </w:r>
          </w:p>
        </w:tc>
        <w:tc>
          <w:tcPr>
            <w:tcW w:w="706" w:type="dxa"/>
            <w:shd w:val="clear" w:color="auto" w:fill="auto"/>
            <w:noWrap/>
            <w:vAlign w:val="bottom"/>
            <w:hideMark/>
          </w:tcPr>
          <w:p w14:paraId="22142B02"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8.936</w:t>
            </w:r>
          </w:p>
        </w:tc>
        <w:tc>
          <w:tcPr>
            <w:tcW w:w="706" w:type="dxa"/>
            <w:shd w:val="clear" w:color="auto" w:fill="auto"/>
            <w:noWrap/>
            <w:vAlign w:val="bottom"/>
            <w:hideMark/>
          </w:tcPr>
          <w:p w14:paraId="7AC2B261"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12.862</w:t>
            </w:r>
          </w:p>
        </w:tc>
        <w:tc>
          <w:tcPr>
            <w:tcW w:w="706" w:type="dxa"/>
            <w:shd w:val="clear" w:color="auto" w:fill="auto"/>
            <w:noWrap/>
            <w:vAlign w:val="bottom"/>
            <w:hideMark/>
          </w:tcPr>
          <w:p w14:paraId="1A423E75"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23.072</w:t>
            </w:r>
          </w:p>
        </w:tc>
        <w:tc>
          <w:tcPr>
            <w:tcW w:w="706" w:type="dxa"/>
            <w:shd w:val="clear" w:color="auto" w:fill="auto"/>
            <w:noWrap/>
            <w:vAlign w:val="bottom"/>
            <w:hideMark/>
          </w:tcPr>
          <w:p w14:paraId="7A62D4DC"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15.468</w:t>
            </w:r>
          </w:p>
        </w:tc>
        <w:tc>
          <w:tcPr>
            <w:tcW w:w="706" w:type="dxa"/>
            <w:shd w:val="clear" w:color="auto" w:fill="auto"/>
            <w:noWrap/>
            <w:vAlign w:val="bottom"/>
            <w:hideMark/>
          </w:tcPr>
          <w:p w14:paraId="3C8CEB44"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26.671</w:t>
            </w:r>
          </w:p>
        </w:tc>
      </w:tr>
      <w:tr w:rsidR="00F47753" w:rsidRPr="00CA659D" w14:paraId="1F25BFF5" w14:textId="77777777" w:rsidTr="000A51A8">
        <w:tc>
          <w:tcPr>
            <w:tcW w:w="1418" w:type="dxa"/>
            <w:shd w:val="clear" w:color="auto" w:fill="auto"/>
          </w:tcPr>
          <w:p w14:paraId="46ACD057" w14:textId="08188EC2" w:rsidR="000B5CDE" w:rsidRPr="00CA659D" w:rsidRDefault="000B5CDE" w:rsidP="00CA659D">
            <w:pPr>
              <w:pStyle w:val="SingleTxtG"/>
              <w:tabs>
                <w:tab w:val="clear" w:pos="1701"/>
                <w:tab w:val="clear" w:pos="2268"/>
              </w:tabs>
              <w:suppressAutoHyphens w:val="0"/>
              <w:spacing w:before="40" w:after="40" w:line="220" w:lineRule="exact"/>
              <w:ind w:left="0" w:right="113"/>
              <w:jc w:val="left"/>
              <w:rPr>
                <w:sz w:val="18"/>
                <w:szCs w:val="16"/>
              </w:rPr>
            </w:pPr>
            <w:r w:rsidRPr="00CA659D">
              <w:rPr>
                <w:sz w:val="18"/>
              </w:rPr>
              <w:t xml:space="preserve">2. 2.2 </w:t>
            </w:r>
            <w:r w:rsidR="003E64E7">
              <w:rPr>
                <w:sz w:val="18"/>
              </w:rPr>
              <w:br/>
            </w:r>
            <w:r w:rsidRPr="00CA659D">
              <w:rPr>
                <w:sz w:val="18"/>
              </w:rPr>
              <w:t>Other mining and quarrying</w:t>
            </w:r>
          </w:p>
        </w:tc>
        <w:tc>
          <w:tcPr>
            <w:tcW w:w="706" w:type="dxa"/>
            <w:shd w:val="clear" w:color="auto" w:fill="auto"/>
            <w:noWrap/>
            <w:vAlign w:val="bottom"/>
            <w:hideMark/>
          </w:tcPr>
          <w:p w14:paraId="6EC17E62"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sz w:val="18"/>
              </w:rPr>
            </w:pPr>
            <w:r w:rsidRPr="00CA659D">
              <w:rPr>
                <w:sz w:val="18"/>
              </w:rPr>
              <w:t>2.514</w:t>
            </w:r>
          </w:p>
        </w:tc>
        <w:tc>
          <w:tcPr>
            <w:tcW w:w="706" w:type="dxa"/>
            <w:shd w:val="clear" w:color="auto" w:fill="auto"/>
            <w:noWrap/>
            <w:vAlign w:val="bottom"/>
            <w:hideMark/>
          </w:tcPr>
          <w:p w14:paraId="101A5B35"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3.219</w:t>
            </w:r>
          </w:p>
        </w:tc>
        <w:tc>
          <w:tcPr>
            <w:tcW w:w="706" w:type="dxa"/>
            <w:shd w:val="clear" w:color="auto" w:fill="auto"/>
            <w:noWrap/>
            <w:vAlign w:val="bottom"/>
            <w:hideMark/>
          </w:tcPr>
          <w:p w14:paraId="5E29BF6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3.639</w:t>
            </w:r>
          </w:p>
        </w:tc>
        <w:tc>
          <w:tcPr>
            <w:tcW w:w="706" w:type="dxa"/>
            <w:shd w:val="clear" w:color="auto" w:fill="auto"/>
            <w:noWrap/>
            <w:vAlign w:val="bottom"/>
            <w:hideMark/>
          </w:tcPr>
          <w:p w14:paraId="02A14A6F"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4.046</w:t>
            </w:r>
          </w:p>
        </w:tc>
        <w:tc>
          <w:tcPr>
            <w:tcW w:w="706" w:type="dxa"/>
            <w:shd w:val="clear" w:color="auto" w:fill="auto"/>
            <w:noWrap/>
            <w:vAlign w:val="bottom"/>
            <w:hideMark/>
          </w:tcPr>
          <w:p w14:paraId="00B140A5"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5.186</w:t>
            </w:r>
          </w:p>
        </w:tc>
        <w:tc>
          <w:tcPr>
            <w:tcW w:w="706" w:type="dxa"/>
            <w:shd w:val="clear" w:color="auto" w:fill="auto"/>
            <w:noWrap/>
            <w:vAlign w:val="bottom"/>
            <w:hideMark/>
          </w:tcPr>
          <w:p w14:paraId="2B09B5E3"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6.756</w:t>
            </w:r>
          </w:p>
        </w:tc>
        <w:tc>
          <w:tcPr>
            <w:tcW w:w="706" w:type="dxa"/>
            <w:shd w:val="clear" w:color="auto" w:fill="auto"/>
            <w:noWrap/>
            <w:vAlign w:val="bottom"/>
            <w:hideMark/>
          </w:tcPr>
          <w:p w14:paraId="2E939BE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6.515</w:t>
            </w:r>
          </w:p>
        </w:tc>
        <w:tc>
          <w:tcPr>
            <w:tcW w:w="706" w:type="dxa"/>
            <w:shd w:val="clear" w:color="auto" w:fill="auto"/>
            <w:noWrap/>
            <w:vAlign w:val="bottom"/>
            <w:hideMark/>
          </w:tcPr>
          <w:p w14:paraId="6FD1B151"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5.462</w:t>
            </w:r>
          </w:p>
        </w:tc>
        <w:tc>
          <w:tcPr>
            <w:tcW w:w="706" w:type="dxa"/>
            <w:shd w:val="clear" w:color="auto" w:fill="auto"/>
            <w:noWrap/>
            <w:vAlign w:val="bottom"/>
            <w:hideMark/>
          </w:tcPr>
          <w:p w14:paraId="5A8C6D4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4.987</w:t>
            </w:r>
          </w:p>
        </w:tc>
        <w:tc>
          <w:tcPr>
            <w:tcW w:w="706" w:type="dxa"/>
            <w:shd w:val="clear" w:color="auto" w:fill="auto"/>
            <w:noWrap/>
            <w:vAlign w:val="bottom"/>
            <w:hideMark/>
          </w:tcPr>
          <w:p w14:paraId="5849B807"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5.834</w:t>
            </w:r>
          </w:p>
        </w:tc>
      </w:tr>
      <w:tr w:rsidR="00F47753" w:rsidRPr="00CA659D" w14:paraId="50D53BBD" w14:textId="77777777" w:rsidTr="000A51A8">
        <w:tc>
          <w:tcPr>
            <w:tcW w:w="1418" w:type="dxa"/>
            <w:shd w:val="clear" w:color="auto" w:fill="auto"/>
          </w:tcPr>
          <w:p w14:paraId="0641E490" w14:textId="56649290" w:rsidR="000B5CDE" w:rsidRPr="00CA659D" w:rsidRDefault="000B5CDE" w:rsidP="00CA659D">
            <w:pPr>
              <w:pStyle w:val="SingleTxtG"/>
              <w:tabs>
                <w:tab w:val="clear" w:pos="1701"/>
                <w:tab w:val="clear" w:pos="2268"/>
              </w:tabs>
              <w:suppressAutoHyphens w:val="0"/>
              <w:spacing w:before="40" w:after="40" w:line="220" w:lineRule="exact"/>
              <w:ind w:left="0" w:right="113"/>
              <w:jc w:val="left"/>
              <w:rPr>
                <w:sz w:val="18"/>
                <w:szCs w:val="16"/>
              </w:rPr>
            </w:pPr>
            <w:r w:rsidRPr="00CA659D">
              <w:rPr>
                <w:sz w:val="18"/>
              </w:rPr>
              <w:t>3.</w:t>
            </w:r>
            <w:r w:rsidR="00486B30">
              <w:rPr>
                <w:sz w:val="18"/>
              </w:rPr>
              <w:br/>
            </w:r>
            <w:r w:rsidRPr="00CA659D">
              <w:rPr>
                <w:sz w:val="18"/>
              </w:rPr>
              <w:t>Manufacturing</w:t>
            </w:r>
          </w:p>
        </w:tc>
        <w:tc>
          <w:tcPr>
            <w:tcW w:w="706" w:type="dxa"/>
            <w:shd w:val="clear" w:color="auto" w:fill="auto"/>
            <w:noWrap/>
            <w:vAlign w:val="bottom"/>
            <w:hideMark/>
          </w:tcPr>
          <w:p w14:paraId="28EA1186"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sz w:val="18"/>
              </w:rPr>
            </w:pPr>
            <w:r w:rsidRPr="00CA659D">
              <w:rPr>
                <w:sz w:val="18"/>
              </w:rPr>
              <w:t>18.468</w:t>
            </w:r>
          </w:p>
        </w:tc>
        <w:tc>
          <w:tcPr>
            <w:tcW w:w="706" w:type="dxa"/>
            <w:shd w:val="clear" w:color="auto" w:fill="auto"/>
            <w:noWrap/>
            <w:vAlign w:val="bottom"/>
            <w:hideMark/>
          </w:tcPr>
          <w:p w14:paraId="36AF17C6"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19.677</w:t>
            </w:r>
          </w:p>
        </w:tc>
        <w:tc>
          <w:tcPr>
            <w:tcW w:w="706" w:type="dxa"/>
            <w:shd w:val="clear" w:color="auto" w:fill="auto"/>
            <w:noWrap/>
            <w:vAlign w:val="bottom"/>
            <w:hideMark/>
          </w:tcPr>
          <w:p w14:paraId="762FD574"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20.780</w:t>
            </w:r>
          </w:p>
        </w:tc>
        <w:tc>
          <w:tcPr>
            <w:tcW w:w="706" w:type="dxa"/>
            <w:shd w:val="clear" w:color="auto" w:fill="auto"/>
            <w:noWrap/>
            <w:vAlign w:val="bottom"/>
            <w:hideMark/>
          </w:tcPr>
          <w:p w14:paraId="241CAAC5"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20.618</w:t>
            </w:r>
          </w:p>
        </w:tc>
        <w:tc>
          <w:tcPr>
            <w:tcW w:w="706" w:type="dxa"/>
            <w:shd w:val="clear" w:color="auto" w:fill="auto"/>
            <w:noWrap/>
            <w:vAlign w:val="bottom"/>
            <w:hideMark/>
          </w:tcPr>
          <w:p w14:paraId="7AD00322"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22.541</w:t>
            </w:r>
          </w:p>
        </w:tc>
        <w:tc>
          <w:tcPr>
            <w:tcW w:w="706" w:type="dxa"/>
            <w:shd w:val="clear" w:color="auto" w:fill="auto"/>
            <w:noWrap/>
            <w:vAlign w:val="bottom"/>
            <w:hideMark/>
          </w:tcPr>
          <w:p w14:paraId="191518B4"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23.130</w:t>
            </w:r>
          </w:p>
        </w:tc>
        <w:tc>
          <w:tcPr>
            <w:tcW w:w="706" w:type="dxa"/>
            <w:shd w:val="clear" w:color="auto" w:fill="auto"/>
            <w:noWrap/>
            <w:vAlign w:val="bottom"/>
            <w:hideMark/>
          </w:tcPr>
          <w:p w14:paraId="596173DA"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26.243</w:t>
            </w:r>
          </w:p>
        </w:tc>
        <w:tc>
          <w:tcPr>
            <w:tcW w:w="706" w:type="dxa"/>
            <w:shd w:val="clear" w:color="auto" w:fill="auto"/>
            <w:noWrap/>
            <w:vAlign w:val="bottom"/>
            <w:hideMark/>
          </w:tcPr>
          <w:p w14:paraId="0AA65075"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27.287</w:t>
            </w:r>
          </w:p>
        </w:tc>
        <w:tc>
          <w:tcPr>
            <w:tcW w:w="706" w:type="dxa"/>
            <w:shd w:val="clear" w:color="auto" w:fill="auto"/>
            <w:noWrap/>
            <w:vAlign w:val="bottom"/>
            <w:hideMark/>
          </w:tcPr>
          <w:p w14:paraId="29695F50"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25.792</w:t>
            </w:r>
          </w:p>
        </w:tc>
        <w:tc>
          <w:tcPr>
            <w:tcW w:w="706" w:type="dxa"/>
            <w:shd w:val="clear" w:color="auto" w:fill="auto"/>
            <w:noWrap/>
            <w:vAlign w:val="bottom"/>
            <w:hideMark/>
          </w:tcPr>
          <w:p w14:paraId="4A7A4C7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27.745</w:t>
            </w:r>
          </w:p>
        </w:tc>
      </w:tr>
      <w:tr w:rsidR="00F47753" w:rsidRPr="00CA659D" w14:paraId="107ACF12" w14:textId="77777777" w:rsidTr="000A51A8">
        <w:tc>
          <w:tcPr>
            <w:tcW w:w="1418" w:type="dxa"/>
            <w:tcBorders>
              <w:bottom w:val="nil"/>
            </w:tcBorders>
            <w:shd w:val="clear" w:color="auto" w:fill="auto"/>
          </w:tcPr>
          <w:p w14:paraId="1F61A3D2" w14:textId="19AE5F02" w:rsidR="000B5CDE" w:rsidRPr="00CA659D" w:rsidRDefault="000B5CDE" w:rsidP="00CA659D">
            <w:pPr>
              <w:pStyle w:val="SingleTxtG"/>
              <w:tabs>
                <w:tab w:val="clear" w:pos="1701"/>
                <w:tab w:val="clear" w:pos="2268"/>
              </w:tabs>
              <w:suppressAutoHyphens w:val="0"/>
              <w:spacing w:before="40" w:after="40" w:line="220" w:lineRule="exact"/>
              <w:ind w:left="0" w:right="113"/>
              <w:jc w:val="left"/>
              <w:rPr>
                <w:sz w:val="18"/>
                <w:szCs w:val="16"/>
                <w:lang w:val="en-US"/>
              </w:rPr>
            </w:pPr>
            <w:r w:rsidRPr="00CA659D">
              <w:rPr>
                <w:sz w:val="18"/>
              </w:rPr>
              <w:t>3.1</w:t>
            </w:r>
            <w:r w:rsidR="00486B30">
              <w:rPr>
                <w:sz w:val="18"/>
              </w:rPr>
              <w:br/>
            </w:r>
            <w:r w:rsidRPr="00CA659D">
              <w:rPr>
                <w:sz w:val="18"/>
              </w:rPr>
              <w:t>Manufacturing excluding water and electricity</w:t>
            </w:r>
          </w:p>
        </w:tc>
        <w:tc>
          <w:tcPr>
            <w:tcW w:w="706" w:type="dxa"/>
            <w:tcBorders>
              <w:bottom w:val="nil"/>
            </w:tcBorders>
            <w:shd w:val="clear" w:color="auto" w:fill="auto"/>
            <w:noWrap/>
            <w:vAlign w:val="bottom"/>
            <w:hideMark/>
          </w:tcPr>
          <w:p w14:paraId="7FD660D0"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sz w:val="18"/>
              </w:rPr>
            </w:pPr>
            <w:r w:rsidRPr="00CA659D">
              <w:rPr>
                <w:sz w:val="18"/>
              </w:rPr>
              <w:t>13.915</w:t>
            </w:r>
          </w:p>
        </w:tc>
        <w:tc>
          <w:tcPr>
            <w:tcW w:w="706" w:type="dxa"/>
            <w:tcBorders>
              <w:bottom w:val="nil"/>
            </w:tcBorders>
            <w:shd w:val="clear" w:color="auto" w:fill="auto"/>
            <w:noWrap/>
            <w:vAlign w:val="bottom"/>
            <w:hideMark/>
          </w:tcPr>
          <w:p w14:paraId="5E4D0E3C"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14.797</w:t>
            </w:r>
          </w:p>
        </w:tc>
        <w:tc>
          <w:tcPr>
            <w:tcW w:w="706" w:type="dxa"/>
            <w:tcBorders>
              <w:bottom w:val="nil"/>
            </w:tcBorders>
            <w:shd w:val="clear" w:color="auto" w:fill="auto"/>
            <w:noWrap/>
            <w:vAlign w:val="bottom"/>
            <w:hideMark/>
          </w:tcPr>
          <w:p w14:paraId="4D280B9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14.893</w:t>
            </w:r>
          </w:p>
        </w:tc>
        <w:tc>
          <w:tcPr>
            <w:tcW w:w="706" w:type="dxa"/>
            <w:tcBorders>
              <w:bottom w:val="nil"/>
            </w:tcBorders>
            <w:shd w:val="clear" w:color="auto" w:fill="auto"/>
            <w:noWrap/>
            <w:vAlign w:val="bottom"/>
            <w:hideMark/>
          </w:tcPr>
          <w:p w14:paraId="14522429"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13.779</w:t>
            </w:r>
          </w:p>
        </w:tc>
        <w:tc>
          <w:tcPr>
            <w:tcW w:w="706" w:type="dxa"/>
            <w:tcBorders>
              <w:bottom w:val="nil"/>
            </w:tcBorders>
            <w:shd w:val="clear" w:color="auto" w:fill="auto"/>
            <w:noWrap/>
            <w:vAlign w:val="bottom"/>
            <w:hideMark/>
          </w:tcPr>
          <w:p w14:paraId="2E41ED1F"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15.611</w:t>
            </w:r>
          </w:p>
        </w:tc>
        <w:tc>
          <w:tcPr>
            <w:tcW w:w="706" w:type="dxa"/>
            <w:tcBorders>
              <w:bottom w:val="nil"/>
            </w:tcBorders>
            <w:shd w:val="clear" w:color="auto" w:fill="auto"/>
            <w:noWrap/>
            <w:vAlign w:val="bottom"/>
            <w:hideMark/>
          </w:tcPr>
          <w:p w14:paraId="323288E4"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16.898</w:t>
            </w:r>
          </w:p>
        </w:tc>
        <w:tc>
          <w:tcPr>
            <w:tcW w:w="706" w:type="dxa"/>
            <w:tcBorders>
              <w:bottom w:val="nil"/>
            </w:tcBorders>
            <w:shd w:val="clear" w:color="auto" w:fill="auto"/>
            <w:noWrap/>
            <w:vAlign w:val="bottom"/>
            <w:hideMark/>
          </w:tcPr>
          <w:p w14:paraId="57BA695F"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20.556</w:t>
            </w:r>
          </w:p>
        </w:tc>
        <w:tc>
          <w:tcPr>
            <w:tcW w:w="706" w:type="dxa"/>
            <w:tcBorders>
              <w:bottom w:val="nil"/>
            </w:tcBorders>
            <w:shd w:val="clear" w:color="auto" w:fill="auto"/>
            <w:noWrap/>
            <w:vAlign w:val="bottom"/>
            <w:hideMark/>
          </w:tcPr>
          <w:p w14:paraId="2569337C"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20.539</w:t>
            </w:r>
          </w:p>
        </w:tc>
        <w:tc>
          <w:tcPr>
            <w:tcW w:w="706" w:type="dxa"/>
            <w:tcBorders>
              <w:bottom w:val="nil"/>
            </w:tcBorders>
            <w:shd w:val="clear" w:color="auto" w:fill="auto"/>
            <w:noWrap/>
            <w:vAlign w:val="bottom"/>
            <w:hideMark/>
          </w:tcPr>
          <w:p w14:paraId="4FE8EAF2"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20.250</w:t>
            </w:r>
          </w:p>
        </w:tc>
        <w:tc>
          <w:tcPr>
            <w:tcW w:w="706" w:type="dxa"/>
            <w:tcBorders>
              <w:bottom w:val="nil"/>
            </w:tcBorders>
            <w:shd w:val="clear" w:color="auto" w:fill="auto"/>
            <w:noWrap/>
            <w:vAlign w:val="bottom"/>
            <w:hideMark/>
          </w:tcPr>
          <w:p w14:paraId="358A2A05"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22.241</w:t>
            </w:r>
          </w:p>
        </w:tc>
      </w:tr>
      <w:tr w:rsidR="000A51A8" w:rsidRPr="00CA659D" w14:paraId="052FE408" w14:textId="77777777" w:rsidTr="000A51A8">
        <w:tc>
          <w:tcPr>
            <w:tcW w:w="1418" w:type="dxa"/>
            <w:tcBorders>
              <w:top w:val="nil"/>
              <w:bottom w:val="nil"/>
            </w:tcBorders>
            <w:shd w:val="clear" w:color="auto" w:fill="auto"/>
          </w:tcPr>
          <w:p w14:paraId="5266A36E" w14:textId="35052E3C" w:rsidR="000B5CDE" w:rsidRPr="00CA659D" w:rsidRDefault="000B5CDE" w:rsidP="00CA659D">
            <w:pPr>
              <w:pStyle w:val="SingleTxtG"/>
              <w:tabs>
                <w:tab w:val="clear" w:pos="1701"/>
                <w:tab w:val="clear" w:pos="2268"/>
              </w:tabs>
              <w:suppressAutoHyphens w:val="0"/>
              <w:spacing w:before="40" w:after="40" w:line="220" w:lineRule="exact"/>
              <w:ind w:left="0" w:right="113"/>
              <w:jc w:val="left"/>
              <w:rPr>
                <w:sz w:val="18"/>
                <w:szCs w:val="16"/>
                <w:lang w:val="en-US"/>
              </w:rPr>
            </w:pPr>
            <w:r w:rsidRPr="00CA659D">
              <w:rPr>
                <w:sz w:val="18"/>
              </w:rPr>
              <w:t xml:space="preserve">3.2 </w:t>
            </w:r>
            <w:r w:rsidR="003E64E7">
              <w:rPr>
                <w:sz w:val="18"/>
              </w:rPr>
              <w:br/>
            </w:r>
            <w:r w:rsidRPr="00CA659D">
              <w:rPr>
                <w:sz w:val="18"/>
              </w:rPr>
              <w:t>Water and electricity production and distribution</w:t>
            </w:r>
          </w:p>
        </w:tc>
        <w:tc>
          <w:tcPr>
            <w:tcW w:w="706" w:type="dxa"/>
            <w:tcBorders>
              <w:top w:val="nil"/>
              <w:bottom w:val="nil"/>
            </w:tcBorders>
            <w:shd w:val="clear" w:color="auto" w:fill="auto"/>
            <w:noWrap/>
            <w:vAlign w:val="bottom"/>
            <w:hideMark/>
          </w:tcPr>
          <w:p w14:paraId="46988E26"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sz w:val="18"/>
              </w:rPr>
            </w:pPr>
            <w:r w:rsidRPr="00CA659D">
              <w:rPr>
                <w:sz w:val="18"/>
              </w:rPr>
              <w:t>4.554</w:t>
            </w:r>
          </w:p>
        </w:tc>
        <w:tc>
          <w:tcPr>
            <w:tcW w:w="706" w:type="dxa"/>
            <w:tcBorders>
              <w:top w:val="nil"/>
              <w:bottom w:val="nil"/>
            </w:tcBorders>
            <w:shd w:val="clear" w:color="auto" w:fill="auto"/>
            <w:noWrap/>
            <w:vAlign w:val="bottom"/>
            <w:hideMark/>
          </w:tcPr>
          <w:p w14:paraId="659223D1"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4.880</w:t>
            </w:r>
          </w:p>
        </w:tc>
        <w:tc>
          <w:tcPr>
            <w:tcW w:w="706" w:type="dxa"/>
            <w:tcBorders>
              <w:top w:val="nil"/>
              <w:bottom w:val="nil"/>
            </w:tcBorders>
            <w:shd w:val="clear" w:color="auto" w:fill="auto"/>
            <w:noWrap/>
            <w:vAlign w:val="bottom"/>
            <w:hideMark/>
          </w:tcPr>
          <w:p w14:paraId="3274E4D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5.887</w:t>
            </w:r>
          </w:p>
        </w:tc>
        <w:tc>
          <w:tcPr>
            <w:tcW w:w="706" w:type="dxa"/>
            <w:tcBorders>
              <w:top w:val="nil"/>
              <w:bottom w:val="nil"/>
            </w:tcBorders>
            <w:shd w:val="clear" w:color="auto" w:fill="auto"/>
            <w:noWrap/>
            <w:vAlign w:val="bottom"/>
            <w:hideMark/>
          </w:tcPr>
          <w:p w14:paraId="497CC741"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6.839</w:t>
            </w:r>
          </w:p>
        </w:tc>
        <w:tc>
          <w:tcPr>
            <w:tcW w:w="706" w:type="dxa"/>
            <w:tcBorders>
              <w:top w:val="nil"/>
              <w:bottom w:val="nil"/>
            </w:tcBorders>
            <w:shd w:val="clear" w:color="auto" w:fill="auto"/>
            <w:noWrap/>
            <w:vAlign w:val="bottom"/>
            <w:hideMark/>
          </w:tcPr>
          <w:p w14:paraId="52F4E1B4"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6.930</w:t>
            </w:r>
          </w:p>
        </w:tc>
        <w:tc>
          <w:tcPr>
            <w:tcW w:w="706" w:type="dxa"/>
            <w:tcBorders>
              <w:top w:val="nil"/>
              <w:bottom w:val="nil"/>
            </w:tcBorders>
            <w:shd w:val="clear" w:color="auto" w:fill="auto"/>
            <w:noWrap/>
            <w:vAlign w:val="bottom"/>
            <w:hideMark/>
          </w:tcPr>
          <w:p w14:paraId="17838F1C"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6.232</w:t>
            </w:r>
          </w:p>
        </w:tc>
        <w:tc>
          <w:tcPr>
            <w:tcW w:w="706" w:type="dxa"/>
            <w:tcBorders>
              <w:top w:val="nil"/>
              <w:bottom w:val="nil"/>
            </w:tcBorders>
            <w:shd w:val="clear" w:color="auto" w:fill="auto"/>
            <w:noWrap/>
            <w:vAlign w:val="bottom"/>
            <w:hideMark/>
          </w:tcPr>
          <w:p w14:paraId="2D15DB0C"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5.686</w:t>
            </w:r>
          </w:p>
        </w:tc>
        <w:tc>
          <w:tcPr>
            <w:tcW w:w="706" w:type="dxa"/>
            <w:tcBorders>
              <w:top w:val="nil"/>
              <w:bottom w:val="nil"/>
            </w:tcBorders>
            <w:shd w:val="clear" w:color="auto" w:fill="auto"/>
            <w:noWrap/>
            <w:vAlign w:val="bottom"/>
            <w:hideMark/>
          </w:tcPr>
          <w:p w14:paraId="3A8125D7"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6.749</w:t>
            </w:r>
          </w:p>
        </w:tc>
        <w:tc>
          <w:tcPr>
            <w:tcW w:w="706" w:type="dxa"/>
            <w:tcBorders>
              <w:top w:val="nil"/>
              <w:bottom w:val="nil"/>
            </w:tcBorders>
            <w:shd w:val="clear" w:color="auto" w:fill="auto"/>
            <w:noWrap/>
            <w:vAlign w:val="bottom"/>
            <w:hideMark/>
          </w:tcPr>
          <w:p w14:paraId="079571B7"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5.542</w:t>
            </w:r>
          </w:p>
        </w:tc>
        <w:tc>
          <w:tcPr>
            <w:tcW w:w="706" w:type="dxa"/>
            <w:tcBorders>
              <w:top w:val="nil"/>
              <w:bottom w:val="nil"/>
            </w:tcBorders>
            <w:shd w:val="clear" w:color="auto" w:fill="auto"/>
            <w:noWrap/>
            <w:vAlign w:val="bottom"/>
            <w:hideMark/>
          </w:tcPr>
          <w:p w14:paraId="0B382D56"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5.504</w:t>
            </w:r>
          </w:p>
        </w:tc>
      </w:tr>
      <w:tr w:rsidR="00F47753" w:rsidRPr="00CA659D" w14:paraId="7AAE09CD" w14:textId="77777777" w:rsidTr="000A51A8">
        <w:tc>
          <w:tcPr>
            <w:tcW w:w="1418" w:type="dxa"/>
            <w:tcBorders>
              <w:top w:val="nil"/>
            </w:tcBorders>
            <w:shd w:val="clear" w:color="auto" w:fill="auto"/>
          </w:tcPr>
          <w:p w14:paraId="194BCBB1" w14:textId="25B65E19" w:rsidR="000B5CDE" w:rsidRPr="00CA659D" w:rsidRDefault="000B5CDE" w:rsidP="00CA659D">
            <w:pPr>
              <w:pStyle w:val="SingleTxtG"/>
              <w:tabs>
                <w:tab w:val="clear" w:pos="1701"/>
                <w:tab w:val="clear" w:pos="2268"/>
              </w:tabs>
              <w:suppressAutoHyphens w:val="0"/>
              <w:spacing w:before="40" w:after="40" w:line="220" w:lineRule="exact"/>
              <w:ind w:left="0" w:right="113"/>
              <w:jc w:val="left"/>
              <w:rPr>
                <w:sz w:val="18"/>
                <w:szCs w:val="16"/>
              </w:rPr>
            </w:pPr>
            <w:r w:rsidRPr="00CA659D">
              <w:rPr>
                <w:sz w:val="18"/>
              </w:rPr>
              <w:lastRenderedPageBreak/>
              <w:t>4.</w:t>
            </w:r>
            <w:r w:rsidR="00486B30">
              <w:rPr>
                <w:sz w:val="18"/>
              </w:rPr>
              <w:br/>
            </w:r>
            <w:r w:rsidRPr="00CA659D">
              <w:rPr>
                <w:sz w:val="18"/>
              </w:rPr>
              <w:t>Construction</w:t>
            </w:r>
          </w:p>
        </w:tc>
        <w:tc>
          <w:tcPr>
            <w:tcW w:w="706" w:type="dxa"/>
            <w:tcBorders>
              <w:top w:val="nil"/>
            </w:tcBorders>
            <w:shd w:val="clear" w:color="auto" w:fill="auto"/>
            <w:noWrap/>
            <w:vAlign w:val="bottom"/>
            <w:hideMark/>
          </w:tcPr>
          <w:p w14:paraId="0BD21567"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sz w:val="18"/>
              </w:rPr>
            </w:pPr>
            <w:r w:rsidRPr="00CA659D">
              <w:rPr>
                <w:sz w:val="18"/>
              </w:rPr>
              <w:t>9.376</w:t>
            </w:r>
          </w:p>
        </w:tc>
        <w:tc>
          <w:tcPr>
            <w:tcW w:w="706" w:type="dxa"/>
            <w:tcBorders>
              <w:top w:val="nil"/>
            </w:tcBorders>
            <w:shd w:val="clear" w:color="auto" w:fill="auto"/>
            <w:noWrap/>
            <w:vAlign w:val="bottom"/>
            <w:hideMark/>
          </w:tcPr>
          <w:p w14:paraId="158BCA91"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10.739</w:t>
            </w:r>
          </w:p>
        </w:tc>
        <w:tc>
          <w:tcPr>
            <w:tcW w:w="706" w:type="dxa"/>
            <w:tcBorders>
              <w:top w:val="nil"/>
            </w:tcBorders>
            <w:shd w:val="clear" w:color="auto" w:fill="auto"/>
            <w:noWrap/>
            <w:vAlign w:val="bottom"/>
            <w:hideMark/>
          </w:tcPr>
          <w:p w14:paraId="2EE6CE5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11.850</w:t>
            </w:r>
          </w:p>
        </w:tc>
        <w:tc>
          <w:tcPr>
            <w:tcW w:w="706" w:type="dxa"/>
            <w:tcBorders>
              <w:top w:val="nil"/>
            </w:tcBorders>
            <w:shd w:val="clear" w:color="auto" w:fill="auto"/>
            <w:noWrap/>
            <w:vAlign w:val="bottom"/>
            <w:hideMark/>
          </w:tcPr>
          <w:p w14:paraId="67873CF1"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10.779</w:t>
            </w:r>
          </w:p>
        </w:tc>
        <w:tc>
          <w:tcPr>
            <w:tcW w:w="706" w:type="dxa"/>
            <w:tcBorders>
              <w:top w:val="nil"/>
            </w:tcBorders>
            <w:shd w:val="clear" w:color="auto" w:fill="auto"/>
            <w:noWrap/>
            <w:vAlign w:val="bottom"/>
            <w:hideMark/>
          </w:tcPr>
          <w:p w14:paraId="4A39D91E"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10.342</w:t>
            </w:r>
          </w:p>
        </w:tc>
        <w:tc>
          <w:tcPr>
            <w:tcW w:w="706" w:type="dxa"/>
            <w:tcBorders>
              <w:top w:val="nil"/>
            </w:tcBorders>
            <w:shd w:val="clear" w:color="auto" w:fill="auto"/>
            <w:noWrap/>
            <w:vAlign w:val="bottom"/>
            <w:hideMark/>
          </w:tcPr>
          <w:p w14:paraId="284B3F7F"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13.432</w:t>
            </w:r>
          </w:p>
        </w:tc>
        <w:tc>
          <w:tcPr>
            <w:tcW w:w="706" w:type="dxa"/>
            <w:tcBorders>
              <w:top w:val="nil"/>
            </w:tcBorders>
            <w:shd w:val="clear" w:color="auto" w:fill="auto"/>
            <w:noWrap/>
            <w:vAlign w:val="bottom"/>
            <w:hideMark/>
          </w:tcPr>
          <w:p w14:paraId="69CFBEAE"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13.591</w:t>
            </w:r>
          </w:p>
        </w:tc>
        <w:tc>
          <w:tcPr>
            <w:tcW w:w="706" w:type="dxa"/>
            <w:tcBorders>
              <w:top w:val="nil"/>
            </w:tcBorders>
            <w:shd w:val="clear" w:color="auto" w:fill="auto"/>
            <w:noWrap/>
            <w:vAlign w:val="bottom"/>
            <w:hideMark/>
          </w:tcPr>
          <w:p w14:paraId="61D3075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11.775</w:t>
            </w:r>
          </w:p>
        </w:tc>
        <w:tc>
          <w:tcPr>
            <w:tcW w:w="706" w:type="dxa"/>
            <w:tcBorders>
              <w:top w:val="nil"/>
            </w:tcBorders>
            <w:shd w:val="clear" w:color="auto" w:fill="auto"/>
            <w:noWrap/>
            <w:vAlign w:val="bottom"/>
            <w:hideMark/>
          </w:tcPr>
          <w:p w14:paraId="77CE0858"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12.432</w:t>
            </w:r>
          </w:p>
        </w:tc>
        <w:tc>
          <w:tcPr>
            <w:tcW w:w="706" w:type="dxa"/>
            <w:tcBorders>
              <w:top w:val="nil"/>
            </w:tcBorders>
            <w:shd w:val="clear" w:color="auto" w:fill="auto"/>
            <w:noWrap/>
            <w:vAlign w:val="bottom"/>
            <w:hideMark/>
          </w:tcPr>
          <w:p w14:paraId="36231374"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12.608</w:t>
            </w:r>
          </w:p>
        </w:tc>
      </w:tr>
      <w:tr w:rsidR="00F47753" w:rsidRPr="00CA659D" w14:paraId="7B43E9B0" w14:textId="77777777" w:rsidTr="000A51A8">
        <w:tc>
          <w:tcPr>
            <w:tcW w:w="1418" w:type="dxa"/>
            <w:shd w:val="clear" w:color="auto" w:fill="auto"/>
          </w:tcPr>
          <w:p w14:paraId="01BAF450"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left"/>
              <w:rPr>
                <w:b/>
                <w:bCs/>
                <w:sz w:val="18"/>
                <w:szCs w:val="16"/>
              </w:rPr>
            </w:pPr>
            <w:r w:rsidRPr="00CA659D">
              <w:rPr>
                <w:b/>
                <w:bCs/>
                <w:sz w:val="18"/>
              </w:rPr>
              <w:t>Tertiary sector</w:t>
            </w:r>
          </w:p>
        </w:tc>
        <w:tc>
          <w:tcPr>
            <w:tcW w:w="706" w:type="dxa"/>
            <w:shd w:val="clear" w:color="auto" w:fill="auto"/>
            <w:noWrap/>
            <w:vAlign w:val="bottom"/>
            <w:hideMark/>
          </w:tcPr>
          <w:p w14:paraId="7C3B57D5"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82.317</w:t>
            </w:r>
          </w:p>
        </w:tc>
        <w:tc>
          <w:tcPr>
            <w:tcW w:w="706" w:type="dxa"/>
            <w:shd w:val="clear" w:color="auto" w:fill="auto"/>
            <w:noWrap/>
            <w:vAlign w:val="bottom"/>
            <w:hideMark/>
          </w:tcPr>
          <w:p w14:paraId="0BA57E1F"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88.537</w:t>
            </w:r>
          </w:p>
        </w:tc>
        <w:tc>
          <w:tcPr>
            <w:tcW w:w="706" w:type="dxa"/>
            <w:shd w:val="clear" w:color="auto" w:fill="auto"/>
            <w:noWrap/>
            <w:vAlign w:val="bottom"/>
            <w:hideMark/>
          </w:tcPr>
          <w:p w14:paraId="66E4197E"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93.089</w:t>
            </w:r>
          </w:p>
        </w:tc>
        <w:tc>
          <w:tcPr>
            <w:tcW w:w="706" w:type="dxa"/>
            <w:shd w:val="clear" w:color="auto" w:fill="auto"/>
            <w:noWrap/>
            <w:vAlign w:val="bottom"/>
            <w:hideMark/>
          </w:tcPr>
          <w:p w14:paraId="57B2D362"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98.948</w:t>
            </w:r>
          </w:p>
        </w:tc>
        <w:tc>
          <w:tcPr>
            <w:tcW w:w="706" w:type="dxa"/>
            <w:shd w:val="clear" w:color="auto" w:fill="auto"/>
            <w:noWrap/>
            <w:vAlign w:val="bottom"/>
            <w:hideMark/>
          </w:tcPr>
          <w:p w14:paraId="026443E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106.900</w:t>
            </w:r>
          </w:p>
        </w:tc>
        <w:tc>
          <w:tcPr>
            <w:tcW w:w="706" w:type="dxa"/>
            <w:shd w:val="clear" w:color="auto" w:fill="auto"/>
            <w:noWrap/>
            <w:vAlign w:val="bottom"/>
            <w:hideMark/>
          </w:tcPr>
          <w:p w14:paraId="5B8E8F19"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115.802</w:t>
            </w:r>
          </w:p>
        </w:tc>
        <w:tc>
          <w:tcPr>
            <w:tcW w:w="706" w:type="dxa"/>
            <w:shd w:val="clear" w:color="auto" w:fill="auto"/>
            <w:noWrap/>
            <w:vAlign w:val="bottom"/>
            <w:hideMark/>
          </w:tcPr>
          <w:p w14:paraId="07148E2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124.081</w:t>
            </w:r>
          </w:p>
        </w:tc>
        <w:tc>
          <w:tcPr>
            <w:tcW w:w="706" w:type="dxa"/>
            <w:shd w:val="clear" w:color="auto" w:fill="auto"/>
            <w:noWrap/>
            <w:vAlign w:val="bottom"/>
            <w:hideMark/>
          </w:tcPr>
          <w:p w14:paraId="3A9F0188"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119.752</w:t>
            </w:r>
          </w:p>
        </w:tc>
        <w:tc>
          <w:tcPr>
            <w:tcW w:w="706" w:type="dxa"/>
            <w:shd w:val="clear" w:color="auto" w:fill="auto"/>
            <w:noWrap/>
            <w:vAlign w:val="bottom"/>
            <w:hideMark/>
          </w:tcPr>
          <w:p w14:paraId="010A8631"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137.299</w:t>
            </w:r>
          </w:p>
        </w:tc>
        <w:tc>
          <w:tcPr>
            <w:tcW w:w="706" w:type="dxa"/>
            <w:shd w:val="clear" w:color="auto" w:fill="auto"/>
            <w:noWrap/>
            <w:vAlign w:val="bottom"/>
            <w:hideMark/>
          </w:tcPr>
          <w:p w14:paraId="0BCAB9B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154.439</w:t>
            </w:r>
          </w:p>
        </w:tc>
      </w:tr>
      <w:tr w:rsidR="00F47753" w:rsidRPr="00CA659D" w14:paraId="5274B723" w14:textId="77777777" w:rsidTr="000A51A8">
        <w:tc>
          <w:tcPr>
            <w:tcW w:w="1418" w:type="dxa"/>
            <w:shd w:val="clear" w:color="auto" w:fill="auto"/>
          </w:tcPr>
          <w:p w14:paraId="7768F776" w14:textId="43836D46" w:rsidR="000B5CDE" w:rsidRPr="00CA659D" w:rsidRDefault="000B5CDE" w:rsidP="00CA659D">
            <w:pPr>
              <w:pStyle w:val="SingleTxtG"/>
              <w:tabs>
                <w:tab w:val="clear" w:pos="1701"/>
                <w:tab w:val="clear" w:pos="2268"/>
              </w:tabs>
              <w:suppressAutoHyphens w:val="0"/>
              <w:spacing w:before="40" w:after="40" w:line="220" w:lineRule="exact"/>
              <w:ind w:left="0" w:right="113"/>
              <w:jc w:val="left"/>
              <w:rPr>
                <w:sz w:val="18"/>
                <w:szCs w:val="16"/>
              </w:rPr>
            </w:pPr>
            <w:r w:rsidRPr="00CA659D">
              <w:rPr>
                <w:sz w:val="18"/>
              </w:rPr>
              <w:t>5.</w:t>
            </w:r>
            <w:r w:rsidR="00486B30">
              <w:rPr>
                <w:sz w:val="18"/>
              </w:rPr>
              <w:br/>
            </w:r>
            <w:r w:rsidRPr="00CA659D">
              <w:rPr>
                <w:sz w:val="18"/>
              </w:rPr>
              <w:t>Transport, information and communication</w:t>
            </w:r>
          </w:p>
        </w:tc>
        <w:tc>
          <w:tcPr>
            <w:tcW w:w="706" w:type="dxa"/>
            <w:shd w:val="clear" w:color="auto" w:fill="auto"/>
            <w:noWrap/>
            <w:vAlign w:val="bottom"/>
            <w:hideMark/>
          </w:tcPr>
          <w:p w14:paraId="10EA6F78"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sz w:val="18"/>
              </w:rPr>
            </w:pPr>
            <w:r w:rsidRPr="00CA659D">
              <w:rPr>
                <w:sz w:val="18"/>
              </w:rPr>
              <w:t>10.751</w:t>
            </w:r>
          </w:p>
        </w:tc>
        <w:tc>
          <w:tcPr>
            <w:tcW w:w="706" w:type="dxa"/>
            <w:shd w:val="clear" w:color="auto" w:fill="auto"/>
            <w:noWrap/>
            <w:vAlign w:val="bottom"/>
            <w:hideMark/>
          </w:tcPr>
          <w:p w14:paraId="0CC2FCFA"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11.784</w:t>
            </w:r>
          </w:p>
        </w:tc>
        <w:tc>
          <w:tcPr>
            <w:tcW w:w="706" w:type="dxa"/>
            <w:shd w:val="clear" w:color="auto" w:fill="auto"/>
            <w:noWrap/>
            <w:vAlign w:val="bottom"/>
            <w:hideMark/>
          </w:tcPr>
          <w:p w14:paraId="2F6FC702"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12.145</w:t>
            </w:r>
          </w:p>
        </w:tc>
        <w:tc>
          <w:tcPr>
            <w:tcW w:w="706" w:type="dxa"/>
            <w:shd w:val="clear" w:color="auto" w:fill="auto"/>
            <w:noWrap/>
            <w:vAlign w:val="bottom"/>
            <w:hideMark/>
          </w:tcPr>
          <w:p w14:paraId="6E325670"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14.895</w:t>
            </w:r>
          </w:p>
        </w:tc>
        <w:tc>
          <w:tcPr>
            <w:tcW w:w="706" w:type="dxa"/>
            <w:shd w:val="clear" w:color="auto" w:fill="auto"/>
            <w:noWrap/>
            <w:vAlign w:val="bottom"/>
            <w:hideMark/>
          </w:tcPr>
          <w:p w14:paraId="1C2B082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16.769</w:t>
            </w:r>
          </w:p>
        </w:tc>
        <w:tc>
          <w:tcPr>
            <w:tcW w:w="706" w:type="dxa"/>
            <w:shd w:val="clear" w:color="auto" w:fill="auto"/>
            <w:noWrap/>
            <w:vAlign w:val="bottom"/>
            <w:hideMark/>
          </w:tcPr>
          <w:p w14:paraId="39E5084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19.229</w:t>
            </w:r>
          </w:p>
        </w:tc>
        <w:tc>
          <w:tcPr>
            <w:tcW w:w="706" w:type="dxa"/>
            <w:shd w:val="clear" w:color="auto" w:fill="auto"/>
            <w:noWrap/>
            <w:vAlign w:val="bottom"/>
            <w:hideMark/>
          </w:tcPr>
          <w:p w14:paraId="227C5208"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20.184</w:t>
            </w:r>
          </w:p>
        </w:tc>
        <w:tc>
          <w:tcPr>
            <w:tcW w:w="706" w:type="dxa"/>
            <w:shd w:val="clear" w:color="auto" w:fill="auto"/>
            <w:noWrap/>
            <w:vAlign w:val="bottom"/>
            <w:hideMark/>
          </w:tcPr>
          <w:p w14:paraId="1663D181"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20.058</w:t>
            </w:r>
          </w:p>
        </w:tc>
        <w:tc>
          <w:tcPr>
            <w:tcW w:w="706" w:type="dxa"/>
            <w:shd w:val="clear" w:color="auto" w:fill="auto"/>
            <w:noWrap/>
            <w:vAlign w:val="bottom"/>
            <w:hideMark/>
          </w:tcPr>
          <w:p w14:paraId="0E68F81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21.868</w:t>
            </w:r>
          </w:p>
        </w:tc>
        <w:tc>
          <w:tcPr>
            <w:tcW w:w="706" w:type="dxa"/>
            <w:shd w:val="clear" w:color="auto" w:fill="auto"/>
            <w:noWrap/>
            <w:vAlign w:val="bottom"/>
            <w:hideMark/>
          </w:tcPr>
          <w:p w14:paraId="6C03377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22.660</w:t>
            </w:r>
          </w:p>
        </w:tc>
      </w:tr>
      <w:tr w:rsidR="00F47753" w:rsidRPr="00CA659D" w14:paraId="17CBA964" w14:textId="77777777" w:rsidTr="000A51A8">
        <w:tc>
          <w:tcPr>
            <w:tcW w:w="1418" w:type="dxa"/>
            <w:shd w:val="clear" w:color="auto" w:fill="auto"/>
          </w:tcPr>
          <w:p w14:paraId="62A295F3" w14:textId="53C71DF9" w:rsidR="000B5CDE" w:rsidRPr="00CA659D" w:rsidRDefault="000B5CDE" w:rsidP="00CA659D">
            <w:pPr>
              <w:pStyle w:val="SingleTxtG"/>
              <w:tabs>
                <w:tab w:val="clear" w:pos="1701"/>
                <w:tab w:val="clear" w:pos="2268"/>
              </w:tabs>
              <w:suppressAutoHyphens w:val="0"/>
              <w:spacing w:before="40" w:after="40" w:line="220" w:lineRule="exact"/>
              <w:ind w:left="0" w:right="113"/>
              <w:jc w:val="left"/>
              <w:rPr>
                <w:sz w:val="18"/>
                <w:szCs w:val="16"/>
              </w:rPr>
            </w:pPr>
            <w:r w:rsidRPr="00CA659D">
              <w:rPr>
                <w:sz w:val="18"/>
              </w:rPr>
              <w:t xml:space="preserve">5.1 </w:t>
            </w:r>
            <w:r w:rsidR="000A51A8">
              <w:rPr>
                <w:sz w:val="18"/>
              </w:rPr>
              <w:br/>
            </w:r>
            <w:r w:rsidRPr="00CA659D">
              <w:rPr>
                <w:sz w:val="18"/>
              </w:rPr>
              <w:t>Transport</w:t>
            </w:r>
          </w:p>
        </w:tc>
        <w:tc>
          <w:tcPr>
            <w:tcW w:w="706" w:type="dxa"/>
            <w:shd w:val="clear" w:color="auto" w:fill="auto"/>
            <w:noWrap/>
            <w:vAlign w:val="bottom"/>
            <w:hideMark/>
          </w:tcPr>
          <w:p w14:paraId="125F7C1F"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sz w:val="18"/>
              </w:rPr>
            </w:pPr>
            <w:r w:rsidRPr="00CA659D">
              <w:rPr>
                <w:sz w:val="18"/>
              </w:rPr>
              <w:t>5.264</w:t>
            </w:r>
          </w:p>
        </w:tc>
        <w:tc>
          <w:tcPr>
            <w:tcW w:w="706" w:type="dxa"/>
            <w:shd w:val="clear" w:color="auto" w:fill="auto"/>
            <w:noWrap/>
            <w:vAlign w:val="bottom"/>
            <w:hideMark/>
          </w:tcPr>
          <w:p w14:paraId="742979D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6.337</w:t>
            </w:r>
          </w:p>
        </w:tc>
        <w:tc>
          <w:tcPr>
            <w:tcW w:w="706" w:type="dxa"/>
            <w:shd w:val="clear" w:color="auto" w:fill="auto"/>
            <w:noWrap/>
            <w:vAlign w:val="bottom"/>
            <w:hideMark/>
          </w:tcPr>
          <w:p w14:paraId="763513DC"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6.944</w:t>
            </w:r>
          </w:p>
        </w:tc>
        <w:tc>
          <w:tcPr>
            <w:tcW w:w="706" w:type="dxa"/>
            <w:shd w:val="clear" w:color="auto" w:fill="auto"/>
            <w:noWrap/>
            <w:vAlign w:val="bottom"/>
            <w:hideMark/>
          </w:tcPr>
          <w:p w14:paraId="6D47D36F"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9.094</w:t>
            </w:r>
          </w:p>
        </w:tc>
        <w:tc>
          <w:tcPr>
            <w:tcW w:w="706" w:type="dxa"/>
            <w:shd w:val="clear" w:color="auto" w:fill="auto"/>
            <w:noWrap/>
            <w:vAlign w:val="bottom"/>
            <w:hideMark/>
          </w:tcPr>
          <w:p w14:paraId="7787348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10.233</w:t>
            </w:r>
          </w:p>
        </w:tc>
        <w:tc>
          <w:tcPr>
            <w:tcW w:w="706" w:type="dxa"/>
            <w:shd w:val="clear" w:color="auto" w:fill="auto"/>
            <w:noWrap/>
            <w:vAlign w:val="bottom"/>
            <w:hideMark/>
          </w:tcPr>
          <w:p w14:paraId="18F7B601"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11.683</w:t>
            </w:r>
          </w:p>
        </w:tc>
        <w:tc>
          <w:tcPr>
            <w:tcW w:w="706" w:type="dxa"/>
            <w:shd w:val="clear" w:color="auto" w:fill="auto"/>
            <w:noWrap/>
            <w:vAlign w:val="bottom"/>
            <w:hideMark/>
          </w:tcPr>
          <w:p w14:paraId="720E016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12.554</w:t>
            </w:r>
          </w:p>
        </w:tc>
        <w:tc>
          <w:tcPr>
            <w:tcW w:w="706" w:type="dxa"/>
            <w:shd w:val="clear" w:color="auto" w:fill="auto"/>
            <w:noWrap/>
            <w:vAlign w:val="bottom"/>
            <w:hideMark/>
          </w:tcPr>
          <w:p w14:paraId="1E59B43A"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12.012</w:t>
            </w:r>
          </w:p>
        </w:tc>
        <w:tc>
          <w:tcPr>
            <w:tcW w:w="706" w:type="dxa"/>
            <w:shd w:val="clear" w:color="auto" w:fill="auto"/>
            <w:noWrap/>
            <w:vAlign w:val="bottom"/>
            <w:hideMark/>
          </w:tcPr>
          <w:p w14:paraId="7263D1D6"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13.911</w:t>
            </w:r>
          </w:p>
        </w:tc>
        <w:tc>
          <w:tcPr>
            <w:tcW w:w="706" w:type="dxa"/>
            <w:shd w:val="clear" w:color="auto" w:fill="auto"/>
            <w:noWrap/>
            <w:vAlign w:val="bottom"/>
            <w:hideMark/>
          </w:tcPr>
          <w:p w14:paraId="7A75E47E"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14.318</w:t>
            </w:r>
          </w:p>
        </w:tc>
      </w:tr>
      <w:tr w:rsidR="00F47753" w:rsidRPr="00CA659D" w14:paraId="62E73F9E" w14:textId="77777777" w:rsidTr="000A51A8">
        <w:tc>
          <w:tcPr>
            <w:tcW w:w="1418" w:type="dxa"/>
            <w:shd w:val="clear" w:color="auto" w:fill="auto"/>
          </w:tcPr>
          <w:p w14:paraId="7B2E1F4A" w14:textId="2403FF68" w:rsidR="000B5CDE" w:rsidRPr="00CA659D" w:rsidRDefault="000B5CDE" w:rsidP="000A51A8">
            <w:pPr>
              <w:pStyle w:val="SingleTxtG"/>
              <w:tabs>
                <w:tab w:val="clear" w:pos="1701"/>
                <w:tab w:val="clear" w:pos="2268"/>
              </w:tabs>
              <w:suppressAutoHyphens w:val="0"/>
              <w:spacing w:before="40" w:after="40" w:line="220" w:lineRule="exact"/>
              <w:ind w:left="0" w:right="113"/>
              <w:jc w:val="left"/>
              <w:rPr>
                <w:sz w:val="18"/>
                <w:szCs w:val="16"/>
              </w:rPr>
            </w:pPr>
            <w:r w:rsidRPr="00CA659D">
              <w:rPr>
                <w:sz w:val="18"/>
              </w:rPr>
              <w:t xml:space="preserve">5.2 </w:t>
            </w:r>
            <w:r w:rsidR="00486B30">
              <w:rPr>
                <w:sz w:val="18"/>
              </w:rPr>
              <w:br/>
            </w:r>
            <w:r w:rsidRPr="00CA659D">
              <w:rPr>
                <w:sz w:val="18"/>
              </w:rPr>
              <w:t>Information and communication</w:t>
            </w:r>
          </w:p>
        </w:tc>
        <w:tc>
          <w:tcPr>
            <w:tcW w:w="706" w:type="dxa"/>
            <w:shd w:val="clear" w:color="auto" w:fill="auto"/>
            <w:noWrap/>
            <w:vAlign w:val="bottom"/>
            <w:hideMark/>
          </w:tcPr>
          <w:p w14:paraId="0894C879"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sz w:val="18"/>
              </w:rPr>
            </w:pPr>
            <w:r w:rsidRPr="00CA659D">
              <w:rPr>
                <w:sz w:val="18"/>
              </w:rPr>
              <w:t>5.487</w:t>
            </w:r>
          </w:p>
        </w:tc>
        <w:tc>
          <w:tcPr>
            <w:tcW w:w="706" w:type="dxa"/>
            <w:shd w:val="clear" w:color="auto" w:fill="auto"/>
            <w:noWrap/>
            <w:vAlign w:val="bottom"/>
            <w:hideMark/>
          </w:tcPr>
          <w:p w14:paraId="4B6A84B9"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5.446</w:t>
            </w:r>
          </w:p>
        </w:tc>
        <w:tc>
          <w:tcPr>
            <w:tcW w:w="706" w:type="dxa"/>
            <w:shd w:val="clear" w:color="auto" w:fill="auto"/>
            <w:noWrap/>
            <w:vAlign w:val="bottom"/>
            <w:hideMark/>
          </w:tcPr>
          <w:p w14:paraId="73B39A5A"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5.202</w:t>
            </w:r>
          </w:p>
        </w:tc>
        <w:tc>
          <w:tcPr>
            <w:tcW w:w="706" w:type="dxa"/>
            <w:shd w:val="clear" w:color="auto" w:fill="auto"/>
            <w:noWrap/>
            <w:vAlign w:val="bottom"/>
            <w:hideMark/>
          </w:tcPr>
          <w:p w14:paraId="7C5F8FEF"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5.802</w:t>
            </w:r>
          </w:p>
        </w:tc>
        <w:tc>
          <w:tcPr>
            <w:tcW w:w="706" w:type="dxa"/>
            <w:shd w:val="clear" w:color="auto" w:fill="auto"/>
            <w:noWrap/>
            <w:vAlign w:val="bottom"/>
            <w:hideMark/>
          </w:tcPr>
          <w:p w14:paraId="78B78738"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6.536</w:t>
            </w:r>
          </w:p>
        </w:tc>
        <w:tc>
          <w:tcPr>
            <w:tcW w:w="706" w:type="dxa"/>
            <w:shd w:val="clear" w:color="auto" w:fill="auto"/>
            <w:noWrap/>
            <w:vAlign w:val="bottom"/>
            <w:hideMark/>
          </w:tcPr>
          <w:p w14:paraId="28AFBB43"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7.546</w:t>
            </w:r>
          </w:p>
        </w:tc>
        <w:tc>
          <w:tcPr>
            <w:tcW w:w="706" w:type="dxa"/>
            <w:shd w:val="clear" w:color="auto" w:fill="auto"/>
            <w:noWrap/>
            <w:vAlign w:val="bottom"/>
            <w:hideMark/>
          </w:tcPr>
          <w:p w14:paraId="213DB924"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7.630</w:t>
            </w:r>
          </w:p>
        </w:tc>
        <w:tc>
          <w:tcPr>
            <w:tcW w:w="706" w:type="dxa"/>
            <w:shd w:val="clear" w:color="auto" w:fill="auto"/>
            <w:noWrap/>
            <w:vAlign w:val="bottom"/>
            <w:hideMark/>
          </w:tcPr>
          <w:p w14:paraId="064186EF"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8.046</w:t>
            </w:r>
          </w:p>
        </w:tc>
        <w:tc>
          <w:tcPr>
            <w:tcW w:w="706" w:type="dxa"/>
            <w:shd w:val="clear" w:color="auto" w:fill="auto"/>
            <w:noWrap/>
            <w:vAlign w:val="bottom"/>
            <w:hideMark/>
          </w:tcPr>
          <w:p w14:paraId="57491177"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7.958</w:t>
            </w:r>
          </w:p>
        </w:tc>
        <w:tc>
          <w:tcPr>
            <w:tcW w:w="706" w:type="dxa"/>
            <w:shd w:val="clear" w:color="auto" w:fill="auto"/>
            <w:noWrap/>
            <w:vAlign w:val="bottom"/>
            <w:hideMark/>
          </w:tcPr>
          <w:p w14:paraId="15546D06"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8.342</w:t>
            </w:r>
          </w:p>
        </w:tc>
      </w:tr>
      <w:tr w:rsidR="00F47753" w:rsidRPr="00CA659D" w14:paraId="392C336F" w14:textId="77777777" w:rsidTr="000A51A8">
        <w:tc>
          <w:tcPr>
            <w:tcW w:w="1418" w:type="dxa"/>
            <w:shd w:val="clear" w:color="auto" w:fill="auto"/>
          </w:tcPr>
          <w:p w14:paraId="5C807254" w14:textId="18D5ABCE" w:rsidR="000B5CDE" w:rsidRPr="00CA659D" w:rsidRDefault="000B5CDE" w:rsidP="00CA659D">
            <w:pPr>
              <w:pStyle w:val="SingleTxtG"/>
              <w:tabs>
                <w:tab w:val="clear" w:pos="1701"/>
                <w:tab w:val="clear" w:pos="2268"/>
              </w:tabs>
              <w:suppressAutoHyphens w:val="0"/>
              <w:spacing w:before="40" w:after="40" w:line="220" w:lineRule="exact"/>
              <w:ind w:left="0" w:right="113"/>
              <w:jc w:val="left"/>
              <w:rPr>
                <w:sz w:val="18"/>
                <w:szCs w:val="16"/>
              </w:rPr>
            </w:pPr>
            <w:r w:rsidRPr="00CA659D">
              <w:rPr>
                <w:sz w:val="18"/>
              </w:rPr>
              <w:t xml:space="preserve">8. </w:t>
            </w:r>
            <w:r w:rsidR="000A51A8">
              <w:rPr>
                <w:sz w:val="18"/>
              </w:rPr>
              <w:br/>
            </w:r>
            <w:r w:rsidRPr="00CA659D">
              <w:rPr>
                <w:sz w:val="18"/>
              </w:rPr>
              <w:t>Trade</w:t>
            </w:r>
          </w:p>
        </w:tc>
        <w:tc>
          <w:tcPr>
            <w:tcW w:w="706" w:type="dxa"/>
            <w:shd w:val="clear" w:color="auto" w:fill="auto"/>
            <w:noWrap/>
            <w:vAlign w:val="bottom"/>
            <w:hideMark/>
          </w:tcPr>
          <w:p w14:paraId="46AEE9DD"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sz w:val="18"/>
              </w:rPr>
            </w:pPr>
            <w:r w:rsidRPr="00CA659D">
              <w:rPr>
                <w:sz w:val="18"/>
              </w:rPr>
              <w:t>24.030</w:t>
            </w:r>
          </w:p>
        </w:tc>
        <w:tc>
          <w:tcPr>
            <w:tcW w:w="706" w:type="dxa"/>
            <w:shd w:val="clear" w:color="auto" w:fill="auto"/>
            <w:noWrap/>
            <w:vAlign w:val="bottom"/>
            <w:hideMark/>
          </w:tcPr>
          <w:p w14:paraId="3F4EABF6"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27.134</w:t>
            </w:r>
          </w:p>
        </w:tc>
        <w:tc>
          <w:tcPr>
            <w:tcW w:w="706" w:type="dxa"/>
            <w:shd w:val="clear" w:color="auto" w:fill="auto"/>
            <w:noWrap/>
            <w:vAlign w:val="bottom"/>
            <w:hideMark/>
          </w:tcPr>
          <w:p w14:paraId="4827CCB1"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27.464</w:t>
            </w:r>
          </w:p>
        </w:tc>
        <w:tc>
          <w:tcPr>
            <w:tcW w:w="706" w:type="dxa"/>
            <w:shd w:val="clear" w:color="auto" w:fill="auto"/>
            <w:noWrap/>
            <w:vAlign w:val="bottom"/>
            <w:hideMark/>
          </w:tcPr>
          <w:p w14:paraId="39E4715A"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27.269</w:t>
            </w:r>
          </w:p>
        </w:tc>
        <w:tc>
          <w:tcPr>
            <w:tcW w:w="706" w:type="dxa"/>
            <w:shd w:val="clear" w:color="auto" w:fill="auto"/>
            <w:noWrap/>
            <w:vAlign w:val="bottom"/>
            <w:hideMark/>
          </w:tcPr>
          <w:p w14:paraId="0BDD5560"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27.936</w:t>
            </w:r>
          </w:p>
        </w:tc>
        <w:tc>
          <w:tcPr>
            <w:tcW w:w="706" w:type="dxa"/>
            <w:shd w:val="clear" w:color="auto" w:fill="auto"/>
            <w:noWrap/>
            <w:vAlign w:val="bottom"/>
            <w:hideMark/>
          </w:tcPr>
          <w:p w14:paraId="452108E2"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32.009</w:t>
            </w:r>
          </w:p>
        </w:tc>
        <w:tc>
          <w:tcPr>
            <w:tcW w:w="706" w:type="dxa"/>
            <w:shd w:val="clear" w:color="auto" w:fill="auto"/>
            <w:noWrap/>
            <w:vAlign w:val="bottom"/>
            <w:hideMark/>
          </w:tcPr>
          <w:p w14:paraId="1F5EAB1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33.706</w:t>
            </w:r>
          </w:p>
        </w:tc>
        <w:tc>
          <w:tcPr>
            <w:tcW w:w="706" w:type="dxa"/>
            <w:shd w:val="clear" w:color="auto" w:fill="auto"/>
            <w:noWrap/>
            <w:vAlign w:val="bottom"/>
            <w:hideMark/>
          </w:tcPr>
          <w:p w14:paraId="0DD6FEF5"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29.501</w:t>
            </w:r>
          </w:p>
        </w:tc>
        <w:tc>
          <w:tcPr>
            <w:tcW w:w="706" w:type="dxa"/>
            <w:shd w:val="clear" w:color="auto" w:fill="auto"/>
            <w:noWrap/>
            <w:vAlign w:val="bottom"/>
            <w:hideMark/>
          </w:tcPr>
          <w:p w14:paraId="0BFFAFCF"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34.429</w:t>
            </w:r>
          </w:p>
        </w:tc>
        <w:tc>
          <w:tcPr>
            <w:tcW w:w="706" w:type="dxa"/>
            <w:shd w:val="clear" w:color="auto" w:fill="auto"/>
            <w:noWrap/>
            <w:vAlign w:val="bottom"/>
            <w:hideMark/>
          </w:tcPr>
          <w:p w14:paraId="6B085184"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36.404</w:t>
            </w:r>
          </w:p>
        </w:tc>
      </w:tr>
      <w:tr w:rsidR="00F47753" w:rsidRPr="00CA659D" w14:paraId="082DE847" w14:textId="77777777" w:rsidTr="000A51A8">
        <w:tc>
          <w:tcPr>
            <w:tcW w:w="1418" w:type="dxa"/>
            <w:shd w:val="clear" w:color="auto" w:fill="auto"/>
          </w:tcPr>
          <w:p w14:paraId="6FBDF42D" w14:textId="582CC936" w:rsidR="000B5CDE" w:rsidRPr="00CA659D" w:rsidRDefault="000B5CDE" w:rsidP="00CA659D">
            <w:pPr>
              <w:pStyle w:val="SingleTxtG"/>
              <w:tabs>
                <w:tab w:val="clear" w:pos="1701"/>
                <w:tab w:val="clear" w:pos="2268"/>
              </w:tabs>
              <w:suppressAutoHyphens w:val="0"/>
              <w:spacing w:before="40" w:after="40" w:line="220" w:lineRule="exact"/>
              <w:ind w:left="0" w:right="113"/>
              <w:jc w:val="left"/>
              <w:rPr>
                <w:sz w:val="18"/>
                <w:szCs w:val="16"/>
              </w:rPr>
            </w:pPr>
            <w:r w:rsidRPr="00CA659D">
              <w:rPr>
                <w:sz w:val="18"/>
              </w:rPr>
              <w:t xml:space="preserve">9. </w:t>
            </w:r>
            <w:r w:rsidR="000A51A8">
              <w:rPr>
                <w:sz w:val="18"/>
              </w:rPr>
              <w:br/>
            </w:r>
            <w:r w:rsidRPr="00CA659D">
              <w:rPr>
                <w:sz w:val="18"/>
              </w:rPr>
              <w:t>Other services</w:t>
            </w:r>
          </w:p>
        </w:tc>
        <w:tc>
          <w:tcPr>
            <w:tcW w:w="706" w:type="dxa"/>
            <w:shd w:val="clear" w:color="auto" w:fill="auto"/>
            <w:noWrap/>
            <w:vAlign w:val="bottom"/>
            <w:hideMark/>
          </w:tcPr>
          <w:p w14:paraId="654D4DCB"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sz w:val="18"/>
              </w:rPr>
            </w:pPr>
            <w:r w:rsidRPr="00CA659D">
              <w:rPr>
                <w:sz w:val="18"/>
              </w:rPr>
              <w:t>36.405</w:t>
            </w:r>
          </w:p>
        </w:tc>
        <w:tc>
          <w:tcPr>
            <w:tcW w:w="706" w:type="dxa"/>
            <w:shd w:val="clear" w:color="auto" w:fill="auto"/>
            <w:noWrap/>
            <w:vAlign w:val="bottom"/>
            <w:hideMark/>
          </w:tcPr>
          <w:p w14:paraId="61AE50DE"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37.878</w:t>
            </w:r>
          </w:p>
        </w:tc>
        <w:tc>
          <w:tcPr>
            <w:tcW w:w="706" w:type="dxa"/>
            <w:shd w:val="clear" w:color="auto" w:fill="auto"/>
            <w:noWrap/>
            <w:vAlign w:val="bottom"/>
            <w:hideMark/>
          </w:tcPr>
          <w:p w14:paraId="7761329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40.405</w:t>
            </w:r>
          </w:p>
        </w:tc>
        <w:tc>
          <w:tcPr>
            <w:tcW w:w="706" w:type="dxa"/>
            <w:shd w:val="clear" w:color="auto" w:fill="auto"/>
            <w:noWrap/>
            <w:vAlign w:val="bottom"/>
            <w:hideMark/>
          </w:tcPr>
          <w:p w14:paraId="66DF5BF8"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42.776</w:t>
            </w:r>
          </w:p>
        </w:tc>
        <w:tc>
          <w:tcPr>
            <w:tcW w:w="706" w:type="dxa"/>
            <w:shd w:val="clear" w:color="auto" w:fill="auto"/>
            <w:noWrap/>
            <w:vAlign w:val="bottom"/>
            <w:hideMark/>
          </w:tcPr>
          <w:p w14:paraId="21D81615"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47.149</w:t>
            </w:r>
          </w:p>
        </w:tc>
        <w:tc>
          <w:tcPr>
            <w:tcW w:w="706" w:type="dxa"/>
            <w:shd w:val="clear" w:color="auto" w:fill="auto"/>
            <w:noWrap/>
            <w:vAlign w:val="bottom"/>
            <w:hideMark/>
          </w:tcPr>
          <w:p w14:paraId="79D3E710"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47.896</w:t>
            </w:r>
          </w:p>
        </w:tc>
        <w:tc>
          <w:tcPr>
            <w:tcW w:w="706" w:type="dxa"/>
            <w:shd w:val="clear" w:color="auto" w:fill="auto"/>
            <w:noWrap/>
            <w:vAlign w:val="bottom"/>
            <w:hideMark/>
          </w:tcPr>
          <w:p w14:paraId="51543CEF"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52.799</w:t>
            </w:r>
          </w:p>
        </w:tc>
        <w:tc>
          <w:tcPr>
            <w:tcW w:w="706" w:type="dxa"/>
            <w:shd w:val="clear" w:color="auto" w:fill="auto"/>
            <w:noWrap/>
            <w:vAlign w:val="bottom"/>
            <w:hideMark/>
          </w:tcPr>
          <w:p w14:paraId="27B27ADC"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53.283</w:t>
            </w:r>
          </w:p>
        </w:tc>
        <w:tc>
          <w:tcPr>
            <w:tcW w:w="706" w:type="dxa"/>
            <w:shd w:val="clear" w:color="auto" w:fill="auto"/>
            <w:noWrap/>
            <w:vAlign w:val="bottom"/>
            <w:hideMark/>
          </w:tcPr>
          <w:p w14:paraId="05202231"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58.122</w:t>
            </w:r>
          </w:p>
        </w:tc>
        <w:tc>
          <w:tcPr>
            <w:tcW w:w="706" w:type="dxa"/>
            <w:shd w:val="clear" w:color="auto" w:fill="auto"/>
            <w:noWrap/>
            <w:vAlign w:val="bottom"/>
            <w:hideMark/>
          </w:tcPr>
          <w:p w14:paraId="3CCC643A"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67.266</w:t>
            </w:r>
          </w:p>
        </w:tc>
      </w:tr>
      <w:tr w:rsidR="00F47753" w:rsidRPr="00CA659D" w14:paraId="3F08B346" w14:textId="77777777" w:rsidTr="000A51A8">
        <w:tc>
          <w:tcPr>
            <w:tcW w:w="1418" w:type="dxa"/>
            <w:shd w:val="clear" w:color="auto" w:fill="auto"/>
          </w:tcPr>
          <w:p w14:paraId="6434B226" w14:textId="4930127B" w:rsidR="000B5CDE" w:rsidRPr="00CA659D" w:rsidRDefault="000B5CDE" w:rsidP="00CA659D">
            <w:pPr>
              <w:pStyle w:val="SingleTxtG"/>
              <w:tabs>
                <w:tab w:val="clear" w:pos="1701"/>
                <w:tab w:val="clear" w:pos="2268"/>
              </w:tabs>
              <w:suppressAutoHyphens w:val="0"/>
              <w:spacing w:before="40" w:after="40" w:line="220" w:lineRule="exact"/>
              <w:ind w:left="0" w:right="113"/>
              <w:jc w:val="left"/>
              <w:rPr>
                <w:sz w:val="18"/>
                <w:szCs w:val="16"/>
              </w:rPr>
            </w:pPr>
            <w:r w:rsidRPr="00CA659D">
              <w:rPr>
                <w:sz w:val="18"/>
              </w:rPr>
              <w:t xml:space="preserve">10. </w:t>
            </w:r>
            <w:r w:rsidR="000A51A8">
              <w:rPr>
                <w:sz w:val="18"/>
              </w:rPr>
              <w:br/>
            </w:r>
            <w:r w:rsidRPr="00CA659D">
              <w:rPr>
                <w:sz w:val="18"/>
              </w:rPr>
              <w:t>General government</w:t>
            </w:r>
          </w:p>
        </w:tc>
        <w:tc>
          <w:tcPr>
            <w:tcW w:w="706" w:type="dxa"/>
            <w:shd w:val="clear" w:color="auto" w:fill="auto"/>
            <w:noWrap/>
            <w:vAlign w:val="bottom"/>
            <w:hideMark/>
          </w:tcPr>
          <w:p w14:paraId="54A34B26"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sz w:val="18"/>
              </w:rPr>
            </w:pPr>
            <w:r w:rsidRPr="00CA659D">
              <w:rPr>
                <w:sz w:val="18"/>
              </w:rPr>
              <w:t>11.131</w:t>
            </w:r>
          </w:p>
        </w:tc>
        <w:tc>
          <w:tcPr>
            <w:tcW w:w="706" w:type="dxa"/>
            <w:shd w:val="clear" w:color="auto" w:fill="auto"/>
            <w:noWrap/>
            <w:vAlign w:val="bottom"/>
            <w:hideMark/>
          </w:tcPr>
          <w:p w14:paraId="1786C780"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11.743</w:t>
            </w:r>
          </w:p>
        </w:tc>
        <w:tc>
          <w:tcPr>
            <w:tcW w:w="706" w:type="dxa"/>
            <w:shd w:val="clear" w:color="auto" w:fill="auto"/>
            <w:noWrap/>
            <w:vAlign w:val="bottom"/>
            <w:hideMark/>
          </w:tcPr>
          <w:p w14:paraId="28A0330C"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13.075</w:t>
            </w:r>
          </w:p>
        </w:tc>
        <w:tc>
          <w:tcPr>
            <w:tcW w:w="706" w:type="dxa"/>
            <w:shd w:val="clear" w:color="auto" w:fill="auto"/>
            <w:noWrap/>
            <w:vAlign w:val="bottom"/>
            <w:hideMark/>
          </w:tcPr>
          <w:p w14:paraId="24D31A05"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14.008</w:t>
            </w:r>
          </w:p>
        </w:tc>
        <w:tc>
          <w:tcPr>
            <w:tcW w:w="706" w:type="dxa"/>
            <w:shd w:val="clear" w:color="auto" w:fill="auto"/>
            <w:noWrap/>
            <w:vAlign w:val="bottom"/>
            <w:hideMark/>
          </w:tcPr>
          <w:p w14:paraId="5199F04E"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15.047</w:t>
            </w:r>
          </w:p>
        </w:tc>
        <w:tc>
          <w:tcPr>
            <w:tcW w:w="706" w:type="dxa"/>
            <w:shd w:val="clear" w:color="auto" w:fill="auto"/>
            <w:noWrap/>
            <w:vAlign w:val="bottom"/>
            <w:hideMark/>
          </w:tcPr>
          <w:p w14:paraId="19A4CCE9"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16.669</w:t>
            </w:r>
          </w:p>
        </w:tc>
        <w:tc>
          <w:tcPr>
            <w:tcW w:w="706" w:type="dxa"/>
            <w:shd w:val="clear" w:color="auto" w:fill="auto"/>
            <w:noWrap/>
            <w:vAlign w:val="bottom"/>
            <w:hideMark/>
          </w:tcPr>
          <w:p w14:paraId="6255C1B0"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17.391</w:t>
            </w:r>
          </w:p>
        </w:tc>
        <w:tc>
          <w:tcPr>
            <w:tcW w:w="706" w:type="dxa"/>
            <w:shd w:val="clear" w:color="auto" w:fill="auto"/>
            <w:noWrap/>
            <w:vAlign w:val="bottom"/>
            <w:hideMark/>
          </w:tcPr>
          <w:p w14:paraId="0EF45BE0"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16.910</w:t>
            </w:r>
          </w:p>
        </w:tc>
        <w:tc>
          <w:tcPr>
            <w:tcW w:w="706" w:type="dxa"/>
            <w:shd w:val="clear" w:color="auto" w:fill="auto"/>
            <w:noWrap/>
            <w:vAlign w:val="bottom"/>
            <w:hideMark/>
          </w:tcPr>
          <w:p w14:paraId="4F75592C"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22.879</w:t>
            </w:r>
          </w:p>
        </w:tc>
        <w:tc>
          <w:tcPr>
            <w:tcW w:w="706" w:type="dxa"/>
            <w:shd w:val="clear" w:color="auto" w:fill="auto"/>
            <w:noWrap/>
            <w:vAlign w:val="bottom"/>
            <w:hideMark/>
          </w:tcPr>
          <w:p w14:paraId="63EABAAF"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28.109</w:t>
            </w:r>
          </w:p>
        </w:tc>
      </w:tr>
      <w:tr w:rsidR="00F47753" w:rsidRPr="00CA659D" w14:paraId="1CF33933" w14:textId="77777777" w:rsidTr="000A51A8">
        <w:tc>
          <w:tcPr>
            <w:tcW w:w="1418" w:type="dxa"/>
            <w:shd w:val="clear" w:color="auto" w:fill="auto"/>
          </w:tcPr>
          <w:p w14:paraId="4BD26D41"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left"/>
              <w:rPr>
                <w:b/>
                <w:bCs/>
                <w:sz w:val="18"/>
                <w:szCs w:val="16"/>
              </w:rPr>
            </w:pPr>
            <w:r w:rsidRPr="00CA659D">
              <w:rPr>
                <w:b/>
                <w:bCs/>
                <w:sz w:val="18"/>
              </w:rPr>
              <w:t>GDP</w:t>
            </w:r>
            <w:r w:rsidRPr="00CA659D">
              <w:rPr>
                <w:sz w:val="18"/>
              </w:rPr>
              <w:t xml:space="preserve"> </w:t>
            </w:r>
            <w:r w:rsidRPr="00CA659D">
              <w:rPr>
                <w:b/>
                <w:bCs/>
                <w:sz w:val="18"/>
              </w:rPr>
              <w:t>at factor cost</w:t>
            </w:r>
          </w:p>
        </w:tc>
        <w:tc>
          <w:tcPr>
            <w:tcW w:w="706" w:type="dxa"/>
            <w:shd w:val="clear" w:color="auto" w:fill="auto"/>
            <w:noWrap/>
            <w:vAlign w:val="bottom"/>
            <w:hideMark/>
          </w:tcPr>
          <w:p w14:paraId="62B634DF"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201.534</w:t>
            </w:r>
          </w:p>
        </w:tc>
        <w:tc>
          <w:tcPr>
            <w:tcW w:w="706" w:type="dxa"/>
            <w:shd w:val="clear" w:color="auto" w:fill="auto"/>
            <w:noWrap/>
            <w:vAlign w:val="bottom"/>
            <w:hideMark/>
          </w:tcPr>
          <w:p w14:paraId="03173C30"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182.839</w:t>
            </w:r>
          </w:p>
        </w:tc>
        <w:tc>
          <w:tcPr>
            <w:tcW w:w="706" w:type="dxa"/>
            <w:shd w:val="clear" w:color="auto" w:fill="auto"/>
            <w:noWrap/>
            <w:vAlign w:val="bottom"/>
            <w:hideMark/>
          </w:tcPr>
          <w:p w14:paraId="2D6CA381"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179.937</w:t>
            </w:r>
          </w:p>
        </w:tc>
        <w:tc>
          <w:tcPr>
            <w:tcW w:w="706" w:type="dxa"/>
            <w:shd w:val="clear" w:color="auto" w:fill="auto"/>
            <w:noWrap/>
            <w:vAlign w:val="bottom"/>
            <w:hideMark/>
          </w:tcPr>
          <w:p w14:paraId="3BC949D5"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204.828</w:t>
            </w:r>
          </w:p>
        </w:tc>
        <w:tc>
          <w:tcPr>
            <w:tcW w:w="706" w:type="dxa"/>
            <w:shd w:val="clear" w:color="auto" w:fill="auto"/>
            <w:noWrap/>
            <w:vAlign w:val="bottom"/>
            <w:hideMark/>
          </w:tcPr>
          <w:p w14:paraId="3422432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219.998</w:t>
            </w:r>
          </w:p>
        </w:tc>
        <w:tc>
          <w:tcPr>
            <w:tcW w:w="706" w:type="dxa"/>
            <w:shd w:val="clear" w:color="auto" w:fill="auto"/>
            <w:noWrap/>
            <w:vAlign w:val="bottom"/>
            <w:hideMark/>
          </w:tcPr>
          <w:p w14:paraId="2177E42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241.897</w:t>
            </w:r>
          </w:p>
        </w:tc>
        <w:tc>
          <w:tcPr>
            <w:tcW w:w="706" w:type="dxa"/>
            <w:shd w:val="clear" w:color="auto" w:fill="auto"/>
            <w:noWrap/>
            <w:vAlign w:val="bottom"/>
            <w:hideMark/>
          </w:tcPr>
          <w:p w14:paraId="0F794920"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264.731</w:t>
            </w:r>
          </w:p>
        </w:tc>
        <w:tc>
          <w:tcPr>
            <w:tcW w:w="706" w:type="dxa"/>
            <w:shd w:val="clear" w:color="auto" w:fill="auto"/>
            <w:noWrap/>
            <w:vAlign w:val="bottom"/>
            <w:hideMark/>
          </w:tcPr>
          <w:p w14:paraId="3AF6FBA2"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281.956</w:t>
            </w:r>
          </w:p>
        </w:tc>
        <w:tc>
          <w:tcPr>
            <w:tcW w:w="706" w:type="dxa"/>
            <w:shd w:val="clear" w:color="auto" w:fill="auto"/>
            <w:noWrap/>
            <w:vAlign w:val="bottom"/>
            <w:hideMark/>
          </w:tcPr>
          <w:p w14:paraId="302059B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307.689</w:t>
            </w:r>
          </w:p>
        </w:tc>
        <w:tc>
          <w:tcPr>
            <w:tcW w:w="706" w:type="dxa"/>
            <w:shd w:val="clear" w:color="auto" w:fill="auto"/>
            <w:noWrap/>
            <w:vAlign w:val="bottom"/>
            <w:hideMark/>
          </w:tcPr>
          <w:p w14:paraId="641F39A4"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344.034</w:t>
            </w:r>
          </w:p>
        </w:tc>
      </w:tr>
      <w:tr w:rsidR="00F47753" w:rsidRPr="00CA659D" w14:paraId="0D55EBC2" w14:textId="77777777" w:rsidTr="000A51A8">
        <w:tc>
          <w:tcPr>
            <w:tcW w:w="1418" w:type="dxa"/>
            <w:shd w:val="clear" w:color="auto" w:fill="auto"/>
          </w:tcPr>
          <w:p w14:paraId="39E60D3B"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left"/>
              <w:rPr>
                <w:sz w:val="18"/>
                <w:szCs w:val="16"/>
              </w:rPr>
            </w:pPr>
            <w:r w:rsidRPr="00CA659D">
              <w:rPr>
                <w:sz w:val="18"/>
              </w:rPr>
              <w:t>Net product taxes</w:t>
            </w:r>
          </w:p>
        </w:tc>
        <w:tc>
          <w:tcPr>
            <w:tcW w:w="706" w:type="dxa"/>
            <w:shd w:val="clear" w:color="auto" w:fill="auto"/>
            <w:noWrap/>
            <w:vAlign w:val="bottom"/>
            <w:hideMark/>
          </w:tcPr>
          <w:p w14:paraId="499650A6"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sz w:val="18"/>
              </w:rPr>
            </w:pPr>
            <w:r w:rsidRPr="00CA659D">
              <w:rPr>
                <w:sz w:val="18"/>
              </w:rPr>
              <w:t>15.650</w:t>
            </w:r>
          </w:p>
        </w:tc>
        <w:tc>
          <w:tcPr>
            <w:tcW w:w="706" w:type="dxa"/>
            <w:shd w:val="clear" w:color="auto" w:fill="auto"/>
            <w:noWrap/>
            <w:vAlign w:val="bottom"/>
            <w:hideMark/>
          </w:tcPr>
          <w:p w14:paraId="26A0BD55"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16.734</w:t>
            </w:r>
          </w:p>
        </w:tc>
        <w:tc>
          <w:tcPr>
            <w:tcW w:w="706" w:type="dxa"/>
            <w:shd w:val="clear" w:color="auto" w:fill="auto"/>
            <w:noWrap/>
            <w:vAlign w:val="bottom"/>
            <w:hideMark/>
          </w:tcPr>
          <w:p w14:paraId="7F8C3539"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20.284</w:t>
            </w:r>
          </w:p>
        </w:tc>
        <w:tc>
          <w:tcPr>
            <w:tcW w:w="706" w:type="dxa"/>
            <w:shd w:val="clear" w:color="auto" w:fill="auto"/>
            <w:noWrap/>
            <w:vAlign w:val="bottom"/>
            <w:hideMark/>
          </w:tcPr>
          <w:p w14:paraId="40E2D99F"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20.646</w:t>
            </w:r>
          </w:p>
        </w:tc>
        <w:tc>
          <w:tcPr>
            <w:tcW w:w="706" w:type="dxa"/>
            <w:shd w:val="clear" w:color="auto" w:fill="auto"/>
            <w:noWrap/>
            <w:vAlign w:val="bottom"/>
            <w:hideMark/>
          </w:tcPr>
          <w:p w14:paraId="59C383CC"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23.409</w:t>
            </w:r>
          </w:p>
        </w:tc>
        <w:tc>
          <w:tcPr>
            <w:tcW w:w="706" w:type="dxa"/>
            <w:shd w:val="clear" w:color="auto" w:fill="auto"/>
            <w:noWrap/>
            <w:vAlign w:val="bottom"/>
            <w:hideMark/>
          </w:tcPr>
          <w:p w14:paraId="3CA41D8C"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24.740</w:t>
            </w:r>
          </w:p>
        </w:tc>
        <w:tc>
          <w:tcPr>
            <w:tcW w:w="706" w:type="dxa"/>
            <w:shd w:val="clear" w:color="auto" w:fill="auto"/>
            <w:noWrap/>
            <w:vAlign w:val="bottom"/>
            <w:hideMark/>
          </w:tcPr>
          <w:p w14:paraId="7F0E6809"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24.934</w:t>
            </w:r>
          </w:p>
        </w:tc>
        <w:tc>
          <w:tcPr>
            <w:tcW w:w="706" w:type="dxa"/>
            <w:shd w:val="clear" w:color="auto" w:fill="auto"/>
            <w:noWrap/>
            <w:vAlign w:val="bottom"/>
            <w:hideMark/>
          </w:tcPr>
          <w:p w14:paraId="66BA1BDA"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25.255</w:t>
            </w:r>
          </w:p>
        </w:tc>
        <w:tc>
          <w:tcPr>
            <w:tcW w:w="706" w:type="dxa"/>
            <w:shd w:val="clear" w:color="auto" w:fill="auto"/>
            <w:noWrap/>
            <w:vAlign w:val="bottom"/>
            <w:hideMark/>
          </w:tcPr>
          <w:p w14:paraId="0CCB5A55"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24.907</w:t>
            </w:r>
          </w:p>
        </w:tc>
        <w:tc>
          <w:tcPr>
            <w:tcW w:w="706" w:type="dxa"/>
            <w:shd w:val="clear" w:color="auto" w:fill="auto"/>
            <w:noWrap/>
            <w:vAlign w:val="bottom"/>
            <w:hideMark/>
          </w:tcPr>
          <w:p w14:paraId="70552413"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sz w:val="18"/>
              </w:rPr>
            </w:pPr>
            <w:r w:rsidRPr="00CA659D">
              <w:rPr>
                <w:sz w:val="18"/>
              </w:rPr>
              <w:t>17.662</w:t>
            </w:r>
          </w:p>
        </w:tc>
      </w:tr>
      <w:tr w:rsidR="000A51A8" w:rsidRPr="00CA659D" w14:paraId="53B6EACF" w14:textId="77777777" w:rsidTr="000A51A8">
        <w:tc>
          <w:tcPr>
            <w:tcW w:w="1418" w:type="dxa"/>
            <w:shd w:val="clear" w:color="auto" w:fill="auto"/>
          </w:tcPr>
          <w:p w14:paraId="344238E2"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left"/>
              <w:rPr>
                <w:b/>
                <w:bCs/>
                <w:sz w:val="18"/>
                <w:szCs w:val="16"/>
              </w:rPr>
            </w:pPr>
            <w:r w:rsidRPr="00CA659D">
              <w:rPr>
                <w:b/>
                <w:bCs/>
                <w:sz w:val="18"/>
              </w:rPr>
              <w:t>GDP</w:t>
            </w:r>
            <w:r w:rsidRPr="00CA659D">
              <w:rPr>
                <w:sz w:val="18"/>
              </w:rPr>
              <w:t xml:space="preserve"> </w:t>
            </w:r>
            <w:r w:rsidRPr="00CA659D">
              <w:rPr>
                <w:b/>
                <w:bCs/>
                <w:sz w:val="18"/>
              </w:rPr>
              <w:t>at market prices</w:t>
            </w:r>
          </w:p>
        </w:tc>
        <w:tc>
          <w:tcPr>
            <w:tcW w:w="706" w:type="dxa"/>
            <w:shd w:val="clear" w:color="auto" w:fill="auto"/>
            <w:noWrap/>
            <w:vAlign w:val="bottom"/>
            <w:hideMark/>
          </w:tcPr>
          <w:p w14:paraId="6B8D13E9" w14:textId="77777777" w:rsidR="000B5CDE" w:rsidRPr="00CA659D" w:rsidRDefault="000B5CDE" w:rsidP="00320DA7">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217.185</w:t>
            </w:r>
          </w:p>
        </w:tc>
        <w:tc>
          <w:tcPr>
            <w:tcW w:w="706" w:type="dxa"/>
            <w:shd w:val="clear" w:color="auto" w:fill="auto"/>
            <w:noWrap/>
            <w:vAlign w:val="bottom"/>
            <w:hideMark/>
          </w:tcPr>
          <w:p w14:paraId="1E41BB5F"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199.573</w:t>
            </w:r>
          </w:p>
        </w:tc>
        <w:tc>
          <w:tcPr>
            <w:tcW w:w="706" w:type="dxa"/>
            <w:shd w:val="clear" w:color="auto" w:fill="auto"/>
            <w:noWrap/>
            <w:vAlign w:val="bottom"/>
            <w:hideMark/>
          </w:tcPr>
          <w:p w14:paraId="5ABDEA60"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200.221</w:t>
            </w:r>
          </w:p>
        </w:tc>
        <w:tc>
          <w:tcPr>
            <w:tcW w:w="706" w:type="dxa"/>
            <w:shd w:val="clear" w:color="auto" w:fill="auto"/>
            <w:noWrap/>
            <w:vAlign w:val="bottom"/>
            <w:hideMark/>
          </w:tcPr>
          <w:p w14:paraId="42D54DED"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225.473</w:t>
            </w:r>
          </w:p>
        </w:tc>
        <w:tc>
          <w:tcPr>
            <w:tcW w:w="706" w:type="dxa"/>
            <w:shd w:val="clear" w:color="auto" w:fill="auto"/>
            <w:noWrap/>
            <w:vAlign w:val="bottom"/>
            <w:hideMark/>
          </w:tcPr>
          <w:p w14:paraId="0C1B49E7"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243.407</w:t>
            </w:r>
          </w:p>
        </w:tc>
        <w:tc>
          <w:tcPr>
            <w:tcW w:w="706" w:type="dxa"/>
            <w:shd w:val="clear" w:color="auto" w:fill="auto"/>
            <w:noWrap/>
            <w:vAlign w:val="bottom"/>
            <w:hideMark/>
          </w:tcPr>
          <w:p w14:paraId="0DEEDD5E"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266.638</w:t>
            </w:r>
          </w:p>
        </w:tc>
        <w:tc>
          <w:tcPr>
            <w:tcW w:w="706" w:type="dxa"/>
            <w:shd w:val="clear" w:color="auto" w:fill="auto"/>
            <w:noWrap/>
            <w:vAlign w:val="bottom"/>
            <w:hideMark/>
          </w:tcPr>
          <w:p w14:paraId="1FAF0657"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289.666</w:t>
            </w:r>
          </w:p>
        </w:tc>
        <w:tc>
          <w:tcPr>
            <w:tcW w:w="706" w:type="dxa"/>
            <w:shd w:val="clear" w:color="auto" w:fill="auto"/>
            <w:noWrap/>
            <w:vAlign w:val="bottom"/>
            <w:hideMark/>
          </w:tcPr>
          <w:p w14:paraId="1892EB02"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307.211</w:t>
            </w:r>
          </w:p>
        </w:tc>
        <w:tc>
          <w:tcPr>
            <w:tcW w:w="706" w:type="dxa"/>
            <w:shd w:val="clear" w:color="auto" w:fill="auto"/>
            <w:noWrap/>
            <w:vAlign w:val="bottom"/>
            <w:hideMark/>
          </w:tcPr>
          <w:p w14:paraId="574E766E"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332.595</w:t>
            </w:r>
          </w:p>
        </w:tc>
        <w:tc>
          <w:tcPr>
            <w:tcW w:w="706" w:type="dxa"/>
            <w:shd w:val="clear" w:color="auto" w:fill="auto"/>
            <w:noWrap/>
            <w:vAlign w:val="bottom"/>
            <w:hideMark/>
          </w:tcPr>
          <w:p w14:paraId="78223778" w14:textId="77777777" w:rsidR="000B5CDE" w:rsidRPr="00CA659D" w:rsidRDefault="000B5CDE" w:rsidP="00CA659D">
            <w:pPr>
              <w:pStyle w:val="SingleTxtG"/>
              <w:tabs>
                <w:tab w:val="clear" w:pos="1701"/>
                <w:tab w:val="clear" w:pos="2268"/>
              </w:tabs>
              <w:suppressAutoHyphens w:val="0"/>
              <w:spacing w:before="40" w:after="40" w:line="220" w:lineRule="exact"/>
              <w:ind w:left="0" w:right="113"/>
              <w:jc w:val="right"/>
              <w:rPr>
                <w:b/>
                <w:bCs/>
                <w:sz w:val="18"/>
              </w:rPr>
            </w:pPr>
            <w:r w:rsidRPr="00CA659D">
              <w:rPr>
                <w:b/>
                <w:bCs/>
                <w:sz w:val="18"/>
              </w:rPr>
              <w:t>361.696</w:t>
            </w:r>
          </w:p>
        </w:tc>
      </w:tr>
    </w:tbl>
    <w:p w14:paraId="2B5AD68D" w14:textId="77777777" w:rsidR="000B5CDE" w:rsidRPr="000A51A8" w:rsidRDefault="000B5CDE" w:rsidP="000A51A8">
      <w:pPr>
        <w:spacing w:before="120" w:after="240"/>
        <w:ind w:left="1134" w:right="1134" w:firstLine="170"/>
        <w:rPr>
          <w:sz w:val="18"/>
        </w:rPr>
      </w:pPr>
      <w:r w:rsidRPr="000A51A8">
        <w:rPr>
          <w:i/>
          <w:iCs/>
          <w:sz w:val="18"/>
        </w:rPr>
        <w:t>Source</w:t>
      </w:r>
      <w:r w:rsidRPr="000A51A8">
        <w:rPr>
          <w:sz w:val="18"/>
        </w:rPr>
        <w:t>: ANSADE, 2023.</w:t>
      </w:r>
    </w:p>
    <w:p w14:paraId="17F1EB45" w14:textId="77777777" w:rsidR="00007FE3" w:rsidRDefault="000B5CDE" w:rsidP="00F47753">
      <w:pPr>
        <w:pStyle w:val="SingleTxtG"/>
      </w:pPr>
      <w:r w:rsidRPr="00992A9B">
        <w:t>18.</w:t>
      </w:r>
      <w:r w:rsidRPr="00992A9B">
        <w:tab/>
        <w:t xml:space="preserve">As part of the administrative reforms </w:t>
      </w:r>
      <w:proofErr w:type="gramStart"/>
      <w:r w:rsidRPr="00992A9B">
        <w:t>carried out</w:t>
      </w:r>
      <w:proofErr w:type="gramEnd"/>
      <w:r w:rsidRPr="00992A9B">
        <w:t xml:space="preserve"> in the context of the fight against corruption, Mauritania has established criteria, measures and principles that it is committed to implementing in order to strengthen its anti-corruption laws and regulations. In 2022, it undertook the second round of self-assessment on the implementation of the United Nations Convention against Corruption.</w:t>
      </w:r>
    </w:p>
    <w:p w14:paraId="1C415617" w14:textId="77777777" w:rsidR="00007FE3" w:rsidRDefault="000B5CDE" w:rsidP="00F47753">
      <w:pPr>
        <w:pStyle w:val="SingleTxtG"/>
      </w:pPr>
      <w:r w:rsidRPr="00992A9B">
        <w:t>19.</w:t>
      </w:r>
      <w:r w:rsidRPr="00992A9B">
        <w:tab/>
        <w:t>Act No. 2015-040 of 23 December 2015, the Framework Act on Combating Corruption, set out cross-cutting and sectoral measures and provided for the establishment of a mechanism to monitor anti-corruption initiatives. The monitoring committee includes representatives of the Government, the private sector and civil society organizations.</w:t>
      </w:r>
    </w:p>
    <w:p w14:paraId="6E12F45D" w14:textId="77777777" w:rsidR="00007FE3" w:rsidRDefault="000B5CDE" w:rsidP="00F47753">
      <w:pPr>
        <w:pStyle w:val="SingleTxtG"/>
      </w:pPr>
      <w:r w:rsidRPr="00992A9B">
        <w:t>20.</w:t>
      </w:r>
      <w:r w:rsidRPr="00992A9B">
        <w:tab/>
        <w:t>The adoption of Act No. 2016-014, the Anti-Corruption Act, remedied the legal shortcomings in this area and incorporated into national law the provisions of the international and regional instruments to which Mauritania has acceded. The law stipulated the establishment of a specialized court to deal with all forms of corruption and provided for appropriate penalties.</w:t>
      </w:r>
    </w:p>
    <w:p w14:paraId="0C5B4635" w14:textId="11907631" w:rsidR="000B5CDE" w:rsidRPr="00992A9B" w:rsidRDefault="000B5CDE" w:rsidP="0046221E">
      <w:pPr>
        <w:pStyle w:val="SingleTxtG"/>
        <w:spacing w:after="240"/>
        <w:rPr>
          <w:lang w:val="en-US"/>
        </w:rPr>
      </w:pPr>
      <w:r w:rsidRPr="00992A9B">
        <w:t>21.</w:t>
      </w:r>
      <w:r w:rsidRPr="00992A9B">
        <w:tab/>
        <w:t xml:space="preserve">The judicial activity of the specialized anti-corruption court between 2017 and 2023, pursuant to Act No. 2026-014, led to the institution of proceedings in 40 cases involving </w:t>
      </w:r>
      <w:proofErr w:type="gramStart"/>
      <w:r w:rsidRPr="00992A9B">
        <w:t>some</w:t>
      </w:r>
      <w:proofErr w:type="gramEnd"/>
      <w:r w:rsidRPr="00992A9B">
        <w:t xml:space="preserve"> 100 defendants. The sentences handed down in the cases tried ranged from 6 months</w:t>
      </w:r>
      <w:r w:rsidR="008050AE">
        <w:t>’</w:t>
      </w:r>
      <w:r w:rsidRPr="00992A9B">
        <w:t xml:space="preserve"> to 10 years</w:t>
      </w:r>
      <w:r w:rsidR="008050AE">
        <w:t>’</w:t>
      </w:r>
      <w:r w:rsidRPr="00992A9B">
        <w:t xml:space="preserve"> imprisonment, plus confiscation of seized goods.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830"/>
        <w:gridCol w:w="830"/>
        <w:gridCol w:w="830"/>
        <w:gridCol w:w="830"/>
        <w:gridCol w:w="830"/>
        <w:gridCol w:w="830"/>
        <w:gridCol w:w="830"/>
      </w:tblGrid>
      <w:tr w:rsidR="0046221E" w:rsidRPr="0046221E" w14:paraId="76E8A79E" w14:textId="77777777" w:rsidTr="0046221E">
        <w:trPr>
          <w:tblHeader/>
        </w:trPr>
        <w:tc>
          <w:tcPr>
            <w:tcW w:w="1560" w:type="dxa"/>
            <w:tcBorders>
              <w:top w:val="single" w:sz="4" w:space="0" w:color="auto"/>
              <w:bottom w:val="single" w:sz="12" w:space="0" w:color="auto"/>
            </w:tcBorders>
            <w:shd w:val="clear" w:color="auto" w:fill="auto"/>
            <w:vAlign w:val="bottom"/>
          </w:tcPr>
          <w:p w14:paraId="24A10C5D" w14:textId="77777777" w:rsidR="000B5CDE" w:rsidRPr="0046221E" w:rsidRDefault="000B5CDE" w:rsidP="0046221E">
            <w:pPr>
              <w:pStyle w:val="SingleTxtG"/>
              <w:tabs>
                <w:tab w:val="clear" w:pos="1701"/>
                <w:tab w:val="clear" w:pos="2268"/>
              </w:tabs>
              <w:suppressAutoHyphens w:val="0"/>
              <w:spacing w:before="80" w:after="80" w:line="200" w:lineRule="exact"/>
              <w:ind w:left="0" w:right="113"/>
              <w:jc w:val="left"/>
              <w:rPr>
                <w:i/>
                <w:sz w:val="16"/>
                <w:lang w:val="en-US"/>
              </w:rPr>
            </w:pPr>
          </w:p>
        </w:tc>
        <w:tc>
          <w:tcPr>
            <w:tcW w:w="830" w:type="dxa"/>
            <w:tcBorders>
              <w:top w:val="single" w:sz="4" w:space="0" w:color="auto"/>
              <w:bottom w:val="single" w:sz="12" w:space="0" w:color="auto"/>
            </w:tcBorders>
            <w:shd w:val="clear" w:color="auto" w:fill="auto"/>
            <w:vAlign w:val="bottom"/>
          </w:tcPr>
          <w:p w14:paraId="51640C99" w14:textId="77777777" w:rsidR="000B5CDE" w:rsidRPr="0046221E" w:rsidRDefault="000B5CDE" w:rsidP="0046221E">
            <w:pPr>
              <w:pStyle w:val="SingleTxtG"/>
              <w:tabs>
                <w:tab w:val="clear" w:pos="1701"/>
                <w:tab w:val="clear" w:pos="2268"/>
              </w:tabs>
              <w:suppressAutoHyphens w:val="0"/>
              <w:spacing w:before="80" w:after="80" w:line="200" w:lineRule="exact"/>
              <w:ind w:left="0" w:right="113"/>
              <w:jc w:val="right"/>
              <w:rPr>
                <w:bCs/>
                <w:i/>
                <w:sz w:val="16"/>
              </w:rPr>
            </w:pPr>
            <w:r w:rsidRPr="0046221E">
              <w:rPr>
                <w:i/>
                <w:iCs/>
                <w:sz w:val="16"/>
              </w:rPr>
              <w:t>2017</w:t>
            </w:r>
          </w:p>
        </w:tc>
        <w:tc>
          <w:tcPr>
            <w:tcW w:w="830" w:type="dxa"/>
            <w:tcBorders>
              <w:top w:val="single" w:sz="4" w:space="0" w:color="auto"/>
              <w:bottom w:val="single" w:sz="12" w:space="0" w:color="auto"/>
            </w:tcBorders>
            <w:shd w:val="clear" w:color="auto" w:fill="auto"/>
            <w:vAlign w:val="bottom"/>
          </w:tcPr>
          <w:p w14:paraId="064427FF" w14:textId="77777777" w:rsidR="000B5CDE" w:rsidRPr="0046221E" w:rsidRDefault="000B5CDE" w:rsidP="0046221E">
            <w:pPr>
              <w:pStyle w:val="SingleTxtG"/>
              <w:tabs>
                <w:tab w:val="clear" w:pos="1701"/>
                <w:tab w:val="clear" w:pos="2268"/>
              </w:tabs>
              <w:suppressAutoHyphens w:val="0"/>
              <w:spacing w:before="80" w:after="80" w:line="200" w:lineRule="exact"/>
              <w:ind w:left="0" w:right="113"/>
              <w:jc w:val="right"/>
              <w:rPr>
                <w:bCs/>
                <w:i/>
                <w:sz w:val="16"/>
              </w:rPr>
            </w:pPr>
            <w:r w:rsidRPr="0046221E">
              <w:rPr>
                <w:i/>
                <w:iCs/>
                <w:sz w:val="16"/>
              </w:rPr>
              <w:t>2018</w:t>
            </w:r>
          </w:p>
        </w:tc>
        <w:tc>
          <w:tcPr>
            <w:tcW w:w="830" w:type="dxa"/>
            <w:tcBorders>
              <w:top w:val="single" w:sz="4" w:space="0" w:color="auto"/>
              <w:bottom w:val="single" w:sz="12" w:space="0" w:color="auto"/>
            </w:tcBorders>
            <w:shd w:val="clear" w:color="auto" w:fill="auto"/>
            <w:vAlign w:val="bottom"/>
          </w:tcPr>
          <w:p w14:paraId="7FBF1004" w14:textId="77777777" w:rsidR="000B5CDE" w:rsidRPr="0046221E" w:rsidRDefault="000B5CDE" w:rsidP="0046221E">
            <w:pPr>
              <w:pStyle w:val="SingleTxtG"/>
              <w:tabs>
                <w:tab w:val="clear" w:pos="1701"/>
                <w:tab w:val="clear" w:pos="2268"/>
              </w:tabs>
              <w:suppressAutoHyphens w:val="0"/>
              <w:spacing w:before="80" w:after="80" w:line="200" w:lineRule="exact"/>
              <w:ind w:left="0" w:right="113"/>
              <w:jc w:val="right"/>
              <w:rPr>
                <w:bCs/>
                <w:i/>
                <w:sz w:val="16"/>
              </w:rPr>
            </w:pPr>
            <w:r w:rsidRPr="0046221E">
              <w:rPr>
                <w:i/>
                <w:iCs/>
                <w:sz w:val="16"/>
              </w:rPr>
              <w:t>2019</w:t>
            </w:r>
          </w:p>
        </w:tc>
        <w:tc>
          <w:tcPr>
            <w:tcW w:w="830" w:type="dxa"/>
            <w:tcBorders>
              <w:top w:val="single" w:sz="4" w:space="0" w:color="auto"/>
              <w:bottom w:val="single" w:sz="12" w:space="0" w:color="auto"/>
            </w:tcBorders>
            <w:shd w:val="clear" w:color="auto" w:fill="auto"/>
            <w:vAlign w:val="bottom"/>
          </w:tcPr>
          <w:p w14:paraId="5FD65400" w14:textId="77777777" w:rsidR="000B5CDE" w:rsidRPr="0046221E" w:rsidRDefault="000B5CDE" w:rsidP="0046221E">
            <w:pPr>
              <w:pStyle w:val="SingleTxtG"/>
              <w:tabs>
                <w:tab w:val="clear" w:pos="1701"/>
                <w:tab w:val="clear" w:pos="2268"/>
              </w:tabs>
              <w:suppressAutoHyphens w:val="0"/>
              <w:spacing w:before="80" w:after="80" w:line="200" w:lineRule="exact"/>
              <w:ind w:left="0" w:right="113"/>
              <w:jc w:val="right"/>
              <w:rPr>
                <w:bCs/>
                <w:i/>
                <w:sz w:val="16"/>
              </w:rPr>
            </w:pPr>
            <w:r w:rsidRPr="0046221E">
              <w:rPr>
                <w:i/>
                <w:iCs/>
                <w:sz w:val="16"/>
              </w:rPr>
              <w:t>2020</w:t>
            </w:r>
          </w:p>
        </w:tc>
        <w:tc>
          <w:tcPr>
            <w:tcW w:w="830" w:type="dxa"/>
            <w:tcBorders>
              <w:top w:val="single" w:sz="4" w:space="0" w:color="auto"/>
              <w:bottom w:val="single" w:sz="12" w:space="0" w:color="auto"/>
            </w:tcBorders>
            <w:shd w:val="clear" w:color="auto" w:fill="auto"/>
            <w:vAlign w:val="bottom"/>
          </w:tcPr>
          <w:p w14:paraId="3C61693B" w14:textId="77777777" w:rsidR="000B5CDE" w:rsidRPr="0046221E" w:rsidRDefault="000B5CDE" w:rsidP="0046221E">
            <w:pPr>
              <w:pStyle w:val="SingleTxtG"/>
              <w:tabs>
                <w:tab w:val="clear" w:pos="1701"/>
                <w:tab w:val="clear" w:pos="2268"/>
              </w:tabs>
              <w:suppressAutoHyphens w:val="0"/>
              <w:spacing w:before="80" w:after="80" w:line="200" w:lineRule="exact"/>
              <w:ind w:left="0" w:right="113"/>
              <w:jc w:val="right"/>
              <w:rPr>
                <w:bCs/>
                <w:i/>
                <w:sz w:val="16"/>
              </w:rPr>
            </w:pPr>
            <w:r w:rsidRPr="0046221E">
              <w:rPr>
                <w:i/>
                <w:iCs/>
                <w:sz w:val="16"/>
              </w:rPr>
              <w:t>2021</w:t>
            </w:r>
          </w:p>
        </w:tc>
        <w:tc>
          <w:tcPr>
            <w:tcW w:w="830" w:type="dxa"/>
            <w:tcBorders>
              <w:top w:val="single" w:sz="4" w:space="0" w:color="auto"/>
              <w:bottom w:val="single" w:sz="12" w:space="0" w:color="auto"/>
            </w:tcBorders>
            <w:shd w:val="clear" w:color="auto" w:fill="auto"/>
            <w:vAlign w:val="bottom"/>
          </w:tcPr>
          <w:p w14:paraId="000EBF20" w14:textId="77777777" w:rsidR="000B5CDE" w:rsidRPr="0046221E" w:rsidRDefault="000B5CDE" w:rsidP="0046221E">
            <w:pPr>
              <w:pStyle w:val="SingleTxtG"/>
              <w:tabs>
                <w:tab w:val="clear" w:pos="1701"/>
                <w:tab w:val="clear" w:pos="2268"/>
              </w:tabs>
              <w:suppressAutoHyphens w:val="0"/>
              <w:spacing w:before="80" w:after="80" w:line="200" w:lineRule="exact"/>
              <w:ind w:left="0" w:right="113"/>
              <w:jc w:val="right"/>
              <w:rPr>
                <w:bCs/>
                <w:i/>
                <w:sz w:val="16"/>
              </w:rPr>
            </w:pPr>
            <w:r w:rsidRPr="0046221E">
              <w:rPr>
                <w:i/>
                <w:iCs/>
                <w:sz w:val="16"/>
              </w:rPr>
              <w:t>2022</w:t>
            </w:r>
          </w:p>
        </w:tc>
        <w:tc>
          <w:tcPr>
            <w:tcW w:w="830" w:type="dxa"/>
            <w:tcBorders>
              <w:top w:val="single" w:sz="4" w:space="0" w:color="auto"/>
              <w:bottom w:val="single" w:sz="12" w:space="0" w:color="auto"/>
            </w:tcBorders>
            <w:shd w:val="clear" w:color="auto" w:fill="auto"/>
            <w:vAlign w:val="bottom"/>
          </w:tcPr>
          <w:p w14:paraId="50C6D510" w14:textId="77777777" w:rsidR="000B5CDE" w:rsidRPr="0046221E" w:rsidRDefault="000B5CDE" w:rsidP="0046221E">
            <w:pPr>
              <w:pStyle w:val="SingleTxtG"/>
              <w:tabs>
                <w:tab w:val="clear" w:pos="1701"/>
                <w:tab w:val="clear" w:pos="2268"/>
              </w:tabs>
              <w:suppressAutoHyphens w:val="0"/>
              <w:spacing w:before="80" w:after="80" w:line="200" w:lineRule="exact"/>
              <w:ind w:left="0" w:right="113"/>
              <w:jc w:val="right"/>
              <w:rPr>
                <w:bCs/>
                <w:i/>
                <w:sz w:val="16"/>
              </w:rPr>
            </w:pPr>
            <w:r w:rsidRPr="0046221E">
              <w:rPr>
                <w:i/>
                <w:iCs/>
                <w:sz w:val="16"/>
              </w:rPr>
              <w:t>2023</w:t>
            </w:r>
          </w:p>
        </w:tc>
      </w:tr>
      <w:tr w:rsidR="0046221E" w:rsidRPr="0046221E" w14:paraId="14794290" w14:textId="77777777" w:rsidTr="0046221E">
        <w:tc>
          <w:tcPr>
            <w:tcW w:w="1560" w:type="dxa"/>
            <w:tcBorders>
              <w:top w:val="single" w:sz="12" w:space="0" w:color="auto"/>
            </w:tcBorders>
            <w:shd w:val="clear" w:color="auto" w:fill="auto"/>
          </w:tcPr>
          <w:p w14:paraId="567359F3" w14:textId="77777777" w:rsidR="000B5CDE" w:rsidRPr="0046221E" w:rsidRDefault="000B5CDE" w:rsidP="0046221E">
            <w:pPr>
              <w:pStyle w:val="SingleTxtG"/>
              <w:tabs>
                <w:tab w:val="clear" w:pos="1701"/>
                <w:tab w:val="clear" w:pos="2268"/>
              </w:tabs>
              <w:suppressAutoHyphens w:val="0"/>
              <w:spacing w:before="40" w:after="40" w:line="220" w:lineRule="exact"/>
              <w:ind w:left="0" w:right="113"/>
              <w:jc w:val="left"/>
              <w:rPr>
                <w:bCs/>
                <w:sz w:val="18"/>
              </w:rPr>
            </w:pPr>
            <w:r w:rsidRPr="0046221E">
              <w:rPr>
                <w:sz w:val="18"/>
              </w:rPr>
              <w:t xml:space="preserve">Number of cases </w:t>
            </w:r>
          </w:p>
        </w:tc>
        <w:tc>
          <w:tcPr>
            <w:tcW w:w="830" w:type="dxa"/>
            <w:tcBorders>
              <w:top w:val="single" w:sz="12" w:space="0" w:color="auto"/>
            </w:tcBorders>
            <w:shd w:val="clear" w:color="auto" w:fill="auto"/>
            <w:vAlign w:val="bottom"/>
          </w:tcPr>
          <w:p w14:paraId="224E9B5E" w14:textId="77777777" w:rsidR="000B5CDE" w:rsidRPr="0046221E" w:rsidRDefault="000B5CDE" w:rsidP="0046221E">
            <w:pPr>
              <w:pStyle w:val="SingleTxtG"/>
              <w:tabs>
                <w:tab w:val="clear" w:pos="1701"/>
                <w:tab w:val="clear" w:pos="2268"/>
              </w:tabs>
              <w:suppressAutoHyphens w:val="0"/>
              <w:spacing w:before="40" w:after="40" w:line="220" w:lineRule="exact"/>
              <w:ind w:left="0" w:right="113"/>
              <w:jc w:val="right"/>
              <w:rPr>
                <w:sz w:val="18"/>
              </w:rPr>
            </w:pPr>
            <w:r w:rsidRPr="0046221E">
              <w:rPr>
                <w:sz w:val="18"/>
              </w:rPr>
              <w:t>6</w:t>
            </w:r>
          </w:p>
        </w:tc>
        <w:tc>
          <w:tcPr>
            <w:tcW w:w="830" w:type="dxa"/>
            <w:tcBorders>
              <w:top w:val="single" w:sz="12" w:space="0" w:color="auto"/>
            </w:tcBorders>
            <w:shd w:val="clear" w:color="auto" w:fill="auto"/>
            <w:vAlign w:val="bottom"/>
          </w:tcPr>
          <w:p w14:paraId="3CAB21B1" w14:textId="77777777" w:rsidR="000B5CDE" w:rsidRPr="0046221E" w:rsidRDefault="000B5CDE" w:rsidP="0046221E">
            <w:pPr>
              <w:pStyle w:val="SingleTxtG"/>
              <w:tabs>
                <w:tab w:val="clear" w:pos="1701"/>
                <w:tab w:val="clear" w:pos="2268"/>
              </w:tabs>
              <w:suppressAutoHyphens w:val="0"/>
              <w:spacing w:before="40" w:after="40" w:line="220" w:lineRule="exact"/>
              <w:ind w:left="0" w:right="113"/>
              <w:jc w:val="right"/>
              <w:rPr>
                <w:sz w:val="18"/>
              </w:rPr>
            </w:pPr>
            <w:r w:rsidRPr="0046221E">
              <w:rPr>
                <w:sz w:val="18"/>
              </w:rPr>
              <w:t>6</w:t>
            </w:r>
          </w:p>
        </w:tc>
        <w:tc>
          <w:tcPr>
            <w:tcW w:w="830" w:type="dxa"/>
            <w:tcBorders>
              <w:top w:val="single" w:sz="12" w:space="0" w:color="auto"/>
            </w:tcBorders>
            <w:shd w:val="clear" w:color="auto" w:fill="auto"/>
            <w:vAlign w:val="bottom"/>
          </w:tcPr>
          <w:p w14:paraId="0C385427" w14:textId="77777777" w:rsidR="000B5CDE" w:rsidRPr="0046221E" w:rsidRDefault="000B5CDE" w:rsidP="0046221E">
            <w:pPr>
              <w:pStyle w:val="SingleTxtG"/>
              <w:tabs>
                <w:tab w:val="clear" w:pos="1701"/>
                <w:tab w:val="clear" w:pos="2268"/>
              </w:tabs>
              <w:suppressAutoHyphens w:val="0"/>
              <w:spacing w:before="40" w:after="40" w:line="220" w:lineRule="exact"/>
              <w:ind w:left="0" w:right="113"/>
              <w:jc w:val="right"/>
              <w:rPr>
                <w:sz w:val="18"/>
              </w:rPr>
            </w:pPr>
            <w:r w:rsidRPr="0046221E">
              <w:rPr>
                <w:sz w:val="18"/>
              </w:rPr>
              <w:t>1</w:t>
            </w:r>
          </w:p>
        </w:tc>
        <w:tc>
          <w:tcPr>
            <w:tcW w:w="830" w:type="dxa"/>
            <w:tcBorders>
              <w:top w:val="single" w:sz="12" w:space="0" w:color="auto"/>
            </w:tcBorders>
            <w:shd w:val="clear" w:color="auto" w:fill="auto"/>
            <w:vAlign w:val="bottom"/>
          </w:tcPr>
          <w:p w14:paraId="68010F44" w14:textId="77777777" w:rsidR="000B5CDE" w:rsidRPr="0046221E" w:rsidRDefault="000B5CDE" w:rsidP="0046221E">
            <w:pPr>
              <w:pStyle w:val="SingleTxtG"/>
              <w:tabs>
                <w:tab w:val="clear" w:pos="1701"/>
                <w:tab w:val="clear" w:pos="2268"/>
              </w:tabs>
              <w:suppressAutoHyphens w:val="0"/>
              <w:spacing w:before="40" w:after="40" w:line="220" w:lineRule="exact"/>
              <w:ind w:left="0" w:right="113"/>
              <w:jc w:val="right"/>
              <w:rPr>
                <w:sz w:val="18"/>
              </w:rPr>
            </w:pPr>
            <w:r w:rsidRPr="0046221E">
              <w:rPr>
                <w:sz w:val="18"/>
              </w:rPr>
              <w:t>3</w:t>
            </w:r>
          </w:p>
        </w:tc>
        <w:tc>
          <w:tcPr>
            <w:tcW w:w="830" w:type="dxa"/>
            <w:tcBorders>
              <w:top w:val="single" w:sz="12" w:space="0" w:color="auto"/>
            </w:tcBorders>
            <w:shd w:val="clear" w:color="auto" w:fill="auto"/>
            <w:vAlign w:val="bottom"/>
          </w:tcPr>
          <w:p w14:paraId="0BB39F43" w14:textId="77777777" w:rsidR="000B5CDE" w:rsidRPr="0046221E" w:rsidRDefault="000B5CDE" w:rsidP="0046221E">
            <w:pPr>
              <w:pStyle w:val="SingleTxtG"/>
              <w:tabs>
                <w:tab w:val="clear" w:pos="1701"/>
                <w:tab w:val="clear" w:pos="2268"/>
              </w:tabs>
              <w:suppressAutoHyphens w:val="0"/>
              <w:spacing w:before="40" w:after="40" w:line="220" w:lineRule="exact"/>
              <w:ind w:left="0" w:right="113"/>
              <w:jc w:val="right"/>
              <w:rPr>
                <w:sz w:val="18"/>
              </w:rPr>
            </w:pPr>
            <w:r w:rsidRPr="0046221E">
              <w:rPr>
                <w:sz w:val="18"/>
              </w:rPr>
              <w:t>9</w:t>
            </w:r>
          </w:p>
        </w:tc>
        <w:tc>
          <w:tcPr>
            <w:tcW w:w="830" w:type="dxa"/>
            <w:tcBorders>
              <w:top w:val="single" w:sz="12" w:space="0" w:color="auto"/>
            </w:tcBorders>
            <w:shd w:val="clear" w:color="auto" w:fill="auto"/>
            <w:vAlign w:val="bottom"/>
          </w:tcPr>
          <w:p w14:paraId="04F194FA" w14:textId="77777777" w:rsidR="000B5CDE" w:rsidRPr="0046221E" w:rsidRDefault="000B5CDE" w:rsidP="0046221E">
            <w:pPr>
              <w:pStyle w:val="SingleTxtG"/>
              <w:tabs>
                <w:tab w:val="clear" w:pos="1701"/>
                <w:tab w:val="clear" w:pos="2268"/>
              </w:tabs>
              <w:suppressAutoHyphens w:val="0"/>
              <w:spacing w:before="40" w:after="40" w:line="220" w:lineRule="exact"/>
              <w:ind w:left="0" w:right="113"/>
              <w:jc w:val="right"/>
              <w:rPr>
                <w:sz w:val="18"/>
              </w:rPr>
            </w:pPr>
            <w:r w:rsidRPr="0046221E">
              <w:rPr>
                <w:sz w:val="18"/>
              </w:rPr>
              <w:t>9</w:t>
            </w:r>
          </w:p>
        </w:tc>
        <w:tc>
          <w:tcPr>
            <w:tcW w:w="830" w:type="dxa"/>
            <w:tcBorders>
              <w:top w:val="single" w:sz="12" w:space="0" w:color="auto"/>
            </w:tcBorders>
            <w:shd w:val="clear" w:color="auto" w:fill="auto"/>
            <w:vAlign w:val="bottom"/>
          </w:tcPr>
          <w:p w14:paraId="42ECE0CF" w14:textId="77777777" w:rsidR="000B5CDE" w:rsidRPr="0046221E" w:rsidRDefault="000B5CDE" w:rsidP="0046221E">
            <w:pPr>
              <w:pStyle w:val="SingleTxtG"/>
              <w:tabs>
                <w:tab w:val="clear" w:pos="1701"/>
                <w:tab w:val="clear" w:pos="2268"/>
              </w:tabs>
              <w:suppressAutoHyphens w:val="0"/>
              <w:spacing w:before="40" w:after="40" w:line="220" w:lineRule="exact"/>
              <w:ind w:left="0" w:right="113"/>
              <w:jc w:val="right"/>
              <w:rPr>
                <w:sz w:val="18"/>
              </w:rPr>
            </w:pPr>
            <w:r w:rsidRPr="0046221E">
              <w:rPr>
                <w:sz w:val="18"/>
              </w:rPr>
              <w:t>5</w:t>
            </w:r>
          </w:p>
        </w:tc>
      </w:tr>
      <w:tr w:rsidR="0046221E" w:rsidRPr="0046221E" w14:paraId="044D2584" w14:textId="77777777" w:rsidTr="0046221E">
        <w:tc>
          <w:tcPr>
            <w:tcW w:w="1560" w:type="dxa"/>
            <w:shd w:val="clear" w:color="auto" w:fill="auto"/>
          </w:tcPr>
          <w:p w14:paraId="0AFB4E3B" w14:textId="77777777" w:rsidR="000B5CDE" w:rsidRPr="0046221E" w:rsidRDefault="000B5CDE" w:rsidP="0046221E">
            <w:pPr>
              <w:pStyle w:val="SingleTxtG"/>
              <w:tabs>
                <w:tab w:val="clear" w:pos="1701"/>
                <w:tab w:val="clear" w:pos="2268"/>
              </w:tabs>
              <w:suppressAutoHyphens w:val="0"/>
              <w:spacing w:before="40" w:after="40" w:line="220" w:lineRule="exact"/>
              <w:ind w:left="0" w:right="113"/>
              <w:jc w:val="left"/>
              <w:rPr>
                <w:bCs/>
                <w:sz w:val="18"/>
              </w:rPr>
            </w:pPr>
            <w:r w:rsidRPr="0046221E">
              <w:rPr>
                <w:sz w:val="18"/>
              </w:rPr>
              <w:t>Number of persons involved</w:t>
            </w:r>
          </w:p>
        </w:tc>
        <w:tc>
          <w:tcPr>
            <w:tcW w:w="830" w:type="dxa"/>
            <w:shd w:val="clear" w:color="auto" w:fill="auto"/>
            <w:vAlign w:val="bottom"/>
          </w:tcPr>
          <w:p w14:paraId="65F4DE96" w14:textId="77777777" w:rsidR="000B5CDE" w:rsidRPr="0046221E" w:rsidRDefault="000B5CDE" w:rsidP="0046221E">
            <w:pPr>
              <w:pStyle w:val="SingleTxtG"/>
              <w:tabs>
                <w:tab w:val="clear" w:pos="1701"/>
                <w:tab w:val="clear" w:pos="2268"/>
              </w:tabs>
              <w:suppressAutoHyphens w:val="0"/>
              <w:spacing w:before="40" w:after="40" w:line="220" w:lineRule="exact"/>
              <w:ind w:left="0" w:right="113"/>
              <w:jc w:val="right"/>
              <w:rPr>
                <w:sz w:val="18"/>
              </w:rPr>
            </w:pPr>
            <w:r w:rsidRPr="0046221E">
              <w:rPr>
                <w:sz w:val="18"/>
              </w:rPr>
              <w:t>28</w:t>
            </w:r>
          </w:p>
        </w:tc>
        <w:tc>
          <w:tcPr>
            <w:tcW w:w="830" w:type="dxa"/>
            <w:shd w:val="clear" w:color="auto" w:fill="auto"/>
            <w:vAlign w:val="bottom"/>
          </w:tcPr>
          <w:p w14:paraId="7E0C0052" w14:textId="77777777" w:rsidR="000B5CDE" w:rsidRPr="0046221E" w:rsidRDefault="000B5CDE" w:rsidP="0046221E">
            <w:pPr>
              <w:pStyle w:val="SingleTxtG"/>
              <w:tabs>
                <w:tab w:val="clear" w:pos="1701"/>
                <w:tab w:val="clear" w:pos="2268"/>
              </w:tabs>
              <w:suppressAutoHyphens w:val="0"/>
              <w:spacing w:before="40" w:after="40" w:line="220" w:lineRule="exact"/>
              <w:ind w:left="0" w:right="113"/>
              <w:jc w:val="right"/>
              <w:rPr>
                <w:sz w:val="18"/>
              </w:rPr>
            </w:pPr>
            <w:r w:rsidRPr="0046221E">
              <w:rPr>
                <w:sz w:val="18"/>
              </w:rPr>
              <w:t>10</w:t>
            </w:r>
          </w:p>
        </w:tc>
        <w:tc>
          <w:tcPr>
            <w:tcW w:w="830" w:type="dxa"/>
            <w:shd w:val="clear" w:color="auto" w:fill="auto"/>
            <w:vAlign w:val="bottom"/>
          </w:tcPr>
          <w:p w14:paraId="2D755635" w14:textId="77777777" w:rsidR="000B5CDE" w:rsidRPr="0046221E" w:rsidRDefault="000B5CDE" w:rsidP="0046221E">
            <w:pPr>
              <w:pStyle w:val="SingleTxtG"/>
              <w:tabs>
                <w:tab w:val="clear" w:pos="1701"/>
                <w:tab w:val="clear" w:pos="2268"/>
              </w:tabs>
              <w:suppressAutoHyphens w:val="0"/>
              <w:spacing w:before="40" w:after="40" w:line="220" w:lineRule="exact"/>
              <w:ind w:left="0" w:right="113"/>
              <w:jc w:val="right"/>
              <w:rPr>
                <w:sz w:val="18"/>
              </w:rPr>
            </w:pPr>
            <w:r w:rsidRPr="0046221E">
              <w:rPr>
                <w:sz w:val="18"/>
              </w:rPr>
              <w:t>4</w:t>
            </w:r>
          </w:p>
        </w:tc>
        <w:tc>
          <w:tcPr>
            <w:tcW w:w="830" w:type="dxa"/>
            <w:shd w:val="clear" w:color="auto" w:fill="auto"/>
            <w:vAlign w:val="bottom"/>
          </w:tcPr>
          <w:p w14:paraId="0978F205" w14:textId="77777777" w:rsidR="000B5CDE" w:rsidRPr="0046221E" w:rsidRDefault="000B5CDE" w:rsidP="0046221E">
            <w:pPr>
              <w:pStyle w:val="SingleTxtG"/>
              <w:tabs>
                <w:tab w:val="clear" w:pos="1701"/>
                <w:tab w:val="clear" w:pos="2268"/>
              </w:tabs>
              <w:suppressAutoHyphens w:val="0"/>
              <w:spacing w:before="40" w:after="40" w:line="220" w:lineRule="exact"/>
              <w:ind w:left="0" w:right="113"/>
              <w:jc w:val="right"/>
              <w:rPr>
                <w:sz w:val="18"/>
              </w:rPr>
            </w:pPr>
            <w:r w:rsidRPr="0046221E">
              <w:rPr>
                <w:sz w:val="18"/>
              </w:rPr>
              <w:t>11</w:t>
            </w:r>
          </w:p>
        </w:tc>
        <w:tc>
          <w:tcPr>
            <w:tcW w:w="830" w:type="dxa"/>
            <w:shd w:val="clear" w:color="auto" w:fill="auto"/>
            <w:vAlign w:val="bottom"/>
          </w:tcPr>
          <w:p w14:paraId="7FE95738" w14:textId="77777777" w:rsidR="000B5CDE" w:rsidRPr="0046221E" w:rsidRDefault="000B5CDE" w:rsidP="0046221E">
            <w:pPr>
              <w:pStyle w:val="SingleTxtG"/>
              <w:tabs>
                <w:tab w:val="clear" w:pos="1701"/>
                <w:tab w:val="clear" w:pos="2268"/>
              </w:tabs>
              <w:suppressAutoHyphens w:val="0"/>
              <w:spacing w:before="40" w:after="40" w:line="220" w:lineRule="exact"/>
              <w:ind w:left="0" w:right="113"/>
              <w:jc w:val="right"/>
              <w:rPr>
                <w:sz w:val="18"/>
              </w:rPr>
            </w:pPr>
            <w:r w:rsidRPr="0046221E">
              <w:rPr>
                <w:sz w:val="18"/>
              </w:rPr>
              <w:t>18</w:t>
            </w:r>
          </w:p>
        </w:tc>
        <w:tc>
          <w:tcPr>
            <w:tcW w:w="830" w:type="dxa"/>
            <w:shd w:val="clear" w:color="auto" w:fill="auto"/>
            <w:vAlign w:val="bottom"/>
          </w:tcPr>
          <w:p w14:paraId="35C40265" w14:textId="77777777" w:rsidR="000B5CDE" w:rsidRPr="0046221E" w:rsidRDefault="000B5CDE" w:rsidP="0046221E">
            <w:pPr>
              <w:pStyle w:val="SingleTxtG"/>
              <w:tabs>
                <w:tab w:val="clear" w:pos="1701"/>
                <w:tab w:val="clear" w:pos="2268"/>
              </w:tabs>
              <w:suppressAutoHyphens w:val="0"/>
              <w:spacing w:before="40" w:after="40" w:line="220" w:lineRule="exact"/>
              <w:ind w:left="0" w:right="113"/>
              <w:jc w:val="right"/>
              <w:rPr>
                <w:sz w:val="18"/>
              </w:rPr>
            </w:pPr>
            <w:r w:rsidRPr="0046221E">
              <w:rPr>
                <w:sz w:val="18"/>
              </w:rPr>
              <w:t>22</w:t>
            </w:r>
          </w:p>
        </w:tc>
        <w:tc>
          <w:tcPr>
            <w:tcW w:w="830" w:type="dxa"/>
            <w:shd w:val="clear" w:color="auto" w:fill="auto"/>
            <w:vAlign w:val="bottom"/>
          </w:tcPr>
          <w:p w14:paraId="3B9CAAB1" w14:textId="77777777" w:rsidR="000B5CDE" w:rsidRPr="0046221E" w:rsidRDefault="000B5CDE" w:rsidP="0046221E">
            <w:pPr>
              <w:pStyle w:val="SingleTxtG"/>
              <w:tabs>
                <w:tab w:val="clear" w:pos="1701"/>
                <w:tab w:val="clear" w:pos="2268"/>
              </w:tabs>
              <w:suppressAutoHyphens w:val="0"/>
              <w:spacing w:before="40" w:after="40" w:line="220" w:lineRule="exact"/>
              <w:ind w:left="0" w:right="113"/>
              <w:jc w:val="right"/>
              <w:rPr>
                <w:sz w:val="18"/>
              </w:rPr>
            </w:pPr>
            <w:r w:rsidRPr="0046221E">
              <w:rPr>
                <w:sz w:val="18"/>
              </w:rPr>
              <w:t>10</w:t>
            </w:r>
          </w:p>
        </w:tc>
      </w:tr>
    </w:tbl>
    <w:p w14:paraId="68955896" w14:textId="77777777" w:rsidR="00007FE3" w:rsidRDefault="000B5CDE" w:rsidP="0046221E">
      <w:pPr>
        <w:pStyle w:val="SingleTxtG"/>
        <w:spacing w:before="240"/>
      </w:pPr>
      <w:r w:rsidRPr="00992A9B">
        <w:t>22.</w:t>
      </w:r>
      <w:r w:rsidRPr="00992A9B">
        <w:tab/>
        <w:t xml:space="preserve">Article 19 of Act No. 2016-014 provides that whistle-blowers, witnesses, experts, and victims and their relatives are entitled to special protection by the State. Any person who </w:t>
      </w:r>
      <w:r w:rsidRPr="00992A9B">
        <w:lastRenderedPageBreak/>
        <w:t>resorts to retaliation, intimidation or threats against the person of witnesses, experts, victims, whistle-blowers or their families or other persons close to them is liable to imprisonment for between 1 and 5 years and a fine of from 200,000 to 1,000,000 ouguiyas.</w:t>
      </w:r>
    </w:p>
    <w:p w14:paraId="37D58C38" w14:textId="68358753" w:rsidR="000B5CDE" w:rsidRPr="00992A9B" w:rsidRDefault="000B5CDE" w:rsidP="00F47753">
      <w:pPr>
        <w:pStyle w:val="SingleTxtG"/>
        <w:rPr>
          <w:lang w:val="en-US"/>
        </w:rPr>
      </w:pPr>
      <w:r w:rsidRPr="00992A9B">
        <w:t>23.</w:t>
      </w:r>
      <w:r w:rsidRPr="00992A9B">
        <w:tab/>
        <w:t>Decree No. 018-2017 of 15 February 2018, published in Official Gazette No. 1385, organizes the protection of whistle-blowers, witnesses, experts, and victims and their relatives.</w:t>
      </w:r>
    </w:p>
    <w:p w14:paraId="3F89A90E" w14:textId="77777777" w:rsidR="00007FE3" w:rsidRDefault="000B5CDE" w:rsidP="00F47753">
      <w:pPr>
        <w:pStyle w:val="SingleTxtG"/>
      </w:pPr>
      <w:r w:rsidRPr="00992A9B">
        <w:t>24.</w:t>
      </w:r>
      <w:r w:rsidRPr="00992A9B">
        <w:tab/>
        <w:t>The Office for the Management of Frozen, Seized or Forfeited Assets and the Recovery of the Proceeds of Crime, the Court of Auditors, the Inspectorate General of State, the Inspectorate General of Finances, the Directorate for Economic and Financial Investigations, the Public Procurement Regulatory Authority, the Commission for Transparency in Public Life, the departmental and multi-departmental commissions for the award of public contracts and the commissions for the scrutiny of below-threshold purchases, among others, are all bodies and mechanisms set up to ensure transparency in the management of public affairs.</w:t>
      </w:r>
    </w:p>
    <w:p w14:paraId="6400F14F" w14:textId="77777777" w:rsidR="005A1364" w:rsidRDefault="000B5CDE" w:rsidP="00F47753">
      <w:pPr>
        <w:pStyle w:val="SingleTxtG"/>
      </w:pPr>
      <w:r w:rsidRPr="00992A9B">
        <w:t>25.</w:t>
      </w:r>
      <w:r w:rsidRPr="00992A9B">
        <w:tab/>
        <w:t xml:space="preserve">The recovery of assets derived from corruption is </w:t>
      </w:r>
      <w:proofErr w:type="gramStart"/>
      <w:r w:rsidRPr="00992A9B">
        <w:t>a real challenge</w:t>
      </w:r>
      <w:proofErr w:type="gramEnd"/>
      <w:r w:rsidRPr="00992A9B">
        <w:t>. It may be effected through any means (contentious or non-contentious). Reimbursement, an amicable solution, does not preclude legal action.</w:t>
      </w:r>
    </w:p>
    <w:p w14:paraId="1048C320" w14:textId="161FFB86" w:rsidR="000B5CDE" w:rsidRPr="00992A9B" w:rsidRDefault="00FD044A" w:rsidP="00FD044A">
      <w:pPr>
        <w:pStyle w:val="H1G"/>
        <w:rPr>
          <w:lang w:val="en-US"/>
        </w:rPr>
      </w:pPr>
      <w:r>
        <w:tab/>
      </w:r>
      <w:r w:rsidR="000B5CDE" w:rsidRPr="00992A9B">
        <w:t>C.</w:t>
      </w:r>
      <w:r w:rsidR="000B5CDE" w:rsidRPr="00992A9B">
        <w:tab/>
        <w:t>Non-discrimination (art. 2 (2))</w:t>
      </w:r>
      <w:bookmarkStart w:id="1" w:name="_Hlk6479850"/>
      <w:bookmarkStart w:id="2" w:name="_Hlk6322032"/>
      <w:bookmarkEnd w:id="1"/>
    </w:p>
    <w:p w14:paraId="527264B6" w14:textId="77777777" w:rsidR="000B5CDE" w:rsidRPr="00992A9B" w:rsidRDefault="000B5CDE" w:rsidP="00FD044A">
      <w:pPr>
        <w:pStyle w:val="H23G"/>
        <w:rPr>
          <w:lang w:val="en-US"/>
        </w:rPr>
      </w:pPr>
      <w:r w:rsidRPr="00992A9B">
        <w:tab/>
      </w:r>
      <w:r w:rsidRPr="00992A9B">
        <w:tab/>
        <w:t>Reply to the issues raised in paragraph 8 of the list of issues</w:t>
      </w:r>
    </w:p>
    <w:p w14:paraId="098E7BE7" w14:textId="6276047A" w:rsidR="000B5CDE" w:rsidRPr="00992A9B" w:rsidRDefault="000B5CDE" w:rsidP="00F47753">
      <w:pPr>
        <w:pStyle w:val="SingleTxtG"/>
        <w:rPr>
          <w:lang w:val="en-US"/>
        </w:rPr>
      </w:pPr>
      <w:r w:rsidRPr="00992A9B">
        <w:t>26.</w:t>
      </w:r>
      <w:r w:rsidRPr="00992A9B">
        <w:tab/>
        <w:t>In accordance with Organic Act No. 2011.003, which repealed and replaced Act No.</w:t>
      </w:r>
      <w:r w:rsidR="00FD044A">
        <w:t> </w:t>
      </w:r>
      <w:r w:rsidRPr="00992A9B">
        <w:t>96.019 of 19 June 1996 on the Civil Status Code, all Mauritanian citizens and foreigners residing in or visiting Mauritania have the right to be registered in the National Population Register and obtain the secure documents to which this gives rise.</w:t>
      </w:r>
    </w:p>
    <w:p w14:paraId="3A3401F8" w14:textId="77777777" w:rsidR="000B5CDE" w:rsidRPr="00992A9B" w:rsidRDefault="000B5CDE" w:rsidP="00F47753">
      <w:pPr>
        <w:pStyle w:val="SingleTxtG"/>
        <w:rPr>
          <w:lang w:val="en-US"/>
        </w:rPr>
      </w:pPr>
      <w:r w:rsidRPr="00992A9B">
        <w:t>27.</w:t>
      </w:r>
      <w:r w:rsidRPr="00992A9B">
        <w:tab/>
        <w:t>To give effect to the will of Mauritanian lawmakers, the public authorities have initiated a number of measures in addition to Decree No. 2011-110 of 3 May 2011, which defines the legal framework for registration in the National Population Register, among them Order No. 0698 MIDEC of 4 July 2023 on the establishment of identification commissions to support the National Agency for the Registration of Persons and Secure Documents in carrying out registration operations for citizens without documents.</w:t>
      </w:r>
    </w:p>
    <w:p w14:paraId="2672DFCF" w14:textId="77777777" w:rsidR="005A1364" w:rsidRDefault="000B5CDE" w:rsidP="00F47753">
      <w:pPr>
        <w:pStyle w:val="SingleTxtG"/>
      </w:pPr>
      <w:r w:rsidRPr="00992A9B">
        <w:t>28.</w:t>
      </w:r>
      <w:r w:rsidRPr="00992A9B">
        <w:tab/>
        <w:t>These commissions, which are being set up in places where there are unregistered citizens, must verify the identity of persons applying to be registered.</w:t>
      </w:r>
    </w:p>
    <w:p w14:paraId="3D151CE1" w14:textId="1336554B" w:rsidR="000B5CDE" w:rsidRPr="00992A9B" w:rsidRDefault="000B5CDE" w:rsidP="00F47753">
      <w:pPr>
        <w:pStyle w:val="SingleTxtG"/>
        <w:rPr>
          <w:lang w:val="en-US"/>
        </w:rPr>
      </w:pPr>
      <w:r w:rsidRPr="00992A9B">
        <w:t>29.</w:t>
      </w:r>
      <w:r w:rsidRPr="00992A9B">
        <w:tab/>
        <w:t>If these commissions are unable to identify such a person, he or she is referred to the commission in his or her commune or department of origin, or that of one of his or her parents, for a final decision on his or her application. This shows the extent of the Government</w:t>
      </w:r>
      <w:r w:rsidR="008050AE">
        <w:t>’</w:t>
      </w:r>
      <w:r w:rsidRPr="00992A9B">
        <w:t>s commitment to registering all Mauritanian citizens, regardless of their origin or social rank.</w:t>
      </w:r>
    </w:p>
    <w:p w14:paraId="6E01B9FA" w14:textId="77777777" w:rsidR="000B5CDE" w:rsidRPr="00992A9B" w:rsidRDefault="000B5CDE" w:rsidP="00F47753">
      <w:pPr>
        <w:pStyle w:val="SingleTxtG"/>
        <w:rPr>
          <w:lang w:val="en-US"/>
        </w:rPr>
      </w:pPr>
      <w:r w:rsidRPr="00992A9B">
        <w:t>30.</w:t>
      </w:r>
      <w:r w:rsidRPr="00992A9B">
        <w:tab/>
        <w:t>Moreover, persons applying to register need only appear before the commissions, accompanied by their closest relatives, in order to be identified and registered.</w:t>
      </w:r>
    </w:p>
    <w:p w14:paraId="5348AEA5" w14:textId="77777777" w:rsidR="000B5CDE" w:rsidRPr="00992A9B" w:rsidRDefault="000B5CDE" w:rsidP="00FD044A">
      <w:pPr>
        <w:pStyle w:val="H4G"/>
        <w:rPr>
          <w:lang w:val="en-US"/>
        </w:rPr>
      </w:pPr>
      <w:r w:rsidRPr="00992A9B">
        <w:tab/>
      </w:r>
      <w:r w:rsidRPr="00992A9B">
        <w:tab/>
        <w:t>General Delegation for National Solidarity and the Fight against Exclusion (Taazour)</w:t>
      </w:r>
    </w:p>
    <w:p w14:paraId="2660CF7A" w14:textId="77777777" w:rsidR="000B5CDE" w:rsidRPr="00992A9B" w:rsidRDefault="000B5CDE" w:rsidP="00F47753">
      <w:pPr>
        <w:pStyle w:val="SingleTxtG"/>
        <w:rPr>
          <w:lang w:val="en-US"/>
        </w:rPr>
      </w:pPr>
      <w:r w:rsidRPr="00992A9B">
        <w:t>31.</w:t>
      </w:r>
      <w:r w:rsidRPr="00992A9B">
        <w:tab/>
        <w:t xml:space="preserve">With regard to measures taken to register births, the National Agency for the Registration of Persons and Secure Documents has set up citizen reception centres in all </w:t>
      </w:r>
      <w:r w:rsidRPr="00992A9B">
        <w:rPr>
          <w:i/>
          <w:iCs/>
        </w:rPr>
        <w:t xml:space="preserve">moughataas </w:t>
      </w:r>
      <w:r w:rsidRPr="00992A9B">
        <w:t>(departments), along with mobile registration teams in remote areas. These measures were reinforced by the launch, on 11 July 2023, of a vast national campaign to promote exceptional registration of births using simplified procedures; the campaign will end on 31 December 2023.</w:t>
      </w:r>
    </w:p>
    <w:p w14:paraId="6B04457F" w14:textId="77777777" w:rsidR="000B5CDE" w:rsidRPr="00992A9B" w:rsidRDefault="000B5CDE" w:rsidP="00FD044A">
      <w:pPr>
        <w:pStyle w:val="H23G"/>
        <w:rPr>
          <w:lang w:val="en-US"/>
        </w:rPr>
      </w:pPr>
      <w:r w:rsidRPr="00992A9B">
        <w:tab/>
      </w:r>
      <w:r w:rsidRPr="00992A9B">
        <w:tab/>
        <w:t>Reply to the issues raised in paragraph 8 of the list of issues</w:t>
      </w:r>
    </w:p>
    <w:p w14:paraId="1DEB1299" w14:textId="77777777" w:rsidR="000B5CDE" w:rsidRPr="00992A9B" w:rsidRDefault="000B5CDE" w:rsidP="00F47753">
      <w:pPr>
        <w:pStyle w:val="SingleTxtG"/>
        <w:rPr>
          <w:lang w:val="en-US"/>
        </w:rPr>
      </w:pPr>
      <w:r w:rsidRPr="00992A9B">
        <w:t>32.</w:t>
      </w:r>
      <w:r w:rsidRPr="00992A9B">
        <w:tab/>
        <w:t xml:space="preserve">Mauritania is an Islamic, democratic and social republic. Muslim law plays a predominant role, with the sharia the sole source of law. The individual and collective freedoms of all persons, whether citizens or foreign residents, are respected. Those who have </w:t>
      </w:r>
      <w:r w:rsidRPr="00992A9B">
        <w:lastRenderedPageBreak/>
        <w:t>a particular orientation of their choosing are neither stigmatized nor excluded, provided that this orientation remains in the private sphere and is not exhibited in public.</w:t>
      </w:r>
    </w:p>
    <w:p w14:paraId="5E353BFD" w14:textId="77777777" w:rsidR="000B5CDE" w:rsidRPr="00992A9B" w:rsidRDefault="000B5CDE" w:rsidP="00FD044A">
      <w:pPr>
        <w:pStyle w:val="H23G"/>
        <w:rPr>
          <w:lang w:val="en-US"/>
        </w:rPr>
      </w:pPr>
      <w:r w:rsidRPr="00992A9B">
        <w:tab/>
      </w:r>
      <w:r w:rsidRPr="00992A9B">
        <w:tab/>
        <w:t>Reply to the issues raised in paragraph 10 of the list of issues</w:t>
      </w:r>
    </w:p>
    <w:p w14:paraId="3B4B52E5" w14:textId="77777777" w:rsidR="000B5CDE" w:rsidRPr="00992A9B" w:rsidRDefault="000B5CDE" w:rsidP="00F47753">
      <w:pPr>
        <w:pStyle w:val="SingleTxtG"/>
        <w:rPr>
          <w:lang w:val="en-US"/>
        </w:rPr>
      </w:pPr>
      <w:r w:rsidRPr="00992A9B">
        <w:t>33.</w:t>
      </w:r>
      <w:r w:rsidRPr="00992A9B">
        <w:tab/>
        <w:t>The authorities have embraced the principle of equality of treatment for those granted refugee or protected person status and will continue to do so.</w:t>
      </w:r>
    </w:p>
    <w:p w14:paraId="53B7E9F1" w14:textId="5DCF48C4" w:rsidR="000B5CDE" w:rsidRPr="00992A9B" w:rsidRDefault="000B5CDE" w:rsidP="00F47753">
      <w:pPr>
        <w:pStyle w:val="SingleTxtG"/>
        <w:rPr>
          <w:lang w:val="en-US"/>
        </w:rPr>
      </w:pPr>
      <w:r w:rsidRPr="00992A9B">
        <w:t>34.</w:t>
      </w:r>
      <w:r w:rsidRPr="00992A9B">
        <w:tab/>
        <w:t xml:space="preserve">Decree No. 063/2022 of 5 May 2022, which sets out the procedures for the application of the international conventions on refugees, provides in article 15 that </w:t>
      </w:r>
      <w:r w:rsidR="006D23C5">
        <w:t>“</w:t>
      </w:r>
      <w:r w:rsidRPr="00992A9B">
        <w:t>persons granted the status of refugee or person in need of protection must receive the same treatment as Mauritanian nationals in terms of access to medical care, the labour market, social security and education</w:t>
      </w:r>
      <w:r w:rsidR="006D23C5">
        <w:t>”</w:t>
      </w:r>
      <w:r w:rsidRPr="00992A9B">
        <w:t>:</w:t>
      </w:r>
    </w:p>
    <w:p w14:paraId="519698B8" w14:textId="77777777" w:rsidR="000B5CDE" w:rsidRPr="00992A9B" w:rsidRDefault="000B5CDE" w:rsidP="00FD044A">
      <w:pPr>
        <w:pStyle w:val="SingleTxtG"/>
        <w:ind w:left="1701"/>
      </w:pPr>
      <w:r w:rsidRPr="00992A9B">
        <w:t>In order to improve the application of the principle of equal treatment and, more generally, of the provisions of the international conventions in question, the Decree envisages a consultative framework known as the National Consultative Commission for Refugees, whose internal regulations provide for the participation in its meetings of the Office of the United Nations High Commissioner for Refugees and the presentation by the Office of issues falling under its mandate, should it so wish.</w:t>
      </w:r>
    </w:p>
    <w:p w14:paraId="5C8D8F92" w14:textId="77777777" w:rsidR="005A1364" w:rsidRDefault="00FD044A" w:rsidP="00FD044A">
      <w:pPr>
        <w:pStyle w:val="H1G"/>
      </w:pPr>
      <w:r>
        <w:tab/>
      </w:r>
      <w:r w:rsidR="000B5CDE" w:rsidRPr="00992A9B">
        <w:t>D.</w:t>
      </w:r>
      <w:r w:rsidR="000B5CDE" w:rsidRPr="00992A9B">
        <w:tab/>
        <w:t xml:space="preserve">Equal rights of </w:t>
      </w:r>
      <w:proofErr w:type="gramStart"/>
      <w:r w:rsidR="000B5CDE" w:rsidRPr="00992A9B">
        <w:t>men and women</w:t>
      </w:r>
      <w:proofErr w:type="gramEnd"/>
      <w:r w:rsidR="000B5CDE" w:rsidRPr="00992A9B">
        <w:t xml:space="preserve"> (art. 3)</w:t>
      </w:r>
      <w:bookmarkEnd w:id="2"/>
    </w:p>
    <w:p w14:paraId="1DACE6C0" w14:textId="2000DF91" w:rsidR="000B5CDE" w:rsidRPr="00992A9B" w:rsidRDefault="000B5CDE" w:rsidP="00FD044A">
      <w:pPr>
        <w:pStyle w:val="H23G"/>
        <w:rPr>
          <w:lang w:val="en-US"/>
        </w:rPr>
      </w:pPr>
      <w:bookmarkStart w:id="3" w:name="_Hlk6479802"/>
      <w:r w:rsidRPr="00992A9B">
        <w:tab/>
      </w:r>
      <w:r w:rsidRPr="00992A9B">
        <w:tab/>
        <w:t>Reply to the issues raised in paragraph 11 of the list of issues</w:t>
      </w:r>
    </w:p>
    <w:p w14:paraId="00311F1C" w14:textId="77777777" w:rsidR="005A1364" w:rsidRDefault="000B5CDE" w:rsidP="00F47753">
      <w:pPr>
        <w:pStyle w:val="SingleTxtG"/>
      </w:pPr>
      <w:r w:rsidRPr="00992A9B">
        <w:t>35.</w:t>
      </w:r>
      <w:r w:rsidRPr="00992A9B">
        <w:tab/>
        <w:t xml:space="preserve">Family relations are governed by the Personal Status Code. The right to marry is an inalienable, natural and fundamental right of every man and woman. The future spouses marry of their own free will. The complementarity of </w:t>
      </w:r>
      <w:proofErr w:type="gramStart"/>
      <w:r w:rsidRPr="00992A9B">
        <w:t>men and women</w:t>
      </w:r>
      <w:proofErr w:type="gramEnd"/>
      <w:r w:rsidRPr="00992A9B">
        <w:t xml:space="preserve"> in terms of entering into marriage and freely choosing their spouse is enshrined in article 1 of the Code, which defines marriage as </w:t>
      </w:r>
      <w:r w:rsidR="006D23C5">
        <w:t>“</w:t>
      </w:r>
      <w:r w:rsidRPr="00992A9B">
        <w:t>a legal contract by which a man and a woman unite for the purpose of a lasting conjugal life</w:t>
      </w:r>
      <w:r w:rsidR="006D23C5">
        <w:t>”</w:t>
      </w:r>
      <w:r w:rsidRPr="00992A9B">
        <w:t xml:space="preserve">. Article 25 of the Code, which was strongly inspired by the provisions of the Mauritanian Constitution, establishes equality between husband and wife with respect to individual and property rights. It stipulates that </w:t>
      </w:r>
      <w:r w:rsidR="006D23C5">
        <w:t>“</w:t>
      </w:r>
      <w:r w:rsidRPr="00992A9B">
        <w:t>to marry, the future spouses must both be consenting and of the age required by law</w:t>
      </w:r>
      <w:r w:rsidR="006D23C5">
        <w:t>”</w:t>
      </w:r>
      <w:r w:rsidRPr="00992A9B">
        <w:t>.</w:t>
      </w:r>
    </w:p>
    <w:p w14:paraId="7BC9F059" w14:textId="77777777" w:rsidR="005A1364" w:rsidRDefault="000B5CDE" w:rsidP="00F47753">
      <w:pPr>
        <w:pStyle w:val="SingleTxtG"/>
      </w:pPr>
      <w:r w:rsidRPr="00992A9B">
        <w:t>36.</w:t>
      </w:r>
      <w:r w:rsidRPr="00992A9B">
        <w:tab/>
        <w:t>The law on civil status allows women to take their husband</w:t>
      </w:r>
      <w:r w:rsidR="008050AE">
        <w:t>’</w:t>
      </w:r>
      <w:r w:rsidRPr="00992A9B">
        <w:t xml:space="preserve">s family name or keep their </w:t>
      </w:r>
      <w:proofErr w:type="gramStart"/>
      <w:r w:rsidRPr="00992A9B">
        <w:t>maiden name</w:t>
      </w:r>
      <w:proofErr w:type="gramEnd"/>
      <w:r w:rsidRPr="00992A9B">
        <w:t>. Article 28 of the Personal Status Code guarantees a woman</w:t>
      </w:r>
      <w:r w:rsidR="008050AE">
        <w:t>’</w:t>
      </w:r>
      <w:r w:rsidRPr="00992A9B">
        <w:t>s right to freely choose her job or profession. The Code enshrines the right of each spouse to his or her own property and affirms a woman</w:t>
      </w:r>
      <w:r w:rsidR="008050AE">
        <w:t>’</w:t>
      </w:r>
      <w:r w:rsidRPr="00992A9B">
        <w:t>s ability to manage her property. The definitions it contains of the rights and obligations of the spouses, both during the marriage and after its dissolution, are detailed and uniform.</w:t>
      </w:r>
    </w:p>
    <w:p w14:paraId="55095F2B" w14:textId="77831BAF" w:rsidR="000B5CDE" w:rsidRPr="00992A9B" w:rsidRDefault="000B5CDE" w:rsidP="00F47753">
      <w:pPr>
        <w:pStyle w:val="SingleTxtG"/>
        <w:rPr>
          <w:lang w:val="en-US"/>
        </w:rPr>
      </w:pPr>
      <w:r w:rsidRPr="00992A9B">
        <w:t>37.</w:t>
      </w:r>
      <w:r w:rsidRPr="00992A9B">
        <w:tab/>
        <w:t xml:space="preserve">The Personal Status Code is currently being revised to bring </w:t>
      </w:r>
      <w:proofErr w:type="gramStart"/>
      <w:r w:rsidRPr="00992A9B">
        <w:t>some of</w:t>
      </w:r>
      <w:proofErr w:type="gramEnd"/>
      <w:r w:rsidRPr="00992A9B">
        <w:t xml:space="preserve"> its provisions into line with the conventions ratified by Mauritania. Amendments have been proposed for certain articles and will introduce the following new elements into the Code:</w:t>
      </w:r>
    </w:p>
    <w:p w14:paraId="6394C671" w14:textId="07C77949" w:rsidR="000B5CDE" w:rsidRPr="00992A9B" w:rsidRDefault="000B5CDE" w:rsidP="00FD044A">
      <w:pPr>
        <w:pStyle w:val="Bullet1G"/>
        <w:rPr>
          <w:lang w:val="en-US"/>
        </w:rPr>
      </w:pPr>
      <w:r w:rsidRPr="00992A9B">
        <w:t>The principle of the shared responsibility of husband and wife</w:t>
      </w:r>
    </w:p>
    <w:p w14:paraId="5D8DC460" w14:textId="0A8494CE" w:rsidR="000B5CDE" w:rsidRPr="00992A9B" w:rsidRDefault="000B5CDE" w:rsidP="00FD044A">
      <w:pPr>
        <w:pStyle w:val="Bullet1G"/>
        <w:rPr>
          <w:lang w:val="en-US"/>
        </w:rPr>
      </w:pPr>
      <w:r w:rsidRPr="00992A9B">
        <w:t>The stipulation that a person who is incompetent may be given in marriage only by his or her guardian, with the authorization of a judge</w:t>
      </w:r>
    </w:p>
    <w:p w14:paraId="22B38339" w14:textId="1B4D478E" w:rsidR="000B5CDE" w:rsidRPr="00992A9B" w:rsidRDefault="000B5CDE" w:rsidP="00FD044A">
      <w:pPr>
        <w:pStyle w:val="Bullet1G"/>
        <w:rPr>
          <w:lang w:val="en-US"/>
        </w:rPr>
      </w:pPr>
      <w:r w:rsidRPr="00992A9B">
        <w:t>A provision allowing proceedings against a guardian who is negligent to be brought before a judge by any adult having a relationship of consanguinity with the person under guardianship and by civil society organizations approved in accordance with the Code</w:t>
      </w:r>
    </w:p>
    <w:p w14:paraId="5BBDEE35" w14:textId="7EBEC635" w:rsidR="000B5CDE" w:rsidRPr="00992A9B" w:rsidRDefault="000B5CDE" w:rsidP="00FD044A">
      <w:pPr>
        <w:pStyle w:val="Bullet1G"/>
        <w:rPr>
          <w:lang w:val="en-US"/>
        </w:rPr>
      </w:pPr>
      <w:r w:rsidRPr="00992A9B">
        <w:t>The classification of marriage and the heading of the family</w:t>
      </w:r>
    </w:p>
    <w:p w14:paraId="2068528E" w14:textId="77C6E539" w:rsidR="000B5CDE" w:rsidRPr="00992A9B" w:rsidRDefault="000B5CDE" w:rsidP="00FD044A">
      <w:pPr>
        <w:pStyle w:val="Bullet1G"/>
        <w:rPr>
          <w:lang w:val="en-US"/>
        </w:rPr>
      </w:pPr>
      <w:r w:rsidRPr="00992A9B">
        <w:t>The conditions for a marriage to be valid</w:t>
      </w:r>
    </w:p>
    <w:p w14:paraId="5D33C942" w14:textId="77E3ACA3" w:rsidR="000B5CDE" w:rsidRPr="00992A9B" w:rsidRDefault="000B5CDE" w:rsidP="00FD044A">
      <w:pPr>
        <w:pStyle w:val="Bullet1G"/>
        <w:rPr>
          <w:lang w:val="en-US"/>
        </w:rPr>
      </w:pPr>
      <w:r w:rsidRPr="00992A9B">
        <w:t>The form of the woman</w:t>
      </w:r>
      <w:r w:rsidR="008050AE">
        <w:t>’</w:t>
      </w:r>
      <w:r w:rsidRPr="00992A9B">
        <w:t>s consent</w:t>
      </w:r>
    </w:p>
    <w:p w14:paraId="26BCC13E" w14:textId="606C3A64" w:rsidR="000B5CDE" w:rsidRPr="00992A9B" w:rsidRDefault="000B5CDE" w:rsidP="00FD044A">
      <w:pPr>
        <w:pStyle w:val="Bullet1G"/>
        <w:rPr>
          <w:lang w:val="en-US"/>
        </w:rPr>
      </w:pPr>
      <w:r w:rsidRPr="00992A9B">
        <w:t>The management by a woman of her property</w:t>
      </w:r>
    </w:p>
    <w:p w14:paraId="324E4051" w14:textId="133F6CFF" w:rsidR="000B5CDE" w:rsidRPr="00992A9B" w:rsidRDefault="000B5CDE" w:rsidP="00FD044A">
      <w:pPr>
        <w:pStyle w:val="Bullet1G"/>
        <w:rPr>
          <w:lang w:val="en-US"/>
        </w:rPr>
      </w:pPr>
      <w:r w:rsidRPr="00992A9B">
        <w:t>Divorce on the wife</w:t>
      </w:r>
      <w:r w:rsidR="008050AE">
        <w:t>’</w:t>
      </w:r>
      <w:r w:rsidRPr="00992A9B">
        <w:t>s initiative</w:t>
      </w:r>
    </w:p>
    <w:p w14:paraId="33E94AE1" w14:textId="77777777" w:rsidR="005A1364" w:rsidRDefault="000B5CDE" w:rsidP="00F47753">
      <w:pPr>
        <w:pStyle w:val="SingleTxtG"/>
      </w:pPr>
      <w:r w:rsidRPr="00992A9B">
        <w:lastRenderedPageBreak/>
        <w:t>38.</w:t>
      </w:r>
      <w:r w:rsidRPr="00992A9B">
        <w:tab/>
        <w:t>The provisions of Mauritanian law relating to the transmission of nationality to children and spouses are not discriminatory.</w:t>
      </w:r>
    </w:p>
    <w:p w14:paraId="2910BD6D" w14:textId="0D168497" w:rsidR="000B5CDE" w:rsidRPr="00992A9B" w:rsidRDefault="000B5CDE" w:rsidP="00F47753">
      <w:pPr>
        <w:pStyle w:val="SingleTxtG"/>
        <w:rPr>
          <w:lang w:val="en-US"/>
        </w:rPr>
      </w:pPr>
      <w:r w:rsidRPr="00992A9B">
        <w:t>39.</w:t>
      </w:r>
      <w:r w:rsidRPr="00992A9B">
        <w:tab/>
        <w:t>Acquisition of Mauritanian nationality by marriage has taken place under the same conditions, without distinction as to sex, since the provisions of Act No. 61.112, title III, chapter 2, concerning the acquisition of nationality by marriage were repealed and replaced by those of chapter 3 on naturalization (pursuant to article 2 of Act No. 2010-023 of 11</w:t>
      </w:r>
      <w:r w:rsidR="008423EA">
        <w:t> </w:t>
      </w:r>
      <w:r w:rsidRPr="00992A9B">
        <w:t>February 2010), which are now applied with respect to the acquisition of Mauritanian nationality by marriage.</w:t>
      </w:r>
    </w:p>
    <w:p w14:paraId="182A28E6" w14:textId="77777777" w:rsidR="005A1364" w:rsidRDefault="000B5CDE" w:rsidP="00F47753">
      <w:pPr>
        <w:pStyle w:val="SingleTxtG"/>
      </w:pPr>
      <w:r w:rsidRPr="00992A9B">
        <w:t>40.</w:t>
      </w:r>
      <w:r w:rsidRPr="00992A9B">
        <w:tab/>
        <w:t>In the light of the repeal of article 9 of Act No. 61.112 (pursuant to article 1 of Act No. 2010</w:t>
      </w:r>
      <w:r w:rsidR="00007FE3">
        <w:t>-</w:t>
      </w:r>
      <w:r w:rsidRPr="00992A9B">
        <w:t>023 of 11 February 2010), there are three scenarios whereby a child can receive Mauritanian nationality of origin. A child is Mauritanian if:</w:t>
      </w:r>
    </w:p>
    <w:p w14:paraId="6C5F29A3" w14:textId="77777777" w:rsidR="005A1364" w:rsidRDefault="00385114" w:rsidP="00385114">
      <w:pPr>
        <w:pStyle w:val="Bullet1G"/>
      </w:pPr>
      <w:r w:rsidRPr="00385114">
        <w:t>He or she is born to a Mauritanian father</w:t>
      </w:r>
    </w:p>
    <w:p w14:paraId="714AADCC" w14:textId="77777777" w:rsidR="005A1364" w:rsidRDefault="00385114" w:rsidP="00385114">
      <w:pPr>
        <w:pStyle w:val="Bullet1G"/>
      </w:pPr>
      <w:r w:rsidRPr="00385114">
        <w:t>He or she is born to a Mauritanian mother and a father of no or unknown nationality</w:t>
      </w:r>
    </w:p>
    <w:p w14:paraId="61623A53" w14:textId="19CD3A85" w:rsidR="000D43C1" w:rsidRPr="000D43C1" w:rsidRDefault="00385114" w:rsidP="00385114">
      <w:pPr>
        <w:pStyle w:val="Bullet1G"/>
        <w:rPr>
          <w:lang w:val="en-US"/>
        </w:rPr>
      </w:pPr>
      <w:r w:rsidRPr="00385114">
        <w:t>He or she is born in Mauritania to a Mauritanian mother and a father who is a foreign national</w:t>
      </w:r>
    </w:p>
    <w:p w14:paraId="15AC7F29" w14:textId="77777777" w:rsidR="005A1364" w:rsidRDefault="000B5CDE" w:rsidP="000D43C1">
      <w:pPr>
        <w:pStyle w:val="SingleTxtG"/>
      </w:pPr>
      <w:r w:rsidRPr="00992A9B">
        <w:t>41.</w:t>
      </w:r>
      <w:r w:rsidRPr="00992A9B">
        <w:tab/>
        <w:t>These provisions are supplemented by article 13 of the new Nationality Code, which stipulates that a child born abroad to a mother who is a Mauritanian national and a father who is a foreign national may opt for Mauritanian nationality. This option is reinforced by the principle of multiple nationalities, enshrined in article 31 (new), and the repeal of article 32 of Act No. 2021-016.</w:t>
      </w:r>
    </w:p>
    <w:p w14:paraId="46800615" w14:textId="58FA4EC3" w:rsidR="000B5CDE" w:rsidRPr="00992A9B" w:rsidRDefault="000B5CDE" w:rsidP="00F47753">
      <w:pPr>
        <w:pStyle w:val="SingleTxtG"/>
        <w:rPr>
          <w:lang w:val="en-US"/>
        </w:rPr>
      </w:pPr>
      <w:r w:rsidRPr="00992A9B">
        <w:t>42.</w:t>
      </w:r>
      <w:r w:rsidRPr="00992A9B">
        <w:tab/>
        <w:t>In addition, a minor child whose father or mother acquires Mauritanian nationality becomes Mauritanian by right, in the same way as his or her parents (pursuant to article 15 (new) of Act No. 2010</w:t>
      </w:r>
      <w:r w:rsidR="008423EA">
        <w:t>-</w:t>
      </w:r>
      <w:r w:rsidRPr="00992A9B">
        <w:t>023).</w:t>
      </w:r>
    </w:p>
    <w:p w14:paraId="5DD14AB0" w14:textId="77777777" w:rsidR="005A1364" w:rsidRDefault="000B5CDE" w:rsidP="00F47753">
      <w:pPr>
        <w:pStyle w:val="SingleTxtG"/>
      </w:pPr>
      <w:r w:rsidRPr="00992A9B">
        <w:t>43.</w:t>
      </w:r>
      <w:r w:rsidRPr="00992A9B">
        <w:tab/>
        <w:t xml:space="preserve">Act No. 061-112 of 12 June 1961 on the Nationality Code and the texts amending it (Acts No. 073-010 of 23 January 1973, No. 073-186 of 30 July 1973, No. 076-207 of 30 July 1976, No. 076-207 of 9 July 1976 and Decree No. 082-028 of 26 March 1982) guarantee the same conditions regarding acquisition, retention and loss of Mauritanian nationality for all citizens, without distinction, including on the basis of sex, through the general conditions regarding acquisition of Mauritanian nationality, which is based on </w:t>
      </w:r>
      <w:r w:rsidRPr="00992A9B">
        <w:rPr>
          <w:i/>
          <w:iCs/>
        </w:rPr>
        <w:t>jus sanguinis</w:t>
      </w:r>
      <w:r w:rsidRPr="00992A9B">
        <w:t xml:space="preserve"> and </w:t>
      </w:r>
      <w:r w:rsidRPr="00992A9B">
        <w:rPr>
          <w:i/>
          <w:iCs/>
        </w:rPr>
        <w:t>jus soli</w:t>
      </w:r>
      <w:r w:rsidRPr="00992A9B">
        <w:t>.</w:t>
      </w:r>
    </w:p>
    <w:p w14:paraId="31702974" w14:textId="77777777" w:rsidR="005A1364" w:rsidRDefault="000B5CDE" w:rsidP="00F47753">
      <w:pPr>
        <w:pStyle w:val="SingleTxtG"/>
      </w:pPr>
      <w:r w:rsidRPr="00992A9B">
        <w:t>44.</w:t>
      </w:r>
      <w:r w:rsidRPr="00992A9B">
        <w:tab/>
        <w:t>Furthermore, if any principle of international law confers any right in matters of nationality, this principle is applied mutatis mutandis, in accordance with article 6 of Act No.</w:t>
      </w:r>
      <w:r w:rsidR="008423EA">
        <w:t> </w:t>
      </w:r>
      <w:r w:rsidRPr="00992A9B">
        <w:t>61-112, the Nationality Code, which stipulates that all provisions relating to nationality contained in duly ratified and published international treaties or agreements are to be applied, even if they are contrary to the provisions of Mauritanian domestic law.</w:t>
      </w:r>
    </w:p>
    <w:p w14:paraId="256DCF94" w14:textId="77777777" w:rsidR="005A1364" w:rsidRDefault="000B5CDE" w:rsidP="00F47753">
      <w:pPr>
        <w:pStyle w:val="SingleTxtG"/>
      </w:pPr>
      <w:r w:rsidRPr="00992A9B">
        <w:t>45.</w:t>
      </w:r>
      <w:r w:rsidRPr="00992A9B">
        <w:tab/>
        <w:t xml:space="preserve">Regarding specific measures taken to put an end to harmful customary practices, Mauritania was among the pioneering African countries that launched a campaign to end child marriage. It has set up a multisectoral commission responsible for implementing the campaign. The Commission has drawn up a road map involving three </w:t>
      </w:r>
      <w:proofErr w:type="gramStart"/>
      <w:r w:rsidRPr="00992A9B">
        <w:t>main areas</w:t>
      </w:r>
      <w:proofErr w:type="gramEnd"/>
      <w:r w:rsidRPr="00992A9B">
        <w:t xml:space="preserve"> of work: advocacy for the adoption of legislation protecting children and prohibiting child marriage; production of educational materials; and awareness-raising training for stakeholders and the general public.</w:t>
      </w:r>
    </w:p>
    <w:p w14:paraId="7A2D0849" w14:textId="36F30E06" w:rsidR="000B5CDE" w:rsidRPr="00992A9B" w:rsidRDefault="000B5CDE" w:rsidP="00F47753">
      <w:pPr>
        <w:pStyle w:val="SingleTxtG"/>
        <w:rPr>
          <w:lang w:val="en-US"/>
        </w:rPr>
      </w:pPr>
      <w:r w:rsidRPr="00992A9B">
        <w:t>46.</w:t>
      </w:r>
      <w:r w:rsidRPr="00992A9B">
        <w:tab/>
        <w:t xml:space="preserve">Female genital mutilation is established as an offence that constitutes cruel, inhuman or degrading treatment in article 79 of Act No. 2018-024 of 21 June 2018 on the General Child Protection Code, which reads as follows: </w:t>
      </w:r>
      <w:r w:rsidR="006D23C5">
        <w:t>“</w:t>
      </w:r>
      <w:r w:rsidRPr="00992A9B">
        <w:t>Cruel, inhuman or degrading treatment includes harmful excision and all other similar practices performed on girls, and negative customary, cultural and social practices that harm the physical integrity, health or dignity of the child.</w:t>
      </w:r>
      <w:r w:rsidR="006D23C5">
        <w:t>”</w:t>
      </w:r>
      <w:r w:rsidRPr="00992A9B">
        <w:t xml:space="preserve"> This removes any ambiguity as to the interpretation of genital mutilation and all negative customary, cultural or social practices that harm the physical integrity, health or dignity of the child.</w:t>
      </w:r>
    </w:p>
    <w:p w14:paraId="2CA3DECB" w14:textId="77777777" w:rsidR="000B5CDE" w:rsidRPr="00992A9B" w:rsidRDefault="000B5CDE" w:rsidP="00F47753">
      <w:pPr>
        <w:pStyle w:val="SingleTxtG"/>
        <w:rPr>
          <w:lang w:val="en-US"/>
        </w:rPr>
      </w:pPr>
      <w:r w:rsidRPr="00992A9B">
        <w:t>47.</w:t>
      </w:r>
      <w:r w:rsidRPr="00992A9B">
        <w:tab/>
        <w:t>Act No. 2017-025 of 15 November 2017, the Reproductive Health Act, which establishes female genital mutilation as a criminal offence, has been widely publicized among health-care personnel.</w:t>
      </w:r>
    </w:p>
    <w:p w14:paraId="25A6D868" w14:textId="77777777" w:rsidR="000B5CDE" w:rsidRPr="00992A9B" w:rsidRDefault="000B5CDE" w:rsidP="00F47753">
      <w:pPr>
        <w:pStyle w:val="SingleTxtG"/>
        <w:rPr>
          <w:lang w:val="en-US"/>
        </w:rPr>
      </w:pPr>
      <w:r w:rsidRPr="00992A9B">
        <w:lastRenderedPageBreak/>
        <w:t>48.</w:t>
      </w:r>
      <w:r w:rsidRPr="00992A9B">
        <w:tab/>
        <w:t>Article 12 of the ordinance on the judicial protection of children criminalizes and stipulates penalties for any injury to the genitals of a girl by infibulation, desensitization or any other means that results in harm to the child. The penalty is increased when the perpetrator of the act belongs to the medical or paramedical profession.</w:t>
      </w:r>
    </w:p>
    <w:p w14:paraId="0CC8CC46" w14:textId="77777777" w:rsidR="000B5CDE" w:rsidRPr="00992A9B" w:rsidRDefault="000B5CDE" w:rsidP="00F47753">
      <w:pPr>
        <w:pStyle w:val="SingleTxtG"/>
        <w:rPr>
          <w:lang w:val="en-US"/>
        </w:rPr>
      </w:pPr>
      <w:r w:rsidRPr="00992A9B">
        <w:t>49.</w:t>
      </w:r>
      <w:r w:rsidRPr="00992A9B">
        <w:tab/>
        <w:t xml:space="preserve">Health professionals have led the way in the fight against female genital mutilation and, on the basis of their statements, two fatwas (opinions of Muslim legal scholars) prohibiting female genital mutilation have been issued, one at the national and the other at the subregional level. </w:t>
      </w:r>
      <w:proofErr w:type="gramStart"/>
      <w:r w:rsidRPr="00992A9B">
        <w:t>Several</w:t>
      </w:r>
      <w:proofErr w:type="gramEnd"/>
      <w:r w:rsidRPr="00992A9B">
        <w:t xml:space="preserve"> awareness-raising workshops have been held for personnel and members of the public.</w:t>
      </w:r>
    </w:p>
    <w:p w14:paraId="0E515FA4" w14:textId="12DEC9A7" w:rsidR="000B5CDE" w:rsidRPr="00992A9B" w:rsidRDefault="000B5CDE" w:rsidP="00F47753">
      <w:pPr>
        <w:pStyle w:val="SingleTxtG"/>
        <w:rPr>
          <w:lang w:val="en-US"/>
        </w:rPr>
      </w:pPr>
      <w:r w:rsidRPr="00992A9B">
        <w:t>50.</w:t>
      </w:r>
      <w:r w:rsidRPr="00992A9B">
        <w:tab/>
        <w:t>To reinforce its commitment to the promotion and protection of women</w:t>
      </w:r>
      <w:r w:rsidR="008050AE">
        <w:t>’</w:t>
      </w:r>
      <w:r w:rsidRPr="00992A9B">
        <w:t>s rights, the Government has put in place an extensive institutional framework, as follows:</w:t>
      </w:r>
    </w:p>
    <w:p w14:paraId="62CED19F" w14:textId="5FD2E2FD" w:rsidR="000B5CDE" w:rsidRPr="00992A9B" w:rsidRDefault="000B5CDE" w:rsidP="004E7CAA">
      <w:pPr>
        <w:pStyle w:val="Bullet1G"/>
        <w:rPr>
          <w:lang w:val="en-US"/>
        </w:rPr>
      </w:pPr>
      <w:r w:rsidRPr="00992A9B">
        <w:t>The National Committee to Combat Gender-based Violence, including Female Genital Mutilation, has been established</w:t>
      </w:r>
    </w:p>
    <w:p w14:paraId="0B26B535" w14:textId="77777777" w:rsidR="005A1364" w:rsidRDefault="000B5CDE" w:rsidP="004E7CAA">
      <w:pPr>
        <w:pStyle w:val="Bullet1G"/>
      </w:pPr>
      <w:r w:rsidRPr="00992A9B">
        <w:t>Regional committees to combat gender-based violence, including female genital mutilation, have been set up</w:t>
      </w:r>
    </w:p>
    <w:p w14:paraId="1D974ED3" w14:textId="00C11A9D" w:rsidR="000B5CDE" w:rsidRPr="00992A9B" w:rsidRDefault="000B5CDE" w:rsidP="004E7CAA">
      <w:pPr>
        <w:pStyle w:val="Bullet1G"/>
        <w:rPr>
          <w:lang w:val="en-US"/>
        </w:rPr>
      </w:pPr>
      <w:r w:rsidRPr="00992A9B">
        <w:t>A network of non-governmental organizations specializing in female genital mutilation has been created</w:t>
      </w:r>
    </w:p>
    <w:p w14:paraId="50B7C25A" w14:textId="7697AC18" w:rsidR="000B5CDE" w:rsidRPr="00992A9B" w:rsidRDefault="000B5CDE" w:rsidP="004E7CAA">
      <w:pPr>
        <w:pStyle w:val="Bullet1G"/>
        <w:rPr>
          <w:lang w:val="en-US"/>
        </w:rPr>
      </w:pPr>
      <w:r w:rsidRPr="00992A9B">
        <w:t>Standard operating procedures on combating violence against women have been implemented in order to ensure a more effective response and the provision of holistic care to survivors of gender-based violence</w:t>
      </w:r>
    </w:p>
    <w:p w14:paraId="6133BD8C" w14:textId="77777777" w:rsidR="005A1364" w:rsidRDefault="00E61782" w:rsidP="00E61782">
      <w:pPr>
        <w:pStyle w:val="HChG"/>
      </w:pPr>
      <w:bookmarkStart w:id="4" w:name="_Hlk6322130"/>
      <w:bookmarkEnd w:id="3"/>
      <w:r>
        <w:tab/>
      </w:r>
      <w:r w:rsidR="000B5CDE" w:rsidRPr="00992A9B">
        <w:t>III.</w:t>
      </w:r>
      <w:r w:rsidR="000B5CDE" w:rsidRPr="00992A9B">
        <w:tab/>
        <w:t>Issues relating to the specific provisions of the Covenant (arts. 6</w:t>
      </w:r>
      <w:r>
        <w:t>–</w:t>
      </w:r>
      <w:r w:rsidR="000B5CDE" w:rsidRPr="00992A9B">
        <w:t>15)</w:t>
      </w:r>
      <w:bookmarkEnd w:id="4"/>
    </w:p>
    <w:p w14:paraId="270BB185" w14:textId="795D4840" w:rsidR="000B5CDE" w:rsidRPr="00992A9B" w:rsidRDefault="00E61782" w:rsidP="00E61782">
      <w:pPr>
        <w:pStyle w:val="H1G"/>
        <w:rPr>
          <w:lang w:val="en-US"/>
        </w:rPr>
      </w:pPr>
      <w:r>
        <w:tab/>
      </w:r>
      <w:r w:rsidR="000B5CDE" w:rsidRPr="00992A9B">
        <w:t>A.</w:t>
      </w:r>
      <w:r w:rsidR="000B5CDE" w:rsidRPr="00992A9B">
        <w:tab/>
        <w:t>Right to work (art.</w:t>
      </w:r>
      <w:r w:rsidR="00B27B2B">
        <w:t xml:space="preserve"> </w:t>
      </w:r>
      <w:r w:rsidR="000B5CDE" w:rsidRPr="00992A9B">
        <w:t>6)</w:t>
      </w:r>
    </w:p>
    <w:p w14:paraId="06A5F337" w14:textId="77777777" w:rsidR="000B5CDE" w:rsidRPr="00992A9B" w:rsidRDefault="000B5CDE" w:rsidP="00E61782">
      <w:pPr>
        <w:pStyle w:val="H23G"/>
        <w:rPr>
          <w:lang w:val="en-US"/>
        </w:rPr>
      </w:pPr>
      <w:r w:rsidRPr="00992A9B">
        <w:tab/>
      </w:r>
      <w:r w:rsidRPr="00992A9B">
        <w:tab/>
        <w:t>Reply to the issues raised in paragraph 12 of the list of issues</w:t>
      </w:r>
    </w:p>
    <w:p w14:paraId="044B5F9B" w14:textId="77777777" w:rsidR="005A1364" w:rsidRDefault="000B5CDE" w:rsidP="00F47753">
      <w:pPr>
        <w:pStyle w:val="SingleTxtG"/>
      </w:pPr>
      <w:r w:rsidRPr="00992A9B">
        <w:t>51.</w:t>
      </w:r>
      <w:r w:rsidRPr="00992A9B">
        <w:tab/>
        <w:t>Articles 166 and 247 of the Labour Code address working conditions and were drafted in conformity with the relevant conventions of the International Labour Office (ILO), which validated the Code prior to its adoption. The prohibitions, or rather restrictions, on women performing certain jobs are designed to protect them from dangerous work, such as night work (ILO Convention No. 4), work during pregnancy and/or while breastfeeding (ILO Convention No. 3) and so forth.</w:t>
      </w:r>
    </w:p>
    <w:p w14:paraId="1A1850D0" w14:textId="18FB85DE" w:rsidR="000B5CDE" w:rsidRPr="00992A9B" w:rsidRDefault="000B5CDE" w:rsidP="00F47753">
      <w:pPr>
        <w:pStyle w:val="SingleTxtG"/>
        <w:rPr>
          <w:lang w:val="en-US"/>
        </w:rPr>
      </w:pPr>
      <w:r w:rsidRPr="00992A9B">
        <w:t>52.</w:t>
      </w:r>
      <w:r w:rsidRPr="00992A9B">
        <w:tab/>
        <w:t xml:space="preserve">Mauritanian women are free to do any job for which they have the required qualifications. Today, they are judges and prosecutors, civil servants, engineers, senior officers or members of the armed and security forces (army, national guard, police, fire department, etc.) and </w:t>
      </w:r>
      <w:proofErr w:type="gramStart"/>
      <w:r w:rsidRPr="00992A9B">
        <w:t>carry out</w:t>
      </w:r>
      <w:proofErr w:type="gramEnd"/>
      <w:r w:rsidRPr="00992A9B">
        <w:t xml:space="preserve"> their activities without discrimination.</w:t>
      </w:r>
    </w:p>
    <w:p w14:paraId="31E0F988" w14:textId="77777777" w:rsidR="000B5CDE" w:rsidRPr="00992A9B" w:rsidRDefault="000B5CDE" w:rsidP="00E61782">
      <w:pPr>
        <w:pStyle w:val="H23G"/>
        <w:rPr>
          <w:lang w:val="en-US"/>
        </w:rPr>
      </w:pPr>
      <w:r w:rsidRPr="00992A9B">
        <w:tab/>
      </w:r>
      <w:r w:rsidRPr="00992A9B">
        <w:tab/>
        <w:t>Reply to the issues raised in paragraph 13 of the list of issues</w:t>
      </w:r>
    </w:p>
    <w:p w14:paraId="3351AE33" w14:textId="77777777" w:rsidR="005A1364" w:rsidRDefault="000B5CDE" w:rsidP="00F47753">
      <w:pPr>
        <w:pStyle w:val="SingleTxtG"/>
      </w:pPr>
      <w:r w:rsidRPr="00992A9B">
        <w:t>53.</w:t>
      </w:r>
      <w:r w:rsidRPr="00992A9B">
        <w:tab/>
      </w:r>
      <w:proofErr w:type="gramStart"/>
      <w:r w:rsidRPr="00992A9B">
        <w:t>Jurisdiction</w:t>
      </w:r>
      <w:proofErr w:type="gramEnd"/>
      <w:r w:rsidRPr="00992A9B">
        <w:t xml:space="preserve"> over offences of slavery and slavery-like practices is vested in the three specialized criminal courts, each of which is responsible for several regions so that the entire country is covered. First instance decisions handed down by these courts may be appealed to the courts of appeal, of which there are four. In addition, the Supreme Court, the highest court, examines appeals on points of law against decisions handed down by the appeal courts. This institutional framework provides a solid foundation for punishing perpetrators of slavery and slavery-like practices and providing reparation to victims of abuse and all forms of exploitation.</w:t>
      </w:r>
    </w:p>
    <w:p w14:paraId="68E2866B" w14:textId="5A9F7B7F" w:rsidR="000B5CDE" w:rsidRPr="00992A9B" w:rsidRDefault="000B5CDE" w:rsidP="00F47753">
      <w:pPr>
        <w:pStyle w:val="SingleTxtG"/>
        <w:rPr>
          <w:lang w:val="en-US"/>
        </w:rPr>
      </w:pPr>
      <w:r w:rsidRPr="00992A9B">
        <w:t>54.</w:t>
      </w:r>
      <w:r w:rsidRPr="00992A9B">
        <w:tab/>
        <w:t>Under this framework, human rights organizations are able to assist victims of slavery at all stages of proceedings and even draw attention to or report cases, file complaints or bring public actions in their own right.</w:t>
      </w:r>
    </w:p>
    <w:p w14:paraId="64B34485" w14:textId="77777777" w:rsidR="005A1364" w:rsidRDefault="000B5CDE" w:rsidP="00F47753">
      <w:pPr>
        <w:pStyle w:val="SingleTxtG"/>
      </w:pPr>
      <w:r w:rsidRPr="00992A9B">
        <w:t>55.</w:t>
      </w:r>
      <w:r w:rsidRPr="00992A9B">
        <w:tab/>
        <w:t xml:space="preserve">Victims of slavery and slavery-like practices are automatically entitled to legal aid and exemption from fees and costs at all stages of proceedings. They also receive protection </w:t>
      </w:r>
      <w:r w:rsidRPr="00992A9B">
        <w:lastRenderedPageBreak/>
        <w:t>against intimidation, threats or reprisals (judges are required to take these interim measures whenever a case involving slavery is brought before them).</w:t>
      </w:r>
    </w:p>
    <w:p w14:paraId="7C885AB4" w14:textId="77777777" w:rsidR="005A1364" w:rsidRDefault="000B5CDE" w:rsidP="00F47753">
      <w:pPr>
        <w:pStyle w:val="SingleTxtG"/>
      </w:pPr>
      <w:r w:rsidRPr="00992A9B">
        <w:t>56.</w:t>
      </w:r>
      <w:r w:rsidRPr="00992A9B">
        <w:tab/>
        <w:t>The presidents of the specialized criminal courts have remained in their posts since 2017, enabling them to accumulate more experience and knowledge of their field of activity.</w:t>
      </w:r>
    </w:p>
    <w:p w14:paraId="00140CE7" w14:textId="77777777" w:rsidR="005A1364" w:rsidRDefault="000B5CDE" w:rsidP="00F47753">
      <w:pPr>
        <w:pStyle w:val="SingleTxtG"/>
      </w:pPr>
      <w:r w:rsidRPr="00992A9B">
        <w:t>57.</w:t>
      </w:r>
      <w:r w:rsidRPr="00992A9B">
        <w:tab/>
        <w:t xml:space="preserve">The specialized courts have produced a rich and varied body of case law in proceedings at all levels. The courts have dealt with an abundance of cases covering every possible aspect of judicial decision-making. Their activities have given rise to decisions that are rich in content, including convictions, acquittals and dismissals, and/or address preliminary issues such as lack of </w:t>
      </w:r>
      <w:proofErr w:type="gramStart"/>
      <w:r w:rsidRPr="00992A9B">
        <w:t>jurisdiction</w:t>
      </w:r>
      <w:proofErr w:type="gramEnd"/>
      <w:r w:rsidRPr="00992A9B">
        <w:t xml:space="preserve"> and statutory limitations.</w:t>
      </w:r>
    </w:p>
    <w:p w14:paraId="5119F6CE" w14:textId="180D61AE" w:rsidR="005A1364" w:rsidRDefault="000B5CDE" w:rsidP="00F47753">
      <w:pPr>
        <w:pStyle w:val="SingleTxtG"/>
      </w:pPr>
      <w:r w:rsidRPr="00992A9B">
        <w:t>58.</w:t>
      </w:r>
      <w:r w:rsidRPr="00992A9B">
        <w:tab/>
        <w:t>Statistics on trafficking cases brought under Acts No. 2015-031 and No. 2020-017 and related to slavery, slavery-like practices and human trafficking show that, to date, 163</w:t>
      </w:r>
      <w:r w:rsidR="00712DF5">
        <w:t> </w:t>
      </w:r>
      <w:r w:rsidRPr="00992A9B">
        <w:t>such cases have been referred to the courts, as follows:</w:t>
      </w:r>
    </w:p>
    <w:p w14:paraId="06BA7077" w14:textId="1C3FA7ED" w:rsidR="000B5CDE" w:rsidRPr="00992A9B" w:rsidRDefault="000B5CDE" w:rsidP="00E61782">
      <w:pPr>
        <w:pStyle w:val="Bullet1G"/>
        <w:rPr>
          <w:lang w:val="en-US"/>
        </w:rPr>
      </w:pPr>
      <w:r w:rsidRPr="00992A9B">
        <w:t>83 cases that are pending, involving 123 people, 50 of whom are being detained</w:t>
      </w:r>
    </w:p>
    <w:p w14:paraId="39793569" w14:textId="4EBD3761" w:rsidR="000B5CDE" w:rsidRPr="00992A9B" w:rsidRDefault="000B5CDE" w:rsidP="00E61782">
      <w:pPr>
        <w:pStyle w:val="Bullet1G"/>
        <w:rPr>
          <w:lang w:val="en-US"/>
        </w:rPr>
      </w:pPr>
      <w:r w:rsidRPr="00992A9B">
        <w:t>80 cases that have been tried, involving 138 people including:</w:t>
      </w:r>
    </w:p>
    <w:p w14:paraId="5A69D03B" w14:textId="77777777" w:rsidR="005A1364" w:rsidRDefault="000B5CDE" w:rsidP="00E61782">
      <w:pPr>
        <w:pStyle w:val="Bullet2G"/>
      </w:pPr>
      <w:r w:rsidRPr="00992A9B">
        <w:t>75 sentenced to imprisonment, 28 of whom are currently serving their sentences</w:t>
      </w:r>
    </w:p>
    <w:p w14:paraId="7A66781C" w14:textId="77777777" w:rsidR="005A1364" w:rsidRDefault="000B5CDE" w:rsidP="00E61782">
      <w:pPr>
        <w:pStyle w:val="Bullet2G"/>
      </w:pPr>
      <w:r w:rsidRPr="00992A9B">
        <w:t>25 given suspended sentences of imprisonment</w:t>
      </w:r>
    </w:p>
    <w:p w14:paraId="45B3238E" w14:textId="77777777" w:rsidR="005A1364" w:rsidRDefault="000B5CDE" w:rsidP="00E61782">
      <w:pPr>
        <w:pStyle w:val="Bullet2G"/>
      </w:pPr>
      <w:r w:rsidRPr="00992A9B">
        <w:t>27 acquitted</w:t>
      </w:r>
    </w:p>
    <w:p w14:paraId="179A491B" w14:textId="481AC2E2" w:rsidR="000B5CDE" w:rsidRPr="00992A9B" w:rsidRDefault="000B5CDE" w:rsidP="00E61782">
      <w:pPr>
        <w:pStyle w:val="Bullet2G"/>
        <w:rPr>
          <w:lang w:val="en-US"/>
        </w:rPr>
      </w:pPr>
      <w:r w:rsidRPr="00992A9B">
        <w:t>2 whose cases were dismissed</w:t>
      </w:r>
    </w:p>
    <w:p w14:paraId="1E654517" w14:textId="77777777" w:rsidR="005A1364" w:rsidRDefault="000B5CDE" w:rsidP="00E61782">
      <w:pPr>
        <w:pStyle w:val="Bullet2G"/>
      </w:pPr>
      <w:r w:rsidRPr="00992A9B">
        <w:t>1 sentenced to alternative measures to imprisonment</w:t>
      </w:r>
    </w:p>
    <w:p w14:paraId="76B6849A" w14:textId="77777777" w:rsidR="005A1364" w:rsidRDefault="000B5CDE" w:rsidP="00E61782">
      <w:pPr>
        <w:pStyle w:val="Bullet2G"/>
      </w:pPr>
      <w:r w:rsidRPr="00992A9B">
        <w:t>6 who benefited from statutory limitations</w:t>
      </w:r>
    </w:p>
    <w:p w14:paraId="70D0CE01" w14:textId="2E185661" w:rsidR="000B5CDE" w:rsidRPr="00992A9B" w:rsidRDefault="000B5CDE" w:rsidP="00E61782">
      <w:pPr>
        <w:pStyle w:val="Bullet2G"/>
        <w:rPr>
          <w:lang w:val="en-US"/>
        </w:rPr>
      </w:pPr>
      <w:r w:rsidRPr="00992A9B">
        <w:t>4 whose cases were referred to other courts</w:t>
      </w:r>
    </w:p>
    <w:p w14:paraId="157BEA10" w14:textId="77777777" w:rsidR="000B5CDE" w:rsidRPr="00992A9B" w:rsidRDefault="000B5CDE" w:rsidP="00F47753">
      <w:pPr>
        <w:pStyle w:val="SingleTxtG"/>
        <w:rPr>
          <w:lang w:val="en-US"/>
        </w:rPr>
      </w:pPr>
      <w:r w:rsidRPr="00992A9B">
        <w:t>59.</w:t>
      </w:r>
      <w:r w:rsidRPr="00992A9B">
        <w:tab/>
        <w:t>On the recommendation of the Special Rapporteur on contemporary forms of slavery and other technical partners, the public authorities are currently studying a draft amendment aimed at reforming the composition of the specialized courts for combating slavery-like practices and revising Act No. 2015-031 in order to remedy the shortcomings observed in its application; the measures to be taken include merging the handling of slavery and human trafficking cases, revitalizing the role of the judiciary, implementing interim and protective measures and amending the sentencing regime.</w:t>
      </w:r>
    </w:p>
    <w:p w14:paraId="4DCF184A" w14:textId="35F2B331" w:rsidR="000B5CDE" w:rsidRPr="00992A9B" w:rsidRDefault="00E61782" w:rsidP="00E61782">
      <w:pPr>
        <w:pStyle w:val="H1G"/>
        <w:rPr>
          <w:lang w:val="en-US"/>
        </w:rPr>
      </w:pPr>
      <w:r>
        <w:rPr>
          <w:lang w:val="en-US"/>
        </w:rPr>
        <w:tab/>
      </w:r>
      <w:r w:rsidR="000B5CDE" w:rsidRPr="00992A9B">
        <w:t>B.</w:t>
      </w:r>
      <w:r w:rsidR="000B5CDE" w:rsidRPr="00992A9B">
        <w:tab/>
        <w:t>Right to just and favourable conditions of work (art. 7)</w:t>
      </w:r>
    </w:p>
    <w:p w14:paraId="1CE3BCBB" w14:textId="77777777" w:rsidR="000B5CDE" w:rsidRPr="00992A9B" w:rsidRDefault="000B5CDE" w:rsidP="00B42D83">
      <w:pPr>
        <w:pStyle w:val="H23G"/>
        <w:rPr>
          <w:lang w:val="en-US"/>
        </w:rPr>
      </w:pPr>
      <w:r w:rsidRPr="00992A9B">
        <w:tab/>
      </w:r>
      <w:r w:rsidRPr="00992A9B">
        <w:tab/>
        <w:t>Reply to the issues raised in paragraph 14 of the list of issues</w:t>
      </w:r>
    </w:p>
    <w:p w14:paraId="67CC1059" w14:textId="77777777" w:rsidR="000B5CDE" w:rsidRPr="00992A9B" w:rsidRDefault="000B5CDE" w:rsidP="00F47753">
      <w:pPr>
        <w:pStyle w:val="SingleTxtG"/>
      </w:pPr>
      <w:r w:rsidRPr="00992A9B">
        <w:t>60.</w:t>
      </w:r>
      <w:r w:rsidRPr="00992A9B">
        <w:tab/>
        <w:t>Pursuant to article 195 of the Labour Code, the level of the guaranteed minimum wage is set in a decree issued following consultation with the National Council for Work, Employment and Social Security. The decree may establish:</w:t>
      </w:r>
    </w:p>
    <w:p w14:paraId="1A9C0BF0" w14:textId="2F8837D2" w:rsidR="000B5CDE" w:rsidRPr="00992A9B" w:rsidRDefault="000B5CDE" w:rsidP="00B42D83">
      <w:pPr>
        <w:pStyle w:val="Bullet1G"/>
        <w:rPr>
          <w:lang w:val="en-US"/>
        </w:rPr>
      </w:pPr>
      <w:r w:rsidRPr="00992A9B">
        <w:t>A reduced level for workers under the age of 18</w:t>
      </w:r>
    </w:p>
    <w:p w14:paraId="6F82B559" w14:textId="17D22DE3" w:rsidR="000B5CDE" w:rsidRPr="00992A9B" w:rsidRDefault="000B5CDE" w:rsidP="00B42D83">
      <w:pPr>
        <w:pStyle w:val="Bullet1G"/>
        <w:rPr>
          <w:lang w:val="en-US"/>
        </w:rPr>
      </w:pPr>
      <w:r w:rsidRPr="00992A9B">
        <w:t>A differentiated level for workers in agriculture</w:t>
      </w:r>
    </w:p>
    <w:p w14:paraId="418B9B46" w14:textId="77777777" w:rsidR="005A1364" w:rsidRDefault="000B5CDE" w:rsidP="00F47753">
      <w:pPr>
        <w:pStyle w:val="SingleTxtG"/>
      </w:pPr>
      <w:r w:rsidRPr="00992A9B">
        <w:t>61.</w:t>
      </w:r>
      <w:r w:rsidRPr="00992A9B">
        <w:tab/>
        <w:t>The decree is generally adopted after the social partners (employers</w:t>
      </w:r>
      <w:r w:rsidR="008050AE">
        <w:t>’</w:t>
      </w:r>
      <w:r w:rsidRPr="00992A9B">
        <w:t xml:space="preserve"> and workers</w:t>
      </w:r>
      <w:r w:rsidR="008050AE">
        <w:t>’</w:t>
      </w:r>
      <w:r w:rsidRPr="00992A9B">
        <w:t xml:space="preserve"> unions) have determined the amount by which the minimum wage will increase, through collective bargaining. The social partners are also involved ahead of the decree</w:t>
      </w:r>
      <w:r w:rsidR="008050AE">
        <w:t>’</w:t>
      </w:r>
      <w:r w:rsidRPr="00992A9B">
        <w:t>s adoption through the National Council for Work, Employment and Social Security, a tripartite consultative body.</w:t>
      </w:r>
    </w:p>
    <w:p w14:paraId="756CCC71" w14:textId="5309FF15" w:rsidR="000B5CDE" w:rsidRPr="00992A9B" w:rsidRDefault="000B5CDE" w:rsidP="00F47753">
      <w:pPr>
        <w:pStyle w:val="SingleTxtG"/>
        <w:rPr>
          <w:lang w:val="en-US"/>
        </w:rPr>
      </w:pPr>
      <w:r w:rsidRPr="00992A9B">
        <w:t>62.</w:t>
      </w:r>
      <w:r w:rsidRPr="00992A9B">
        <w:tab/>
        <w:t>The collective negotiations launched in 2020 to consider raising the minimum wage could not continue owing to the coronavirus disease (COVID-19) pandemic, which disrupted the meeting schedule.</w:t>
      </w:r>
    </w:p>
    <w:p w14:paraId="69EBFB4B" w14:textId="77777777" w:rsidR="000B5CDE" w:rsidRPr="00992A9B" w:rsidRDefault="000B5CDE" w:rsidP="00F47753">
      <w:pPr>
        <w:pStyle w:val="SingleTxtG"/>
        <w:rPr>
          <w:lang w:val="en-US"/>
        </w:rPr>
      </w:pPr>
      <w:r w:rsidRPr="00992A9B">
        <w:t>63.</w:t>
      </w:r>
      <w:r w:rsidRPr="00992A9B">
        <w:tab/>
        <w:t xml:space="preserve">However, to alleviate the adverse impact of the pandemic, the Ministry responsible for labour issues sent circulars to all employers requesting them to reduce working hours </w:t>
      </w:r>
      <w:r w:rsidRPr="00992A9B">
        <w:lastRenderedPageBreak/>
        <w:t>while maintaining full pay and prohibiting them from making redundancies for economic reasons.</w:t>
      </w:r>
    </w:p>
    <w:p w14:paraId="1D1449FC" w14:textId="77777777" w:rsidR="000B5CDE" w:rsidRPr="00992A9B" w:rsidRDefault="000B5CDE" w:rsidP="00F47753">
      <w:pPr>
        <w:pStyle w:val="SingleTxtG"/>
        <w:rPr>
          <w:lang w:val="en-US"/>
        </w:rPr>
      </w:pPr>
      <w:r w:rsidRPr="00992A9B">
        <w:t>64.</w:t>
      </w:r>
      <w:r w:rsidRPr="00992A9B">
        <w:tab/>
        <w:t>Wages paid to employees respect not only the principle of equal pay for equal work, but also that of equal pay for work of equal value; this is accomplished through the mechanism of job reclassification commissions. These commissions rule whenever an employee considers that he or she has suffered harm because his or her professional skills have not been taken into account in determining his or her salary.</w:t>
      </w:r>
    </w:p>
    <w:p w14:paraId="2E6704F1" w14:textId="77777777" w:rsidR="000B5CDE" w:rsidRPr="00992A9B" w:rsidRDefault="000B5CDE" w:rsidP="00122BCB">
      <w:pPr>
        <w:pStyle w:val="H23G"/>
        <w:rPr>
          <w:lang w:val="en-US"/>
        </w:rPr>
      </w:pPr>
      <w:r w:rsidRPr="00992A9B">
        <w:tab/>
      </w:r>
      <w:r w:rsidRPr="00992A9B">
        <w:tab/>
        <w:t>Reply to the issues raised in paragraph 15 of the list of issues</w:t>
      </w:r>
    </w:p>
    <w:p w14:paraId="41355476" w14:textId="77777777" w:rsidR="000B5CDE" w:rsidRPr="00992A9B" w:rsidRDefault="000B5CDE" w:rsidP="00F47753">
      <w:pPr>
        <w:pStyle w:val="SingleTxtG"/>
        <w:rPr>
          <w:lang w:val="en-US"/>
        </w:rPr>
      </w:pPr>
      <w:r w:rsidRPr="00992A9B">
        <w:t>65.</w:t>
      </w:r>
      <w:r w:rsidRPr="00992A9B">
        <w:tab/>
        <w:t>Owing to its predominant role, the informal economy is a particular focus, and the Ministry responsible for labour issues is studying ways of formalizing informal employment, in collaboration with ILO. Workers in this sector enjoy the same legal protection as workers in other sectors.</w:t>
      </w:r>
    </w:p>
    <w:p w14:paraId="35F61493" w14:textId="73DAD5FD" w:rsidR="000B5CDE" w:rsidRPr="00992A9B" w:rsidRDefault="000B5CDE" w:rsidP="00F47753">
      <w:pPr>
        <w:pStyle w:val="SingleTxtG"/>
        <w:rPr>
          <w:lang w:val="en-US"/>
        </w:rPr>
      </w:pPr>
      <w:r w:rsidRPr="00992A9B">
        <w:t>66.</w:t>
      </w:r>
      <w:r w:rsidRPr="00992A9B">
        <w:tab/>
        <w:t>The labour inspectorate, which is responsible for law enforcement, has benefited from special capacity-building efforts. The commitment of the public authorities to upholding workers</w:t>
      </w:r>
      <w:r w:rsidR="008050AE">
        <w:t>’</w:t>
      </w:r>
      <w:r w:rsidRPr="00992A9B">
        <w:t xml:space="preserve"> rights is evidenced by the recruitment of 66 labour inspectors and labour monitors, the acquisition of appropriate office equipment and the allocation of substantial financial resources.</w:t>
      </w:r>
    </w:p>
    <w:p w14:paraId="3C801FD9" w14:textId="0DD8A375" w:rsidR="000B5CDE" w:rsidRPr="00992A9B" w:rsidRDefault="00122BCB" w:rsidP="00122BCB">
      <w:pPr>
        <w:pStyle w:val="H1G"/>
        <w:rPr>
          <w:lang w:val="en-US"/>
        </w:rPr>
      </w:pPr>
      <w:r>
        <w:rPr>
          <w:lang w:val="en-US"/>
        </w:rPr>
        <w:tab/>
      </w:r>
      <w:r w:rsidR="000B5CDE" w:rsidRPr="00992A9B">
        <w:t>C.</w:t>
      </w:r>
      <w:r w:rsidR="000B5CDE" w:rsidRPr="00992A9B">
        <w:tab/>
        <w:t>Trade union rights (art. 8)</w:t>
      </w:r>
    </w:p>
    <w:p w14:paraId="1A529682" w14:textId="77777777" w:rsidR="000B5CDE" w:rsidRPr="00992A9B" w:rsidRDefault="000B5CDE" w:rsidP="00122BCB">
      <w:pPr>
        <w:pStyle w:val="H23G"/>
        <w:rPr>
          <w:lang w:val="en-US"/>
        </w:rPr>
      </w:pPr>
      <w:r w:rsidRPr="00992A9B">
        <w:tab/>
      </w:r>
      <w:r w:rsidRPr="00992A9B">
        <w:tab/>
        <w:t>Reply to the issues raised in paragraph 16 of the list of issues</w:t>
      </w:r>
    </w:p>
    <w:p w14:paraId="6D64C86C" w14:textId="77777777" w:rsidR="000B5CDE" w:rsidRPr="00992A9B" w:rsidRDefault="000B5CDE" w:rsidP="00F47753">
      <w:pPr>
        <w:pStyle w:val="SingleTxtG"/>
        <w:rPr>
          <w:lang w:val="en-US"/>
        </w:rPr>
      </w:pPr>
      <w:r w:rsidRPr="00992A9B">
        <w:t>67.</w:t>
      </w:r>
      <w:r w:rsidRPr="00992A9B">
        <w:tab/>
        <w:t>Mauritania has ratified the ILO Freedom of Association and Protection of the Right to Organise Convention, 1948 (No. 87), in 1961, and the ILO Right to Organise and Collective Bargaining Convention, 1949 (No. 98).</w:t>
      </w:r>
    </w:p>
    <w:p w14:paraId="4E69D736" w14:textId="77777777" w:rsidR="000B5CDE" w:rsidRPr="00992A9B" w:rsidRDefault="000B5CDE" w:rsidP="00F47753">
      <w:pPr>
        <w:pStyle w:val="SingleTxtG"/>
        <w:rPr>
          <w:lang w:val="en-US"/>
        </w:rPr>
      </w:pPr>
      <w:r w:rsidRPr="00992A9B">
        <w:t>68.</w:t>
      </w:r>
      <w:r w:rsidRPr="00992A9B">
        <w:tab/>
        <w:t>Freedom of association is guaranteed in the Constitution and in articles 264–291 of the Labour Code, which define a system of registration by declaration for new trade union organizations. These arrangements have facilitated the establishment of more than 47 trade union confederations and over 200 trade unions, which has not been without its problems in terms of representativeness.</w:t>
      </w:r>
    </w:p>
    <w:p w14:paraId="4D7215BF" w14:textId="77777777" w:rsidR="000B5CDE" w:rsidRPr="00992A9B" w:rsidRDefault="000B5CDE" w:rsidP="00F47753">
      <w:pPr>
        <w:pStyle w:val="SingleTxtG"/>
        <w:rPr>
          <w:lang w:val="en-US"/>
        </w:rPr>
      </w:pPr>
      <w:r w:rsidRPr="00992A9B">
        <w:t>69.</w:t>
      </w:r>
      <w:r w:rsidRPr="00992A9B">
        <w:tab/>
        <w:t>To tackle that issue, a range of legal instruments (decrees and orders) has been adopted. Implementation will be initiated as soon as the trade unions have agreed on a calendar and timetable for elections to determine their representation.</w:t>
      </w:r>
    </w:p>
    <w:p w14:paraId="2CB92624" w14:textId="7CFE6CD0" w:rsidR="000B5CDE" w:rsidRPr="00992A9B" w:rsidRDefault="00122BCB" w:rsidP="00122BCB">
      <w:pPr>
        <w:pStyle w:val="H1G"/>
        <w:rPr>
          <w:lang w:val="en-US"/>
        </w:rPr>
      </w:pPr>
      <w:r>
        <w:rPr>
          <w:lang w:val="en-US"/>
        </w:rPr>
        <w:tab/>
      </w:r>
      <w:r w:rsidR="000B5CDE" w:rsidRPr="00992A9B">
        <w:t>D.</w:t>
      </w:r>
      <w:r w:rsidR="000B5CDE" w:rsidRPr="00992A9B">
        <w:tab/>
        <w:t xml:space="preserve">Right to social security (art. 9) </w:t>
      </w:r>
    </w:p>
    <w:p w14:paraId="55F9002E" w14:textId="77777777" w:rsidR="000B5CDE" w:rsidRPr="00992A9B" w:rsidRDefault="000B5CDE" w:rsidP="00122BCB">
      <w:pPr>
        <w:pStyle w:val="H23G"/>
        <w:rPr>
          <w:lang w:val="en-US"/>
        </w:rPr>
      </w:pPr>
      <w:r w:rsidRPr="00992A9B">
        <w:tab/>
      </w:r>
      <w:r w:rsidRPr="00992A9B">
        <w:tab/>
        <w:t>Reply to the issues raised in paragraph 17 of the list of issues</w:t>
      </w:r>
    </w:p>
    <w:p w14:paraId="4C88BB07" w14:textId="77777777" w:rsidR="000B5CDE" w:rsidRPr="00992A9B" w:rsidRDefault="000B5CDE" w:rsidP="00F47753">
      <w:pPr>
        <w:pStyle w:val="SingleTxtG"/>
        <w:rPr>
          <w:lang w:val="en-US"/>
        </w:rPr>
      </w:pPr>
      <w:r w:rsidRPr="00992A9B">
        <w:t>70.</w:t>
      </w:r>
      <w:r w:rsidRPr="00992A9B">
        <w:tab/>
        <w:t>Under Act No. 67-039 of 3 February 1967, all employers who offer employment contracts in Mauritania are obliged to provide their employees with social security coverage within eight days of recruitment. The same obligation exists in respect of health insurance, which is now required for public and private sector employees in both the formal and informal sectors.</w:t>
      </w:r>
    </w:p>
    <w:p w14:paraId="347BDEF9" w14:textId="77777777" w:rsidR="000B5CDE" w:rsidRPr="00992A9B" w:rsidRDefault="000B5CDE" w:rsidP="00F47753">
      <w:pPr>
        <w:pStyle w:val="SingleTxtG"/>
        <w:rPr>
          <w:lang w:val="en-US"/>
        </w:rPr>
      </w:pPr>
      <w:r w:rsidRPr="00992A9B">
        <w:t>71.</w:t>
      </w:r>
      <w:r w:rsidRPr="00992A9B">
        <w:tab/>
        <w:t>Labour inspectors and social security inspectors are working daily to ensure that this obligation is respected.</w:t>
      </w:r>
    </w:p>
    <w:p w14:paraId="0F25D1B9" w14:textId="77777777" w:rsidR="000B5CDE" w:rsidRPr="00992A9B" w:rsidRDefault="000B5CDE" w:rsidP="00F47753">
      <w:pPr>
        <w:pStyle w:val="SingleTxtG"/>
        <w:rPr>
          <w:lang w:val="en-US"/>
        </w:rPr>
      </w:pPr>
      <w:r w:rsidRPr="00992A9B">
        <w:t>72.</w:t>
      </w:r>
      <w:r w:rsidRPr="00992A9B">
        <w:tab/>
        <w:t>The introduction of universal social security coverage is a major objective of government policy. In this context, a national social protection strategy is currently being drawn up.</w:t>
      </w:r>
    </w:p>
    <w:p w14:paraId="38EB62D3" w14:textId="77777777" w:rsidR="000B5CDE" w:rsidRPr="00992A9B" w:rsidRDefault="000B5CDE" w:rsidP="00F47753">
      <w:pPr>
        <w:pStyle w:val="SingleTxtG"/>
        <w:rPr>
          <w:lang w:val="en-US"/>
        </w:rPr>
      </w:pPr>
      <w:r w:rsidRPr="00992A9B">
        <w:t>73.</w:t>
      </w:r>
      <w:r w:rsidRPr="00992A9B">
        <w:tab/>
        <w:t xml:space="preserve">The aim of the strategy is to bring together cross-cutting actions currently being </w:t>
      </w:r>
      <w:proofErr w:type="gramStart"/>
      <w:r w:rsidRPr="00992A9B">
        <w:t>carried out</w:t>
      </w:r>
      <w:proofErr w:type="gramEnd"/>
      <w:r w:rsidRPr="00992A9B">
        <w:t xml:space="preserve"> by various government services (the National Social Security Fund, the National Health Insurance Fund, Social Assistance, the Food Security Commission, Taazour, etc.) and target populations in vulnerable situations.</w:t>
      </w:r>
    </w:p>
    <w:p w14:paraId="393B1078" w14:textId="785CE12E" w:rsidR="000B5CDE" w:rsidRPr="00992A9B" w:rsidRDefault="007D2D31" w:rsidP="007D2D31">
      <w:pPr>
        <w:pStyle w:val="H1G"/>
        <w:rPr>
          <w:lang w:val="en-US"/>
        </w:rPr>
      </w:pPr>
      <w:r>
        <w:lastRenderedPageBreak/>
        <w:tab/>
      </w:r>
      <w:r w:rsidR="000B5CDE" w:rsidRPr="00992A9B">
        <w:t>E.</w:t>
      </w:r>
      <w:r w:rsidR="000B5CDE" w:rsidRPr="00992A9B">
        <w:tab/>
        <w:t xml:space="preserve">Protection of the family and children (art. 10) </w:t>
      </w:r>
      <w:bookmarkStart w:id="5" w:name="_Hlk6322292"/>
      <w:bookmarkEnd w:id="5"/>
    </w:p>
    <w:p w14:paraId="29F3A0F0" w14:textId="77777777" w:rsidR="000B5CDE" w:rsidRPr="00992A9B" w:rsidRDefault="000B5CDE" w:rsidP="007D2D31">
      <w:pPr>
        <w:pStyle w:val="H23G"/>
        <w:rPr>
          <w:lang w:val="en-US"/>
        </w:rPr>
      </w:pPr>
      <w:r w:rsidRPr="00992A9B">
        <w:tab/>
      </w:r>
      <w:r w:rsidRPr="00992A9B">
        <w:tab/>
        <w:t>Reply to the issues raised in paragraph 18 of the list of issues</w:t>
      </w:r>
    </w:p>
    <w:p w14:paraId="0271ECC2" w14:textId="77777777" w:rsidR="000B5CDE" w:rsidRPr="00992A9B" w:rsidRDefault="000B5CDE" w:rsidP="00F47753">
      <w:pPr>
        <w:pStyle w:val="SingleTxtG"/>
        <w:rPr>
          <w:bCs/>
          <w:lang w:val="en-US"/>
        </w:rPr>
      </w:pPr>
      <w:r w:rsidRPr="00992A9B">
        <w:t>74.</w:t>
      </w:r>
      <w:r w:rsidRPr="00992A9B">
        <w:tab/>
        <w:t>The following measures have been taken to protect children:</w:t>
      </w:r>
    </w:p>
    <w:p w14:paraId="67949296" w14:textId="75371296" w:rsidR="000B5CDE" w:rsidRPr="00992A9B" w:rsidRDefault="000B5CDE" w:rsidP="007D2D31">
      <w:pPr>
        <w:pStyle w:val="Bullet1G"/>
        <w:rPr>
          <w:lang w:val="en-US"/>
        </w:rPr>
      </w:pPr>
      <w:r w:rsidRPr="00992A9B">
        <w:t>Revitalization of the National Council for Children</w:t>
      </w:r>
    </w:p>
    <w:p w14:paraId="49C8629B" w14:textId="5CD0FC60" w:rsidR="000B5CDE" w:rsidRPr="00992A9B" w:rsidRDefault="000B5CDE" w:rsidP="007D2D31">
      <w:pPr>
        <w:pStyle w:val="Bullet1G"/>
        <w:rPr>
          <w:lang w:val="en-US"/>
        </w:rPr>
      </w:pPr>
      <w:r w:rsidRPr="00992A9B">
        <w:t>General introduction of child protection tables</w:t>
      </w:r>
    </w:p>
    <w:p w14:paraId="277BA42F" w14:textId="586EE0B1" w:rsidR="000B5CDE" w:rsidRPr="00992A9B" w:rsidRDefault="000B5CDE" w:rsidP="007D2D31">
      <w:pPr>
        <w:pStyle w:val="Bullet1G"/>
        <w:rPr>
          <w:lang w:val="en-US"/>
        </w:rPr>
      </w:pPr>
      <w:r w:rsidRPr="00992A9B">
        <w:t>Establishment of two reception centres for girls who are victims of violence</w:t>
      </w:r>
    </w:p>
    <w:p w14:paraId="4D566AAD" w14:textId="30AEBCC5" w:rsidR="000B5CDE" w:rsidRPr="00992A9B" w:rsidRDefault="000B5CDE" w:rsidP="007D2D31">
      <w:pPr>
        <w:pStyle w:val="Bullet1G"/>
        <w:rPr>
          <w:bCs/>
          <w:lang w:val="en-US"/>
        </w:rPr>
      </w:pPr>
      <w:r w:rsidRPr="00992A9B">
        <w:t>Increase in the budgets of seven regional branches of the Centre for the Protection and Social Integration of Children</w:t>
      </w:r>
    </w:p>
    <w:p w14:paraId="07475341" w14:textId="77777777" w:rsidR="000B5CDE" w:rsidRPr="00992A9B" w:rsidRDefault="000B5CDE" w:rsidP="00D55CC4">
      <w:pPr>
        <w:pStyle w:val="SingleTxtG"/>
        <w:spacing w:after="240"/>
        <w:rPr>
          <w:bCs/>
          <w:lang w:val="en-US"/>
        </w:rPr>
      </w:pPr>
      <w:r w:rsidRPr="00992A9B">
        <w:t>75.</w:t>
      </w:r>
      <w:r w:rsidRPr="00992A9B">
        <w:tab/>
        <w:t>Through the efforts of the Centre, the following results have been achieved: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38"/>
        <w:gridCol w:w="855"/>
        <w:gridCol w:w="855"/>
        <w:gridCol w:w="856"/>
        <w:gridCol w:w="855"/>
        <w:gridCol w:w="855"/>
        <w:gridCol w:w="856"/>
      </w:tblGrid>
      <w:tr w:rsidR="00561664" w:rsidRPr="00561664" w14:paraId="27944C59" w14:textId="77777777" w:rsidTr="00561664">
        <w:trPr>
          <w:tblHeader/>
        </w:trPr>
        <w:tc>
          <w:tcPr>
            <w:tcW w:w="2238" w:type="dxa"/>
            <w:tcBorders>
              <w:top w:val="single" w:sz="4" w:space="0" w:color="auto"/>
              <w:bottom w:val="single" w:sz="12" w:space="0" w:color="auto"/>
            </w:tcBorders>
            <w:shd w:val="clear" w:color="auto" w:fill="auto"/>
            <w:vAlign w:val="bottom"/>
          </w:tcPr>
          <w:p w14:paraId="5651A760" w14:textId="77777777" w:rsidR="000B5CDE" w:rsidRPr="00561664" w:rsidRDefault="000B5CDE" w:rsidP="00561664">
            <w:pPr>
              <w:pStyle w:val="SingleTxtG"/>
              <w:tabs>
                <w:tab w:val="clear" w:pos="1701"/>
                <w:tab w:val="clear" w:pos="2268"/>
              </w:tabs>
              <w:suppressAutoHyphens w:val="0"/>
              <w:spacing w:before="80" w:after="80" w:line="200" w:lineRule="exact"/>
              <w:ind w:left="0" w:right="113"/>
              <w:jc w:val="left"/>
              <w:rPr>
                <w:bCs/>
                <w:i/>
                <w:sz w:val="16"/>
              </w:rPr>
            </w:pPr>
            <w:r w:rsidRPr="00561664">
              <w:rPr>
                <w:i/>
                <w:iCs/>
                <w:sz w:val="16"/>
              </w:rPr>
              <w:t>Type of integration</w:t>
            </w:r>
          </w:p>
        </w:tc>
        <w:tc>
          <w:tcPr>
            <w:tcW w:w="855" w:type="dxa"/>
            <w:tcBorders>
              <w:top w:val="single" w:sz="4" w:space="0" w:color="auto"/>
              <w:bottom w:val="single" w:sz="12" w:space="0" w:color="auto"/>
            </w:tcBorders>
            <w:shd w:val="clear" w:color="auto" w:fill="auto"/>
            <w:vAlign w:val="bottom"/>
          </w:tcPr>
          <w:p w14:paraId="158EE1A6" w14:textId="77777777" w:rsidR="000B5CDE" w:rsidRPr="00561664" w:rsidRDefault="000B5CDE" w:rsidP="00561664">
            <w:pPr>
              <w:pStyle w:val="SingleTxtG"/>
              <w:tabs>
                <w:tab w:val="clear" w:pos="1701"/>
                <w:tab w:val="clear" w:pos="2268"/>
              </w:tabs>
              <w:suppressAutoHyphens w:val="0"/>
              <w:spacing w:before="80" w:after="80" w:line="200" w:lineRule="exact"/>
              <w:ind w:left="0" w:right="113"/>
              <w:jc w:val="right"/>
              <w:rPr>
                <w:bCs/>
                <w:i/>
                <w:sz w:val="16"/>
              </w:rPr>
            </w:pPr>
            <w:r w:rsidRPr="00561664">
              <w:rPr>
                <w:i/>
                <w:iCs/>
                <w:sz w:val="16"/>
              </w:rPr>
              <w:t>2019</w:t>
            </w:r>
          </w:p>
        </w:tc>
        <w:tc>
          <w:tcPr>
            <w:tcW w:w="855" w:type="dxa"/>
            <w:tcBorders>
              <w:top w:val="single" w:sz="4" w:space="0" w:color="auto"/>
              <w:bottom w:val="single" w:sz="12" w:space="0" w:color="auto"/>
            </w:tcBorders>
            <w:shd w:val="clear" w:color="auto" w:fill="auto"/>
            <w:vAlign w:val="bottom"/>
          </w:tcPr>
          <w:p w14:paraId="257353A1" w14:textId="77777777" w:rsidR="000B5CDE" w:rsidRPr="00561664" w:rsidRDefault="000B5CDE" w:rsidP="00561664">
            <w:pPr>
              <w:pStyle w:val="SingleTxtG"/>
              <w:tabs>
                <w:tab w:val="clear" w:pos="1701"/>
                <w:tab w:val="clear" w:pos="2268"/>
              </w:tabs>
              <w:suppressAutoHyphens w:val="0"/>
              <w:spacing w:before="80" w:after="80" w:line="200" w:lineRule="exact"/>
              <w:ind w:left="0" w:right="113"/>
              <w:jc w:val="right"/>
              <w:rPr>
                <w:bCs/>
                <w:i/>
                <w:sz w:val="16"/>
              </w:rPr>
            </w:pPr>
            <w:r w:rsidRPr="00561664">
              <w:rPr>
                <w:i/>
                <w:iCs/>
                <w:sz w:val="16"/>
              </w:rPr>
              <w:t>2020</w:t>
            </w:r>
          </w:p>
        </w:tc>
        <w:tc>
          <w:tcPr>
            <w:tcW w:w="856" w:type="dxa"/>
            <w:tcBorders>
              <w:top w:val="single" w:sz="4" w:space="0" w:color="auto"/>
              <w:bottom w:val="single" w:sz="12" w:space="0" w:color="auto"/>
            </w:tcBorders>
            <w:shd w:val="clear" w:color="auto" w:fill="auto"/>
            <w:vAlign w:val="bottom"/>
          </w:tcPr>
          <w:p w14:paraId="545C156A" w14:textId="77777777" w:rsidR="000B5CDE" w:rsidRPr="00561664" w:rsidRDefault="000B5CDE" w:rsidP="00561664">
            <w:pPr>
              <w:pStyle w:val="SingleTxtG"/>
              <w:tabs>
                <w:tab w:val="clear" w:pos="1701"/>
                <w:tab w:val="clear" w:pos="2268"/>
              </w:tabs>
              <w:suppressAutoHyphens w:val="0"/>
              <w:spacing w:before="80" w:after="80" w:line="200" w:lineRule="exact"/>
              <w:ind w:left="0" w:right="113"/>
              <w:jc w:val="right"/>
              <w:rPr>
                <w:bCs/>
                <w:i/>
                <w:sz w:val="16"/>
              </w:rPr>
            </w:pPr>
            <w:r w:rsidRPr="00561664">
              <w:rPr>
                <w:i/>
                <w:iCs/>
                <w:sz w:val="16"/>
              </w:rPr>
              <w:t>2021</w:t>
            </w:r>
          </w:p>
        </w:tc>
        <w:tc>
          <w:tcPr>
            <w:tcW w:w="855" w:type="dxa"/>
            <w:tcBorders>
              <w:top w:val="single" w:sz="4" w:space="0" w:color="auto"/>
              <w:bottom w:val="single" w:sz="12" w:space="0" w:color="auto"/>
            </w:tcBorders>
            <w:shd w:val="clear" w:color="auto" w:fill="auto"/>
            <w:vAlign w:val="bottom"/>
          </w:tcPr>
          <w:p w14:paraId="6BAE59BF" w14:textId="77777777" w:rsidR="000B5CDE" w:rsidRPr="00561664" w:rsidRDefault="000B5CDE" w:rsidP="00561664">
            <w:pPr>
              <w:pStyle w:val="SingleTxtG"/>
              <w:tabs>
                <w:tab w:val="clear" w:pos="1701"/>
                <w:tab w:val="clear" w:pos="2268"/>
              </w:tabs>
              <w:suppressAutoHyphens w:val="0"/>
              <w:spacing w:before="80" w:after="80" w:line="200" w:lineRule="exact"/>
              <w:ind w:left="0" w:right="113"/>
              <w:jc w:val="right"/>
              <w:rPr>
                <w:bCs/>
                <w:i/>
                <w:sz w:val="16"/>
              </w:rPr>
            </w:pPr>
            <w:r w:rsidRPr="00561664">
              <w:rPr>
                <w:i/>
                <w:iCs/>
                <w:sz w:val="16"/>
              </w:rPr>
              <w:t>2022</w:t>
            </w:r>
          </w:p>
        </w:tc>
        <w:tc>
          <w:tcPr>
            <w:tcW w:w="855" w:type="dxa"/>
            <w:tcBorders>
              <w:top w:val="single" w:sz="4" w:space="0" w:color="auto"/>
              <w:bottom w:val="single" w:sz="12" w:space="0" w:color="auto"/>
            </w:tcBorders>
            <w:shd w:val="clear" w:color="auto" w:fill="auto"/>
            <w:vAlign w:val="bottom"/>
          </w:tcPr>
          <w:p w14:paraId="1AB5F737" w14:textId="77777777" w:rsidR="000B5CDE" w:rsidRPr="00561664" w:rsidRDefault="000B5CDE" w:rsidP="00561664">
            <w:pPr>
              <w:pStyle w:val="SingleTxtG"/>
              <w:tabs>
                <w:tab w:val="clear" w:pos="1701"/>
                <w:tab w:val="clear" w:pos="2268"/>
              </w:tabs>
              <w:suppressAutoHyphens w:val="0"/>
              <w:spacing w:before="80" w:after="80" w:line="200" w:lineRule="exact"/>
              <w:ind w:left="0" w:right="113"/>
              <w:jc w:val="right"/>
              <w:rPr>
                <w:bCs/>
                <w:i/>
                <w:sz w:val="16"/>
              </w:rPr>
            </w:pPr>
            <w:r w:rsidRPr="00561664">
              <w:rPr>
                <w:i/>
                <w:iCs/>
                <w:sz w:val="16"/>
              </w:rPr>
              <w:t>2023</w:t>
            </w:r>
          </w:p>
        </w:tc>
        <w:tc>
          <w:tcPr>
            <w:tcW w:w="856" w:type="dxa"/>
            <w:tcBorders>
              <w:top w:val="single" w:sz="4" w:space="0" w:color="auto"/>
              <w:bottom w:val="single" w:sz="12" w:space="0" w:color="auto"/>
            </w:tcBorders>
            <w:shd w:val="clear" w:color="auto" w:fill="auto"/>
            <w:vAlign w:val="bottom"/>
          </w:tcPr>
          <w:p w14:paraId="51D9B226" w14:textId="77777777" w:rsidR="000B5CDE" w:rsidRPr="00561664" w:rsidRDefault="000B5CDE" w:rsidP="00561664">
            <w:pPr>
              <w:pStyle w:val="SingleTxtG"/>
              <w:tabs>
                <w:tab w:val="clear" w:pos="1701"/>
                <w:tab w:val="clear" w:pos="2268"/>
              </w:tabs>
              <w:suppressAutoHyphens w:val="0"/>
              <w:spacing w:before="80" w:after="80" w:line="200" w:lineRule="exact"/>
              <w:ind w:left="0" w:right="113"/>
              <w:jc w:val="right"/>
              <w:rPr>
                <w:i/>
                <w:sz w:val="16"/>
              </w:rPr>
            </w:pPr>
            <w:r w:rsidRPr="00561664">
              <w:rPr>
                <w:bCs/>
                <w:i/>
                <w:iCs/>
                <w:sz w:val="16"/>
              </w:rPr>
              <w:t>Total</w:t>
            </w:r>
          </w:p>
        </w:tc>
      </w:tr>
      <w:tr w:rsidR="00561664" w:rsidRPr="00561664" w14:paraId="56D4B603" w14:textId="77777777" w:rsidTr="00561664">
        <w:tc>
          <w:tcPr>
            <w:tcW w:w="2238" w:type="dxa"/>
            <w:tcBorders>
              <w:top w:val="single" w:sz="12" w:space="0" w:color="auto"/>
            </w:tcBorders>
            <w:shd w:val="clear" w:color="auto" w:fill="auto"/>
          </w:tcPr>
          <w:p w14:paraId="7F41C56D"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left"/>
              <w:rPr>
                <w:bCs/>
                <w:sz w:val="18"/>
              </w:rPr>
            </w:pPr>
            <w:r w:rsidRPr="00561664">
              <w:rPr>
                <w:sz w:val="18"/>
              </w:rPr>
              <w:t>Educational integration</w:t>
            </w:r>
          </w:p>
        </w:tc>
        <w:tc>
          <w:tcPr>
            <w:tcW w:w="855" w:type="dxa"/>
            <w:tcBorders>
              <w:top w:val="single" w:sz="12" w:space="0" w:color="auto"/>
            </w:tcBorders>
            <w:shd w:val="clear" w:color="auto" w:fill="auto"/>
            <w:vAlign w:val="bottom"/>
          </w:tcPr>
          <w:p w14:paraId="193FD14C"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315</w:t>
            </w:r>
          </w:p>
        </w:tc>
        <w:tc>
          <w:tcPr>
            <w:tcW w:w="855" w:type="dxa"/>
            <w:tcBorders>
              <w:top w:val="single" w:sz="12" w:space="0" w:color="auto"/>
            </w:tcBorders>
            <w:shd w:val="clear" w:color="auto" w:fill="auto"/>
            <w:vAlign w:val="bottom"/>
          </w:tcPr>
          <w:p w14:paraId="404D1D43"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223</w:t>
            </w:r>
          </w:p>
        </w:tc>
        <w:tc>
          <w:tcPr>
            <w:tcW w:w="856" w:type="dxa"/>
            <w:tcBorders>
              <w:top w:val="single" w:sz="12" w:space="0" w:color="auto"/>
            </w:tcBorders>
            <w:shd w:val="clear" w:color="auto" w:fill="auto"/>
            <w:vAlign w:val="bottom"/>
          </w:tcPr>
          <w:p w14:paraId="69686635"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212</w:t>
            </w:r>
          </w:p>
        </w:tc>
        <w:tc>
          <w:tcPr>
            <w:tcW w:w="855" w:type="dxa"/>
            <w:tcBorders>
              <w:top w:val="single" w:sz="12" w:space="0" w:color="auto"/>
            </w:tcBorders>
            <w:shd w:val="clear" w:color="auto" w:fill="auto"/>
            <w:vAlign w:val="bottom"/>
          </w:tcPr>
          <w:p w14:paraId="6525FB68"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575</w:t>
            </w:r>
          </w:p>
        </w:tc>
        <w:tc>
          <w:tcPr>
            <w:tcW w:w="855" w:type="dxa"/>
            <w:tcBorders>
              <w:top w:val="single" w:sz="12" w:space="0" w:color="auto"/>
            </w:tcBorders>
            <w:shd w:val="clear" w:color="auto" w:fill="auto"/>
            <w:vAlign w:val="bottom"/>
          </w:tcPr>
          <w:p w14:paraId="7D2AC428"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1 355</w:t>
            </w:r>
          </w:p>
        </w:tc>
        <w:tc>
          <w:tcPr>
            <w:tcW w:w="856" w:type="dxa"/>
            <w:tcBorders>
              <w:top w:val="single" w:sz="12" w:space="0" w:color="auto"/>
            </w:tcBorders>
            <w:shd w:val="clear" w:color="auto" w:fill="auto"/>
            <w:vAlign w:val="bottom"/>
          </w:tcPr>
          <w:p w14:paraId="6CB42AA4" w14:textId="77777777" w:rsidR="000B5CDE" w:rsidRPr="00380F52" w:rsidRDefault="000B5CDE" w:rsidP="00561664">
            <w:pPr>
              <w:pStyle w:val="SingleTxtG"/>
              <w:tabs>
                <w:tab w:val="clear" w:pos="1701"/>
                <w:tab w:val="clear" w:pos="2268"/>
              </w:tabs>
              <w:suppressAutoHyphens w:val="0"/>
              <w:spacing w:before="40" w:after="40" w:line="220" w:lineRule="exact"/>
              <w:ind w:left="0" w:right="113"/>
              <w:jc w:val="right"/>
              <w:rPr>
                <w:sz w:val="18"/>
              </w:rPr>
            </w:pPr>
            <w:r w:rsidRPr="00380F52">
              <w:rPr>
                <w:sz w:val="18"/>
              </w:rPr>
              <w:t>2 680</w:t>
            </w:r>
          </w:p>
        </w:tc>
      </w:tr>
      <w:tr w:rsidR="00561664" w:rsidRPr="00561664" w14:paraId="1A0109ED" w14:textId="77777777" w:rsidTr="00561664">
        <w:tc>
          <w:tcPr>
            <w:tcW w:w="2238" w:type="dxa"/>
            <w:shd w:val="clear" w:color="auto" w:fill="auto"/>
          </w:tcPr>
          <w:p w14:paraId="3957623D"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left"/>
              <w:rPr>
                <w:bCs/>
                <w:sz w:val="18"/>
              </w:rPr>
            </w:pPr>
            <w:r w:rsidRPr="00561664">
              <w:rPr>
                <w:sz w:val="18"/>
              </w:rPr>
              <w:t>Vocational integration</w:t>
            </w:r>
          </w:p>
        </w:tc>
        <w:tc>
          <w:tcPr>
            <w:tcW w:w="855" w:type="dxa"/>
            <w:shd w:val="clear" w:color="auto" w:fill="auto"/>
            <w:vAlign w:val="bottom"/>
          </w:tcPr>
          <w:p w14:paraId="68608D22"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76</w:t>
            </w:r>
          </w:p>
        </w:tc>
        <w:tc>
          <w:tcPr>
            <w:tcW w:w="855" w:type="dxa"/>
            <w:shd w:val="clear" w:color="auto" w:fill="auto"/>
            <w:vAlign w:val="bottom"/>
          </w:tcPr>
          <w:p w14:paraId="5B133C6C"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74</w:t>
            </w:r>
          </w:p>
        </w:tc>
        <w:tc>
          <w:tcPr>
            <w:tcW w:w="856" w:type="dxa"/>
            <w:shd w:val="clear" w:color="auto" w:fill="auto"/>
            <w:vAlign w:val="bottom"/>
          </w:tcPr>
          <w:p w14:paraId="0C01EABB"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85</w:t>
            </w:r>
          </w:p>
        </w:tc>
        <w:tc>
          <w:tcPr>
            <w:tcW w:w="855" w:type="dxa"/>
            <w:shd w:val="clear" w:color="auto" w:fill="auto"/>
            <w:vAlign w:val="bottom"/>
          </w:tcPr>
          <w:p w14:paraId="4096C633"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180</w:t>
            </w:r>
          </w:p>
        </w:tc>
        <w:tc>
          <w:tcPr>
            <w:tcW w:w="855" w:type="dxa"/>
            <w:shd w:val="clear" w:color="auto" w:fill="auto"/>
            <w:vAlign w:val="bottom"/>
          </w:tcPr>
          <w:p w14:paraId="733E6A31"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345</w:t>
            </w:r>
          </w:p>
        </w:tc>
        <w:tc>
          <w:tcPr>
            <w:tcW w:w="856" w:type="dxa"/>
            <w:shd w:val="clear" w:color="auto" w:fill="auto"/>
            <w:vAlign w:val="bottom"/>
          </w:tcPr>
          <w:p w14:paraId="3C7CC792" w14:textId="77777777" w:rsidR="000B5CDE" w:rsidRPr="00380F52" w:rsidRDefault="000B5CDE" w:rsidP="00561664">
            <w:pPr>
              <w:pStyle w:val="SingleTxtG"/>
              <w:tabs>
                <w:tab w:val="clear" w:pos="1701"/>
                <w:tab w:val="clear" w:pos="2268"/>
              </w:tabs>
              <w:suppressAutoHyphens w:val="0"/>
              <w:spacing w:before="40" w:after="40" w:line="220" w:lineRule="exact"/>
              <w:ind w:left="0" w:right="113"/>
              <w:jc w:val="right"/>
              <w:rPr>
                <w:sz w:val="18"/>
              </w:rPr>
            </w:pPr>
            <w:r w:rsidRPr="00380F52">
              <w:rPr>
                <w:sz w:val="18"/>
              </w:rPr>
              <w:t>760</w:t>
            </w:r>
          </w:p>
        </w:tc>
      </w:tr>
      <w:tr w:rsidR="00561664" w:rsidRPr="00561664" w14:paraId="1376C804" w14:textId="77777777" w:rsidTr="00561664">
        <w:tc>
          <w:tcPr>
            <w:tcW w:w="2238" w:type="dxa"/>
            <w:shd w:val="clear" w:color="auto" w:fill="auto"/>
          </w:tcPr>
          <w:p w14:paraId="34E6936D"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left"/>
              <w:rPr>
                <w:bCs/>
                <w:sz w:val="18"/>
              </w:rPr>
            </w:pPr>
            <w:r w:rsidRPr="00561664">
              <w:rPr>
                <w:sz w:val="18"/>
              </w:rPr>
              <w:t>Family integration</w:t>
            </w:r>
          </w:p>
        </w:tc>
        <w:tc>
          <w:tcPr>
            <w:tcW w:w="855" w:type="dxa"/>
            <w:shd w:val="clear" w:color="auto" w:fill="auto"/>
            <w:vAlign w:val="bottom"/>
          </w:tcPr>
          <w:p w14:paraId="0CB29DA2"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22</w:t>
            </w:r>
          </w:p>
        </w:tc>
        <w:tc>
          <w:tcPr>
            <w:tcW w:w="855" w:type="dxa"/>
            <w:shd w:val="clear" w:color="auto" w:fill="auto"/>
            <w:vAlign w:val="bottom"/>
          </w:tcPr>
          <w:p w14:paraId="3B560BF2"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17</w:t>
            </w:r>
          </w:p>
        </w:tc>
        <w:tc>
          <w:tcPr>
            <w:tcW w:w="856" w:type="dxa"/>
            <w:shd w:val="clear" w:color="auto" w:fill="auto"/>
            <w:vAlign w:val="bottom"/>
          </w:tcPr>
          <w:p w14:paraId="6F151050"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33</w:t>
            </w:r>
          </w:p>
        </w:tc>
        <w:tc>
          <w:tcPr>
            <w:tcW w:w="855" w:type="dxa"/>
            <w:shd w:val="clear" w:color="auto" w:fill="auto"/>
            <w:vAlign w:val="bottom"/>
          </w:tcPr>
          <w:p w14:paraId="161FBF42"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54</w:t>
            </w:r>
          </w:p>
        </w:tc>
        <w:tc>
          <w:tcPr>
            <w:tcW w:w="855" w:type="dxa"/>
            <w:shd w:val="clear" w:color="auto" w:fill="auto"/>
            <w:vAlign w:val="bottom"/>
          </w:tcPr>
          <w:p w14:paraId="5AF8F38F"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136</w:t>
            </w:r>
          </w:p>
        </w:tc>
        <w:tc>
          <w:tcPr>
            <w:tcW w:w="856" w:type="dxa"/>
            <w:shd w:val="clear" w:color="auto" w:fill="auto"/>
            <w:vAlign w:val="bottom"/>
          </w:tcPr>
          <w:p w14:paraId="1BA491B7" w14:textId="77777777" w:rsidR="000B5CDE" w:rsidRPr="00380F52" w:rsidRDefault="000B5CDE" w:rsidP="00561664">
            <w:pPr>
              <w:pStyle w:val="SingleTxtG"/>
              <w:tabs>
                <w:tab w:val="clear" w:pos="1701"/>
                <w:tab w:val="clear" w:pos="2268"/>
              </w:tabs>
              <w:suppressAutoHyphens w:val="0"/>
              <w:spacing w:before="40" w:after="40" w:line="220" w:lineRule="exact"/>
              <w:ind w:left="0" w:right="113"/>
              <w:jc w:val="right"/>
              <w:rPr>
                <w:sz w:val="18"/>
              </w:rPr>
            </w:pPr>
            <w:r w:rsidRPr="00380F52">
              <w:rPr>
                <w:sz w:val="18"/>
              </w:rPr>
              <w:t>262</w:t>
            </w:r>
          </w:p>
        </w:tc>
      </w:tr>
      <w:tr w:rsidR="00561664" w:rsidRPr="00561664" w14:paraId="0CED03B9" w14:textId="77777777" w:rsidTr="006050DE">
        <w:tc>
          <w:tcPr>
            <w:tcW w:w="2238" w:type="dxa"/>
            <w:tcBorders>
              <w:bottom w:val="single" w:sz="4" w:space="0" w:color="auto"/>
            </w:tcBorders>
            <w:shd w:val="clear" w:color="auto" w:fill="auto"/>
          </w:tcPr>
          <w:p w14:paraId="4EE3ED36"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left"/>
              <w:rPr>
                <w:bCs/>
                <w:sz w:val="18"/>
                <w:lang w:val="en-US"/>
              </w:rPr>
            </w:pPr>
            <w:r w:rsidRPr="00561664">
              <w:rPr>
                <w:sz w:val="18"/>
              </w:rPr>
              <w:t>Care of children without family support</w:t>
            </w:r>
          </w:p>
        </w:tc>
        <w:tc>
          <w:tcPr>
            <w:tcW w:w="855" w:type="dxa"/>
            <w:tcBorders>
              <w:bottom w:val="single" w:sz="4" w:space="0" w:color="auto"/>
            </w:tcBorders>
            <w:shd w:val="clear" w:color="auto" w:fill="auto"/>
            <w:vAlign w:val="bottom"/>
          </w:tcPr>
          <w:p w14:paraId="19100D75"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19</w:t>
            </w:r>
          </w:p>
        </w:tc>
        <w:tc>
          <w:tcPr>
            <w:tcW w:w="855" w:type="dxa"/>
            <w:tcBorders>
              <w:bottom w:val="single" w:sz="4" w:space="0" w:color="auto"/>
            </w:tcBorders>
            <w:shd w:val="clear" w:color="auto" w:fill="auto"/>
            <w:vAlign w:val="bottom"/>
          </w:tcPr>
          <w:p w14:paraId="17E0F701"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23</w:t>
            </w:r>
          </w:p>
        </w:tc>
        <w:tc>
          <w:tcPr>
            <w:tcW w:w="856" w:type="dxa"/>
            <w:tcBorders>
              <w:bottom w:val="single" w:sz="4" w:space="0" w:color="auto"/>
            </w:tcBorders>
            <w:shd w:val="clear" w:color="auto" w:fill="auto"/>
            <w:vAlign w:val="bottom"/>
          </w:tcPr>
          <w:p w14:paraId="2C70AF5D"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36</w:t>
            </w:r>
          </w:p>
        </w:tc>
        <w:tc>
          <w:tcPr>
            <w:tcW w:w="855" w:type="dxa"/>
            <w:tcBorders>
              <w:bottom w:val="single" w:sz="4" w:space="0" w:color="auto"/>
            </w:tcBorders>
            <w:shd w:val="clear" w:color="auto" w:fill="auto"/>
            <w:vAlign w:val="bottom"/>
          </w:tcPr>
          <w:p w14:paraId="7A045FFE"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24</w:t>
            </w:r>
          </w:p>
        </w:tc>
        <w:tc>
          <w:tcPr>
            <w:tcW w:w="855" w:type="dxa"/>
            <w:tcBorders>
              <w:bottom w:val="single" w:sz="4" w:space="0" w:color="auto"/>
            </w:tcBorders>
            <w:shd w:val="clear" w:color="auto" w:fill="auto"/>
            <w:vAlign w:val="bottom"/>
          </w:tcPr>
          <w:p w14:paraId="14E391FB"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Cs/>
                <w:sz w:val="18"/>
              </w:rPr>
            </w:pPr>
            <w:r w:rsidRPr="00561664">
              <w:rPr>
                <w:sz w:val="18"/>
              </w:rPr>
              <w:t>18</w:t>
            </w:r>
          </w:p>
        </w:tc>
        <w:tc>
          <w:tcPr>
            <w:tcW w:w="856" w:type="dxa"/>
            <w:tcBorders>
              <w:bottom w:val="single" w:sz="4" w:space="0" w:color="auto"/>
            </w:tcBorders>
            <w:shd w:val="clear" w:color="auto" w:fill="auto"/>
            <w:vAlign w:val="bottom"/>
          </w:tcPr>
          <w:p w14:paraId="796403A7" w14:textId="77777777" w:rsidR="000B5CDE" w:rsidRPr="00380F52" w:rsidRDefault="000B5CDE" w:rsidP="00561664">
            <w:pPr>
              <w:pStyle w:val="SingleTxtG"/>
              <w:tabs>
                <w:tab w:val="clear" w:pos="1701"/>
                <w:tab w:val="clear" w:pos="2268"/>
              </w:tabs>
              <w:suppressAutoHyphens w:val="0"/>
              <w:spacing w:before="40" w:after="40" w:line="220" w:lineRule="exact"/>
              <w:ind w:left="0" w:right="113"/>
              <w:jc w:val="right"/>
              <w:rPr>
                <w:sz w:val="18"/>
              </w:rPr>
            </w:pPr>
            <w:r w:rsidRPr="00380F52">
              <w:rPr>
                <w:sz w:val="18"/>
              </w:rPr>
              <w:t>120</w:t>
            </w:r>
          </w:p>
        </w:tc>
      </w:tr>
      <w:tr w:rsidR="00561664" w:rsidRPr="006050DE" w14:paraId="742C4DE2" w14:textId="77777777" w:rsidTr="006050DE">
        <w:tc>
          <w:tcPr>
            <w:tcW w:w="2238" w:type="dxa"/>
            <w:tcBorders>
              <w:top w:val="single" w:sz="4" w:space="0" w:color="auto"/>
              <w:bottom w:val="single" w:sz="12" w:space="0" w:color="auto"/>
            </w:tcBorders>
            <w:shd w:val="clear" w:color="auto" w:fill="auto"/>
          </w:tcPr>
          <w:p w14:paraId="7BB492F7" w14:textId="77777777" w:rsidR="000B5CDE" w:rsidRPr="006050DE" w:rsidRDefault="000B5CDE" w:rsidP="006050DE">
            <w:pPr>
              <w:pStyle w:val="SingleTxtG"/>
              <w:tabs>
                <w:tab w:val="clear" w:pos="1701"/>
                <w:tab w:val="clear" w:pos="2268"/>
              </w:tabs>
              <w:suppressAutoHyphens w:val="0"/>
              <w:spacing w:before="80" w:after="80" w:line="220" w:lineRule="exact"/>
              <w:ind w:left="0" w:right="113"/>
              <w:jc w:val="right"/>
              <w:rPr>
                <w:b/>
                <w:sz w:val="18"/>
              </w:rPr>
            </w:pPr>
            <w:r w:rsidRPr="006050DE">
              <w:rPr>
                <w:b/>
                <w:sz w:val="18"/>
              </w:rPr>
              <w:t xml:space="preserve">Total </w:t>
            </w:r>
          </w:p>
        </w:tc>
        <w:tc>
          <w:tcPr>
            <w:tcW w:w="855" w:type="dxa"/>
            <w:tcBorders>
              <w:top w:val="single" w:sz="4" w:space="0" w:color="auto"/>
              <w:bottom w:val="single" w:sz="12" w:space="0" w:color="auto"/>
            </w:tcBorders>
            <w:shd w:val="clear" w:color="auto" w:fill="auto"/>
            <w:vAlign w:val="bottom"/>
          </w:tcPr>
          <w:p w14:paraId="597707DD" w14:textId="77777777" w:rsidR="000B5CDE" w:rsidRPr="006050DE" w:rsidRDefault="000B5CDE" w:rsidP="006050DE">
            <w:pPr>
              <w:pStyle w:val="SingleTxtG"/>
              <w:tabs>
                <w:tab w:val="clear" w:pos="1701"/>
                <w:tab w:val="clear" w:pos="2268"/>
              </w:tabs>
              <w:suppressAutoHyphens w:val="0"/>
              <w:spacing w:before="80" w:after="80" w:line="220" w:lineRule="exact"/>
              <w:ind w:left="0" w:right="113"/>
              <w:jc w:val="right"/>
              <w:rPr>
                <w:b/>
                <w:sz w:val="18"/>
                <w:lang w:val="fr-FR"/>
              </w:rPr>
            </w:pPr>
          </w:p>
        </w:tc>
        <w:tc>
          <w:tcPr>
            <w:tcW w:w="855" w:type="dxa"/>
            <w:tcBorders>
              <w:top w:val="single" w:sz="4" w:space="0" w:color="auto"/>
              <w:bottom w:val="single" w:sz="12" w:space="0" w:color="auto"/>
            </w:tcBorders>
            <w:shd w:val="clear" w:color="auto" w:fill="auto"/>
            <w:vAlign w:val="bottom"/>
          </w:tcPr>
          <w:p w14:paraId="4675861F" w14:textId="77777777" w:rsidR="000B5CDE" w:rsidRPr="006050DE" w:rsidRDefault="000B5CDE" w:rsidP="006050DE">
            <w:pPr>
              <w:pStyle w:val="SingleTxtG"/>
              <w:tabs>
                <w:tab w:val="clear" w:pos="1701"/>
                <w:tab w:val="clear" w:pos="2268"/>
              </w:tabs>
              <w:suppressAutoHyphens w:val="0"/>
              <w:spacing w:before="80" w:after="80" w:line="220" w:lineRule="exact"/>
              <w:ind w:left="0" w:right="113"/>
              <w:jc w:val="right"/>
              <w:rPr>
                <w:b/>
                <w:sz w:val="18"/>
                <w:lang w:val="fr-FR"/>
              </w:rPr>
            </w:pPr>
          </w:p>
        </w:tc>
        <w:tc>
          <w:tcPr>
            <w:tcW w:w="856" w:type="dxa"/>
            <w:tcBorders>
              <w:top w:val="single" w:sz="4" w:space="0" w:color="auto"/>
              <w:bottom w:val="single" w:sz="12" w:space="0" w:color="auto"/>
            </w:tcBorders>
            <w:shd w:val="clear" w:color="auto" w:fill="auto"/>
            <w:vAlign w:val="bottom"/>
          </w:tcPr>
          <w:p w14:paraId="25A72F20" w14:textId="77777777" w:rsidR="000B5CDE" w:rsidRPr="006050DE" w:rsidRDefault="000B5CDE" w:rsidP="006050DE">
            <w:pPr>
              <w:pStyle w:val="SingleTxtG"/>
              <w:tabs>
                <w:tab w:val="clear" w:pos="1701"/>
                <w:tab w:val="clear" w:pos="2268"/>
              </w:tabs>
              <w:suppressAutoHyphens w:val="0"/>
              <w:spacing w:before="80" w:after="80" w:line="220" w:lineRule="exact"/>
              <w:ind w:left="0" w:right="113"/>
              <w:jc w:val="right"/>
              <w:rPr>
                <w:b/>
                <w:sz w:val="18"/>
                <w:lang w:val="fr-FR"/>
              </w:rPr>
            </w:pPr>
          </w:p>
        </w:tc>
        <w:tc>
          <w:tcPr>
            <w:tcW w:w="855" w:type="dxa"/>
            <w:tcBorders>
              <w:top w:val="single" w:sz="4" w:space="0" w:color="auto"/>
              <w:bottom w:val="single" w:sz="12" w:space="0" w:color="auto"/>
            </w:tcBorders>
            <w:shd w:val="clear" w:color="auto" w:fill="auto"/>
            <w:vAlign w:val="bottom"/>
          </w:tcPr>
          <w:p w14:paraId="19C7ACA1" w14:textId="77777777" w:rsidR="000B5CDE" w:rsidRPr="006050DE" w:rsidRDefault="000B5CDE" w:rsidP="006050DE">
            <w:pPr>
              <w:pStyle w:val="SingleTxtG"/>
              <w:tabs>
                <w:tab w:val="clear" w:pos="1701"/>
                <w:tab w:val="clear" w:pos="2268"/>
              </w:tabs>
              <w:suppressAutoHyphens w:val="0"/>
              <w:spacing w:before="80" w:after="80" w:line="220" w:lineRule="exact"/>
              <w:ind w:left="0" w:right="113"/>
              <w:jc w:val="right"/>
              <w:rPr>
                <w:b/>
                <w:sz w:val="18"/>
              </w:rPr>
            </w:pPr>
            <w:r w:rsidRPr="006050DE">
              <w:rPr>
                <w:b/>
                <w:sz w:val="18"/>
              </w:rPr>
              <w:t>832</w:t>
            </w:r>
          </w:p>
        </w:tc>
        <w:tc>
          <w:tcPr>
            <w:tcW w:w="855" w:type="dxa"/>
            <w:tcBorders>
              <w:top w:val="single" w:sz="4" w:space="0" w:color="auto"/>
              <w:bottom w:val="single" w:sz="12" w:space="0" w:color="auto"/>
            </w:tcBorders>
            <w:shd w:val="clear" w:color="auto" w:fill="auto"/>
            <w:vAlign w:val="bottom"/>
          </w:tcPr>
          <w:p w14:paraId="1C365357" w14:textId="77777777" w:rsidR="000B5CDE" w:rsidRPr="006050DE" w:rsidRDefault="000B5CDE" w:rsidP="006050DE">
            <w:pPr>
              <w:pStyle w:val="SingleTxtG"/>
              <w:tabs>
                <w:tab w:val="clear" w:pos="1701"/>
                <w:tab w:val="clear" w:pos="2268"/>
              </w:tabs>
              <w:suppressAutoHyphens w:val="0"/>
              <w:spacing w:before="80" w:after="80" w:line="220" w:lineRule="exact"/>
              <w:ind w:left="0" w:right="113"/>
              <w:jc w:val="right"/>
              <w:rPr>
                <w:b/>
                <w:sz w:val="18"/>
              </w:rPr>
            </w:pPr>
            <w:r w:rsidRPr="006050DE">
              <w:rPr>
                <w:b/>
                <w:sz w:val="18"/>
              </w:rPr>
              <w:t>1 855</w:t>
            </w:r>
          </w:p>
        </w:tc>
        <w:tc>
          <w:tcPr>
            <w:tcW w:w="856" w:type="dxa"/>
            <w:tcBorders>
              <w:top w:val="single" w:sz="4" w:space="0" w:color="auto"/>
              <w:bottom w:val="single" w:sz="12" w:space="0" w:color="auto"/>
            </w:tcBorders>
            <w:shd w:val="clear" w:color="auto" w:fill="auto"/>
            <w:vAlign w:val="bottom"/>
          </w:tcPr>
          <w:p w14:paraId="6B27E295" w14:textId="77777777" w:rsidR="000B5CDE" w:rsidRPr="006050DE" w:rsidRDefault="000B5CDE" w:rsidP="006050DE">
            <w:pPr>
              <w:pStyle w:val="SingleTxtG"/>
              <w:tabs>
                <w:tab w:val="clear" w:pos="1701"/>
                <w:tab w:val="clear" w:pos="2268"/>
              </w:tabs>
              <w:suppressAutoHyphens w:val="0"/>
              <w:spacing w:before="80" w:after="80" w:line="220" w:lineRule="exact"/>
              <w:ind w:left="0" w:right="113"/>
              <w:jc w:val="right"/>
              <w:rPr>
                <w:b/>
                <w:sz w:val="18"/>
              </w:rPr>
            </w:pPr>
            <w:r w:rsidRPr="006050DE">
              <w:rPr>
                <w:b/>
                <w:sz w:val="18"/>
              </w:rPr>
              <w:t>3 822</w:t>
            </w:r>
          </w:p>
        </w:tc>
      </w:tr>
    </w:tbl>
    <w:p w14:paraId="62B4DCB2" w14:textId="77777777" w:rsidR="000B5CDE" w:rsidRPr="00992A9B" w:rsidRDefault="000B5CDE" w:rsidP="00A124CD">
      <w:pPr>
        <w:pStyle w:val="H23G"/>
        <w:rPr>
          <w:lang w:val="en-US"/>
        </w:rPr>
      </w:pPr>
      <w:r w:rsidRPr="00992A9B">
        <w:tab/>
      </w:r>
      <w:r w:rsidRPr="00992A9B">
        <w:tab/>
        <w:t>Reply to the issues raised in paragraph 19 of the list of issues</w:t>
      </w:r>
    </w:p>
    <w:p w14:paraId="4F8393C5" w14:textId="28E45737" w:rsidR="000B5CDE" w:rsidRPr="00992A9B" w:rsidRDefault="000B5CDE" w:rsidP="00F47753">
      <w:pPr>
        <w:pStyle w:val="SingleTxtG"/>
        <w:rPr>
          <w:lang w:val="en-US"/>
        </w:rPr>
      </w:pPr>
      <w:r w:rsidRPr="00992A9B">
        <w:t>76.</w:t>
      </w:r>
      <w:r w:rsidRPr="00992A9B">
        <w:tab/>
        <w:t xml:space="preserve">Act No. 2022-023 of 17 August 2022, the Framework Act on the National Education System, expressly prohibits corporal punishment in schools. Article 12 states that </w:t>
      </w:r>
      <w:r w:rsidR="006D23C5">
        <w:t>“</w:t>
      </w:r>
      <w:r w:rsidRPr="00992A9B">
        <w:t>corporal punishment and all forms of emotional abuse are prohibited in schools. The perpetrators of such acts are liable to administrative penalties, without prejudice to any legal proceedings.</w:t>
      </w:r>
      <w:r w:rsidR="006D23C5">
        <w:t>”</w:t>
      </w:r>
    </w:p>
    <w:p w14:paraId="05C8D71E" w14:textId="77777777" w:rsidR="000B5CDE" w:rsidRPr="00992A9B" w:rsidRDefault="000B5CDE" w:rsidP="00F47753">
      <w:pPr>
        <w:pStyle w:val="SingleTxtG"/>
        <w:rPr>
          <w:lang w:val="en-US"/>
        </w:rPr>
      </w:pPr>
      <w:r w:rsidRPr="00992A9B">
        <w:t>77.</w:t>
      </w:r>
      <w:r w:rsidRPr="00992A9B">
        <w:tab/>
        <w:t xml:space="preserve">Articles 79 and 80 of the General Child Protection Code clearly prohibit corporal punishment: </w:t>
      </w:r>
    </w:p>
    <w:p w14:paraId="04F1589E" w14:textId="7B659634" w:rsidR="000B5CDE" w:rsidRPr="00992A9B" w:rsidRDefault="006D23C5" w:rsidP="00A124CD">
      <w:pPr>
        <w:pStyle w:val="SingleTxtG"/>
        <w:ind w:left="1701"/>
        <w:rPr>
          <w:lang w:val="en-US"/>
        </w:rPr>
      </w:pPr>
      <w:r>
        <w:t>“</w:t>
      </w:r>
      <w:r w:rsidR="008050AE">
        <w:t>‘</w:t>
      </w:r>
      <w:r w:rsidR="000B5CDE" w:rsidRPr="00992A9B">
        <w:t>Repeated abuse</w:t>
      </w:r>
      <w:r w:rsidR="008050AE">
        <w:t>’</w:t>
      </w:r>
      <w:r w:rsidR="000B5CDE" w:rsidRPr="00992A9B">
        <w:t xml:space="preserve"> means the subjecting of a child to torture or cruel, inhuman or degrading treatment. The term </w:t>
      </w:r>
      <w:r w:rsidR="008050AE">
        <w:t>‘</w:t>
      </w:r>
      <w:r w:rsidR="000B5CDE" w:rsidRPr="00992A9B">
        <w:t>cruel, inhuman or degrading treatment</w:t>
      </w:r>
      <w:r w:rsidR="008050AE">
        <w:t>’</w:t>
      </w:r>
      <w:r w:rsidR="000B5CDE" w:rsidRPr="00992A9B">
        <w:t xml:space="preserve"> refers in particular to the subjecting of a child to acts of brutality that may affect his or her psychological equilibrium, the repeated violation of his or her physical integrity and the practice of depriving him or her of food or confining him or her.</w:t>
      </w:r>
      <w:r>
        <w:t>”</w:t>
      </w:r>
      <w:r w:rsidR="000B5CDE" w:rsidRPr="00992A9B">
        <w:t xml:space="preserve"> </w:t>
      </w:r>
    </w:p>
    <w:p w14:paraId="39E15A26" w14:textId="5609FAFA" w:rsidR="000B5CDE" w:rsidRPr="00992A9B" w:rsidRDefault="000B5CDE" w:rsidP="00F47753">
      <w:pPr>
        <w:pStyle w:val="SingleTxtG"/>
        <w:rPr>
          <w:lang w:val="en-US"/>
        </w:rPr>
      </w:pPr>
      <w:r w:rsidRPr="00992A9B">
        <w:t>78.</w:t>
      </w:r>
      <w:r w:rsidRPr="00992A9B">
        <w:tab/>
        <w:t>Subjecting a child to torture or barbaric acts is punishable by 6 years</w:t>
      </w:r>
      <w:r w:rsidR="008050AE">
        <w:t>’</w:t>
      </w:r>
      <w:r w:rsidRPr="00992A9B">
        <w:t xml:space="preserve"> imprisonment. The penalty is increased to 15 years when the practice is committed habitually and to life imprisonment when the practice results in death as an unintended consequence.</w:t>
      </w:r>
    </w:p>
    <w:p w14:paraId="154C38DA" w14:textId="5AD0C817" w:rsidR="000B5CDE" w:rsidRPr="00992A9B" w:rsidRDefault="004F39BB" w:rsidP="004F39BB">
      <w:pPr>
        <w:pStyle w:val="H1G"/>
        <w:rPr>
          <w:lang w:val="en-US"/>
        </w:rPr>
      </w:pPr>
      <w:r>
        <w:rPr>
          <w:lang w:val="en-US"/>
        </w:rPr>
        <w:tab/>
      </w:r>
      <w:r w:rsidR="000B5CDE" w:rsidRPr="00992A9B">
        <w:t>F.</w:t>
      </w:r>
      <w:r w:rsidR="000B5CDE" w:rsidRPr="00992A9B">
        <w:tab/>
        <w:t>Right to physical and mental health (art. 12)</w:t>
      </w:r>
    </w:p>
    <w:p w14:paraId="282DBCE4" w14:textId="77777777" w:rsidR="000B5CDE" w:rsidRPr="00992A9B" w:rsidRDefault="000B5CDE" w:rsidP="004F39BB">
      <w:pPr>
        <w:pStyle w:val="H23G"/>
        <w:rPr>
          <w:lang w:val="en-US"/>
        </w:rPr>
      </w:pPr>
      <w:r w:rsidRPr="00992A9B">
        <w:tab/>
      </w:r>
      <w:r w:rsidRPr="00992A9B">
        <w:tab/>
        <w:t>Reply to the issues raised in paragraph 24 of the list of issues</w:t>
      </w:r>
    </w:p>
    <w:p w14:paraId="7DB44B6B" w14:textId="77777777" w:rsidR="000B5CDE" w:rsidRPr="00992A9B" w:rsidRDefault="000B5CDE" w:rsidP="00F47753">
      <w:pPr>
        <w:pStyle w:val="SingleTxtG"/>
        <w:rPr>
          <w:lang w:val="en-US"/>
        </w:rPr>
      </w:pPr>
      <w:r w:rsidRPr="00992A9B">
        <w:t>79.</w:t>
      </w:r>
      <w:r w:rsidRPr="00992A9B">
        <w:tab/>
        <w:t>Statistical data (in percentages) on the impact of measures taken to ensure the accessibility, availability, affordability and quality of health services, particularly in rural and remote areas, are pending the results of surveys and studies; the measures taken are as follows.</w:t>
      </w:r>
    </w:p>
    <w:p w14:paraId="08BE4AD9" w14:textId="1698F0D3" w:rsidR="000B5CDE" w:rsidRPr="00992A9B" w:rsidRDefault="000B5CDE" w:rsidP="006C2F6F">
      <w:pPr>
        <w:pStyle w:val="H4G"/>
        <w:rPr>
          <w:lang w:val="en-US"/>
        </w:rPr>
      </w:pPr>
      <w:r w:rsidRPr="00992A9B">
        <w:tab/>
      </w:r>
      <w:r w:rsidRPr="00992A9B">
        <w:tab/>
        <w:t>Geographical accessibility</w:t>
      </w:r>
    </w:p>
    <w:p w14:paraId="074A2DCB" w14:textId="3A8C9C92" w:rsidR="000B5CDE" w:rsidRPr="00992A9B" w:rsidRDefault="000B5CDE" w:rsidP="00A42012">
      <w:pPr>
        <w:pStyle w:val="Bullet1G"/>
        <w:rPr>
          <w:lang w:val="en-US"/>
        </w:rPr>
      </w:pPr>
      <w:r w:rsidRPr="00992A9B">
        <w:t>Development of a health map based on an exhaustive inventory</w:t>
      </w:r>
    </w:p>
    <w:p w14:paraId="43CB78BF" w14:textId="2D837FD9" w:rsidR="000B5CDE" w:rsidRPr="00992A9B" w:rsidRDefault="000B5CDE" w:rsidP="00A42012">
      <w:pPr>
        <w:pStyle w:val="Bullet1G"/>
        <w:rPr>
          <w:lang w:val="en-US"/>
        </w:rPr>
      </w:pPr>
      <w:r w:rsidRPr="00992A9B">
        <w:t>Implementation of hospital reforms based on a map of facility projects and programme contracts (in progress)</w:t>
      </w:r>
    </w:p>
    <w:p w14:paraId="6FE41379" w14:textId="28CC6234" w:rsidR="000B5CDE" w:rsidRPr="00992A9B" w:rsidRDefault="000B5CDE" w:rsidP="006C2F6F">
      <w:pPr>
        <w:pStyle w:val="H4G"/>
        <w:rPr>
          <w:lang w:val="en-US"/>
        </w:rPr>
      </w:pPr>
      <w:r w:rsidRPr="00992A9B">
        <w:lastRenderedPageBreak/>
        <w:tab/>
      </w:r>
      <w:r w:rsidRPr="00992A9B">
        <w:tab/>
        <w:t>Affordability</w:t>
      </w:r>
    </w:p>
    <w:p w14:paraId="1BCBEBDD" w14:textId="6BFD0144" w:rsidR="000B5CDE" w:rsidRPr="00992A9B" w:rsidRDefault="000B5CDE" w:rsidP="00A42012">
      <w:pPr>
        <w:pStyle w:val="Bullet1G"/>
        <w:rPr>
          <w:lang w:val="en-US"/>
        </w:rPr>
      </w:pPr>
      <w:r w:rsidRPr="00992A9B">
        <w:t>Increase in the share of the State budget allocated to the Ministry of Health from 6.5</w:t>
      </w:r>
      <w:r w:rsidR="000B517A">
        <w:t> </w:t>
      </w:r>
      <w:r w:rsidRPr="00992A9B">
        <w:t>per cent in 2020 to 7 per cent currently</w:t>
      </w:r>
    </w:p>
    <w:p w14:paraId="79244E21" w14:textId="7A87CC7B" w:rsidR="000B5CDE" w:rsidRPr="00992A9B" w:rsidRDefault="000B5CDE" w:rsidP="00A42012">
      <w:pPr>
        <w:pStyle w:val="Bullet1G"/>
        <w:rPr>
          <w:lang w:val="en-US"/>
        </w:rPr>
      </w:pPr>
      <w:r w:rsidRPr="00992A9B">
        <w:t>Introduction, pursuant to Order 0115 of 6 March 2020, of a pricing system for medical procedures provided by national health structures</w:t>
      </w:r>
    </w:p>
    <w:p w14:paraId="00D647D2" w14:textId="4507C9FC" w:rsidR="000B5CDE" w:rsidRPr="00992A9B" w:rsidRDefault="000B5CDE" w:rsidP="00A42012">
      <w:pPr>
        <w:pStyle w:val="Bullet1G"/>
        <w:rPr>
          <w:lang w:val="en-US"/>
        </w:rPr>
      </w:pPr>
      <w:r w:rsidRPr="00992A9B">
        <w:t xml:space="preserve">Setting, by Joint Order No. 000112 of the Minister of Health and the Minister </w:t>
      </w:r>
      <w:r w:rsidR="008D072B">
        <w:t xml:space="preserve">of </w:t>
      </w:r>
      <w:r w:rsidRPr="00992A9B">
        <w:t>Trade of 25 February 2020, of the profit margins on authorized drugs for private wholesale distributors and retailers (pharmacies and pharmaceutical outlets)</w:t>
      </w:r>
    </w:p>
    <w:p w14:paraId="378DF245" w14:textId="490F44E3" w:rsidR="000B5CDE" w:rsidRPr="00992A9B" w:rsidRDefault="000B5CDE" w:rsidP="00A42012">
      <w:pPr>
        <w:pStyle w:val="Bullet1G"/>
        <w:rPr>
          <w:lang w:val="en-US"/>
        </w:rPr>
      </w:pPr>
      <w:r w:rsidRPr="00992A9B">
        <w:t>Conclusion of an agreement between Taazour and the National Health Insurance Fund to provide care for 100,000 persons who are indigent</w:t>
      </w:r>
    </w:p>
    <w:p w14:paraId="5B9416A2" w14:textId="69D286B0" w:rsidR="000B5CDE" w:rsidRPr="00992A9B" w:rsidRDefault="000B5CDE" w:rsidP="00A42012">
      <w:pPr>
        <w:pStyle w:val="Bullet1G"/>
        <w:rPr>
          <w:lang w:val="en-US"/>
        </w:rPr>
      </w:pPr>
      <w:r w:rsidRPr="00992A9B">
        <w:t>Conclusion of an agreement between the Ministry for Social Affairs, Children and the Family and the Ministry of Health setting out conditions of access and care for persons with disabilities and persons receiving kidney dialysis</w:t>
      </w:r>
    </w:p>
    <w:p w14:paraId="5B353ACA" w14:textId="4C86000E" w:rsidR="000B5CDE" w:rsidRPr="00992A9B" w:rsidRDefault="000B5CDE" w:rsidP="00A42012">
      <w:pPr>
        <w:pStyle w:val="Bullet1G"/>
        <w:rPr>
          <w:lang w:val="en-US"/>
        </w:rPr>
      </w:pPr>
      <w:r w:rsidRPr="00992A9B">
        <w:t>Establishment, pursuant to Decree No. 2022-130 of 7 September 2021, of a public administrative body called the National Health Solidarity Fund, which provides universal, voluntary health insurance funded by contributions from members, the State and other entities</w:t>
      </w:r>
    </w:p>
    <w:p w14:paraId="241D2D7A" w14:textId="6B036031" w:rsidR="000B5CDE" w:rsidRPr="00992A9B" w:rsidRDefault="000B5CDE" w:rsidP="00F47753">
      <w:pPr>
        <w:pStyle w:val="SingleTxtG"/>
        <w:rPr>
          <w:lang w:val="en-US"/>
        </w:rPr>
      </w:pPr>
      <w:r w:rsidRPr="00992A9B">
        <w:t>80.</w:t>
      </w:r>
      <w:r w:rsidRPr="00992A9B">
        <w:tab/>
        <w:t>By way of a reminder, 30 per cent of the population was covered by the National Health Insurance Fund, including 15 per cent by the contributory insurance scheme and 15</w:t>
      </w:r>
      <w:r w:rsidR="004673E4">
        <w:t> </w:t>
      </w:r>
      <w:r w:rsidRPr="00992A9B">
        <w:t>per cent by the non-contributory insurance scheme, which are financed by the State through Taazour. The purpose of creating the National Health Solidarity Fund is thus to gradually cover the remaining 70 per cent of the population not covered by the National Health Insurance Fund.</w:t>
      </w:r>
    </w:p>
    <w:p w14:paraId="0E666FD9" w14:textId="77777777" w:rsidR="000B5CDE" w:rsidRPr="00992A9B" w:rsidRDefault="000B5CDE" w:rsidP="002C06F8">
      <w:pPr>
        <w:pStyle w:val="H4G"/>
        <w:rPr>
          <w:lang w:val="en-US"/>
        </w:rPr>
      </w:pPr>
      <w:r w:rsidRPr="00992A9B">
        <w:tab/>
      </w:r>
      <w:r w:rsidRPr="00992A9B">
        <w:tab/>
        <w:t xml:space="preserve">Accessibility and availability of medication </w:t>
      </w:r>
    </w:p>
    <w:p w14:paraId="0ADD9919" w14:textId="4BBCE510" w:rsidR="000B5CDE" w:rsidRPr="00992A9B" w:rsidRDefault="000B5CDE" w:rsidP="00DC5600">
      <w:pPr>
        <w:pStyle w:val="Bullet1G"/>
        <w:rPr>
          <w:lang w:val="en-US"/>
        </w:rPr>
      </w:pPr>
      <w:r w:rsidRPr="00992A9B">
        <w:t xml:space="preserve">Implementation, pursuant to Decree No. 2022-119 of 17 August 2022, of a national system of access to quality care and essential medicines, known as Mouyassar; under this Decree, a supply of essential medicines is being established at each level of the health pyramid for the in-house pharmacies of all public health facilities nationwide (health posts, </w:t>
      </w:r>
      <w:r w:rsidRPr="00992A9B">
        <w:rPr>
          <w:i/>
          <w:iCs/>
        </w:rPr>
        <w:t xml:space="preserve">moughataa </w:t>
      </w:r>
      <w:r w:rsidRPr="00992A9B">
        <w:t>health centres and hospital centres)</w:t>
      </w:r>
    </w:p>
    <w:p w14:paraId="72470F93" w14:textId="28AC77B2" w:rsidR="000B5CDE" w:rsidRPr="00992A9B" w:rsidRDefault="000B5CDE" w:rsidP="00DC5600">
      <w:pPr>
        <w:pStyle w:val="Bullet1G"/>
        <w:rPr>
          <w:lang w:val="en-US"/>
        </w:rPr>
      </w:pPr>
      <w:r w:rsidRPr="00992A9B">
        <w:t>Availability, through this system, of quality generic medicines at reduced prices</w:t>
      </w:r>
    </w:p>
    <w:p w14:paraId="2B2D5CC9" w14:textId="2C4DA6E1" w:rsidR="000B5CDE" w:rsidRPr="00992A9B" w:rsidRDefault="000B5CDE" w:rsidP="002C06F8">
      <w:pPr>
        <w:pStyle w:val="H4G"/>
        <w:rPr>
          <w:lang w:val="en-US"/>
        </w:rPr>
      </w:pPr>
      <w:r w:rsidRPr="00992A9B">
        <w:tab/>
      </w:r>
      <w:r w:rsidRPr="00992A9B">
        <w:tab/>
        <w:t>Efforts undertaken in the context of public health emergencies</w:t>
      </w:r>
    </w:p>
    <w:p w14:paraId="064D5188" w14:textId="7B78BC2E" w:rsidR="000B5CDE" w:rsidRPr="00992A9B" w:rsidRDefault="000B5CDE" w:rsidP="00DC5600">
      <w:pPr>
        <w:pStyle w:val="Bullet1G"/>
        <w:rPr>
          <w:lang w:val="en-US"/>
        </w:rPr>
      </w:pPr>
      <w:r w:rsidRPr="00992A9B">
        <w:t>Establishment, pursuant to Decree No. 2022-143 of 5 October 2022, of a public administrative body, the National Centre for Public Health Emergency Operations, whose purpose is:</w:t>
      </w:r>
    </w:p>
    <w:p w14:paraId="5F3D7EF5" w14:textId="61D82CB7" w:rsidR="000B5CDE" w:rsidRPr="00DC5600" w:rsidRDefault="000B5CDE" w:rsidP="00DC5600">
      <w:pPr>
        <w:pStyle w:val="Bullet2G"/>
      </w:pPr>
      <w:r w:rsidRPr="00DC5600">
        <w:t>To set up a health monitoring and early warning system</w:t>
      </w:r>
    </w:p>
    <w:p w14:paraId="553C71D1" w14:textId="3D3859FF" w:rsidR="000B5CDE" w:rsidRPr="00DC5600" w:rsidRDefault="000B5CDE" w:rsidP="00DC5600">
      <w:pPr>
        <w:pStyle w:val="Bullet2G"/>
      </w:pPr>
      <w:r w:rsidRPr="00DC5600">
        <w:t>To assess epidemiological risks and draw up a dynamic risk map</w:t>
      </w:r>
    </w:p>
    <w:p w14:paraId="0AE73F96" w14:textId="35E16C98" w:rsidR="000B5CDE" w:rsidRPr="00DC5600" w:rsidRDefault="000B5CDE" w:rsidP="00DC5600">
      <w:pPr>
        <w:pStyle w:val="Bullet2G"/>
      </w:pPr>
      <w:r w:rsidRPr="00DC5600">
        <w:t>To ensure the implementation of a mechanism for responding to epidemics, whatever their origin, in collaboration with the various stakeholders</w:t>
      </w:r>
    </w:p>
    <w:p w14:paraId="647F1D1B" w14:textId="240FDEB5" w:rsidR="000B5CDE" w:rsidRPr="00992A9B" w:rsidRDefault="000B5CDE" w:rsidP="00DC5600">
      <w:pPr>
        <w:pStyle w:val="Bullet1G"/>
        <w:rPr>
          <w:lang w:val="en-US"/>
        </w:rPr>
      </w:pPr>
      <w:r w:rsidRPr="00992A9B">
        <w:t>Establishment, pursuant to Order No. 0651 of 15 July 2022 of the Minister of Health, of an emergency medical assistance services programme, with the aim of, inter alia, drawing up national emergency management protocols and monitoring their application</w:t>
      </w:r>
    </w:p>
    <w:p w14:paraId="7B8C76D0" w14:textId="0FDF9747" w:rsidR="000B5CDE" w:rsidRPr="00992A9B" w:rsidRDefault="000B5CDE" w:rsidP="00DC5600">
      <w:pPr>
        <w:pStyle w:val="Bullet1G"/>
        <w:rPr>
          <w:lang w:val="en-US"/>
        </w:rPr>
      </w:pPr>
      <w:r w:rsidRPr="00992A9B">
        <w:t>Coordination of the actions of the various actors involved in responding to medical emergencies</w:t>
      </w:r>
    </w:p>
    <w:p w14:paraId="56B6F9E1" w14:textId="77777777" w:rsidR="000B5CDE" w:rsidRPr="00992A9B" w:rsidRDefault="000B5CDE" w:rsidP="00622876">
      <w:pPr>
        <w:pStyle w:val="H4G"/>
        <w:rPr>
          <w:lang w:val="en-US"/>
        </w:rPr>
      </w:pPr>
      <w:r w:rsidRPr="00992A9B">
        <w:tab/>
      </w:r>
      <w:r w:rsidRPr="00992A9B">
        <w:tab/>
        <w:t xml:space="preserve">Accessibility and availability of health-care personnel </w:t>
      </w:r>
    </w:p>
    <w:p w14:paraId="449D115E" w14:textId="0FBB4A40" w:rsidR="000B5CDE" w:rsidRPr="00992A9B" w:rsidRDefault="000B5CDE" w:rsidP="00622876">
      <w:pPr>
        <w:pStyle w:val="Bullet1G"/>
        <w:rPr>
          <w:lang w:val="en-US"/>
        </w:rPr>
      </w:pPr>
      <w:r w:rsidRPr="00992A9B">
        <w:t>Significant recruitment in recent years of various categories of health-care personnel</w:t>
      </w:r>
    </w:p>
    <w:p w14:paraId="58B01AD0" w14:textId="1F1C295B" w:rsidR="000B5CDE" w:rsidRPr="00992A9B" w:rsidRDefault="000B5CDE" w:rsidP="00622876">
      <w:pPr>
        <w:pStyle w:val="Bullet1G"/>
        <w:rPr>
          <w:lang w:val="en-US"/>
        </w:rPr>
      </w:pPr>
      <w:r w:rsidRPr="00992A9B">
        <w:t>Revision and updating of the decrees on the organization and functioning of the national associations of dentists, doctors and pharmacists</w:t>
      </w:r>
    </w:p>
    <w:p w14:paraId="77018B54" w14:textId="166B5311" w:rsidR="000B5CDE" w:rsidRPr="00992A9B" w:rsidRDefault="000B5CDE" w:rsidP="00622876">
      <w:pPr>
        <w:pStyle w:val="Bullet1G"/>
        <w:rPr>
          <w:lang w:val="en-US"/>
        </w:rPr>
      </w:pPr>
      <w:r w:rsidRPr="00992A9B">
        <w:lastRenderedPageBreak/>
        <w:t>Revision and updating of Decree No. 2022-114 /PM/ of 7 May 2020 on the special status of health-care practitioners</w:t>
      </w:r>
    </w:p>
    <w:p w14:paraId="114B19B1" w14:textId="2E5E5FD6" w:rsidR="000B5CDE" w:rsidRPr="00992A9B" w:rsidRDefault="000B5CDE" w:rsidP="00622876">
      <w:pPr>
        <w:pStyle w:val="Bullet1G"/>
        <w:rPr>
          <w:lang w:val="en-US"/>
        </w:rPr>
      </w:pPr>
      <w:r w:rsidRPr="00992A9B">
        <w:t>A salary increase of 30 per cent for health-care personnel</w:t>
      </w:r>
    </w:p>
    <w:p w14:paraId="09255EAA" w14:textId="758F521B" w:rsidR="000B5CDE" w:rsidRPr="00992A9B" w:rsidRDefault="000B5CDE" w:rsidP="00622876">
      <w:pPr>
        <w:pStyle w:val="Bullet1G"/>
        <w:rPr>
          <w:lang w:val="en-US"/>
        </w:rPr>
      </w:pPr>
      <w:r w:rsidRPr="00992A9B">
        <w:t>General introduction of hazard pay and distance allowances</w:t>
      </w:r>
    </w:p>
    <w:p w14:paraId="79AD5E8B" w14:textId="164DCCF3" w:rsidR="000B5CDE" w:rsidRPr="00992A9B" w:rsidRDefault="000B5CDE" w:rsidP="00622876">
      <w:pPr>
        <w:pStyle w:val="Bullet1G"/>
        <w:rPr>
          <w:lang w:val="en-US"/>
        </w:rPr>
      </w:pPr>
      <w:r w:rsidRPr="00992A9B">
        <w:t>Development of a database and human resources management tool</w:t>
      </w:r>
    </w:p>
    <w:p w14:paraId="0B1102F2" w14:textId="41BC328F" w:rsidR="000B5CDE" w:rsidRPr="00992A9B" w:rsidRDefault="000B5CDE" w:rsidP="00622876">
      <w:pPr>
        <w:pStyle w:val="Bullet1G"/>
        <w:rPr>
          <w:lang w:val="en-US"/>
        </w:rPr>
      </w:pPr>
      <w:r w:rsidRPr="00992A9B">
        <w:t>Updating of training and career development plans</w:t>
      </w:r>
    </w:p>
    <w:p w14:paraId="26AAA88D" w14:textId="6BEC7F33" w:rsidR="000B5CDE" w:rsidRPr="00992A9B" w:rsidRDefault="000B5CDE" w:rsidP="00622876">
      <w:pPr>
        <w:pStyle w:val="Bullet1G"/>
        <w:rPr>
          <w:lang w:val="en-US"/>
        </w:rPr>
      </w:pPr>
      <w:r w:rsidRPr="00992A9B">
        <w:t>Drafting and refinement of regulatory texts covering the public and private sectors</w:t>
      </w:r>
    </w:p>
    <w:p w14:paraId="7C10EA42" w14:textId="6AD8ACE7" w:rsidR="000B5CDE" w:rsidRPr="00992A9B" w:rsidRDefault="000B5CDE" w:rsidP="00622876">
      <w:pPr>
        <w:pStyle w:val="Bullet1G"/>
        <w:rPr>
          <w:lang w:val="en-US"/>
        </w:rPr>
      </w:pPr>
      <w:r w:rsidRPr="00992A9B">
        <w:t>Harmonization of the public and private health sectors, construction of health centres and health posts throughout the country</w:t>
      </w:r>
    </w:p>
    <w:p w14:paraId="2FF7D94B" w14:textId="156E10FB" w:rsidR="000B5CDE" w:rsidRPr="00992A9B" w:rsidRDefault="000B5CDE" w:rsidP="00622876">
      <w:pPr>
        <w:pStyle w:val="Bullet1G"/>
        <w:rPr>
          <w:lang w:val="en-US"/>
        </w:rPr>
      </w:pPr>
      <w:r w:rsidRPr="00992A9B">
        <w:t>Upgrading of hospital facilities through improvements to buildings, equipment (including ambulances) and staff training</w:t>
      </w:r>
    </w:p>
    <w:p w14:paraId="5257DAB3" w14:textId="3A8E38C9" w:rsidR="000B5CDE" w:rsidRPr="00992A9B" w:rsidRDefault="000B5CDE" w:rsidP="00622876">
      <w:pPr>
        <w:pStyle w:val="Bullet1G"/>
        <w:rPr>
          <w:lang w:val="en-US"/>
        </w:rPr>
      </w:pPr>
      <w:r w:rsidRPr="00992A9B">
        <w:t>Setting up of an urgent medical assistance service in Mauritania and introduction of universal health insurance; these various actions complement the efforts already made with respect to free care for persons who are indigent, reduced obstetric fees, care for road traffic accident victims, and medical transport and evacuation</w:t>
      </w:r>
    </w:p>
    <w:p w14:paraId="0F6DF7AC" w14:textId="7D255B6C" w:rsidR="000B5CDE" w:rsidRPr="00992A9B" w:rsidRDefault="000B5CDE" w:rsidP="00622876">
      <w:pPr>
        <w:pStyle w:val="Bullet1G"/>
        <w:rPr>
          <w:lang w:val="en-US"/>
        </w:rPr>
      </w:pPr>
      <w:r w:rsidRPr="00992A9B">
        <w:t>Improvement of living conditions for disadvantaged populations, which will include financing of a second phase of the cash transfer programme benefiting more than 200,000 households</w:t>
      </w:r>
    </w:p>
    <w:p w14:paraId="08C33184" w14:textId="1D31275C" w:rsidR="000B5CDE" w:rsidRPr="00992A9B" w:rsidRDefault="000B5CDE" w:rsidP="00622876">
      <w:pPr>
        <w:pStyle w:val="Bullet1G"/>
        <w:rPr>
          <w:lang w:val="en-US"/>
        </w:rPr>
      </w:pPr>
      <w:r w:rsidRPr="00992A9B">
        <w:t>Renewal of the rural microfinance program for the period covered by the plan</w:t>
      </w:r>
    </w:p>
    <w:p w14:paraId="434F58FD" w14:textId="77777777" w:rsidR="000B5CDE" w:rsidRPr="00992A9B" w:rsidRDefault="000B5CDE" w:rsidP="00F47753">
      <w:pPr>
        <w:pStyle w:val="SingleTxtG"/>
        <w:rPr>
          <w:b/>
          <w:bCs/>
          <w:vertAlign w:val="subscript"/>
          <w:lang w:val="en-US"/>
        </w:rPr>
      </w:pPr>
      <w:r w:rsidRPr="00992A9B">
        <w:t>81.</w:t>
      </w:r>
      <w:r w:rsidRPr="00992A9B">
        <w:tab/>
        <w:t xml:space="preserve">The following measures have been taken to regulate traditional medicine and to effectively monitor and supervise the private health sector: </w:t>
      </w:r>
    </w:p>
    <w:p w14:paraId="5615B90D" w14:textId="01BFC845" w:rsidR="000B5CDE" w:rsidRPr="00992A9B" w:rsidRDefault="000B5CDE" w:rsidP="00622876">
      <w:pPr>
        <w:pStyle w:val="Bullet1G"/>
        <w:rPr>
          <w:lang w:val="en-US"/>
        </w:rPr>
      </w:pPr>
      <w:r w:rsidRPr="00992A9B">
        <w:t>Distribution of free food to support food security and stepping up of efforts to combat malnutrition among women and children</w:t>
      </w:r>
    </w:p>
    <w:p w14:paraId="1A690B15" w14:textId="3572BC5C" w:rsidR="000B5CDE" w:rsidRPr="00992A9B" w:rsidRDefault="000B5CDE" w:rsidP="00622876">
      <w:pPr>
        <w:pStyle w:val="Bullet1G"/>
        <w:rPr>
          <w:lang w:val="en-US"/>
        </w:rPr>
      </w:pPr>
      <w:r w:rsidRPr="00992A9B">
        <w:t>Regulation of traditional medicine since 2012 pursuant to an order of the Council of Ministers</w:t>
      </w:r>
    </w:p>
    <w:p w14:paraId="4ADAD28F" w14:textId="67442417" w:rsidR="000B5CDE" w:rsidRPr="00992A9B" w:rsidRDefault="000B5CDE" w:rsidP="00622876">
      <w:pPr>
        <w:pStyle w:val="Bullet1G"/>
        <w:rPr>
          <w:lang w:val="en-US"/>
        </w:rPr>
      </w:pPr>
      <w:r w:rsidRPr="00992A9B">
        <w:t>Holding of meetings in June 2023 at the office of the Minister of Health, bringing together the Ministry</w:t>
      </w:r>
      <w:r w:rsidR="008050AE">
        <w:t>’</w:t>
      </w:r>
      <w:r w:rsidRPr="00992A9B">
        <w:t xml:space="preserve">s departments and technical experts and Mauritanian traditional practitioners; following these meetings, a draft order to amend and replace the previous order on traditional medicine was put forward </w:t>
      </w:r>
    </w:p>
    <w:p w14:paraId="47CC9F0D" w14:textId="5570A1B0" w:rsidR="000B5CDE" w:rsidRPr="00992A9B" w:rsidRDefault="000B5CDE" w:rsidP="00622876">
      <w:pPr>
        <w:pStyle w:val="Bullet1G"/>
        <w:rPr>
          <w:lang w:val="en-US"/>
        </w:rPr>
      </w:pPr>
      <w:r w:rsidRPr="00992A9B">
        <w:t xml:space="preserve">Establishment of effective monitoring of the private health sector through the strengthening of the Inspectorate General for Health with the addition of </w:t>
      </w:r>
      <w:proofErr w:type="gramStart"/>
      <w:r w:rsidRPr="00992A9B">
        <w:t>a number of</w:t>
      </w:r>
      <w:proofErr w:type="gramEnd"/>
      <w:r w:rsidRPr="00992A9B">
        <w:t xml:space="preserve"> inspectors in the various areas of professional practice, pharmacies and laboratories</w:t>
      </w:r>
    </w:p>
    <w:p w14:paraId="0FFE8D2B" w14:textId="61F79B83" w:rsidR="000B5CDE" w:rsidRPr="00992A9B" w:rsidRDefault="000B5CDE" w:rsidP="00F47753">
      <w:pPr>
        <w:pStyle w:val="SingleTxtG"/>
        <w:rPr>
          <w:lang w:val="en-US"/>
        </w:rPr>
      </w:pPr>
      <w:r w:rsidRPr="00992A9B">
        <w:t>82.</w:t>
      </w:r>
      <w:r w:rsidRPr="00992A9B">
        <w:tab/>
        <w:t>With regard to COVID-19, the Government passed enabling legislation, Act No.</w:t>
      </w:r>
      <w:r w:rsidR="00785437">
        <w:t> </w:t>
      </w:r>
      <w:r w:rsidRPr="00992A9B">
        <w:t>2020-004 PR of 22 April 2020, authorizing it to adopt by ordinance all necessary measures to combat the COVID-19 pandemic and all its effects:</w:t>
      </w:r>
    </w:p>
    <w:p w14:paraId="337A5D20" w14:textId="5CF7D32C" w:rsidR="000B5CDE" w:rsidRPr="00992A9B" w:rsidRDefault="000B5CDE" w:rsidP="00622876">
      <w:pPr>
        <w:pStyle w:val="Bullet1G"/>
        <w:rPr>
          <w:lang w:val="en-US"/>
        </w:rPr>
      </w:pPr>
      <w:r w:rsidRPr="00992A9B">
        <w:t>Ordinance No. 2020-001 on certain measures necessary to combat the COVID-19 pandemic and its effects was adopted</w:t>
      </w:r>
    </w:p>
    <w:p w14:paraId="7853586F" w14:textId="2A6D30F4" w:rsidR="000B5CDE" w:rsidRPr="00992A9B" w:rsidRDefault="000B5CDE" w:rsidP="00622876">
      <w:pPr>
        <w:pStyle w:val="Bullet1G"/>
        <w:rPr>
          <w:lang w:val="en-US"/>
        </w:rPr>
      </w:pPr>
      <w:r w:rsidRPr="00992A9B">
        <w:t>Mauritania became the first country in West Africa and the twelfth on the continent to achieve the World Health Organization (WHO) target of vaccinating 10 per cent of the population against COVID-19</w:t>
      </w:r>
    </w:p>
    <w:p w14:paraId="307482ED" w14:textId="39FBBEAF" w:rsidR="000B5CDE" w:rsidRPr="00992A9B" w:rsidRDefault="000B5CDE" w:rsidP="00622876">
      <w:pPr>
        <w:pStyle w:val="Bullet1G"/>
        <w:rPr>
          <w:lang w:val="en-US"/>
        </w:rPr>
      </w:pPr>
      <w:r w:rsidRPr="00992A9B">
        <w:t>This result was achieved thanks to the support that the health authorities received from the Government at the highest level</w:t>
      </w:r>
    </w:p>
    <w:p w14:paraId="00CF8775" w14:textId="09CF0257" w:rsidR="000B5CDE" w:rsidRPr="00992A9B" w:rsidRDefault="000B5CDE" w:rsidP="00622876">
      <w:pPr>
        <w:pStyle w:val="Bullet1G"/>
        <w:rPr>
          <w:lang w:val="en-US"/>
        </w:rPr>
      </w:pPr>
      <w:r w:rsidRPr="00992A9B">
        <w:t>In addition, the Ministry of Health set up over 900 vaccination sites in public places, including mosques, ministries, city exits and bus station entrances</w:t>
      </w:r>
    </w:p>
    <w:p w14:paraId="348C4050" w14:textId="77777777" w:rsidR="000B5CDE" w:rsidRPr="00992A9B" w:rsidRDefault="000B5CDE" w:rsidP="00F47753">
      <w:pPr>
        <w:pStyle w:val="SingleTxtG"/>
        <w:rPr>
          <w:lang w:val="en-US"/>
        </w:rPr>
      </w:pPr>
      <w:r w:rsidRPr="00992A9B">
        <w:t>83.</w:t>
      </w:r>
      <w:r w:rsidRPr="00992A9B">
        <w:tab/>
        <w:t>The total number of doses administered was 3,726,398.</w:t>
      </w:r>
    </w:p>
    <w:p w14:paraId="038C085F" w14:textId="77777777" w:rsidR="000B5CDE" w:rsidRPr="00992A9B" w:rsidRDefault="000B5CDE" w:rsidP="00622876">
      <w:pPr>
        <w:pStyle w:val="H23G"/>
        <w:rPr>
          <w:lang w:val="en-US"/>
        </w:rPr>
      </w:pPr>
      <w:r w:rsidRPr="00992A9B">
        <w:lastRenderedPageBreak/>
        <w:tab/>
      </w:r>
      <w:r w:rsidRPr="00992A9B">
        <w:tab/>
        <w:t>Reply to the issues raised in paragraph 25 of the list of issues</w:t>
      </w:r>
    </w:p>
    <w:p w14:paraId="2E29D22F" w14:textId="77777777" w:rsidR="000B5CDE" w:rsidRPr="00992A9B" w:rsidRDefault="000B5CDE" w:rsidP="00F47753">
      <w:pPr>
        <w:pStyle w:val="SingleTxtG"/>
        <w:rPr>
          <w:b/>
          <w:lang w:val="en-US"/>
        </w:rPr>
      </w:pPr>
      <w:r w:rsidRPr="00992A9B">
        <w:t>84.</w:t>
      </w:r>
      <w:r w:rsidRPr="00992A9B">
        <w:tab/>
        <w:t>With regard to the availability of contraceptive methods, the following measures should be mentioned, among others:</w:t>
      </w:r>
    </w:p>
    <w:p w14:paraId="1571109C" w14:textId="65997103" w:rsidR="000B5CDE" w:rsidRPr="00992A9B" w:rsidRDefault="000B5CDE" w:rsidP="00A43D4D">
      <w:pPr>
        <w:pStyle w:val="Bullet1G"/>
        <w:rPr>
          <w:lang w:val="en-US"/>
        </w:rPr>
      </w:pPr>
      <w:r w:rsidRPr="00992A9B">
        <w:t>Adoption of the Reproductive Health Act in 2017</w:t>
      </w:r>
    </w:p>
    <w:p w14:paraId="2D96DCFE" w14:textId="4A915CC7" w:rsidR="000B5CDE" w:rsidRPr="00992A9B" w:rsidRDefault="000B5CDE" w:rsidP="00A43D4D">
      <w:pPr>
        <w:pStyle w:val="Bullet1G"/>
        <w:rPr>
          <w:lang w:val="en-US"/>
        </w:rPr>
      </w:pPr>
      <w:r w:rsidRPr="00992A9B">
        <w:t>Inclusion of a budget line for securing reproductive health products</w:t>
      </w:r>
    </w:p>
    <w:p w14:paraId="0FA8D3D5" w14:textId="45A10C38" w:rsidR="000B5CDE" w:rsidRPr="00992A9B" w:rsidRDefault="000B5CDE" w:rsidP="00A43D4D">
      <w:pPr>
        <w:pStyle w:val="Bullet1G"/>
        <w:rPr>
          <w:lang w:val="en-US"/>
        </w:rPr>
      </w:pPr>
      <w:r w:rsidRPr="00992A9B">
        <w:t>Approval of a budgeted annual national plan for family planning covering the period 2019–2023</w:t>
      </w:r>
    </w:p>
    <w:p w14:paraId="5AD33C26" w14:textId="4E5E9696" w:rsidR="000B5CDE" w:rsidRPr="00992A9B" w:rsidRDefault="000B5CDE" w:rsidP="00A43D4D">
      <w:pPr>
        <w:pStyle w:val="Bullet1G"/>
        <w:rPr>
          <w:lang w:val="en-US"/>
        </w:rPr>
      </w:pPr>
      <w:r w:rsidRPr="00992A9B">
        <w:t>Integration of post-partum family planning, maternal and child health and nutrition services</w:t>
      </w:r>
    </w:p>
    <w:p w14:paraId="74B774FA" w14:textId="1DC3D4F5" w:rsidR="000B5CDE" w:rsidRPr="00992A9B" w:rsidRDefault="000B5CDE" w:rsidP="00A43D4D">
      <w:pPr>
        <w:pStyle w:val="Bullet1G"/>
        <w:rPr>
          <w:lang w:val="en-US"/>
        </w:rPr>
      </w:pPr>
      <w:r w:rsidRPr="00992A9B">
        <w:t>Development of a gynaecological cancer prevention strategy</w:t>
      </w:r>
    </w:p>
    <w:p w14:paraId="3D0F8405" w14:textId="5040E291" w:rsidR="000B5CDE" w:rsidRPr="00992A9B" w:rsidRDefault="000B5CDE" w:rsidP="00F47753">
      <w:pPr>
        <w:pStyle w:val="SingleTxtG"/>
        <w:rPr>
          <w:lang w:val="en-US"/>
        </w:rPr>
      </w:pPr>
      <w:r w:rsidRPr="00992A9B">
        <w:t>85.</w:t>
      </w:r>
      <w:r w:rsidRPr="00992A9B">
        <w:tab/>
        <w:t>Concerning specific measures adopted to ensure care for women during delivery and the postnatal period, the following should be mentioned:</w:t>
      </w:r>
    </w:p>
    <w:p w14:paraId="17488E8F" w14:textId="7CCD7405" w:rsidR="000B5CDE" w:rsidRPr="00992A9B" w:rsidRDefault="000B5CDE" w:rsidP="00D577A3">
      <w:pPr>
        <w:pStyle w:val="Bullet1G"/>
        <w:rPr>
          <w:lang w:val="en-US"/>
        </w:rPr>
      </w:pPr>
      <w:r w:rsidRPr="00992A9B">
        <w:t>Care for women during delivery and the postnatal period to reduce maternal mortality</w:t>
      </w:r>
    </w:p>
    <w:p w14:paraId="5591B626" w14:textId="7E7080EF" w:rsidR="000B5CDE" w:rsidRPr="00992A9B" w:rsidRDefault="000B5CDE" w:rsidP="00D577A3">
      <w:pPr>
        <w:pStyle w:val="Bullet1G"/>
        <w:rPr>
          <w:lang w:val="en-US"/>
        </w:rPr>
      </w:pPr>
      <w:r w:rsidRPr="00992A9B">
        <w:t>Adoption of the Reproductive, Maternal, Neonatal, Child and Adolescent Health Strategy 2020–2026</w:t>
      </w:r>
    </w:p>
    <w:p w14:paraId="5205C478" w14:textId="32D0B65C" w:rsidR="000B5CDE" w:rsidRPr="00992A9B" w:rsidRDefault="000B5CDE" w:rsidP="00D577A3">
      <w:pPr>
        <w:pStyle w:val="Bullet1G"/>
        <w:rPr>
          <w:lang w:val="en-US"/>
        </w:rPr>
      </w:pPr>
      <w:r w:rsidRPr="00992A9B">
        <w:t>Establishment of a legal framework for the maternal and perinatal death surveillance and response system</w:t>
      </w:r>
    </w:p>
    <w:p w14:paraId="424F0251" w14:textId="0BF0AB16" w:rsidR="000B5CDE" w:rsidRPr="00992A9B" w:rsidRDefault="000B5CDE" w:rsidP="00D577A3">
      <w:pPr>
        <w:pStyle w:val="Bullet1G"/>
        <w:rPr>
          <w:lang w:val="en-US"/>
        </w:rPr>
      </w:pPr>
      <w:r w:rsidRPr="00992A9B">
        <w:t>Revitalization of the maternal and perinatal death surveillance and response committees</w:t>
      </w:r>
    </w:p>
    <w:p w14:paraId="6C18A548" w14:textId="2AE01F4B" w:rsidR="000B5CDE" w:rsidRPr="00992A9B" w:rsidRDefault="000B5CDE" w:rsidP="00D577A3">
      <w:pPr>
        <w:pStyle w:val="Bullet1G"/>
        <w:rPr>
          <w:lang w:val="en-US"/>
        </w:rPr>
      </w:pPr>
      <w:r w:rsidRPr="00992A9B">
        <w:t>Approval of national protocols, standards and procedures with respect to reproductive, maternal, neonatal, child and adolescent health</w:t>
      </w:r>
    </w:p>
    <w:p w14:paraId="08899C6B" w14:textId="731D51D7" w:rsidR="000B5CDE" w:rsidRPr="00992A9B" w:rsidRDefault="000B5CDE" w:rsidP="00D577A3">
      <w:pPr>
        <w:pStyle w:val="Bullet1G"/>
        <w:rPr>
          <w:lang w:val="en-US"/>
        </w:rPr>
      </w:pPr>
      <w:r w:rsidRPr="00992A9B">
        <w:t>Availability of life-saving drugs for obstetric emergencies</w:t>
      </w:r>
    </w:p>
    <w:p w14:paraId="22425FA8" w14:textId="46D99DE4" w:rsidR="000B5CDE" w:rsidRPr="00992A9B" w:rsidRDefault="000B5CDE" w:rsidP="00D577A3">
      <w:pPr>
        <w:pStyle w:val="Bullet1G"/>
        <w:rPr>
          <w:lang w:val="en-US"/>
        </w:rPr>
      </w:pPr>
      <w:r w:rsidRPr="00992A9B">
        <w:t>Adoption of a blood transfusion availability strategy</w:t>
      </w:r>
    </w:p>
    <w:p w14:paraId="675C7F01" w14:textId="258B062D" w:rsidR="000B5CDE" w:rsidRPr="00992A9B" w:rsidRDefault="000B5CDE" w:rsidP="00D577A3">
      <w:pPr>
        <w:pStyle w:val="Bullet1G"/>
        <w:rPr>
          <w:lang w:val="en-US"/>
        </w:rPr>
      </w:pPr>
      <w:r w:rsidRPr="00992A9B">
        <w:t>Provision of an obstetric package (for a lump sum of 400 ouguiyas) covering care during pregnancy, delivery and the postnatal period, including:</w:t>
      </w:r>
    </w:p>
    <w:p w14:paraId="6281346F" w14:textId="6178B7B9" w:rsidR="000B5CDE" w:rsidRPr="00992A9B" w:rsidRDefault="000B5CDE" w:rsidP="00D577A3">
      <w:pPr>
        <w:pStyle w:val="Bullet2G"/>
        <w:rPr>
          <w:lang w:val="en-US"/>
        </w:rPr>
      </w:pPr>
      <w:r w:rsidRPr="00992A9B">
        <w:t>Free medical evacuation</w:t>
      </w:r>
    </w:p>
    <w:p w14:paraId="11C575D2" w14:textId="6F2D2A11" w:rsidR="000B5CDE" w:rsidRPr="00992A9B" w:rsidRDefault="000B5CDE" w:rsidP="00D577A3">
      <w:pPr>
        <w:pStyle w:val="Bullet2G"/>
        <w:rPr>
          <w:lang w:val="en-US"/>
        </w:rPr>
      </w:pPr>
      <w:r w:rsidRPr="00992A9B">
        <w:t>Free resuscitation</w:t>
      </w:r>
    </w:p>
    <w:p w14:paraId="5F45B78E" w14:textId="32B3C3AA" w:rsidR="000B5CDE" w:rsidRPr="00992A9B" w:rsidRDefault="000B5CDE" w:rsidP="00D577A3">
      <w:pPr>
        <w:pStyle w:val="Bullet2G"/>
        <w:rPr>
          <w:lang w:val="en-US"/>
        </w:rPr>
      </w:pPr>
      <w:r w:rsidRPr="00992A9B">
        <w:t>Free surgical management of obstetric fistulas</w:t>
      </w:r>
    </w:p>
    <w:p w14:paraId="109F9A41" w14:textId="35662368" w:rsidR="000B5CDE" w:rsidRPr="00992A9B" w:rsidRDefault="000B5CDE" w:rsidP="00D577A3">
      <w:pPr>
        <w:pStyle w:val="Bullet2G"/>
        <w:rPr>
          <w:lang w:val="en-US"/>
        </w:rPr>
      </w:pPr>
      <w:r w:rsidRPr="00992A9B">
        <w:t>A wider range of health-care services</w:t>
      </w:r>
    </w:p>
    <w:p w14:paraId="55ED7705" w14:textId="77777777" w:rsidR="000B5CDE" w:rsidRPr="00992A9B" w:rsidRDefault="000B5CDE" w:rsidP="00D577A3">
      <w:pPr>
        <w:pStyle w:val="H23G"/>
        <w:rPr>
          <w:lang w:val="en-US"/>
        </w:rPr>
      </w:pPr>
      <w:r w:rsidRPr="00992A9B">
        <w:tab/>
      </w:r>
      <w:r w:rsidRPr="00992A9B">
        <w:tab/>
        <w:t>Reply to the issues raised in paragraph 26 of the list of issues</w:t>
      </w:r>
    </w:p>
    <w:p w14:paraId="11FBD8A1" w14:textId="77777777" w:rsidR="000B5CDE" w:rsidRPr="00992A9B" w:rsidRDefault="000B5CDE" w:rsidP="00F47753">
      <w:pPr>
        <w:pStyle w:val="SingleTxtG"/>
        <w:rPr>
          <w:lang w:val="en-US"/>
        </w:rPr>
      </w:pPr>
      <w:r w:rsidRPr="00992A9B">
        <w:t>86.</w:t>
      </w:r>
      <w:r w:rsidRPr="00992A9B">
        <w:tab/>
        <w:t>The requested information – statistical data and prevalence rates – is still in the evaluation phase, pending the results of surveys and studies. Nevertheless, it can be confirmed that anti-malarial, anti-tuberculosis and antiretroviral drugs, COVID-19 vaccines and oestrogen and progesterone contraceptives (family planning) are available absolutely free of charge, as is emergency care.</w:t>
      </w:r>
    </w:p>
    <w:p w14:paraId="05B25BDA" w14:textId="77777777" w:rsidR="000B5CDE" w:rsidRPr="00992A9B" w:rsidRDefault="000B5CDE" w:rsidP="00F47753">
      <w:pPr>
        <w:pStyle w:val="SingleTxtG"/>
        <w:rPr>
          <w:lang w:val="en-US"/>
        </w:rPr>
      </w:pPr>
      <w:r w:rsidRPr="00992A9B">
        <w:t>87.</w:t>
      </w:r>
      <w:r w:rsidRPr="00992A9B">
        <w:tab/>
        <w:t>Under current regulations, the State, local authorities, community groups and other legal entities, through their representatives and in coordination with members of the ulama, must, as part of their activities, ensure safeguarding, promotion and protection and efforts to combat HIV/AIDS through assistance, advice, information, education and communication.</w:t>
      </w:r>
    </w:p>
    <w:p w14:paraId="267A78FD" w14:textId="77777777" w:rsidR="000B5CDE" w:rsidRPr="00992A9B" w:rsidRDefault="000B5CDE" w:rsidP="00F47753">
      <w:pPr>
        <w:pStyle w:val="SingleTxtG"/>
        <w:rPr>
          <w:lang w:val="en-US"/>
        </w:rPr>
      </w:pPr>
      <w:r w:rsidRPr="00992A9B">
        <w:t>88.</w:t>
      </w:r>
      <w:r w:rsidRPr="00992A9B">
        <w:tab/>
        <w:t>Mauritania has laws and implementing regulations to combat discrimination against people with sexually transmitted infections and HIV/AIDS:</w:t>
      </w:r>
    </w:p>
    <w:p w14:paraId="43803DA1" w14:textId="2A690DAC" w:rsidR="000B5CDE" w:rsidRPr="00992A9B" w:rsidRDefault="000B5CDE" w:rsidP="00575FFA">
      <w:pPr>
        <w:pStyle w:val="Bullet1G"/>
        <w:rPr>
          <w:lang w:val="en-US"/>
        </w:rPr>
      </w:pPr>
      <w:r w:rsidRPr="00992A9B">
        <w:t>Act No. 025-2017 of 15 November 2017, the Reproductive Health Act:</w:t>
      </w:r>
    </w:p>
    <w:p w14:paraId="29C91A6A" w14:textId="7D0C273C" w:rsidR="000B5CDE" w:rsidRPr="00992A9B" w:rsidRDefault="006D23C5" w:rsidP="00575FFA">
      <w:pPr>
        <w:pStyle w:val="SingleTxtG"/>
        <w:ind w:left="1701"/>
        <w:rPr>
          <w:lang w:val="en-US"/>
        </w:rPr>
      </w:pPr>
      <w:r>
        <w:t>“</w:t>
      </w:r>
      <w:r w:rsidR="000B5CDE" w:rsidRPr="00992A9B">
        <w:t>Article 12: Any person suffering from a sexually transmitted infection or from HIV/AIDS in particular must enjoy civil, civic, political and social rights without discrimination: the rights to housing, education, employment, health and social protection.</w:t>
      </w:r>
      <w:r>
        <w:t>”</w:t>
      </w:r>
    </w:p>
    <w:p w14:paraId="23070E94" w14:textId="1B3E3E80" w:rsidR="000B5CDE" w:rsidRPr="00992A9B" w:rsidRDefault="000B5CDE" w:rsidP="00575FFA">
      <w:pPr>
        <w:pStyle w:val="Bullet1G"/>
        <w:rPr>
          <w:lang w:val="en-US"/>
        </w:rPr>
      </w:pPr>
      <w:r w:rsidRPr="00992A9B">
        <w:lastRenderedPageBreak/>
        <w:t>Act No. 2007.042 of 3 September 2007, the Prevention, Care and Control of HIV/AIDS Act, and its implementing regulations, which were adopted to ensure proper care for people with AIDs and people carrying HIV:</w:t>
      </w:r>
    </w:p>
    <w:p w14:paraId="60C714D6" w14:textId="7616968A" w:rsidR="000B5CDE" w:rsidRPr="00992A9B" w:rsidRDefault="006D23C5" w:rsidP="00575FFA">
      <w:pPr>
        <w:pStyle w:val="SingleTxtG"/>
        <w:ind w:left="1701"/>
        <w:rPr>
          <w:lang w:val="en-US"/>
        </w:rPr>
      </w:pPr>
      <w:r>
        <w:t>“</w:t>
      </w:r>
      <w:r w:rsidR="000B5CDE" w:rsidRPr="00992A9B">
        <w:t>Article 17: Anyone who knows that he or she is infected with HIV/AIDS or a sexually transmitted infection must inform his or her partner(s).</w:t>
      </w:r>
    </w:p>
    <w:p w14:paraId="5077441C" w14:textId="43F458F4" w:rsidR="000B5CDE" w:rsidRPr="00992A9B" w:rsidRDefault="000B5CDE" w:rsidP="00575FFA">
      <w:pPr>
        <w:pStyle w:val="SingleTxtG"/>
        <w:ind w:left="1701"/>
        <w:rPr>
          <w:lang w:val="en-US"/>
        </w:rPr>
      </w:pPr>
      <w:r w:rsidRPr="00992A9B">
        <w:t>Article 19: Anyone who is aware that he or she is infected with HIV and who fails to take necessary and sufficient precautions to protect his or her partner(s) shall be liable to the criminal penalties provided for by the laws in force.</w:t>
      </w:r>
      <w:r w:rsidR="006D23C5">
        <w:t>”</w:t>
      </w:r>
    </w:p>
    <w:p w14:paraId="0A7CD55E" w14:textId="77777777" w:rsidR="000B5CDE" w:rsidRPr="00992A9B" w:rsidRDefault="000B5CDE" w:rsidP="00575FFA">
      <w:pPr>
        <w:pStyle w:val="SingleTxtG"/>
        <w:ind w:left="1701"/>
        <w:rPr>
          <w:lang w:val="en-US"/>
        </w:rPr>
      </w:pPr>
      <w:r w:rsidRPr="00992A9B">
        <w:t xml:space="preserve">The following are prohibited and punishable by law: </w:t>
      </w:r>
    </w:p>
    <w:p w14:paraId="72123FE7" w14:textId="3DF08520" w:rsidR="000B5CDE" w:rsidRPr="00992A9B" w:rsidRDefault="000B5CDE" w:rsidP="00575FFA">
      <w:pPr>
        <w:pStyle w:val="Bullet2G"/>
        <w:rPr>
          <w:lang w:val="en-US"/>
        </w:rPr>
      </w:pPr>
      <w:r w:rsidRPr="00992A9B">
        <w:t>All forms of sexual violence, female genital mutilation</w:t>
      </w:r>
    </w:p>
    <w:p w14:paraId="412A6912" w14:textId="4F2FE12F" w:rsidR="000B5CDE" w:rsidRPr="00992A9B" w:rsidRDefault="000B5CDE" w:rsidP="00575FFA">
      <w:pPr>
        <w:pStyle w:val="Bullet2G"/>
        <w:rPr>
          <w:lang w:val="en-US"/>
        </w:rPr>
      </w:pPr>
      <w:r w:rsidRPr="00992A9B">
        <w:t>Castration</w:t>
      </w:r>
    </w:p>
    <w:p w14:paraId="130D9D9A" w14:textId="7ADEA9A1" w:rsidR="000B5CDE" w:rsidRPr="00992A9B" w:rsidRDefault="000B5CDE" w:rsidP="00575FFA">
      <w:pPr>
        <w:pStyle w:val="Bullet2G"/>
        <w:rPr>
          <w:lang w:val="en-US"/>
        </w:rPr>
      </w:pPr>
      <w:r w:rsidRPr="00992A9B">
        <w:t>Intentional transmission of HIV/AIDS</w:t>
      </w:r>
    </w:p>
    <w:p w14:paraId="0C63CA0E" w14:textId="4B1E725C" w:rsidR="000B5CDE" w:rsidRPr="00992A9B" w:rsidRDefault="000B5CDE" w:rsidP="00575FFA">
      <w:pPr>
        <w:pStyle w:val="Bullet2G"/>
        <w:rPr>
          <w:lang w:val="en-US"/>
        </w:rPr>
      </w:pPr>
      <w:r w:rsidRPr="00992A9B">
        <w:t>Sexual exploitation in all its forms</w:t>
      </w:r>
    </w:p>
    <w:p w14:paraId="6B4B3BE6" w14:textId="6A160A69" w:rsidR="000B5CDE" w:rsidRPr="00992A9B" w:rsidRDefault="000B5CDE" w:rsidP="00575FFA">
      <w:pPr>
        <w:pStyle w:val="Bullet2G"/>
        <w:rPr>
          <w:lang w:val="en-US"/>
        </w:rPr>
      </w:pPr>
      <w:r w:rsidRPr="00992A9B">
        <w:t>Misleading advertising of contraceptive methods</w:t>
      </w:r>
    </w:p>
    <w:p w14:paraId="4045C4F7" w14:textId="70D74EFC" w:rsidR="000B5CDE" w:rsidRPr="00992A9B" w:rsidRDefault="000B5CDE" w:rsidP="00575FFA">
      <w:pPr>
        <w:pStyle w:val="Bullet2G"/>
        <w:rPr>
          <w:lang w:val="en-US"/>
        </w:rPr>
      </w:pPr>
      <w:r w:rsidRPr="00992A9B">
        <w:t>Dissemination of images and messages that may harm reproductive health or are contrary to the precepts of the sharia</w:t>
      </w:r>
    </w:p>
    <w:p w14:paraId="4FA20C79" w14:textId="5508A3E6" w:rsidR="000B5CDE" w:rsidRPr="00992A9B" w:rsidRDefault="00575FFA" w:rsidP="00575FFA">
      <w:pPr>
        <w:pStyle w:val="H1G"/>
        <w:rPr>
          <w:lang w:val="en-US"/>
        </w:rPr>
      </w:pPr>
      <w:r>
        <w:tab/>
      </w:r>
      <w:r w:rsidR="000B5CDE" w:rsidRPr="00992A9B">
        <w:t>G.</w:t>
      </w:r>
      <w:r w:rsidR="000B5CDE" w:rsidRPr="00992A9B">
        <w:tab/>
        <w:t>Right to education (arts. 13 and 14)</w:t>
      </w:r>
    </w:p>
    <w:p w14:paraId="16C56882" w14:textId="77777777" w:rsidR="000B5CDE" w:rsidRPr="00992A9B" w:rsidRDefault="000B5CDE" w:rsidP="00575FFA">
      <w:pPr>
        <w:pStyle w:val="H23G"/>
        <w:rPr>
          <w:lang w:val="en-US"/>
        </w:rPr>
      </w:pPr>
      <w:r w:rsidRPr="00992A9B">
        <w:tab/>
      </w:r>
      <w:r w:rsidRPr="00992A9B">
        <w:tab/>
        <w:t>Reply to paragraphs 27–29 of the list of issues</w:t>
      </w:r>
    </w:p>
    <w:p w14:paraId="2E4701F1" w14:textId="77777777" w:rsidR="000B5CDE" w:rsidRPr="00992A9B" w:rsidRDefault="000B5CDE" w:rsidP="00F47753">
      <w:pPr>
        <w:pStyle w:val="SingleTxtG"/>
        <w:rPr>
          <w:lang w:val="en-US"/>
        </w:rPr>
      </w:pPr>
      <w:r w:rsidRPr="00992A9B">
        <w:t>89.</w:t>
      </w:r>
      <w:r w:rsidRPr="00992A9B">
        <w:tab/>
        <w:t>In the field of education, the Government has launched a project to build a republican school system, through the following measures:</w:t>
      </w:r>
    </w:p>
    <w:p w14:paraId="752255A9" w14:textId="3E78B5A2" w:rsidR="000B5CDE" w:rsidRPr="00992A9B" w:rsidRDefault="000B5CDE" w:rsidP="00393746">
      <w:pPr>
        <w:pStyle w:val="Bullet1G"/>
        <w:rPr>
          <w:lang w:val="en-US"/>
        </w:rPr>
      </w:pPr>
      <w:r w:rsidRPr="00992A9B">
        <w:t xml:space="preserve">Adoption of a decree by the Council of Ministers on 16 November 2022 to institute and celebrate 30 October as the National Day of the Republican School; this decree establishes 30 October each year as the National Day of the Republican School, to be celebrated annually throughout the country, in all </w:t>
      </w:r>
      <w:r w:rsidRPr="00992A9B">
        <w:rPr>
          <w:i/>
          <w:iCs/>
        </w:rPr>
        <w:t xml:space="preserve">wilayas </w:t>
      </w:r>
      <w:r w:rsidRPr="00992A9B">
        <w:t xml:space="preserve">and </w:t>
      </w:r>
      <w:r w:rsidRPr="00992A9B">
        <w:rPr>
          <w:i/>
          <w:iCs/>
        </w:rPr>
        <w:t>moughataas</w:t>
      </w:r>
      <w:r w:rsidRPr="00992A9B">
        <w:t>; the ceremonies commemorating this national day will be an opportunity to honour the personalities and institutions that have contributed to the success of the republican school system and its continued existence</w:t>
      </w:r>
    </w:p>
    <w:p w14:paraId="413D2FCD" w14:textId="37DCEE34" w:rsidR="000B5CDE" w:rsidRPr="00992A9B" w:rsidRDefault="000B5CDE" w:rsidP="00393746">
      <w:pPr>
        <w:pStyle w:val="Bullet1G"/>
        <w:rPr>
          <w:lang w:val="en-US"/>
        </w:rPr>
      </w:pPr>
      <w:r w:rsidRPr="00992A9B">
        <w:t>Promotion of high quality pedagogical support</w:t>
      </w:r>
    </w:p>
    <w:p w14:paraId="635FAB9B" w14:textId="31AB1F60" w:rsidR="000B5CDE" w:rsidRPr="00992A9B" w:rsidRDefault="000B5CDE" w:rsidP="00393746">
      <w:pPr>
        <w:pStyle w:val="Bullet1G"/>
        <w:rPr>
          <w:lang w:val="en-US"/>
        </w:rPr>
      </w:pPr>
      <w:r w:rsidRPr="00992A9B">
        <w:t>Establishment of a public administrative body called the National Authority for the Evaluation and Monitoring of the Quality of Basic and Secondary Education</w:t>
      </w:r>
    </w:p>
    <w:p w14:paraId="684734DE" w14:textId="0CDF8197" w:rsidR="000B5CDE" w:rsidRPr="00992A9B" w:rsidRDefault="000B5CDE" w:rsidP="00393746">
      <w:pPr>
        <w:pStyle w:val="Bullet1G"/>
        <w:rPr>
          <w:lang w:val="en-US"/>
        </w:rPr>
      </w:pPr>
      <w:r w:rsidRPr="00992A9B">
        <w:t>Creation of two new pedagogical support centres for secondary education, and reinforcement of the material and financial resources allocated for this purpose, including through the acquisition of 41 vehicles for regional directorates, inspectorates and teacher training colleges</w:t>
      </w:r>
    </w:p>
    <w:p w14:paraId="0EC42781" w14:textId="757B3DEB" w:rsidR="000B5CDE" w:rsidRPr="00992A9B" w:rsidRDefault="000B5CDE" w:rsidP="00393746">
      <w:pPr>
        <w:pStyle w:val="Bullet1G"/>
        <w:rPr>
          <w:lang w:val="en-US"/>
        </w:rPr>
      </w:pPr>
      <w:r w:rsidRPr="00992A9B">
        <w:t>In 2022, setting up of 750 new school management committees, bringing the total number to over 1,400 nationwide, with the aim of involving recipients of school services in their management and protection</w:t>
      </w:r>
    </w:p>
    <w:p w14:paraId="162C4733" w14:textId="140345D4" w:rsidR="000B5CDE" w:rsidRPr="00992A9B" w:rsidRDefault="000B5CDE" w:rsidP="00393746">
      <w:pPr>
        <w:pStyle w:val="Bullet1G"/>
        <w:rPr>
          <w:lang w:val="en-US"/>
        </w:rPr>
      </w:pPr>
      <w:r w:rsidRPr="00992A9B">
        <w:t>Decentralization of the management of certain examinations; the examination for the certificate of completion of the first stage of secondary education and the entrance examination for the first year of secondary school were successfully decentralized for the first time in 2021–2022</w:t>
      </w:r>
    </w:p>
    <w:p w14:paraId="3BB42002" w14:textId="77777777" w:rsidR="000B5CDE" w:rsidRPr="00992A9B" w:rsidRDefault="000B5CDE" w:rsidP="00F47753">
      <w:pPr>
        <w:pStyle w:val="SingleTxtG"/>
        <w:rPr>
          <w:lang w:val="en-US"/>
        </w:rPr>
      </w:pPr>
      <w:r w:rsidRPr="00992A9B">
        <w:t>90.</w:t>
      </w:r>
      <w:r w:rsidRPr="00992A9B">
        <w:tab/>
        <w:t>Efforts have been made at all levels of education. With regard to basic and secondary education, the following measures should be highlighted:</w:t>
      </w:r>
    </w:p>
    <w:p w14:paraId="083CB436" w14:textId="5C9A8764" w:rsidR="000B5CDE" w:rsidRPr="00992A9B" w:rsidRDefault="000B5CDE" w:rsidP="00393746">
      <w:pPr>
        <w:pStyle w:val="Bullet1G"/>
        <w:rPr>
          <w:lang w:val="en-US"/>
        </w:rPr>
      </w:pPr>
      <w:r w:rsidRPr="00992A9B">
        <w:t>Development of broader access to the foundations of the system, with the main achievements in this area in the period 2019–2022 including:</w:t>
      </w:r>
    </w:p>
    <w:p w14:paraId="1BDA3A09" w14:textId="2F48FC11" w:rsidR="000B5CDE" w:rsidRPr="00992A9B" w:rsidRDefault="000B5CDE" w:rsidP="00393746">
      <w:pPr>
        <w:pStyle w:val="Bullet1G"/>
        <w:rPr>
          <w:lang w:val="en-US"/>
        </w:rPr>
      </w:pPr>
      <w:r w:rsidRPr="00992A9B">
        <w:t>Completion and handover of 1,400 classrooms, and the start of work on a further 1,200</w:t>
      </w:r>
    </w:p>
    <w:p w14:paraId="1DF12A83" w14:textId="1DFAF1DE" w:rsidR="000B5CDE" w:rsidRPr="00992A9B" w:rsidRDefault="000B5CDE" w:rsidP="00393746">
      <w:pPr>
        <w:pStyle w:val="Bullet1G"/>
        <w:rPr>
          <w:lang w:val="en-US"/>
        </w:rPr>
      </w:pPr>
      <w:r w:rsidRPr="00992A9B">
        <w:lastRenderedPageBreak/>
        <w:t xml:space="preserve">Rehabilitation of around 100 establishments, including 28 in Nouakchott, which will be enlarged and restored with </w:t>
      </w:r>
      <w:proofErr w:type="gramStart"/>
      <w:r w:rsidRPr="00992A9B">
        <w:t>special measures</w:t>
      </w:r>
      <w:proofErr w:type="gramEnd"/>
      <w:r w:rsidRPr="00992A9B">
        <w:t xml:space="preserve"> to protect them against flooding</w:t>
      </w:r>
    </w:p>
    <w:p w14:paraId="47F8A2C1" w14:textId="3F1D9562" w:rsidR="000B5CDE" w:rsidRPr="00992A9B" w:rsidRDefault="000B5CDE" w:rsidP="00393746">
      <w:pPr>
        <w:pStyle w:val="Bullet1G"/>
        <w:rPr>
          <w:lang w:val="en-US"/>
        </w:rPr>
      </w:pPr>
      <w:r w:rsidRPr="00992A9B">
        <w:t>Recruitment of 8,040 teachers (compared with the 6,000 initially planned over the three-year period)</w:t>
      </w:r>
    </w:p>
    <w:p w14:paraId="2888A4AD" w14:textId="6CF8B23B" w:rsidR="000B5CDE" w:rsidRPr="00992A9B" w:rsidRDefault="000B5CDE" w:rsidP="00393746">
      <w:pPr>
        <w:pStyle w:val="Bullet1G"/>
        <w:rPr>
          <w:lang w:val="en-US"/>
        </w:rPr>
      </w:pPr>
      <w:r w:rsidRPr="00992A9B">
        <w:t>Support for the school meals programme benefiting 190,000 pupils, mainly from impoverished families, in 370 schools nationwide, in addition to a deworming campaign that reached 69,840 pupils</w:t>
      </w:r>
    </w:p>
    <w:p w14:paraId="1D223D2B" w14:textId="1BDA7546" w:rsidR="000B5CDE" w:rsidRPr="00992A9B" w:rsidRDefault="000B5CDE" w:rsidP="00393746">
      <w:pPr>
        <w:pStyle w:val="Bullet1G"/>
        <w:rPr>
          <w:lang w:val="en-US"/>
        </w:rPr>
      </w:pPr>
      <w:r w:rsidRPr="00992A9B">
        <w:t>Establishment of a programme to distribute school uniforms to 150 schools</w:t>
      </w:r>
    </w:p>
    <w:p w14:paraId="45915690" w14:textId="26D1D161" w:rsidR="000B5CDE" w:rsidRPr="00992A9B" w:rsidRDefault="000B5CDE" w:rsidP="00393746">
      <w:pPr>
        <w:pStyle w:val="Bullet1G"/>
        <w:rPr>
          <w:lang w:val="en-US"/>
        </w:rPr>
      </w:pPr>
      <w:r w:rsidRPr="00992A9B">
        <w:t>Provision of an annual grant to 362 basic and secondary schools</w:t>
      </w:r>
    </w:p>
    <w:p w14:paraId="73B2B823" w14:textId="2BE4D479" w:rsidR="000B5CDE" w:rsidRPr="00992A9B" w:rsidRDefault="000B5CDE" w:rsidP="00393746">
      <w:pPr>
        <w:pStyle w:val="Bullet1G"/>
        <w:rPr>
          <w:lang w:val="en-US"/>
        </w:rPr>
      </w:pPr>
      <w:r w:rsidRPr="00992A9B">
        <w:t>Improvement of teachers</w:t>
      </w:r>
      <w:r w:rsidR="008050AE">
        <w:t>’</w:t>
      </w:r>
      <w:r w:rsidRPr="00992A9B">
        <w:t xml:space="preserve"> working conditions through an increase in salaries of 30 per cent and, since January 2021, of compensation for 27,000 teachers through a 150 per cent increase in the distance allowance, payment of the classroom allowance over 12</w:t>
      </w:r>
      <w:r w:rsidR="00EB5256">
        <w:t> </w:t>
      </w:r>
      <w:r w:rsidRPr="00992A9B">
        <w:t>months, instead of 9 months, and extension of the allowance to heads of basic and secondary schools</w:t>
      </w:r>
    </w:p>
    <w:p w14:paraId="2A4F1126" w14:textId="77777777" w:rsidR="000B5CDE" w:rsidRPr="00992A9B" w:rsidRDefault="000B5CDE" w:rsidP="00F47753">
      <w:pPr>
        <w:pStyle w:val="SingleTxtG"/>
        <w:rPr>
          <w:lang w:val="en-US"/>
        </w:rPr>
      </w:pPr>
      <w:r w:rsidRPr="00992A9B">
        <w:t>91.</w:t>
      </w:r>
      <w:r w:rsidRPr="00992A9B">
        <w:tab/>
        <w:t>Efforts to enhance the quality and internal efficiency of basic education have focused in particular on:</w:t>
      </w:r>
    </w:p>
    <w:p w14:paraId="3651B127" w14:textId="506F3E1C" w:rsidR="000B5CDE" w:rsidRPr="00992A9B" w:rsidRDefault="000B5CDE" w:rsidP="00393746">
      <w:pPr>
        <w:pStyle w:val="Bullet1G"/>
        <w:rPr>
          <w:lang w:val="en-US"/>
        </w:rPr>
      </w:pPr>
      <w:r w:rsidRPr="00992A9B">
        <w:t>In-service training for 9,000 teachers</w:t>
      </w:r>
    </w:p>
    <w:p w14:paraId="7705F08B" w14:textId="56AE8A4B" w:rsidR="000B5CDE" w:rsidRPr="00992A9B" w:rsidRDefault="000B5CDE" w:rsidP="00393746">
      <w:pPr>
        <w:pStyle w:val="Bullet1G"/>
        <w:rPr>
          <w:lang w:val="en-US"/>
        </w:rPr>
      </w:pPr>
      <w:r w:rsidRPr="00992A9B">
        <w:t>Conduct of three teacher evaluations</w:t>
      </w:r>
    </w:p>
    <w:p w14:paraId="39E9FA5C" w14:textId="00FC3C16" w:rsidR="000B5CDE" w:rsidRPr="00992A9B" w:rsidRDefault="000B5CDE" w:rsidP="00393746">
      <w:pPr>
        <w:pStyle w:val="Bullet1G"/>
        <w:rPr>
          <w:lang w:val="en-US"/>
        </w:rPr>
      </w:pPr>
      <w:r w:rsidRPr="00992A9B">
        <w:t>Printing and distribution of over 1,600,000 textbooks</w:t>
      </w:r>
    </w:p>
    <w:p w14:paraId="60366A9F" w14:textId="77777777" w:rsidR="000B5CDE" w:rsidRPr="00992A9B" w:rsidRDefault="000B5CDE" w:rsidP="00F47753">
      <w:pPr>
        <w:pStyle w:val="SingleTxtG"/>
        <w:rPr>
          <w:lang w:val="en-US"/>
        </w:rPr>
      </w:pPr>
      <w:r w:rsidRPr="00992A9B">
        <w:t>92.</w:t>
      </w:r>
      <w:r w:rsidRPr="00992A9B">
        <w:tab/>
        <w:t>The achievements made at these levels of education have had a positive impact on the development of the education sector. For example, the net enrolment ratio at the primary level has risen from 77 per cent in 2018/19 to 79 per cent in 2021/22, and the success rate in competitive examinations stands at 55 per cent in 2021/22, compared with 47.3 per cent in 2018/19, an increase of almost 8 percentage points.</w:t>
      </w:r>
    </w:p>
    <w:p w14:paraId="22A52F61" w14:textId="77777777" w:rsidR="000B5CDE" w:rsidRPr="00992A9B" w:rsidRDefault="000B5CDE" w:rsidP="00773CBC">
      <w:pPr>
        <w:pStyle w:val="H23G"/>
      </w:pPr>
      <w:r w:rsidRPr="00992A9B">
        <w:tab/>
      </w:r>
      <w:r w:rsidRPr="00992A9B">
        <w:tab/>
        <w:t>Selected school indicators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96"/>
        <w:gridCol w:w="2287"/>
        <w:gridCol w:w="2287"/>
      </w:tblGrid>
      <w:tr w:rsidR="00561664" w:rsidRPr="00561664" w14:paraId="7BB49B50" w14:textId="77777777" w:rsidTr="00561664">
        <w:trPr>
          <w:tblHeader/>
        </w:trPr>
        <w:tc>
          <w:tcPr>
            <w:tcW w:w="2796" w:type="dxa"/>
            <w:tcBorders>
              <w:top w:val="single" w:sz="4" w:space="0" w:color="auto"/>
              <w:bottom w:val="single" w:sz="12" w:space="0" w:color="auto"/>
            </w:tcBorders>
            <w:shd w:val="clear" w:color="auto" w:fill="auto"/>
            <w:vAlign w:val="bottom"/>
          </w:tcPr>
          <w:p w14:paraId="36175902" w14:textId="77777777" w:rsidR="000B5CDE" w:rsidRPr="00561664" w:rsidRDefault="000B5CDE" w:rsidP="00561664">
            <w:pPr>
              <w:pStyle w:val="SingleTxtG"/>
              <w:tabs>
                <w:tab w:val="clear" w:pos="1701"/>
                <w:tab w:val="clear" w:pos="2268"/>
              </w:tabs>
              <w:suppressAutoHyphens w:val="0"/>
              <w:spacing w:before="80" w:after="80" w:line="200" w:lineRule="exact"/>
              <w:ind w:left="0" w:right="113"/>
              <w:jc w:val="left"/>
              <w:rPr>
                <w:bCs/>
                <w:i/>
                <w:sz w:val="16"/>
                <w:lang w:val="fr-FR"/>
              </w:rPr>
            </w:pPr>
          </w:p>
        </w:tc>
        <w:tc>
          <w:tcPr>
            <w:tcW w:w="2287" w:type="dxa"/>
            <w:tcBorders>
              <w:top w:val="single" w:sz="4" w:space="0" w:color="auto"/>
              <w:bottom w:val="single" w:sz="12" w:space="0" w:color="auto"/>
            </w:tcBorders>
            <w:shd w:val="clear" w:color="auto" w:fill="auto"/>
            <w:vAlign w:val="bottom"/>
            <w:hideMark/>
          </w:tcPr>
          <w:p w14:paraId="38BE611E" w14:textId="1C006154" w:rsidR="000B5CDE" w:rsidRPr="00561664" w:rsidRDefault="000B5CDE" w:rsidP="00561664">
            <w:pPr>
              <w:pStyle w:val="SingleTxtG"/>
              <w:tabs>
                <w:tab w:val="clear" w:pos="1701"/>
                <w:tab w:val="clear" w:pos="2268"/>
              </w:tabs>
              <w:suppressAutoHyphens w:val="0"/>
              <w:spacing w:before="80" w:after="80" w:line="200" w:lineRule="exact"/>
              <w:ind w:left="0" w:right="113"/>
              <w:jc w:val="right"/>
              <w:rPr>
                <w:bCs/>
                <w:i/>
                <w:sz w:val="16"/>
              </w:rPr>
            </w:pPr>
            <w:r w:rsidRPr="00561664">
              <w:rPr>
                <w:i/>
                <w:iCs/>
                <w:sz w:val="16"/>
              </w:rPr>
              <w:t>2018</w:t>
            </w:r>
            <w:r w:rsidR="00773CBC">
              <w:rPr>
                <w:i/>
                <w:iCs/>
                <w:sz w:val="16"/>
              </w:rPr>
              <w:t>–</w:t>
            </w:r>
            <w:r w:rsidRPr="00561664">
              <w:rPr>
                <w:i/>
                <w:iCs/>
                <w:sz w:val="16"/>
              </w:rPr>
              <w:t>2019</w:t>
            </w:r>
          </w:p>
        </w:tc>
        <w:tc>
          <w:tcPr>
            <w:tcW w:w="2287" w:type="dxa"/>
            <w:tcBorders>
              <w:top w:val="single" w:sz="4" w:space="0" w:color="auto"/>
              <w:bottom w:val="single" w:sz="12" w:space="0" w:color="auto"/>
            </w:tcBorders>
            <w:shd w:val="clear" w:color="auto" w:fill="auto"/>
            <w:vAlign w:val="bottom"/>
            <w:hideMark/>
          </w:tcPr>
          <w:p w14:paraId="7AA088FF" w14:textId="5BC79A67" w:rsidR="000B5CDE" w:rsidRPr="00561664" w:rsidRDefault="000B5CDE" w:rsidP="00561664">
            <w:pPr>
              <w:pStyle w:val="SingleTxtG"/>
              <w:tabs>
                <w:tab w:val="clear" w:pos="1701"/>
                <w:tab w:val="clear" w:pos="2268"/>
              </w:tabs>
              <w:suppressAutoHyphens w:val="0"/>
              <w:spacing w:before="80" w:after="80" w:line="200" w:lineRule="exact"/>
              <w:ind w:left="0" w:right="113"/>
              <w:jc w:val="right"/>
              <w:rPr>
                <w:bCs/>
                <w:i/>
                <w:sz w:val="16"/>
              </w:rPr>
            </w:pPr>
            <w:r w:rsidRPr="00561664">
              <w:rPr>
                <w:i/>
                <w:iCs/>
                <w:sz w:val="16"/>
              </w:rPr>
              <w:t>2021</w:t>
            </w:r>
            <w:r w:rsidR="00773CBC">
              <w:rPr>
                <w:i/>
                <w:iCs/>
                <w:sz w:val="16"/>
              </w:rPr>
              <w:t>–</w:t>
            </w:r>
            <w:r w:rsidRPr="00561664">
              <w:rPr>
                <w:i/>
                <w:iCs/>
                <w:sz w:val="16"/>
              </w:rPr>
              <w:t>2022</w:t>
            </w:r>
          </w:p>
        </w:tc>
      </w:tr>
      <w:tr w:rsidR="00561664" w:rsidRPr="00561664" w14:paraId="6FD15CC5" w14:textId="77777777" w:rsidTr="00561664">
        <w:tc>
          <w:tcPr>
            <w:tcW w:w="2796" w:type="dxa"/>
            <w:tcBorders>
              <w:top w:val="single" w:sz="12" w:space="0" w:color="auto"/>
            </w:tcBorders>
            <w:shd w:val="clear" w:color="auto" w:fill="auto"/>
          </w:tcPr>
          <w:p w14:paraId="5AB755DB"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left"/>
              <w:rPr>
                <w:sz w:val="18"/>
              </w:rPr>
            </w:pPr>
            <w:r w:rsidRPr="00561664">
              <w:rPr>
                <w:sz w:val="18"/>
              </w:rPr>
              <w:t>Net enrolment ratio (%)</w:t>
            </w:r>
          </w:p>
        </w:tc>
        <w:tc>
          <w:tcPr>
            <w:tcW w:w="2287" w:type="dxa"/>
            <w:tcBorders>
              <w:top w:val="single" w:sz="12" w:space="0" w:color="auto"/>
            </w:tcBorders>
            <w:shd w:val="clear" w:color="auto" w:fill="auto"/>
            <w:vAlign w:val="bottom"/>
            <w:hideMark/>
          </w:tcPr>
          <w:p w14:paraId="46658DE5"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
                <w:bCs/>
                <w:sz w:val="18"/>
              </w:rPr>
            </w:pPr>
            <w:r w:rsidRPr="00561664">
              <w:rPr>
                <w:sz w:val="18"/>
              </w:rPr>
              <w:t>77</w:t>
            </w:r>
          </w:p>
        </w:tc>
        <w:tc>
          <w:tcPr>
            <w:tcW w:w="2287" w:type="dxa"/>
            <w:tcBorders>
              <w:top w:val="single" w:sz="12" w:space="0" w:color="auto"/>
            </w:tcBorders>
            <w:shd w:val="clear" w:color="auto" w:fill="auto"/>
            <w:vAlign w:val="bottom"/>
            <w:hideMark/>
          </w:tcPr>
          <w:p w14:paraId="41017424"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
                <w:bCs/>
                <w:sz w:val="18"/>
              </w:rPr>
            </w:pPr>
            <w:r w:rsidRPr="00561664">
              <w:rPr>
                <w:sz w:val="18"/>
              </w:rPr>
              <w:t>79</w:t>
            </w:r>
          </w:p>
        </w:tc>
      </w:tr>
      <w:tr w:rsidR="00561664" w:rsidRPr="00561664" w14:paraId="646DA14B" w14:textId="77777777" w:rsidTr="00561664">
        <w:tc>
          <w:tcPr>
            <w:tcW w:w="2796" w:type="dxa"/>
            <w:shd w:val="clear" w:color="auto" w:fill="auto"/>
          </w:tcPr>
          <w:p w14:paraId="4DE0EDA6"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left"/>
              <w:rPr>
                <w:sz w:val="18"/>
                <w:lang w:val="en-US"/>
              </w:rPr>
            </w:pPr>
            <w:r w:rsidRPr="00561664">
              <w:rPr>
                <w:sz w:val="18"/>
              </w:rPr>
              <w:t>Success rate in competitive examinations (%)</w:t>
            </w:r>
          </w:p>
        </w:tc>
        <w:tc>
          <w:tcPr>
            <w:tcW w:w="2287" w:type="dxa"/>
            <w:shd w:val="clear" w:color="auto" w:fill="auto"/>
            <w:vAlign w:val="bottom"/>
            <w:hideMark/>
          </w:tcPr>
          <w:p w14:paraId="4909CB5A"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
                <w:bCs/>
                <w:sz w:val="18"/>
              </w:rPr>
            </w:pPr>
            <w:r w:rsidRPr="00561664">
              <w:rPr>
                <w:sz w:val="18"/>
              </w:rPr>
              <w:t>47.3</w:t>
            </w:r>
          </w:p>
        </w:tc>
        <w:tc>
          <w:tcPr>
            <w:tcW w:w="2287" w:type="dxa"/>
            <w:shd w:val="clear" w:color="auto" w:fill="auto"/>
            <w:vAlign w:val="bottom"/>
            <w:hideMark/>
          </w:tcPr>
          <w:p w14:paraId="17CB1191" w14:textId="77777777" w:rsidR="000B5CDE" w:rsidRPr="00561664" w:rsidRDefault="000B5CDE" w:rsidP="00561664">
            <w:pPr>
              <w:pStyle w:val="SingleTxtG"/>
              <w:tabs>
                <w:tab w:val="clear" w:pos="1701"/>
                <w:tab w:val="clear" w:pos="2268"/>
              </w:tabs>
              <w:suppressAutoHyphens w:val="0"/>
              <w:spacing w:before="40" w:after="40" w:line="220" w:lineRule="exact"/>
              <w:ind w:left="0" w:right="113"/>
              <w:jc w:val="right"/>
              <w:rPr>
                <w:b/>
                <w:bCs/>
                <w:sz w:val="18"/>
              </w:rPr>
            </w:pPr>
            <w:r w:rsidRPr="00561664">
              <w:rPr>
                <w:sz w:val="18"/>
              </w:rPr>
              <w:t>55</w:t>
            </w:r>
          </w:p>
        </w:tc>
      </w:tr>
    </w:tbl>
    <w:p w14:paraId="5CD1AE3C" w14:textId="77777777" w:rsidR="000B5CDE" w:rsidRPr="00992A9B" w:rsidRDefault="000B5CDE" w:rsidP="003053F9">
      <w:pPr>
        <w:pStyle w:val="SingleTxtG"/>
        <w:spacing w:before="240"/>
        <w:rPr>
          <w:lang w:val="en-US"/>
        </w:rPr>
      </w:pPr>
      <w:r w:rsidRPr="00992A9B">
        <w:t>93.</w:t>
      </w:r>
      <w:r w:rsidRPr="00992A9B">
        <w:tab/>
        <w:t>The management and governance of basic and secondary education have been improved, through:</w:t>
      </w:r>
    </w:p>
    <w:p w14:paraId="73161487" w14:textId="078B9EBE" w:rsidR="000B5CDE" w:rsidRPr="00992A9B" w:rsidRDefault="000B5CDE" w:rsidP="003053F9">
      <w:pPr>
        <w:pStyle w:val="Bullet1G"/>
        <w:rPr>
          <w:lang w:val="en-US"/>
        </w:rPr>
      </w:pPr>
      <w:r w:rsidRPr="00992A9B">
        <w:t>Adoption of the Framework Act on the National Education System</w:t>
      </w:r>
    </w:p>
    <w:p w14:paraId="311E6BFD" w14:textId="12559E14" w:rsidR="000B5CDE" w:rsidRPr="00992A9B" w:rsidRDefault="000B5CDE" w:rsidP="003053F9">
      <w:pPr>
        <w:pStyle w:val="Bullet1G"/>
        <w:rPr>
          <w:lang w:val="en-US"/>
        </w:rPr>
      </w:pPr>
      <w:r w:rsidRPr="00992A9B">
        <w:t>Setting up the National Education Council</w:t>
      </w:r>
    </w:p>
    <w:p w14:paraId="7721A6F1" w14:textId="799E2630" w:rsidR="000B5CDE" w:rsidRPr="00992A9B" w:rsidRDefault="000B5CDE" w:rsidP="003053F9">
      <w:pPr>
        <w:pStyle w:val="Bullet1G"/>
        <w:rPr>
          <w:lang w:val="en-US"/>
        </w:rPr>
      </w:pPr>
      <w:r w:rsidRPr="00992A9B">
        <w:t>Reorganization of teacher training colleges and reform of the status of teachers with the introduction of the grade of senior teacher</w:t>
      </w:r>
    </w:p>
    <w:p w14:paraId="610E6A2E" w14:textId="432BFB7B" w:rsidR="000B5CDE" w:rsidRPr="00992A9B" w:rsidRDefault="000B5CDE" w:rsidP="003053F9">
      <w:pPr>
        <w:pStyle w:val="Bullet1G"/>
        <w:rPr>
          <w:lang w:val="en-US"/>
        </w:rPr>
      </w:pPr>
      <w:r w:rsidRPr="00992A9B">
        <w:t>Incorporation of the various tools of the workforce information and management system (SIGE) to optimize human resources management</w:t>
      </w:r>
    </w:p>
    <w:p w14:paraId="010C3FA8" w14:textId="095B7F78" w:rsidR="000B5CDE" w:rsidRPr="00992A9B" w:rsidRDefault="000B5CDE" w:rsidP="003053F9">
      <w:pPr>
        <w:pStyle w:val="Bullet1G"/>
        <w:rPr>
          <w:lang w:val="en-US"/>
        </w:rPr>
      </w:pPr>
      <w:r w:rsidRPr="00992A9B">
        <w:t>Establishment of more than 750 school management committees</w:t>
      </w:r>
    </w:p>
    <w:p w14:paraId="4DF2B472" w14:textId="28FDE612" w:rsidR="000B5CDE" w:rsidRPr="00992A9B" w:rsidRDefault="000B5CDE" w:rsidP="003053F9">
      <w:pPr>
        <w:pStyle w:val="Bullet1G"/>
        <w:rPr>
          <w:lang w:val="en-US"/>
        </w:rPr>
      </w:pPr>
      <w:r w:rsidRPr="00992A9B">
        <w:t xml:space="preserve">Setting up of </w:t>
      </w:r>
      <w:r w:rsidR="006D23C5">
        <w:t>“</w:t>
      </w:r>
      <w:r w:rsidRPr="00992A9B">
        <w:t>school projects</w:t>
      </w:r>
      <w:r w:rsidR="006D23C5">
        <w:t>”</w:t>
      </w:r>
      <w:r w:rsidRPr="00992A9B">
        <w:t xml:space="preserve"> aimed at increasing professionalism and improving performance</w:t>
      </w:r>
    </w:p>
    <w:p w14:paraId="73015DE4" w14:textId="0C36C0DB" w:rsidR="000B5CDE" w:rsidRPr="00992A9B" w:rsidRDefault="000B5CDE" w:rsidP="003053F9">
      <w:pPr>
        <w:pStyle w:val="Bullet1G"/>
        <w:rPr>
          <w:lang w:val="en-US"/>
        </w:rPr>
      </w:pPr>
      <w:r w:rsidRPr="00992A9B">
        <w:t>Auditing of the book distribution chain</w:t>
      </w:r>
    </w:p>
    <w:p w14:paraId="167BEF63" w14:textId="77777777" w:rsidR="000B5CDE" w:rsidRPr="00992A9B" w:rsidRDefault="000B5CDE" w:rsidP="00F47753">
      <w:pPr>
        <w:pStyle w:val="SingleTxtG"/>
        <w:rPr>
          <w:lang w:val="en-US"/>
        </w:rPr>
      </w:pPr>
      <w:r w:rsidRPr="00992A9B">
        <w:t>94.</w:t>
      </w:r>
      <w:r w:rsidRPr="00992A9B">
        <w:tab/>
        <w:t xml:space="preserve">These achievements would not have been possible without a sustained budgetary effort. Within this framework, and in line with the commitments of the President of the Republic, the budget executed by the Department of National Education has increased significantly, from 5.2 billion ouguiyas in 2019 to 6.8 billion ouguiyas in 2021, despite the </w:t>
      </w:r>
      <w:r w:rsidRPr="00992A9B">
        <w:lastRenderedPageBreak/>
        <w:t>budgetary constraints and the slowdown in economic growth following the COVID-19 pandemic.</w:t>
      </w:r>
    </w:p>
    <w:p w14:paraId="2B9B70AC" w14:textId="6086BDE7" w:rsidR="000B5CDE" w:rsidRPr="00992A9B" w:rsidRDefault="003053F9" w:rsidP="003053F9">
      <w:pPr>
        <w:pStyle w:val="H1G"/>
        <w:rPr>
          <w:lang w:val="en-US"/>
        </w:rPr>
      </w:pPr>
      <w:r>
        <w:tab/>
      </w:r>
      <w:r w:rsidR="000B5CDE" w:rsidRPr="00992A9B">
        <w:t>H.</w:t>
      </w:r>
      <w:r w:rsidR="000B5CDE" w:rsidRPr="00992A9B">
        <w:tab/>
        <w:t>Cultural rights (art. 15)</w:t>
      </w:r>
    </w:p>
    <w:p w14:paraId="053E49CF" w14:textId="77777777" w:rsidR="000B5CDE" w:rsidRPr="00992A9B" w:rsidRDefault="000B5CDE" w:rsidP="00C87327">
      <w:pPr>
        <w:pStyle w:val="H23G"/>
        <w:rPr>
          <w:lang w:val="en-US"/>
        </w:rPr>
      </w:pPr>
      <w:r w:rsidRPr="00992A9B">
        <w:tab/>
      </w:r>
      <w:r w:rsidRPr="00992A9B">
        <w:tab/>
        <w:t>Reply to the issues raised in paragraph 30 of the list of issues</w:t>
      </w:r>
    </w:p>
    <w:p w14:paraId="41A23D13" w14:textId="77777777" w:rsidR="000B5CDE" w:rsidRPr="00992A9B" w:rsidRDefault="000B5CDE" w:rsidP="00F47753">
      <w:pPr>
        <w:pStyle w:val="SingleTxtG"/>
        <w:rPr>
          <w:lang w:val="en-US"/>
        </w:rPr>
      </w:pPr>
      <w:r w:rsidRPr="00992A9B">
        <w:t>95.</w:t>
      </w:r>
      <w:r w:rsidRPr="00992A9B">
        <w:tab/>
        <w:t>On the occasion of the National Day of the Republican School, the Government is launching the teaching of national languages (Pulaar, Soninke and Wolof) from the next school year, on an experimental basis in educational establishments, to those who do not speak them, in order to consolidate the complementarity between national languages and the official language.</w:t>
      </w:r>
    </w:p>
    <w:p w14:paraId="080DE88F" w14:textId="77777777" w:rsidR="000B5CDE" w:rsidRPr="00257E19" w:rsidRDefault="000B5CDE" w:rsidP="00F47753">
      <w:pPr>
        <w:pStyle w:val="SingleTxtG"/>
        <w:rPr>
          <w:lang w:val="en-US"/>
        </w:rPr>
      </w:pPr>
      <w:r w:rsidRPr="00992A9B">
        <w:t>96.</w:t>
      </w:r>
      <w:r w:rsidRPr="00992A9B">
        <w:tab/>
        <w:t xml:space="preserve">The Institute for the Promotion of National Languages is currently working to establish the necessary conditions and to train teachers to be able to start teaching national languages within the </w:t>
      </w:r>
      <w:proofErr w:type="gramStart"/>
      <w:r w:rsidRPr="00992A9B">
        <w:t>time frame</w:t>
      </w:r>
      <w:proofErr w:type="gramEnd"/>
      <w:r w:rsidRPr="00992A9B">
        <w:t xml:space="preserve"> set out in the Framework Act. A training workshop for national language teachers was launched on 16 November 2023.</w:t>
      </w:r>
    </w:p>
    <w:p w14:paraId="3E1424B4" w14:textId="77777777" w:rsidR="00CC171E" w:rsidRPr="006E2BFE" w:rsidRDefault="00CC171E" w:rsidP="00CC171E">
      <w:pPr>
        <w:spacing w:before="240"/>
        <w:jc w:val="center"/>
        <w:rPr>
          <w:u w:val="single"/>
        </w:rPr>
      </w:pPr>
      <w:r w:rsidRPr="006E2BFE">
        <w:rPr>
          <w:u w:val="single"/>
        </w:rPr>
        <w:tab/>
      </w:r>
      <w:r w:rsidRPr="006E2BFE">
        <w:rPr>
          <w:u w:val="single"/>
        </w:rPr>
        <w:tab/>
      </w:r>
      <w:r w:rsidRPr="006E2BFE">
        <w:rPr>
          <w:u w:val="single"/>
        </w:rPr>
        <w:tab/>
      </w:r>
    </w:p>
    <w:sectPr w:rsidR="00CC171E" w:rsidRPr="006E2BFE" w:rsidSect="0058769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6078F" w14:textId="77777777" w:rsidR="00907E51" w:rsidRPr="00FB1744" w:rsidRDefault="00907E51" w:rsidP="00FB1744">
      <w:pPr>
        <w:pStyle w:val="Footer"/>
      </w:pPr>
    </w:p>
  </w:endnote>
  <w:endnote w:type="continuationSeparator" w:id="0">
    <w:p w14:paraId="5619F855" w14:textId="77777777" w:rsidR="00907E51" w:rsidRPr="00FB1744" w:rsidRDefault="00907E5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9F78F" w14:textId="77777777" w:rsidR="005C51C5" w:rsidRDefault="005C51C5" w:rsidP="005C51C5">
    <w:pPr>
      <w:pStyle w:val="Footer"/>
      <w:tabs>
        <w:tab w:val="right" w:pos="9638"/>
      </w:tabs>
    </w:pPr>
    <w:r w:rsidRPr="005C51C5">
      <w:rPr>
        <w:b/>
        <w:bCs/>
        <w:sz w:val="18"/>
      </w:rPr>
      <w:fldChar w:fldCharType="begin"/>
    </w:r>
    <w:r w:rsidRPr="005C51C5">
      <w:rPr>
        <w:b/>
        <w:bCs/>
        <w:sz w:val="18"/>
      </w:rPr>
      <w:instrText xml:space="preserve"> PAGE  \* MERGEFORMAT </w:instrText>
    </w:r>
    <w:r w:rsidRPr="005C51C5">
      <w:rPr>
        <w:b/>
        <w:bCs/>
        <w:sz w:val="18"/>
      </w:rPr>
      <w:fldChar w:fldCharType="separate"/>
    </w:r>
    <w:r w:rsidRPr="005C51C5">
      <w:rPr>
        <w:b/>
        <w:bCs/>
        <w:noProof/>
        <w:sz w:val="18"/>
      </w:rPr>
      <w:t>2</w:t>
    </w:r>
    <w:r w:rsidRPr="005C51C5">
      <w:rPr>
        <w:b/>
        <w:bCs/>
        <w:sz w:val="18"/>
      </w:rPr>
      <w:fldChar w:fldCharType="end"/>
    </w:r>
    <w:r>
      <w:tab/>
      <w:t>GE.23-24904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40C24" w14:textId="77777777" w:rsidR="005C51C5" w:rsidRDefault="005C51C5" w:rsidP="005C51C5">
    <w:pPr>
      <w:pStyle w:val="Footer"/>
      <w:tabs>
        <w:tab w:val="right" w:pos="9638"/>
      </w:tabs>
    </w:pPr>
    <w:r>
      <w:t>GE.23-24904</w:t>
    </w:r>
    <w:r>
      <w:tab/>
    </w:r>
    <w:r w:rsidRPr="005C51C5">
      <w:rPr>
        <w:b/>
        <w:bCs/>
        <w:sz w:val="18"/>
      </w:rPr>
      <w:fldChar w:fldCharType="begin"/>
    </w:r>
    <w:r w:rsidRPr="005C51C5">
      <w:rPr>
        <w:b/>
        <w:bCs/>
        <w:sz w:val="18"/>
      </w:rPr>
      <w:instrText xml:space="preserve"> PAGE  \* MERGEFORMAT </w:instrText>
    </w:r>
    <w:r w:rsidRPr="005C51C5">
      <w:rPr>
        <w:b/>
        <w:bCs/>
        <w:sz w:val="18"/>
      </w:rPr>
      <w:fldChar w:fldCharType="separate"/>
    </w:r>
    <w:r w:rsidRPr="005C51C5">
      <w:rPr>
        <w:b/>
        <w:bCs/>
        <w:noProof/>
        <w:sz w:val="18"/>
      </w:rPr>
      <w:t>3</w:t>
    </w:r>
    <w:r w:rsidRPr="005C51C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40141" w14:textId="77777777" w:rsidR="00C448F7" w:rsidRDefault="005C51C5">
    <w:pPr>
      <w:pStyle w:val="Footer"/>
      <w:rPr>
        <w:sz w:val="20"/>
      </w:rPr>
    </w:pPr>
    <w:r w:rsidRPr="0027112F">
      <w:rPr>
        <w:noProof/>
        <w:lang w:val="en-US"/>
      </w:rPr>
      <w:drawing>
        <wp:anchor distT="0" distB="0" distL="114300" distR="114300" simplePos="0" relativeHeight="251659264" behindDoc="0" locked="1" layoutInCell="1" allowOverlap="1" wp14:anchorId="2107690F" wp14:editId="34561D5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A90D3A2" w14:textId="798EAD3E" w:rsidR="005C51C5" w:rsidRPr="005C51C5" w:rsidRDefault="005C51C5" w:rsidP="005C51C5">
    <w:pPr>
      <w:pStyle w:val="Footer"/>
      <w:tabs>
        <w:tab w:val="right" w:pos="7370"/>
      </w:tabs>
      <w:rPr>
        <w:sz w:val="20"/>
      </w:rPr>
    </w:pPr>
    <w:r>
      <w:rPr>
        <w:sz w:val="20"/>
      </w:rPr>
      <w:t>GE.23-24904  (E)</w:t>
    </w:r>
    <w:r>
      <w:rPr>
        <w:noProof/>
        <w:sz w:val="20"/>
      </w:rPr>
      <w:drawing>
        <wp:anchor distT="0" distB="0" distL="114300" distR="114300" simplePos="0" relativeHeight="251660288" behindDoc="0" locked="0" layoutInCell="1" allowOverlap="1" wp14:anchorId="66AFA775" wp14:editId="7BB8171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3357F">
      <w:rPr>
        <w:sz w:val="20"/>
      </w:rPr>
      <w:t xml:space="preserve">    230124    </w:t>
    </w:r>
    <w:r w:rsidR="006E2BFE">
      <w:rPr>
        <w:sz w:val="20"/>
      </w:rPr>
      <w:t>24</w:t>
    </w:r>
    <w:r w:rsidR="00E3357F">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4F8F2" w14:textId="77777777" w:rsidR="00907E51" w:rsidRPr="00FB1744" w:rsidRDefault="00907E51" w:rsidP="00FB1744">
      <w:pPr>
        <w:tabs>
          <w:tab w:val="right" w:pos="2155"/>
        </w:tabs>
        <w:spacing w:after="80" w:line="240" w:lineRule="auto"/>
        <w:ind w:left="680"/>
      </w:pPr>
      <w:r>
        <w:rPr>
          <w:u w:val="single"/>
        </w:rPr>
        <w:tab/>
      </w:r>
    </w:p>
  </w:footnote>
  <w:footnote w:type="continuationSeparator" w:id="0">
    <w:p w14:paraId="3899802B" w14:textId="77777777" w:rsidR="00907E51" w:rsidRPr="00FB1744" w:rsidRDefault="00907E51" w:rsidP="00FB1744">
      <w:pPr>
        <w:tabs>
          <w:tab w:val="right" w:pos="2155"/>
        </w:tabs>
        <w:spacing w:after="80" w:line="240" w:lineRule="auto"/>
        <w:ind w:left="680"/>
      </w:pPr>
      <w:r>
        <w:rPr>
          <w:u w:val="single"/>
        </w:rPr>
        <w:tab/>
      </w:r>
    </w:p>
  </w:footnote>
  <w:footnote w:id="1">
    <w:p w14:paraId="0EC1A994" w14:textId="3C883A31" w:rsidR="000B5CDE" w:rsidRPr="000B5CDE" w:rsidRDefault="000B5CDE">
      <w:pPr>
        <w:pStyle w:val="FootnoteText"/>
      </w:pPr>
      <w:r>
        <w:rPr>
          <w:rStyle w:val="FootnoteReference"/>
        </w:rPr>
        <w:tab/>
      </w:r>
      <w:r w:rsidRPr="000B5CDE">
        <w:rPr>
          <w:rStyle w:val="FootnoteReference"/>
          <w:sz w:val="20"/>
          <w:vertAlign w:val="baseline"/>
        </w:rPr>
        <w:t>*</w:t>
      </w:r>
      <w:r>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0C50D" w14:textId="77777777" w:rsidR="005C51C5" w:rsidRDefault="005C51C5" w:rsidP="005C51C5">
    <w:pPr>
      <w:pStyle w:val="Header"/>
    </w:pPr>
    <w:r>
      <w:t>E/C.12/MRT/RQ/2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C66DB" w14:textId="77777777" w:rsidR="005C51C5" w:rsidRDefault="005C51C5" w:rsidP="005C51C5">
    <w:pPr>
      <w:pStyle w:val="Header"/>
      <w:jc w:val="right"/>
    </w:pPr>
    <w:r>
      <w:t>E/C.12/MRT/RQ/2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AD59E3"/>
    <w:multiLevelType w:val="hybridMultilevel"/>
    <w:tmpl w:val="C72A0C06"/>
    <w:lvl w:ilvl="0" w:tplc="08090001">
      <w:start w:val="1"/>
      <w:numFmt w:val="bullet"/>
      <w:lvlText w:val=""/>
      <w:lvlJc w:val="left"/>
      <w:pPr>
        <w:ind w:left="2127" w:hanging="360"/>
      </w:pPr>
      <w:rPr>
        <w:rFonts w:ascii="Symbol" w:hAnsi="Symbol" w:hint="default"/>
      </w:rPr>
    </w:lvl>
    <w:lvl w:ilvl="1" w:tplc="FFFFFFFF" w:tentative="1">
      <w:start w:val="1"/>
      <w:numFmt w:val="bullet"/>
      <w:lvlText w:val="o"/>
      <w:lvlJc w:val="left"/>
      <w:pPr>
        <w:ind w:left="2847" w:hanging="360"/>
      </w:pPr>
      <w:rPr>
        <w:rFonts w:ascii="Courier New" w:hAnsi="Courier New" w:cs="Courier New" w:hint="default"/>
      </w:rPr>
    </w:lvl>
    <w:lvl w:ilvl="2" w:tplc="FFFFFFFF" w:tentative="1">
      <w:start w:val="1"/>
      <w:numFmt w:val="bullet"/>
      <w:lvlText w:val=""/>
      <w:lvlJc w:val="left"/>
      <w:pPr>
        <w:ind w:left="3567" w:hanging="360"/>
      </w:pPr>
      <w:rPr>
        <w:rFonts w:ascii="Wingdings" w:hAnsi="Wingdings" w:hint="default"/>
      </w:rPr>
    </w:lvl>
    <w:lvl w:ilvl="3" w:tplc="FFFFFFFF" w:tentative="1">
      <w:start w:val="1"/>
      <w:numFmt w:val="bullet"/>
      <w:lvlText w:val=""/>
      <w:lvlJc w:val="left"/>
      <w:pPr>
        <w:ind w:left="4287" w:hanging="360"/>
      </w:pPr>
      <w:rPr>
        <w:rFonts w:ascii="Symbol" w:hAnsi="Symbol" w:hint="default"/>
      </w:rPr>
    </w:lvl>
    <w:lvl w:ilvl="4" w:tplc="FFFFFFFF" w:tentative="1">
      <w:start w:val="1"/>
      <w:numFmt w:val="bullet"/>
      <w:lvlText w:val="o"/>
      <w:lvlJc w:val="left"/>
      <w:pPr>
        <w:ind w:left="5007" w:hanging="360"/>
      </w:pPr>
      <w:rPr>
        <w:rFonts w:ascii="Courier New" w:hAnsi="Courier New" w:cs="Courier New" w:hint="default"/>
      </w:rPr>
    </w:lvl>
    <w:lvl w:ilvl="5" w:tplc="FFFFFFFF" w:tentative="1">
      <w:start w:val="1"/>
      <w:numFmt w:val="bullet"/>
      <w:lvlText w:val=""/>
      <w:lvlJc w:val="left"/>
      <w:pPr>
        <w:ind w:left="5727" w:hanging="360"/>
      </w:pPr>
      <w:rPr>
        <w:rFonts w:ascii="Wingdings" w:hAnsi="Wingdings" w:hint="default"/>
      </w:rPr>
    </w:lvl>
    <w:lvl w:ilvl="6" w:tplc="FFFFFFFF" w:tentative="1">
      <w:start w:val="1"/>
      <w:numFmt w:val="bullet"/>
      <w:lvlText w:val=""/>
      <w:lvlJc w:val="left"/>
      <w:pPr>
        <w:ind w:left="6447" w:hanging="360"/>
      </w:pPr>
      <w:rPr>
        <w:rFonts w:ascii="Symbol" w:hAnsi="Symbol" w:hint="default"/>
      </w:rPr>
    </w:lvl>
    <w:lvl w:ilvl="7" w:tplc="FFFFFFFF" w:tentative="1">
      <w:start w:val="1"/>
      <w:numFmt w:val="bullet"/>
      <w:lvlText w:val="o"/>
      <w:lvlJc w:val="left"/>
      <w:pPr>
        <w:ind w:left="7167" w:hanging="360"/>
      </w:pPr>
      <w:rPr>
        <w:rFonts w:ascii="Courier New" w:hAnsi="Courier New" w:cs="Courier New" w:hint="default"/>
      </w:rPr>
    </w:lvl>
    <w:lvl w:ilvl="8" w:tplc="FFFFFFFF" w:tentative="1">
      <w:start w:val="1"/>
      <w:numFmt w:val="bullet"/>
      <w:lvlText w:val=""/>
      <w:lvlJc w:val="left"/>
      <w:pPr>
        <w:ind w:left="7887" w:hanging="360"/>
      </w:pPr>
      <w:rPr>
        <w:rFonts w:ascii="Wingdings" w:hAnsi="Wingdings" w:hint="default"/>
      </w:rPr>
    </w:lvl>
  </w:abstractNum>
  <w:abstractNum w:abstractNumId="2" w15:restartNumberingAfterBreak="0">
    <w:nsid w:val="0D954887"/>
    <w:multiLevelType w:val="hybridMultilevel"/>
    <w:tmpl w:val="6E24C118"/>
    <w:lvl w:ilvl="0" w:tplc="5DDC2278">
      <w:start w:val="1"/>
      <w:numFmt w:val="decimal"/>
      <w:lvlText w:val="%1."/>
      <w:lvlJc w:val="left"/>
      <w:pPr>
        <w:tabs>
          <w:tab w:val="num" w:pos="1701"/>
        </w:tabs>
        <w:ind w:left="1134" w:firstLine="0"/>
      </w:pPr>
      <w:rPr>
        <w:rFonts w:ascii="Times New Roman" w:hAnsi="Times New Roman" w:hint="default"/>
        <w:b w:val="0"/>
        <w:i w:val="0"/>
        <w:sz w:val="20"/>
      </w:rPr>
    </w:lvl>
    <w:lvl w:ilvl="1" w:tplc="AEC4301A" w:tentative="1">
      <w:start w:val="1"/>
      <w:numFmt w:val="lowerLetter"/>
      <w:lvlText w:val="%2."/>
      <w:lvlJc w:val="left"/>
      <w:pPr>
        <w:tabs>
          <w:tab w:val="num" w:pos="1440"/>
        </w:tabs>
        <w:ind w:left="1440" w:hanging="360"/>
      </w:pPr>
    </w:lvl>
    <w:lvl w:ilvl="2" w:tplc="C3588EDA" w:tentative="1">
      <w:start w:val="1"/>
      <w:numFmt w:val="lowerRoman"/>
      <w:lvlText w:val="%3."/>
      <w:lvlJc w:val="right"/>
      <w:pPr>
        <w:tabs>
          <w:tab w:val="num" w:pos="2160"/>
        </w:tabs>
        <w:ind w:left="2160" w:hanging="180"/>
      </w:pPr>
    </w:lvl>
    <w:lvl w:ilvl="3" w:tplc="B7B2DFCE" w:tentative="1">
      <w:start w:val="1"/>
      <w:numFmt w:val="decimal"/>
      <w:lvlText w:val="%4."/>
      <w:lvlJc w:val="left"/>
      <w:pPr>
        <w:tabs>
          <w:tab w:val="num" w:pos="2880"/>
        </w:tabs>
        <w:ind w:left="2880" w:hanging="360"/>
      </w:pPr>
    </w:lvl>
    <w:lvl w:ilvl="4" w:tplc="72B2B690" w:tentative="1">
      <w:start w:val="1"/>
      <w:numFmt w:val="lowerLetter"/>
      <w:lvlText w:val="%5."/>
      <w:lvlJc w:val="left"/>
      <w:pPr>
        <w:tabs>
          <w:tab w:val="num" w:pos="3600"/>
        </w:tabs>
        <w:ind w:left="3600" w:hanging="360"/>
      </w:pPr>
    </w:lvl>
    <w:lvl w:ilvl="5" w:tplc="32E4D852" w:tentative="1">
      <w:start w:val="1"/>
      <w:numFmt w:val="lowerRoman"/>
      <w:lvlText w:val="%6."/>
      <w:lvlJc w:val="right"/>
      <w:pPr>
        <w:tabs>
          <w:tab w:val="num" w:pos="4320"/>
        </w:tabs>
        <w:ind w:left="4320" w:hanging="180"/>
      </w:pPr>
    </w:lvl>
    <w:lvl w:ilvl="6" w:tplc="4B02244A" w:tentative="1">
      <w:start w:val="1"/>
      <w:numFmt w:val="decimal"/>
      <w:lvlText w:val="%7."/>
      <w:lvlJc w:val="left"/>
      <w:pPr>
        <w:tabs>
          <w:tab w:val="num" w:pos="5040"/>
        </w:tabs>
        <w:ind w:left="5040" w:hanging="360"/>
      </w:pPr>
    </w:lvl>
    <w:lvl w:ilvl="7" w:tplc="8056F484" w:tentative="1">
      <w:start w:val="1"/>
      <w:numFmt w:val="lowerLetter"/>
      <w:lvlText w:val="%8."/>
      <w:lvlJc w:val="left"/>
      <w:pPr>
        <w:tabs>
          <w:tab w:val="num" w:pos="5760"/>
        </w:tabs>
        <w:ind w:left="5760" w:hanging="360"/>
      </w:pPr>
    </w:lvl>
    <w:lvl w:ilvl="8" w:tplc="29A890C8"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7E597A"/>
    <w:multiLevelType w:val="hybridMultilevel"/>
    <w:tmpl w:val="F0962D5C"/>
    <w:lvl w:ilvl="0" w:tplc="C0BED6CE">
      <w:start w:val="1"/>
      <w:numFmt w:val="bullet"/>
      <w:lvlText w:val=""/>
      <w:lvlJc w:val="left"/>
      <w:pPr>
        <w:ind w:left="2563" w:hanging="360"/>
      </w:pPr>
      <w:rPr>
        <w:rFonts w:ascii="Symbol" w:hAnsi="Symbol" w:hint="default"/>
      </w:rPr>
    </w:lvl>
    <w:lvl w:ilvl="1" w:tplc="08090003" w:tentative="1">
      <w:start w:val="1"/>
      <w:numFmt w:val="bullet"/>
      <w:lvlText w:val="o"/>
      <w:lvlJc w:val="left"/>
      <w:pPr>
        <w:ind w:left="3283" w:hanging="360"/>
      </w:pPr>
      <w:rPr>
        <w:rFonts w:ascii="Courier New" w:hAnsi="Courier New" w:cs="Courier New" w:hint="default"/>
      </w:rPr>
    </w:lvl>
    <w:lvl w:ilvl="2" w:tplc="08090005" w:tentative="1">
      <w:start w:val="1"/>
      <w:numFmt w:val="bullet"/>
      <w:lvlText w:val=""/>
      <w:lvlJc w:val="left"/>
      <w:pPr>
        <w:ind w:left="4003" w:hanging="360"/>
      </w:pPr>
      <w:rPr>
        <w:rFonts w:ascii="Wingdings" w:hAnsi="Wingdings" w:hint="default"/>
      </w:rPr>
    </w:lvl>
    <w:lvl w:ilvl="3" w:tplc="08090001" w:tentative="1">
      <w:start w:val="1"/>
      <w:numFmt w:val="bullet"/>
      <w:lvlText w:val=""/>
      <w:lvlJc w:val="left"/>
      <w:pPr>
        <w:ind w:left="4723" w:hanging="360"/>
      </w:pPr>
      <w:rPr>
        <w:rFonts w:ascii="Symbol" w:hAnsi="Symbol" w:hint="default"/>
      </w:rPr>
    </w:lvl>
    <w:lvl w:ilvl="4" w:tplc="08090003" w:tentative="1">
      <w:start w:val="1"/>
      <w:numFmt w:val="bullet"/>
      <w:lvlText w:val="o"/>
      <w:lvlJc w:val="left"/>
      <w:pPr>
        <w:ind w:left="5443" w:hanging="360"/>
      </w:pPr>
      <w:rPr>
        <w:rFonts w:ascii="Courier New" w:hAnsi="Courier New" w:cs="Courier New" w:hint="default"/>
      </w:rPr>
    </w:lvl>
    <w:lvl w:ilvl="5" w:tplc="08090005" w:tentative="1">
      <w:start w:val="1"/>
      <w:numFmt w:val="bullet"/>
      <w:lvlText w:val=""/>
      <w:lvlJc w:val="left"/>
      <w:pPr>
        <w:ind w:left="6163" w:hanging="360"/>
      </w:pPr>
      <w:rPr>
        <w:rFonts w:ascii="Wingdings" w:hAnsi="Wingdings" w:hint="default"/>
      </w:rPr>
    </w:lvl>
    <w:lvl w:ilvl="6" w:tplc="08090001" w:tentative="1">
      <w:start w:val="1"/>
      <w:numFmt w:val="bullet"/>
      <w:lvlText w:val=""/>
      <w:lvlJc w:val="left"/>
      <w:pPr>
        <w:ind w:left="6883" w:hanging="360"/>
      </w:pPr>
      <w:rPr>
        <w:rFonts w:ascii="Symbol" w:hAnsi="Symbol" w:hint="default"/>
      </w:rPr>
    </w:lvl>
    <w:lvl w:ilvl="7" w:tplc="08090003" w:tentative="1">
      <w:start w:val="1"/>
      <w:numFmt w:val="bullet"/>
      <w:lvlText w:val="o"/>
      <w:lvlJc w:val="left"/>
      <w:pPr>
        <w:ind w:left="7603" w:hanging="360"/>
      </w:pPr>
      <w:rPr>
        <w:rFonts w:ascii="Courier New" w:hAnsi="Courier New" w:cs="Courier New" w:hint="default"/>
      </w:rPr>
    </w:lvl>
    <w:lvl w:ilvl="8" w:tplc="08090005" w:tentative="1">
      <w:start w:val="1"/>
      <w:numFmt w:val="bullet"/>
      <w:lvlText w:val=""/>
      <w:lvlJc w:val="left"/>
      <w:pPr>
        <w:ind w:left="8323"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A15F57"/>
    <w:multiLevelType w:val="hybridMultilevel"/>
    <w:tmpl w:val="F4168E06"/>
    <w:lvl w:ilvl="0" w:tplc="1DCED9AA">
      <w:start w:val="1"/>
      <w:numFmt w:val="decimal"/>
      <w:lvlText w:val="%1."/>
      <w:lvlJc w:val="left"/>
      <w:pPr>
        <w:ind w:left="1854" w:hanging="360"/>
      </w:pPr>
      <w:rPr>
        <w:rFonts w:ascii="Times New Roman" w:hAnsi="Times New Roman" w:cs="Times New Roman" w:hint="default"/>
        <w:b w:val="0"/>
        <w:bCs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34183D5C"/>
    <w:multiLevelType w:val="hybridMultilevel"/>
    <w:tmpl w:val="43C079A4"/>
    <w:lvl w:ilvl="0" w:tplc="D56061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CF4EB2"/>
    <w:multiLevelType w:val="hybridMultilevel"/>
    <w:tmpl w:val="AE82671E"/>
    <w:lvl w:ilvl="0" w:tplc="F6B296A4">
      <w:start w:val="1"/>
      <w:numFmt w:val="bullet"/>
      <w:lvlText w:val="•"/>
      <w:lvlJc w:val="left"/>
      <w:pPr>
        <w:tabs>
          <w:tab w:val="num" w:pos="2268"/>
        </w:tabs>
        <w:ind w:left="2268" w:hanging="170"/>
      </w:pPr>
      <w:rPr>
        <w:rFonts w:ascii="Times New Roman" w:hAnsi="Times New Roman" w:cs="Times New Roman" w:hint="default"/>
      </w:rPr>
    </w:lvl>
    <w:lvl w:ilvl="1" w:tplc="9F94A330" w:tentative="1">
      <w:start w:val="1"/>
      <w:numFmt w:val="bullet"/>
      <w:lvlText w:val="o"/>
      <w:lvlJc w:val="left"/>
      <w:pPr>
        <w:tabs>
          <w:tab w:val="num" w:pos="3708"/>
        </w:tabs>
        <w:ind w:left="3708" w:hanging="360"/>
      </w:pPr>
      <w:rPr>
        <w:rFonts w:ascii="Courier New" w:hAnsi="Courier New" w:hint="default"/>
      </w:rPr>
    </w:lvl>
    <w:lvl w:ilvl="2" w:tplc="CFDA7D04" w:tentative="1">
      <w:start w:val="1"/>
      <w:numFmt w:val="bullet"/>
      <w:lvlText w:val=""/>
      <w:lvlJc w:val="left"/>
      <w:pPr>
        <w:tabs>
          <w:tab w:val="num" w:pos="4428"/>
        </w:tabs>
        <w:ind w:left="4428" w:hanging="360"/>
      </w:pPr>
      <w:rPr>
        <w:rFonts w:ascii="Wingdings" w:hAnsi="Wingdings" w:hint="default"/>
      </w:rPr>
    </w:lvl>
    <w:lvl w:ilvl="3" w:tplc="60CE3578" w:tentative="1">
      <w:start w:val="1"/>
      <w:numFmt w:val="bullet"/>
      <w:lvlText w:val=""/>
      <w:lvlJc w:val="left"/>
      <w:pPr>
        <w:tabs>
          <w:tab w:val="num" w:pos="5148"/>
        </w:tabs>
        <w:ind w:left="5148" w:hanging="360"/>
      </w:pPr>
      <w:rPr>
        <w:rFonts w:ascii="Symbol" w:hAnsi="Symbol" w:hint="default"/>
      </w:rPr>
    </w:lvl>
    <w:lvl w:ilvl="4" w:tplc="8C4264A8" w:tentative="1">
      <w:start w:val="1"/>
      <w:numFmt w:val="bullet"/>
      <w:lvlText w:val="o"/>
      <w:lvlJc w:val="left"/>
      <w:pPr>
        <w:tabs>
          <w:tab w:val="num" w:pos="5868"/>
        </w:tabs>
        <w:ind w:left="5868" w:hanging="360"/>
      </w:pPr>
      <w:rPr>
        <w:rFonts w:ascii="Courier New" w:hAnsi="Courier New" w:hint="default"/>
      </w:rPr>
    </w:lvl>
    <w:lvl w:ilvl="5" w:tplc="FD9A8C68" w:tentative="1">
      <w:start w:val="1"/>
      <w:numFmt w:val="bullet"/>
      <w:lvlText w:val=""/>
      <w:lvlJc w:val="left"/>
      <w:pPr>
        <w:tabs>
          <w:tab w:val="num" w:pos="6588"/>
        </w:tabs>
        <w:ind w:left="6588" w:hanging="360"/>
      </w:pPr>
      <w:rPr>
        <w:rFonts w:ascii="Wingdings" w:hAnsi="Wingdings" w:hint="default"/>
      </w:rPr>
    </w:lvl>
    <w:lvl w:ilvl="6" w:tplc="FE2C7CA2" w:tentative="1">
      <w:start w:val="1"/>
      <w:numFmt w:val="bullet"/>
      <w:lvlText w:val=""/>
      <w:lvlJc w:val="left"/>
      <w:pPr>
        <w:tabs>
          <w:tab w:val="num" w:pos="7308"/>
        </w:tabs>
        <w:ind w:left="7308" w:hanging="360"/>
      </w:pPr>
      <w:rPr>
        <w:rFonts w:ascii="Symbol" w:hAnsi="Symbol" w:hint="default"/>
      </w:rPr>
    </w:lvl>
    <w:lvl w:ilvl="7" w:tplc="E09C69A0" w:tentative="1">
      <w:start w:val="1"/>
      <w:numFmt w:val="bullet"/>
      <w:lvlText w:val="o"/>
      <w:lvlJc w:val="left"/>
      <w:pPr>
        <w:tabs>
          <w:tab w:val="num" w:pos="8028"/>
        </w:tabs>
        <w:ind w:left="8028" w:hanging="360"/>
      </w:pPr>
      <w:rPr>
        <w:rFonts w:ascii="Courier New" w:hAnsi="Courier New" w:hint="default"/>
      </w:rPr>
    </w:lvl>
    <w:lvl w:ilvl="8" w:tplc="BDB08E28"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F601600"/>
    <w:multiLevelType w:val="hybridMultilevel"/>
    <w:tmpl w:val="8CF62B8E"/>
    <w:lvl w:ilvl="0" w:tplc="08090001">
      <w:start w:val="1"/>
      <w:numFmt w:val="bullet"/>
      <w:lvlText w:val=""/>
      <w:lvlJc w:val="left"/>
      <w:pPr>
        <w:ind w:left="1854" w:hanging="360"/>
      </w:pPr>
      <w:rPr>
        <w:rFonts w:ascii="Symbol" w:hAnsi="Symbol" w:hint="default"/>
        <w:b w:val="0"/>
        <w:bCs w:val="0"/>
        <w:sz w:val="20"/>
        <w:szCs w:val="20"/>
        <w:vertAlign w:val="baseline"/>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41645ADB"/>
    <w:multiLevelType w:val="hybridMultilevel"/>
    <w:tmpl w:val="C270C0D2"/>
    <w:lvl w:ilvl="0" w:tplc="C4AEF3A6">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9186519"/>
    <w:multiLevelType w:val="hybridMultilevel"/>
    <w:tmpl w:val="5F8E568E"/>
    <w:lvl w:ilvl="0" w:tplc="C0BED6CE">
      <w:start w:val="1"/>
      <w:numFmt w:val="bullet"/>
      <w:lvlText w:val=""/>
      <w:lvlJc w:val="left"/>
      <w:pPr>
        <w:ind w:left="2127" w:hanging="360"/>
      </w:pPr>
      <w:rPr>
        <w:rFonts w:ascii="Symbol" w:hAnsi="Symbol" w:hint="default"/>
      </w:rPr>
    </w:lvl>
    <w:lvl w:ilvl="1" w:tplc="08090003" w:tentative="1">
      <w:start w:val="1"/>
      <w:numFmt w:val="bullet"/>
      <w:lvlText w:val="o"/>
      <w:lvlJc w:val="left"/>
      <w:pPr>
        <w:ind w:left="2847" w:hanging="360"/>
      </w:pPr>
      <w:rPr>
        <w:rFonts w:ascii="Courier New" w:hAnsi="Courier New" w:cs="Courier New" w:hint="default"/>
      </w:rPr>
    </w:lvl>
    <w:lvl w:ilvl="2" w:tplc="08090005" w:tentative="1">
      <w:start w:val="1"/>
      <w:numFmt w:val="bullet"/>
      <w:lvlText w:val=""/>
      <w:lvlJc w:val="left"/>
      <w:pPr>
        <w:ind w:left="3567" w:hanging="360"/>
      </w:pPr>
      <w:rPr>
        <w:rFonts w:ascii="Wingdings" w:hAnsi="Wingdings" w:hint="default"/>
      </w:rPr>
    </w:lvl>
    <w:lvl w:ilvl="3" w:tplc="08090001" w:tentative="1">
      <w:start w:val="1"/>
      <w:numFmt w:val="bullet"/>
      <w:lvlText w:val=""/>
      <w:lvlJc w:val="left"/>
      <w:pPr>
        <w:ind w:left="4287" w:hanging="360"/>
      </w:pPr>
      <w:rPr>
        <w:rFonts w:ascii="Symbol" w:hAnsi="Symbol" w:hint="default"/>
      </w:rPr>
    </w:lvl>
    <w:lvl w:ilvl="4" w:tplc="08090003" w:tentative="1">
      <w:start w:val="1"/>
      <w:numFmt w:val="bullet"/>
      <w:lvlText w:val="o"/>
      <w:lvlJc w:val="left"/>
      <w:pPr>
        <w:ind w:left="5007" w:hanging="360"/>
      </w:pPr>
      <w:rPr>
        <w:rFonts w:ascii="Courier New" w:hAnsi="Courier New" w:cs="Courier New" w:hint="default"/>
      </w:rPr>
    </w:lvl>
    <w:lvl w:ilvl="5" w:tplc="08090005" w:tentative="1">
      <w:start w:val="1"/>
      <w:numFmt w:val="bullet"/>
      <w:lvlText w:val=""/>
      <w:lvlJc w:val="left"/>
      <w:pPr>
        <w:ind w:left="5727" w:hanging="360"/>
      </w:pPr>
      <w:rPr>
        <w:rFonts w:ascii="Wingdings" w:hAnsi="Wingdings" w:hint="default"/>
      </w:rPr>
    </w:lvl>
    <w:lvl w:ilvl="6" w:tplc="08090001" w:tentative="1">
      <w:start w:val="1"/>
      <w:numFmt w:val="bullet"/>
      <w:lvlText w:val=""/>
      <w:lvlJc w:val="left"/>
      <w:pPr>
        <w:ind w:left="6447" w:hanging="360"/>
      </w:pPr>
      <w:rPr>
        <w:rFonts w:ascii="Symbol" w:hAnsi="Symbol" w:hint="default"/>
      </w:rPr>
    </w:lvl>
    <w:lvl w:ilvl="7" w:tplc="08090003" w:tentative="1">
      <w:start w:val="1"/>
      <w:numFmt w:val="bullet"/>
      <w:lvlText w:val="o"/>
      <w:lvlJc w:val="left"/>
      <w:pPr>
        <w:ind w:left="7167" w:hanging="360"/>
      </w:pPr>
      <w:rPr>
        <w:rFonts w:ascii="Courier New" w:hAnsi="Courier New" w:cs="Courier New" w:hint="default"/>
      </w:rPr>
    </w:lvl>
    <w:lvl w:ilvl="8" w:tplc="08090005" w:tentative="1">
      <w:start w:val="1"/>
      <w:numFmt w:val="bullet"/>
      <w:lvlText w:val=""/>
      <w:lvlJc w:val="left"/>
      <w:pPr>
        <w:ind w:left="7887" w:hanging="360"/>
      </w:pPr>
      <w:rPr>
        <w:rFonts w:ascii="Wingdings" w:hAnsi="Wingdings" w:hint="default"/>
      </w:rPr>
    </w:lvl>
  </w:abstractNum>
  <w:abstractNum w:abstractNumId="13" w15:restartNumberingAfterBreak="0">
    <w:nsid w:val="5AE12494"/>
    <w:multiLevelType w:val="hybridMultilevel"/>
    <w:tmpl w:val="EC10B43C"/>
    <w:lvl w:ilvl="0" w:tplc="F6BC0E86">
      <w:start w:val="1"/>
      <w:numFmt w:val="decimal"/>
      <w:lvlText w:val="%1."/>
      <w:lvlJc w:val="left"/>
      <w:pPr>
        <w:ind w:left="1440" w:hanging="360"/>
      </w:pPr>
    </w:lvl>
    <w:lvl w:ilvl="1" w:tplc="87008818">
      <w:start w:val="1"/>
      <w:numFmt w:val="decimal"/>
      <w:lvlText w:val="%2."/>
      <w:lvlJc w:val="left"/>
      <w:pPr>
        <w:ind w:left="1440" w:hanging="360"/>
      </w:pPr>
    </w:lvl>
    <w:lvl w:ilvl="2" w:tplc="A5CC35A2">
      <w:start w:val="1"/>
      <w:numFmt w:val="decimal"/>
      <w:lvlText w:val="%3."/>
      <w:lvlJc w:val="left"/>
      <w:pPr>
        <w:ind w:left="1440" w:hanging="360"/>
      </w:pPr>
    </w:lvl>
    <w:lvl w:ilvl="3" w:tplc="FB5A4D98">
      <w:start w:val="1"/>
      <w:numFmt w:val="decimal"/>
      <w:lvlText w:val="%4."/>
      <w:lvlJc w:val="left"/>
      <w:pPr>
        <w:ind w:left="1440" w:hanging="360"/>
      </w:pPr>
    </w:lvl>
    <w:lvl w:ilvl="4" w:tplc="49FEF750">
      <w:start w:val="1"/>
      <w:numFmt w:val="decimal"/>
      <w:lvlText w:val="%5."/>
      <w:lvlJc w:val="left"/>
      <w:pPr>
        <w:ind w:left="1440" w:hanging="360"/>
      </w:pPr>
    </w:lvl>
    <w:lvl w:ilvl="5" w:tplc="4B56B01E">
      <w:start w:val="1"/>
      <w:numFmt w:val="decimal"/>
      <w:lvlText w:val="%6."/>
      <w:lvlJc w:val="left"/>
      <w:pPr>
        <w:ind w:left="1440" w:hanging="360"/>
      </w:pPr>
    </w:lvl>
    <w:lvl w:ilvl="6" w:tplc="FEA225D8">
      <w:start w:val="1"/>
      <w:numFmt w:val="decimal"/>
      <w:lvlText w:val="%7."/>
      <w:lvlJc w:val="left"/>
      <w:pPr>
        <w:ind w:left="1440" w:hanging="360"/>
      </w:pPr>
    </w:lvl>
    <w:lvl w:ilvl="7" w:tplc="4C12A1AC">
      <w:start w:val="1"/>
      <w:numFmt w:val="decimal"/>
      <w:lvlText w:val="%8."/>
      <w:lvlJc w:val="left"/>
      <w:pPr>
        <w:ind w:left="1440" w:hanging="360"/>
      </w:pPr>
    </w:lvl>
    <w:lvl w:ilvl="8" w:tplc="CC486F06">
      <w:start w:val="1"/>
      <w:numFmt w:val="decimal"/>
      <w:lvlText w:val="%9."/>
      <w:lvlJc w:val="left"/>
      <w:pPr>
        <w:ind w:left="1440" w:hanging="360"/>
      </w:p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36D6316E"/>
    <w:lvl w:ilvl="0" w:tplc="903AA208">
      <w:start w:val="1"/>
      <w:numFmt w:val="bullet"/>
      <w:lvlText w:val="•"/>
      <w:lvlJc w:val="left"/>
      <w:pPr>
        <w:tabs>
          <w:tab w:val="num" w:pos="1701"/>
        </w:tabs>
        <w:ind w:left="1701" w:hanging="170"/>
      </w:pPr>
      <w:rPr>
        <w:rFonts w:ascii="Times New Roman" w:hAnsi="Times New Roman" w:cs="Times New Roman" w:hint="default"/>
      </w:rPr>
    </w:lvl>
    <w:lvl w:ilvl="1" w:tplc="B64049D2" w:tentative="1">
      <w:start w:val="1"/>
      <w:numFmt w:val="bullet"/>
      <w:lvlText w:val="o"/>
      <w:lvlJc w:val="left"/>
      <w:pPr>
        <w:tabs>
          <w:tab w:val="num" w:pos="3141"/>
        </w:tabs>
        <w:ind w:left="3141" w:hanging="360"/>
      </w:pPr>
      <w:rPr>
        <w:rFonts w:ascii="Courier New" w:hAnsi="Courier New" w:hint="default"/>
      </w:rPr>
    </w:lvl>
    <w:lvl w:ilvl="2" w:tplc="7320F45A" w:tentative="1">
      <w:start w:val="1"/>
      <w:numFmt w:val="bullet"/>
      <w:lvlText w:val=""/>
      <w:lvlJc w:val="left"/>
      <w:pPr>
        <w:tabs>
          <w:tab w:val="num" w:pos="3861"/>
        </w:tabs>
        <w:ind w:left="3861" w:hanging="360"/>
      </w:pPr>
      <w:rPr>
        <w:rFonts w:ascii="Wingdings" w:hAnsi="Wingdings" w:hint="default"/>
      </w:rPr>
    </w:lvl>
    <w:lvl w:ilvl="3" w:tplc="B3BE2486" w:tentative="1">
      <w:start w:val="1"/>
      <w:numFmt w:val="bullet"/>
      <w:lvlText w:val=""/>
      <w:lvlJc w:val="left"/>
      <w:pPr>
        <w:tabs>
          <w:tab w:val="num" w:pos="4581"/>
        </w:tabs>
        <w:ind w:left="4581" w:hanging="360"/>
      </w:pPr>
      <w:rPr>
        <w:rFonts w:ascii="Symbol" w:hAnsi="Symbol" w:hint="default"/>
      </w:rPr>
    </w:lvl>
    <w:lvl w:ilvl="4" w:tplc="A8AEBD86" w:tentative="1">
      <w:start w:val="1"/>
      <w:numFmt w:val="bullet"/>
      <w:lvlText w:val="o"/>
      <w:lvlJc w:val="left"/>
      <w:pPr>
        <w:tabs>
          <w:tab w:val="num" w:pos="5301"/>
        </w:tabs>
        <w:ind w:left="5301" w:hanging="360"/>
      </w:pPr>
      <w:rPr>
        <w:rFonts w:ascii="Courier New" w:hAnsi="Courier New" w:hint="default"/>
      </w:rPr>
    </w:lvl>
    <w:lvl w:ilvl="5" w:tplc="493AC6A8" w:tentative="1">
      <w:start w:val="1"/>
      <w:numFmt w:val="bullet"/>
      <w:lvlText w:val=""/>
      <w:lvlJc w:val="left"/>
      <w:pPr>
        <w:tabs>
          <w:tab w:val="num" w:pos="6021"/>
        </w:tabs>
        <w:ind w:left="6021" w:hanging="360"/>
      </w:pPr>
      <w:rPr>
        <w:rFonts w:ascii="Wingdings" w:hAnsi="Wingdings" w:hint="default"/>
      </w:rPr>
    </w:lvl>
    <w:lvl w:ilvl="6" w:tplc="B060D51E" w:tentative="1">
      <w:start w:val="1"/>
      <w:numFmt w:val="bullet"/>
      <w:lvlText w:val=""/>
      <w:lvlJc w:val="left"/>
      <w:pPr>
        <w:tabs>
          <w:tab w:val="num" w:pos="6741"/>
        </w:tabs>
        <w:ind w:left="6741" w:hanging="360"/>
      </w:pPr>
      <w:rPr>
        <w:rFonts w:ascii="Symbol" w:hAnsi="Symbol" w:hint="default"/>
      </w:rPr>
    </w:lvl>
    <w:lvl w:ilvl="7" w:tplc="5C467E04" w:tentative="1">
      <w:start w:val="1"/>
      <w:numFmt w:val="bullet"/>
      <w:lvlText w:val="o"/>
      <w:lvlJc w:val="left"/>
      <w:pPr>
        <w:tabs>
          <w:tab w:val="num" w:pos="7461"/>
        </w:tabs>
        <w:ind w:left="7461" w:hanging="360"/>
      </w:pPr>
      <w:rPr>
        <w:rFonts w:ascii="Courier New" w:hAnsi="Courier New" w:hint="default"/>
      </w:rPr>
    </w:lvl>
    <w:lvl w:ilvl="8" w:tplc="BE8ED0A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AD0430A"/>
    <w:multiLevelType w:val="hybridMultilevel"/>
    <w:tmpl w:val="DE3083A4"/>
    <w:lvl w:ilvl="0" w:tplc="39420E3C">
      <w:start w:val="1"/>
      <w:numFmt w:val="decimal"/>
      <w:lvlText w:val="%1."/>
      <w:lvlJc w:val="left"/>
      <w:pPr>
        <w:ind w:left="720" w:hanging="360"/>
      </w:pPr>
      <w:rPr>
        <w:rFonts w:hint="default"/>
      </w:rPr>
    </w:lvl>
    <w:lvl w:ilvl="1" w:tplc="A030BC50">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FDE45C7"/>
    <w:multiLevelType w:val="hybridMultilevel"/>
    <w:tmpl w:val="3C28312A"/>
    <w:lvl w:ilvl="0" w:tplc="57FAA0EE">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1838284">
    <w:abstractNumId w:val="6"/>
  </w:num>
  <w:num w:numId="2" w16cid:durableId="534123712">
    <w:abstractNumId w:val="4"/>
  </w:num>
  <w:num w:numId="3" w16cid:durableId="930747538">
    <w:abstractNumId w:val="0"/>
  </w:num>
  <w:num w:numId="4" w16cid:durableId="2071419315">
    <w:abstractNumId w:val="14"/>
  </w:num>
  <w:num w:numId="5" w16cid:durableId="1799952483">
    <w:abstractNumId w:val="15"/>
  </w:num>
  <w:num w:numId="6" w16cid:durableId="1322998882">
    <w:abstractNumId w:val="17"/>
  </w:num>
  <w:num w:numId="7" w16cid:durableId="1545436486">
    <w:abstractNumId w:val="3"/>
  </w:num>
  <w:num w:numId="8" w16cid:durableId="600263775">
    <w:abstractNumId w:val="16"/>
  </w:num>
  <w:num w:numId="9" w16cid:durableId="748845947">
    <w:abstractNumId w:val="9"/>
  </w:num>
  <w:num w:numId="10" w16cid:durableId="1669672562">
    <w:abstractNumId w:val="2"/>
  </w:num>
  <w:num w:numId="11" w16cid:durableId="271785653">
    <w:abstractNumId w:val="18"/>
  </w:num>
  <w:num w:numId="12" w16cid:durableId="887035732">
    <w:abstractNumId w:val="8"/>
  </w:num>
  <w:num w:numId="13" w16cid:durableId="862940133">
    <w:abstractNumId w:val="19"/>
  </w:num>
  <w:num w:numId="14" w16cid:durableId="277371369">
    <w:abstractNumId w:val="11"/>
  </w:num>
  <w:num w:numId="15" w16cid:durableId="453718574">
    <w:abstractNumId w:val="7"/>
  </w:num>
  <w:num w:numId="16" w16cid:durableId="1267805067">
    <w:abstractNumId w:val="10"/>
  </w:num>
  <w:num w:numId="17" w16cid:durableId="693116539">
    <w:abstractNumId w:val="5"/>
  </w:num>
  <w:num w:numId="18" w16cid:durableId="510070678">
    <w:abstractNumId w:val="12"/>
  </w:num>
  <w:num w:numId="19" w16cid:durableId="221719031">
    <w:abstractNumId w:val="1"/>
  </w:num>
  <w:num w:numId="20" w16cid:durableId="3019343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907E51"/>
    <w:rsid w:val="00007FE3"/>
    <w:rsid w:val="000107AD"/>
    <w:rsid w:val="00046E92"/>
    <w:rsid w:val="00052D8D"/>
    <w:rsid w:val="000A51A8"/>
    <w:rsid w:val="000B0296"/>
    <w:rsid w:val="000B517A"/>
    <w:rsid w:val="000B5CDE"/>
    <w:rsid w:val="000D1B89"/>
    <w:rsid w:val="000D43C1"/>
    <w:rsid w:val="000F6E29"/>
    <w:rsid w:val="001170DC"/>
    <w:rsid w:val="00117D71"/>
    <w:rsid w:val="00122BCB"/>
    <w:rsid w:val="00210F34"/>
    <w:rsid w:val="00247E2C"/>
    <w:rsid w:val="00276706"/>
    <w:rsid w:val="002A4205"/>
    <w:rsid w:val="002C06F8"/>
    <w:rsid w:val="002D6C53"/>
    <w:rsid w:val="002F5595"/>
    <w:rsid w:val="003053F9"/>
    <w:rsid w:val="00320DA7"/>
    <w:rsid w:val="00323884"/>
    <w:rsid w:val="0032470F"/>
    <w:rsid w:val="00334F6A"/>
    <w:rsid w:val="00342AC8"/>
    <w:rsid w:val="00380F52"/>
    <w:rsid w:val="00385114"/>
    <w:rsid w:val="00393746"/>
    <w:rsid w:val="003B4550"/>
    <w:rsid w:val="003E64E7"/>
    <w:rsid w:val="0043448D"/>
    <w:rsid w:val="00461253"/>
    <w:rsid w:val="0046221E"/>
    <w:rsid w:val="004673E4"/>
    <w:rsid w:val="00486B30"/>
    <w:rsid w:val="004E7CAA"/>
    <w:rsid w:val="004F39BB"/>
    <w:rsid w:val="005042C2"/>
    <w:rsid w:val="00506C12"/>
    <w:rsid w:val="00561664"/>
    <w:rsid w:val="0056599A"/>
    <w:rsid w:val="00575FFA"/>
    <w:rsid w:val="00585AE1"/>
    <w:rsid w:val="00587690"/>
    <w:rsid w:val="005A1364"/>
    <w:rsid w:val="005C51C5"/>
    <w:rsid w:val="005E5AE8"/>
    <w:rsid w:val="006050DE"/>
    <w:rsid w:val="00622876"/>
    <w:rsid w:val="00632DD5"/>
    <w:rsid w:val="00671529"/>
    <w:rsid w:val="006A5598"/>
    <w:rsid w:val="006C2F6F"/>
    <w:rsid w:val="006D23C5"/>
    <w:rsid w:val="006E2BFE"/>
    <w:rsid w:val="00712DF5"/>
    <w:rsid w:val="00717266"/>
    <w:rsid w:val="007268F9"/>
    <w:rsid w:val="00771154"/>
    <w:rsid w:val="00773CBC"/>
    <w:rsid w:val="00785437"/>
    <w:rsid w:val="007C52B0"/>
    <w:rsid w:val="007D2D31"/>
    <w:rsid w:val="008050AE"/>
    <w:rsid w:val="008061DA"/>
    <w:rsid w:val="008423EA"/>
    <w:rsid w:val="008A4277"/>
    <w:rsid w:val="008D072B"/>
    <w:rsid w:val="008F7323"/>
    <w:rsid w:val="00907E51"/>
    <w:rsid w:val="0093354B"/>
    <w:rsid w:val="009411B4"/>
    <w:rsid w:val="009C026E"/>
    <w:rsid w:val="009D0139"/>
    <w:rsid w:val="009F5CDC"/>
    <w:rsid w:val="00A124CD"/>
    <w:rsid w:val="00A24EBF"/>
    <w:rsid w:val="00A42012"/>
    <w:rsid w:val="00A429CD"/>
    <w:rsid w:val="00A42C05"/>
    <w:rsid w:val="00A43D4D"/>
    <w:rsid w:val="00A775CF"/>
    <w:rsid w:val="00AA30A5"/>
    <w:rsid w:val="00AB3C7E"/>
    <w:rsid w:val="00AF01A1"/>
    <w:rsid w:val="00B06045"/>
    <w:rsid w:val="00B27B2B"/>
    <w:rsid w:val="00B42D83"/>
    <w:rsid w:val="00C35A27"/>
    <w:rsid w:val="00C448F7"/>
    <w:rsid w:val="00C6731A"/>
    <w:rsid w:val="00C87327"/>
    <w:rsid w:val="00CA659D"/>
    <w:rsid w:val="00CC171E"/>
    <w:rsid w:val="00D206DA"/>
    <w:rsid w:val="00D55CC4"/>
    <w:rsid w:val="00D577A3"/>
    <w:rsid w:val="00D67C16"/>
    <w:rsid w:val="00DC5600"/>
    <w:rsid w:val="00E021A6"/>
    <w:rsid w:val="00E02C2B"/>
    <w:rsid w:val="00E05E73"/>
    <w:rsid w:val="00E1351D"/>
    <w:rsid w:val="00E3357F"/>
    <w:rsid w:val="00E41136"/>
    <w:rsid w:val="00E61782"/>
    <w:rsid w:val="00E665C4"/>
    <w:rsid w:val="00E770CA"/>
    <w:rsid w:val="00E929D6"/>
    <w:rsid w:val="00EB5256"/>
    <w:rsid w:val="00ED6C48"/>
    <w:rsid w:val="00EF2A3A"/>
    <w:rsid w:val="00EF76C5"/>
    <w:rsid w:val="00F4694C"/>
    <w:rsid w:val="00F47753"/>
    <w:rsid w:val="00F65F5D"/>
    <w:rsid w:val="00F86A3A"/>
    <w:rsid w:val="00FB1744"/>
    <w:rsid w:val="00FC04AB"/>
    <w:rsid w:val="00FD04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AC4C2"/>
  <w15:docId w15:val="{D89D70C1-4190-4DD1-B273-F9F38DE0A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0B5CDE"/>
    <w:pPr>
      <w:spacing w:after="0" w:line="240" w:lineRule="auto"/>
    </w:pPr>
    <w:rPr>
      <w:rFonts w:ascii="Calibri" w:eastAsia="Calibri" w:hAnsi="Calibri" w:cs="Times New Roman"/>
      <w:sz w:val="24"/>
      <w:lang w:val="en-US" w:eastAsia="en-US"/>
    </w:rPr>
  </w:style>
  <w:style w:type="character" w:styleId="Hyperlink">
    <w:name w:val="Hyperlink"/>
    <w:basedOn w:val="DefaultParagraphFont"/>
    <w:uiPriority w:val="99"/>
    <w:unhideWhenUsed/>
    <w:rsid w:val="00E41136"/>
    <w:rPr>
      <w:color w:val="0000FF"/>
      <w:u w:val="none"/>
    </w:rPr>
  </w:style>
  <w:style w:type="character" w:styleId="FollowedHyperlink">
    <w:name w:val="FollowedHyperlink"/>
    <w:basedOn w:val="DefaultParagraphFont"/>
    <w:uiPriority w:val="99"/>
    <w:semiHidden/>
    <w:unhideWhenUsed/>
    <w:rsid w:val="00E41136"/>
    <w:rPr>
      <w:color w:val="0000FF"/>
      <w:u w:val="single"/>
    </w:rPr>
  </w:style>
  <w:style w:type="character" w:styleId="UnresolvedMention">
    <w:name w:val="Unresolved Mention"/>
    <w:basedOn w:val="DefaultParagraphFont"/>
    <w:uiPriority w:val="99"/>
    <w:semiHidden/>
    <w:unhideWhenUsed/>
    <w:rsid w:val="00E41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E/C.12/MRT/Q/2" TargetMode="External"/><Relationship Id="rId4" Type="http://schemas.openxmlformats.org/officeDocument/2006/relationships/settings" Target="settings.xml"/><Relationship Id="rId9" Type="http://schemas.openxmlformats.org/officeDocument/2006/relationships/hyperlink" Target="http://undocs.org/en/E/C.12/MRT/Q/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22</Pages>
  <Words>9418</Words>
  <Characters>51932</Characters>
  <Application>Microsoft Office Word</Application>
  <DocSecurity>0</DocSecurity>
  <Lines>1488</Lines>
  <Paragraphs>920</Paragraphs>
  <ScaleCrop>false</ScaleCrop>
  <HeadingPairs>
    <vt:vector size="2" baseType="variant">
      <vt:variant>
        <vt:lpstr>Title</vt:lpstr>
      </vt:variant>
      <vt:variant>
        <vt:i4>1</vt:i4>
      </vt:variant>
    </vt:vector>
  </HeadingPairs>
  <TitlesOfParts>
    <vt:vector size="1" baseType="lpstr">
      <vt:lpstr>E/C.12/MRT/RQ/2</vt:lpstr>
    </vt:vector>
  </TitlesOfParts>
  <Company>DCM</Company>
  <LinksUpToDate>false</LinksUpToDate>
  <CharactersWithSpaces>60735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E/C.12/MRT/RQ/2</dc:title>
  <dc:subject>2324904</dc:subject>
  <dc:creator>Brigoli</dc:creator>
  <cp:keywords/>
  <dc:description/>
  <cp:lastModifiedBy>Ma. Cristina Brigoli</cp:lastModifiedBy>
  <cp:revision>2</cp:revision>
  <dcterms:created xsi:type="dcterms:W3CDTF">2024-01-24T08:58:00Z</dcterms:created>
  <dcterms:modified xsi:type="dcterms:W3CDTF">2024-01-24T08:58:00Z</dcterms:modified>
</cp:coreProperties>
</file>