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39A" w:rsidRDefault="00EC239A" w:rsidP="00EC239A">
      <w:pPr>
        <w:spacing w:line="60" w:lineRule="exact"/>
        <w:rPr>
          <w:sz w:val="6"/>
          <w:lang w:val="en-US"/>
        </w:rPr>
        <w:sectPr w:rsidR="00EC239A" w:rsidSect="00EC239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A121F" w:rsidRDefault="00EA121F" w:rsidP="00EA12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EA121F" w:rsidRDefault="00EA121F" w:rsidP="00EA12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EA121F" w:rsidRDefault="00EA121F" w:rsidP="00B10D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EA121F" w:rsidRPr="00EF3976" w:rsidRDefault="00EA121F" w:rsidP="00EA121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EF3976">
        <w:rPr>
          <w:b/>
        </w:rPr>
        <w:t>Сороковая и сорок перв</w:t>
      </w:r>
      <w:r>
        <w:rPr>
          <w:b/>
        </w:rPr>
        <w:t>ая</w:t>
      </w:r>
      <w:r w:rsidRPr="00EF3976">
        <w:rPr>
          <w:b/>
        </w:rPr>
        <w:t xml:space="preserve"> сессии</w:t>
      </w:r>
    </w:p>
    <w:p w:rsidR="00EA121F" w:rsidRDefault="00EA121F" w:rsidP="00EA121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16–20 июля 2007 года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</w:t>
      </w:r>
      <w:r w:rsidRPr="00EA121F">
        <w:t>ч</w:t>
      </w:r>
      <w:r>
        <w:t>ень тем и вопросов в связи с рассмотрением периодических докладов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Мар</w:t>
      </w:r>
      <w:r w:rsidRPr="00EA121F">
        <w:t>о</w:t>
      </w:r>
      <w:r>
        <w:t>кко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Pr="00EF3976" w:rsidRDefault="00EA121F" w:rsidP="00AB1973">
      <w:pPr>
        <w:pStyle w:val="SingleTxt"/>
      </w:pPr>
      <w:r>
        <w:rPr>
          <w:lang w:val="en-US"/>
        </w:rPr>
        <w:tab/>
      </w:r>
      <w:r>
        <w:t>Предсессионная рабочая группа рассмотрела объединенные третий и че</w:t>
      </w:r>
      <w:r>
        <w:t>т</w:t>
      </w:r>
      <w:r>
        <w:t xml:space="preserve">вертый периодические доклады Марокко </w:t>
      </w:r>
      <w:r w:rsidRPr="00EF3976">
        <w:t>(</w:t>
      </w:r>
      <w:r>
        <w:rPr>
          <w:lang w:val="en-US"/>
        </w:rPr>
        <w:t>CEDAW</w:t>
      </w:r>
      <w:r w:rsidRPr="00EF3976">
        <w:t>/</w:t>
      </w:r>
      <w:r>
        <w:rPr>
          <w:lang w:val="en-US"/>
        </w:rPr>
        <w:t>C</w:t>
      </w:r>
      <w:r w:rsidRPr="00EF3976">
        <w:t>/</w:t>
      </w:r>
      <w:r>
        <w:rPr>
          <w:lang w:val="en-US"/>
        </w:rPr>
        <w:t>MAR</w:t>
      </w:r>
      <w:r w:rsidRPr="00EF3976">
        <w:t>/4).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1.</w:t>
      </w:r>
      <w:r>
        <w:tab/>
        <w:t>В докладе указано, что в марте 2006 года министерство юстиции сделало заявление, в котором говорилось о снятии Марокко оговорок к стат</w:t>
      </w:r>
      <w:r>
        <w:t>ь</w:t>
      </w:r>
      <w:r>
        <w:t>ям 9(2), 15(4), 16(1)</w:t>
      </w:r>
      <w:r w:rsidRPr="00EF3976">
        <w:t>(</w:t>
      </w:r>
      <w:r>
        <w:rPr>
          <w:lang w:val="en-US"/>
        </w:rPr>
        <w:t>f</w:t>
      </w:r>
      <w:r w:rsidRPr="00EF3976">
        <w:t>)</w:t>
      </w:r>
      <w:r>
        <w:t xml:space="preserve"> и 16(2) и о замене пояснительным заявлением оговорок к другим подпунктам пункта 1 статьи 16 и статьи 2(2) (пункт 29); поскольку документ о снятии оговорок до сих пор не сдан на хранение Генеральному секрет</w:t>
      </w:r>
      <w:r>
        <w:t>а</w:t>
      </w:r>
      <w:r>
        <w:t>рю, просьба указать сроки такого снятия.</w:t>
      </w:r>
    </w:p>
    <w:p w:rsidR="00EA121F" w:rsidRDefault="00EA121F" w:rsidP="00AB1973">
      <w:pPr>
        <w:pStyle w:val="SingleTxt"/>
      </w:pPr>
      <w:r>
        <w:t>2.</w:t>
      </w:r>
      <w:r>
        <w:tab/>
        <w:t>В докладе сообщается, что Межведомственный технический комитет из</w:t>
      </w:r>
      <w:r>
        <w:t>у</w:t>
      </w:r>
      <w:r>
        <w:t>чает возможности присоединения к Факультативному протоколу (пункт 30). Просьба указать, какой в этом направлении достигнут прогресс и какие уст</w:t>
      </w:r>
      <w:r>
        <w:t>а</w:t>
      </w:r>
      <w:r>
        <w:t>новлены сроки предполагаемого присоединения.</w:t>
      </w:r>
    </w:p>
    <w:p w:rsidR="00EA121F" w:rsidRDefault="00EA121F" w:rsidP="00AB1973">
      <w:pPr>
        <w:pStyle w:val="SingleTxt"/>
      </w:pPr>
      <w:r>
        <w:t>3.</w:t>
      </w:r>
      <w:r>
        <w:tab/>
        <w:t>В докладе указывается, что правительственные ведомства, неправител</w:t>
      </w:r>
      <w:r>
        <w:t>ь</w:t>
      </w:r>
      <w:r>
        <w:t xml:space="preserve">ственные организации, международные организации и специализированные учреждения Организации Объединенных </w:t>
      </w:r>
      <w:r w:rsidRPr="00EF3976">
        <w:t>Наций</w:t>
      </w:r>
      <w:r>
        <w:t xml:space="preserve"> привлекались к консультати</w:t>
      </w:r>
      <w:r>
        <w:t>в</w:t>
      </w:r>
      <w:r>
        <w:t>ному процессу в рамках подготовки докладов (пункты 2</w:t>
      </w:r>
      <w:r w:rsidR="00B10D8B">
        <w:t xml:space="preserve"> и </w:t>
      </w:r>
      <w:r>
        <w:t>3). Просьба указать, представлялся ли также доклад парламенту и рассматривался ли он им.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законодательная база и национальный механизм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4.</w:t>
      </w:r>
      <w:r>
        <w:tab/>
        <w:t>В докладе говорится, что «международно-правовые документы, должным образом ратифицированные и опубликованные в Официальном бюллетене, имеют в спорных случаях верховенство над внутренним законодательством, свидетельством чего являются решения Верховного суда» (пункт 3</w:t>
      </w:r>
      <w:r w:rsidR="00B10D8B">
        <w:t>2</w:t>
      </w:r>
      <w:r>
        <w:t>). Просьба привести конкретные примеры решений Суда, в которых содержалась бы ссы</w:t>
      </w:r>
      <w:r>
        <w:t>л</w:t>
      </w:r>
      <w:r>
        <w:t>ка на положения Конвенции.</w:t>
      </w:r>
    </w:p>
    <w:p w:rsidR="00EA121F" w:rsidRDefault="00EA121F" w:rsidP="00AB1973">
      <w:pPr>
        <w:pStyle w:val="SingleTxt"/>
      </w:pPr>
      <w:r>
        <w:t>5.</w:t>
      </w:r>
      <w:r>
        <w:tab/>
        <w:t>В докладе признается, что, несмотря на прилагаемые усилия по реформе в законодательной области, в законах сохраняется целый ряд дискриминацио</w:t>
      </w:r>
      <w:r>
        <w:t>н</w:t>
      </w:r>
      <w:r>
        <w:t>ных аспектов, как, например, положения о выплате семейных пособий мужу, даже если в системе социальной защиты зарегистрированы оба супруга (пункт 48). Просьба указать, какие принимаются меры по пересмотру этого и других дискриминационных положений, а также сроки предполагаемого пер</w:t>
      </w:r>
      <w:r>
        <w:t>е</w:t>
      </w:r>
      <w:r>
        <w:t>смотра.</w:t>
      </w:r>
    </w:p>
    <w:p w:rsidR="00EA121F" w:rsidRDefault="00EA121F" w:rsidP="00AB1973">
      <w:pPr>
        <w:pStyle w:val="SingleTxt"/>
      </w:pPr>
      <w:r>
        <w:t>6.</w:t>
      </w:r>
      <w:r>
        <w:tab/>
        <w:t>В докладе указано, что хотя налицо четко просматриваемая тенденция к разработке инициатив, направленных на развитие культуры прав человека и гендерного равенства, эта деятельность сдерживается отсутствием координ</w:t>
      </w:r>
      <w:r>
        <w:t>а</w:t>
      </w:r>
      <w:r>
        <w:t>ции и распылением усилий, а также нехваткой финансовых и людских ресу</w:t>
      </w:r>
      <w:r>
        <w:t>р</w:t>
      </w:r>
      <w:r>
        <w:t>сов (пункт 96). Просьба указать, какие принимаются меры для преодоления т</w:t>
      </w:r>
      <w:r>
        <w:t>а</w:t>
      </w:r>
      <w:r>
        <w:t>ких препятствий, включая укрепление (финансовыми и кадровыми ресурсами) Государственного секретариата по проблемам семьи, детей и инвалидов в кач</w:t>
      </w:r>
      <w:r>
        <w:t>е</w:t>
      </w:r>
      <w:r>
        <w:t>стве национального механизма обеспечения улучшения положения женщин, с тем чтобы он мог осуществлять функции по координации и укреплению ус</w:t>
      </w:r>
      <w:r>
        <w:t>и</w:t>
      </w:r>
      <w:r>
        <w:t>лий, направленных на достижение гендерного равенства.</w:t>
      </w:r>
    </w:p>
    <w:p w:rsidR="00EA121F" w:rsidRDefault="00EA121F" w:rsidP="00AB1973">
      <w:pPr>
        <w:pStyle w:val="SingleTxt"/>
      </w:pPr>
      <w:r>
        <w:t>7.</w:t>
      </w:r>
      <w:r>
        <w:tab/>
        <w:t>В докладе говорится, что в декабре 2002 года министр финансов иници</w:t>
      </w:r>
      <w:r>
        <w:t>и</w:t>
      </w:r>
      <w:r>
        <w:t>ровал процесс учета гендерного измерения в процессе составления правител</w:t>
      </w:r>
      <w:r>
        <w:t>ь</w:t>
      </w:r>
      <w:r>
        <w:t>ством бюджета и анализа оперативной деятельности и что доклад по полож</w:t>
      </w:r>
      <w:r>
        <w:t>е</w:t>
      </w:r>
      <w:r>
        <w:t xml:space="preserve">нию женщин был подготовлен и включен в приложение к экономическому и финансовому докладу, сопровождавшему проект Закона о финансах 2006 года, который позднее был представлен в парламент (пункт 69). Просьба указать, была ли и каким образом включена гендерная проблематика в </w:t>
      </w:r>
      <w:r w:rsidR="00B10D8B">
        <w:t>З</w:t>
      </w:r>
      <w:r>
        <w:t>акон о фина</w:t>
      </w:r>
      <w:r>
        <w:t>н</w:t>
      </w:r>
      <w:r>
        <w:t>сах 2006 года. Просьба также сообщить информацию о процентной доле выд</w:t>
      </w:r>
      <w:r>
        <w:t>е</w:t>
      </w:r>
      <w:r>
        <w:t>ляемых по бюджету ресурсов для национального механизма улучшения пол</w:t>
      </w:r>
      <w:r>
        <w:t>о</w:t>
      </w:r>
      <w:r>
        <w:t>жения женщин.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политической жизни и в процессе принятия решений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8.</w:t>
      </w:r>
      <w:r>
        <w:tab/>
        <w:t>В докладе говорится, что правительство внедрило такую систему, при к</w:t>
      </w:r>
      <w:r>
        <w:t>о</w:t>
      </w:r>
      <w:r>
        <w:t>торой политические партии обязаны выделять 10 процентов мест в палате представителей для женщин, с тем чтобы расширить представленность же</w:t>
      </w:r>
      <w:r>
        <w:t>н</w:t>
      </w:r>
      <w:r>
        <w:t>щин с 0,6 процента по итогам выборов 1997 года до 10,7 процента по итогам выборов 2002 года, и что осуществляется мобилизация женских групп в целях выделения 30</w:t>
      </w:r>
      <w:r>
        <w:noBreakHyphen/>
        <w:t>процентной квоты для женщин на выборах в 2007 году (пун</w:t>
      </w:r>
      <w:r>
        <w:t>к</w:t>
      </w:r>
      <w:r>
        <w:t>ты 77–78, 122</w:t>
      </w:r>
      <w:r w:rsidRPr="00E860A6">
        <w:t>–</w:t>
      </w:r>
      <w:r>
        <w:t>125). Просьба сообщить о мерах, принимаемых для обеспечения такой квоты</w:t>
      </w:r>
      <w:r w:rsidR="00B10D8B">
        <w:t>,</w:t>
      </w:r>
      <w:r>
        <w:t xml:space="preserve"> и о предполагаемых сроках внесения любых касающихся этого поправок в Основной закон 2007 года о палате представителей.</w:t>
      </w:r>
    </w:p>
    <w:p w:rsidR="00EA121F" w:rsidRDefault="00EA121F" w:rsidP="00AB1973">
      <w:pPr>
        <w:pStyle w:val="SingleTxt"/>
      </w:pPr>
      <w:r>
        <w:t>9.</w:t>
      </w:r>
      <w:r>
        <w:tab/>
        <w:t>Согласно данным доклада, не существует никакой системы квот или об</w:t>
      </w:r>
      <w:r>
        <w:t>я</w:t>
      </w:r>
      <w:r>
        <w:t>зательства политических партий резервировать места для кандидатов-женщин на муниципальном уровне и, в результате этого, по состоянию на 2003 год же</w:t>
      </w:r>
      <w:r>
        <w:t>н</w:t>
      </w:r>
      <w:r>
        <w:t>щины составляли лишь 0,53 процента от общего числа избранных кандидатов этого уровня. Просьба указать, какие принимаются меры, включая временные специальные меры в соответствии с пунктом 1 статьи 4 Конвенции и общей р</w:t>
      </w:r>
      <w:r>
        <w:t>е</w:t>
      </w:r>
      <w:r>
        <w:t>комендацией 25 Комитета, и предполагаемые сроки, намеченные для увелич</w:t>
      </w:r>
      <w:r>
        <w:t>е</w:t>
      </w:r>
      <w:r>
        <w:t>ния числа женщин в законодательных органах муниципального уровня, в час</w:t>
      </w:r>
      <w:r>
        <w:t>т</w:t>
      </w:r>
      <w:r>
        <w:t>ности в свете предыдущих заключительных замечаний Комитета (</w:t>
      </w:r>
      <w:r>
        <w:rPr>
          <w:lang w:val="en-US"/>
        </w:rPr>
        <w:t>A</w:t>
      </w:r>
      <w:r w:rsidRPr="00E860A6">
        <w:t>/58/38</w:t>
      </w:r>
      <w:r>
        <w:t>, пункт 165).</w:t>
      </w:r>
    </w:p>
    <w:p w:rsidR="00EA121F" w:rsidRDefault="00EA121F" w:rsidP="00AB1973">
      <w:pPr>
        <w:pStyle w:val="SingleTxt"/>
      </w:pPr>
      <w:r>
        <w:t>10.</w:t>
      </w:r>
      <w:r>
        <w:tab/>
        <w:t>В своих предыдущих заключительных замечаниях Комитет настоятельно призывал государство-участник увеличивать представленность женщин на д</w:t>
      </w:r>
      <w:r>
        <w:t>и</w:t>
      </w:r>
      <w:r>
        <w:t>рективных должностях во всех сферах в соответствии с пунктом 1 статьи 4 Конвенции и общей рекомендацией 25 Комитета (</w:t>
      </w:r>
      <w:r>
        <w:rPr>
          <w:lang w:val="en-US"/>
        </w:rPr>
        <w:t>A</w:t>
      </w:r>
      <w:r w:rsidRPr="00373FB1">
        <w:t>/58/38</w:t>
      </w:r>
      <w:r>
        <w:t>, пункт 165). Однако в докладе говорится, что «женщин, занимающих руководящие должности, не только мало, но они, ко всему прочему, сосредоточены в основном в секторе социального обеспечения и образования» (пункт 145). Просьба сообщить о принимаемых мерах, включая временные специальные меры, для увеличения числа женщин на руководящих должностях, особенно в областях, в которых преобладающее положение занимают мужчины, и проинформировать о дейс</w:t>
      </w:r>
      <w:r>
        <w:t>т</w:t>
      </w:r>
      <w:r>
        <w:t>венности таких мер.</w:t>
      </w:r>
    </w:p>
    <w:p w:rsidR="00EA121F" w:rsidRDefault="00EA121F" w:rsidP="00AB1973">
      <w:pPr>
        <w:pStyle w:val="SingleTxt"/>
      </w:pPr>
      <w:r>
        <w:t>11.</w:t>
      </w:r>
      <w:r>
        <w:tab/>
        <w:t>Просьба представить информацию о мерах, принимаемых правительством по увеличению числа женщин на дипломатической работе и на международном уровне.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12.</w:t>
      </w:r>
      <w:r>
        <w:tab/>
        <w:t>В докладе говорится, что всем полицейским участкам в Марокко было поручено на ежемесячной основе производить сбор статистических данных и информации по проблеме насилия в отношении женщин (пункт 47). Просьба представить информацию, собранную за последние три года, и указать, по к</w:t>
      </w:r>
      <w:r>
        <w:t>а</w:t>
      </w:r>
      <w:r>
        <w:t>кому количеству дел было начато судебное преследование правонарушителя, сколько из них привели к осуждению и вынесению обвинительного приговора.</w:t>
      </w:r>
    </w:p>
    <w:p w:rsidR="00EA121F" w:rsidRDefault="00EA121F" w:rsidP="00AB1973">
      <w:pPr>
        <w:pStyle w:val="SingleTxt"/>
      </w:pPr>
      <w:r>
        <w:t>13.</w:t>
      </w:r>
      <w:r>
        <w:tab/>
        <w:t>Комитет по экономическим, социальным и культурным правам некоторое время назад высказал озабоченность в связи с тем, что в соответствии с Уг</w:t>
      </w:r>
      <w:r>
        <w:t>о</w:t>
      </w:r>
      <w:r>
        <w:t xml:space="preserve">ловным кодексом бытовое насилие и сексуальные </w:t>
      </w:r>
      <w:r w:rsidR="00F10845">
        <w:t xml:space="preserve">домогательства </w:t>
      </w:r>
      <w:r>
        <w:t>преступл</w:t>
      </w:r>
      <w:r>
        <w:t>е</w:t>
      </w:r>
      <w:r>
        <w:t>ниями не считаются</w:t>
      </w:r>
      <w:r w:rsidR="00B10D8B">
        <w:t>,</w:t>
      </w:r>
      <w:r>
        <w:t xml:space="preserve"> и рекомендовал внести бытовое насилие и сексуальные </w:t>
      </w:r>
      <w:r w:rsidR="00F10845">
        <w:t xml:space="preserve">домогательства </w:t>
      </w:r>
      <w:r>
        <w:t>на рабочем месте в качестве уголовных преступлений в Уг</w:t>
      </w:r>
      <w:r>
        <w:t>о</w:t>
      </w:r>
      <w:r>
        <w:t>ловный кодекс и организовать специальное обучение для сотрудников правоо</w:t>
      </w:r>
      <w:r>
        <w:t>х</w:t>
      </w:r>
      <w:r>
        <w:t>ранительных органов и судей по вопросам уголовного характера бытового н</w:t>
      </w:r>
      <w:r>
        <w:t>а</w:t>
      </w:r>
      <w:r>
        <w:t>силия (</w:t>
      </w:r>
      <w:r>
        <w:rPr>
          <w:lang w:val="en-US"/>
        </w:rPr>
        <w:t>E</w:t>
      </w:r>
      <w:r w:rsidRPr="009140E2">
        <w:t>/</w:t>
      </w:r>
      <w:r>
        <w:rPr>
          <w:lang w:val="en-US"/>
        </w:rPr>
        <w:t>C</w:t>
      </w:r>
      <w:r w:rsidRPr="009140E2">
        <w:t>.12/</w:t>
      </w:r>
      <w:r>
        <w:rPr>
          <w:lang w:val="en-US"/>
        </w:rPr>
        <w:t>MAR</w:t>
      </w:r>
      <w:r w:rsidRPr="009140E2">
        <w:t>/</w:t>
      </w:r>
      <w:r>
        <w:rPr>
          <w:lang w:val="en-US"/>
        </w:rPr>
        <w:t>CO</w:t>
      </w:r>
      <w:r w:rsidRPr="009140E2">
        <w:t>/3</w:t>
      </w:r>
      <w:r w:rsidR="00F10845">
        <w:t>, пункты 23 и 50</w:t>
      </w:r>
      <w:r>
        <w:t>). Просьба сообщить о мерах по в</w:t>
      </w:r>
      <w:r>
        <w:t>ы</w:t>
      </w:r>
      <w:r>
        <w:t>полнению этих рекомендаций.</w:t>
      </w:r>
    </w:p>
    <w:p w:rsidR="00EA121F" w:rsidRDefault="00EA121F" w:rsidP="00AB1973">
      <w:pPr>
        <w:pStyle w:val="SingleTxt"/>
      </w:pPr>
      <w:r>
        <w:t>14.</w:t>
      </w:r>
      <w:r>
        <w:tab/>
        <w:t>В докладе говорится, что в 2002 году была принята национальная страт</w:t>
      </w:r>
      <w:r>
        <w:t>е</w:t>
      </w:r>
      <w:r>
        <w:t xml:space="preserve">гия по ликвидации насилия в отношении женщин, </w:t>
      </w:r>
      <w:r w:rsidR="00F10845">
        <w:t xml:space="preserve">к </w:t>
      </w:r>
      <w:r>
        <w:t>числ</w:t>
      </w:r>
      <w:r w:rsidR="00F10845">
        <w:t>у</w:t>
      </w:r>
      <w:r>
        <w:t xml:space="preserve"> четырех целей кот</w:t>
      </w:r>
      <w:r>
        <w:t>о</w:t>
      </w:r>
      <w:r>
        <w:t>рой относ</w:t>
      </w:r>
      <w:r w:rsidR="00F10845">
        <w:t>и</w:t>
      </w:r>
      <w:r>
        <w:t>тся «признание различных форм насилия в отношении женщин пр</w:t>
      </w:r>
      <w:r>
        <w:t>е</w:t>
      </w:r>
      <w:r>
        <w:t>ступным деянием и нарушением прав человека» (пункты 394</w:t>
      </w:r>
      <w:r w:rsidR="00B10D8B">
        <w:t xml:space="preserve"> и </w:t>
      </w:r>
      <w:r>
        <w:t>398). В то же время в плане действий 2004 года в его пяти приоритетных областях по осущ</w:t>
      </w:r>
      <w:r>
        <w:t>е</w:t>
      </w:r>
      <w:r>
        <w:t>ствлению этой стратегии не предусмотрено уголовное наказание за акты нас</w:t>
      </w:r>
      <w:r>
        <w:t>и</w:t>
      </w:r>
      <w:r>
        <w:t>лия в отношении женщин (пункты 399–400). Просьба разъяснить причины т</w:t>
      </w:r>
      <w:r>
        <w:t>а</w:t>
      </w:r>
      <w:r>
        <w:t>кого несоответствия.</w:t>
      </w:r>
    </w:p>
    <w:p w:rsidR="00EA121F" w:rsidRDefault="00EA121F" w:rsidP="00AB1973">
      <w:pPr>
        <w:pStyle w:val="SingleTxt"/>
      </w:pPr>
      <w:r>
        <w:t>15.</w:t>
      </w:r>
      <w:r>
        <w:tab/>
        <w:t>Согласно данным доклада, главным препятствием для ликвидации пр</w:t>
      </w:r>
      <w:r>
        <w:t>о</w:t>
      </w:r>
      <w:r>
        <w:t>блемы насилия в отношении женщин является недостаточное количество пр</w:t>
      </w:r>
      <w:r>
        <w:t>и</w:t>
      </w:r>
      <w:r>
        <w:t>ютов для женщин (пункт 49). Просьба указать принимаемые меры по испра</w:t>
      </w:r>
      <w:r>
        <w:t>в</w:t>
      </w:r>
      <w:r>
        <w:t>лению существующего положения и по увеличению числа таких приютов. Просьба также указать, какие правительство принимает меры по оказанию п</w:t>
      </w:r>
      <w:r>
        <w:t>о</w:t>
      </w:r>
      <w:r>
        <w:t>мощи неправительственным организациям в связи с ликвидацией проблемы насилия в отношении женщин.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Pr="00EA121F" w:rsidRDefault="00EA121F" w:rsidP="00AB1973">
      <w:pPr>
        <w:pStyle w:val="SingleTxt"/>
      </w:pPr>
      <w:r>
        <w:t>16.</w:t>
      </w:r>
      <w:r>
        <w:tab/>
        <w:t>В докладе говорится, что эксплуатация проституции других лиц в соо</w:t>
      </w:r>
      <w:r>
        <w:t>т</w:t>
      </w:r>
      <w:r>
        <w:t>ветствии с Уголовным кодексом является уголовным преступлением (пункт 109). Просьба представить информацию о числе лиц, которые были ар</w:t>
      </w:r>
      <w:r>
        <w:t>е</w:t>
      </w:r>
      <w:r>
        <w:t>стованы за эксплуатацию проституции других лиц за последние три года, о к</w:t>
      </w:r>
      <w:r>
        <w:t>о</w:t>
      </w:r>
      <w:r>
        <w:t>личестве осужденных и о вынесенных приговорах.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121F">
        <w:tab/>
      </w:r>
      <w:r w:rsidRPr="00EA121F">
        <w:tab/>
      </w:r>
      <w:r>
        <w:t>Занятость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B46D7A" w:rsidRDefault="00EA121F" w:rsidP="00EC239A">
      <w:pPr>
        <w:pStyle w:val="SingleTxt"/>
      </w:pPr>
      <w:r>
        <w:t>17.</w:t>
      </w:r>
      <w:r>
        <w:tab/>
        <w:t>Согласно данным доклада, создание рабочих мест является одним из о</w:t>
      </w:r>
      <w:r>
        <w:t>с</w:t>
      </w:r>
      <w:r>
        <w:t>новных элементов стратегии Марокко в области развития, однако при разр</w:t>
      </w:r>
      <w:r>
        <w:t>а</w:t>
      </w:r>
      <w:r>
        <w:t>ботке различных стратегий в области создания рабочих мест «не учитывались гендерные аспекты» (пункты 246</w:t>
      </w:r>
      <w:r w:rsidR="00B10D8B">
        <w:t xml:space="preserve"> и </w:t>
      </w:r>
      <w:r>
        <w:t>247) и гендерные аспекты недостаточно учитываются в стратегиях экономического развития (пункт 292). Просьба с</w:t>
      </w:r>
      <w:r>
        <w:t>о</w:t>
      </w:r>
      <w:r>
        <w:t>общить о принимаемых мерах с установленными сроками для включения задач по обе</w:t>
      </w:r>
      <w:r>
        <w:t>с</w:t>
      </w:r>
      <w:r>
        <w:t>печению гендерного равенства в мероприятия по созданию рабочих мест и в стратегии экономического развития, особенно в свете того факта, что показатели безработицы являются более высокими среди женщин, чем среди мужчин, недостаточная занятость женщин является более структурной по св</w:t>
      </w:r>
      <w:r>
        <w:t>о</w:t>
      </w:r>
      <w:r>
        <w:t>ему характеру, а дискриминация в отношении женщин носит на рынках труда эндемический характер (пункты 240, 244</w:t>
      </w:r>
      <w:r w:rsidR="00B10D8B">
        <w:t xml:space="preserve"> и </w:t>
      </w:r>
      <w:r>
        <w:t>245).</w:t>
      </w:r>
    </w:p>
    <w:p w:rsidR="00EA121F" w:rsidRDefault="00EA121F" w:rsidP="00AB1973">
      <w:pPr>
        <w:pStyle w:val="SingleTxt"/>
      </w:pPr>
      <w:r>
        <w:t>18.</w:t>
      </w:r>
      <w:r>
        <w:tab/>
        <w:t>Отмечая, что в Трудовом кодексе запрещаются сексуальные домогател</w:t>
      </w:r>
      <w:r>
        <w:t>ь</w:t>
      </w:r>
      <w:r>
        <w:t>ства и что были приняты специальные положения о защите домашней присл</w:t>
      </w:r>
      <w:r>
        <w:t>у</w:t>
      </w:r>
      <w:r w:rsidR="00B10D8B">
        <w:t xml:space="preserve">ги (пункты 262 и </w:t>
      </w:r>
      <w:r>
        <w:t>263), в докладе в то же время признается, что эти меры «я</w:t>
      </w:r>
      <w:r>
        <w:t>в</w:t>
      </w:r>
      <w:r>
        <w:t>ляются недостаточными для эффективной борьбы с сексуальными домогател</w:t>
      </w:r>
      <w:r>
        <w:t>ь</w:t>
      </w:r>
      <w:r>
        <w:t>ствами, если не будет принят ряд дополнительных мер» (пункт 264). Просьба указать, какие принимаются дополнительные меры по ликвидации проблемы сексуальных домогательств на рабочем месте.</w:t>
      </w:r>
    </w:p>
    <w:p w:rsidR="00EA121F" w:rsidRDefault="00EA121F" w:rsidP="00AB1973">
      <w:pPr>
        <w:pStyle w:val="SingleTxt"/>
      </w:pPr>
      <w:r>
        <w:t>19.</w:t>
      </w:r>
      <w:r>
        <w:tab/>
        <w:t>В докладе говорится, что в области «доступа к финансовым ресурсам, кредитам и имуществу по</w:t>
      </w:r>
      <w:r>
        <w:noBreakHyphen/>
        <w:t>прежнему сохраняется неравенство, которое в бол</w:t>
      </w:r>
      <w:r>
        <w:t>ь</w:t>
      </w:r>
      <w:r>
        <w:t>шей степени связано с причинами культурного характера» и что условия пр</w:t>
      </w:r>
      <w:r>
        <w:t>е</w:t>
      </w:r>
      <w:r>
        <w:t>доставления кредитов также являются препятствием, затрудняющим финанс</w:t>
      </w:r>
      <w:r>
        <w:t>и</w:t>
      </w:r>
      <w:r>
        <w:t>рование женского предпринимательства (пункт 295). Просьба сообщить о пр</w:t>
      </w:r>
      <w:r>
        <w:t>и</w:t>
      </w:r>
      <w:r>
        <w:t>нимаемых мерах по расширению для женщин доступа к кредитам и низкопр</w:t>
      </w:r>
      <w:r>
        <w:t>о</w:t>
      </w:r>
      <w:r>
        <w:t>центным ссудам, особенно в свете предыдущих заключительных замечаний Комитета, в которых содержалась рекомендация в адрес государства обесп</w:t>
      </w:r>
      <w:r>
        <w:t>е</w:t>
      </w:r>
      <w:r>
        <w:t>чить, чтобы женщины имели равный с мужчинами доступ к кредитам и другим формам финансовой помощи (</w:t>
      </w:r>
      <w:r>
        <w:rPr>
          <w:lang w:val="en-US"/>
        </w:rPr>
        <w:t>A</w:t>
      </w:r>
      <w:r w:rsidRPr="003D60D0">
        <w:t>/58/38,</w:t>
      </w:r>
      <w:r>
        <w:t xml:space="preserve"> пункт 175).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20.</w:t>
      </w:r>
      <w:r>
        <w:tab/>
        <w:t>В докладе говорится о низком уровне грамотности среди марокканских женщин, особенно в сельских районах, как о факторе, препятствующем обе</w:t>
      </w:r>
      <w:r>
        <w:t>с</w:t>
      </w:r>
      <w:r>
        <w:t>печению гендерного равенства (пункт 49), и отмечается, что недостаточная скоординированность деятельности органов, разрабатывающих политику и программы в области обеспечения грамотности, вызывает ограничение пол</w:t>
      </w:r>
      <w:r>
        <w:t>о</w:t>
      </w:r>
      <w:r>
        <w:t>жительного влияния различных проектов, большинство из которых остается на стадии эксперимента (пункт 198). Просьба конкретно указать меры, принима</w:t>
      </w:r>
      <w:r>
        <w:t>е</w:t>
      </w:r>
      <w:r>
        <w:t>мые для целей координации стратегий и программ, направленных на повыш</w:t>
      </w:r>
      <w:r>
        <w:t>е</w:t>
      </w:r>
      <w:r>
        <w:t>ние уровня грамотности среди женщин и усиление их эффективности.</w:t>
      </w:r>
    </w:p>
    <w:p w:rsidR="00EA121F" w:rsidRDefault="00EA121F" w:rsidP="00AB1973">
      <w:pPr>
        <w:pStyle w:val="SingleTxt"/>
      </w:pPr>
      <w:r>
        <w:t>21.</w:t>
      </w:r>
      <w:r>
        <w:tab/>
        <w:t>В докладе говорится, что в 1997 году было проанализировано 120 школьных учебников и выявлены дискриминирующие женщин материалы (пункт 81). Просьба сообщить, производился ли пересмотр таких учебников в целях ликвидации гендерных стереотипов и какие были приняты меры для обеспечения того, чтобы в школьных учебниках и учебных программах не представлялись стереотипные роли мужчин и женщин.</w:t>
      </w:r>
    </w:p>
    <w:p w:rsidR="00EA121F" w:rsidRDefault="00EA121F" w:rsidP="00AB1973">
      <w:pPr>
        <w:pStyle w:val="SingleTxt"/>
      </w:pPr>
      <w:r>
        <w:t>22.</w:t>
      </w:r>
      <w:r>
        <w:tab/>
        <w:t>В докладе говорится, что девочки больше представлены в дисциплинах, «которые более тесно связаны с бытовой сферой» и «менее востребованы на рынке труда» (пункт 201). Просьба представить информацию о стратегиях и целях, призванных способствовать увеличению числа учащихся-девочек в не традиционных для них областях знаний, как</w:t>
      </w:r>
      <w:r>
        <w:noBreakHyphen/>
        <w:t>то промышленная тематика и н</w:t>
      </w:r>
      <w:r>
        <w:t>а</w:t>
      </w:r>
      <w:r>
        <w:t>учные исследования, включая результаты осуществления таких стратегий.</w:t>
      </w:r>
    </w:p>
    <w:p w:rsidR="00EA121F" w:rsidRDefault="00EA121F" w:rsidP="00AB1973">
      <w:pPr>
        <w:pStyle w:val="SingleTxt"/>
      </w:pPr>
      <w:r>
        <w:t>23.</w:t>
      </w:r>
      <w:r>
        <w:tab/>
        <w:t>Просьба представить более конкретную информацию о количестве же</w:t>
      </w:r>
      <w:r>
        <w:t>н</w:t>
      </w:r>
      <w:r>
        <w:t>щин-студентов университетов по сравнению с мужчинами, с разбивкой по ди</w:t>
      </w:r>
      <w:r>
        <w:t>с</w:t>
      </w:r>
      <w:r>
        <w:t>циплинам, включая женщин-студентов и женщин-преподавателей.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24.</w:t>
      </w:r>
      <w:r>
        <w:tab/>
        <w:t>В докладе говорится, что в 2004 году доля женщин от общего числа всех сообщенных случаев заболевания ВИЧ/СПИДом составила 38 процентов (пункт 284). Просьба сообщить, содержат ли имеющиеся программы борьбы с ВИЧ/СПИДом элементы гендерной проблематики и разрабатываются ли сп</w:t>
      </w:r>
      <w:r>
        <w:t>е</w:t>
      </w:r>
      <w:r>
        <w:t>циальные меры профилактики, ориентированные на женщин.</w:t>
      </w:r>
    </w:p>
    <w:p w:rsidR="00EA121F" w:rsidRDefault="00EA121F" w:rsidP="00AB1973">
      <w:pPr>
        <w:pStyle w:val="SingleTxt"/>
      </w:pPr>
      <w:r>
        <w:t>25.</w:t>
      </w:r>
      <w:r>
        <w:tab/>
        <w:t>В своих предыдущих заключительных замечаниях Комитет выражал оз</w:t>
      </w:r>
      <w:r>
        <w:t>а</w:t>
      </w:r>
      <w:r>
        <w:t>боченность по поводу недостаточного числа объектов медицинской помощи и отсутствия у женщин в сельской местности доступа к медицинским услугам (</w:t>
      </w:r>
      <w:r>
        <w:rPr>
          <w:lang w:val="en-US"/>
        </w:rPr>
        <w:t>A</w:t>
      </w:r>
      <w:r w:rsidRPr="003167CA">
        <w:t>/58/38</w:t>
      </w:r>
      <w:r>
        <w:t>, пункт 172). При этом в докладе не содержится достаточного объема информации о количестве объектов медицинской помощи, в частности в сел</w:t>
      </w:r>
      <w:r>
        <w:t>ь</w:t>
      </w:r>
      <w:r>
        <w:t>ских и отдаленных районах, либо о доступности для женщин медицинских у</w:t>
      </w:r>
      <w:r>
        <w:t>с</w:t>
      </w:r>
      <w:r>
        <w:t>луг. Просьба представить соответствующую информацию.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Брачные и семейные отношения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26.</w:t>
      </w:r>
      <w:r>
        <w:tab/>
        <w:t>В докладе говорится, что министерство по делам хабусов и ислама рек</w:t>
      </w:r>
      <w:r>
        <w:t>о</w:t>
      </w:r>
      <w:r>
        <w:t>мендовало в пятничных проповедях в мечетях уделять больше внимания таким ценностям, как человеческое достоинство и умеренность (пункт 93). Просьба указать, ориентированы ли такие руководства и другие инициативы министе</w:t>
      </w:r>
      <w:r>
        <w:t>р</w:t>
      </w:r>
      <w:r>
        <w:t>ства по делам хабусов и ислама на вопросы гендерного равенства и недискр</w:t>
      </w:r>
      <w:r>
        <w:t>и</w:t>
      </w:r>
      <w:r>
        <w:t xml:space="preserve">минации и, в частности, поддерживает ли министерство новый </w:t>
      </w:r>
      <w:r w:rsidR="00B10D8B">
        <w:t>К</w:t>
      </w:r>
      <w:r>
        <w:t>одекс семьи и использует ли пятничные проповеди для информирования женщин об их пр</w:t>
      </w:r>
      <w:r>
        <w:t>а</w:t>
      </w:r>
      <w:r>
        <w:t>вах в соответствии с Кодексом.</w:t>
      </w:r>
    </w:p>
    <w:p w:rsidR="00EA121F" w:rsidRDefault="00EA121F" w:rsidP="00AB1973">
      <w:pPr>
        <w:pStyle w:val="SingleTxt"/>
      </w:pPr>
      <w:r>
        <w:t>27.</w:t>
      </w:r>
      <w:r>
        <w:tab/>
        <w:t>Комитет по правам человека высказал озабоченность по поводу законод</w:t>
      </w:r>
      <w:r>
        <w:t>а</w:t>
      </w:r>
      <w:r>
        <w:t>тельного запрета на браки между женщинами-мусульманками и мужчинами-немусульманами, а также в связи с тем, что в Кодексе о семье не запрещена полигамия, и рекомендовал пересмотреть применимые законы (</w:t>
      </w:r>
      <w:r>
        <w:rPr>
          <w:lang w:val="en-US"/>
        </w:rPr>
        <w:t>CCPR</w:t>
      </w:r>
      <w:r w:rsidRPr="003167CA">
        <w:t>/</w:t>
      </w:r>
      <w:r>
        <w:rPr>
          <w:lang w:val="en-US"/>
        </w:rPr>
        <w:t>CO</w:t>
      </w:r>
      <w:r w:rsidRPr="003167CA">
        <w:t>/82/</w:t>
      </w:r>
      <w:r>
        <w:rPr>
          <w:lang w:val="en-US"/>
        </w:rPr>
        <w:t>MAR</w:t>
      </w:r>
      <w:r>
        <w:t>, пункт 27). Просьба указать, какие в этой связи приним</w:t>
      </w:r>
      <w:r>
        <w:t>а</w:t>
      </w:r>
      <w:r>
        <w:t>ются меры и какие предусмотрены сроки для внесения в соответствующие з</w:t>
      </w:r>
      <w:r>
        <w:t>а</w:t>
      </w:r>
      <w:r>
        <w:t>коны любых планируемых поправок.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проживающие в сельской местности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28.</w:t>
      </w:r>
      <w:r>
        <w:tab/>
        <w:t>В докладе говорится, что на момент его представления велась разработка плана действий по включению гендерного подхода в политические меропри</w:t>
      </w:r>
      <w:r>
        <w:t>я</w:t>
      </w:r>
      <w:r>
        <w:t>тия, программы и проекты, направленные на развитие сельского хозяйства и сельских районов (пункт 310). Просьба указать, в какой стадии находится ра</w:t>
      </w:r>
      <w:r>
        <w:t>з</w:t>
      </w:r>
      <w:r>
        <w:t>работка этого плана действий и какие в нем предусмотрены сроки для улучш</w:t>
      </w:r>
      <w:r>
        <w:t>е</w:t>
      </w:r>
      <w:r>
        <w:t>ния положения проживающих в сельской местности женщин.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EA1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20, пункт 1</w:t>
      </w:r>
    </w:p>
    <w:p w:rsidR="00EA121F" w:rsidRPr="00EA121F" w:rsidRDefault="00EA121F" w:rsidP="00EA121F">
      <w:pPr>
        <w:pStyle w:val="SingleTxt"/>
        <w:spacing w:after="0" w:line="120" w:lineRule="exact"/>
        <w:rPr>
          <w:sz w:val="10"/>
        </w:rPr>
      </w:pPr>
    </w:p>
    <w:p w:rsidR="00EA121F" w:rsidRDefault="00EA121F" w:rsidP="00AB1973">
      <w:pPr>
        <w:pStyle w:val="SingleTxt"/>
      </w:pPr>
      <w:r>
        <w:t>29.</w:t>
      </w:r>
      <w:r>
        <w:tab/>
        <w:t>Просьба указать, когда государство-участник намеревается принять п</w:t>
      </w:r>
      <w:r>
        <w:t>о</w:t>
      </w:r>
      <w:r>
        <w:t>правку</w:t>
      </w:r>
      <w:r w:rsidR="00B10D8B">
        <w:t xml:space="preserve"> к пункту 1 статьи 20 Конвенции</w:t>
      </w:r>
      <w:r>
        <w:t xml:space="preserve"> </w:t>
      </w:r>
      <w:r w:rsidR="00F10845">
        <w:t>относительно продолжительности се</w:t>
      </w:r>
      <w:r w:rsidR="00F10845">
        <w:t>с</w:t>
      </w:r>
      <w:r w:rsidR="00F10845">
        <w:t xml:space="preserve">сий </w:t>
      </w:r>
      <w:r>
        <w:t>Комитета.</w:t>
      </w:r>
    </w:p>
    <w:p w:rsidR="00EA121F" w:rsidRPr="00F10845" w:rsidRDefault="00F10845" w:rsidP="00F1084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EA121F" w:rsidRPr="00F10845" w:rsidSect="00EA121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05T16:05:00Z" w:initials="Start">
    <w:p w:rsidR="00B00C88" w:rsidRPr="00EA121F" w:rsidRDefault="00B00C88">
      <w:pPr>
        <w:pStyle w:val="CommentText"/>
        <w:rPr>
          <w:lang w:val="en-US"/>
        </w:rPr>
      </w:pPr>
      <w:r>
        <w:fldChar w:fldCharType="begin"/>
      </w:r>
      <w:r w:rsidRPr="00EA121F">
        <w:rPr>
          <w:rStyle w:val="CommentReference"/>
          <w:lang w:val="en-US"/>
        </w:rPr>
        <w:instrText xml:space="preserve"> </w:instrText>
      </w:r>
      <w:r w:rsidRPr="00EA121F">
        <w:rPr>
          <w:lang w:val="en-US"/>
        </w:rPr>
        <w:instrText>PAGE \# "'Page: '#'</w:instrText>
      </w:r>
      <w:r w:rsidRPr="00EA121F">
        <w:rPr>
          <w:lang w:val="en-US"/>
        </w:rPr>
        <w:br/>
        <w:instrText>'"</w:instrText>
      </w:r>
      <w:r w:rsidRPr="00EA121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A121F">
        <w:rPr>
          <w:lang w:val="en-US"/>
        </w:rPr>
        <w:t>&lt;&lt;ODS JOB NO&gt;&gt;N0746367R&lt;&lt;ODS JOB NO&gt;&gt;</w:t>
      </w:r>
    </w:p>
    <w:p w:rsidR="00B00C88" w:rsidRDefault="00B00C88">
      <w:pPr>
        <w:pStyle w:val="CommentText"/>
      </w:pPr>
      <w:r>
        <w:t>&lt;&lt;ODS DOC SYMBOL1&gt;&gt;CEDAW/C/MAR/Q/4&lt;&lt;ODS DOC SYMBOL1&gt;&gt;</w:t>
      </w:r>
    </w:p>
    <w:p w:rsidR="00B00C88" w:rsidRDefault="00B00C8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BC5" w:rsidRPr="00C53DFA" w:rsidRDefault="00894BC5" w:rsidP="00EC239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894BC5" w:rsidRPr="00C53DFA" w:rsidRDefault="00894BC5" w:rsidP="00EC239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00C8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00C88" w:rsidRPr="00EC239A" w:rsidRDefault="00B00C88" w:rsidP="00EC239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00C88" w:rsidRPr="00EC239A" w:rsidRDefault="00B00C88" w:rsidP="00EC239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07-46367</w:t>
          </w:r>
          <w:r>
            <w:rPr>
              <w:b w:val="0"/>
              <w:sz w:val="14"/>
            </w:rPr>
            <w:fldChar w:fldCharType="end"/>
          </w:r>
        </w:p>
      </w:tc>
    </w:tr>
  </w:tbl>
  <w:p w:rsidR="00B00C88" w:rsidRPr="00EC239A" w:rsidRDefault="00B00C88" w:rsidP="00EC23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00C8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00C88" w:rsidRPr="00EC239A" w:rsidRDefault="00B00C88" w:rsidP="00EC239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07-46367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00C88" w:rsidRPr="00EC239A" w:rsidRDefault="00B00C88" w:rsidP="00EC239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B00C88" w:rsidRPr="00EC239A" w:rsidRDefault="00B00C88" w:rsidP="00EC23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C88" w:rsidRDefault="00B00C88">
    <w:pPr>
      <w:pStyle w:val="Footer"/>
    </w:pPr>
  </w:p>
  <w:p w:rsidR="00B00C88" w:rsidRDefault="00B00C88" w:rsidP="00EC239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07-46367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</w:t>
    </w:r>
    <w:r>
      <w:rPr>
        <w:b w:val="0"/>
        <w:sz w:val="20"/>
        <w:lang w:val="ru-RU"/>
      </w:rPr>
      <w:t>4</w:t>
    </w:r>
    <w:r>
      <w:rPr>
        <w:b w:val="0"/>
        <w:sz w:val="20"/>
      </w:rPr>
      <w:t>0907    050907</w:t>
    </w:r>
  </w:p>
  <w:p w:rsidR="00B00C88" w:rsidRPr="00EC239A" w:rsidRDefault="00B00C88" w:rsidP="00EC239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*0746367*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BC5" w:rsidRPr="00C53DFA" w:rsidRDefault="00894BC5" w:rsidP="00EC239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894BC5" w:rsidRPr="00C53DFA" w:rsidRDefault="00894BC5" w:rsidP="00EC239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00C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00C88" w:rsidRPr="00EC239A" w:rsidRDefault="00B00C88" w:rsidP="00EC239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CEDAW/C/MAR/Q/4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00C88" w:rsidRDefault="00B00C88" w:rsidP="00EC239A">
          <w:pPr>
            <w:pStyle w:val="Header"/>
          </w:pPr>
        </w:p>
      </w:tc>
    </w:tr>
  </w:tbl>
  <w:p w:rsidR="00B00C88" w:rsidRPr="00EC239A" w:rsidRDefault="00B00C88" w:rsidP="00EC23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00C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00C88" w:rsidRDefault="00B00C88" w:rsidP="00EC239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00C88" w:rsidRPr="00EC239A" w:rsidRDefault="00B00C88" w:rsidP="00EC239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CEDAW/C/MAR/Q/4</w:t>
          </w:r>
          <w:r>
            <w:rPr>
              <w:b/>
            </w:rPr>
            <w:fldChar w:fldCharType="end"/>
          </w:r>
        </w:p>
      </w:tc>
    </w:tr>
  </w:tbl>
  <w:p w:rsidR="00B00C88" w:rsidRPr="00EC239A" w:rsidRDefault="00B00C88" w:rsidP="00EC239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00C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00C88" w:rsidRPr="00EC239A" w:rsidRDefault="00B00C88" w:rsidP="00EC239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00C88" w:rsidRDefault="00B00C88" w:rsidP="00EC239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00C88" w:rsidRPr="00EC239A" w:rsidRDefault="00B00C88" w:rsidP="00EC239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/C/MAR/Q/4</w:t>
          </w:r>
        </w:p>
      </w:tc>
    </w:tr>
    <w:tr w:rsidR="00B00C88" w:rsidRPr="00EA121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00C88" w:rsidRDefault="00B00C88" w:rsidP="00EC239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00C88" w:rsidRPr="00EC239A" w:rsidRDefault="00B00C88" w:rsidP="00EC239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00C88" w:rsidRPr="00EC239A" w:rsidRDefault="00B00C88" w:rsidP="00EC239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00C88" w:rsidRPr="00EA121F" w:rsidRDefault="00B00C88" w:rsidP="00EC239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00C88" w:rsidRPr="00EA121F" w:rsidRDefault="00B00C88" w:rsidP="00EC239A">
          <w:pPr>
            <w:spacing w:before="240"/>
            <w:rPr>
              <w:lang w:val="en-US"/>
            </w:rPr>
          </w:pPr>
          <w:r w:rsidRPr="00EA121F">
            <w:rPr>
              <w:lang w:val="en-US"/>
            </w:rPr>
            <w:t>Distr.: General</w:t>
          </w:r>
        </w:p>
        <w:p w:rsidR="00B00C88" w:rsidRPr="00EA121F" w:rsidRDefault="00B00C88" w:rsidP="00EC239A">
          <w:pPr>
            <w:rPr>
              <w:lang w:val="en-US"/>
            </w:rPr>
          </w:pPr>
          <w:r w:rsidRPr="00EA121F">
            <w:rPr>
              <w:lang w:val="en-US"/>
            </w:rPr>
            <w:t>16 August 2007</w:t>
          </w:r>
        </w:p>
        <w:p w:rsidR="00B00C88" w:rsidRPr="00EA121F" w:rsidRDefault="00B00C88" w:rsidP="00EC239A">
          <w:pPr>
            <w:rPr>
              <w:lang w:val="en-US"/>
            </w:rPr>
          </w:pPr>
          <w:r w:rsidRPr="00EA121F">
            <w:rPr>
              <w:lang w:val="en-US"/>
            </w:rPr>
            <w:t>Russian</w:t>
          </w:r>
        </w:p>
        <w:p w:rsidR="00B00C88" w:rsidRPr="00EA121F" w:rsidRDefault="00B00C88" w:rsidP="00EC239A">
          <w:pPr>
            <w:rPr>
              <w:lang w:val="en-US"/>
            </w:rPr>
          </w:pPr>
          <w:r w:rsidRPr="00EA121F">
            <w:rPr>
              <w:lang w:val="en-US"/>
            </w:rPr>
            <w:t>Original: English</w:t>
          </w:r>
        </w:p>
      </w:tc>
    </w:tr>
  </w:tbl>
  <w:p w:rsidR="00B00C88" w:rsidRPr="00EC239A" w:rsidRDefault="00B00C88" w:rsidP="00EC239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367*"/>
    <w:docVar w:name="CreationDt" w:val="05/09/2007 16:05:58"/>
    <w:docVar w:name="DocCategory" w:val="Doc"/>
    <w:docVar w:name="DocType" w:val="Final"/>
    <w:docVar w:name="FooterJN" w:val="07-46367"/>
    <w:docVar w:name="jobn" w:val="07-46367 (R)"/>
    <w:docVar w:name="jobnDT" w:val="07-46367 (R)   050907"/>
    <w:docVar w:name="jobnDTDT" w:val="07-46367 (R)   050907   050907"/>
    <w:docVar w:name="JobNo" w:val="0746367R"/>
    <w:docVar w:name="OandT" w:val=" "/>
    <w:docVar w:name="sss1" w:val="CEDAW/C/MAR/Q/4"/>
    <w:docVar w:name="sss2" w:val="-"/>
    <w:docVar w:name="Symbol1" w:val="CEDAW/C/MAR/Q/4"/>
    <w:docVar w:name="Symbol2" w:val="-"/>
  </w:docVars>
  <w:rsids>
    <w:rsidRoot w:val="00964AA2"/>
    <w:rsid w:val="000121EB"/>
    <w:rsid w:val="000453DA"/>
    <w:rsid w:val="000456EE"/>
    <w:rsid w:val="00051525"/>
    <w:rsid w:val="00067768"/>
    <w:rsid w:val="0007135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470D0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2EC4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0EF2"/>
    <w:rsid w:val="00882568"/>
    <w:rsid w:val="00890728"/>
    <w:rsid w:val="00894BC5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64AA2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5790"/>
    <w:rsid w:val="00A25540"/>
    <w:rsid w:val="00A66744"/>
    <w:rsid w:val="00A66F3C"/>
    <w:rsid w:val="00AB1973"/>
    <w:rsid w:val="00AB20FA"/>
    <w:rsid w:val="00AB749A"/>
    <w:rsid w:val="00AC27C8"/>
    <w:rsid w:val="00AC4CCE"/>
    <w:rsid w:val="00AF046A"/>
    <w:rsid w:val="00AF4CCE"/>
    <w:rsid w:val="00B00C88"/>
    <w:rsid w:val="00B02070"/>
    <w:rsid w:val="00B10627"/>
    <w:rsid w:val="00B10D8B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0106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573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121F"/>
    <w:rsid w:val="00EA2334"/>
    <w:rsid w:val="00EB05F9"/>
    <w:rsid w:val="00EB451F"/>
    <w:rsid w:val="00EC0362"/>
    <w:rsid w:val="00EC239A"/>
    <w:rsid w:val="00EC4F9E"/>
    <w:rsid w:val="00EC55FB"/>
    <w:rsid w:val="00F01AD0"/>
    <w:rsid w:val="00F10845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C239A"/>
  </w:style>
  <w:style w:type="paragraph" w:styleId="CommentSubject">
    <w:name w:val="annotation subject"/>
    <w:basedOn w:val="CommentText"/>
    <w:next w:val="CommentText"/>
    <w:semiHidden/>
    <w:rsid w:val="00EC23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1902</Words>
  <Characters>12578</Characters>
  <Application>Microsoft Office Word</Application>
  <DocSecurity>4</DocSecurity>
  <Lines>262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Malik Maria</dc:creator>
  <cp:keywords/>
  <dc:description/>
  <cp:lastModifiedBy>Malik Maria</cp:lastModifiedBy>
  <cp:revision>5</cp:revision>
  <cp:lastPrinted>2007-09-06T06:43:00Z</cp:lastPrinted>
  <dcterms:created xsi:type="dcterms:W3CDTF">2007-09-06T06:40:00Z</dcterms:created>
  <dcterms:modified xsi:type="dcterms:W3CDTF">2007-09-06T06:44:00Z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0746367</vt:lpwstr>
  </property>
  <property fmtid="{D5CDD505-2E9C-101B-9397-08002B2CF9AE}" pid="3" name="Symbol1">
    <vt:lpwstr>CEDAW/C/MAR/Q/4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Malik</vt:lpwstr>
  </property>
</Properties>
</file>